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96A2" w14:textId="77777777" w:rsidR="008F2076" w:rsidRDefault="008F2076" w:rsidP="001B11D2">
      <w:pPr>
        <w:spacing w:before="0" w:after="0" w:line="240" w:lineRule="auto"/>
        <w:rPr>
          <w:rFonts w:asciiTheme="majorHAnsi" w:hAnsiTheme="majorHAnsi" w:cstheme="majorHAnsi"/>
          <w:color w:val="auto"/>
          <w:sz w:val="2"/>
          <w:szCs w:val="2"/>
        </w:rPr>
      </w:pPr>
    </w:p>
    <w:p w14:paraId="2FE0D7FB" w14:textId="2297C4C6" w:rsidR="008F2076" w:rsidRP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ind w:left="3261" w:hanging="3261"/>
        <w:rPr>
          <w:rFonts w:asciiTheme="majorHAnsi" w:hAnsiTheme="majorHAnsi" w:cstheme="majorHAnsi"/>
          <w:color w:val="auto"/>
          <w:sz w:val="24"/>
          <w:szCs w:val="24"/>
        </w:rPr>
      </w:pPr>
      <w:r w:rsidRPr="008F2076">
        <w:rPr>
          <w:rFonts w:asciiTheme="majorHAnsi" w:hAnsiTheme="majorHAnsi" w:cstheme="majorHAnsi"/>
          <w:b/>
          <w:bCs/>
          <w:color w:val="auto"/>
          <w:sz w:val="24"/>
          <w:szCs w:val="24"/>
        </w:rPr>
        <w:t>Investment Concept Title:</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ENABLE (Enhanced National Advice, Bilateral partnership, and Learning and Evidence)</w:t>
      </w:r>
    </w:p>
    <w:p w14:paraId="48585832" w14:textId="77777777" w:rsid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ind w:left="3261" w:hanging="3261"/>
        <w:rPr>
          <w:rFonts w:asciiTheme="majorHAnsi" w:hAnsiTheme="majorHAnsi" w:cstheme="majorHAnsi"/>
          <w:color w:val="auto"/>
          <w:sz w:val="24"/>
          <w:szCs w:val="24"/>
        </w:rPr>
      </w:pPr>
      <w:r w:rsidRPr="008F2076">
        <w:rPr>
          <w:rFonts w:asciiTheme="majorHAnsi" w:hAnsiTheme="majorHAnsi" w:cstheme="majorHAnsi"/>
          <w:b/>
          <w:bCs/>
          <w:color w:val="auto"/>
          <w:sz w:val="24"/>
          <w:szCs w:val="24"/>
        </w:rPr>
        <w:t>Start date:</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July 2027</w:t>
      </w:r>
    </w:p>
    <w:p w14:paraId="5FCA9505" w14:textId="2357B93D" w:rsidR="008F2076" w:rsidRP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ind w:left="3261" w:hanging="3261"/>
        <w:rPr>
          <w:rFonts w:asciiTheme="majorHAnsi" w:hAnsiTheme="majorHAnsi" w:cstheme="majorHAnsi"/>
          <w:color w:val="auto"/>
          <w:sz w:val="24"/>
          <w:szCs w:val="24"/>
        </w:rPr>
      </w:pPr>
      <w:r w:rsidRPr="008F2076">
        <w:rPr>
          <w:rFonts w:asciiTheme="majorHAnsi" w:hAnsiTheme="majorHAnsi" w:cstheme="majorHAnsi"/>
          <w:b/>
          <w:bCs/>
          <w:color w:val="auto"/>
          <w:sz w:val="24"/>
          <w:szCs w:val="24"/>
        </w:rPr>
        <w:t>End date:</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June 2037 (5 years plus option of up to 5-year extension)</w:t>
      </w:r>
    </w:p>
    <w:p w14:paraId="79C3BCAD" w14:textId="457FC65C" w:rsidR="008F2076" w:rsidRP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ind w:left="3261" w:hanging="3261"/>
        <w:rPr>
          <w:rFonts w:asciiTheme="majorHAnsi" w:hAnsiTheme="majorHAnsi" w:cstheme="majorHAnsi"/>
          <w:color w:val="auto"/>
          <w:sz w:val="24"/>
          <w:szCs w:val="24"/>
        </w:rPr>
      </w:pPr>
      <w:r w:rsidRPr="008F2076">
        <w:rPr>
          <w:rFonts w:asciiTheme="majorHAnsi" w:hAnsiTheme="majorHAnsi" w:cstheme="majorHAnsi"/>
          <w:b/>
          <w:bCs/>
          <w:color w:val="auto"/>
          <w:sz w:val="24"/>
          <w:szCs w:val="24"/>
        </w:rPr>
        <w:t>Total proposed DFAT funding:</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Up to AU $85,000,000: $35,000,000 for Years 1-5; $50,000,000 for Years 6-10</w:t>
      </w:r>
    </w:p>
    <w:p w14:paraId="5F595D24" w14:textId="636F6AA8" w:rsid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rPr>
          <w:rFonts w:asciiTheme="majorHAnsi" w:hAnsiTheme="majorHAnsi" w:cstheme="majorHAnsi"/>
          <w:color w:val="auto"/>
          <w:sz w:val="24"/>
          <w:szCs w:val="24"/>
        </w:rPr>
      </w:pPr>
      <w:r w:rsidRPr="008F2076">
        <w:rPr>
          <w:rFonts w:asciiTheme="majorHAnsi" w:hAnsiTheme="majorHAnsi" w:cstheme="majorHAnsi"/>
          <w:b/>
          <w:bCs/>
          <w:color w:val="auto"/>
          <w:sz w:val="24"/>
          <w:szCs w:val="24"/>
        </w:rPr>
        <w:t>Initial Risk:</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High</w:t>
      </w:r>
    </w:p>
    <w:p w14:paraId="652A2D36" w14:textId="0A255315" w:rsidR="008F2076" w:rsidRP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rPr>
          <w:rFonts w:asciiTheme="majorHAnsi" w:hAnsiTheme="majorHAnsi" w:cstheme="majorHAnsi"/>
          <w:color w:val="auto"/>
          <w:sz w:val="24"/>
          <w:szCs w:val="24"/>
        </w:rPr>
      </w:pPr>
      <w:r w:rsidRPr="008F2076">
        <w:rPr>
          <w:rFonts w:asciiTheme="majorHAnsi" w:hAnsiTheme="majorHAnsi" w:cstheme="majorHAnsi"/>
          <w:b/>
          <w:bCs/>
          <w:color w:val="auto"/>
          <w:sz w:val="24"/>
          <w:szCs w:val="24"/>
        </w:rPr>
        <w:t>Value:</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High</w:t>
      </w:r>
    </w:p>
    <w:p w14:paraId="281CAA51" w14:textId="3CBD7C0F" w:rsidR="008F2076" w:rsidRDefault="008F2076" w:rsidP="008F207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C1E7E0" w:themeFill="accent1" w:themeFillTint="66"/>
        <w:tabs>
          <w:tab w:val="left" w:pos="3261"/>
        </w:tabs>
        <w:spacing w:before="0" w:after="0" w:line="240" w:lineRule="auto"/>
        <w:rPr>
          <w:rFonts w:asciiTheme="majorHAnsi" w:hAnsiTheme="majorHAnsi" w:cstheme="majorHAnsi"/>
          <w:color w:val="auto"/>
          <w:sz w:val="24"/>
          <w:szCs w:val="24"/>
        </w:rPr>
      </w:pPr>
      <w:r w:rsidRPr="008F2076">
        <w:rPr>
          <w:rFonts w:asciiTheme="majorHAnsi" w:hAnsiTheme="majorHAnsi" w:cstheme="majorHAnsi"/>
          <w:b/>
          <w:bCs/>
          <w:color w:val="auto"/>
          <w:sz w:val="24"/>
          <w:szCs w:val="24"/>
        </w:rPr>
        <w:t>Proposed design pathway:</w:t>
      </w:r>
      <w:r>
        <w:rPr>
          <w:rFonts w:asciiTheme="majorHAnsi" w:hAnsiTheme="majorHAnsi" w:cstheme="majorHAnsi"/>
          <w:color w:val="auto"/>
          <w:sz w:val="24"/>
          <w:szCs w:val="24"/>
        </w:rPr>
        <w:tab/>
      </w:r>
      <w:r w:rsidRPr="008F2076">
        <w:rPr>
          <w:rFonts w:asciiTheme="majorHAnsi" w:hAnsiTheme="majorHAnsi" w:cstheme="majorHAnsi"/>
          <w:color w:val="auto"/>
          <w:sz w:val="24"/>
          <w:szCs w:val="24"/>
        </w:rPr>
        <w:t>Standard</w:t>
      </w:r>
    </w:p>
    <w:p w14:paraId="53766AB5" w14:textId="77777777" w:rsidR="008F2076" w:rsidRPr="008F2076" w:rsidRDefault="008F2076" w:rsidP="008F2076">
      <w:pPr>
        <w:spacing w:before="0" w:after="0" w:line="240" w:lineRule="auto"/>
        <w:rPr>
          <w:rFonts w:asciiTheme="majorHAnsi" w:hAnsiTheme="majorHAnsi" w:cstheme="majorHAnsi"/>
          <w:color w:val="auto"/>
          <w:sz w:val="24"/>
          <w:szCs w:val="24"/>
        </w:rPr>
      </w:pPr>
    </w:p>
    <w:p w14:paraId="17C63F21" w14:textId="77777777" w:rsidR="008F2076" w:rsidRPr="00485E78" w:rsidRDefault="008F2076" w:rsidP="001B11D2">
      <w:pPr>
        <w:spacing w:before="0" w:after="0" w:line="240" w:lineRule="auto"/>
        <w:rPr>
          <w:rFonts w:asciiTheme="majorHAnsi" w:hAnsiTheme="majorHAnsi" w:cstheme="majorHAnsi"/>
          <w:color w:val="auto"/>
          <w:sz w:val="2"/>
          <w:szCs w:val="2"/>
        </w:rPr>
      </w:pPr>
    </w:p>
    <w:p w14:paraId="20D7277B" w14:textId="49B69EDF" w:rsidR="00BA2C0E" w:rsidRPr="00631394" w:rsidRDefault="00BA2C0E" w:rsidP="0094552A">
      <w:pPr>
        <w:numPr>
          <w:ilvl w:val="0"/>
          <w:numId w:val="10"/>
        </w:numPr>
        <w:pBdr>
          <w:top w:val="single" w:sz="4" w:space="1" w:color="auto"/>
          <w:left w:val="single" w:sz="4" w:space="4" w:color="auto"/>
          <w:bottom w:val="single" w:sz="4" w:space="1" w:color="auto"/>
          <w:right w:val="single" w:sz="4" w:space="4" w:color="auto"/>
        </w:pBdr>
        <w:shd w:val="clear" w:color="auto" w:fill="E0F3EF" w:themeFill="accent1" w:themeFillTint="33"/>
        <w:spacing w:before="0" w:after="120" w:line="240" w:lineRule="auto"/>
        <w:rPr>
          <w:rFonts w:asciiTheme="majorHAnsi" w:hAnsiTheme="majorHAnsi" w:cstheme="majorBidi"/>
          <w:color w:val="000000" w:themeColor="text1"/>
        </w:rPr>
      </w:pPr>
      <w:r w:rsidRPr="67F991D4">
        <w:rPr>
          <w:rFonts w:asciiTheme="majorHAnsi" w:hAnsiTheme="majorHAnsi" w:cstheme="majorBidi"/>
          <w:b/>
          <w:bCs/>
          <w:color w:val="000000" w:themeColor="text1"/>
        </w:rPr>
        <w:t>Development Context (What is the problem?)</w:t>
      </w:r>
    </w:p>
    <w:p w14:paraId="0EF7D0B9" w14:textId="260F7DF4" w:rsidR="001F604D" w:rsidRDefault="0D137C3A" w:rsidP="52B586FF">
      <w:pPr>
        <w:spacing w:after="120" w:line="260" w:lineRule="exact"/>
        <w:rPr>
          <w:rFonts w:asciiTheme="majorHAnsi" w:hAnsiTheme="majorHAnsi" w:cstheme="majorBidi"/>
          <w:color w:val="000000" w:themeColor="text1"/>
        </w:rPr>
      </w:pPr>
      <w:r w:rsidRPr="0C78F9E2">
        <w:rPr>
          <w:rFonts w:asciiTheme="majorHAnsi" w:hAnsiTheme="majorHAnsi" w:cstheme="majorBidi"/>
          <w:b/>
          <w:bCs/>
          <w:color w:val="000000" w:themeColor="text1"/>
        </w:rPr>
        <w:t xml:space="preserve">Papua New Guinea (PNG) – Australia’s nearest neighbour and with whom we have the largest ODA-funded partnership – faces significant development challenges. </w:t>
      </w:r>
      <w:r w:rsidR="3DB1C6BF" w:rsidRPr="0C78F9E2">
        <w:rPr>
          <w:rFonts w:asciiTheme="majorHAnsi" w:eastAsiaTheme="majorEastAsia" w:hAnsiTheme="majorHAnsi" w:cstheme="majorBidi"/>
          <w:color w:val="auto"/>
        </w:rPr>
        <w:t xml:space="preserve">PNG ranks 160 out of 193 countries against the </w:t>
      </w:r>
      <w:r w:rsidR="70CB9307" w:rsidRPr="0C78F9E2">
        <w:rPr>
          <w:rFonts w:asciiTheme="majorHAnsi" w:eastAsiaTheme="majorEastAsia" w:hAnsiTheme="majorHAnsi" w:cstheme="majorBidi"/>
          <w:color w:val="auto"/>
        </w:rPr>
        <w:t>Human Development Index</w:t>
      </w:r>
      <w:r w:rsidR="0005622B" w:rsidRPr="0C78F9E2">
        <w:rPr>
          <w:rFonts w:asciiTheme="majorHAnsi" w:eastAsiaTheme="majorEastAsia" w:hAnsiTheme="majorHAnsi" w:cstheme="majorBidi"/>
          <w:color w:val="auto"/>
          <w:vertAlign w:val="superscript"/>
        </w:rPr>
        <w:footnoteReference w:id="2"/>
      </w:r>
      <w:r w:rsidR="3DB1C6BF" w:rsidRPr="0C78F9E2">
        <w:rPr>
          <w:rFonts w:asciiTheme="majorHAnsi" w:eastAsiaTheme="majorEastAsia" w:hAnsiTheme="majorHAnsi" w:cstheme="majorBidi"/>
          <w:color w:val="auto"/>
          <w:lang w:val="en-AU"/>
        </w:rPr>
        <w:t xml:space="preserve"> </w:t>
      </w:r>
      <w:r w:rsidR="3DB1C6BF" w:rsidRPr="0C78F9E2">
        <w:rPr>
          <w:rFonts w:asciiTheme="majorHAnsi" w:eastAsiaTheme="majorEastAsia" w:hAnsiTheme="majorHAnsi" w:cstheme="majorBidi"/>
          <w:color w:val="auto"/>
        </w:rPr>
        <w:t>and approximately 50 per cent of the population lives below the lower-middle income poverty line</w:t>
      </w:r>
      <w:r w:rsidR="0005622B" w:rsidRPr="0C78F9E2">
        <w:rPr>
          <w:rFonts w:asciiTheme="majorHAnsi" w:eastAsiaTheme="majorEastAsia" w:hAnsiTheme="majorHAnsi" w:cstheme="majorBidi"/>
          <w:color w:val="auto"/>
          <w:vertAlign w:val="superscript"/>
        </w:rPr>
        <w:footnoteReference w:id="3"/>
      </w:r>
      <w:r w:rsidR="3DB1C6BF" w:rsidRPr="0C78F9E2">
        <w:rPr>
          <w:rFonts w:asciiTheme="majorHAnsi" w:eastAsiaTheme="majorEastAsia" w:hAnsiTheme="majorHAnsi" w:cstheme="majorBidi"/>
          <w:color w:val="auto"/>
        </w:rPr>
        <w:t>.</w:t>
      </w:r>
      <w:r w:rsidR="2504915B" w:rsidRPr="0C78F9E2">
        <w:rPr>
          <w:rFonts w:asciiTheme="majorHAnsi" w:eastAsiaTheme="majorEastAsia" w:hAnsiTheme="majorHAnsi" w:cstheme="majorBidi"/>
          <w:color w:val="auto"/>
        </w:rPr>
        <w:t xml:space="preserve"> </w:t>
      </w:r>
      <w:r w:rsidR="2504915B" w:rsidRPr="0C78F9E2">
        <w:rPr>
          <w:rFonts w:asciiTheme="majorHAnsi" w:eastAsiaTheme="majorEastAsia" w:hAnsiTheme="majorHAnsi" w:cstheme="majorBidi"/>
          <w:color w:val="auto"/>
          <w:lang w:val="en-AU"/>
        </w:rPr>
        <w:t>PNG ranks 156 out of 172 countries on the Gender Inequality Index</w:t>
      </w:r>
      <w:r w:rsidR="0005622B" w:rsidRPr="0C78F9E2">
        <w:rPr>
          <w:rFonts w:asciiTheme="majorHAnsi" w:eastAsiaTheme="majorEastAsia" w:hAnsiTheme="majorHAnsi" w:cstheme="majorBidi"/>
          <w:color w:val="auto"/>
          <w:vertAlign w:val="superscript"/>
          <w:lang w:val="en-AU"/>
        </w:rPr>
        <w:footnoteReference w:id="4"/>
      </w:r>
      <w:r w:rsidR="3C69A52C" w:rsidRPr="0C78F9E2">
        <w:rPr>
          <w:rFonts w:asciiTheme="majorHAnsi" w:eastAsiaTheme="majorEastAsia" w:hAnsiTheme="majorHAnsi" w:cstheme="majorBidi"/>
          <w:color w:val="auto"/>
          <w:lang w:val="en-AU"/>
        </w:rPr>
        <w:t xml:space="preserve"> </w:t>
      </w:r>
      <w:r w:rsidR="524C71AA" w:rsidRPr="0C78F9E2">
        <w:rPr>
          <w:rFonts w:asciiTheme="majorHAnsi" w:eastAsiaTheme="majorEastAsia" w:hAnsiTheme="majorHAnsi" w:cstheme="majorBidi"/>
          <w:color w:val="auto"/>
          <w:lang w:val="en-AU"/>
        </w:rPr>
        <w:t>and</w:t>
      </w:r>
      <w:r w:rsidR="524C71AA" w:rsidRPr="0C78F9E2">
        <w:rPr>
          <w:rFonts w:asciiTheme="majorHAnsi" w:eastAsiaTheme="majorEastAsia" w:hAnsiTheme="majorHAnsi" w:cstheme="majorBidi"/>
          <w:color w:val="auto"/>
        </w:rPr>
        <w:t xml:space="preserve"> </w:t>
      </w:r>
      <w:r w:rsidR="3C69A52C" w:rsidRPr="0C78F9E2">
        <w:rPr>
          <w:rFonts w:asciiTheme="majorHAnsi" w:eastAsiaTheme="majorEastAsia" w:hAnsiTheme="majorHAnsi" w:cstheme="majorBidi"/>
          <w:color w:val="auto"/>
        </w:rPr>
        <w:t>is assessed as the least safe country globally for women, children, people with disability, and the LGBTQIA+ community.</w:t>
      </w:r>
      <w:r w:rsidR="44840741" w:rsidRPr="0C78F9E2">
        <w:rPr>
          <w:rFonts w:asciiTheme="majorHAnsi" w:eastAsiaTheme="majorEastAsia" w:hAnsiTheme="majorHAnsi" w:cstheme="majorBidi"/>
          <w:color w:val="auto"/>
        </w:rPr>
        <w:t xml:space="preserve"> </w:t>
      </w:r>
      <w:r w:rsidR="43C400CE" w:rsidRPr="0C78F9E2">
        <w:rPr>
          <w:rFonts w:asciiTheme="majorHAnsi" w:eastAsiaTheme="majorEastAsia" w:hAnsiTheme="majorHAnsi" w:cstheme="majorBidi"/>
          <w:color w:val="auto"/>
        </w:rPr>
        <w:t>I</w:t>
      </w:r>
      <w:r w:rsidR="53285CC3" w:rsidRPr="0C78F9E2">
        <w:rPr>
          <w:rFonts w:asciiTheme="majorHAnsi" w:eastAsiaTheme="majorEastAsia" w:hAnsiTheme="majorHAnsi" w:cstheme="majorBidi"/>
          <w:color w:val="auto"/>
          <w:lang w:val="en-AU"/>
        </w:rPr>
        <w:t xml:space="preserve">t has been estimated that 98 per cent of the </w:t>
      </w:r>
      <w:r w:rsidR="4B13924A" w:rsidRPr="0C78F9E2">
        <w:rPr>
          <w:rFonts w:asciiTheme="majorHAnsi" w:eastAsiaTheme="majorEastAsia" w:hAnsiTheme="majorHAnsi" w:cstheme="majorBidi"/>
          <w:color w:val="auto"/>
          <w:lang w:val="en-AU"/>
        </w:rPr>
        <w:t xml:space="preserve">approximately </w:t>
      </w:r>
      <w:r w:rsidR="53285CC3" w:rsidRPr="0C78F9E2">
        <w:rPr>
          <w:rFonts w:asciiTheme="majorHAnsi" w:eastAsiaTheme="majorEastAsia" w:hAnsiTheme="majorHAnsi" w:cstheme="majorBidi"/>
          <w:color w:val="auto"/>
          <w:lang w:val="en-AU"/>
        </w:rPr>
        <w:t xml:space="preserve">1.5 million </w:t>
      </w:r>
      <w:r w:rsidR="4B13924A" w:rsidRPr="0C78F9E2">
        <w:rPr>
          <w:rFonts w:asciiTheme="majorHAnsi" w:eastAsiaTheme="majorEastAsia" w:hAnsiTheme="majorHAnsi" w:cstheme="majorBidi"/>
          <w:color w:val="auto"/>
          <w:lang w:val="en-AU"/>
        </w:rPr>
        <w:t xml:space="preserve">people </w:t>
      </w:r>
      <w:r w:rsidR="53285CC3" w:rsidRPr="0C78F9E2">
        <w:rPr>
          <w:rFonts w:asciiTheme="majorHAnsi" w:eastAsiaTheme="majorEastAsia" w:hAnsiTheme="majorHAnsi" w:cstheme="majorBidi"/>
          <w:color w:val="auto"/>
          <w:lang w:val="en-AU"/>
        </w:rPr>
        <w:t>with a disability in PNG have no access to support services</w:t>
      </w:r>
      <w:r w:rsidR="0005622B" w:rsidRPr="0C78F9E2">
        <w:rPr>
          <w:rFonts w:asciiTheme="majorHAnsi" w:eastAsiaTheme="majorEastAsia" w:hAnsiTheme="majorHAnsi" w:cstheme="majorBidi"/>
          <w:color w:val="auto"/>
          <w:vertAlign w:val="superscript"/>
          <w:lang w:val="en-AU"/>
        </w:rPr>
        <w:footnoteReference w:id="5"/>
      </w:r>
      <w:r w:rsidR="53285CC3" w:rsidRPr="0C78F9E2">
        <w:rPr>
          <w:rFonts w:asciiTheme="majorHAnsi" w:eastAsiaTheme="majorEastAsia" w:hAnsiTheme="majorHAnsi" w:cstheme="majorBidi"/>
          <w:color w:val="auto"/>
          <w:lang w:val="en-AU"/>
        </w:rPr>
        <w:t xml:space="preserve">. </w:t>
      </w:r>
      <w:r w:rsidR="44840741" w:rsidRPr="0C78F9E2">
        <w:rPr>
          <w:rFonts w:asciiTheme="majorHAnsi" w:eastAsiaTheme="majorEastAsia" w:hAnsiTheme="majorHAnsi" w:cstheme="majorBidi"/>
          <w:color w:val="auto"/>
        </w:rPr>
        <w:t xml:space="preserve">Almost 85 per cent of the </w:t>
      </w:r>
      <w:r w:rsidR="3DBBA8C3" w:rsidRPr="0C78F9E2">
        <w:rPr>
          <w:rFonts w:asciiTheme="majorHAnsi" w:eastAsiaTheme="majorEastAsia" w:hAnsiTheme="majorHAnsi" w:cstheme="majorBidi"/>
          <w:color w:val="auto"/>
        </w:rPr>
        <w:t xml:space="preserve">rapidly growing </w:t>
      </w:r>
      <w:r w:rsidR="44840741" w:rsidRPr="0C78F9E2">
        <w:rPr>
          <w:rFonts w:asciiTheme="majorHAnsi" w:eastAsiaTheme="majorEastAsia" w:hAnsiTheme="majorHAnsi" w:cstheme="majorBidi"/>
          <w:color w:val="auto"/>
        </w:rPr>
        <w:t>population lives in rural areas, presenting significant challenges for service delivery</w:t>
      </w:r>
      <w:r w:rsidR="0005622B" w:rsidRPr="0C78F9E2">
        <w:rPr>
          <w:rFonts w:asciiTheme="majorHAnsi" w:eastAsiaTheme="majorEastAsia" w:hAnsiTheme="majorHAnsi" w:cstheme="majorBidi"/>
          <w:color w:val="auto"/>
          <w:vertAlign w:val="superscript"/>
        </w:rPr>
        <w:footnoteReference w:id="6"/>
      </w:r>
      <w:r w:rsidR="4535E3C1" w:rsidRPr="0C78F9E2">
        <w:rPr>
          <w:rFonts w:asciiTheme="majorHAnsi" w:eastAsiaTheme="majorEastAsia" w:hAnsiTheme="majorHAnsi" w:cstheme="majorBidi"/>
          <w:color w:val="auto"/>
        </w:rPr>
        <w:t>.</w:t>
      </w:r>
      <w:r w:rsidR="36170CFB" w:rsidRPr="0C78F9E2">
        <w:rPr>
          <w:rFonts w:asciiTheme="majorHAnsi" w:eastAsiaTheme="majorEastAsia" w:hAnsiTheme="majorHAnsi" w:cstheme="majorBidi"/>
          <w:color w:val="auto"/>
        </w:rPr>
        <w:t xml:space="preserve"> </w:t>
      </w:r>
    </w:p>
    <w:p w14:paraId="4CDB03B5" w14:textId="153A0522" w:rsidR="00A11AF1" w:rsidRPr="006E2FD7" w:rsidRDefault="4F9AC51D" w:rsidP="52B586FF">
      <w:pPr>
        <w:spacing w:after="120" w:line="260" w:lineRule="exact"/>
        <w:rPr>
          <w:rFonts w:asciiTheme="majorHAnsi" w:eastAsiaTheme="majorEastAsia" w:hAnsiTheme="majorHAnsi" w:cstheme="majorBidi"/>
          <w:color w:val="auto"/>
        </w:rPr>
      </w:pPr>
      <w:r w:rsidRPr="0C78F9E2">
        <w:rPr>
          <w:rFonts w:asciiTheme="majorHAnsi" w:hAnsiTheme="majorHAnsi" w:cstheme="majorBidi"/>
          <w:b/>
          <w:bCs/>
          <w:color w:val="000000" w:themeColor="text1"/>
        </w:rPr>
        <w:t>Improvements in life expectancy</w:t>
      </w:r>
      <w:r w:rsidRPr="0C78F9E2">
        <w:rPr>
          <w:rFonts w:asciiTheme="majorHAnsi" w:hAnsiTheme="majorHAnsi" w:cstheme="majorBidi"/>
          <w:color w:val="000000" w:themeColor="text1"/>
        </w:rPr>
        <w:t xml:space="preserve"> </w:t>
      </w:r>
      <w:r w:rsidRPr="0C78F9E2">
        <w:rPr>
          <w:rFonts w:asciiTheme="majorHAnsi" w:hAnsiTheme="majorHAnsi" w:cstheme="majorBidi"/>
          <w:b/>
          <w:bCs/>
          <w:color w:val="000000" w:themeColor="text1"/>
        </w:rPr>
        <w:t xml:space="preserve">and child mortality have been slower than for </w:t>
      </w:r>
      <w:r w:rsidR="4B13924A" w:rsidRPr="0C78F9E2">
        <w:rPr>
          <w:rFonts w:asciiTheme="majorHAnsi" w:hAnsiTheme="majorHAnsi" w:cstheme="majorBidi"/>
          <w:b/>
          <w:bCs/>
          <w:color w:val="000000" w:themeColor="text1"/>
        </w:rPr>
        <w:t xml:space="preserve">PNG’s </w:t>
      </w:r>
      <w:r w:rsidRPr="0C78F9E2">
        <w:rPr>
          <w:rFonts w:asciiTheme="majorHAnsi" w:hAnsiTheme="majorHAnsi" w:cstheme="majorBidi"/>
          <w:b/>
          <w:bCs/>
          <w:color w:val="000000" w:themeColor="text1"/>
        </w:rPr>
        <w:t xml:space="preserve">economic and regional peers and the country continues to face pressing health challenges. </w:t>
      </w:r>
      <w:r w:rsidR="33C61154" w:rsidRPr="0C78F9E2">
        <w:rPr>
          <w:rFonts w:asciiTheme="majorHAnsi" w:eastAsiaTheme="majorEastAsia" w:hAnsiTheme="majorHAnsi" w:cstheme="majorBidi"/>
          <w:color w:val="auto"/>
        </w:rPr>
        <w:t>PNG has the lowest universal health coverage (UHC) service index in the region and the third lowest in the world</w:t>
      </w:r>
      <w:r w:rsidR="4B9DCBE1" w:rsidRPr="0C78F9E2">
        <w:rPr>
          <w:rFonts w:asciiTheme="majorHAnsi" w:eastAsiaTheme="majorEastAsia" w:hAnsiTheme="majorHAnsi" w:cstheme="majorBidi"/>
          <w:color w:val="auto"/>
        </w:rPr>
        <w:t xml:space="preserve">. </w:t>
      </w:r>
      <w:r w:rsidR="029D2F71" w:rsidRPr="0C78F9E2">
        <w:rPr>
          <w:rFonts w:asciiTheme="majorHAnsi" w:eastAsiaTheme="majorEastAsia" w:hAnsiTheme="majorHAnsi" w:cstheme="majorBidi"/>
          <w:color w:val="auto"/>
        </w:rPr>
        <w:t>While there have been improvements in maternal mortality, the estimated 189 maternal deaths per 100,000 live births in 2023</w:t>
      </w:r>
      <w:r w:rsidR="00512C31" w:rsidRPr="0C78F9E2">
        <w:rPr>
          <w:rFonts w:asciiTheme="majorHAnsi" w:eastAsiaTheme="majorEastAsia" w:hAnsiTheme="majorHAnsi" w:cstheme="majorBidi"/>
          <w:color w:val="auto"/>
          <w:vertAlign w:val="superscript"/>
        </w:rPr>
        <w:footnoteReference w:id="7"/>
      </w:r>
      <w:r w:rsidR="029D2F71" w:rsidRPr="0C78F9E2">
        <w:rPr>
          <w:rFonts w:asciiTheme="majorHAnsi" w:eastAsiaTheme="majorEastAsia" w:hAnsiTheme="majorHAnsi" w:cstheme="majorBidi"/>
          <w:color w:val="auto"/>
        </w:rPr>
        <w:t xml:space="preserve">, remains the highest rate in the region and far above the Sustainable Development Goals target. Under-five mortality </w:t>
      </w:r>
      <w:r w:rsidR="0D789505" w:rsidRPr="0C78F9E2">
        <w:rPr>
          <w:rFonts w:asciiTheme="majorHAnsi" w:eastAsiaTheme="majorEastAsia" w:hAnsiTheme="majorHAnsi" w:cstheme="majorBidi"/>
          <w:color w:val="auto"/>
        </w:rPr>
        <w:t xml:space="preserve">also </w:t>
      </w:r>
      <w:r w:rsidR="029D2F71" w:rsidRPr="0C78F9E2">
        <w:rPr>
          <w:rFonts w:asciiTheme="majorHAnsi" w:eastAsiaTheme="majorEastAsia" w:hAnsiTheme="majorHAnsi" w:cstheme="majorBidi"/>
          <w:color w:val="auto"/>
        </w:rPr>
        <w:t>remains the highest rate in the region</w:t>
      </w:r>
      <w:r w:rsidR="00512C31" w:rsidRPr="0C78F9E2">
        <w:rPr>
          <w:rFonts w:asciiTheme="majorHAnsi" w:eastAsiaTheme="majorEastAsia" w:hAnsiTheme="majorHAnsi" w:cstheme="majorBidi"/>
          <w:color w:val="auto"/>
          <w:vertAlign w:val="superscript"/>
        </w:rPr>
        <w:footnoteReference w:id="8"/>
      </w:r>
      <w:r w:rsidR="029D2F71" w:rsidRPr="0C78F9E2">
        <w:rPr>
          <w:rFonts w:asciiTheme="majorHAnsi" w:eastAsiaTheme="majorEastAsia" w:hAnsiTheme="majorHAnsi" w:cstheme="majorBidi"/>
          <w:color w:val="auto"/>
        </w:rPr>
        <w:t xml:space="preserve"> and is declining at a slower pace than other lower-middle income countries</w:t>
      </w:r>
      <w:r w:rsidR="79E45526" w:rsidRPr="0C78F9E2">
        <w:rPr>
          <w:rFonts w:asciiTheme="majorHAnsi" w:eastAsiaTheme="majorEastAsia" w:hAnsiTheme="majorHAnsi" w:cstheme="majorBidi"/>
          <w:color w:val="auto"/>
        </w:rPr>
        <w:t>.</w:t>
      </w:r>
      <w:r w:rsidR="50C5099A" w:rsidRPr="0C78F9E2">
        <w:rPr>
          <w:rFonts w:asciiTheme="majorHAnsi" w:eastAsiaTheme="majorEastAsia" w:hAnsiTheme="majorHAnsi" w:cstheme="majorBidi"/>
          <w:color w:val="auto"/>
        </w:rPr>
        <w:t xml:space="preserve"> </w:t>
      </w:r>
      <w:r w:rsidR="398619AF" w:rsidRPr="0C78F9E2">
        <w:rPr>
          <w:rFonts w:asciiTheme="majorHAnsi" w:eastAsiaTheme="majorEastAsia" w:hAnsiTheme="majorHAnsi" w:cstheme="majorBidi"/>
          <w:color w:val="auto"/>
        </w:rPr>
        <w:t xml:space="preserve">The </w:t>
      </w:r>
      <w:r w:rsidR="7639809E" w:rsidRPr="0C78F9E2">
        <w:rPr>
          <w:rFonts w:asciiTheme="majorHAnsi" w:eastAsiaTheme="majorEastAsia" w:hAnsiTheme="majorHAnsi" w:cstheme="majorBidi"/>
          <w:color w:val="auto"/>
        </w:rPr>
        <w:t xml:space="preserve">burden of </w:t>
      </w:r>
      <w:r w:rsidR="18C26A94" w:rsidRPr="0C78F9E2">
        <w:rPr>
          <w:rFonts w:asciiTheme="majorHAnsi" w:eastAsiaTheme="majorEastAsia" w:hAnsiTheme="majorHAnsi" w:cstheme="majorBidi"/>
          <w:color w:val="auto"/>
        </w:rPr>
        <w:t>infectious disease (including multi-</w:t>
      </w:r>
      <w:r w:rsidR="582AF4AB" w:rsidRPr="0C78F9E2">
        <w:rPr>
          <w:rFonts w:asciiTheme="majorHAnsi" w:eastAsiaTheme="majorEastAsia" w:hAnsiTheme="majorHAnsi" w:cstheme="majorBidi"/>
          <w:color w:val="auto"/>
        </w:rPr>
        <w:t>drug-resistant</w:t>
      </w:r>
      <w:r w:rsidR="18C26A94" w:rsidRPr="0C78F9E2">
        <w:rPr>
          <w:rFonts w:asciiTheme="majorHAnsi" w:eastAsiaTheme="majorEastAsia" w:hAnsiTheme="majorHAnsi" w:cstheme="majorBidi"/>
          <w:color w:val="auto"/>
        </w:rPr>
        <w:t xml:space="preserve"> tuberculosis, and a declared ‘HIV emergency’), </w:t>
      </w:r>
      <w:r w:rsidR="09273D72" w:rsidRPr="0C78F9E2">
        <w:rPr>
          <w:rFonts w:asciiTheme="majorHAnsi" w:eastAsiaTheme="majorEastAsia" w:hAnsiTheme="majorHAnsi" w:cstheme="majorBidi"/>
          <w:color w:val="auto"/>
        </w:rPr>
        <w:t>non-communicable diseases (</w:t>
      </w:r>
      <w:r w:rsidR="2FB074AC" w:rsidRPr="0C78F9E2">
        <w:rPr>
          <w:rFonts w:asciiTheme="majorHAnsi" w:eastAsiaTheme="majorEastAsia" w:hAnsiTheme="majorHAnsi" w:cstheme="majorBidi"/>
          <w:color w:val="auto"/>
        </w:rPr>
        <w:t>NCDs</w:t>
      </w:r>
      <w:r w:rsidR="09273D72" w:rsidRPr="0C78F9E2">
        <w:rPr>
          <w:rFonts w:asciiTheme="majorHAnsi" w:eastAsiaTheme="majorEastAsia" w:hAnsiTheme="majorHAnsi" w:cstheme="majorBidi"/>
          <w:color w:val="auto"/>
        </w:rPr>
        <w:t>)</w:t>
      </w:r>
      <w:r w:rsidR="18C26A94" w:rsidRPr="0C78F9E2">
        <w:rPr>
          <w:rFonts w:asciiTheme="majorHAnsi" w:eastAsiaTheme="majorEastAsia" w:hAnsiTheme="majorHAnsi" w:cstheme="majorBidi"/>
          <w:color w:val="auto"/>
        </w:rPr>
        <w:t xml:space="preserve"> and injuries</w:t>
      </w:r>
      <w:r w:rsidR="582AF4AB" w:rsidRPr="0C78F9E2">
        <w:rPr>
          <w:rFonts w:asciiTheme="majorHAnsi" w:eastAsiaTheme="majorEastAsia" w:hAnsiTheme="majorHAnsi" w:cstheme="majorBidi"/>
          <w:color w:val="auto"/>
        </w:rPr>
        <w:t>,</w:t>
      </w:r>
      <w:r w:rsidR="765D18C3" w:rsidRPr="0C78F9E2">
        <w:rPr>
          <w:rFonts w:asciiTheme="majorHAnsi" w:eastAsiaTheme="majorEastAsia" w:hAnsiTheme="majorHAnsi" w:cstheme="majorBidi"/>
          <w:color w:val="auto"/>
        </w:rPr>
        <w:t xml:space="preserve"> continue to grow, pos</w:t>
      </w:r>
      <w:r w:rsidR="582AF4AB" w:rsidRPr="0C78F9E2">
        <w:rPr>
          <w:rFonts w:asciiTheme="majorHAnsi" w:eastAsiaTheme="majorEastAsia" w:hAnsiTheme="majorHAnsi" w:cstheme="majorBidi"/>
          <w:color w:val="auto"/>
        </w:rPr>
        <w:t>ing</w:t>
      </w:r>
      <w:r w:rsidR="3B538B69" w:rsidRPr="0C78F9E2">
        <w:rPr>
          <w:rFonts w:asciiTheme="majorHAnsi" w:eastAsiaTheme="majorEastAsia" w:hAnsiTheme="majorHAnsi" w:cstheme="majorBidi"/>
          <w:color w:val="auto"/>
        </w:rPr>
        <w:t xml:space="preserve"> a significant challenge to the health systems. </w:t>
      </w:r>
      <w:r w:rsidR="0D8E247C" w:rsidRPr="0C78F9E2">
        <w:rPr>
          <w:rFonts w:asciiTheme="majorHAnsi" w:eastAsiaTheme="majorEastAsia" w:hAnsiTheme="majorHAnsi" w:cstheme="majorBidi"/>
          <w:color w:val="auto"/>
        </w:rPr>
        <w:t xml:space="preserve">Current and projected climate change hazards will impact negatively on disease trends and pose extra challenges for </w:t>
      </w:r>
      <w:r w:rsidR="5193874B" w:rsidRPr="0C78F9E2">
        <w:rPr>
          <w:rFonts w:asciiTheme="majorHAnsi" w:eastAsiaTheme="majorEastAsia" w:hAnsiTheme="majorHAnsi" w:cstheme="majorBidi"/>
          <w:color w:val="auto"/>
        </w:rPr>
        <w:t>the</w:t>
      </w:r>
      <w:r w:rsidR="0D8E247C" w:rsidRPr="0C78F9E2">
        <w:rPr>
          <w:rFonts w:asciiTheme="majorHAnsi" w:eastAsiaTheme="majorEastAsia" w:hAnsiTheme="majorHAnsi" w:cstheme="majorBidi"/>
          <w:color w:val="auto"/>
        </w:rPr>
        <w:t xml:space="preserve"> fragile health system</w:t>
      </w:r>
      <w:r w:rsidR="23A2733D" w:rsidRPr="0C78F9E2">
        <w:rPr>
          <w:rFonts w:asciiTheme="majorHAnsi" w:eastAsiaTheme="majorEastAsia" w:hAnsiTheme="majorHAnsi" w:cstheme="majorBidi"/>
          <w:color w:val="auto"/>
        </w:rPr>
        <w:t xml:space="preserve"> </w:t>
      </w:r>
      <w:r w:rsidR="1CDE4E94" w:rsidRPr="0C78F9E2">
        <w:rPr>
          <w:rFonts w:asciiTheme="majorHAnsi" w:eastAsiaTheme="majorEastAsia" w:hAnsiTheme="majorHAnsi" w:cstheme="majorBidi"/>
          <w:color w:val="auto"/>
        </w:rPr>
        <w:t>as it must</w:t>
      </w:r>
      <w:r w:rsidR="38D9DA11" w:rsidRPr="0C78F9E2">
        <w:rPr>
          <w:rFonts w:asciiTheme="majorHAnsi" w:eastAsiaTheme="majorEastAsia" w:hAnsiTheme="majorHAnsi" w:cstheme="majorBidi"/>
          <w:color w:val="auto"/>
        </w:rPr>
        <w:t xml:space="preserve"> also respon</w:t>
      </w:r>
      <w:r w:rsidR="0C29B30F" w:rsidRPr="0C78F9E2">
        <w:rPr>
          <w:rFonts w:asciiTheme="majorHAnsi" w:eastAsiaTheme="majorEastAsia" w:hAnsiTheme="majorHAnsi" w:cstheme="majorBidi"/>
          <w:color w:val="auto"/>
        </w:rPr>
        <w:t>d</w:t>
      </w:r>
      <w:r w:rsidR="38D9DA11" w:rsidRPr="0C78F9E2">
        <w:rPr>
          <w:rFonts w:asciiTheme="majorHAnsi" w:eastAsiaTheme="majorEastAsia" w:hAnsiTheme="majorHAnsi" w:cstheme="majorBidi"/>
          <w:color w:val="auto"/>
        </w:rPr>
        <w:t xml:space="preserve"> to</w:t>
      </w:r>
      <w:r w:rsidR="0B8892A8" w:rsidRPr="0C78F9E2">
        <w:rPr>
          <w:rFonts w:asciiTheme="majorHAnsi" w:eastAsiaTheme="majorEastAsia" w:hAnsiTheme="majorHAnsi" w:cstheme="majorBidi"/>
          <w:color w:val="auto"/>
        </w:rPr>
        <w:t xml:space="preserve"> both slow-onset climate stressors and acute climate shocks</w:t>
      </w:r>
      <w:r w:rsidR="70B32ED6" w:rsidRPr="0C78F9E2">
        <w:rPr>
          <w:rFonts w:asciiTheme="majorHAnsi" w:eastAsiaTheme="majorEastAsia" w:hAnsiTheme="majorHAnsi" w:cstheme="majorBidi"/>
          <w:color w:val="auto"/>
        </w:rPr>
        <w:t xml:space="preserve">. This includes </w:t>
      </w:r>
      <w:r w:rsidR="0B8892A8" w:rsidRPr="0C78F9E2">
        <w:rPr>
          <w:rFonts w:asciiTheme="majorHAnsi" w:eastAsiaTheme="majorEastAsia" w:hAnsiTheme="majorHAnsi" w:cstheme="majorBidi"/>
          <w:color w:val="auto"/>
        </w:rPr>
        <w:t>floods, storms, and sea-level rise, which</w:t>
      </w:r>
      <w:r w:rsidR="70B32ED6" w:rsidRPr="0C78F9E2">
        <w:rPr>
          <w:rFonts w:asciiTheme="majorHAnsi" w:eastAsiaTheme="majorEastAsia" w:hAnsiTheme="majorHAnsi" w:cstheme="majorBidi"/>
          <w:color w:val="auto"/>
        </w:rPr>
        <w:t xml:space="preserve"> all</w:t>
      </w:r>
      <w:r w:rsidR="0B8892A8" w:rsidRPr="0C78F9E2">
        <w:rPr>
          <w:rFonts w:asciiTheme="majorHAnsi" w:eastAsiaTheme="majorEastAsia" w:hAnsiTheme="majorHAnsi" w:cstheme="majorBidi"/>
          <w:color w:val="auto"/>
        </w:rPr>
        <w:t xml:space="preserve"> disrupt service continuity and damage health facilities and other critical infrastructure</w:t>
      </w:r>
      <w:r w:rsidR="0D8E247C" w:rsidRPr="0C78F9E2">
        <w:rPr>
          <w:rFonts w:asciiTheme="majorHAnsi" w:eastAsiaTheme="majorEastAsia" w:hAnsiTheme="majorHAnsi" w:cstheme="majorBidi"/>
          <w:color w:val="auto"/>
        </w:rPr>
        <w:t>.</w:t>
      </w:r>
      <w:r w:rsidR="6258FA02" w:rsidRPr="0C78F9E2">
        <w:rPr>
          <w:rFonts w:asciiTheme="majorHAnsi" w:eastAsiaTheme="majorEastAsia" w:hAnsiTheme="majorHAnsi" w:cstheme="majorBidi"/>
          <w:color w:val="auto"/>
        </w:rPr>
        <w:t xml:space="preserve"> </w:t>
      </w:r>
    </w:p>
    <w:p w14:paraId="7C14D978" w14:textId="2821D7AA" w:rsidR="00527753" w:rsidRPr="00465F91" w:rsidRDefault="00527753" w:rsidP="006E2FD7">
      <w:pPr>
        <w:spacing w:after="120" w:line="260" w:lineRule="exact"/>
        <w:rPr>
          <w:rFonts w:asciiTheme="majorHAnsi" w:eastAsiaTheme="majorEastAsia" w:hAnsiTheme="majorHAnsi" w:cstheme="majorBidi"/>
          <w:color w:val="auto"/>
        </w:rPr>
      </w:pPr>
      <w:r w:rsidRPr="006E2FD7">
        <w:rPr>
          <w:rFonts w:asciiTheme="majorHAnsi" w:eastAsiaTheme="majorEastAsia" w:hAnsiTheme="majorHAnsi" w:cstheme="majorBidi"/>
          <w:b/>
          <w:bCs/>
          <w:color w:val="auto"/>
        </w:rPr>
        <w:t>Underpinning PNG’s poor health outcomes and service delivery performance is a weak health system.</w:t>
      </w:r>
      <w:r w:rsidRPr="006E2FD7">
        <w:rPr>
          <w:rFonts w:asciiTheme="majorHAnsi" w:eastAsiaTheme="majorEastAsia" w:hAnsiTheme="majorHAnsi" w:cstheme="majorBidi"/>
          <w:color w:val="auto"/>
        </w:rPr>
        <w:t xml:space="preserve"> The health sector is highly fragmented, with significant capacity and resourcing constraints in the National Department of Health (NDoH), 22 underfunded Provincial Health Authorities (PHAs), and church-run health facilities that account for nearly half of all services outside of urban areas. The health system lacks the necessary funding and workforce required to deliver basic health services and is not making the most effective, efficient, or equitable use of the workforce and funding it does have. Essential </w:t>
      </w:r>
      <w:r w:rsidR="00E127DD">
        <w:rPr>
          <w:rFonts w:asciiTheme="majorHAnsi" w:eastAsiaTheme="majorEastAsia" w:hAnsiTheme="majorHAnsi" w:cstheme="majorBidi"/>
          <w:color w:val="auto"/>
        </w:rPr>
        <w:t>medicines</w:t>
      </w:r>
      <w:r w:rsidRPr="00465F91">
        <w:rPr>
          <w:rFonts w:asciiTheme="majorHAnsi" w:eastAsiaTheme="majorEastAsia" w:hAnsiTheme="majorHAnsi" w:cstheme="majorBidi"/>
          <w:color w:val="auto"/>
        </w:rPr>
        <w:t xml:space="preserve"> and equipment are routinely unavailable and health infrastructure works are not keeping pace with rates of deterioration. </w:t>
      </w:r>
      <w:r w:rsidR="00191016" w:rsidRPr="00465F91">
        <w:rPr>
          <w:rFonts w:asciiTheme="majorHAnsi" w:eastAsiaTheme="majorEastAsia" w:hAnsiTheme="majorHAnsi" w:cstheme="majorBidi"/>
          <w:color w:val="auto"/>
        </w:rPr>
        <w:t xml:space="preserve">Public financial management </w:t>
      </w:r>
      <w:r w:rsidR="006A252E">
        <w:rPr>
          <w:rFonts w:asciiTheme="majorHAnsi" w:eastAsiaTheme="majorEastAsia" w:hAnsiTheme="majorHAnsi" w:cstheme="majorBidi"/>
          <w:color w:val="auto"/>
        </w:rPr>
        <w:t xml:space="preserve">(PFM) </w:t>
      </w:r>
      <w:r w:rsidR="00191016" w:rsidRPr="00465F91">
        <w:rPr>
          <w:rFonts w:asciiTheme="majorHAnsi" w:eastAsiaTheme="majorEastAsia" w:hAnsiTheme="majorHAnsi" w:cstheme="majorBidi"/>
          <w:color w:val="auto"/>
        </w:rPr>
        <w:t>capacity is low, impacting funding flow</w:t>
      </w:r>
      <w:r w:rsidR="001F604D" w:rsidRPr="00465F91">
        <w:rPr>
          <w:rFonts w:asciiTheme="majorHAnsi" w:eastAsiaTheme="majorEastAsia" w:hAnsiTheme="majorHAnsi" w:cstheme="majorBidi"/>
          <w:color w:val="auto"/>
        </w:rPr>
        <w:t xml:space="preserve">s, planning, budgeting, and service continuity. </w:t>
      </w:r>
      <w:r w:rsidRPr="00465F91">
        <w:rPr>
          <w:rFonts w:asciiTheme="majorHAnsi" w:eastAsiaTheme="majorEastAsia" w:hAnsiTheme="majorHAnsi" w:cstheme="majorBidi"/>
          <w:color w:val="auto"/>
        </w:rPr>
        <w:t xml:space="preserve">As a result, PNG Government and donor funding for </w:t>
      </w:r>
      <w:r w:rsidR="004D75A1">
        <w:rPr>
          <w:rFonts w:asciiTheme="majorHAnsi" w:eastAsiaTheme="majorEastAsia" w:hAnsiTheme="majorHAnsi" w:cstheme="majorBidi"/>
          <w:color w:val="auto"/>
        </w:rPr>
        <w:t xml:space="preserve">health </w:t>
      </w:r>
      <w:r w:rsidRPr="00465F91">
        <w:rPr>
          <w:rFonts w:asciiTheme="majorHAnsi" w:eastAsiaTheme="majorEastAsia" w:hAnsiTheme="majorHAnsi" w:cstheme="majorBidi"/>
          <w:color w:val="auto"/>
        </w:rPr>
        <w:t>has not translated into expected levels of service coverage</w:t>
      </w:r>
      <w:r w:rsidR="00820BED">
        <w:rPr>
          <w:rFonts w:asciiTheme="majorHAnsi" w:eastAsiaTheme="majorEastAsia" w:hAnsiTheme="majorHAnsi" w:cstheme="majorBidi"/>
          <w:color w:val="auto"/>
        </w:rPr>
        <w:t xml:space="preserve"> (s</w:t>
      </w:r>
      <w:r w:rsidR="00C42FA6">
        <w:rPr>
          <w:rFonts w:asciiTheme="majorHAnsi" w:eastAsiaTheme="majorEastAsia" w:hAnsiTheme="majorHAnsi" w:cstheme="majorBidi"/>
          <w:color w:val="auto"/>
        </w:rPr>
        <w:t xml:space="preserve">ee </w:t>
      </w:r>
      <w:r w:rsidR="00C42FA6" w:rsidRPr="00F723C3">
        <w:rPr>
          <w:rFonts w:asciiTheme="majorHAnsi" w:eastAsiaTheme="majorEastAsia" w:hAnsiTheme="majorHAnsi" w:cstheme="majorBidi"/>
          <w:i/>
          <w:iCs/>
          <w:color w:val="auto"/>
        </w:rPr>
        <w:t>Annex 1</w:t>
      </w:r>
      <w:r w:rsidR="007F7BF0">
        <w:rPr>
          <w:rFonts w:asciiTheme="majorHAnsi" w:eastAsiaTheme="majorEastAsia" w:hAnsiTheme="majorHAnsi" w:cstheme="majorBidi"/>
          <w:color w:val="auto"/>
        </w:rPr>
        <w:t xml:space="preserve"> for f</w:t>
      </w:r>
      <w:r w:rsidRPr="00465F91">
        <w:rPr>
          <w:rFonts w:asciiTheme="majorHAnsi" w:eastAsiaTheme="majorEastAsia" w:hAnsiTheme="majorHAnsi" w:cstheme="majorBidi"/>
          <w:color w:val="auto"/>
        </w:rPr>
        <w:t xml:space="preserve">urther detail </w:t>
      </w:r>
      <w:r w:rsidR="00820BED">
        <w:rPr>
          <w:rFonts w:asciiTheme="majorHAnsi" w:eastAsiaTheme="majorEastAsia" w:hAnsiTheme="majorHAnsi" w:cstheme="majorBidi"/>
          <w:color w:val="auto"/>
        </w:rPr>
        <w:t xml:space="preserve">system challenges and </w:t>
      </w:r>
      <w:r w:rsidRPr="00465F91">
        <w:rPr>
          <w:rFonts w:asciiTheme="majorHAnsi" w:eastAsiaTheme="majorEastAsia" w:hAnsiTheme="majorHAnsi" w:cstheme="majorBidi"/>
          <w:color w:val="auto"/>
        </w:rPr>
        <w:t>health indicators</w:t>
      </w:r>
      <w:r w:rsidR="00820BED">
        <w:rPr>
          <w:rFonts w:asciiTheme="majorHAnsi" w:eastAsiaTheme="majorEastAsia" w:hAnsiTheme="majorHAnsi" w:cstheme="majorBidi"/>
          <w:color w:val="auto"/>
        </w:rPr>
        <w:t>)</w:t>
      </w:r>
      <w:r w:rsidRPr="00465F91">
        <w:rPr>
          <w:rFonts w:asciiTheme="majorHAnsi" w:eastAsiaTheme="majorEastAsia" w:hAnsiTheme="majorHAnsi" w:cstheme="majorBidi"/>
          <w:color w:val="auto"/>
        </w:rPr>
        <w:t>. </w:t>
      </w:r>
      <w:r w:rsidR="001F604D" w:rsidRPr="00465F91">
        <w:rPr>
          <w:rFonts w:asciiTheme="majorHAnsi" w:eastAsiaTheme="majorEastAsia" w:hAnsiTheme="majorHAnsi" w:cstheme="majorBidi"/>
          <w:color w:val="auto"/>
        </w:rPr>
        <w:t>The development problem is not only the growing gap between increasing health needs and the health system’s ability to deliver integrated, equitable primary health care</w:t>
      </w:r>
      <w:r w:rsidR="00AE71D9">
        <w:rPr>
          <w:rFonts w:asciiTheme="majorHAnsi" w:eastAsiaTheme="majorEastAsia" w:hAnsiTheme="majorHAnsi" w:cstheme="majorBidi"/>
          <w:color w:val="auto"/>
        </w:rPr>
        <w:t xml:space="preserve"> (PHC)</w:t>
      </w:r>
      <w:r w:rsidR="00C72F28">
        <w:rPr>
          <w:rFonts w:asciiTheme="majorHAnsi" w:eastAsiaTheme="majorEastAsia" w:hAnsiTheme="majorHAnsi" w:cstheme="majorBidi"/>
          <w:color w:val="auto"/>
        </w:rPr>
        <w:t>,</w:t>
      </w:r>
      <w:r w:rsidR="001F604D" w:rsidRPr="00465F91">
        <w:rPr>
          <w:rFonts w:asciiTheme="majorHAnsi" w:eastAsiaTheme="majorEastAsia" w:hAnsiTheme="majorHAnsi" w:cstheme="majorBidi"/>
          <w:color w:val="auto"/>
        </w:rPr>
        <w:t xml:space="preserve"> but </w:t>
      </w:r>
      <w:r w:rsidR="00C72F28">
        <w:rPr>
          <w:rFonts w:asciiTheme="majorHAnsi" w:eastAsiaTheme="majorEastAsia" w:hAnsiTheme="majorHAnsi" w:cstheme="majorBidi"/>
          <w:color w:val="auto"/>
        </w:rPr>
        <w:t xml:space="preserve">also </w:t>
      </w:r>
      <w:r w:rsidR="001F604D" w:rsidRPr="00465F91">
        <w:rPr>
          <w:rFonts w:asciiTheme="majorHAnsi" w:eastAsiaTheme="majorEastAsia" w:hAnsiTheme="majorHAnsi" w:cstheme="majorBidi"/>
          <w:color w:val="auto"/>
        </w:rPr>
        <w:t xml:space="preserve">of </w:t>
      </w:r>
      <w:r w:rsidR="001F604D" w:rsidRPr="00465F91">
        <w:rPr>
          <w:rFonts w:asciiTheme="majorHAnsi" w:eastAsiaTheme="majorEastAsia" w:hAnsiTheme="majorHAnsi" w:cstheme="majorBidi"/>
          <w:b/>
          <w:bCs/>
          <w:color w:val="auto"/>
        </w:rPr>
        <w:t xml:space="preserve">weak national stewardship, workforce governance, partner coordination, and institutional capacity </w:t>
      </w:r>
      <w:r w:rsidR="001F604D" w:rsidRPr="00465F91">
        <w:rPr>
          <w:rFonts w:asciiTheme="majorHAnsi" w:eastAsiaTheme="majorEastAsia" w:hAnsiTheme="majorHAnsi" w:cstheme="majorBidi"/>
          <w:b/>
          <w:bCs/>
          <w:color w:val="auto"/>
        </w:rPr>
        <w:lastRenderedPageBreak/>
        <w:t>limitations</w:t>
      </w:r>
      <w:r w:rsidR="00F865DD">
        <w:rPr>
          <w:rFonts w:asciiTheme="majorHAnsi" w:eastAsiaTheme="majorEastAsia" w:hAnsiTheme="majorHAnsi" w:cstheme="majorBidi"/>
          <w:color w:val="auto"/>
        </w:rPr>
        <w:t>.</w:t>
      </w:r>
      <w:r w:rsidR="001F604D" w:rsidRPr="00465F91">
        <w:rPr>
          <w:rFonts w:asciiTheme="majorHAnsi" w:eastAsiaTheme="majorEastAsia" w:hAnsiTheme="majorHAnsi" w:cstheme="majorBidi"/>
          <w:color w:val="auto"/>
        </w:rPr>
        <w:t xml:space="preserve"> </w:t>
      </w:r>
      <w:r w:rsidR="00F865DD">
        <w:rPr>
          <w:rFonts w:asciiTheme="majorHAnsi" w:eastAsiaTheme="majorEastAsia" w:hAnsiTheme="majorHAnsi" w:cstheme="majorBidi"/>
          <w:color w:val="auto"/>
        </w:rPr>
        <w:t xml:space="preserve">This </w:t>
      </w:r>
      <w:r w:rsidR="001F604D" w:rsidRPr="00465F91">
        <w:rPr>
          <w:rFonts w:asciiTheme="majorHAnsi" w:eastAsiaTheme="majorEastAsia" w:hAnsiTheme="majorHAnsi" w:cstheme="majorBidi"/>
          <w:color w:val="auto"/>
        </w:rPr>
        <w:t>requir</w:t>
      </w:r>
      <w:r w:rsidR="00F865DD">
        <w:rPr>
          <w:rFonts w:asciiTheme="majorHAnsi" w:eastAsiaTheme="majorEastAsia" w:hAnsiTheme="majorHAnsi" w:cstheme="majorBidi"/>
          <w:color w:val="auto"/>
        </w:rPr>
        <w:t xml:space="preserve">es </w:t>
      </w:r>
      <w:r w:rsidR="001F604D" w:rsidRPr="00B554BC">
        <w:rPr>
          <w:rFonts w:asciiTheme="majorHAnsi" w:eastAsiaTheme="majorEastAsia" w:hAnsiTheme="majorHAnsi" w:cstheme="majorBidi"/>
          <w:color w:val="auto"/>
        </w:rPr>
        <w:t>national enabling functions that support subnational delivery, coordinated partnerships, stronger use of evidence</w:t>
      </w:r>
      <w:r w:rsidR="00115455">
        <w:rPr>
          <w:rFonts w:asciiTheme="majorHAnsi" w:eastAsiaTheme="majorEastAsia" w:hAnsiTheme="majorHAnsi" w:cstheme="majorBidi"/>
          <w:color w:val="auto"/>
        </w:rPr>
        <w:t>,</w:t>
      </w:r>
      <w:r w:rsidR="001F604D" w:rsidRPr="00B554BC">
        <w:rPr>
          <w:rFonts w:asciiTheme="majorHAnsi" w:eastAsiaTheme="majorEastAsia" w:hAnsiTheme="majorHAnsi" w:cstheme="majorBidi"/>
          <w:color w:val="auto"/>
        </w:rPr>
        <w:t xml:space="preserve"> and deliberate action</w:t>
      </w:r>
      <w:r w:rsidR="001F604D">
        <w:rPr>
          <w:rFonts w:asciiTheme="majorHAnsi" w:eastAsiaTheme="majorEastAsia" w:hAnsiTheme="majorHAnsi" w:cstheme="majorBidi"/>
          <w:color w:val="auto"/>
        </w:rPr>
        <w:t xml:space="preserve"> to support service delivery.</w:t>
      </w:r>
    </w:p>
    <w:p w14:paraId="4304C13E" w14:textId="394EB6DD" w:rsidR="00F22BB3" w:rsidRPr="00926338" w:rsidRDefault="00EB3D81" w:rsidP="00465F91">
      <w:pPr>
        <w:spacing w:after="120" w:line="260" w:lineRule="exact"/>
        <w:rPr>
          <w:rFonts w:asciiTheme="majorHAnsi" w:hAnsiTheme="majorHAnsi" w:cstheme="majorBidi"/>
          <w:color w:val="000000" w:themeColor="text1"/>
        </w:rPr>
      </w:pPr>
      <w:r w:rsidRPr="00F22BB3">
        <w:rPr>
          <w:rFonts w:asciiTheme="majorHAnsi" w:eastAsiaTheme="majorEastAsia" w:hAnsiTheme="majorHAnsi" w:cstheme="majorBidi"/>
          <w:color w:val="auto"/>
        </w:rPr>
        <w:t xml:space="preserve">Lessons from Australia’s past </w:t>
      </w:r>
      <w:r w:rsidRPr="00F723C3">
        <w:rPr>
          <w:rFonts w:asciiTheme="majorHAnsi" w:eastAsiaTheme="majorEastAsia" w:hAnsiTheme="majorHAnsi" w:cstheme="majorBidi"/>
          <w:color w:val="auto"/>
        </w:rPr>
        <w:t xml:space="preserve">investments </w:t>
      </w:r>
      <w:r w:rsidR="00B939E9" w:rsidRPr="00F723C3">
        <w:rPr>
          <w:rFonts w:asciiTheme="majorHAnsi" w:eastAsiaTheme="majorEastAsia" w:hAnsiTheme="majorHAnsi" w:cstheme="majorBidi"/>
          <w:color w:val="auto"/>
        </w:rPr>
        <w:t xml:space="preserve">(see </w:t>
      </w:r>
      <w:r w:rsidR="00B939E9" w:rsidRPr="00F723C3">
        <w:rPr>
          <w:rFonts w:asciiTheme="majorHAnsi" w:eastAsiaTheme="majorEastAsia" w:hAnsiTheme="majorHAnsi" w:cstheme="majorBidi"/>
          <w:i/>
          <w:iCs/>
          <w:color w:val="auto"/>
        </w:rPr>
        <w:t xml:space="preserve">Annex </w:t>
      </w:r>
      <w:r w:rsidR="00CC7F3F" w:rsidRPr="00F723C3">
        <w:rPr>
          <w:rFonts w:asciiTheme="majorHAnsi" w:eastAsiaTheme="majorEastAsia" w:hAnsiTheme="majorHAnsi" w:cstheme="majorBidi"/>
          <w:i/>
          <w:iCs/>
          <w:color w:val="auto"/>
        </w:rPr>
        <w:t>2</w:t>
      </w:r>
      <w:r w:rsidR="00B939E9" w:rsidRPr="00F723C3">
        <w:rPr>
          <w:rFonts w:asciiTheme="majorHAnsi" w:eastAsiaTheme="majorEastAsia" w:hAnsiTheme="majorHAnsi" w:cstheme="majorBidi"/>
          <w:color w:val="auto"/>
        </w:rPr>
        <w:t xml:space="preserve">) </w:t>
      </w:r>
      <w:r w:rsidRPr="00F723C3">
        <w:rPr>
          <w:rFonts w:asciiTheme="majorHAnsi" w:eastAsiaTheme="majorEastAsia" w:hAnsiTheme="majorHAnsi" w:cstheme="majorBidi"/>
          <w:color w:val="auto"/>
        </w:rPr>
        <w:t>and</w:t>
      </w:r>
      <w:r w:rsidRPr="00F22BB3">
        <w:rPr>
          <w:rFonts w:asciiTheme="majorHAnsi" w:eastAsiaTheme="majorEastAsia" w:hAnsiTheme="majorHAnsi" w:cstheme="majorBidi"/>
          <w:color w:val="auto"/>
        </w:rPr>
        <w:t xml:space="preserve"> wider partner experience show that service delivery support alone is not sufficient</w:t>
      </w:r>
      <w:r w:rsidR="0005755D">
        <w:rPr>
          <w:rFonts w:asciiTheme="majorHAnsi" w:eastAsiaTheme="majorEastAsia" w:hAnsiTheme="majorHAnsi" w:cstheme="majorBidi"/>
          <w:color w:val="auto"/>
        </w:rPr>
        <w:t xml:space="preserve"> in addressing these challenges</w:t>
      </w:r>
      <w:r w:rsidRPr="00F22BB3">
        <w:rPr>
          <w:rFonts w:asciiTheme="majorHAnsi" w:eastAsiaTheme="majorEastAsia" w:hAnsiTheme="majorHAnsi" w:cstheme="majorBidi"/>
          <w:color w:val="auto"/>
        </w:rPr>
        <w:t xml:space="preserve">. </w:t>
      </w:r>
      <w:r w:rsidRPr="00F22BB3">
        <w:rPr>
          <w:rFonts w:asciiTheme="majorHAnsi" w:eastAsiaTheme="majorEastAsia" w:hAnsiTheme="majorHAnsi" w:cstheme="majorBidi"/>
          <w:b/>
          <w:bCs/>
          <w:color w:val="auto"/>
        </w:rPr>
        <w:t>Progress requires national enabling functions that support subnational delivery, coordinated partnerships, stronger use of evidence and deliberate action on gender equality, disability inclusion and selected social inclusion issues</w:t>
      </w:r>
      <w:r w:rsidRPr="00F22BB3">
        <w:rPr>
          <w:rFonts w:asciiTheme="majorHAnsi" w:eastAsiaTheme="majorEastAsia" w:hAnsiTheme="majorHAnsi" w:cstheme="majorBidi"/>
          <w:color w:val="auto"/>
        </w:rPr>
        <w:t xml:space="preserve">. </w:t>
      </w:r>
    </w:p>
    <w:p w14:paraId="74DCB979" w14:textId="502A1B7B" w:rsidR="00F52D96" w:rsidRPr="00465F91" w:rsidRDefault="1D9C0FCA" w:rsidP="0AE8B1B0">
      <w:pPr>
        <w:spacing w:after="120" w:line="260" w:lineRule="exact"/>
        <w:rPr>
          <w:rFonts w:asciiTheme="majorHAnsi" w:eastAsiaTheme="majorEastAsia" w:hAnsiTheme="majorHAnsi" w:cstheme="majorBidi"/>
          <w:color w:val="auto"/>
        </w:rPr>
      </w:pPr>
      <w:r w:rsidRPr="0AE8B1B0">
        <w:rPr>
          <w:rFonts w:asciiTheme="majorHAnsi" w:hAnsiTheme="majorHAnsi" w:cstheme="majorBidi"/>
          <w:b/>
          <w:bCs/>
          <w:color w:val="000000" w:themeColor="text1"/>
        </w:rPr>
        <w:t>This investment</w:t>
      </w:r>
      <w:r w:rsidR="64D78C0C" w:rsidRPr="0AE8B1B0">
        <w:rPr>
          <w:rFonts w:asciiTheme="majorHAnsi" w:hAnsiTheme="majorHAnsi" w:cstheme="majorBidi"/>
          <w:b/>
          <w:bCs/>
          <w:color w:val="000000" w:themeColor="text1"/>
        </w:rPr>
        <w:t xml:space="preserve"> (ENABLE)</w:t>
      </w:r>
      <w:r w:rsidRPr="0AE8B1B0">
        <w:rPr>
          <w:rFonts w:asciiTheme="majorHAnsi" w:hAnsiTheme="majorHAnsi" w:cstheme="majorBidi"/>
          <w:b/>
          <w:bCs/>
          <w:color w:val="000000" w:themeColor="text1"/>
        </w:rPr>
        <w:t xml:space="preserve"> </w:t>
      </w:r>
      <w:r w:rsidR="5E09A060" w:rsidRPr="0AE8B1B0">
        <w:rPr>
          <w:rFonts w:asciiTheme="majorHAnsi" w:hAnsiTheme="majorHAnsi" w:cstheme="majorBidi"/>
          <w:b/>
          <w:bCs/>
          <w:color w:val="000000" w:themeColor="text1"/>
        </w:rPr>
        <w:t xml:space="preserve">seeks to support </w:t>
      </w:r>
      <w:r w:rsidR="56629426" w:rsidRPr="0AE8B1B0">
        <w:rPr>
          <w:rFonts w:asciiTheme="majorHAnsi" w:hAnsiTheme="majorHAnsi" w:cstheme="majorBidi"/>
          <w:b/>
          <w:bCs/>
          <w:color w:val="000000" w:themeColor="text1"/>
        </w:rPr>
        <w:t xml:space="preserve">the delivery of </w:t>
      </w:r>
      <w:r w:rsidR="44849075" w:rsidRPr="0AE8B1B0">
        <w:rPr>
          <w:rFonts w:asciiTheme="majorHAnsi" w:hAnsiTheme="majorHAnsi" w:cstheme="majorBidi"/>
          <w:b/>
          <w:bCs/>
          <w:color w:val="000000" w:themeColor="text1"/>
        </w:rPr>
        <w:t>the</w:t>
      </w:r>
      <w:r w:rsidR="56629426" w:rsidRPr="0AE8B1B0">
        <w:rPr>
          <w:rFonts w:asciiTheme="majorHAnsi" w:hAnsiTheme="majorHAnsi" w:cstheme="majorBidi"/>
          <w:b/>
          <w:bCs/>
          <w:color w:val="000000" w:themeColor="text1"/>
        </w:rPr>
        <w:t xml:space="preserve"> </w:t>
      </w:r>
      <w:r w:rsidR="44BBA8DD" w:rsidRPr="0AE8B1B0">
        <w:rPr>
          <w:rFonts w:asciiTheme="majorHAnsi" w:hAnsiTheme="majorHAnsi" w:cstheme="majorBidi"/>
          <w:b/>
          <w:bCs/>
          <w:i/>
          <w:iCs/>
          <w:color w:val="000000" w:themeColor="text1"/>
          <w:lang w:val="en-AU"/>
        </w:rPr>
        <w:t>PNG</w:t>
      </w:r>
      <w:r w:rsidR="47C4482A" w:rsidRPr="0AE8B1B0">
        <w:rPr>
          <w:rFonts w:asciiTheme="majorHAnsi" w:hAnsiTheme="majorHAnsi" w:cstheme="majorBidi"/>
          <w:b/>
          <w:bCs/>
          <w:i/>
          <w:iCs/>
          <w:color w:val="000000" w:themeColor="text1"/>
          <w:lang w:val="en-AU"/>
        </w:rPr>
        <w:t xml:space="preserve">–Australia Health Partnership Strategy 2024–2034 </w:t>
      </w:r>
      <w:r w:rsidR="47C4482A" w:rsidRPr="0AE8B1B0">
        <w:rPr>
          <w:rFonts w:asciiTheme="majorHAnsi" w:hAnsiTheme="majorHAnsi" w:cstheme="majorBidi"/>
          <w:b/>
          <w:bCs/>
          <w:color w:val="000000" w:themeColor="text1"/>
          <w:lang w:val="en-AU"/>
        </w:rPr>
        <w:t>(HPS)</w:t>
      </w:r>
      <w:r w:rsidR="5751A781" w:rsidRPr="0AE8B1B0">
        <w:rPr>
          <w:rFonts w:asciiTheme="majorHAnsi" w:eastAsiaTheme="majorEastAsia" w:hAnsiTheme="majorHAnsi" w:cstheme="majorBidi"/>
          <w:b/>
          <w:bCs/>
          <w:color w:val="auto"/>
        </w:rPr>
        <w:t xml:space="preserve">, specifically to </w:t>
      </w:r>
      <w:r w:rsidR="6CE4C103" w:rsidRPr="0AE8B1B0">
        <w:rPr>
          <w:rFonts w:asciiTheme="majorHAnsi" w:eastAsiaTheme="majorEastAsia" w:hAnsiTheme="majorHAnsi" w:cstheme="majorBidi"/>
          <w:b/>
          <w:bCs/>
          <w:color w:val="auto"/>
        </w:rPr>
        <w:t xml:space="preserve">strengthen selected national systems and functions, in response to bottlenecks or </w:t>
      </w:r>
      <w:r w:rsidR="51B10BCD" w:rsidRPr="0AE8B1B0">
        <w:rPr>
          <w:rFonts w:asciiTheme="majorHAnsi" w:eastAsiaTheme="majorEastAsia" w:hAnsiTheme="majorHAnsi" w:cstheme="majorBidi"/>
          <w:b/>
          <w:bCs/>
          <w:color w:val="auto"/>
        </w:rPr>
        <w:t>issues</w:t>
      </w:r>
      <w:r w:rsidR="6CE4C103" w:rsidRPr="0AE8B1B0">
        <w:rPr>
          <w:rFonts w:asciiTheme="majorHAnsi" w:eastAsiaTheme="majorEastAsia" w:hAnsiTheme="majorHAnsi" w:cstheme="majorBidi"/>
          <w:b/>
          <w:bCs/>
          <w:color w:val="auto"/>
        </w:rPr>
        <w:t xml:space="preserve"> identified through other HPS investments</w:t>
      </w:r>
      <w:r w:rsidR="6CE4C103" w:rsidRPr="0AE8B1B0">
        <w:rPr>
          <w:rFonts w:asciiTheme="majorHAnsi" w:eastAsiaTheme="majorEastAsia" w:hAnsiTheme="majorHAnsi" w:cstheme="majorBidi"/>
          <w:color w:val="auto"/>
        </w:rPr>
        <w:t>.</w:t>
      </w:r>
      <w:r w:rsidR="52CBF9B8" w:rsidRPr="0AE8B1B0">
        <w:rPr>
          <w:rFonts w:asciiTheme="majorHAnsi" w:eastAsiaTheme="majorEastAsia" w:hAnsiTheme="majorHAnsi" w:cstheme="majorBidi"/>
          <w:color w:val="auto"/>
        </w:rPr>
        <w:t xml:space="preserve"> </w:t>
      </w:r>
      <w:r w:rsidR="704AEFAB" w:rsidRPr="0AE8B1B0">
        <w:rPr>
          <w:rFonts w:asciiTheme="majorHAnsi" w:eastAsiaTheme="majorEastAsia" w:hAnsiTheme="majorHAnsi" w:cstheme="majorBidi"/>
          <w:color w:val="auto"/>
        </w:rPr>
        <w:t>ENABLE</w:t>
      </w:r>
      <w:r w:rsidR="78697304" w:rsidRPr="0AE8B1B0">
        <w:rPr>
          <w:rFonts w:asciiTheme="majorHAnsi" w:eastAsiaTheme="majorEastAsia" w:hAnsiTheme="majorHAnsi" w:cstheme="majorBidi"/>
          <w:color w:val="auto"/>
        </w:rPr>
        <w:t xml:space="preserve"> </w:t>
      </w:r>
      <w:r w:rsidR="6B9F3DF2" w:rsidRPr="0AE8B1B0">
        <w:rPr>
          <w:rFonts w:asciiTheme="majorHAnsi" w:eastAsiaTheme="majorEastAsia" w:hAnsiTheme="majorHAnsi" w:cstheme="majorBidi"/>
          <w:color w:val="auto"/>
        </w:rPr>
        <w:t xml:space="preserve">will </w:t>
      </w:r>
      <w:r w:rsidR="0B60EEF7" w:rsidRPr="0AE8B1B0">
        <w:rPr>
          <w:rFonts w:asciiTheme="majorHAnsi" w:eastAsiaTheme="majorEastAsia" w:hAnsiTheme="majorHAnsi" w:cstheme="majorBidi"/>
          <w:color w:val="auto"/>
        </w:rPr>
        <w:t xml:space="preserve">focus </w:t>
      </w:r>
      <w:r w:rsidR="52CBF9B8" w:rsidRPr="0AE8B1B0">
        <w:rPr>
          <w:rFonts w:asciiTheme="majorHAnsi" w:eastAsiaTheme="majorEastAsia" w:hAnsiTheme="majorHAnsi" w:cstheme="majorBidi"/>
          <w:color w:val="auto"/>
        </w:rPr>
        <w:t xml:space="preserve">on </w:t>
      </w:r>
      <w:r w:rsidR="6B9F3DF2" w:rsidRPr="0AE8B1B0">
        <w:rPr>
          <w:rFonts w:asciiTheme="majorHAnsi" w:eastAsiaTheme="majorEastAsia" w:hAnsiTheme="majorHAnsi" w:cstheme="majorBidi"/>
          <w:color w:val="auto"/>
        </w:rPr>
        <w:t>supporting</w:t>
      </w:r>
      <w:r w:rsidR="52CBF9B8" w:rsidRPr="0AE8B1B0">
        <w:rPr>
          <w:rFonts w:asciiTheme="majorHAnsi" w:eastAsiaTheme="majorEastAsia" w:hAnsiTheme="majorHAnsi" w:cstheme="majorBidi"/>
          <w:color w:val="auto"/>
        </w:rPr>
        <w:t xml:space="preserve"> selected national systems and advisory functions, strategic partnerships</w:t>
      </w:r>
      <w:r w:rsidR="6AF04DD1" w:rsidRPr="0AE8B1B0">
        <w:rPr>
          <w:rFonts w:asciiTheme="majorHAnsi" w:eastAsiaTheme="majorEastAsia" w:hAnsiTheme="majorHAnsi" w:cstheme="majorBidi"/>
          <w:color w:val="auto"/>
        </w:rPr>
        <w:t xml:space="preserve"> with Australian and other institutions</w:t>
      </w:r>
      <w:r w:rsidR="52CBF9B8" w:rsidRPr="0AE8B1B0">
        <w:rPr>
          <w:rFonts w:asciiTheme="majorHAnsi" w:eastAsiaTheme="majorEastAsia" w:hAnsiTheme="majorHAnsi" w:cstheme="majorBidi"/>
          <w:color w:val="auto"/>
        </w:rPr>
        <w:t>, and Learning and Insights that support integrated PHC and Australia’s broader PNG health portfolio.</w:t>
      </w:r>
      <w:r w:rsidR="04A10EA8" w:rsidRPr="0AE8B1B0">
        <w:rPr>
          <w:rFonts w:asciiTheme="majorHAnsi" w:eastAsiaTheme="majorEastAsia" w:hAnsiTheme="majorHAnsi" w:cstheme="majorBidi"/>
          <w:color w:val="auto"/>
        </w:rPr>
        <w:t xml:space="preserve"> </w:t>
      </w:r>
      <w:r w:rsidR="51B10BCD" w:rsidRPr="0AE8B1B0">
        <w:rPr>
          <w:rFonts w:asciiTheme="majorHAnsi" w:eastAsiaTheme="majorEastAsia" w:hAnsiTheme="majorHAnsi" w:cstheme="majorBidi"/>
          <w:color w:val="auto"/>
        </w:rPr>
        <w:t>The</w:t>
      </w:r>
      <w:r w:rsidR="616DDE1D" w:rsidRPr="0AE8B1B0">
        <w:rPr>
          <w:rFonts w:asciiTheme="majorHAnsi" w:eastAsiaTheme="majorEastAsia" w:hAnsiTheme="majorHAnsi" w:cstheme="majorBidi"/>
          <w:color w:val="auto"/>
        </w:rPr>
        <w:t xml:space="preserve"> Learning and Insights function</w:t>
      </w:r>
      <w:r w:rsidR="51B10BCD" w:rsidRPr="0AE8B1B0">
        <w:rPr>
          <w:rFonts w:asciiTheme="majorHAnsi" w:eastAsiaTheme="majorEastAsia" w:hAnsiTheme="majorHAnsi" w:cstheme="majorBidi"/>
          <w:color w:val="auto"/>
        </w:rPr>
        <w:t xml:space="preserve"> will</w:t>
      </w:r>
      <w:r w:rsidR="616DDE1D" w:rsidRPr="0AE8B1B0">
        <w:rPr>
          <w:rFonts w:asciiTheme="majorHAnsi" w:eastAsiaTheme="majorEastAsia" w:hAnsiTheme="majorHAnsi" w:cstheme="majorBidi"/>
          <w:color w:val="auto"/>
        </w:rPr>
        <w:t xml:space="preserve"> strengthen evidence-informed decision-making, adaptation and performance across the entire HPS. Evidence will directly inform technical assistance deployment, partnership engagement and policy dialogue. </w:t>
      </w:r>
    </w:p>
    <w:p w14:paraId="7D81F60A" w14:textId="77777777" w:rsidR="00A05D76" w:rsidRPr="00631394" w:rsidRDefault="00A05D76" w:rsidP="00A05D76">
      <w:pPr>
        <w:numPr>
          <w:ilvl w:val="0"/>
          <w:numId w:val="10"/>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line="240" w:lineRule="auto"/>
        <w:ind w:left="284" w:hanging="284"/>
        <w:rPr>
          <w:rFonts w:asciiTheme="majorHAnsi" w:eastAsia="Times New Roman" w:hAnsiTheme="majorHAnsi" w:cstheme="majorBidi"/>
          <w:color w:val="000000" w:themeColor="text1"/>
        </w:rPr>
      </w:pPr>
      <w:r w:rsidRPr="5A99ECEA">
        <w:rPr>
          <w:rFonts w:asciiTheme="majorHAnsi" w:hAnsiTheme="majorHAnsi" w:cstheme="majorBidi"/>
          <w:b/>
          <w:color w:val="000000" w:themeColor="text1"/>
        </w:rPr>
        <w:t>Strategic Intent and Rationale (Why should Australia invest?)</w:t>
      </w:r>
    </w:p>
    <w:p w14:paraId="47164057" w14:textId="0227876A" w:rsidR="00486405" w:rsidRDefault="30BEE6D2" w:rsidP="00926338">
      <w:pPr>
        <w:tabs>
          <w:tab w:val="left" w:pos="284"/>
        </w:tabs>
        <w:spacing w:after="120" w:line="240" w:lineRule="exact"/>
        <w:rPr>
          <w:rFonts w:ascii="Calibri" w:eastAsia="Calibri" w:hAnsi="Calibri" w:cs="Calibri"/>
          <w:color w:val="000000" w:themeColor="text1"/>
        </w:rPr>
      </w:pPr>
      <w:r w:rsidRPr="0DBBA3A5">
        <w:rPr>
          <w:rFonts w:ascii="Calibri" w:eastAsia="Calibri" w:hAnsi="Calibri" w:cs="Calibri"/>
          <w:b/>
          <w:bCs/>
          <w:color w:val="000000" w:themeColor="text1"/>
        </w:rPr>
        <w:t>A healthy population is essential for economic growth, reducing inequality and stability</w:t>
      </w:r>
      <w:r w:rsidR="005E0950">
        <w:rPr>
          <w:rFonts w:ascii="Calibri" w:eastAsia="Calibri" w:hAnsi="Calibri" w:cs="Calibri"/>
          <w:b/>
          <w:bCs/>
          <w:color w:val="000000" w:themeColor="text1"/>
        </w:rPr>
        <w:t>.</w:t>
      </w:r>
      <w:r w:rsidRPr="0DBBA3A5">
        <w:rPr>
          <w:rFonts w:ascii="Calibri" w:eastAsia="Calibri" w:hAnsi="Calibri" w:cs="Calibri"/>
          <w:b/>
          <w:bCs/>
          <w:color w:val="000000" w:themeColor="text1"/>
        </w:rPr>
        <w:t xml:space="preserve"> </w:t>
      </w:r>
      <w:r w:rsidRPr="0DBBA3A5">
        <w:rPr>
          <w:rFonts w:ascii="Calibri" w:eastAsia="Calibri" w:hAnsi="Calibri" w:cs="Calibri"/>
          <w:color w:val="000000" w:themeColor="text1"/>
        </w:rPr>
        <w:t>A strong system catering for the needs of children and young adults entering reproductive years is required for PNG to make use of its wealth and human capital and recognise the potential economic dividend of its predominantly young population. </w:t>
      </w:r>
      <w:r w:rsidR="00FF65DA">
        <w:rPr>
          <w:rFonts w:ascii="Calibri" w:eastAsia="Calibri" w:hAnsi="Calibri" w:cs="Calibri"/>
          <w:color w:val="000000" w:themeColor="text1"/>
        </w:rPr>
        <w:t xml:space="preserve">Enabling functioning </w:t>
      </w:r>
      <w:r w:rsidRPr="0DBBA3A5">
        <w:rPr>
          <w:rFonts w:ascii="Calibri" w:eastAsia="Calibri" w:hAnsi="Calibri" w:cs="Calibri"/>
          <w:color w:val="000000" w:themeColor="text1"/>
        </w:rPr>
        <w:t xml:space="preserve">PHC represents </w:t>
      </w:r>
      <w:r w:rsidR="00862731">
        <w:rPr>
          <w:rFonts w:ascii="Calibri" w:eastAsia="Calibri" w:hAnsi="Calibri" w:cs="Calibri"/>
          <w:color w:val="000000" w:themeColor="text1"/>
        </w:rPr>
        <w:t xml:space="preserve">a </w:t>
      </w:r>
      <w:r w:rsidRPr="0DBBA3A5">
        <w:rPr>
          <w:rFonts w:ascii="Calibri" w:eastAsia="Calibri" w:hAnsi="Calibri" w:cs="Calibri"/>
          <w:color w:val="000000" w:themeColor="text1"/>
        </w:rPr>
        <w:t>cost-effective, foundational investment in PNG’s human capital and economic growth</w:t>
      </w:r>
      <w:r w:rsidR="00E918FC">
        <w:rPr>
          <w:rFonts w:ascii="Calibri" w:eastAsia="Calibri" w:hAnsi="Calibri" w:cs="Calibri"/>
          <w:color w:val="000000" w:themeColor="text1"/>
        </w:rPr>
        <w:t>, with strengthened national systems underpinning effective services</w:t>
      </w:r>
      <w:r w:rsidRPr="0DBBA3A5">
        <w:rPr>
          <w:rFonts w:ascii="Calibri" w:eastAsia="Calibri" w:hAnsi="Calibri" w:cs="Calibri"/>
          <w:color w:val="000000" w:themeColor="text1"/>
        </w:rPr>
        <w:t xml:space="preserve">. </w:t>
      </w:r>
    </w:p>
    <w:p w14:paraId="6C828F08" w14:textId="6E5FFA99" w:rsidR="008010AF" w:rsidRPr="004D68F9" w:rsidRDefault="30BEE6D2" w:rsidP="00C802BE">
      <w:pPr>
        <w:spacing w:after="120" w:line="260" w:lineRule="exact"/>
        <w:rPr>
          <w:rFonts w:ascii="Calibri" w:eastAsia="Calibri" w:hAnsi="Calibri" w:cs="Calibri"/>
          <w:color w:val="000000" w:themeColor="text1"/>
        </w:rPr>
      </w:pPr>
      <w:r w:rsidRPr="0DBBA3A5">
        <w:rPr>
          <w:rFonts w:ascii="Calibri" w:eastAsia="Calibri" w:hAnsi="Calibri" w:cs="Calibri"/>
          <w:b/>
          <w:bCs/>
          <w:color w:val="000000" w:themeColor="text1"/>
        </w:rPr>
        <w:t xml:space="preserve">Access to quality and affordable health care is a shared strategic priority, including in PNG’s </w:t>
      </w:r>
      <w:r w:rsidRPr="0DBBA3A5">
        <w:rPr>
          <w:rFonts w:ascii="Calibri" w:eastAsia="Calibri" w:hAnsi="Calibri" w:cs="Calibri"/>
          <w:b/>
          <w:bCs/>
          <w:i/>
          <w:iCs/>
          <w:color w:val="000000" w:themeColor="text1"/>
        </w:rPr>
        <w:t>Medium Term Development Plan IV 2023 – 2027</w:t>
      </w:r>
      <w:r w:rsidR="00E4075F">
        <w:rPr>
          <w:rFonts w:ascii="Calibri" w:eastAsia="Calibri" w:hAnsi="Calibri" w:cs="Calibri"/>
          <w:b/>
          <w:bCs/>
          <w:i/>
          <w:iCs/>
          <w:color w:val="000000" w:themeColor="text1"/>
        </w:rPr>
        <w:t xml:space="preserve"> (MTDP)</w:t>
      </w:r>
      <w:r w:rsidRPr="0DBBA3A5">
        <w:rPr>
          <w:rFonts w:ascii="Calibri" w:eastAsia="Calibri" w:hAnsi="Calibri" w:cs="Calibri"/>
          <w:b/>
          <w:bCs/>
          <w:i/>
          <w:iCs/>
          <w:color w:val="000000" w:themeColor="text1"/>
        </w:rPr>
        <w:t>.</w:t>
      </w:r>
      <w:r w:rsidRPr="0DBBA3A5">
        <w:rPr>
          <w:rFonts w:ascii="Calibri" w:eastAsia="Calibri" w:hAnsi="Calibri" w:cs="Calibri"/>
          <w:b/>
          <w:bCs/>
          <w:color w:val="000000" w:themeColor="text1"/>
        </w:rPr>
        <w:t xml:space="preserve"> </w:t>
      </w:r>
      <w:r w:rsidRPr="0DBBA3A5">
        <w:rPr>
          <w:rFonts w:ascii="Calibri" w:eastAsia="Calibri" w:hAnsi="Calibri" w:cs="Calibri"/>
          <w:color w:val="000000" w:themeColor="text1"/>
        </w:rPr>
        <w:t>PNG’s</w:t>
      </w:r>
      <w:r w:rsidRPr="0DBBA3A5">
        <w:rPr>
          <w:rFonts w:ascii="Calibri" w:eastAsia="Calibri" w:hAnsi="Calibri" w:cs="Calibri"/>
          <w:i/>
          <w:iCs/>
          <w:color w:val="000000" w:themeColor="text1"/>
        </w:rPr>
        <w:t xml:space="preserve"> </w:t>
      </w:r>
      <w:r w:rsidR="00E4075F">
        <w:rPr>
          <w:rFonts w:ascii="Calibri" w:eastAsia="Calibri" w:hAnsi="Calibri" w:cs="Calibri"/>
          <w:i/>
          <w:iCs/>
          <w:color w:val="000000" w:themeColor="text1"/>
        </w:rPr>
        <w:t xml:space="preserve">National Health Plan 2021-2030 </w:t>
      </w:r>
      <w:r w:rsidR="00E4075F">
        <w:rPr>
          <w:rFonts w:ascii="Calibri" w:eastAsia="Calibri" w:hAnsi="Calibri" w:cs="Calibri"/>
          <w:color w:val="000000" w:themeColor="text1"/>
        </w:rPr>
        <w:t>(</w:t>
      </w:r>
      <w:r w:rsidRPr="0DBBA3A5">
        <w:rPr>
          <w:rFonts w:ascii="Calibri" w:eastAsia="Calibri" w:hAnsi="Calibri" w:cs="Calibri"/>
          <w:color w:val="000000" w:themeColor="text1"/>
        </w:rPr>
        <w:t>NHP</w:t>
      </w:r>
      <w:r w:rsidR="00E4075F">
        <w:rPr>
          <w:rFonts w:ascii="Calibri" w:eastAsia="Calibri" w:hAnsi="Calibri" w:cs="Calibri"/>
          <w:color w:val="000000" w:themeColor="text1"/>
        </w:rPr>
        <w:t>)</w:t>
      </w:r>
      <w:r w:rsidRPr="0DBBA3A5">
        <w:rPr>
          <w:rFonts w:ascii="Calibri" w:eastAsia="Calibri" w:hAnsi="Calibri" w:cs="Calibri"/>
          <w:color w:val="000000" w:themeColor="text1"/>
        </w:rPr>
        <w:t xml:space="preserve"> charts a comprehensive approach to deliver its vision of people-centred health care.</w:t>
      </w:r>
      <w:r w:rsidRPr="0DBBA3A5">
        <w:rPr>
          <w:rFonts w:ascii="Calibri" w:eastAsia="Calibri" w:hAnsi="Calibri" w:cs="Calibri"/>
          <w:b/>
          <w:bCs/>
          <w:color w:val="000000" w:themeColor="text1"/>
        </w:rPr>
        <w:t xml:space="preserve"> </w:t>
      </w:r>
      <w:r w:rsidRPr="0DBBA3A5">
        <w:rPr>
          <w:rFonts w:ascii="Calibri" w:eastAsia="Calibri" w:hAnsi="Calibri" w:cs="Calibri"/>
          <w:color w:val="000000" w:themeColor="text1"/>
        </w:rPr>
        <w:t xml:space="preserve">The </w:t>
      </w:r>
      <w:r w:rsidRPr="0DBBA3A5">
        <w:rPr>
          <w:rFonts w:ascii="Calibri" w:eastAsia="Calibri" w:hAnsi="Calibri" w:cs="Calibri"/>
          <w:i/>
          <w:iCs/>
          <w:color w:val="000000" w:themeColor="text1"/>
        </w:rPr>
        <w:t>PNG-Australia Development Partnership Plan 2024-2029</w:t>
      </w:r>
      <w:r w:rsidRPr="0DBBA3A5">
        <w:rPr>
          <w:rFonts w:ascii="Calibri" w:eastAsia="Calibri" w:hAnsi="Calibri" w:cs="Calibri"/>
          <w:color w:val="000000" w:themeColor="text1"/>
        </w:rPr>
        <w:t xml:space="preserve"> (DPP) commit</w:t>
      </w:r>
      <w:r w:rsidR="001C4F0D">
        <w:rPr>
          <w:rFonts w:ascii="Calibri" w:eastAsia="Calibri" w:hAnsi="Calibri" w:cs="Calibri"/>
          <w:color w:val="000000" w:themeColor="text1"/>
        </w:rPr>
        <w:t>s</w:t>
      </w:r>
      <w:r w:rsidRPr="0DBBA3A5">
        <w:rPr>
          <w:rFonts w:ascii="Calibri" w:eastAsia="Calibri" w:hAnsi="Calibri" w:cs="Calibri"/>
          <w:color w:val="000000" w:themeColor="text1"/>
        </w:rPr>
        <w:t xml:space="preserve"> to working together to strengthen health systems and deliver high-quality health services to contain disease outbreaks. </w:t>
      </w:r>
      <w:r w:rsidR="00694250" w:rsidRPr="00946E44">
        <w:rPr>
          <w:rFonts w:ascii="Calibri" w:eastAsia="Calibri" w:hAnsi="Calibri" w:cs="Calibri"/>
          <w:color w:val="000000" w:themeColor="text1"/>
        </w:rPr>
        <w:t>ENABLE</w:t>
      </w:r>
      <w:r w:rsidRPr="00946E44">
        <w:rPr>
          <w:rFonts w:ascii="Calibri" w:eastAsia="Calibri" w:hAnsi="Calibri" w:cs="Calibri"/>
          <w:color w:val="000000" w:themeColor="text1"/>
        </w:rPr>
        <w:t xml:space="preserve"> will deliver directly on </w:t>
      </w:r>
      <w:r w:rsidR="00694250" w:rsidRPr="00946E44">
        <w:rPr>
          <w:rFonts w:ascii="Calibri" w:eastAsia="Calibri" w:hAnsi="Calibri" w:cs="Calibri"/>
          <w:color w:val="000000" w:themeColor="text1"/>
        </w:rPr>
        <w:t xml:space="preserve">Objective </w:t>
      </w:r>
      <w:r w:rsidRPr="00946E44">
        <w:rPr>
          <w:rFonts w:ascii="Calibri" w:eastAsia="Calibri" w:hAnsi="Calibri" w:cs="Calibri"/>
          <w:color w:val="000000" w:themeColor="text1"/>
        </w:rPr>
        <w:t>3 of the DPP:</w:t>
      </w:r>
      <w:r w:rsidRPr="00926338">
        <w:rPr>
          <w:rFonts w:ascii="Calibri" w:eastAsia="Calibri" w:hAnsi="Calibri" w:cs="Calibri"/>
          <w:color w:val="000000" w:themeColor="text1"/>
        </w:rPr>
        <w:t xml:space="preserve"> </w:t>
      </w:r>
      <w:r w:rsidR="00757FE7" w:rsidRPr="00946E44">
        <w:rPr>
          <w:rFonts w:ascii="Calibri" w:eastAsia="Calibri" w:hAnsi="Calibri" w:cs="Calibri"/>
          <w:color w:val="000000" w:themeColor="text1"/>
        </w:rPr>
        <w:t>Investing in People and Building Resilient Communities</w:t>
      </w:r>
      <w:r w:rsidR="00092E98" w:rsidRPr="00946E44">
        <w:rPr>
          <w:rFonts w:ascii="Calibri" w:eastAsia="Calibri" w:hAnsi="Calibri" w:cs="Calibri"/>
          <w:color w:val="000000" w:themeColor="text1"/>
        </w:rPr>
        <w:t xml:space="preserve">. </w:t>
      </w:r>
      <w:r w:rsidR="00757FE7" w:rsidRPr="00946E44">
        <w:rPr>
          <w:rFonts w:ascii="Calibri" w:eastAsia="Calibri" w:hAnsi="Calibri" w:cs="Calibri"/>
          <w:color w:val="000000" w:themeColor="text1"/>
        </w:rPr>
        <w:t>By enabling national systems for integrated PHC, ENABLE supports the DPP’s focus on more resilient communities, improved access to PHC services and stronger PNG systems</w:t>
      </w:r>
      <w:r w:rsidRPr="00946E44">
        <w:rPr>
          <w:rFonts w:ascii="Calibri" w:eastAsia="Calibri" w:hAnsi="Calibri" w:cs="Calibri"/>
          <w:color w:val="000000" w:themeColor="text1"/>
        </w:rPr>
        <w:t>.</w:t>
      </w:r>
      <w:r w:rsidRPr="0DBBA3A5">
        <w:rPr>
          <w:rFonts w:ascii="Calibri" w:eastAsia="Calibri" w:hAnsi="Calibri" w:cs="Calibri"/>
          <w:color w:val="000000" w:themeColor="text1"/>
        </w:rPr>
        <w:t xml:space="preserve"> </w:t>
      </w:r>
      <w:r w:rsidR="004D68F9">
        <w:rPr>
          <w:rFonts w:ascii="Calibri" w:eastAsia="Calibri" w:hAnsi="Calibri" w:cs="Calibri"/>
          <w:color w:val="000000" w:themeColor="text1"/>
        </w:rPr>
        <w:t xml:space="preserve">See </w:t>
      </w:r>
      <w:r w:rsidR="004D68F9">
        <w:rPr>
          <w:rFonts w:ascii="Calibri" w:eastAsia="Calibri" w:hAnsi="Calibri" w:cs="Calibri"/>
          <w:i/>
          <w:iCs/>
          <w:color w:val="000000" w:themeColor="text1"/>
        </w:rPr>
        <w:t>Annex 3</w:t>
      </w:r>
      <w:r w:rsidR="004D68F9">
        <w:rPr>
          <w:rFonts w:ascii="Calibri" w:eastAsia="Calibri" w:hAnsi="Calibri" w:cs="Calibri"/>
          <w:color w:val="000000" w:themeColor="text1"/>
        </w:rPr>
        <w:t xml:space="preserve"> for more detail on the strategic context.</w:t>
      </w:r>
    </w:p>
    <w:p w14:paraId="684BC13D" w14:textId="203E997B" w:rsidR="003A188A" w:rsidRPr="003A188A" w:rsidRDefault="24E7B642">
      <w:pPr>
        <w:spacing w:before="0" w:line="240" w:lineRule="auto"/>
        <w:rPr>
          <w:rFonts w:ascii="Calibri" w:eastAsia="Calibri" w:hAnsi="Calibri" w:cs="Calibri"/>
          <w:color w:val="000000" w:themeColor="text1"/>
          <w:lang w:val="en-AU"/>
        </w:rPr>
      </w:pPr>
      <w:r w:rsidRPr="545920E5">
        <w:rPr>
          <w:rFonts w:ascii="Calibri" w:eastAsia="Calibri" w:hAnsi="Calibri" w:cs="Calibri"/>
          <w:color w:val="000000" w:themeColor="text1"/>
          <w:lang w:val="en-US"/>
        </w:rPr>
        <w:t>The rationale for investing</w:t>
      </w:r>
      <w:r w:rsidR="4E5B691B" w:rsidRPr="545920E5">
        <w:rPr>
          <w:rFonts w:ascii="Calibri" w:eastAsia="Calibri" w:hAnsi="Calibri" w:cs="Calibri"/>
          <w:color w:val="000000" w:themeColor="text1"/>
          <w:lang w:val="en-US"/>
        </w:rPr>
        <w:t xml:space="preserve"> in ENABLE</w:t>
      </w:r>
      <w:r w:rsidRPr="545920E5">
        <w:rPr>
          <w:rFonts w:ascii="Calibri" w:eastAsia="Calibri" w:hAnsi="Calibri" w:cs="Calibri"/>
          <w:color w:val="000000" w:themeColor="text1"/>
          <w:lang w:val="en-US"/>
        </w:rPr>
        <w:t xml:space="preserve"> is </w:t>
      </w:r>
      <w:r w:rsidR="3025C83C" w:rsidRPr="545920E5">
        <w:rPr>
          <w:rFonts w:ascii="Calibri" w:eastAsia="Calibri" w:hAnsi="Calibri" w:cs="Calibri"/>
          <w:color w:val="000000" w:themeColor="text1"/>
          <w:lang w:val="en-US"/>
        </w:rPr>
        <w:t xml:space="preserve">that </w:t>
      </w:r>
      <w:r w:rsidR="7A5AD960" w:rsidRPr="545920E5">
        <w:rPr>
          <w:rFonts w:ascii="Calibri" w:eastAsia="Calibri" w:hAnsi="Calibri" w:cs="Calibri"/>
          <w:color w:val="000000" w:themeColor="text1"/>
          <w:lang w:val="en-US"/>
        </w:rPr>
        <w:t xml:space="preserve">Australia’s Health investments in PNG (under the </w:t>
      </w:r>
      <w:r w:rsidR="60CA4209" w:rsidRPr="545920E5">
        <w:rPr>
          <w:rFonts w:ascii="Calibri" w:eastAsia="Calibri" w:hAnsi="Calibri" w:cs="Calibri"/>
          <w:color w:val="000000" w:themeColor="text1"/>
          <w:lang w:val="en-US"/>
        </w:rPr>
        <w:t>HPS</w:t>
      </w:r>
      <w:r w:rsidR="4496DE5F" w:rsidRPr="545920E5">
        <w:rPr>
          <w:rFonts w:ascii="Calibri" w:eastAsia="Calibri" w:hAnsi="Calibri" w:cs="Calibri"/>
          <w:color w:val="000000" w:themeColor="text1"/>
          <w:lang w:val="en-US"/>
        </w:rPr>
        <w:t>)</w:t>
      </w:r>
      <w:r w:rsidR="60CA4209" w:rsidRPr="545920E5">
        <w:rPr>
          <w:rFonts w:ascii="Calibri" w:eastAsia="Calibri" w:hAnsi="Calibri" w:cs="Calibri"/>
          <w:b/>
          <w:bCs/>
          <w:color w:val="000000" w:themeColor="text1"/>
          <w:lang w:val="en-US"/>
        </w:rPr>
        <w:t xml:space="preserve"> </w:t>
      </w:r>
      <w:r w:rsidRPr="545920E5">
        <w:rPr>
          <w:rFonts w:ascii="Calibri" w:eastAsia="Calibri" w:hAnsi="Calibri" w:cs="Calibri"/>
          <w:b/>
          <w:bCs/>
          <w:color w:val="000000" w:themeColor="text1"/>
          <w:lang w:val="en-US"/>
        </w:rPr>
        <w:t>will be more effective if national policy, financing, evidence and partnership functions are better aligned</w:t>
      </w:r>
      <w:r w:rsidRPr="545920E5">
        <w:rPr>
          <w:rFonts w:ascii="Calibri" w:eastAsia="Calibri" w:hAnsi="Calibri" w:cs="Calibri"/>
          <w:color w:val="000000" w:themeColor="text1"/>
          <w:lang w:val="en-US"/>
        </w:rPr>
        <w:t xml:space="preserve">. ENABLE will respond to bottlenecks and opportunities identified through </w:t>
      </w:r>
      <w:r w:rsidR="72744411" w:rsidRPr="545920E5">
        <w:rPr>
          <w:rFonts w:ascii="Calibri" w:eastAsia="Calibri" w:hAnsi="Calibri" w:cs="Calibri"/>
          <w:color w:val="000000" w:themeColor="text1"/>
          <w:lang w:val="en-US"/>
        </w:rPr>
        <w:t xml:space="preserve">these </w:t>
      </w:r>
      <w:r w:rsidR="53E74778" w:rsidRPr="545920E5">
        <w:rPr>
          <w:rFonts w:ascii="Calibri" w:eastAsia="Calibri" w:hAnsi="Calibri" w:cs="Calibri"/>
          <w:color w:val="000000" w:themeColor="text1"/>
          <w:lang w:val="en-US"/>
        </w:rPr>
        <w:t>other investments</w:t>
      </w:r>
      <w:r w:rsidRPr="545920E5">
        <w:rPr>
          <w:rFonts w:ascii="Calibri" w:eastAsia="Calibri" w:hAnsi="Calibri" w:cs="Calibri"/>
          <w:color w:val="000000" w:themeColor="text1"/>
          <w:lang w:val="en-US"/>
        </w:rPr>
        <w:t>, while supporting areas where Australia has</w:t>
      </w:r>
      <w:r w:rsidR="2F79B8B2" w:rsidRPr="545920E5">
        <w:rPr>
          <w:rFonts w:ascii="Calibri" w:eastAsia="Calibri" w:hAnsi="Calibri" w:cs="Calibri"/>
          <w:color w:val="000000" w:themeColor="text1"/>
          <w:lang w:val="en-US"/>
        </w:rPr>
        <w:t xml:space="preserve"> a</w:t>
      </w:r>
      <w:r w:rsidRPr="545920E5">
        <w:rPr>
          <w:rFonts w:ascii="Calibri" w:eastAsia="Calibri" w:hAnsi="Calibri" w:cs="Calibri"/>
          <w:color w:val="000000" w:themeColor="text1"/>
          <w:lang w:val="en-US"/>
        </w:rPr>
        <w:t xml:space="preserve"> comparative advantage and long-term institutional relationships.</w:t>
      </w:r>
      <w:r w:rsidR="53E74778" w:rsidRPr="545920E5">
        <w:rPr>
          <w:rFonts w:ascii="Calibri" w:eastAsia="Calibri" w:hAnsi="Calibri" w:cs="Calibri"/>
          <w:color w:val="000000" w:themeColor="text1"/>
          <w:lang w:val="en-US"/>
        </w:rPr>
        <w:t xml:space="preserve"> </w:t>
      </w:r>
      <w:r w:rsidR="3025C83C" w:rsidRPr="545920E5">
        <w:rPr>
          <w:rFonts w:ascii="Calibri" w:eastAsia="Calibri" w:hAnsi="Calibri" w:cs="Calibri"/>
          <w:color w:val="000000" w:themeColor="text1"/>
          <w:lang w:val="en-US"/>
        </w:rPr>
        <w:t xml:space="preserve">Additionally, </w:t>
      </w:r>
      <w:r w:rsidR="252C8174" w:rsidRPr="545920E5">
        <w:rPr>
          <w:rFonts w:ascii="Calibri" w:eastAsia="Calibri" w:hAnsi="Calibri" w:cs="Calibri"/>
          <w:color w:val="000000" w:themeColor="text1"/>
          <w:lang w:val="en-US"/>
        </w:rPr>
        <w:t>through</w:t>
      </w:r>
      <w:r w:rsidR="6E5B15C8" w:rsidRPr="545920E5">
        <w:rPr>
          <w:rFonts w:ascii="Calibri" w:eastAsia="Calibri" w:hAnsi="Calibri" w:cs="Calibri"/>
          <w:color w:val="000000" w:themeColor="text1"/>
          <w:lang w:val="en-AU"/>
        </w:rPr>
        <w:t xml:space="preserve"> </w:t>
      </w:r>
      <w:r w:rsidR="4D8B4C57" w:rsidRPr="545920E5">
        <w:rPr>
          <w:rFonts w:ascii="Calibri" w:eastAsia="Calibri" w:hAnsi="Calibri" w:cs="Calibri"/>
          <w:color w:val="000000" w:themeColor="text1"/>
          <w:lang w:val="en-AU"/>
        </w:rPr>
        <w:t>ENABLE</w:t>
      </w:r>
      <w:r w:rsidR="6E5B15C8" w:rsidRPr="545920E5">
        <w:rPr>
          <w:rFonts w:ascii="Calibri" w:eastAsia="Calibri" w:hAnsi="Calibri" w:cs="Calibri"/>
          <w:color w:val="000000" w:themeColor="text1"/>
          <w:lang w:val="en-AU"/>
        </w:rPr>
        <w:t>’s s</w:t>
      </w:r>
      <w:r w:rsidR="4D8B4C57" w:rsidRPr="545920E5">
        <w:rPr>
          <w:rFonts w:ascii="Calibri" w:eastAsia="Calibri" w:hAnsi="Calibri" w:cs="Calibri"/>
          <w:color w:val="000000" w:themeColor="text1"/>
          <w:lang w:val="en-AU"/>
        </w:rPr>
        <w:t xml:space="preserve">trategic </w:t>
      </w:r>
      <w:r w:rsidR="6E5B15C8" w:rsidRPr="545920E5">
        <w:rPr>
          <w:rFonts w:ascii="Calibri" w:eastAsia="Calibri" w:hAnsi="Calibri" w:cs="Calibri"/>
          <w:color w:val="000000" w:themeColor="text1"/>
          <w:lang w:val="en-AU"/>
        </w:rPr>
        <w:t>p</w:t>
      </w:r>
      <w:r w:rsidR="4D8B4C57" w:rsidRPr="545920E5">
        <w:rPr>
          <w:rFonts w:ascii="Calibri" w:eastAsia="Calibri" w:hAnsi="Calibri" w:cs="Calibri"/>
          <w:color w:val="000000" w:themeColor="text1"/>
          <w:lang w:val="en-AU"/>
        </w:rPr>
        <w:t>artnerships</w:t>
      </w:r>
      <w:r w:rsidR="6E5B15C8" w:rsidRPr="545920E5">
        <w:rPr>
          <w:rFonts w:ascii="Calibri" w:eastAsia="Calibri" w:hAnsi="Calibri" w:cs="Calibri"/>
          <w:color w:val="000000" w:themeColor="text1"/>
          <w:lang w:val="en-AU"/>
        </w:rPr>
        <w:t>, DFAT</w:t>
      </w:r>
      <w:r w:rsidR="4D8B4C57" w:rsidRPr="545920E5">
        <w:rPr>
          <w:rFonts w:ascii="Calibri" w:eastAsia="Calibri" w:hAnsi="Calibri" w:cs="Calibri"/>
          <w:color w:val="000000" w:themeColor="text1"/>
          <w:lang w:val="en-AU"/>
        </w:rPr>
        <w:t xml:space="preserve"> </w:t>
      </w:r>
      <w:r w:rsidR="6E5B15C8" w:rsidRPr="545920E5">
        <w:rPr>
          <w:rFonts w:ascii="Calibri" w:eastAsia="Calibri" w:hAnsi="Calibri" w:cs="Calibri"/>
          <w:color w:val="000000" w:themeColor="text1"/>
          <w:lang w:val="en-AU"/>
        </w:rPr>
        <w:t xml:space="preserve">will </w:t>
      </w:r>
      <w:r w:rsidR="4D8B4C57" w:rsidRPr="545920E5">
        <w:rPr>
          <w:rFonts w:ascii="Calibri" w:eastAsia="Calibri" w:hAnsi="Calibri" w:cs="Calibri"/>
          <w:color w:val="000000" w:themeColor="text1"/>
          <w:lang w:val="en-AU"/>
        </w:rPr>
        <w:t xml:space="preserve">foster durable, long-term relationships between partners such as Australian public agencies, educational institutions, delivery agencies, and their international counterparts. </w:t>
      </w:r>
      <w:r w:rsidR="32C58942" w:rsidRPr="545920E5">
        <w:rPr>
          <w:rFonts w:ascii="Calibri" w:eastAsia="Calibri" w:hAnsi="Calibri" w:cs="Calibri"/>
          <w:color w:val="000000" w:themeColor="text1"/>
          <w:lang w:val="en-AU"/>
        </w:rPr>
        <w:t>This will not only</w:t>
      </w:r>
      <w:r w:rsidR="4D8B4C57" w:rsidRPr="545920E5">
        <w:rPr>
          <w:rFonts w:ascii="Calibri" w:eastAsia="Calibri" w:hAnsi="Calibri" w:cs="Calibri"/>
          <w:color w:val="000000" w:themeColor="text1"/>
          <w:lang w:val="en-AU"/>
        </w:rPr>
        <w:t xml:space="preserve"> </w:t>
      </w:r>
      <w:r w:rsidR="4D8B4C57" w:rsidRPr="545920E5">
        <w:rPr>
          <w:rFonts w:ascii="Calibri" w:eastAsia="Calibri" w:hAnsi="Calibri" w:cs="Calibri"/>
          <w:b/>
          <w:bCs/>
          <w:color w:val="000000" w:themeColor="text1"/>
          <w:lang w:val="en-AU"/>
        </w:rPr>
        <w:t>build the capacity of PNG partners and institutions</w:t>
      </w:r>
      <w:r w:rsidR="4D8B4C57" w:rsidRPr="545920E5">
        <w:rPr>
          <w:rFonts w:ascii="Calibri" w:eastAsia="Calibri" w:hAnsi="Calibri" w:cs="Calibri"/>
          <w:color w:val="000000" w:themeColor="text1"/>
          <w:lang w:val="en-AU"/>
        </w:rPr>
        <w:t xml:space="preserve"> to independently address health sector challenges</w:t>
      </w:r>
      <w:r w:rsidR="1F72103D" w:rsidRPr="545920E5">
        <w:rPr>
          <w:rFonts w:ascii="Calibri" w:eastAsia="Calibri" w:hAnsi="Calibri" w:cs="Calibri"/>
          <w:color w:val="000000" w:themeColor="text1"/>
          <w:lang w:val="en-AU"/>
        </w:rPr>
        <w:t xml:space="preserve"> and </w:t>
      </w:r>
      <w:r w:rsidR="4D8B4C57" w:rsidRPr="545920E5">
        <w:rPr>
          <w:rFonts w:ascii="Calibri" w:eastAsia="Calibri" w:hAnsi="Calibri" w:cs="Calibri"/>
          <w:color w:val="000000" w:themeColor="text1"/>
          <w:lang w:val="en-AU"/>
        </w:rPr>
        <w:t xml:space="preserve">strengthen governance; </w:t>
      </w:r>
      <w:r w:rsidR="1F72103D" w:rsidRPr="545920E5">
        <w:rPr>
          <w:rFonts w:ascii="Calibri" w:eastAsia="Calibri" w:hAnsi="Calibri" w:cs="Calibri"/>
          <w:color w:val="000000" w:themeColor="text1"/>
          <w:lang w:val="en-AU"/>
        </w:rPr>
        <w:t xml:space="preserve">it will also </w:t>
      </w:r>
      <w:r w:rsidR="4D8B4C57" w:rsidRPr="545920E5">
        <w:rPr>
          <w:rFonts w:ascii="Calibri" w:eastAsia="Calibri" w:hAnsi="Calibri" w:cs="Calibri"/>
          <w:b/>
          <w:bCs/>
          <w:color w:val="000000" w:themeColor="text1"/>
          <w:lang w:val="en-AU"/>
        </w:rPr>
        <w:t>advance Australia's strategic interests through durable peer-to-peer engagement and people-to-people links</w:t>
      </w:r>
      <w:r w:rsidR="4D8B4C57" w:rsidRPr="545920E5">
        <w:rPr>
          <w:rFonts w:ascii="Calibri" w:eastAsia="Calibri" w:hAnsi="Calibri" w:cs="Calibri"/>
          <w:color w:val="000000" w:themeColor="text1"/>
          <w:lang w:val="en-AU"/>
        </w:rPr>
        <w:t xml:space="preserve">. </w:t>
      </w:r>
    </w:p>
    <w:p w14:paraId="66CF43CB" w14:textId="4261AE8C" w:rsidR="000065E4" w:rsidRDefault="00BB49FE" w:rsidP="003A188A">
      <w:pPr>
        <w:spacing w:before="0" w:line="240" w:lineRule="auto"/>
        <w:rPr>
          <w:rFonts w:ascii="Calibri" w:eastAsia="Calibri" w:hAnsi="Calibri" w:cs="Calibri"/>
          <w:color w:val="000000" w:themeColor="text1"/>
          <w:lang w:val="en-AU"/>
        </w:rPr>
      </w:pPr>
      <w:r>
        <w:rPr>
          <w:rFonts w:ascii="Calibri" w:eastAsia="Calibri" w:hAnsi="Calibri" w:cs="Calibri"/>
          <w:color w:val="000000" w:themeColor="text1"/>
          <w:lang w:val="en-AU"/>
        </w:rPr>
        <w:t xml:space="preserve">Through </w:t>
      </w:r>
      <w:r w:rsidR="000A7B0A">
        <w:rPr>
          <w:rFonts w:ascii="Calibri" w:eastAsia="Calibri" w:hAnsi="Calibri" w:cs="Calibri"/>
          <w:color w:val="000000" w:themeColor="text1"/>
          <w:lang w:val="en-AU"/>
        </w:rPr>
        <w:t>ENABLE</w:t>
      </w:r>
      <w:r>
        <w:rPr>
          <w:rFonts w:ascii="Calibri" w:eastAsia="Calibri" w:hAnsi="Calibri" w:cs="Calibri"/>
          <w:color w:val="000000" w:themeColor="text1"/>
          <w:lang w:val="en-AU"/>
        </w:rPr>
        <w:t xml:space="preserve">, </w:t>
      </w:r>
      <w:r w:rsidR="00455CE3" w:rsidRPr="007B2897">
        <w:rPr>
          <w:rFonts w:ascii="Calibri" w:eastAsia="Calibri" w:hAnsi="Calibri" w:cs="Calibri"/>
          <w:b/>
          <w:bCs/>
          <w:color w:val="000000" w:themeColor="text1"/>
          <w:lang w:val="en-AU"/>
        </w:rPr>
        <w:t>s</w:t>
      </w:r>
      <w:r w:rsidR="003A188A" w:rsidRPr="007B2897">
        <w:rPr>
          <w:rFonts w:ascii="Calibri" w:eastAsia="Calibri" w:hAnsi="Calibri" w:cs="Calibri"/>
          <w:b/>
          <w:bCs/>
          <w:color w:val="000000" w:themeColor="text1"/>
          <w:lang w:val="en-AU"/>
        </w:rPr>
        <w:t xml:space="preserve">trategic </w:t>
      </w:r>
      <w:r w:rsidR="00455CE3" w:rsidRPr="007B2897">
        <w:rPr>
          <w:rFonts w:ascii="Calibri" w:eastAsia="Calibri" w:hAnsi="Calibri" w:cs="Calibri"/>
          <w:b/>
          <w:bCs/>
          <w:color w:val="000000" w:themeColor="text1"/>
          <w:lang w:val="en-AU"/>
        </w:rPr>
        <w:t>p</w:t>
      </w:r>
      <w:r w:rsidR="003A188A" w:rsidRPr="007B2897">
        <w:rPr>
          <w:rFonts w:ascii="Calibri" w:eastAsia="Calibri" w:hAnsi="Calibri" w:cs="Calibri"/>
          <w:b/>
          <w:bCs/>
          <w:color w:val="000000" w:themeColor="text1"/>
          <w:lang w:val="en-AU"/>
        </w:rPr>
        <w:t xml:space="preserve">artnerships </w:t>
      </w:r>
      <w:r w:rsidRPr="007B2897">
        <w:rPr>
          <w:rFonts w:ascii="Calibri" w:eastAsia="Calibri" w:hAnsi="Calibri" w:cs="Calibri"/>
          <w:b/>
          <w:bCs/>
          <w:color w:val="000000" w:themeColor="text1"/>
          <w:lang w:val="en-AU"/>
        </w:rPr>
        <w:t xml:space="preserve">will </w:t>
      </w:r>
      <w:r w:rsidR="003A188A" w:rsidRPr="007B2897">
        <w:rPr>
          <w:rFonts w:ascii="Calibri" w:eastAsia="Calibri" w:hAnsi="Calibri" w:cs="Calibri"/>
          <w:b/>
          <w:bCs/>
          <w:color w:val="000000" w:themeColor="text1"/>
          <w:lang w:val="en-AU"/>
        </w:rPr>
        <w:t>evolve from short-term, relatively shallow, input-based projects to a more mature, multi-year, sustainable and outcomes-focused partnership</w:t>
      </w:r>
      <w:r w:rsidR="003A188A" w:rsidRPr="003A188A">
        <w:rPr>
          <w:rFonts w:ascii="Calibri" w:eastAsia="Calibri" w:hAnsi="Calibri" w:cs="Calibri"/>
          <w:color w:val="000000" w:themeColor="text1"/>
          <w:lang w:val="en-AU"/>
        </w:rPr>
        <w:t xml:space="preserve">. </w:t>
      </w:r>
      <w:r w:rsidR="000065E4" w:rsidRPr="003A188A">
        <w:rPr>
          <w:rFonts w:ascii="Calibri" w:eastAsia="Calibri" w:hAnsi="Calibri" w:cs="Calibri"/>
          <w:color w:val="000000" w:themeColor="text1"/>
          <w:lang w:val="en-AU"/>
        </w:rPr>
        <w:t>Putting in place strategic, multiyear partnerships will allow for partners to spend less time on administration (i.e. grant writing) and more on strategic engagement with DFAT. Partners will be selected based on a range of factors including being able to demonstrate that a Strategic Partnership will enable the delivery of PHC4PNG objectives, i.e. to strengthen primary healthcare and improve service delivery for the rural majority in PNG.</w:t>
      </w:r>
    </w:p>
    <w:p w14:paraId="06119C8A" w14:textId="6EBFA780" w:rsidR="003A188A" w:rsidRPr="003A188A" w:rsidRDefault="00BB49FE" w:rsidP="003A188A">
      <w:pPr>
        <w:spacing w:before="0" w:line="240" w:lineRule="auto"/>
        <w:rPr>
          <w:rFonts w:ascii="Calibri" w:eastAsia="Calibri" w:hAnsi="Calibri" w:cs="Calibri"/>
          <w:color w:val="000000" w:themeColor="text1"/>
          <w:lang w:val="en-AU"/>
        </w:rPr>
      </w:pPr>
      <w:r>
        <w:rPr>
          <w:rFonts w:ascii="Calibri" w:eastAsia="Calibri" w:hAnsi="Calibri" w:cs="Calibri"/>
          <w:color w:val="000000" w:themeColor="text1"/>
          <w:lang w:val="en-AU"/>
        </w:rPr>
        <w:t>I</w:t>
      </w:r>
      <w:r w:rsidR="003A188A" w:rsidRPr="003A188A">
        <w:rPr>
          <w:rFonts w:ascii="Calibri" w:eastAsia="Calibri" w:hAnsi="Calibri" w:cs="Calibri"/>
          <w:color w:val="000000" w:themeColor="text1"/>
          <w:lang w:val="en-AU"/>
        </w:rPr>
        <w:t>n the early years</w:t>
      </w:r>
      <w:r>
        <w:rPr>
          <w:rFonts w:ascii="Calibri" w:eastAsia="Calibri" w:hAnsi="Calibri" w:cs="Calibri"/>
          <w:color w:val="000000" w:themeColor="text1"/>
          <w:lang w:val="en-AU"/>
        </w:rPr>
        <w:t>, ENABLE</w:t>
      </w:r>
      <w:r w:rsidR="003A188A" w:rsidRPr="003A188A">
        <w:rPr>
          <w:rFonts w:ascii="Calibri" w:eastAsia="Calibri" w:hAnsi="Calibri" w:cs="Calibri"/>
          <w:color w:val="000000" w:themeColor="text1"/>
          <w:lang w:val="en-AU"/>
        </w:rPr>
        <w:t xml:space="preserve"> will seek to leverage existing institutional relationships, such as </w:t>
      </w:r>
      <w:r>
        <w:rPr>
          <w:rFonts w:ascii="Calibri" w:eastAsia="Calibri" w:hAnsi="Calibri" w:cs="Calibri"/>
          <w:color w:val="000000" w:themeColor="text1"/>
          <w:lang w:val="en-AU"/>
        </w:rPr>
        <w:t xml:space="preserve">Youth </w:t>
      </w:r>
      <w:proofErr w:type="gramStart"/>
      <w:r>
        <w:rPr>
          <w:rFonts w:ascii="Calibri" w:eastAsia="Calibri" w:hAnsi="Calibri" w:cs="Calibri"/>
          <w:color w:val="000000" w:themeColor="text1"/>
          <w:lang w:val="en-AU"/>
        </w:rPr>
        <w:t>With</w:t>
      </w:r>
      <w:proofErr w:type="gramEnd"/>
      <w:r>
        <w:rPr>
          <w:rFonts w:ascii="Calibri" w:eastAsia="Calibri" w:hAnsi="Calibri" w:cs="Calibri"/>
          <w:color w:val="000000" w:themeColor="text1"/>
          <w:lang w:val="en-AU"/>
        </w:rPr>
        <w:t xml:space="preserve"> </w:t>
      </w:r>
      <w:proofErr w:type="gramStart"/>
      <w:r>
        <w:rPr>
          <w:rFonts w:ascii="Calibri" w:eastAsia="Calibri" w:hAnsi="Calibri" w:cs="Calibri"/>
          <w:color w:val="000000" w:themeColor="text1"/>
          <w:lang w:val="en-AU"/>
        </w:rPr>
        <w:t>A</w:t>
      </w:r>
      <w:proofErr w:type="gramEnd"/>
      <w:r>
        <w:rPr>
          <w:rFonts w:ascii="Calibri" w:eastAsia="Calibri" w:hAnsi="Calibri" w:cs="Calibri"/>
          <w:color w:val="000000" w:themeColor="text1"/>
          <w:lang w:val="en-AU"/>
        </w:rPr>
        <w:t xml:space="preserve"> Mission (</w:t>
      </w:r>
      <w:r w:rsidR="003A188A" w:rsidRPr="003A188A">
        <w:rPr>
          <w:rFonts w:ascii="Calibri" w:eastAsia="Calibri" w:hAnsi="Calibri" w:cs="Calibri"/>
          <w:color w:val="000000" w:themeColor="text1"/>
          <w:lang w:val="en-AU"/>
        </w:rPr>
        <w:t>YWAM</w:t>
      </w:r>
      <w:r>
        <w:rPr>
          <w:rFonts w:ascii="Calibri" w:eastAsia="Calibri" w:hAnsi="Calibri" w:cs="Calibri"/>
          <w:color w:val="000000" w:themeColor="text1"/>
          <w:lang w:val="en-AU"/>
        </w:rPr>
        <w:t>)</w:t>
      </w:r>
      <w:r w:rsidR="003A188A" w:rsidRPr="003A188A">
        <w:rPr>
          <w:rFonts w:ascii="Calibri" w:eastAsia="Calibri" w:hAnsi="Calibri" w:cs="Calibri"/>
          <w:color w:val="000000" w:themeColor="text1"/>
          <w:lang w:val="en-AU"/>
        </w:rPr>
        <w:t xml:space="preserve"> and the </w:t>
      </w:r>
      <w:r>
        <w:rPr>
          <w:rFonts w:ascii="Calibri" w:eastAsia="Calibri" w:hAnsi="Calibri" w:cs="Calibri"/>
          <w:color w:val="000000" w:themeColor="text1"/>
          <w:lang w:val="en-AU"/>
        </w:rPr>
        <w:t>University of PNG</w:t>
      </w:r>
      <w:r w:rsidR="00055FDC">
        <w:rPr>
          <w:rFonts w:ascii="Calibri" w:eastAsia="Calibri" w:hAnsi="Calibri" w:cs="Calibri"/>
          <w:color w:val="000000" w:themeColor="text1"/>
          <w:lang w:val="en-AU"/>
        </w:rPr>
        <w:t xml:space="preserve"> (</w:t>
      </w:r>
      <w:r w:rsidR="003A188A" w:rsidRPr="003A188A">
        <w:rPr>
          <w:rFonts w:ascii="Calibri" w:eastAsia="Calibri" w:hAnsi="Calibri" w:cs="Calibri"/>
          <w:color w:val="000000" w:themeColor="text1"/>
          <w:lang w:val="en-AU"/>
        </w:rPr>
        <w:t>UPNG</w:t>
      </w:r>
      <w:r w:rsidR="003234D6">
        <w:rPr>
          <w:rFonts w:ascii="Calibri" w:eastAsia="Calibri" w:hAnsi="Calibri" w:cs="Calibri"/>
          <w:color w:val="000000" w:themeColor="text1"/>
          <w:lang w:val="en-AU"/>
        </w:rPr>
        <w:t>)</w:t>
      </w:r>
      <w:r w:rsidR="003234D6" w:rsidRPr="003A188A">
        <w:rPr>
          <w:rFonts w:ascii="Calibri" w:eastAsia="Calibri" w:hAnsi="Calibri" w:cs="Calibri"/>
          <w:color w:val="000000" w:themeColor="text1"/>
          <w:lang w:val="en-AU"/>
        </w:rPr>
        <w:t xml:space="preserve"> and</w:t>
      </w:r>
      <w:r w:rsidR="003A188A" w:rsidRPr="003A188A">
        <w:rPr>
          <w:rFonts w:ascii="Calibri" w:eastAsia="Calibri" w:hAnsi="Calibri" w:cs="Calibri"/>
          <w:color w:val="000000" w:themeColor="text1"/>
          <w:lang w:val="en-AU"/>
        </w:rPr>
        <w:t xml:space="preserve"> translate them into longer-term more strategic partnerships with </w:t>
      </w:r>
      <w:r w:rsidR="00D10159" w:rsidRPr="003A188A">
        <w:rPr>
          <w:rFonts w:ascii="Calibri" w:eastAsia="Calibri" w:hAnsi="Calibri" w:cs="Calibri"/>
          <w:color w:val="000000" w:themeColor="text1"/>
          <w:lang w:val="en-AU"/>
        </w:rPr>
        <w:t>clearly articulated</w:t>
      </w:r>
      <w:r w:rsidR="003A188A" w:rsidRPr="003A188A">
        <w:rPr>
          <w:rFonts w:ascii="Calibri" w:eastAsia="Calibri" w:hAnsi="Calibri" w:cs="Calibri"/>
          <w:color w:val="000000" w:themeColor="text1"/>
          <w:lang w:val="en-AU"/>
        </w:rPr>
        <w:t xml:space="preserve"> priorities and accountabilities for both Australia and PNG. For</w:t>
      </w:r>
      <w:r w:rsidR="003C486A">
        <w:rPr>
          <w:rFonts w:ascii="Calibri" w:eastAsia="Calibri" w:hAnsi="Calibri" w:cs="Calibri"/>
          <w:color w:val="000000" w:themeColor="text1"/>
          <w:lang w:val="en-AU"/>
        </w:rPr>
        <w:t xml:space="preserve"> </w:t>
      </w:r>
      <w:r w:rsidR="003A188A" w:rsidRPr="003A188A">
        <w:rPr>
          <w:rFonts w:ascii="Calibri" w:eastAsia="Calibri" w:hAnsi="Calibri" w:cs="Calibri"/>
          <w:color w:val="000000" w:themeColor="text1"/>
          <w:lang w:val="en-AU"/>
        </w:rPr>
        <w:t xml:space="preserve">example, for YWAM, a </w:t>
      </w:r>
      <w:r w:rsidR="003C486A">
        <w:rPr>
          <w:rFonts w:ascii="Calibri" w:eastAsia="Calibri" w:hAnsi="Calibri" w:cs="Calibri"/>
          <w:color w:val="000000" w:themeColor="text1"/>
          <w:lang w:val="en-AU"/>
        </w:rPr>
        <w:t xml:space="preserve">strategic </w:t>
      </w:r>
      <w:r w:rsidR="003A188A" w:rsidRPr="003A188A">
        <w:rPr>
          <w:rFonts w:ascii="Calibri" w:eastAsia="Calibri" w:hAnsi="Calibri" w:cs="Calibri"/>
          <w:color w:val="000000" w:themeColor="text1"/>
          <w:lang w:val="en-AU"/>
        </w:rPr>
        <w:t xml:space="preserve">partnership with DFAT could be expected to see an increased focus on delivering </w:t>
      </w:r>
      <w:r w:rsidR="00055FDC">
        <w:rPr>
          <w:rFonts w:ascii="Calibri" w:eastAsia="Calibri" w:hAnsi="Calibri" w:cs="Calibri"/>
          <w:color w:val="000000" w:themeColor="text1"/>
          <w:lang w:val="en-AU"/>
        </w:rPr>
        <w:t xml:space="preserve">services </w:t>
      </w:r>
      <w:r w:rsidR="003A188A" w:rsidRPr="003A188A">
        <w:rPr>
          <w:rFonts w:ascii="Calibri" w:eastAsia="Calibri" w:hAnsi="Calibri" w:cs="Calibri"/>
          <w:color w:val="000000" w:themeColor="text1"/>
          <w:lang w:val="en-AU"/>
        </w:rPr>
        <w:t>in</w:t>
      </w:r>
      <w:r w:rsidR="007B2897">
        <w:rPr>
          <w:rFonts w:ascii="Calibri" w:eastAsia="Calibri" w:hAnsi="Calibri" w:cs="Calibri"/>
          <w:color w:val="000000" w:themeColor="text1"/>
          <w:lang w:val="en-AU"/>
        </w:rPr>
        <w:t xml:space="preserve"> strategically important</w:t>
      </w:r>
      <w:r w:rsidR="003A188A" w:rsidRPr="003A188A">
        <w:rPr>
          <w:rFonts w:ascii="Calibri" w:eastAsia="Calibri" w:hAnsi="Calibri" w:cs="Calibri"/>
          <w:color w:val="000000" w:themeColor="text1"/>
          <w:lang w:val="en-AU"/>
        </w:rPr>
        <w:t xml:space="preserve"> Treaty Villages in Western Province. A </w:t>
      </w:r>
      <w:r w:rsidR="00AD18E0">
        <w:rPr>
          <w:rFonts w:ascii="Calibri" w:eastAsia="Calibri" w:hAnsi="Calibri" w:cs="Calibri"/>
          <w:color w:val="000000" w:themeColor="text1"/>
          <w:lang w:val="en-AU"/>
        </w:rPr>
        <w:t>s</w:t>
      </w:r>
      <w:r w:rsidR="003A188A" w:rsidRPr="003A188A">
        <w:rPr>
          <w:rFonts w:ascii="Calibri" w:eastAsia="Calibri" w:hAnsi="Calibri" w:cs="Calibri"/>
          <w:color w:val="000000" w:themeColor="text1"/>
          <w:lang w:val="en-AU"/>
        </w:rPr>
        <w:t xml:space="preserve">trategic </w:t>
      </w:r>
      <w:r w:rsidR="00AD18E0">
        <w:rPr>
          <w:rFonts w:ascii="Calibri" w:eastAsia="Calibri" w:hAnsi="Calibri" w:cs="Calibri"/>
          <w:color w:val="000000" w:themeColor="text1"/>
          <w:lang w:val="en-AU"/>
        </w:rPr>
        <w:t>p</w:t>
      </w:r>
      <w:r w:rsidR="003A188A" w:rsidRPr="003A188A">
        <w:rPr>
          <w:rFonts w:ascii="Calibri" w:eastAsia="Calibri" w:hAnsi="Calibri" w:cs="Calibri"/>
          <w:color w:val="000000" w:themeColor="text1"/>
          <w:lang w:val="en-AU"/>
        </w:rPr>
        <w:t>artnership with the UPNG School of Medicine and Health Sciences – or the new University of Medicine and Health Sciences – might look at staff exchanges and provision of external examiners initially, with a long-term vision of study exchanges and ‘co’-degree awards with relevant Australian academic in</w:t>
      </w:r>
      <w:r w:rsidR="00AD18E0">
        <w:rPr>
          <w:rFonts w:ascii="Calibri" w:eastAsia="Calibri" w:hAnsi="Calibri" w:cs="Calibri"/>
          <w:color w:val="000000" w:themeColor="text1"/>
          <w:lang w:val="en-AU"/>
        </w:rPr>
        <w:t>stitutions</w:t>
      </w:r>
      <w:r w:rsidR="00BA7072">
        <w:rPr>
          <w:rFonts w:ascii="Calibri" w:eastAsia="Calibri" w:hAnsi="Calibri" w:cs="Calibri"/>
          <w:color w:val="000000" w:themeColor="text1"/>
          <w:lang w:val="en-AU"/>
        </w:rPr>
        <w:t>.</w:t>
      </w:r>
      <w:r w:rsidR="002313DF">
        <w:rPr>
          <w:rFonts w:ascii="Calibri" w:eastAsia="Calibri" w:hAnsi="Calibri" w:cs="Calibri"/>
          <w:color w:val="000000" w:themeColor="text1"/>
          <w:lang w:val="en-AU"/>
        </w:rPr>
        <w:t xml:space="preserve"> </w:t>
      </w:r>
    </w:p>
    <w:p w14:paraId="31D7E264" w14:textId="29D0411D" w:rsidR="00F81744" w:rsidRPr="00926338" w:rsidRDefault="000065E4" w:rsidP="00926338">
      <w:pPr>
        <w:spacing w:after="120" w:line="260" w:lineRule="exact"/>
        <w:rPr>
          <w:rFonts w:asciiTheme="majorHAnsi" w:eastAsiaTheme="majorEastAsia" w:hAnsiTheme="majorHAnsi" w:cstheme="majorBidi"/>
          <w:color w:val="auto"/>
        </w:rPr>
      </w:pPr>
      <w:r>
        <w:rPr>
          <w:rFonts w:ascii="Calibri" w:eastAsia="Calibri" w:hAnsi="Calibri" w:cs="Calibri"/>
          <w:color w:val="000000" w:themeColor="text1"/>
          <w:lang w:val="en-AU"/>
        </w:rPr>
        <w:lastRenderedPageBreak/>
        <w:t>ENABLE</w:t>
      </w:r>
      <w:r w:rsidR="00642E89">
        <w:rPr>
          <w:rFonts w:ascii="Calibri" w:eastAsia="Calibri" w:hAnsi="Calibri" w:cs="Calibri"/>
          <w:color w:val="000000" w:themeColor="text1"/>
          <w:lang w:val="en-AU"/>
        </w:rPr>
        <w:t xml:space="preserve"> will help </w:t>
      </w:r>
      <w:r w:rsidR="007D10E9">
        <w:rPr>
          <w:rFonts w:ascii="Calibri" w:eastAsia="Calibri" w:hAnsi="Calibri" w:cs="Calibri"/>
          <w:color w:val="000000" w:themeColor="text1"/>
          <w:lang w:val="en-AU"/>
        </w:rPr>
        <w:t xml:space="preserve">enhance </w:t>
      </w:r>
      <w:r w:rsidR="00642E89">
        <w:rPr>
          <w:rFonts w:ascii="Calibri" w:eastAsia="Calibri" w:hAnsi="Calibri" w:cs="Calibri"/>
          <w:color w:val="000000" w:themeColor="text1"/>
          <w:lang w:val="en-AU"/>
        </w:rPr>
        <w:t xml:space="preserve">the </w:t>
      </w:r>
      <w:r w:rsidR="007D10E9">
        <w:rPr>
          <w:rFonts w:ascii="Calibri" w:eastAsia="Calibri" w:hAnsi="Calibri" w:cs="Calibri"/>
          <w:color w:val="000000" w:themeColor="text1"/>
          <w:lang w:val="en-AU"/>
        </w:rPr>
        <w:t xml:space="preserve">success </w:t>
      </w:r>
      <w:r w:rsidR="00642E89">
        <w:rPr>
          <w:rFonts w:ascii="Calibri" w:eastAsia="Calibri" w:hAnsi="Calibri" w:cs="Calibri"/>
          <w:color w:val="000000" w:themeColor="text1"/>
          <w:lang w:val="en-AU"/>
        </w:rPr>
        <w:t xml:space="preserve">of </w:t>
      </w:r>
      <w:r w:rsidR="00D52D7C">
        <w:rPr>
          <w:rFonts w:ascii="Calibri" w:eastAsia="Calibri" w:hAnsi="Calibri" w:cs="Calibri"/>
          <w:color w:val="000000" w:themeColor="text1"/>
          <w:lang w:val="en-AU"/>
        </w:rPr>
        <w:t xml:space="preserve">a suite of </w:t>
      </w:r>
      <w:r w:rsidR="00F81744" w:rsidRPr="00465F91">
        <w:rPr>
          <w:rFonts w:ascii="Calibri" w:eastAsia="Calibri" w:hAnsi="Calibri" w:cs="Calibri"/>
          <w:color w:val="000000" w:themeColor="text1"/>
          <w:lang w:val="en-AU"/>
        </w:rPr>
        <w:t>complementary investment</w:t>
      </w:r>
      <w:r w:rsidR="00F81744">
        <w:rPr>
          <w:rFonts w:ascii="Calibri" w:eastAsia="Calibri" w:hAnsi="Calibri" w:cs="Calibri"/>
          <w:color w:val="000000" w:themeColor="text1"/>
          <w:lang w:val="en-AU"/>
        </w:rPr>
        <w:t>s</w:t>
      </w:r>
      <w:r w:rsidR="00642E89">
        <w:rPr>
          <w:rFonts w:ascii="Calibri" w:eastAsia="Calibri" w:hAnsi="Calibri" w:cs="Calibri"/>
          <w:color w:val="000000" w:themeColor="text1"/>
          <w:lang w:val="en-AU"/>
        </w:rPr>
        <w:t xml:space="preserve"> under the HPS</w:t>
      </w:r>
      <w:r w:rsidR="00895169">
        <w:rPr>
          <w:rFonts w:ascii="Calibri" w:eastAsia="Calibri" w:hAnsi="Calibri" w:cs="Calibri"/>
          <w:color w:val="000000" w:themeColor="text1"/>
          <w:lang w:val="en-AU"/>
        </w:rPr>
        <w:t>, including</w:t>
      </w:r>
      <w:r w:rsidR="002A4D6B">
        <w:rPr>
          <w:rFonts w:asciiTheme="majorHAnsi" w:eastAsiaTheme="minorEastAsia" w:hAnsiTheme="majorHAnsi" w:cstheme="majorBidi"/>
          <w:b/>
          <w:bCs/>
          <w:color w:val="000000" w:themeColor="text1"/>
        </w:rPr>
        <w:t xml:space="preserve"> </w:t>
      </w:r>
      <w:r w:rsidR="007E35EF" w:rsidRPr="00C30C92">
        <w:rPr>
          <w:rFonts w:asciiTheme="majorHAnsi" w:eastAsiaTheme="minorEastAsia" w:hAnsiTheme="majorHAnsi" w:cstheme="majorBidi"/>
          <w:b/>
          <w:bCs/>
          <w:color w:val="000000" w:themeColor="text1"/>
        </w:rPr>
        <w:t>PHC4PNG</w:t>
      </w:r>
      <w:r w:rsidR="00E873A4" w:rsidRPr="00C30C92">
        <w:rPr>
          <w:rFonts w:asciiTheme="majorHAnsi" w:eastAsiaTheme="minorEastAsia" w:hAnsiTheme="majorHAnsi" w:cstheme="majorBidi"/>
          <w:b/>
          <w:bCs/>
          <w:color w:val="000000" w:themeColor="text1"/>
        </w:rPr>
        <w:t xml:space="preserve">) </w:t>
      </w:r>
      <w:r w:rsidR="00946E44" w:rsidRPr="001707AC">
        <w:rPr>
          <w:rFonts w:asciiTheme="majorHAnsi" w:eastAsiaTheme="minorEastAsia" w:hAnsiTheme="majorHAnsi" w:cstheme="majorBidi"/>
          <w:color w:val="000000" w:themeColor="text1"/>
        </w:rPr>
        <w:t>focus</w:t>
      </w:r>
      <w:r w:rsidR="002A4D6B" w:rsidRPr="001707AC">
        <w:rPr>
          <w:rFonts w:asciiTheme="majorHAnsi" w:eastAsiaTheme="minorEastAsia" w:hAnsiTheme="majorHAnsi" w:cstheme="majorBidi"/>
          <w:color w:val="000000" w:themeColor="text1"/>
        </w:rPr>
        <w:t>ing</w:t>
      </w:r>
      <w:r w:rsidR="00946E44" w:rsidRPr="001707AC">
        <w:rPr>
          <w:rFonts w:asciiTheme="majorHAnsi" w:eastAsiaTheme="minorEastAsia" w:hAnsiTheme="majorHAnsi" w:cstheme="majorBidi"/>
          <w:color w:val="000000" w:themeColor="text1"/>
        </w:rPr>
        <w:t xml:space="preserve"> </w:t>
      </w:r>
      <w:r w:rsidR="00F81744" w:rsidRPr="001707AC">
        <w:rPr>
          <w:rFonts w:ascii="Calibri" w:eastAsia="Calibri" w:hAnsi="Calibri" w:cs="Calibri"/>
          <w:color w:val="000000" w:themeColor="text1"/>
          <w:lang w:val="en-AU"/>
        </w:rPr>
        <w:t xml:space="preserve">on </w:t>
      </w:r>
      <w:r w:rsidR="00F81744" w:rsidRPr="007B2897">
        <w:rPr>
          <w:rFonts w:ascii="Calibri" w:eastAsia="Calibri" w:hAnsi="Calibri" w:cs="Calibri"/>
          <w:color w:val="000000" w:themeColor="text1"/>
          <w:lang w:val="en-AU"/>
        </w:rPr>
        <w:t>strengthening sub-national health systems and service delivery</w:t>
      </w:r>
      <w:r w:rsidR="00EA5595" w:rsidRPr="007B2897">
        <w:rPr>
          <w:rFonts w:ascii="Calibri" w:eastAsia="Calibri" w:hAnsi="Calibri" w:cs="Calibri"/>
          <w:color w:val="000000" w:themeColor="text1"/>
          <w:lang w:val="en-AU"/>
        </w:rPr>
        <w:t>;</w:t>
      </w:r>
      <w:r w:rsidR="00F81744" w:rsidRPr="007B2897">
        <w:rPr>
          <w:rFonts w:ascii="Calibri" w:eastAsia="Calibri" w:hAnsi="Calibri" w:cs="Calibri"/>
          <w:color w:val="000000" w:themeColor="text1"/>
          <w:lang w:val="en-AU"/>
        </w:rPr>
        <w:t xml:space="preserve"> </w:t>
      </w:r>
      <w:r w:rsidR="002A4D6B">
        <w:rPr>
          <w:rFonts w:ascii="Calibri" w:eastAsia="Calibri" w:hAnsi="Calibri" w:cs="Calibri"/>
          <w:color w:val="000000" w:themeColor="text1"/>
          <w:lang w:val="en-AU"/>
        </w:rPr>
        <w:t xml:space="preserve">and </w:t>
      </w:r>
      <w:r w:rsidR="00EA5595" w:rsidRPr="00C30C92">
        <w:rPr>
          <w:rFonts w:asciiTheme="majorHAnsi" w:eastAsiaTheme="minorEastAsia" w:hAnsiTheme="majorHAnsi" w:cstheme="majorBidi"/>
          <w:b/>
          <w:bCs/>
          <w:color w:val="000000" w:themeColor="text1"/>
        </w:rPr>
        <w:t>DFAT</w:t>
      </w:r>
      <w:r w:rsidR="00EA5595" w:rsidRPr="00C30C92">
        <w:rPr>
          <w:rFonts w:ascii="Calibri" w:eastAsia="Calibri" w:hAnsi="Calibri" w:cs="Calibri"/>
          <w:b/>
          <w:bCs/>
          <w:color w:val="000000" w:themeColor="text1"/>
          <w:lang w:val="en-AU"/>
        </w:rPr>
        <w:t xml:space="preserve">-ADB </w:t>
      </w:r>
      <w:r w:rsidR="00DA093F" w:rsidRPr="00C30C92">
        <w:rPr>
          <w:rFonts w:ascii="Calibri" w:eastAsia="Calibri" w:hAnsi="Calibri" w:cs="Calibri"/>
          <w:b/>
          <w:bCs/>
          <w:color w:val="000000" w:themeColor="text1"/>
          <w:lang w:val="en-AU"/>
        </w:rPr>
        <w:t xml:space="preserve">SHARE </w:t>
      </w:r>
      <w:r w:rsidR="00DA093F" w:rsidRPr="001707AC">
        <w:rPr>
          <w:rFonts w:ascii="Calibri" w:eastAsia="Calibri" w:hAnsi="Calibri" w:cs="Calibri"/>
          <w:color w:val="000000" w:themeColor="text1"/>
          <w:lang w:val="en-AU"/>
        </w:rPr>
        <w:t>focus</w:t>
      </w:r>
      <w:r w:rsidR="002A4D6B" w:rsidRPr="001707AC">
        <w:rPr>
          <w:rFonts w:ascii="Calibri" w:eastAsia="Calibri" w:hAnsi="Calibri" w:cs="Calibri"/>
          <w:color w:val="000000" w:themeColor="text1"/>
          <w:lang w:val="en-AU"/>
        </w:rPr>
        <w:t>ing</w:t>
      </w:r>
      <w:r w:rsidR="00DA093F" w:rsidRPr="001707AC">
        <w:rPr>
          <w:rFonts w:ascii="Calibri" w:eastAsia="Calibri" w:hAnsi="Calibri" w:cs="Calibri"/>
          <w:color w:val="000000" w:themeColor="text1"/>
          <w:lang w:val="en-AU"/>
        </w:rPr>
        <w:t xml:space="preserve"> on improving </w:t>
      </w:r>
      <w:r w:rsidR="00DA093F" w:rsidRPr="00946E44">
        <w:rPr>
          <w:rFonts w:ascii="Calibri" w:eastAsia="Calibri" w:hAnsi="Calibri" w:cs="Calibri"/>
          <w:color w:val="000000" w:themeColor="text1"/>
          <w:lang w:val="en-AU"/>
        </w:rPr>
        <w:t>rural health infrastructure which supports the deliver</w:t>
      </w:r>
      <w:r w:rsidR="00946E44">
        <w:rPr>
          <w:rFonts w:ascii="Calibri" w:eastAsia="Calibri" w:hAnsi="Calibri" w:cs="Calibri"/>
          <w:color w:val="000000" w:themeColor="text1"/>
          <w:lang w:val="en-AU"/>
        </w:rPr>
        <w:t>y</w:t>
      </w:r>
      <w:r w:rsidR="00DA093F" w:rsidRPr="00946E44">
        <w:rPr>
          <w:rFonts w:ascii="Calibri" w:eastAsia="Calibri" w:hAnsi="Calibri" w:cs="Calibri"/>
          <w:color w:val="000000" w:themeColor="text1"/>
          <w:lang w:val="en-AU"/>
        </w:rPr>
        <w:t xml:space="preserve"> of PHC</w:t>
      </w:r>
      <w:r w:rsidR="002A4D6B">
        <w:rPr>
          <w:rFonts w:ascii="Calibri" w:eastAsia="Calibri" w:hAnsi="Calibri" w:cs="Calibri"/>
          <w:color w:val="000000" w:themeColor="text1"/>
          <w:lang w:val="en-AU"/>
        </w:rPr>
        <w:t xml:space="preserve">. </w:t>
      </w:r>
      <w:r w:rsidR="00F81744" w:rsidRPr="00926338">
        <w:rPr>
          <w:rFonts w:asciiTheme="majorHAnsi" w:eastAsiaTheme="majorEastAsia" w:hAnsiTheme="majorHAnsi" w:cstheme="majorBidi"/>
          <w:color w:val="auto"/>
        </w:rPr>
        <w:t xml:space="preserve">These </w:t>
      </w:r>
      <w:r w:rsidR="002A4D6B">
        <w:rPr>
          <w:rFonts w:asciiTheme="majorHAnsi" w:eastAsiaTheme="majorEastAsia" w:hAnsiTheme="majorHAnsi" w:cstheme="majorBidi"/>
          <w:color w:val="auto"/>
        </w:rPr>
        <w:t xml:space="preserve">two large </w:t>
      </w:r>
      <w:r w:rsidR="00F81744" w:rsidRPr="00926338">
        <w:rPr>
          <w:rFonts w:asciiTheme="majorHAnsi" w:eastAsiaTheme="majorEastAsia" w:hAnsiTheme="majorHAnsi" w:cstheme="majorBidi"/>
          <w:color w:val="auto"/>
        </w:rPr>
        <w:t xml:space="preserve">investments complement Australia’s </w:t>
      </w:r>
      <w:r w:rsidR="002125B4" w:rsidRPr="00926338">
        <w:rPr>
          <w:rFonts w:asciiTheme="majorHAnsi" w:eastAsiaTheme="majorEastAsia" w:hAnsiTheme="majorHAnsi" w:cstheme="majorBidi"/>
          <w:color w:val="auto"/>
        </w:rPr>
        <w:t xml:space="preserve">existing </w:t>
      </w:r>
      <w:r w:rsidR="00A432D3" w:rsidRPr="00926338">
        <w:rPr>
          <w:rFonts w:asciiTheme="majorHAnsi" w:eastAsiaTheme="majorEastAsia" w:hAnsiTheme="majorHAnsi" w:cstheme="majorBidi"/>
          <w:color w:val="auto"/>
        </w:rPr>
        <w:t>support to health infrastructure</w:t>
      </w:r>
      <w:r w:rsidR="008C0E70" w:rsidRPr="00926338">
        <w:rPr>
          <w:rFonts w:asciiTheme="majorHAnsi" w:eastAsiaTheme="majorEastAsia" w:hAnsiTheme="majorHAnsi" w:cstheme="majorBidi"/>
          <w:color w:val="auto"/>
        </w:rPr>
        <w:t xml:space="preserve">, regional investments through </w:t>
      </w:r>
      <w:r w:rsidR="00895169">
        <w:rPr>
          <w:rFonts w:asciiTheme="majorHAnsi" w:eastAsiaTheme="majorEastAsia" w:hAnsiTheme="majorHAnsi" w:cstheme="majorBidi"/>
          <w:color w:val="auto"/>
        </w:rPr>
        <w:t xml:space="preserve">the </w:t>
      </w:r>
      <w:r w:rsidR="008C0E70" w:rsidRPr="00926338">
        <w:rPr>
          <w:rFonts w:asciiTheme="majorHAnsi" w:eastAsiaTheme="majorEastAsia" w:hAnsiTheme="majorHAnsi" w:cstheme="majorBidi"/>
          <w:color w:val="auto"/>
        </w:rPr>
        <w:t>Partnership</w:t>
      </w:r>
      <w:r w:rsidR="00895169">
        <w:rPr>
          <w:rFonts w:asciiTheme="majorHAnsi" w:eastAsiaTheme="majorEastAsia" w:hAnsiTheme="majorHAnsi" w:cstheme="majorBidi"/>
          <w:color w:val="auto"/>
        </w:rPr>
        <w:t>s</w:t>
      </w:r>
      <w:r w:rsidR="008C0E70" w:rsidRPr="00926338">
        <w:rPr>
          <w:rFonts w:asciiTheme="majorHAnsi" w:eastAsiaTheme="majorEastAsia" w:hAnsiTheme="majorHAnsi" w:cstheme="majorBidi"/>
          <w:color w:val="auto"/>
        </w:rPr>
        <w:t xml:space="preserve"> for Healthy Region (PHR) initiative</w:t>
      </w:r>
      <w:r w:rsidR="002125B4" w:rsidRPr="00926338">
        <w:rPr>
          <w:rFonts w:asciiTheme="majorHAnsi" w:eastAsiaTheme="majorEastAsia" w:hAnsiTheme="majorHAnsi" w:cstheme="majorBidi"/>
          <w:color w:val="auto"/>
        </w:rPr>
        <w:t>,</w:t>
      </w:r>
      <w:r w:rsidR="008C0E70" w:rsidRPr="00926338">
        <w:rPr>
          <w:rFonts w:asciiTheme="majorHAnsi" w:eastAsiaTheme="majorEastAsia" w:hAnsiTheme="majorHAnsi" w:cstheme="majorBidi"/>
          <w:color w:val="auto"/>
        </w:rPr>
        <w:t xml:space="preserve"> and multilateral partners, including WHO. Australia is also establishing a Direct Financing Agreement (DFA) with PNG </w:t>
      </w:r>
      <w:r w:rsidR="00895169">
        <w:rPr>
          <w:rFonts w:asciiTheme="majorHAnsi" w:eastAsiaTheme="majorEastAsia" w:hAnsiTheme="majorHAnsi" w:cstheme="majorBidi"/>
          <w:color w:val="auto"/>
        </w:rPr>
        <w:t xml:space="preserve">Government </w:t>
      </w:r>
      <w:r w:rsidR="008C0E70" w:rsidRPr="00926338">
        <w:rPr>
          <w:rFonts w:asciiTheme="majorHAnsi" w:eastAsiaTheme="majorEastAsia" w:hAnsiTheme="majorHAnsi" w:cstheme="majorBidi"/>
          <w:color w:val="auto"/>
        </w:rPr>
        <w:t xml:space="preserve">to strengthen preparedness for and response to public health emergencies. </w:t>
      </w:r>
    </w:p>
    <w:p w14:paraId="10DA1067" w14:textId="395E65A9" w:rsidR="00D07A74" w:rsidRDefault="00D07A74" w:rsidP="00926338">
      <w:pPr>
        <w:spacing w:after="120" w:line="260" w:lineRule="exact"/>
        <w:rPr>
          <w:rFonts w:asciiTheme="majorHAnsi" w:eastAsiaTheme="majorEastAsia" w:hAnsiTheme="majorHAnsi" w:cstheme="majorBidi"/>
          <w:b/>
          <w:bCs/>
          <w:color w:val="auto"/>
        </w:rPr>
      </w:pPr>
      <w:r w:rsidRPr="00926338">
        <w:rPr>
          <w:rFonts w:asciiTheme="majorHAnsi" w:eastAsiaTheme="majorEastAsia" w:hAnsiTheme="majorHAnsi" w:cstheme="majorBidi"/>
          <w:color w:val="auto"/>
        </w:rPr>
        <w:t>ENABLE and PHC4PNG are being designed alongside major health investments by the Asian Development Bank and World Bank, creating opportunities for coordinated support</w:t>
      </w:r>
      <w:r w:rsidR="001C5644" w:rsidRPr="00926338">
        <w:rPr>
          <w:rFonts w:asciiTheme="majorHAnsi" w:eastAsiaTheme="majorEastAsia" w:hAnsiTheme="majorHAnsi" w:cstheme="majorBidi"/>
          <w:color w:val="auto"/>
        </w:rPr>
        <w:t xml:space="preserve"> to service delivery</w:t>
      </w:r>
      <w:r w:rsidRPr="00926338">
        <w:rPr>
          <w:rFonts w:asciiTheme="majorHAnsi" w:eastAsiaTheme="majorEastAsia" w:hAnsiTheme="majorHAnsi" w:cstheme="majorBidi"/>
          <w:color w:val="auto"/>
        </w:rPr>
        <w:t xml:space="preserve">. </w:t>
      </w:r>
      <w:r w:rsidR="005B1058" w:rsidRPr="005B1058">
        <w:rPr>
          <w:rFonts w:asciiTheme="majorHAnsi" w:eastAsiaTheme="majorEastAsia" w:hAnsiTheme="majorHAnsi" w:cstheme="majorBidi"/>
          <w:color w:val="auto"/>
          <w:lang w:val="en-AU"/>
        </w:rPr>
        <w:t xml:space="preserve">While </w:t>
      </w:r>
      <w:r w:rsidR="00B3577B" w:rsidRPr="005B1058">
        <w:rPr>
          <w:rFonts w:asciiTheme="majorHAnsi" w:eastAsiaTheme="majorEastAsia" w:hAnsiTheme="majorHAnsi" w:cstheme="majorBidi"/>
          <w:color w:val="auto"/>
          <w:lang w:val="en-AU"/>
        </w:rPr>
        <w:t xml:space="preserve">ADB’s SHARE program and </w:t>
      </w:r>
      <w:r w:rsidR="005B1058" w:rsidRPr="005B1058">
        <w:rPr>
          <w:rFonts w:asciiTheme="majorHAnsi" w:eastAsiaTheme="majorEastAsia" w:hAnsiTheme="majorHAnsi" w:cstheme="majorBidi"/>
          <w:color w:val="auto"/>
          <w:lang w:val="en-AU"/>
        </w:rPr>
        <w:t xml:space="preserve">the </w:t>
      </w:r>
      <w:r w:rsidR="00B3577B" w:rsidRPr="005B1058">
        <w:rPr>
          <w:rFonts w:asciiTheme="majorHAnsi" w:eastAsiaTheme="majorEastAsia" w:hAnsiTheme="majorHAnsi" w:cstheme="majorBidi"/>
          <w:color w:val="auto"/>
          <w:lang w:val="en-AU"/>
        </w:rPr>
        <w:t>World Bank’s IMPACT Health</w:t>
      </w:r>
      <w:r w:rsidR="00AA53E5" w:rsidRPr="005B1058">
        <w:rPr>
          <w:rFonts w:asciiTheme="majorHAnsi" w:eastAsiaTheme="majorEastAsia" w:hAnsiTheme="majorHAnsi" w:cstheme="majorBidi"/>
          <w:color w:val="auto"/>
          <w:lang w:val="en-AU"/>
        </w:rPr>
        <w:t xml:space="preserve"> </w:t>
      </w:r>
      <w:r w:rsidR="00B3577B" w:rsidRPr="005B1058">
        <w:rPr>
          <w:rFonts w:asciiTheme="majorHAnsi" w:eastAsiaTheme="majorEastAsia" w:hAnsiTheme="majorHAnsi" w:cstheme="majorBidi"/>
          <w:color w:val="auto"/>
          <w:lang w:val="en-AU"/>
        </w:rPr>
        <w:t xml:space="preserve">and </w:t>
      </w:r>
      <w:r w:rsidR="00B3577B" w:rsidRPr="00926338">
        <w:rPr>
          <w:rFonts w:asciiTheme="majorHAnsi" w:eastAsiaTheme="majorEastAsia" w:hAnsiTheme="majorHAnsi" w:cstheme="majorBidi"/>
          <w:color w:val="auto"/>
        </w:rPr>
        <w:t>Child Nutrition and Social Protection</w:t>
      </w:r>
      <w:r w:rsidR="00B3577B" w:rsidRPr="005B1058">
        <w:rPr>
          <w:rFonts w:asciiTheme="majorHAnsi" w:eastAsiaTheme="majorEastAsia" w:hAnsiTheme="majorHAnsi" w:cstheme="majorBidi"/>
          <w:color w:val="auto"/>
          <w:lang w:val="en-AU"/>
        </w:rPr>
        <w:t xml:space="preserve"> </w:t>
      </w:r>
      <w:r w:rsidR="005B1058" w:rsidRPr="005B1058">
        <w:rPr>
          <w:rFonts w:asciiTheme="majorHAnsi" w:eastAsiaTheme="majorEastAsia" w:hAnsiTheme="majorHAnsi" w:cstheme="majorBidi"/>
          <w:color w:val="auto"/>
          <w:lang w:val="en-AU"/>
        </w:rPr>
        <w:t xml:space="preserve">programs strengthen primary health care services, digital health, leadership, and </w:t>
      </w:r>
      <w:r w:rsidR="00B3577B" w:rsidRPr="005B1058">
        <w:rPr>
          <w:rFonts w:asciiTheme="majorHAnsi" w:eastAsiaTheme="majorEastAsia" w:hAnsiTheme="majorHAnsi" w:cstheme="majorBidi"/>
          <w:color w:val="auto"/>
          <w:lang w:val="en-AU"/>
        </w:rPr>
        <w:t xml:space="preserve">national </w:t>
      </w:r>
      <w:r w:rsidRPr="005B1058">
        <w:rPr>
          <w:rFonts w:asciiTheme="majorHAnsi" w:eastAsiaTheme="majorEastAsia" w:hAnsiTheme="majorHAnsi" w:cstheme="majorBidi"/>
          <w:color w:val="auto"/>
          <w:lang w:val="en-AU"/>
        </w:rPr>
        <w:t>systems</w:t>
      </w:r>
      <w:r w:rsidR="005B1058" w:rsidRPr="005B1058">
        <w:rPr>
          <w:rFonts w:asciiTheme="majorHAnsi" w:eastAsiaTheme="majorEastAsia" w:hAnsiTheme="majorHAnsi" w:cstheme="majorBidi"/>
          <w:color w:val="auto"/>
          <w:lang w:val="en-AU"/>
        </w:rPr>
        <w:t>,</w:t>
      </w:r>
      <w:r w:rsidR="007B6931" w:rsidRPr="005B1058">
        <w:rPr>
          <w:rFonts w:asciiTheme="majorHAnsi" w:eastAsiaTheme="majorEastAsia" w:hAnsiTheme="majorHAnsi" w:cstheme="majorBidi"/>
          <w:color w:val="auto"/>
          <w:lang w:val="en-AU"/>
        </w:rPr>
        <w:t xml:space="preserve"> </w:t>
      </w:r>
      <w:r w:rsidRPr="005B1058">
        <w:rPr>
          <w:rFonts w:asciiTheme="majorHAnsi" w:eastAsiaTheme="majorEastAsia" w:hAnsiTheme="majorHAnsi" w:cstheme="majorBidi"/>
          <w:color w:val="auto"/>
          <w:lang w:val="en-AU"/>
        </w:rPr>
        <w:t xml:space="preserve">PHC4PNG will </w:t>
      </w:r>
      <w:r w:rsidR="005B1058" w:rsidRPr="005B1058">
        <w:rPr>
          <w:rFonts w:asciiTheme="majorHAnsi" w:eastAsiaTheme="majorEastAsia" w:hAnsiTheme="majorHAnsi" w:cstheme="majorBidi"/>
          <w:color w:val="auto"/>
          <w:lang w:val="en-AU"/>
        </w:rPr>
        <w:t>provide</w:t>
      </w:r>
      <w:r w:rsidRPr="005B1058">
        <w:rPr>
          <w:rFonts w:asciiTheme="majorHAnsi" w:eastAsiaTheme="majorEastAsia" w:hAnsiTheme="majorHAnsi" w:cstheme="majorBidi"/>
          <w:color w:val="auto"/>
          <w:lang w:val="en-AU"/>
        </w:rPr>
        <w:t xml:space="preserve"> targeted </w:t>
      </w:r>
      <w:r w:rsidR="005B1058" w:rsidRPr="005B1058">
        <w:rPr>
          <w:rFonts w:asciiTheme="majorHAnsi" w:eastAsiaTheme="majorEastAsia" w:hAnsiTheme="majorHAnsi" w:cstheme="majorBidi"/>
          <w:color w:val="auto"/>
          <w:lang w:val="en-AU"/>
        </w:rPr>
        <w:t xml:space="preserve">support at the </w:t>
      </w:r>
      <w:r w:rsidRPr="005B1058">
        <w:rPr>
          <w:rFonts w:asciiTheme="majorHAnsi" w:eastAsiaTheme="majorEastAsia" w:hAnsiTheme="majorHAnsi" w:cstheme="majorBidi"/>
          <w:color w:val="auto"/>
          <w:lang w:val="en-AU"/>
        </w:rPr>
        <w:t xml:space="preserve">sub-national </w:t>
      </w:r>
      <w:r w:rsidR="005B1058" w:rsidRPr="005B1058">
        <w:rPr>
          <w:rFonts w:asciiTheme="majorHAnsi" w:eastAsiaTheme="majorEastAsia" w:hAnsiTheme="majorHAnsi" w:cstheme="majorBidi"/>
          <w:color w:val="auto"/>
          <w:lang w:val="en-AU"/>
        </w:rPr>
        <w:t xml:space="preserve">level </w:t>
      </w:r>
      <w:r w:rsidRPr="005B1058">
        <w:rPr>
          <w:rFonts w:asciiTheme="majorHAnsi" w:eastAsiaTheme="majorEastAsia" w:hAnsiTheme="majorHAnsi" w:cstheme="majorBidi"/>
          <w:color w:val="auto"/>
          <w:lang w:val="en-AU"/>
        </w:rPr>
        <w:t>and ENABLE will focus on national systems, partnerships, and technical functions.</w:t>
      </w:r>
      <w:r>
        <w:rPr>
          <w:rFonts w:asciiTheme="majorHAnsi" w:eastAsiaTheme="majorEastAsia" w:hAnsiTheme="majorHAnsi" w:cstheme="majorBidi"/>
          <w:color w:val="auto"/>
          <w:lang w:val="en-AU"/>
        </w:rPr>
        <w:t xml:space="preserve"> </w:t>
      </w:r>
      <w:r w:rsidRPr="0068501E">
        <w:rPr>
          <w:rFonts w:asciiTheme="majorHAnsi" w:eastAsiaTheme="majorEastAsia" w:hAnsiTheme="majorHAnsi" w:cstheme="majorBidi"/>
          <w:b/>
          <w:bCs/>
          <w:color w:val="auto"/>
        </w:rPr>
        <w:t>This coordinated design approach aims to maximise impact, reduce duplication, and ensure complementary geographic and system-level investments across PNG’s health sector.</w:t>
      </w:r>
    </w:p>
    <w:p w14:paraId="7E2C02CB" w14:textId="70E6D9F2" w:rsidR="00414758" w:rsidRDefault="00815EBE" w:rsidP="0AE8B1B0">
      <w:pPr>
        <w:spacing w:after="120" w:line="260" w:lineRule="exact"/>
        <w:rPr>
          <w:rFonts w:asciiTheme="majorHAnsi" w:eastAsiaTheme="majorEastAsia" w:hAnsiTheme="majorHAnsi" w:cstheme="majorBidi"/>
          <w:color w:val="auto"/>
        </w:rPr>
      </w:pPr>
      <w:r w:rsidRPr="0AE8B1B0">
        <w:rPr>
          <w:rFonts w:asciiTheme="majorHAnsi" w:eastAsiaTheme="majorEastAsia" w:hAnsiTheme="majorHAnsi" w:cstheme="majorBidi"/>
          <w:color w:val="auto"/>
        </w:rPr>
        <w:t>ENABLE</w:t>
      </w:r>
      <w:r w:rsidR="099B40C5" w:rsidRPr="0AE8B1B0">
        <w:rPr>
          <w:rFonts w:asciiTheme="majorHAnsi" w:eastAsiaTheme="majorEastAsia" w:hAnsiTheme="majorHAnsi" w:cstheme="majorBidi"/>
          <w:color w:val="auto"/>
        </w:rPr>
        <w:t xml:space="preserve"> </w:t>
      </w:r>
      <w:r w:rsidR="00AD2F97" w:rsidRPr="0AE8B1B0">
        <w:rPr>
          <w:rFonts w:asciiTheme="majorHAnsi" w:eastAsiaTheme="majorEastAsia" w:hAnsiTheme="majorHAnsi" w:cstheme="majorBidi"/>
          <w:color w:val="auto"/>
        </w:rPr>
        <w:t>will directly respond</w:t>
      </w:r>
      <w:r w:rsidR="099B40C5" w:rsidRPr="0AE8B1B0">
        <w:rPr>
          <w:rFonts w:asciiTheme="majorHAnsi" w:eastAsiaTheme="majorEastAsia" w:hAnsiTheme="majorHAnsi" w:cstheme="majorBidi"/>
          <w:color w:val="auto"/>
        </w:rPr>
        <w:t xml:space="preserve"> to persistent sector issues</w:t>
      </w:r>
      <w:r w:rsidR="007C2B8B" w:rsidRPr="0AE8B1B0">
        <w:rPr>
          <w:rFonts w:asciiTheme="majorHAnsi" w:eastAsiaTheme="majorEastAsia" w:hAnsiTheme="majorHAnsi" w:cstheme="majorBidi"/>
          <w:color w:val="auto"/>
        </w:rPr>
        <w:t xml:space="preserve"> - </w:t>
      </w:r>
      <w:r w:rsidR="099B40C5" w:rsidRPr="0AE8B1B0">
        <w:rPr>
          <w:rFonts w:asciiTheme="majorHAnsi" w:eastAsiaTheme="majorEastAsia" w:hAnsiTheme="majorHAnsi" w:cstheme="majorBidi"/>
          <w:color w:val="auto"/>
        </w:rPr>
        <w:t xml:space="preserve">including constrained national systems and advisory functions, </w:t>
      </w:r>
      <w:r w:rsidR="0022548D" w:rsidRPr="0AE8B1B0">
        <w:rPr>
          <w:rFonts w:asciiTheme="majorHAnsi" w:eastAsiaTheme="majorEastAsia" w:hAnsiTheme="majorHAnsi" w:cstheme="majorBidi"/>
          <w:color w:val="auto"/>
        </w:rPr>
        <w:t>weak partner</w:t>
      </w:r>
      <w:r w:rsidR="099B40C5" w:rsidRPr="0AE8B1B0">
        <w:rPr>
          <w:rFonts w:asciiTheme="majorHAnsi" w:eastAsiaTheme="majorEastAsia" w:hAnsiTheme="majorHAnsi" w:cstheme="majorBidi"/>
          <w:color w:val="auto"/>
        </w:rPr>
        <w:t xml:space="preserve"> coordination</w:t>
      </w:r>
      <w:r w:rsidR="00120D8B" w:rsidRPr="0AE8B1B0">
        <w:rPr>
          <w:rFonts w:asciiTheme="majorHAnsi" w:eastAsiaTheme="majorEastAsia" w:hAnsiTheme="majorHAnsi" w:cstheme="majorBidi"/>
          <w:color w:val="auto"/>
        </w:rPr>
        <w:t xml:space="preserve"> and</w:t>
      </w:r>
      <w:r w:rsidR="0022548D" w:rsidRPr="0AE8B1B0">
        <w:rPr>
          <w:rFonts w:asciiTheme="majorHAnsi" w:eastAsiaTheme="majorEastAsia" w:hAnsiTheme="majorHAnsi" w:cstheme="majorBidi"/>
          <w:color w:val="auto"/>
        </w:rPr>
        <w:t xml:space="preserve"> </w:t>
      </w:r>
      <w:r w:rsidR="00A2222A" w:rsidRPr="0AE8B1B0">
        <w:rPr>
          <w:rFonts w:asciiTheme="majorHAnsi" w:eastAsiaTheme="majorEastAsia" w:hAnsiTheme="majorHAnsi" w:cstheme="majorBidi"/>
          <w:color w:val="auto"/>
        </w:rPr>
        <w:t xml:space="preserve">limited use of </w:t>
      </w:r>
      <w:r w:rsidR="003371C1" w:rsidRPr="0AE8B1B0">
        <w:rPr>
          <w:rFonts w:asciiTheme="majorHAnsi" w:eastAsiaTheme="majorEastAsia" w:hAnsiTheme="majorHAnsi" w:cstheme="majorBidi"/>
          <w:color w:val="auto"/>
        </w:rPr>
        <w:t>evidence</w:t>
      </w:r>
      <w:r w:rsidR="099B40C5" w:rsidRPr="0AE8B1B0">
        <w:rPr>
          <w:rFonts w:asciiTheme="majorHAnsi" w:eastAsiaTheme="majorEastAsia" w:hAnsiTheme="majorHAnsi" w:cstheme="majorBidi"/>
          <w:color w:val="auto"/>
        </w:rPr>
        <w:t xml:space="preserve"> </w:t>
      </w:r>
      <w:r w:rsidR="009F5765" w:rsidRPr="0AE8B1B0">
        <w:rPr>
          <w:rFonts w:asciiTheme="majorHAnsi" w:eastAsiaTheme="majorEastAsia" w:hAnsiTheme="majorHAnsi" w:cstheme="majorBidi"/>
          <w:color w:val="auto"/>
        </w:rPr>
        <w:t xml:space="preserve">to inform policy </w:t>
      </w:r>
      <w:r w:rsidR="099B40C5" w:rsidRPr="0AE8B1B0">
        <w:rPr>
          <w:rFonts w:asciiTheme="majorHAnsi" w:eastAsiaTheme="majorEastAsia" w:hAnsiTheme="majorHAnsi" w:cstheme="majorBidi"/>
          <w:color w:val="auto"/>
        </w:rPr>
        <w:t>adaptation</w:t>
      </w:r>
      <w:r w:rsidR="00E53740" w:rsidRPr="0AE8B1B0">
        <w:rPr>
          <w:rFonts w:asciiTheme="majorHAnsi" w:eastAsiaTheme="majorEastAsia" w:hAnsiTheme="majorHAnsi" w:cstheme="majorBidi"/>
          <w:color w:val="auto"/>
        </w:rPr>
        <w:t xml:space="preserve">. </w:t>
      </w:r>
      <w:r w:rsidR="0068501E" w:rsidRPr="0AE8B1B0">
        <w:rPr>
          <w:rFonts w:asciiTheme="majorHAnsi" w:eastAsiaTheme="majorEastAsia" w:hAnsiTheme="majorHAnsi" w:cstheme="majorBidi"/>
          <w:color w:val="auto"/>
        </w:rPr>
        <w:t>ENABLE does not seek to address all national health system constraints. Major infrastructure, broad national digital health reform, comprehensive medical supply chain reform, large-scale workforce expansion and the Health Innovation Fund sit outside ENABLE and are supported through other Australian-funded health investments</w:t>
      </w:r>
      <w:r w:rsidR="007C2B8B" w:rsidRPr="0AE8B1B0">
        <w:rPr>
          <w:rFonts w:asciiTheme="majorHAnsi" w:eastAsiaTheme="majorEastAsia" w:hAnsiTheme="majorHAnsi" w:cstheme="majorBidi"/>
          <w:color w:val="auto"/>
        </w:rPr>
        <w:t>.</w:t>
      </w:r>
      <w:r w:rsidR="0068501E" w:rsidRPr="0AE8B1B0">
        <w:rPr>
          <w:rFonts w:asciiTheme="majorHAnsi" w:eastAsiaTheme="majorEastAsia" w:hAnsiTheme="majorHAnsi" w:cstheme="majorBidi"/>
          <w:color w:val="auto"/>
        </w:rPr>
        <w:t xml:space="preserve"> </w:t>
      </w:r>
    </w:p>
    <w:p w14:paraId="280378C7" w14:textId="1DC754F1" w:rsidR="00D10159" w:rsidRPr="007B2897" w:rsidRDefault="00D10159" w:rsidP="007B2897">
      <w:pPr>
        <w:spacing w:before="0" w:line="240" w:lineRule="auto"/>
        <w:rPr>
          <w:rFonts w:asciiTheme="majorHAnsi" w:eastAsiaTheme="majorEastAsia" w:hAnsiTheme="majorHAnsi" w:cstheme="majorBidi"/>
          <w:color w:val="auto"/>
          <w:lang w:val="en-AU"/>
        </w:rPr>
      </w:pPr>
      <w:r w:rsidRPr="007A5311">
        <w:rPr>
          <w:rFonts w:asciiTheme="majorHAnsi" w:eastAsiaTheme="majorEastAsia" w:hAnsiTheme="majorHAnsi" w:cstheme="majorBidi"/>
          <w:color w:val="auto"/>
          <w:lang w:val="en-AU"/>
        </w:rPr>
        <w:t xml:space="preserve">ENABLE will </w:t>
      </w:r>
      <w:r w:rsidR="007D10E9">
        <w:rPr>
          <w:rFonts w:asciiTheme="majorHAnsi" w:eastAsiaTheme="majorEastAsia" w:hAnsiTheme="majorHAnsi" w:cstheme="majorBidi"/>
          <w:color w:val="auto"/>
          <w:lang w:val="en-AU"/>
        </w:rPr>
        <w:t xml:space="preserve">also </w:t>
      </w:r>
      <w:r>
        <w:rPr>
          <w:rFonts w:asciiTheme="majorHAnsi" w:eastAsiaTheme="majorEastAsia" w:hAnsiTheme="majorHAnsi" w:cstheme="majorBidi"/>
          <w:color w:val="auto"/>
          <w:lang w:val="en-AU"/>
        </w:rPr>
        <w:t>put</w:t>
      </w:r>
      <w:r w:rsidRPr="007A5311">
        <w:rPr>
          <w:rFonts w:asciiTheme="majorHAnsi" w:eastAsiaTheme="majorEastAsia" w:hAnsiTheme="majorHAnsi" w:cstheme="majorBidi"/>
          <w:color w:val="auto"/>
          <w:lang w:val="en-AU"/>
        </w:rPr>
        <w:t xml:space="preserve"> localisation a</w:t>
      </w:r>
      <w:r>
        <w:rPr>
          <w:rFonts w:asciiTheme="majorHAnsi" w:eastAsiaTheme="majorEastAsia" w:hAnsiTheme="majorHAnsi" w:cstheme="majorBidi"/>
          <w:color w:val="auto"/>
          <w:lang w:val="en-AU"/>
        </w:rPr>
        <w:t>s</w:t>
      </w:r>
      <w:r w:rsidRPr="007A5311">
        <w:rPr>
          <w:rFonts w:asciiTheme="majorHAnsi" w:eastAsiaTheme="majorEastAsia" w:hAnsiTheme="majorHAnsi" w:cstheme="majorBidi"/>
          <w:color w:val="auto"/>
          <w:lang w:val="en-AU"/>
        </w:rPr>
        <w:t xml:space="preserve"> the centre of its </w:t>
      </w:r>
      <w:r>
        <w:rPr>
          <w:rFonts w:asciiTheme="majorHAnsi" w:eastAsiaTheme="majorEastAsia" w:hAnsiTheme="majorHAnsi" w:cstheme="majorBidi"/>
          <w:color w:val="auto"/>
          <w:lang w:val="en-AU"/>
        </w:rPr>
        <w:t xml:space="preserve">implementation </w:t>
      </w:r>
      <w:r w:rsidRPr="007A5311">
        <w:rPr>
          <w:rFonts w:asciiTheme="majorHAnsi" w:eastAsiaTheme="majorEastAsia" w:hAnsiTheme="majorHAnsi" w:cstheme="majorBidi"/>
          <w:color w:val="auto"/>
          <w:lang w:val="en-AU"/>
        </w:rPr>
        <w:t xml:space="preserve">approach. As an outcome of the Learning and Insights </w:t>
      </w:r>
      <w:r>
        <w:rPr>
          <w:rFonts w:asciiTheme="majorHAnsi" w:eastAsiaTheme="majorEastAsia" w:hAnsiTheme="majorHAnsi" w:cstheme="majorBidi"/>
          <w:color w:val="auto"/>
          <w:lang w:val="en-AU"/>
        </w:rPr>
        <w:t>function</w:t>
      </w:r>
      <w:r w:rsidRPr="007A5311">
        <w:rPr>
          <w:rFonts w:asciiTheme="majorHAnsi" w:eastAsiaTheme="majorEastAsia" w:hAnsiTheme="majorHAnsi" w:cstheme="majorBidi"/>
          <w:color w:val="auto"/>
          <w:lang w:val="en-AU"/>
        </w:rPr>
        <w:t>, Locally Led Development (LLD)</w:t>
      </w:r>
      <w:r>
        <w:rPr>
          <w:rFonts w:asciiTheme="majorHAnsi" w:eastAsiaTheme="majorEastAsia" w:hAnsiTheme="majorHAnsi" w:cstheme="majorBidi"/>
          <w:color w:val="auto"/>
          <w:lang w:val="en-AU"/>
        </w:rPr>
        <w:t xml:space="preserve"> </w:t>
      </w:r>
      <w:r w:rsidRPr="007A5311">
        <w:rPr>
          <w:rFonts w:asciiTheme="majorHAnsi" w:eastAsiaTheme="majorEastAsia" w:hAnsiTheme="majorHAnsi" w:cstheme="majorBidi"/>
          <w:color w:val="auto"/>
          <w:lang w:val="en-AU"/>
        </w:rPr>
        <w:t>will be advanced through evidence generation, learning and adaptive management that strengthen local leadership and ownership. This approach signals a strategic intent to shift decision-making, resources and accountability to PNG organisations, supporting sustainable national ownership of health priorities and solutions over time.</w:t>
      </w:r>
    </w:p>
    <w:p w14:paraId="162E2AF3" w14:textId="37C56462" w:rsidR="00490CDB" w:rsidRPr="00631394" w:rsidRDefault="00BE4DC3" w:rsidP="0074325A">
      <w:pPr>
        <w:numPr>
          <w:ilvl w:val="0"/>
          <w:numId w:val="10"/>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line="240" w:lineRule="auto"/>
        <w:ind w:left="284" w:hanging="284"/>
        <w:rPr>
          <w:rFonts w:asciiTheme="majorHAnsi" w:eastAsia="Times New Roman" w:hAnsiTheme="majorHAnsi" w:cstheme="majorHAnsi"/>
          <w:color w:val="000000" w:themeColor="text1"/>
        </w:rPr>
      </w:pPr>
      <w:r w:rsidRPr="0DBBA3A5">
        <w:rPr>
          <w:rFonts w:asciiTheme="majorHAnsi" w:hAnsiTheme="majorHAnsi" w:cstheme="majorBidi"/>
          <w:b/>
          <w:color w:val="000000" w:themeColor="text1"/>
        </w:rPr>
        <w:t>Proposed Outcomes and Investment Options (</w:t>
      </w:r>
      <w:r w:rsidR="00490CDB" w:rsidRPr="0DBBA3A5">
        <w:rPr>
          <w:rFonts w:asciiTheme="majorHAnsi" w:hAnsiTheme="majorHAnsi" w:cstheme="majorBidi"/>
          <w:b/>
          <w:color w:val="000000" w:themeColor="text1"/>
        </w:rPr>
        <w:t>What</w:t>
      </w:r>
      <w:r w:rsidRPr="0DBBA3A5">
        <w:rPr>
          <w:rFonts w:asciiTheme="majorHAnsi" w:hAnsiTheme="majorHAnsi" w:cstheme="majorBidi"/>
          <w:b/>
          <w:color w:val="000000" w:themeColor="text1"/>
        </w:rPr>
        <w:t>?)</w:t>
      </w:r>
    </w:p>
    <w:p w14:paraId="014E4083" w14:textId="5A524606" w:rsidR="0094552A" w:rsidRPr="00F82332" w:rsidRDefault="00842882" w:rsidP="00F82332">
      <w:pPr>
        <w:spacing w:after="120" w:line="260" w:lineRule="exact"/>
        <w:rPr>
          <w:rFonts w:asciiTheme="majorHAnsi" w:eastAsiaTheme="majorEastAsia" w:hAnsiTheme="majorHAnsi" w:cstheme="majorBidi"/>
          <w:color w:val="auto"/>
        </w:rPr>
      </w:pPr>
      <w:r w:rsidRPr="00F82332">
        <w:rPr>
          <w:rFonts w:asciiTheme="majorHAnsi" w:eastAsiaTheme="majorEastAsia" w:hAnsiTheme="majorHAnsi" w:cstheme="majorBidi"/>
          <w:color w:val="auto"/>
        </w:rPr>
        <w:t>The </w:t>
      </w:r>
      <w:r w:rsidRPr="00F82332">
        <w:rPr>
          <w:rFonts w:asciiTheme="majorHAnsi" w:eastAsiaTheme="majorEastAsia" w:hAnsiTheme="majorHAnsi" w:cstheme="majorBidi"/>
          <w:b/>
          <w:bCs/>
          <w:color w:val="auto"/>
        </w:rPr>
        <w:t>goal</w:t>
      </w:r>
      <w:r w:rsidRPr="00F82332">
        <w:rPr>
          <w:rFonts w:asciiTheme="majorHAnsi" w:eastAsiaTheme="majorEastAsia" w:hAnsiTheme="majorHAnsi" w:cstheme="majorBidi"/>
          <w:color w:val="auto"/>
        </w:rPr>
        <w:t> of </w:t>
      </w:r>
      <w:r w:rsidR="00F82332">
        <w:rPr>
          <w:rFonts w:asciiTheme="majorHAnsi" w:eastAsiaTheme="majorEastAsia" w:hAnsiTheme="majorHAnsi" w:cstheme="majorBidi"/>
          <w:color w:val="auto"/>
        </w:rPr>
        <w:t>ENABLE</w:t>
      </w:r>
      <w:r w:rsidRPr="00F82332">
        <w:rPr>
          <w:rFonts w:asciiTheme="majorHAnsi" w:eastAsiaTheme="majorEastAsia" w:hAnsiTheme="majorHAnsi" w:cstheme="majorBidi"/>
          <w:color w:val="auto"/>
        </w:rPr>
        <w:t xml:space="preserve"> is to contribute to </w:t>
      </w:r>
      <w:r w:rsidR="004076BF">
        <w:rPr>
          <w:rFonts w:asciiTheme="majorHAnsi" w:eastAsiaTheme="majorEastAsia" w:hAnsiTheme="majorHAnsi" w:cstheme="majorBidi"/>
          <w:color w:val="auto"/>
        </w:rPr>
        <w:t>the NHP’s</w:t>
      </w:r>
      <w:r w:rsidRPr="00F82332">
        <w:rPr>
          <w:rFonts w:asciiTheme="majorHAnsi" w:eastAsiaTheme="majorEastAsia" w:hAnsiTheme="majorHAnsi" w:cstheme="majorBidi"/>
          <w:color w:val="auto"/>
        </w:rPr>
        <w:t xml:space="preserve"> vision of preventing ill health, identifying and addressing health risks and emerging diseases, and providing accessible and affordable quality healthcare for all.</w:t>
      </w:r>
    </w:p>
    <w:p w14:paraId="2FFF4DA4" w14:textId="089E43E0" w:rsidR="001F12EB" w:rsidRPr="00F82332" w:rsidRDefault="1182DDC5" w:rsidP="00F82332">
      <w:pPr>
        <w:spacing w:after="120" w:line="260" w:lineRule="exact"/>
        <w:rPr>
          <w:rFonts w:asciiTheme="majorHAnsi" w:eastAsiaTheme="majorEastAsia" w:hAnsiTheme="majorHAnsi" w:cstheme="majorBidi"/>
          <w:color w:val="auto"/>
        </w:rPr>
      </w:pPr>
      <w:r w:rsidRPr="1752402E">
        <w:rPr>
          <w:rFonts w:asciiTheme="majorHAnsi" w:eastAsiaTheme="minorEastAsia" w:hAnsiTheme="majorHAnsi" w:cstheme="majorBidi"/>
          <w:color w:val="000000" w:themeColor="text1"/>
          <w:lang w:val="en-AU"/>
        </w:rPr>
        <w:t xml:space="preserve">Importantly, </w:t>
      </w:r>
      <w:r w:rsidRPr="1752402E">
        <w:rPr>
          <w:rFonts w:asciiTheme="majorHAnsi" w:eastAsiaTheme="minorEastAsia" w:hAnsiTheme="majorHAnsi" w:cstheme="majorBidi"/>
          <w:b/>
          <w:bCs/>
          <w:color w:val="000000" w:themeColor="text1"/>
          <w:lang w:val="en-AU"/>
        </w:rPr>
        <w:t>ENABLE purposefully does not seek to address all national health system constraints</w:t>
      </w:r>
      <w:r w:rsidRPr="1752402E">
        <w:rPr>
          <w:rFonts w:asciiTheme="majorHAnsi" w:eastAsiaTheme="minorEastAsia" w:hAnsiTheme="majorHAnsi" w:cstheme="majorBidi"/>
          <w:color w:val="000000" w:themeColor="text1"/>
          <w:lang w:val="en-AU"/>
        </w:rPr>
        <w:t xml:space="preserve">. </w:t>
      </w:r>
      <w:r w:rsidR="001F12EB" w:rsidRPr="00F82332">
        <w:rPr>
          <w:rFonts w:asciiTheme="majorHAnsi" w:eastAsiaTheme="majorEastAsia" w:hAnsiTheme="majorHAnsi" w:cstheme="majorBidi"/>
          <w:color w:val="auto"/>
        </w:rPr>
        <w:t>ENABLE will strengthen selected national enabling functions that support Australia’s broader health portfolio to advance integrated PHC in PNG.</w:t>
      </w:r>
      <w:r w:rsidR="00516D06" w:rsidRPr="00F82332">
        <w:rPr>
          <w:rFonts w:asciiTheme="majorHAnsi" w:eastAsiaTheme="majorEastAsia" w:hAnsiTheme="majorHAnsi" w:cstheme="majorBidi"/>
          <w:color w:val="auto"/>
        </w:rPr>
        <w:t xml:space="preserve"> This objective is operationalised through three proposed </w:t>
      </w:r>
      <w:proofErr w:type="gramStart"/>
      <w:r w:rsidR="00516D06" w:rsidRPr="00F82332">
        <w:rPr>
          <w:rFonts w:asciiTheme="majorHAnsi" w:eastAsiaTheme="majorEastAsia" w:hAnsiTheme="majorHAnsi" w:cstheme="majorBidi"/>
          <w:b/>
          <w:bCs/>
          <w:color w:val="auto"/>
        </w:rPr>
        <w:t>end</w:t>
      </w:r>
      <w:proofErr w:type="gramEnd"/>
      <w:r w:rsidR="00516D06" w:rsidRPr="00F82332">
        <w:rPr>
          <w:rFonts w:asciiTheme="majorHAnsi" w:eastAsiaTheme="majorEastAsia" w:hAnsiTheme="majorHAnsi" w:cstheme="majorBidi"/>
          <w:b/>
          <w:bCs/>
          <w:color w:val="auto"/>
        </w:rPr>
        <w:t xml:space="preserve"> of program outcomes </w:t>
      </w:r>
      <w:r w:rsidR="00516D06" w:rsidRPr="00F82332">
        <w:rPr>
          <w:rFonts w:asciiTheme="majorHAnsi" w:eastAsiaTheme="majorEastAsia" w:hAnsiTheme="majorHAnsi" w:cstheme="majorBidi"/>
          <w:color w:val="auto"/>
        </w:rPr>
        <w:t>(EOPOs):</w:t>
      </w:r>
    </w:p>
    <w:p w14:paraId="1A9F784F" w14:textId="3EB4815E" w:rsidR="00516D06" w:rsidRPr="00F82332" w:rsidRDefault="00516D06" w:rsidP="00516D06">
      <w:pPr>
        <w:pStyle w:val="ListParagraph"/>
        <w:numPr>
          <w:ilvl w:val="0"/>
          <w:numId w:val="29"/>
        </w:numPr>
        <w:spacing w:before="240" w:after="240"/>
        <w:rPr>
          <w:rFonts w:asciiTheme="majorHAnsi" w:eastAsia="Calibri Light" w:hAnsiTheme="majorHAnsi" w:cstheme="majorHAnsi"/>
          <w:color w:val="000000" w:themeColor="text1"/>
          <w:lang w:val="en-US"/>
        </w:rPr>
      </w:pPr>
      <w:r w:rsidRPr="00F82332">
        <w:rPr>
          <w:rFonts w:asciiTheme="majorHAnsi" w:eastAsia="Calibri Light" w:hAnsiTheme="majorHAnsi" w:cstheme="majorHAnsi"/>
          <w:b/>
          <w:bCs/>
          <w:color w:val="000000" w:themeColor="text1"/>
          <w:lang w:val="en-US"/>
        </w:rPr>
        <w:t xml:space="preserve">EOPO1 </w:t>
      </w:r>
      <w:r w:rsidRPr="00F82332">
        <w:rPr>
          <w:rFonts w:asciiTheme="majorHAnsi" w:eastAsia="Calibri Light" w:hAnsiTheme="majorHAnsi" w:cstheme="majorHAnsi"/>
          <w:color w:val="000000" w:themeColor="text1"/>
          <w:lang w:val="en-US"/>
        </w:rPr>
        <w:t>– By 2037,</w:t>
      </w:r>
      <w:r w:rsidR="00A15433" w:rsidRPr="00F82332">
        <w:rPr>
          <w:rFonts w:asciiTheme="majorHAnsi" w:eastAsia="Calibri Light" w:hAnsiTheme="majorHAnsi" w:cstheme="majorHAnsi"/>
          <w:color w:val="000000" w:themeColor="text1"/>
          <w:lang w:val="en-US"/>
        </w:rPr>
        <w:t xml:space="preserve"> selected national systems and advisory functions are strengthened to support integrated PHC.</w:t>
      </w:r>
    </w:p>
    <w:p w14:paraId="071D12D1" w14:textId="7AE69440" w:rsidR="00516D06" w:rsidRPr="00F82332" w:rsidRDefault="00097A45" w:rsidP="00516D06">
      <w:pPr>
        <w:pStyle w:val="ListParagraph"/>
        <w:numPr>
          <w:ilvl w:val="0"/>
          <w:numId w:val="29"/>
        </w:numPr>
        <w:spacing w:before="240" w:after="240"/>
        <w:rPr>
          <w:rFonts w:asciiTheme="majorHAnsi" w:eastAsia="Calibri Light" w:hAnsiTheme="majorHAnsi" w:cstheme="majorBidi"/>
          <w:color w:val="000000" w:themeColor="text1"/>
          <w:lang w:val="en-US"/>
        </w:rPr>
      </w:pPr>
      <w:r w:rsidRPr="7E153B7D">
        <w:rPr>
          <w:rFonts w:asciiTheme="majorHAnsi" w:eastAsia="Calibri Light" w:hAnsiTheme="majorHAnsi" w:cstheme="majorBidi"/>
          <w:b/>
          <w:color w:val="000000" w:themeColor="text1"/>
          <w:lang w:val="en-US"/>
        </w:rPr>
        <w:t xml:space="preserve">EOPO2 </w:t>
      </w:r>
      <w:r w:rsidRPr="7E153B7D">
        <w:rPr>
          <w:rFonts w:asciiTheme="majorHAnsi" w:eastAsia="Calibri Light" w:hAnsiTheme="majorHAnsi" w:cstheme="majorBidi"/>
          <w:color w:val="000000" w:themeColor="text1"/>
          <w:lang w:val="en-US"/>
        </w:rPr>
        <w:t>– By 2037,</w:t>
      </w:r>
      <w:r w:rsidR="00A15433" w:rsidRPr="7E153B7D">
        <w:rPr>
          <w:rFonts w:asciiTheme="majorHAnsi" w:eastAsia="Calibri Light" w:hAnsiTheme="majorHAnsi" w:cstheme="majorBidi"/>
          <w:color w:val="000000" w:themeColor="text1"/>
          <w:lang w:val="en-US"/>
        </w:rPr>
        <w:t xml:space="preserve"> strategic partnerships </w:t>
      </w:r>
      <w:r w:rsidR="4169311A" w:rsidRPr="1E2A7DC4">
        <w:rPr>
          <w:rFonts w:asciiTheme="majorHAnsi" w:eastAsia="Calibri Light" w:hAnsiTheme="majorHAnsi" w:cstheme="majorBidi"/>
          <w:color w:val="000000" w:themeColor="text1"/>
          <w:lang w:val="en-US"/>
        </w:rPr>
        <w:t xml:space="preserve">with Australian </w:t>
      </w:r>
      <w:proofErr w:type="spellStart"/>
      <w:r w:rsidR="4169311A" w:rsidRPr="744F51D8">
        <w:rPr>
          <w:rFonts w:asciiTheme="majorHAnsi" w:eastAsia="Calibri Light" w:hAnsiTheme="majorHAnsi" w:cstheme="majorBidi"/>
          <w:color w:val="000000" w:themeColor="text1"/>
          <w:lang w:val="en-US"/>
        </w:rPr>
        <w:t>organisations</w:t>
      </w:r>
      <w:proofErr w:type="spellEnd"/>
      <w:r w:rsidR="4169311A" w:rsidRPr="744F51D8">
        <w:rPr>
          <w:rFonts w:asciiTheme="majorHAnsi" w:eastAsia="Calibri Light" w:hAnsiTheme="majorHAnsi" w:cstheme="majorBidi"/>
          <w:color w:val="000000" w:themeColor="text1"/>
          <w:lang w:val="en-US"/>
        </w:rPr>
        <w:t xml:space="preserve"> </w:t>
      </w:r>
      <w:r w:rsidR="350DE260" w:rsidRPr="744F51D8">
        <w:rPr>
          <w:rFonts w:asciiTheme="majorHAnsi" w:eastAsia="Calibri Light" w:hAnsiTheme="majorHAnsi" w:cstheme="majorBidi"/>
          <w:color w:val="000000" w:themeColor="text1"/>
          <w:lang w:val="en-US"/>
        </w:rPr>
        <w:t>have</w:t>
      </w:r>
      <w:r w:rsidR="00A15433" w:rsidRPr="7E153B7D">
        <w:rPr>
          <w:rFonts w:asciiTheme="majorHAnsi" w:eastAsia="Calibri Light" w:hAnsiTheme="majorHAnsi" w:cstheme="majorBidi"/>
          <w:color w:val="000000" w:themeColor="text1"/>
          <w:lang w:val="en-US"/>
        </w:rPr>
        <w:t xml:space="preserve"> strengthened the capability of local institutions and providers in selected priority areas relevant to integrated PHC.</w:t>
      </w:r>
    </w:p>
    <w:p w14:paraId="04A8A38A" w14:textId="26A46A59" w:rsidR="00097A45" w:rsidRPr="00F82332" w:rsidRDefault="00A15433" w:rsidP="00A15433">
      <w:pPr>
        <w:pStyle w:val="ListParagraph"/>
        <w:numPr>
          <w:ilvl w:val="0"/>
          <w:numId w:val="29"/>
        </w:numPr>
        <w:spacing w:before="240" w:after="240"/>
        <w:rPr>
          <w:rFonts w:asciiTheme="majorHAnsi" w:eastAsia="Calibri Light" w:hAnsiTheme="majorHAnsi" w:cstheme="majorHAnsi"/>
          <w:b/>
          <w:bCs/>
          <w:color w:val="000000" w:themeColor="text1"/>
          <w:lang w:val="en-US"/>
        </w:rPr>
      </w:pPr>
      <w:r w:rsidRPr="00F82332">
        <w:rPr>
          <w:rFonts w:asciiTheme="majorHAnsi" w:eastAsia="Calibri Light" w:hAnsiTheme="majorHAnsi" w:cstheme="majorHAnsi"/>
          <w:b/>
          <w:bCs/>
          <w:color w:val="000000" w:themeColor="text1"/>
          <w:lang w:val="en-US"/>
        </w:rPr>
        <w:t>EOPO3</w:t>
      </w:r>
      <w:r w:rsidRPr="00F82332">
        <w:rPr>
          <w:rFonts w:asciiTheme="majorHAnsi" w:eastAsia="Calibri Light" w:hAnsiTheme="majorHAnsi" w:cstheme="majorHAnsi"/>
          <w:color w:val="000000" w:themeColor="text1"/>
          <w:lang w:val="en-US"/>
        </w:rPr>
        <w:t xml:space="preserve"> – By 2037, learning and insights strengthen evidence-informed decision-making, adaptation and performance across Australia’s PNG health portfolio</w:t>
      </w:r>
    </w:p>
    <w:p w14:paraId="344EC5B0" w14:textId="3170F240" w:rsidR="006E25D0" w:rsidRPr="00F82332" w:rsidRDefault="00480640" w:rsidP="00F82332">
      <w:pPr>
        <w:spacing w:after="120" w:line="260" w:lineRule="exact"/>
        <w:rPr>
          <w:rFonts w:asciiTheme="majorHAnsi" w:eastAsiaTheme="majorEastAsia" w:hAnsiTheme="majorHAnsi" w:cstheme="majorBidi"/>
          <w:color w:val="auto"/>
        </w:rPr>
      </w:pPr>
      <w:r w:rsidRPr="007D10E9">
        <w:rPr>
          <w:rFonts w:asciiTheme="majorHAnsi" w:eastAsiaTheme="majorEastAsia" w:hAnsiTheme="majorHAnsi" w:cstheme="majorBidi"/>
          <w:b/>
          <w:bCs/>
          <w:color w:val="auto"/>
        </w:rPr>
        <w:t xml:space="preserve">ENABLE </w:t>
      </w:r>
      <w:r w:rsidR="006E25D0" w:rsidRPr="007D10E9">
        <w:rPr>
          <w:rFonts w:asciiTheme="majorHAnsi" w:eastAsiaTheme="majorEastAsia" w:hAnsiTheme="majorHAnsi" w:cstheme="majorBidi"/>
          <w:b/>
          <w:bCs/>
          <w:color w:val="auto"/>
        </w:rPr>
        <w:t>is</w:t>
      </w:r>
      <w:r w:rsidR="009E36E6" w:rsidRPr="007D10E9">
        <w:rPr>
          <w:rFonts w:asciiTheme="majorHAnsi" w:eastAsiaTheme="majorEastAsia" w:hAnsiTheme="majorHAnsi" w:cstheme="majorBidi"/>
          <w:b/>
          <w:bCs/>
          <w:color w:val="auto"/>
        </w:rPr>
        <w:t xml:space="preserve"> </w:t>
      </w:r>
      <w:r w:rsidRPr="007D10E9">
        <w:rPr>
          <w:rFonts w:asciiTheme="majorHAnsi" w:eastAsiaTheme="majorEastAsia" w:hAnsiTheme="majorHAnsi" w:cstheme="majorBidi"/>
          <w:b/>
          <w:bCs/>
          <w:color w:val="auto"/>
        </w:rPr>
        <w:t xml:space="preserve">designed to enhance the </w:t>
      </w:r>
      <w:r w:rsidR="00BC7EFD" w:rsidRPr="007D10E9">
        <w:rPr>
          <w:rFonts w:asciiTheme="majorHAnsi" w:eastAsiaTheme="majorEastAsia" w:hAnsiTheme="majorHAnsi" w:cstheme="majorBidi"/>
          <w:b/>
          <w:bCs/>
          <w:color w:val="auto"/>
        </w:rPr>
        <w:t xml:space="preserve">likelihood of success </w:t>
      </w:r>
      <w:r w:rsidRPr="007D10E9">
        <w:rPr>
          <w:rFonts w:asciiTheme="majorHAnsi" w:eastAsiaTheme="majorEastAsia" w:hAnsiTheme="majorHAnsi" w:cstheme="majorBidi"/>
          <w:b/>
          <w:bCs/>
          <w:color w:val="auto"/>
        </w:rPr>
        <w:t>of the ten-</w:t>
      </w:r>
      <w:r w:rsidR="00DD6F3C" w:rsidRPr="007D10E9">
        <w:rPr>
          <w:rFonts w:asciiTheme="majorHAnsi" w:eastAsiaTheme="majorEastAsia" w:hAnsiTheme="majorHAnsi" w:cstheme="majorBidi"/>
          <w:b/>
          <w:bCs/>
          <w:color w:val="auto"/>
        </w:rPr>
        <w:t xml:space="preserve">year </w:t>
      </w:r>
      <w:r w:rsidRPr="007D10E9">
        <w:rPr>
          <w:rFonts w:asciiTheme="majorHAnsi" w:eastAsiaTheme="majorEastAsia" w:hAnsiTheme="majorHAnsi" w:cstheme="majorBidi"/>
          <w:b/>
          <w:bCs/>
          <w:color w:val="auto"/>
        </w:rPr>
        <w:t>HPS</w:t>
      </w:r>
      <w:r w:rsidRPr="00F82332">
        <w:rPr>
          <w:rFonts w:asciiTheme="majorHAnsi" w:eastAsiaTheme="majorEastAsia" w:hAnsiTheme="majorHAnsi" w:cstheme="majorBidi"/>
          <w:color w:val="auto"/>
        </w:rPr>
        <w:t xml:space="preserve">. This will be achieved through targeted technical advice (TA) and strategic partnerships that strengthen selected national systems and functions, in response to bottlenecks or </w:t>
      </w:r>
      <w:r w:rsidR="00127576" w:rsidRPr="00F82332">
        <w:rPr>
          <w:rFonts w:asciiTheme="majorHAnsi" w:eastAsiaTheme="majorEastAsia" w:hAnsiTheme="majorHAnsi" w:cstheme="majorBidi"/>
          <w:color w:val="auto"/>
        </w:rPr>
        <w:t xml:space="preserve">issues </w:t>
      </w:r>
      <w:r w:rsidRPr="00F82332">
        <w:rPr>
          <w:rFonts w:asciiTheme="majorHAnsi" w:eastAsiaTheme="majorEastAsia" w:hAnsiTheme="majorHAnsi" w:cstheme="majorBidi"/>
          <w:color w:val="auto"/>
        </w:rPr>
        <w:t>identified through other HPS investments (PHC4PNG</w:t>
      </w:r>
      <w:r w:rsidR="008C4C1D">
        <w:rPr>
          <w:rFonts w:asciiTheme="majorHAnsi" w:eastAsiaTheme="majorEastAsia" w:hAnsiTheme="majorHAnsi" w:cstheme="majorBidi"/>
          <w:color w:val="auto"/>
        </w:rPr>
        <w:t xml:space="preserve">, </w:t>
      </w:r>
      <w:r w:rsidRPr="00F82332">
        <w:rPr>
          <w:rFonts w:asciiTheme="majorHAnsi" w:eastAsiaTheme="majorEastAsia" w:hAnsiTheme="majorHAnsi" w:cstheme="majorBidi"/>
          <w:color w:val="auto"/>
        </w:rPr>
        <w:t>SHARE</w:t>
      </w:r>
      <w:r w:rsidR="00D26ED1" w:rsidRPr="00F82332">
        <w:rPr>
          <w:rFonts w:asciiTheme="majorHAnsi" w:eastAsiaTheme="majorEastAsia" w:hAnsiTheme="majorHAnsi" w:cstheme="majorBidi"/>
          <w:color w:val="auto"/>
        </w:rPr>
        <w:t>)</w:t>
      </w:r>
      <w:r w:rsidRPr="00F82332">
        <w:rPr>
          <w:rFonts w:asciiTheme="majorHAnsi" w:eastAsiaTheme="majorEastAsia" w:hAnsiTheme="majorHAnsi" w:cstheme="majorBidi"/>
          <w:color w:val="auto"/>
        </w:rPr>
        <w:t xml:space="preserve">. </w:t>
      </w:r>
      <w:r w:rsidR="007070EF">
        <w:rPr>
          <w:rFonts w:asciiTheme="majorHAnsi" w:eastAsiaTheme="majorEastAsia" w:hAnsiTheme="majorHAnsi" w:cstheme="majorBidi"/>
          <w:color w:val="auto"/>
        </w:rPr>
        <w:t xml:space="preserve">Strategic partnerships will seek to leverage and formalise existing </w:t>
      </w:r>
      <w:r w:rsidR="006B3AAE">
        <w:rPr>
          <w:rFonts w:asciiTheme="majorHAnsi" w:eastAsiaTheme="majorEastAsia" w:hAnsiTheme="majorHAnsi" w:cstheme="majorBidi"/>
          <w:color w:val="auto"/>
        </w:rPr>
        <w:t>institutional relationships with Australian organisation</w:t>
      </w:r>
      <w:r w:rsidR="002A21B3">
        <w:rPr>
          <w:rFonts w:asciiTheme="majorHAnsi" w:eastAsiaTheme="majorEastAsia" w:hAnsiTheme="majorHAnsi" w:cstheme="majorBidi"/>
          <w:color w:val="auto"/>
        </w:rPr>
        <w:t>s</w:t>
      </w:r>
      <w:r w:rsidR="006B3AAE">
        <w:rPr>
          <w:rFonts w:asciiTheme="majorHAnsi" w:eastAsiaTheme="majorEastAsia" w:hAnsiTheme="majorHAnsi" w:cstheme="majorBidi"/>
          <w:color w:val="auto"/>
        </w:rPr>
        <w:t xml:space="preserve"> or counterpart</w:t>
      </w:r>
      <w:r w:rsidR="002A21B3">
        <w:rPr>
          <w:rFonts w:asciiTheme="majorHAnsi" w:eastAsiaTheme="majorEastAsia" w:hAnsiTheme="majorHAnsi" w:cstheme="majorBidi"/>
          <w:color w:val="auto"/>
        </w:rPr>
        <w:t xml:space="preserve"> institutions</w:t>
      </w:r>
      <w:r w:rsidR="006B3AAE">
        <w:rPr>
          <w:rFonts w:asciiTheme="majorHAnsi" w:eastAsiaTheme="majorEastAsia" w:hAnsiTheme="majorHAnsi" w:cstheme="majorBidi"/>
          <w:color w:val="auto"/>
        </w:rPr>
        <w:t>,</w:t>
      </w:r>
      <w:r w:rsidR="007070EF">
        <w:rPr>
          <w:rFonts w:asciiTheme="majorHAnsi" w:eastAsiaTheme="majorEastAsia" w:hAnsiTheme="majorHAnsi" w:cstheme="majorBidi"/>
          <w:color w:val="auto"/>
        </w:rPr>
        <w:t xml:space="preserve"> </w:t>
      </w:r>
      <w:r w:rsidR="007070EF" w:rsidRPr="00465F91">
        <w:rPr>
          <w:rFonts w:ascii="Calibri" w:eastAsia="Calibri" w:hAnsi="Calibri" w:cs="Calibri"/>
          <w:color w:val="000000" w:themeColor="text1"/>
          <w:lang w:val="en-US"/>
        </w:rPr>
        <w:t>where Australia has comparative advantage</w:t>
      </w:r>
      <w:r w:rsidR="006B3AAE">
        <w:rPr>
          <w:rFonts w:ascii="Calibri" w:eastAsia="Calibri" w:hAnsi="Calibri" w:cs="Calibri"/>
          <w:color w:val="000000" w:themeColor="text1"/>
          <w:lang w:val="en-US"/>
        </w:rPr>
        <w:t>.</w:t>
      </w:r>
      <w:r w:rsidR="007070EF" w:rsidRPr="00465F91">
        <w:rPr>
          <w:rFonts w:ascii="Calibri" w:eastAsia="Calibri" w:hAnsi="Calibri" w:cs="Calibri"/>
          <w:color w:val="000000" w:themeColor="text1"/>
          <w:lang w:val="en-US"/>
        </w:rPr>
        <w:t xml:space="preserve"> </w:t>
      </w:r>
      <w:r w:rsidRPr="000F2874">
        <w:rPr>
          <w:rFonts w:asciiTheme="majorHAnsi" w:eastAsiaTheme="majorEastAsia" w:hAnsiTheme="majorHAnsi" w:cstheme="majorBidi"/>
          <w:b/>
          <w:bCs/>
          <w:color w:val="auto"/>
        </w:rPr>
        <w:t xml:space="preserve">ENABLE will </w:t>
      </w:r>
      <w:r w:rsidR="002A21B3" w:rsidRPr="000F2874">
        <w:rPr>
          <w:rFonts w:asciiTheme="majorHAnsi" w:eastAsiaTheme="majorEastAsia" w:hAnsiTheme="majorHAnsi" w:cstheme="majorBidi"/>
          <w:b/>
          <w:bCs/>
          <w:color w:val="auto"/>
        </w:rPr>
        <w:t xml:space="preserve">also </w:t>
      </w:r>
      <w:r w:rsidRPr="000F2874">
        <w:rPr>
          <w:rFonts w:asciiTheme="majorHAnsi" w:eastAsiaTheme="majorEastAsia" w:hAnsiTheme="majorHAnsi" w:cstheme="majorBidi"/>
          <w:b/>
          <w:bCs/>
          <w:color w:val="auto"/>
        </w:rPr>
        <w:t>include a Learning and Insights function to strengthen evidence-informed decision-making, adaptation and performance across the entire HPS</w:t>
      </w:r>
      <w:r w:rsidRPr="00F82332">
        <w:rPr>
          <w:rFonts w:asciiTheme="majorHAnsi" w:eastAsiaTheme="majorEastAsia" w:hAnsiTheme="majorHAnsi" w:cstheme="majorBidi"/>
          <w:color w:val="auto"/>
        </w:rPr>
        <w:t xml:space="preserve">. Evidence generated through the Learning and Insights function will directly inform technical assistance deployment, partnership engagement, and policy dialogue.  </w:t>
      </w:r>
    </w:p>
    <w:p w14:paraId="09A1DBF3" w14:textId="09A6987B" w:rsidR="00535956" w:rsidRDefault="000F035C" w:rsidP="00042DEB">
      <w:pPr>
        <w:spacing w:after="120" w:line="260" w:lineRule="exact"/>
        <w:rPr>
          <w:rFonts w:asciiTheme="majorHAnsi" w:eastAsiaTheme="majorEastAsia" w:hAnsiTheme="majorHAnsi" w:cstheme="majorBidi"/>
          <w:color w:val="auto"/>
        </w:rPr>
      </w:pPr>
      <w:r>
        <w:rPr>
          <w:rFonts w:asciiTheme="majorHAnsi" w:eastAsiaTheme="majorEastAsia" w:hAnsiTheme="majorHAnsi" w:cstheme="majorBidi"/>
          <w:color w:val="auto"/>
        </w:rPr>
        <w:t>Activities w</w:t>
      </w:r>
      <w:r w:rsidR="00BE2E48">
        <w:rPr>
          <w:rFonts w:asciiTheme="majorHAnsi" w:eastAsiaTheme="majorEastAsia" w:hAnsiTheme="majorHAnsi" w:cstheme="majorBidi"/>
          <w:color w:val="auto"/>
        </w:rPr>
        <w:t xml:space="preserve">ill focus on </w:t>
      </w:r>
      <w:r w:rsidR="00635AEC" w:rsidRPr="00180A53">
        <w:rPr>
          <w:rFonts w:asciiTheme="majorHAnsi" w:eastAsiaTheme="majorEastAsia" w:hAnsiTheme="majorHAnsi" w:cstheme="majorBidi"/>
          <w:color w:val="auto"/>
        </w:rPr>
        <w:t xml:space="preserve">strengthening selected national systems and advisory functions that are </w:t>
      </w:r>
      <w:r w:rsidR="00635AEC" w:rsidRPr="00BF7DF0">
        <w:rPr>
          <w:rFonts w:asciiTheme="majorHAnsi" w:eastAsiaTheme="majorEastAsia" w:hAnsiTheme="majorHAnsi" w:cstheme="majorBidi"/>
          <w:b/>
          <w:bCs/>
          <w:color w:val="auto"/>
        </w:rPr>
        <w:t>critical to enabling integrated PHC</w:t>
      </w:r>
      <w:r w:rsidR="00635AEC" w:rsidRPr="00180A53">
        <w:rPr>
          <w:rFonts w:asciiTheme="majorHAnsi" w:eastAsiaTheme="majorEastAsia" w:hAnsiTheme="majorHAnsi" w:cstheme="majorBidi"/>
          <w:color w:val="auto"/>
        </w:rPr>
        <w:t xml:space="preserve">. This includes </w:t>
      </w:r>
      <w:r w:rsidR="00386A66">
        <w:rPr>
          <w:rFonts w:asciiTheme="majorHAnsi" w:eastAsiaTheme="majorEastAsia" w:hAnsiTheme="majorHAnsi" w:cstheme="majorBidi"/>
          <w:color w:val="auto"/>
        </w:rPr>
        <w:t xml:space="preserve">advisory </w:t>
      </w:r>
      <w:r w:rsidR="00635AEC" w:rsidRPr="00180A53">
        <w:rPr>
          <w:rFonts w:asciiTheme="majorHAnsi" w:eastAsiaTheme="majorEastAsia" w:hAnsiTheme="majorHAnsi" w:cstheme="majorBidi"/>
          <w:color w:val="auto"/>
        </w:rPr>
        <w:t xml:space="preserve">support to </w:t>
      </w:r>
      <w:r w:rsidR="008E1E6C">
        <w:rPr>
          <w:rFonts w:asciiTheme="majorHAnsi" w:eastAsiaTheme="majorEastAsia" w:hAnsiTheme="majorHAnsi" w:cstheme="majorBidi"/>
          <w:color w:val="auto"/>
        </w:rPr>
        <w:t xml:space="preserve">sector </w:t>
      </w:r>
      <w:r w:rsidR="00635AEC" w:rsidRPr="00180A53">
        <w:rPr>
          <w:rFonts w:asciiTheme="majorHAnsi" w:eastAsiaTheme="majorEastAsia" w:hAnsiTheme="majorHAnsi" w:cstheme="majorBidi"/>
          <w:color w:val="auto"/>
        </w:rPr>
        <w:t>leadership</w:t>
      </w:r>
      <w:r w:rsidR="002B44F9">
        <w:rPr>
          <w:rFonts w:asciiTheme="majorHAnsi" w:eastAsiaTheme="majorEastAsia" w:hAnsiTheme="majorHAnsi" w:cstheme="majorBidi"/>
          <w:color w:val="auto"/>
        </w:rPr>
        <w:t xml:space="preserve"> (</w:t>
      </w:r>
      <w:r w:rsidR="00386A66">
        <w:rPr>
          <w:rFonts w:asciiTheme="majorHAnsi" w:eastAsiaTheme="majorEastAsia" w:hAnsiTheme="majorHAnsi" w:cstheme="majorBidi"/>
          <w:color w:val="auto"/>
        </w:rPr>
        <w:t xml:space="preserve">Health </w:t>
      </w:r>
      <w:r w:rsidR="002B44F9">
        <w:rPr>
          <w:rFonts w:asciiTheme="majorHAnsi" w:eastAsiaTheme="majorEastAsia" w:hAnsiTheme="majorHAnsi" w:cstheme="majorBidi"/>
          <w:color w:val="auto"/>
        </w:rPr>
        <w:t>Minister</w:t>
      </w:r>
      <w:r w:rsidR="00386A66">
        <w:rPr>
          <w:rFonts w:asciiTheme="majorHAnsi" w:eastAsiaTheme="majorEastAsia" w:hAnsiTheme="majorHAnsi" w:cstheme="majorBidi"/>
          <w:color w:val="auto"/>
        </w:rPr>
        <w:t>’s Office,</w:t>
      </w:r>
      <w:r w:rsidR="002B44F9">
        <w:rPr>
          <w:rFonts w:asciiTheme="majorHAnsi" w:eastAsiaTheme="majorEastAsia" w:hAnsiTheme="majorHAnsi" w:cstheme="majorBidi"/>
          <w:color w:val="auto"/>
        </w:rPr>
        <w:t xml:space="preserve"> </w:t>
      </w:r>
      <w:r w:rsidR="00386A66">
        <w:rPr>
          <w:rFonts w:asciiTheme="majorHAnsi" w:eastAsiaTheme="majorEastAsia" w:hAnsiTheme="majorHAnsi" w:cstheme="majorBidi"/>
          <w:color w:val="auto"/>
        </w:rPr>
        <w:t>NDoH Secretary’s Office)</w:t>
      </w:r>
      <w:r w:rsidR="00635AEC" w:rsidRPr="00180A53">
        <w:rPr>
          <w:rFonts w:asciiTheme="majorHAnsi" w:eastAsiaTheme="majorEastAsia" w:hAnsiTheme="majorHAnsi" w:cstheme="majorBidi"/>
          <w:color w:val="auto"/>
        </w:rPr>
        <w:t xml:space="preserve">, gender equality, policy dialogue, coordination, selected policy and legal functions, </w:t>
      </w:r>
      <w:r w:rsidR="00057803" w:rsidRPr="0072386F">
        <w:rPr>
          <w:rFonts w:asciiTheme="majorHAnsi" w:eastAsiaTheme="majorEastAsia" w:hAnsiTheme="majorHAnsi" w:cstheme="majorBidi"/>
          <w:color w:val="auto"/>
        </w:rPr>
        <w:t xml:space="preserve">Health Services Improvement Program </w:t>
      </w:r>
      <w:r w:rsidR="00057803">
        <w:rPr>
          <w:rFonts w:asciiTheme="majorHAnsi" w:eastAsiaTheme="majorEastAsia" w:hAnsiTheme="majorHAnsi" w:cstheme="majorBidi"/>
          <w:color w:val="auto"/>
        </w:rPr>
        <w:t>Trust Account (HSIP TA)</w:t>
      </w:r>
      <w:r w:rsidR="00057803" w:rsidRPr="00180A53">
        <w:rPr>
          <w:rFonts w:asciiTheme="majorHAnsi" w:eastAsiaTheme="majorEastAsia" w:hAnsiTheme="majorHAnsi" w:cstheme="majorBidi"/>
          <w:color w:val="auto"/>
        </w:rPr>
        <w:t>-related financial management</w:t>
      </w:r>
      <w:r w:rsidR="00635AEC" w:rsidRPr="00180A53">
        <w:rPr>
          <w:rFonts w:asciiTheme="majorHAnsi" w:eastAsiaTheme="majorEastAsia" w:hAnsiTheme="majorHAnsi" w:cstheme="majorBidi"/>
          <w:color w:val="auto"/>
        </w:rPr>
        <w:t>, and other agreed system functions that directly enable integrated PHC.</w:t>
      </w:r>
      <w:r w:rsidR="00BE2E48">
        <w:rPr>
          <w:rFonts w:asciiTheme="majorHAnsi" w:eastAsiaTheme="majorEastAsia" w:hAnsiTheme="majorHAnsi" w:cstheme="majorBidi"/>
          <w:color w:val="auto"/>
        </w:rPr>
        <w:t xml:space="preserve"> </w:t>
      </w:r>
    </w:p>
    <w:p w14:paraId="4ED238C4" w14:textId="0B6D5733" w:rsidR="00A025AB" w:rsidRDefault="00D67C30" w:rsidP="00042DEB">
      <w:pPr>
        <w:spacing w:after="120" w:line="260" w:lineRule="exact"/>
        <w:rPr>
          <w:rFonts w:asciiTheme="majorHAnsi" w:eastAsiaTheme="majorEastAsia" w:hAnsiTheme="majorHAnsi" w:cstheme="majorBidi"/>
          <w:color w:val="auto"/>
        </w:rPr>
      </w:pPr>
      <w:r w:rsidRPr="000F2874">
        <w:rPr>
          <w:rFonts w:asciiTheme="majorHAnsi" w:eastAsiaTheme="majorEastAsia" w:hAnsiTheme="majorHAnsi" w:cstheme="majorBidi"/>
          <w:b/>
          <w:bCs/>
          <w:color w:val="auto"/>
        </w:rPr>
        <w:lastRenderedPageBreak/>
        <w:t xml:space="preserve">ENABLE will also identify and foster </w:t>
      </w:r>
      <w:r w:rsidR="0067245F" w:rsidRPr="000F2874">
        <w:rPr>
          <w:rFonts w:asciiTheme="majorHAnsi" w:eastAsiaTheme="majorEastAsia" w:hAnsiTheme="majorHAnsi" w:cstheme="majorBidi"/>
          <w:b/>
          <w:bCs/>
          <w:color w:val="auto"/>
        </w:rPr>
        <w:t>strategic partnerships</w:t>
      </w:r>
      <w:r w:rsidR="00821C8B" w:rsidRPr="000F2874">
        <w:rPr>
          <w:rFonts w:asciiTheme="majorHAnsi" w:eastAsiaTheme="majorEastAsia" w:hAnsiTheme="majorHAnsi" w:cstheme="majorBidi"/>
          <w:b/>
          <w:bCs/>
          <w:color w:val="auto"/>
        </w:rPr>
        <w:t xml:space="preserve"> that have an Australian comparative advantage in the health sector, and</w:t>
      </w:r>
      <w:r w:rsidR="0067245F" w:rsidRPr="000F2874">
        <w:rPr>
          <w:rFonts w:asciiTheme="majorHAnsi" w:eastAsiaTheme="majorEastAsia" w:hAnsiTheme="majorHAnsi" w:cstheme="majorBidi"/>
          <w:b/>
          <w:bCs/>
          <w:color w:val="auto"/>
        </w:rPr>
        <w:t xml:space="preserve"> that strengthen the capability of local institutions</w:t>
      </w:r>
      <w:r w:rsidR="003703EC" w:rsidRPr="000F2874">
        <w:rPr>
          <w:rFonts w:asciiTheme="majorHAnsi" w:eastAsiaTheme="majorEastAsia" w:hAnsiTheme="majorHAnsi" w:cstheme="majorBidi"/>
          <w:b/>
          <w:bCs/>
          <w:color w:val="auto"/>
        </w:rPr>
        <w:t>, including the private sector,</w:t>
      </w:r>
      <w:r w:rsidR="0067245F" w:rsidRPr="000F2874">
        <w:rPr>
          <w:rFonts w:asciiTheme="majorHAnsi" w:eastAsiaTheme="majorEastAsia" w:hAnsiTheme="majorHAnsi" w:cstheme="majorBidi"/>
          <w:b/>
          <w:bCs/>
          <w:color w:val="auto"/>
        </w:rPr>
        <w:t xml:space="preserve"> </w:t>
      </w:r>
      <w:r w:rsidR="00821C8B" w:rsidRPr="000F2874">
        <w:rPr>
          <w:rFonts w:asciiTheme="majorHAnsi" w:eastAsiaTheme="majorEastAsia" w:hAnsiTheme="majorHAnsi" w:cstheme="majorBidi"/>
          <w:b/>
          <w:bCs/>
          <w:color w:val="auto"/>
        </w:rPr>
        <w:t xml:space="preserve">to deliver </w:t>
      </w:r>
      <w:r w:rsidR="0067245F" w:rsidRPr="000F2874">
        <w:rPr>
          <w:rFonts w:asciiTheme="majorHAnsi" w:eastAsiaTheme="majorEastAsia" w:hAnsiTheme="majorHAnsi" w:cstheme="majorBidi"/>
          <w:b/>
          <w:bCs/>
          <w:color w:val="auto"/>
        </w:rPr>
        <w:t>integrated PHC</w:t>
      </w:r>
      <w:r w:rsidR="0067245F" w:rsidRPr="00180A53">
        <w:rPr>
          <w:rFonts w:asciiTheme="majorHAnsi" w:eastAsiaTheme="majorEastAsia" w:hAnsiTheme="majorHAnsi" w:cstheme="majorBidi"/>
          <w:color w:val="auto"/>
        </w:rPr>
        <w:t xml:space="preserve">. </w:t>
      </w:r>
      <w:r w:rsidR="00C67AF4">
        <w:rPr>
          <w:rFonts w:asciiTheme="majorHAnsi" w:eastAsiaTheme="majorEastAsia" w:hAnsiTheme="majorHAnsi" w:cstheme="majorBidi"/>
          <w:color w:val="auto"/>
        </w:rPr>
        <w:t xml:space="preserve">Partnerships will </w:t>
      </w:r>
      <w:r w:rsidR="0067245F" w:rsidRPr="00180A53">
        <w:rPr>
          <w:rFonts w:asciiTheme="majorHAnsi" w:eastAsiaTheme="majorEastAsia" w:hAnsiTheme="majorHAnsi" w:cstheme="majorBidi"/>
          <w:color w:val="auto"/>
        </w:rPr>
        <w:t xml:space="preserve">support different parts of the health system, including health workforce education and training, </w:t>
      </w:r>
      <w:r w:rsidR="005E6B69">
        <w:rPr>
          <w:rFonts w:asciiTheme="majorHAnsi" w:eastAsiaTheme="majorEastAsia" w:hAnsiTheme="majorHAnsi" w:cstheme="majorBidi"/>
          <w:color w:val="auto"/>
        </w:rPr>
        <w:t xml:space="preserve">remote </w:t>
      </w:r>
      <w:r w:rsidR="0067245F" w:rsidRPr="00180A53">
        <w:rPr>
          <w:rFonts w:asciiTheme="majorHAnsi" w:eastAsiaTheme="majorEastAsia" w:hAnsiTheme="majorHAnsi" w:cstheme="majorBidi"/>
          <w:color w:val="auto"/>
        </w:rPr>
        <w:t xml:space="preserve">outreach, institutional capability, technical collaboration, or other </w:t>
      </w:r>
      <w:r w:rsidR="005A375D" w:rsidRPr="00180A53">
        <w:rPr>
          <w:rFonts w:asciiTheme="majorHAnsi" w:eastAsiaTheme="majorEastAsia" w:hAnsiTheme="majorHAnsi" w:cstheme="majorBidi"/>
          <w:color w:val="auto"/>
        </w:rPr>
        <w:t xml:space="preserve">issues </w:t>
      </w:r>
      <w:r w:rsidR="0067245F" w:rsidRPr="00180A53">
        <w:rPr>
          <w:rFonts w:asciiTheme="majorHAnsi" w:eastAsiaTheme="majorEastAsia" w:hAnsiTheme="majorHAnsi" w:cstheme="majorBidi"/>
          <w:color w:val="auto"/>
        </w:rPr>
        <w:t>that affect integrated PHC.</w:t>
      </w:r>
      <w:r w:rsidR="00BE7E0F">
        <w:rPr>
          <w:rFonts w:asciiTheme="majorHAnsi" w:eastAsiaTheme="majorEastAsia" w:hAnsiTheme="majorHAnsi" w:cstheme="majorBidi"/>
          <w:color w:val="auto"/>
        </w:rPr>
        <w:t xml:space="preserve"> Priority will also be given </w:t>
      </w:r>
      <w:r w:rsidR="00A025AB" w:rsidRPr="00180A53">
        <w:rPr>
          <w:rFonts w:asciiTheme="majorHAnsi" w:eastAsiaTheme="majorEastAsia" w:hAnsiTheme="majorHAnsi" w:cstheme="majorBidi"/>
          <w:color w:val="auto"/>
        </w:rPr>
        <w:t xml:space="preserve">strengthening evidence-informed decision-making, adaptation and performance across Australia's PNG health portfolio through two complementary functions: generating and communicating high-quality portfolio data and analysis, and facilitating learning, adaptive management and investment coordination. It recognises that ENABLE, </w:t>
      </w:r>
      <w:r w:rsidR="00A61430" w:rsidRPr="00180A53">
        <w:rPr>
          <w:rFonts w:asciiTheme="majorHAnsi" w:eastAsiaTheme="majorEastAsia" w:hAnsiTheme="majorHAnsi" w:cstheme="majorBidi"/>
          <w:color w:val="auto"/>
        </w:rPr>
        <w:t xml:space="preserve">PHC4PNG, </w:t>
      </w:r>
      <w:r w:rsidR="00A025AB" w:rsidRPr="00180A53">
        <w:rPr>
          <w:rFonts w:asciiTheme="majorHAnsi" w:eastAsiaTheme="majorEastAsia" w:hAnsiTheme="majorHAnsi" w:cstheme="majorBidi"/>
          <w:color w:val="auto"/>
        </w:rPr>
        <w:t>SHARE and related partnerships will operate in a complex and evolving health system, and that DFAT, NDoH and partners will require timely evidence to understand performance, adapt implementation and identify emerging opportunities or risks.</w:t>
      </w:r>
    </w:p>
    <w:p w14:paraId="6D7B8EAF" w14:textId="0C2F65EF" w:rsidR="005D1CA1" w:rsidRDefault="004E4E79" w:rsidP="00BF7DF0">
      <w:pPr>
        <w:spacing w:after="120" w:line="260" w:lineRule="exact"/>
        <w:rPr>
          <w:rFonts w:asciiTheme="majorHAnsi" w:eastAsiaTheme="minorEastAsia" w:hAnsiTheme="majorHAnsi" w:cstheme="majorBidi"/>
          <w:color w:val="000000" w:themeColor="text1"/>
          <w:lang w:val="en-AU"/>
        </w:rPr>
      </w:pPr>
      <w:r w:rsidRPr="00042DEB">
        <w:rPr>
          <w:rFonts w:asciiTheme="majorHAnsi" w:eastAsiaTheme="majorEastAsia" w:hAnsiTheme="majorHAnsi" w:cstheme="majorBidi"/>
          <w:color w:val="auto"/>
        </w:rPr>
        <w:t>The investment will support PNG’s policy commitments to gender equality, disability and social inclusion and ‘health for all’, outlined in the NHP and the National Gender Equality and Women’s</w:t>
      </w:r>
      <w:r w:rsidRPr="1DC01C28">
        <w:rPr>
          <w:rFonts w:asciiTheme="majorHAnsi" w:eastAsiaTheme="minorEastAsia" w:hAnsiTheme="majorHAnsi" w:cstheme="majorBidi"/>
          <w:color w:val="000000" w:themeColor="text1"/>
          <w:lang w:val="en-AU"/>
        </w:rPr>
        <w:t xml:space="preserve"> Empowerment (GEWE) Policy (2025-2035), as well as the Australian Government’s objectives as set out in its </w:t>
      </w:r>
      <w:r w:rsidRPr="1DC01C28">
        <w:rPr>
          <w:rFonts w:asciiTheme="majorHAnsi" w:eastAsiaTheme="minorEastAsia" w:hAnsiTheme="majorHAnsi" w:cstheme="majorBidi"/>
          <w:i/>
          <w:color w:val="000000" w:themeColor="text1"/>
          <w:lang w:val="en-AU"/>
        </w:rPr>
        <w:t>International Disability Equity and Rights Strategy (2024)</w:t>
      </w:r>
      <w:r w:rsidRPr="1DC01C28">
        <w:rPr>
          <w:rFonts w:asciiTheme="majorHAnsi" w:eastAsiaTheme="minorEastAsia" w:hAnsiTheme="majorHAnsi" w:cstheme="majorBidi"/>
          <w:color w:val="000000" w:themeColor="text1"/>
          <w:lang w:val="en-AU"/>
        </w:rPr>
        <w:t xml:space="preserve"> (IDEARS) and </w:t>
      </w:r>
      <w:r w:rsidRPr="1DC01C28">
        <w:rPr>
          <w:rFonts w:asciiTheme="majorHAnsi" w:eastAsiaTheme="minorEastAsia" w:hAnsiTheme="majorHAnsi" w:cstheme="majorBidi"/>
          <w:i/>
          <w:color w:val="000000" w:themeColor="text1"/>
          <w:lang w:val="en-AU"/>
        </w:rPr>
        <w:t xml:space="preserve">International Gender Equality Strategy (2025). </w:t>
      </w:r>
      <w:r w:rsidRPr="1DC01C28">
        <w:rPr>
          <w:rFonts w:asciiTheme="majorHAnsi" w:eastAsiaTheme="minorEastAsia" w:hAnsiTheme="majorHAnsi" w:cstheme="majorBidi"/>
          <w:color w:val="000000" w:themeColor="text1"/>
          <w:lang w:val="en-AU"/>
        </w:rPr>
        <w:t xml:space="preserve">It will achieve this through both </w:t>
      </w:r>
      <w:r w:rsidRPr="1DC01C28">
        <w:rPr>
          <w:rFonts w:asciiTheme="majorHAnsi" w:eastAsiaTheme="minorEastAsia" w:hAnsiTheme="majorHAnsi" w:cstheme="majorBidi"/>
          <w:b/>
          <w:color w:val="000000" w:themeColor="text1"/>
          <w:lang w:val="en-AU"/>
        </w:rPr>
        <w:t>targeted support for gender equality and mainstreaming gender equality</w:t>
      </w:r>
      <w:r w:rsidRPr="1DC01C28">
        <w:rPr>
          <w:rFonts w:asciiTheme="majorHAnsi" w:eastAsiaTheme="minorEastAsia" w:hAnsiTheme="majorHAnsi" w:cstheme="majorBidi"/>
          <w:color w:val="000000" w:themeColor="text1"/>
          <w:lang w:val="en-AU"/>
        </w:rPr>
        <w:t xml:space="preserve">, disability inclusion and social inclusion across policy dialogue, and selected support to </w:t>
      </w:r>
      <w:r w:rsidRPr="1DC01C28">
        <w:rPr>
          <w:rFonts w:asciiTheme="majorHAnsi" w:eastAsia="Calibri Light" w:hAnsiTheme="majorHAnsi" w:cstheme="majorBidi"/>
          <w:color w:val="000000" w:themeColor="text1"/>
          <w:lang w:val="en-AU"/>
        </w:rPr>
        <w:t>national systems and advisory functions</w:t>
      </w:r>
      <w:r w:rsidRPr="1DC01C28">
        <w:rPr>
          <w:rFonts w:asciiTheme="majorHAnsi" w:eastAsiaTheme="minorEastAsia" w:hAnsiTheme="majorHAnsi" w:cstheme="majorBidi"/>
          <w:color w:val="000000" w:themeColor="text1"/>
          <w:lang w:val="en-AU"/>
        </w:rPr>
        <w:t xml:space="preserve">. It will also ensure that </w:t>
      </w:r>
      <w:r w:rsidR="00BE2CCB" w:rsidRPr="1DC01C28">
        <w:rPr>
          <w:rFonts w:asciiTheme="majorHAnsi" w:eastAsiaTheme="minorEastAsia" w:hAnsiTheme="majorHAnsi" w:cstheme="majorBidi"/>
          <w:color w:val="000000" w:themeColor="text1"/>
          <w:lang w:val="en-AU"/>
        </w:rPr>
        <w:t xml:space="preserve">any </w:t>
      </w:r>
      <w:r w:rsidRPr="1DC01C28">
        <w:rPr>
          <w:rFonts w:asciiTheme="majorHAnsi" w:eastAsiaTheme="minorEastAsia" w:hAnsiTheme="majorHAnsi" w:cstheme="majorBidi"/>
          <w:color w:val="000000" w:themeColor="text1"/>
          <w:lang w:val="en-AU"/>
        </w:rPr>
        <w:t xml:space="preserve">strategic partnerships are designed to be GEDSI responsive. </w:t>
      </w:r>
      <w:r w:rsidR="007B70EE" w:rsidRPr="1DC01C28">
        <w:rPr>
          <w:rFonts w:asciiTheme="majorHAnsi" w:eastAsiaTheme="minorEastAsia" w:hAnsiTheme="majorHAnsi" w:cstheme="majorBidi"/>
          <w:color w:val="000000" w:themeColor="text1"/>
          <w:lang w:val="en-AU"/>
        </w:rPr>
        <w:t xml:space="preserve">Key </w:t>
      </w:r>
      <w:r w:rsidR="006E700B" w:rsidRPr="1DC01C28">
        <w:rPr>
          <w:rFonts w:asciiTheme="majorHAnsi" w:eastAsiaTheme="minorEastAsia" w:hAnsiTheme="majorHAnsi" w:cstheme="majorBidi"/>
          <w:color w:val="000000" w:themeColor="text1"/>
          <w:lang w:val="en-AU"/>
        </w:rPr>
        <w:t xml:space="preserve">gender equality </w:t>
      </w:r>
      <w:r w:rsidR="007B70EE" w:rsidRPr="1DC01C28">
        <w:rPr>
          <w:rFonts w:asciiTheme="majorHAnsi" w:eastAsiaTheme="minorEastAsia" w:hAnsiTheme="majorHAnsi" w:cstheme="majorBidi"/>
          <w:color w:val="000000" w:themeColor="text1"/>
          <w:lang w:val="en-AU"/>
        </w:rPr>
        <w:t xml:space="preserve">activities will include </w:t>
      </w:r>
      <w:r w:rsidR="009126B3">
        <w:rPr>
          <w:rFonts w:asciiTheme="majorHAnsi" w:eastAsiaTheme="minorEastAsia" w:hAnsiTheme="majorHAnsi" w:cstheme="majorBidi"/>
          <w:color w:val="000000" w:themeColor="text1"/>
          <w:lang w:val="en-AU"/>
        </w:rPr>
        <w:t>funding</w:t>
      </w:r>
      <w:r w:rsidR="00696C74" w:rsidRPr="1DC01C28">
        <w:rPr>
          <w:rFonts w:asciiTheme="majorHAnsi" w:eastAsiaTheme="minorEastAsia" w:hAnsiTheme="majorHAnsi" w:cstheme="majorBidi"/>
          <w:color w:val="000000" w:themeColor="text1"/>
          <w:lang w:val="en-AU"/>
        </w:rPr>
        <w:t xml:space="preserve"> </w:t>
      </w:r>
      <w:r w:rsidR="005527AC" w:rsidRPr="1DC01C28">
        <w:rPr>
          <w:rFonts w:asciiTheme="majorHAnsi" w:eastAsiaTheme="minorEastAsia" w:hAnsiTheme="majorHAnsi" w:cstheme="majorBidi"/>
          <w:color w:val="000000" w:themeColor="text1"/>
          <w:lang w:val="en-AU"/>
        </w:rPr>
        <w:t xml:space="preserve">unfilled positions in the </w:t>
      </w:r>
      <w:r w:rsidR="0078516F">
        <w:rPr>
          <w:rFonts w:asciiTheme="majorHAnsi" w:eastAsiaTheme="minorEastAsia" w:hAnsiTheme="majorHAnsi" w:cstheme="majorBidi"/>
          <w:color w:val="000000" w:themeColor="text1"/>
          <w:lang w:val="en-AU"/>
        </w:rPr>
        <w:t xml:space="preserve">NDoH </w:t>
      </w:r>
      <w:r w:rsidR="005527AC" w:rsidRPr="1DC01C28">
        <w:rPr>
          <w:rFonts w:asciiTheme="majorHAnsi" w:eastAsiaTheme="minorEastAsia" w:hAnsiTheme="majorHAnsi" w:cstheme="majorBidi"/>
          <w:color w:val="000000" w:themeColor="text1"/>
          <w:lang w:val="en-AU"/>
        </w:rPr>
        <w:t>Gender, Disability and Men’s Health Program</w:t>
      </w:r>
      <w:r w:rsidR="006E700B" w:rsidRPr="1DC01C28">
        <w:rPr>
          <w:rFonts w:asciiTheme="majorHAnsi" w:eastAsiaTheme="minorEastAsia" w:hAnsiTheme="majorHAnsi" w:cstheme="majorBidi"/>
          <w:color w:val="000000" w:themeColor="text1"/>
          <w:lang w:val="en-AU"/>
        </w:rPr>
        <w:t xml:space="preserve"> and </w:t>
      </w:r>
      <w:r w:rsidR="00CD6AA4" w:rsidRPr="1DC01C28">
        <w:rPr>
          <w:rFonts w:asciiTheme="majorHAnsi" w:eastAsiaTheme="minorEastAsia" w:hAnsiTheme="majorHAnsi" w:cstheme="majorBidi"/>
          <w:color w:val="000000" w:themeColor="text1"/>
          <w:lang w:val="en-AU"/>
        </w:rPr>
        <w:t>supporting</w:t>
      </w:r>
      <w:r w:rsidR="006E700B" w:rsidRPr="1DC01C28">
        <w:rPr>
          <w:rFonts w:asciiTheme="majorHAnsi" w:eastAsiaTheme="minorEastAsia" w:hAnsiTheme="majorHAnsi" w:cstheme="majorBidi"/>
          <w:color w:val="000000" w:themeColor="text1"/>
          <w:lang w:val="en-AU"/>
        </w:rPr>
        <w:t xml:space="preserve"> the</w:t>
      </w:r>
      <w:r w:rsidR="00CD6AA4" w:rsidRPr="1DC01C28">
        <w:rPr>
          <w:rFonts w:asciiTheme="majorHAnsi" w:eastAsiaTheme="minorEastAsia" w:hAnsiTheme="majorHAnsi" w:cstheme="majorBidi"/>
          <w:color w:val="000000" w:themeColor="text1"/>
          <w:lang w:val="en-AU"/>
        </w:rPr>
        <w:t xml:space="preserve"> </w:t>
      </w:r>
      <w:r w:rsidR="006E700B" w:rsidRPr="1DC01C28">
        <w:rPr>
          <w:rFonts w:asciiTheme="majorHAnsi" w:eastAsiaTheme="minorEastAsia" w:hAnsiTheme="majorHAnsi" w:cstheme="majorBidi"/>
          <w:color w:val="000000" w:themeColor="text1"/>
          <w:lang w:val="en-AU"/>
        </w:rPr>
        <w:t xml:space="preserve">Gender, Disability and Men’s Health Program </w:t>
      </w:r>
      <w:r w:rsidR="00CD6AA4" w:rsidRPr="1DC01C28">
        <w:rPr>
          <w:rFonts w:asciiTheme="majorHAnsi" w:eastAsiaTheme="minorEastAsia" w:hAnsiTheme="majorHAnsi" w:cstheme="majorBidi"/>
          <w:color w:val="000000" w:themeColor="text1"/>
          <w:lang w:val="en-AU"/>
        </w:rPr>
        <w:t>to conduct a Gender Audit of the sector</w:t>
      </w:r>
      <w:r w:rsidR="00BE2CCB" w:rsidRPr="1DC01C28">
        <w:rPr>
          <w:rFonts w:asciiTheme="majorHAnsi" w:eastAsiaTheme="minorEastAsia" w:hAnsiTheme="majorHAnsi" w:cstheme="majorBidi"/>
          <w:color w:val="000000" w:themeColor="text1"/>
          <w:lang w:val="en-AU"/>
        </w:rPr>
        <w:t xml:space="preserve"> to generate </w:t>
      </w:r>
      <w:r w:rsidR="00CD6AA4" w:rsidRPr="1DC01C28">
        <w:rPr>
          <w:rFonts w:asciiTheme="majorHAnsi" w:eastAsiaTheme="minorEastAsia" w:hAnsiTheme="majorHAnsi" w:cstheme="majorBidi"/>
          <w:color w:val="000000" w:themeColor="text1"/>
          <w:lang w:val="en-AU"/>
        </w:rPr>
        <w:t xml:space="preserve">a </w:t>
      </w:r>
      <w:r w:rsidR="005527AC" w:rsidRPr="1DC01C28">
        <w:rPr>
          <w:rFonts w:asciiTheme="majorHAnsi" w:eastAsiaTheme="minorEastAsia" w:hAnsiTheme="majorHAnsi" w:cstheme="majorBidi"/>
          <w:b/>
          <w:color w:val="000000" w:themeColor="text1"/>
          <w:lang w:val="en-AU"/>
        </w:rPr>
        <w:t xml:space="preserve">baseline and roadmap for women’s leadership </w:t>
      </w:r>
      <w:r w:rsidR="00CD6AA4" w:rsidRPr="1DC01C28">
        <w:rPr>
          <w:rFonts w:asciiTheme="majorHAnsi" w:eastAsiaTheme="minorEastAsia" w:hAnsiTheme="majorHAnsi" w:cstheme="majorBidi"/>
          <w:b/>
          <w:color w:val="000000" w:themeColor="text1"/>
          <w:lang w:val="en-AU"/>
        </w:rPr>
        <w:t>in the sector</w:t>
      </w:r>
      <w:r w:rsidR="00CD6AA4" w:rsidRPr="1DC01C28">
        <w:rPr>
          <w:rFonts w:asciiTheme="majorHAnsi" w:eastAsiaTheme="minorEastAsia" w:hAnsiTheme="majorHAnsi" w:cstheme="majorBidi"/>
          <w:color w:val="000000" w:themeColor="text1"/>
          <w:lang w:val="en-AU"/>
        </w:rPr>
        <w:t xml:space="preserve">. </w:t>
      </w:r>
      <w:r w:rsidR="006E700B" w:rsidRPr="1DC01C28">
        <w:rPr>
          <w:rFonts w:asciiTheme="majorHAnsi" w:eastAsiaTheme="minorEastAsia" w:hAnsiTheme="majorHAnsi" w:cstheme="majorBidi"/>
          <w:color w:val="000000" w:themeColor="text1"/>
          <w:lang w:val="en-AU"/>
        </w:rPr>
        <w:t xml:space="preserve">ENABLE will sustain a </w:t>
      </w:r>
      <w:r w:rsidR="00CD6AA4" w:rsidRPr="1DC01C28">
        <w:rPr>
          <w:rFonts w:asciiTheme="majorHAnsi" w:eastAsiaTheme="minorEastAsia" w:hAnsiTheme="majorHAnsi" w:cstheme="majorBidi"/>
          <w:color w:val="000000" w:themeColor="text1"/>
          <w:lang w:val="en-AU"/>
        </w:rPr>
        <w:t xml:space="preserve">focus on </w:t>
      </w:r>
      <w:r w:rsidR="005527AC" w:rsidRPr="1DC01C28">
        <w:rPr>
          <w:rFonts w:asciiTheme="majorHAnsi" w:eastAsiaTheme="minorEastAsia" w:hAnsiTheme="majorHAnsi" w:cstheme="majorBidi"/>
          <w:b/>
          <w:color w:val="000000" w:themeColor="text1"/>
          <w:lang w:val="en-AU"/>
        </w:rPr>
        <w:t>strengthening policy dialogue for disability equity in the health sector</w:t>
      </w:r>
      <w:r w:rsidR="008042B5" w:rsidRPr="1DC01C28">
        <w:rPr>
          <w:rFonts w:asciiTheme="majorHAnsi" w:eastAsiaTheme="minorEastAsia" w:hAnsiTheme="majorHAnsi" w:cstheme="majorBidi"/>
          <w:color w:val="000000" w:themeColor="text1"/>
          <w:lang w:val="en-AU"/>
        </w:rPr>
        <w:t xml:space="preserve">, </w:t>
      </w:r>
      <w:r w:rsidR="00A45E05" w:rsidRPr="1DC01C28">
        <w:rPr>
          <w:rFonts w:asciiTheme="majorHAnsi" w:eastAsiaTheme="minorEastAsia" w:hAnsiTheme="majorHAnsi" w:cstheme="majorBidi"/>
          <w:color w:val="000000" w:themeColor="text1"/>
          <w:lang w:val="en-AU"/>
        </w:rPr>
        <w:t>while recognising</w:t>
      </w:r>
      <w:r w:rsidR="008042B5" w:rsidRPr="1DC01C28">
        <w:rPr>
          <w:rFonts w:asciiTheme="majorHAnsi" w:eastAsiaTheme="minorEastAsia" w:hAnsiTheme="majorHAnsi" w:cstheme="majorBidi"/>
          <w:color w:val="000000" w:themeColor="text1"/>
          <w:lang w:val="en-AU"/>
        </w:rPr>
        <w:t xml:space="preserve"> the </w:t>
      </w:r>
      <w:r w:rsidR="00125FA2" w:rsidRPr="1DC01C28">
        <w:rPr>
          <w:rFonts w:asciiTheme="majorHAnsi" w:eastAsiaTheme="minorEastAsia" w:hAnsiTheme="majorHAnsi" w:cstheme="majorBidi"/>
          <w:color w:val="000000" w:themeColor="text1"/>
          <w:lang w:val="en-AU"/>
        </w:rPr>
        <w:t>limited entry points within the current system</w:t>
      </w:r>
      <w:r w:rsidR="00CD6AA4" w:rsidRPr="1DC01C28">
        <w:rPr>
          <w:rFonts w:asciiTheme="majorHAnsi" w:eastAsiaTheme="minorEastAsia" w:hAnsiTheme="majorHAnsi" w:cstheme="majorBidi"/>
          <w:color w:val="000000" w:themeColor="text1"/>
          <w:lang w:val="en-AU"/>
        </w:rPr>
        <w:t>. In</w:t>
      </w:r>
      <w:r w:rsidR="00BF7D70" w:rsidRPr="1DC01C28">
        <w:rPr>
          <w:rFonts w:asciiTheme="majorHAnsi" w:eastAsiaTheme="minorEastAsia" w:hAnsiTheme="majorHAnsi" w:cstheme="majorBidi"/>
          <w:color w:val="000000" w:themeColor="text1"/>
          <w:lang w:val="en-AU"/>
        </w:rPr>
        <w:t xml:space="preserve"> ENABLE’s </w:t>
      </w:r>
      <w:r w:rsidR="00CD6AA4" w:rsidRPr="1DC01C28">
        <w:rPr>
          <w:rFonts w:asciiTheme="majorHAnsi" w:eastAsiaTheme="minorEastAsia" w:hAnsiTheme="majorHAnsi" w:cstheme="majorBidi"/>
          <w:color w:val="000000" w:themeColor="text1"/>
          <w:lang w:val="en-AU"/>
        </w:rPr>
        <w:t>first phase</w:t>
      </w:r>
      <w:r w:rsidR="00BF7D70" w:rsidRPr="1DC01C28">
        <w:rPr>
          <w:rFonts w:asciiTheme="majorHAnsi" w:eastAsiaTheme="minorEastAsia" w:hAnsiTheme="majorHAnsi" w:cstheme="majorBidi"/>
          <w:color w:val="000000" w:themeColor="text1"/>
          <w:lang w:val="en-AU"/>
        </w:rPr>
        <w:t xml:space="preserve">, </w:t>
      </w:r>
      <w:r w:rsidR="00CD6AA4" w:rsidRPr="1DC01C28">
        <w:rPr>
          <w:rFonts w:asciiTheme="majorHAnsi" w:eastAsiaTheme="minorEastAsia" w:hAnsiTheme="majorHAnsi" w:cstheme="majorBidi"/>
          <w:color w:val="000000" w:themeColor="text1"/>
          <w:lang w:val="en-AU"/>
        </w:rPr>
        <w:t xml:space="preserve">a disability action plan will be developed </w:t>
      </w:r>
      <w:r w:rsidR="00465F91" w:rsidRPr="1DC01C28">
        <w:rPr>
          <w:rFonts w:asciiTheme="majorHAnsi" w:eastAsiaTheme="minorEastAsia" w:hAnsiTheme="majorHAnsi" w:cstheme="majorBidi"/>
          <w:color w:val="000000" w:themeColor="text1"/>
          <w:lang w:val="en-AU"/>
        </w:rPr>
        <w:t>outlining</w:t>
      </w:r>
      <w:r w:rsidR="00CD6AA4" w:rsidRPr="1DC01C28">
        <w:rPr>
          <w:rFonts w:asciiTheme="majorHAnsi" w:eastAsiaTheme="minorEastAsia" w:hAnsiTheme="majorHAnsi" w:cstheme="majorBidi"/>
          <w:color w:val="000000" w:themeColor="text1"/>
          <w:lang w:val="en-AU"/>
        </w:rPr>
        <w:t xml:space="preserve"> the approach to be taken in driving this policy dialogue.</w:t>
      </w:r>
      <w:r w:rsidR="00125FA2" w:rsidRPr="1DC01C28">
        <w:rPr>
          <w:rFonts w:asciiTheme="majorHAnsi" w:eastAsiaTheme="minorEastAsia" w:hAnsiTheme="majorHAnsi" w:cstheme="majorBidi"/>
          <w:color w:val="000000" w:themeColor="text1"/>
          <w:lang w:val="en-AU"/>
        </w:rPr>
        <w:t xml:space="preserve"> </w:t>
      </w:r>
      <w:r w:rsidR="005D1CA1" w:rsidRPr="1DC01C28">
        <w:rPr>
          <w:rFonts w:asciiTheme="majorHAnsi" w:eastAsiaTheme="minorEastAsia" w:hAnsiTheme="majorHAnsi" w:cstheme="majorBidi"/>
          <w:color w:val="000000" w:themeColor="text1"/>
          <w:lang w:val="en-AU"/>
        </w:rPr>
        <w:t>A wide range of factors in PNG contribute to social exclusion from health services and subsequent poorer health outcomes:</w:t>
      </w:r>
      <w:r w:rsidR="007A62D1" w:rsidRPr="1DC01C28">
        <w:rPr>
          <w:rFonts w:asciiTheme="majorHAnsi" w:eastAsiaTheme="minorEastAsia" w:hAnsiTheme="majorHAnsi" w:cstheme="majorBidi"/>
          <w:color w:val="000000" w:themeColor="text1"/>
          <w:lang w:val="en-AU"/>
        </w:rPr>
        <w:t xml:space="preserve"> geographic distance</w:t>
      </w:r>
      <w:r w:rsidR="007B5601" w:rsidRPr="1DC01C28">
        <w:rPr>
          <w:rFonts w:asciiTheme="majorHAnsi" w:eastAsiaTheme="minorEastAsia" w:hAnsiTheme="majorHAnsi" w:cstheme="majorBidi"/>
          <w:color w:val="000000" w:themeColor="text1"/>
          <w:lang w:val="en-AU"/>
        </w:rPr>
        <w:t xml:space="preserve">; </w:t>
      </w:r>
      <w:r w:rsidR="005D1CA1" w:rsidRPr="1DC01C28">
        <w:rPr>
          <w:rFonts w:asciiTheme="majorHAnsi" w:eastAsiaTheme="minorEastAsia" w:hAnsiTheme="majorHAnsi" w:cstheme="majorBidi"/>
          <w:color w:val="000000" w:themeColor="text1"/>
          <w:lang w:val="en-AU"/>
        </w:rPr>
        <w:t>at risk groups are marginalised or stigmatised and feel unable to access services; and young people, particularly young girls</w:t>
      </w:r>
      <w:r w:rsidR="00F00E6D" w:rsidRPr="1DC01C28">
        <w:rPr>
          <w:rFonts w:asciiTheme="majorHAnsi" w:eastAsiaTheme="minorEastAsia" w:hAnsiTheme="majorHAnsi" w:cstheme="majorBidi"/>
          <w:color w:val="000000" w:themeColor="text1"/>
          <w:lang w:val="en-AU"/>
        </w:rPr>
        <w:t xml:space="preserve">, </w:t>
      </w:r>
      <w:r w:rsidR="005D1CA1" w:rsidRPr="1DC01C28">
        <w:rPr>
          <w:rFonts w:asciiTheme="majorHAnsi" w:eastAsiaTheme="minorEastAsia" w:hAnsiTheme="majorHAnsi" w:cstheme="majorBidi"/>
          <w:color w:val="000000" w:themeColor="text1"/>
          <w:lang w:val="en-AU"/>
        </w:rPr>
        <w:t xml:space="preserve">are poorly provided for. </w:t>
      </w:r>
      <w:r w:rsidR="005D1CA1" w:rsidRPr="1DC01C28">
        <w:rPr>
          <w:rFonts w:asciiTheme="majorHAnsi" w:eastAsiaTheme="minorEastAsia" w:hAnsiTheme="majorHAnsi" w:cstheme="majorBidi"/>
          <w:b/>
          <w:color w:val="000000" w:themeColor="text1"/>
          <w:lang w:val="en-AU"/>
        </w:rPr>
        <w:t>ENABLE will therefore ensure an intersectional approach is applied recognising that all these exclusions</w:t>
      </w:r>
      <w:r w:rsidR="000D023E" w:rsidRPr="1DC01C28">
        <w:rPr>
          <w:rFonts w:asciiTheme="majorHAnsi" w:eastAsiaTheme="minorEastAsia" w:hAnsiTheme="majorHAnsi" w:cstheme="majorBidi"/>
          <w:b/>
          <w:color w:val="000000" w:themeColor="text1"/>
          <w:lang w:val="en-AU"/>
        </w:rPr>
        <w:t>,</w:t>
      </w:r>
      <w:r w:rsidR="005D1CA1" w:rsidRPr="1DC01C28">
        <w:rPr>
          <w:rFonts w:asciiTheme="majorHAnsi" w:eastAsiaTheme="minorEastAsia" w:hAnsiTheme="majorHAnsi" w:cstheme="majorBidi"/>
          <w:b/>
          <w:color w:val="000000" w:themeColor="text1"/>
          <w:lang w:val="en-AU"/>
        </w:rPr>
        <w:t xml:space="preserve"> including gender and disability</w:t>
      </w:r>
      <w:r w:rsidR="000D023E" w:rsidRPr="1DC01C28">
        <w:rPr>
          <w:rFonts w:asciiTheme="majorHAnsi" w:eastAsiaTheme="minorEastAsia" w:hAnsiTheme="majorHAnsi" w:cstheme="majorBidi"/>
          <w:b/>
          <w:color w:val="000000" w:themeColor="text1"/>
          <w:lang w:val="en-AU"/>
        </w:rPr>
        <w:t>,</w:t>
      </w:r>
      <w:r w:rsidR="005D1CA1" w:rsidRPr="1DC01C28">
        <w:rPr>
          <w:rFonts w:asciiTheme="majorHAnsi" w:eastAsiaTheme="minorEastAsia" w:hAnsiTheme="majorHAnsi" w:cstheme="majorBidi"/>
          <w:b/>
          <w:color w:val="000000" w:themeColor="text1"/>
          <w:lang w:val="en-AU"/>
        </w:rPr>
        <w:t xml:space="preserve"> interact with each other with often negative consequences</w:t>
      </w:r>
      <w:r w:rsidR="005D1CA1" w:rsidRPr="1DC01C28">
        <w:rPr>
          <w:rFonts w:asciiTheme="majorHAnsi" w:eastAsiaTheme="minorEastAsia" w:hAnsiTheme="majorHAnsi" w:cstheme="majorBidi"/>
          <w:color w:val="000000" w:themeColor="text1"/>
          <w:lang w:val="en-AU"/>
        </w:rPr>
        <w:t xml:space="preserve">. As a starting point, </w:t>
      </w:r>
      <w:r w:rsidR="000D023E" w:rsidRPr="1DC01C28">
        <w:rPr>
          <w:rFonts w:asciiTheme="majorHAnsi" w:eastAsiaTheme="minorEastAsia" w:hAnsiTheme="majorHAnsi" w:cstheme="majorBidi"/>
          <w:color w:val="000000" w:themeColor="text1"/>
          <w:lang w:val="en-AU"/>
        </w:rPr>
        <w:t>ENABLE</w:t>
      </w:r>
      <w:r w:rsidR="005D1CA1" w:rsidRPr="1DC01C28">
        <w:rPr>
          <w:rFonts w:asciiTheme="majorHAnsi" w:eastAsiaTheme="minorEastAsia" w:hAnsiTheme="majorHAnsi" w:cstheme="majorBidi"/>
          <w:color w:val="000000" w:themeColor="text1"/>
          <w:lang w:val="en-AU"/>
        </w:rPr>
        <w:t xml:space="preserve"> will focus on policy dialogue to support the development of a National Youth and Adolescent Health Policy.</w:t>
      </w:r>
    </w:p>
    <w:p w14:paraId="1B018990" w14:textId="0B7D7AB1" w:rsidR="0078516F" w:rsidRPr="000E437C" w:rsidRDefault="0078516F" w:rsidP="00BF7DF0">
      <w:pPr>
        <w:spacing w:after="120" w:line="260" w:lineRule="exact"/>
        <w:rPr>
          <w:rFonts w:asciiTheme="majorHAnsi" w:eastAsiaTheme="minorEastAsia" w:hAnsiTheme="majorHAnsi" w:cstheme="majorBidi"/>
          <w:color w:val="000000" w:themeColor="text1"/>
          <w:lang w:val="en-AU"/>
        </w:rPr>
      </w:pPr>
      <w:r w:rsidRPr="000E437C">
        <w:rPr>
          <w:rFonts w:asciiTheme="majorHAnsi" w:eastAsiaTheme="minorEastAsia" w:hAnsiTheme="majorHAnsi" w:cstheme="majorHAnsi"/>
          <w:color w:val="000000" w:themeColor="text1"/>
          <w:lang w:val="en-US"/>
        </w:rPr>
        <w:t>PNG’s health system is increasingly affected by climate variability and weather-related disruptions, including flooding, heat stress, damage to facilities, interruptions to outreach, and displacement of staff.</w:t>
      </w:r>
      <w:r w:rsidRPr="000E437C">
        <w:rPr>
          <w:rFonts w:asciiTheme="majorHAnsi" w:eastAsiaTheme="minorEastAsia" w:hAnsiTheme="majorHAnsi" w:cstheme="majorHAnsi"/>
          <w:color w:val="000000" w:themeColor="text1"/>
          <w:lang w:val="en-AU"/>
        </w:rPr>
        <w:t xml:space="preserve"> </w:t>
      </w:r>
      <w:r w:rsidRPr="0095269E">
        <w:rPr>
          <w:rFonts w:asciiTheme="majorHAnsi" w:eastAsiaTheme="minorEastAsia" w:hAnsiTheme="majorHAnsi" w:cstheme="majorHAnsi"/>
          <w:b/>
          <w:bCs/>
          <w:color w:val="000000" w:themeColor="text1"/>
          <w:lang w:val="en-AU"/>
        </w:rPr>
        <w:t>With more substantial efforts on climate change addressed through complementary service delivery and infrastructure programs, it will be integrated as a secondary objective in ENABLE</w:t>
      </w:r>
      <w:r w:rsidRPr="000E437C">
        <w:rPr>
          <w:rFonts w:asciiTheme="majorHAnsi" w:eastAsiaTheme="minorEastAsia" w:hAnsiTheme="majorHAnsi" w:cstheme="majorHAnsi"/>
          <w:color w:val="000000" w:themeColor="text1"/>
          <w:lang w:val="en-AU"/>
        </w:rPr>
        <w:t>. NDoH will be supported to develop a national climate resilient health system policy. The implementation of the policy in the future may enable climate change to be integrated into indicators for assessing PHC service delivery capacity or community-based work under PHC4PNG in the second half of that investment. Until this time, efforts to strengthen integrated PHC under PHC4PNG and ENABLE are also well aligned with responses to climate change. Integrated PHC, including the prevention and treatment of nutrition, communicable diseases, and NCDs and the use of technology for remote supervision and telehealth thereby reducing transport emissions, is key to climate change mitigation and adaptation efforts.</w:t>
      </w:r>
    </w:p>
    <w:p w14:paraId="27EEEC07" w14:textId="2706E07B" w:rsidR="00BF7DF0" w:rsidRPr="0012745E" w:rsidRDefault="00BF7DF0" w:rsidP="00BF7DF0">
      <w:pPr>
        <w:numPr>
          <w:ilvl w:val="0"/>
          <w:numId w:val="10"/>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line="240" w:lineRule="auto"/>
        <w:ind w:left="284" w:hanging="284"/>
        <w:rPr>
          <w:rFonts w:asciiTheme="majorHAnsi" w:hAnsiTheme="majorHAnsi" w:cstheme="majorBidi"/>
          <w:b/>
          <w:color w:val="000000" w:themeColor="text1"/>
        </w:rPr>
      </w:pPr>
      <w:r w:rsidRPr="00732343">
        <w:rPr>
          <w:rFonts w:asciiTheme="majorHAnsi" w:hAnsiTheme="majorHAnsi" w:cstheme="majorBidi"/>
          <w:b/>
          <w:color w:val="000000" w:themeColor="text1"/>
        </w:rPr>
        <w:t>Implementation</w:t>
      </w:r>
      <w:r w:rsidRPr="67F991D4">
        <w:rPr>
          <w:rFonts w:asciiTheme="majorHAnsi" w:hAnsiTheme="majorHAnsi" w:cstheme="majorBidi"/>
          <w:b/>
          <w:bCs/>
          <w:color w:val="000000" w:themeColor="text1"/>
        </w:rPr>
        <w:t xml:space="preserve"> Arrangements and Delivery Approach (How will DFAT deliver it and engage?)</w:t>
      </w:r>
    </w:p>
    <w:p w14:paraId="13E19460" w14:textId="745418A0" w:rsidR="00BF7DF0" w:rsidRDefault="00BF7DF0" w:rsidP="00BF7DF0">
      <w:pPr>
        <w:suppressAutoHyphens w:val="0"/>
        <w:spacing w:before="0" w:line="240" w:lineRule="auto"/>
        <w:rPr>
          <w:rFonts w:asciiTheme="majorHAnsi" w:eastAsia="Times New Roman" w:hAnsiTheme="majorHAnsi" w:cstheme="majorBidi"/>
          <w:color w:val="auto"/>
        </w:rPr>
      </w:pPr>
      <w:r w:rsidRPr="00A31842">
        <w:rPr>
          <w:rFonts w:asciiTheme="majorHAnsi" w:hAnsiTheme="majorHAnsi" w:cstheme="majorBidi"/>
          <w:b/>
          <w:bCs/>
          <w:color w:val="auto"/>
        </w:rPr>
        <w:t>ENABLE will be implemented for up to 10 years</w:t>
      </w:r>
      <w:r w:rsidR="00575C70">
        <w:rPr>
          <w:rFonts w:asciiTheme="majorHAnsi" w:hAnsiTheme="majorHAnsi" w:cstheme="majorBidi"/>
          <w:b/>
          <w:bCs/>
          <w:color w:val="auto"/>
        </w:rPr>
        <w:t xml:space="preserve">, </w:t>
      </w:r>
      <w:r w:rsidR="00575C70">
        <w:rPr>
          <w:rFonts w:asciiTheme="majorHAnsi" w:hAnsiTheme="majorHAnsi" w:cstheme="majorBidi"/>
          <w:color w:val="auto"/>
        </w:rPr>
        <w:t>with an</w:t>
      </w:r>
      <w:r w:rsidRPr="00A31842">
        <w:rPr>
          <w:rFonts w:asciiTheme="majorHAnsi" w:hAnsiTheme="majorHAnsi" w:cstheme="majorBidi"/>
          <w:b/>
          <w:bCs/>
          <w:color w:val="auto"/>
        </w:rPr>
        <w:t xml:space="preserve"> </w:t>
      </w:r>
      <w:r w:rsidRPr="00A31842">
        <w:rPr>
          <w:rFonts w:asciiTheme="majorHAnsi" w:hAnsiTheme="majorHAnsi" w:cstheme="majorBidi"/>
          <w:color w:val="auto"/>
        </w:rPr>
        <w:t xml:space="preserve">initial contract period </w:t>
      </w:r>
      <w:r w:rsidR="00575C70">
        <w:rPr>
          <w:rFonts w:asciiTheme="majorHAnsi" w:hAnsiTheme="majorHAnsi" w:cstheme="majorBidi"/>
          <w:color w:val="auto"/>
        </w:rPr>
        <w:t xml:space="preserve">of </w:t>
      </w:r>
      <w:r w:rsidRPr="00A31842">
        <w:rPr>
          <w:rFonts w:asciiTheme="majorHAnsi" w:hAnsiTheme="majorHAnsi" w:cstheme="majorBidi"/>
          <w:color w:val="auto"/>
        </w:rPr>
        <w:t>five years</w:t>
      </w:r>
      <w:r w:rsidR="00575C70">
        <w:rPr>
          <w:rFonts w:asciiTheme="majorHAnsi" w:hAnsiTheme="majorHAnsi" w:cstheme="majorBidi"/>
          <w:color w:val="auto"/>
        </w:rPr>
        <w:t>,</w:t>
      </w:r>
      <w:r w:rsidRPr="00A31842">
        <w:rPr>
          <w:rFonts w:asciiTheme="majorHAnsi" w:hAnsiTheme="majorHAnsi" w:cstheme="majorBidi"/>
          <w:color w:val="auto"/>
        </w:rPr>
        <w:t xml:space="preserve"> with an option for a second phase of up to five years, subject to satisfactory performance and validation of the approach. ENABLE will have an</w:t>
      </w:r>
      <w:r w:rsidRPr="00A31842">
        <w:rPr>
          <w:rFonts w:asciiTheme="majorHAnsi" w:hAnsiTheme="majorHAnsi" w:cstheme="majorBidi"/>
          <w:b/>
          <w:bCs/>
          <w:color w:val="auto"/>
        </w:rPr>
        <w:t xml:space="preserve"> estimated budget of up to $85 million</w:t>
      </w:r>
      <w:r w:rsidR="00575C70">
        <w:rPr>
          <w:rFonts w:asciiTheme="majorHAnsi" w:hAnsiTheme="majorHAnsi" w:cstheme="majorBidi"/>
          <w:b/>
          <w:bCs/>
          <w:color w:val="auto"/>
        </w:rPr>
        <w:t xml:space="preserve"> -</w:t>
      </w:r>
      <w:r w:rsidRPr="00A31842">
        <w:rPr>
          <w:rFonts w:asciiTheme="majorHAnsi" w:hAnsiTheme="majorHAnsi" w:cstheme="majorBidi"/>
          <w:b/>
          <w:bCs/>
          <w:color w:val="auto"/>
        </w:rPr>
        <w:t xml:space="preserve"> up to $35 milli</w:t>
      </w:r>
      <w:r>
        <w:rPr>
          <w:rFonts w:asciiTheme="majorHAnsi" w:hAnsiTheme="majorHAnsi" w:cstheme="majorBidi"/>
          <w:b/>
          <w:bCs/>
          <w:color w:val="auto"/>
        </w:rPr>
        <w:t>o</w:t>
      </w:r>
      <w:r w:rsidRPr="00A31842">
        <w:rPr>
          <w:rFonts w:asciiTheme="majorHAnsi" w:hAnsiTheme="majorHAnsi" w:cstheme="majorBidi"/>
          <w:b/>
          <w:bCs/>
          <w:color w:val="auto"/>
        </w:rPr>
        <w:t xml:space="preserve">n for the first five years, and </w:t>
      </w:r>
      <w:r w:rsidR="00575C70">
        <w:rPr>
          <w:rFonts w:asciiTheme="majorHAnsi" w:hAnsiTheme="majorHAnsi" w:cstheme="majorBidi"/>
          <w:b/>
          <w:bCs/>
          <w:color w:val="auto"/>
        </w:rPr>
        <w:t xml:space="preserve">up to </w:t>
      </w:r>
      <w:r w:rsidRPr="00A31842">
        <w:rPr>
          <w:rFonts w:asciiTheme="majorHAnsi" w:hAnsiTheme="majorHAnsi" w:cstheme="majorBidi"/>
          <w:b/>
          <w:bCs/>
          <w:color w:val="auto"/>
        </w:rPr>
        <w:t xml:space="preserve">$50 million </w:t>
      </w:r>
      <w:r w:rsidR="00575C70">
        <w:rPr>
          <w:rFonts w:asciiTheme="majorHAnsi" w:hAnsiTheme="majorHAnsi" w:cstheme="majorBidi"/>
          <w:b/>
          <w:bCs/>
          <w:color w:val="auto"/>
        </w:rPr>
        <w:t xml:space="preserve">for the </w:t>
      </w:r>
      <w:r w:rsidRPr="00A31842">
        <w:rPr>
          <w:rFonts w:asciiTheme="majorHAnsi" w:hAnsiTheme="majorHAnsi" w:cstheme="majorBidi"/>
          <w:b/>
          <w:bCs/>
          <w:color w:val="auto"/>
        </w:rPr>
        <w:t xml:space="preserve">extension option. </w:t>
      </w:r>
      <w:r w:rsidR="00575C70" w:rsidRPr="00575C70">
        <w:rPr>
          <w:rFonts w:asciiTheme="majorHAnsi" w:hAnsiTheme="majorHAnsi" w:cstheme="majorBidi"/>
          <w:color w:val="auto"/>
        </w:rPr>
        <w:t>T</w:t>
      </w:r>
      <w:r w:rsidRPr="00A31842">
        <w:rPr>
          <w:rFonts w:asciiTheme="majorHAnsi" w:hAnsiTheme="majorHAnsi" w:cstheme="majorBidi"/>
          <w:color w:val="auto"/>
        </w:rPr>
        <w:t xml:space="preserve">his represents approximately 10 per cent of DFAT’s </w:t>
      </w:r>
      <w:r w:rsidR="00575C70">
        <w:rPr>
          <w:rFonts w:asciiTheme="majorHAnsi" w:hAnsiTheme="majorHAnsi" w:cstheme="majorBidi"/>
          <w:color w:val="auto"/>
        </w:rPr>
        <w:t xml:space="preserve">current </w:t>
      </w:r>
      <w:r w:rsidRPr="00A31842">
        <w:rPr>
          <w:rFonts w:asciiTheme="majorHAnsi" w:hAnsiTheme="majorHAnsi" w:cstheme="majorBidi"/>
          <w:color w:val="auto"/>
        </w:rPr>
        <w:t>bilateral health sector expenditure over this period</w:t>
      </w:r>
      <w:r w:rsidR="008D525D">
        <w:rPr>
          <w:rFonts w:asciiTheme="majorHAnsi" w:hAnsiTheme="majorHAnsi" w:cstheme="majorBidi"/>
          <w:color w:val="auto"/>
        </w:rPr>
        <w:t>.</w:t>
      </w:r>
      <w:r w:rsidRPr="00A31842">
        <w:rPr>
          <w:rFonts w:asciiTheme="majorHAnsi" w:eastAsia="Times New Roman" w:hAnsiTheme="majorHAnsi" w:cstheme="majorBidi"/>
          <w:color w:val="auto"/>
        </w:rPr>
        <w:t xml:space="preserve"> </w:t>
      </w:r>
    </w:p>
    <w:p w14:paraId="7CF7DDE8" w14:textId="03FCE6E0" w:rsidR="00AE1B1A" w:rsidRDefault="00CE704A" w:rsidP="00BF7DF0">
      <w:pPr>
        <w:spacing w:after="120" w:line="260" w:lineRule="exact"/>
        <w:rPr>
          <w:rFonts w:asciiTheme="majorHAnsi" w:eastAsiaTheme="minorEastAsia" w:hAnsiTheme="majorHAnsi" w:cstheme="majorBidi"/>
          <w:color w:val="000000" w:themeColor="text1"/>
          <w:lang w:val="en-AU"/>
        </w:rPr>
      </w:pPr>
      <w:r>
        <w:rPr>
          <w:rFonts w:asciiTheme="majorHAnsi" w:eastAsiaTheme="minorEastAsia" w:hAnsiTheme="majorHAnsi" w:cstheme="majorBidi"/>
          <w:b/>
          <w:color w:val="000000" w:themeColor="text1"/>
          <w:lang w:val="en-AU"/>
        </w:rPr>
        <w:t>T</w:t>
      </w:r>
      <w:r w:rsidR="00042DEB" w:rsidRPr="67512583">
        <w:rPr>
          <w:rFonts w:asciiTheme="majorHAnsi" w:eastAsiaTheme="minorEastAsia" w:hAnsiTheme="majorHAnsi" w:cstheme="majorBidi"/>
          <w:b/>
          <w:color w:val="000000" w:themeColor="text1"/>
          <w:lang w:val="en-AU"/>
        </w:rPr>
        <w:t xml:space="preserve">he </w:t>
      </w:r>
      <w:r>
        <w:rPr>
          <w:rFonts w:asciiTheme="majorHAnsi" w:eastAsiaTheme="minorEastAsia" w:hAnsiTheme="majorHAnsi" w:cstheme="majorBidi"/>
          <w:b/>
          <w:color w:val="000000" w:themeColor="text1"/>
          <w:lang w:val="en-AU"/>
        </w:rPr>
        <w:t>Managing Contractor (</w:t>
      </w:r>
      <w:r w:rsidR="00042DEB" w:rsidRPr="67512583">
        <w:rPr>
          <w:rFonts w:asciiTheme="majorHAnsi" w:eastAsiaTheme="minorEastAsia" w:hAnsiTheme="majorHAnsi" w:cstheme="majorBidi"/>
          <w:b/>
          <w:color w:val="000000" w:themeColor="text1"/>
          <w:lang w:val="en-AU"/>
        </w:rPr>
        <w:t>MC</w:t>
      </w:r>
      <w:r>
        <w:rPr>
          <w:rFonts w:asciiTheme="majorHAnsi" w:eastAsiaTheme="minorEastAsia" w:hAnsiTheme="majorHAnsi" w:cstheme="majorBidi"/>
          <w:b/>
          <w:color w:val="000000" w:themeColor="text1"/>
          <w:lang w:val="en-AU"/>
        </w:rPr>
        <w:t>)</w:t>
      </w:r>
      <w:r w:rsidR="00042DEB" w:rsidRPr="67512583">
        <w:rPr>
          <w:rFonts w:asciiTheme="majorHAnsi" w:eastAsiaTheme="minorEastAsia" w:hAnsiTheme="majorHAnsi" w:cstheme="majorBidi"/>
          <w:b/>
          <w:color w:val="000000" w:themeColor="text1"/>
          <w:lang w:val="en-AU"/>
        </w:rPr>
        <w:t xml:space="preserve"> will likely deliver functions including</w:t>
      </w:r>
      <w:r w:rsidR="00042DEB" w:rsidRPr="67512583">
        <w:rPr>
          <w:rFonts w:asciiTheme="majorHAnsi" w:eastAsiaTheme="minorEastAsia" w:hAnsiTheme="majorHAnsi" w:cstheme="majorBidi"/>
          <w:color w:val="000000" w:themeColor="text1"/>
          <w:lang w:val="en-AU"/>
        </w:rPr>
        <w:t xml:space="preserve"> (</w:t>
      </w:r>
      <w:proofErr w:type="spellStart"/>
      <w:r w:rsidR="00042DEB" w:rsidRPr="67512583">
        <w:rPr>
          <w:rFonts w:asciiTheme="majorHAnsi" w:eastAsiaTheme="minorEastAsia" w:hAnsiTheme="majorHAnsi" w:cstheme="majorBidi"/>
          <w:color w:val="000000" w:themeColor="text1"/>
          <w:lang w:val="en-AU"/>
        </w:rPr>
        <w:t>i</w:t>
      </w:r>
      <w:proofErr w:type="spellEnd"/>
      <w:r w:rsidR="00042DEB" w:rsidRPr="67512583">
        <w:rPr>
          <w:rFonts w:asciiTheme="majorHAnsi" w:eastAsiaTheme="minorEastAsia" w:hAnsiTheme="majorHAnsi" w:cstheme="majorBidi"/>
          <w:color w:val="000000" w:themeColor="text1"/>
          <w:lang w:val="en-AU"/>
        </w:rPr>
        <w:t>) long-term embedded advisory support to the NDoH, (ii) targeted grants to establish or formalise strategic partnerships that will strengthen PNG institutions; (iii) a Learning and Insights function embedded within their structure, with possibility for embedded support within Post</w:t>
      </w:r>
      <w:r w:rsidR="00067D3F" w:rsidRPr="67512583">
        <w:rPr>
          <w:rFonts w:asciiTheme="majorHAnsi" w:eastAsiaTheme="minorEastAsia" w:hAnsiTheme="majorHAnsi" w:cstheme="majorBidi"/>
          <w:color w:val="000000" w:themeColor="text1"/>
          <w:lang w:val="en-AU"/>
        </w:rPr>
        <w:t>.</w:t>
      </w:r>
    </w:p>
    <w:p w14:paraId="04BC82C6" w14:textId="02304DD8" w:rsidR="00295788" w:rsidRDefault="00DE0164" w:rsidP="00BF7DF0">
      <w:pPr>
        <w:spacing w:after="120" w:line="260" w:lineRule="exact"/>
        <w:rPr>
          <w:rFonts w:asciiTheme="majorHAnsi" w:eastAsiaTheme="minorEastAsia" w:hAnsiTheme="majorHAnsi" w:cstheme="majorBidi"/>
          <w:color w:val="000000" w:themeColor="text1"/>
          <w:lang w:val="en-AU"/>
        </w:rPr>
      </w:pPr>
      <w:r>
        <w:rPr>
          <w:rFonts w:asciiTheme="majorHAnsi" w:eastAsiaTheme="minorEastAsia" w:hAnsiTheme="majorHAnsi" w:cstheme="majorBidi"/>
          <w:color w:val="000000" w:themeColor="text1"/>
          <w:lang w:val="en-AU"/>
        </w:rPr>
        <w:t xml:space="preserve">DFAT will support this by playing an ongoing strategic oversight role, including through engagement with Government of PNG stakeholders and with MCs of PHC4PNG, SHARE and other complementary programs. </w:t>
      </w:r>
      <w:r>
        <w:rPr>
          <w:rFonts w:asciiTheme="majorHAnsi" w:eastAsiaTheme="minorEastAsia" w:hAnsiTheme="majorHAnsi" w:cstheme="majorBidi"/>
          <w:color w:val="000000" w:themeColor="text1"/>
          <w:lang w:val="en-AU"/>
        </w:rPr>
        <w:lastRenderedPageBreak/>
        <w:t xml:space="preserve">This role will be important in establishing </w:t>
      </w:r>
      <w:r w:rsidR="0038144E">
        <w:rPr>
          <w:rFonts w:asciiTheme="majorHAnsi" w:eastAsiaTheme="minorEastAsia" w:hAnsiTheme="majorHAnsi" w:cstheme="majorBidi"/>
          <w:color w:val="000000" w:themeColor="text1"/>
          <w:lang w:val="en-AU"/>
        </w:rPr>
        <w:t xml:space="preserve">and maintaining </w:t>
      </w:r>
      <w:r>
        <w:rPr>
          <w:rFonts w:asciiTheme="majorHAnsi" w:eastAsiaTheme="minorEastAsia" w:hAnsiTheme="majorHAnsi" w:cstheme="majorBidi"/>
          <w:color w:val="000000" w:themeColor="text1"/>
          <w:lang w:val="en-AU"/>
        </w:rPr>
        <w:t>the expectation for all MCs to be contributing to ENABLE’s</w:t>
      </w:r>
      <w:r w:rsidR="0038144E">
        <w:rPr>
          <w:rFonts w:asciiTheme="majorHAnsi" w:eastAsiaTheme="minorEastAsia" w:hAnsiTheme="majorHAnsi" w:cstheme="majorBidi"/>
          <w:color w:val="000000" w:themeColor="text1"/>
          <w:lang w:val="en-AU"/>
        </w:rPr>
        <w:t xml:space="preserve"> whole-of-portfolio learning</w:t>
      </w:r>
      <w:r>
        <w:rPr>
          <w:rFonts w:asciiTheme="majorHAnsi" w:eastAsiaTheme="minorEastAsia" w:hAnsiTheme="majorHAnsi" w:cstheme="majorBidi"/>
          <w:color w:val="000000" w:themeColor="text1"/>
          <w:lang w:val="en-AU"/>
        </w:rPr>
        <w:t xml:space="preserve"> efforts</w:t>
      </w:r>
      <w:r w:rsidR="0038144E">
        <w:rPr>
          <w:rFonts w:asciiTheme="majorHAnsi" w:eastAsiaTheme="minorEastAsia" w:hAnsiTheme="majorHAnsi" w:cstheme="majorBidi"/>
          <w:color w:val="000000" w:themeColor="text1"/>
          <w:lang w:val="en-AU"/>
        </w:rPr>
        <w:t>.</w:t>
      </w:r>
    </w:p>
    <w:p w14:paraId="15F526EF" w14:textId="439D367B" w:rsidR="00DC0BDE" w:rsidRPr="00BF7DF0" w:rsidRDefault="00DE69F5" w:rsidP="00BF7DF0">
      <w:pPr>
        <w:spacing w:after="120" w:line="260" w:lineRule="exact"/>
        <w:rPr>
          <w:rFonts w:asciiTheme="majorHAnsi" w:eastAsiaTheme="minorEastAsia" w:hAnsiTheme="majorHAnsi" w:cstheme="majorHAnsi"/>
          <w:color w:val="000000" w:themeColor="text1"/>
          <w:lang w:val="en-AU"/>
        </w:rPr>
      </w:pPr>
      <w:r>
        <w:rPr>
          <w:rFonts w:asciiTheme="majorHAnsi" w:eastAsiaTheme="minorEastAsia" w:hAnsiTheme="majorHAnsi" w:cstheme="majorHAnsi"/>
          <w:b/>
          <w:bCs/>
          <w:color w:val="000000" w:themeColor="text1"/>
          <w:lang w:val="en-AU"/>
        </w:rPr>
        <w:t>ENABLE’s</w:t>
      </w:r>
      <w:r w:rsidR="00DC0BDE" w:rsidRPr="00BF7DF0">
        <w:rPr>
          <w:rFonts w:asciiTheme="majorHAnsi" w:eastAsiaTheme="minorEastAsia" w:hAnsiTheme="majorHAnsi" w:cstheme="majorHAnsi"/>
          <w:b/>
          <w:bCs/>
          <w:color w:val="000000" w:themeColor="text1"/>
          <w:lang w:val="en-AU"/>
        </w:rPr>
        <w:t xml:space="preserve"> primary governance mechanism will be a HPS Steering Committee</w:t>
      </w:r>
      <w:r w:rsidR="00F20672">
        <w:rPr>
          <w:rFonts w:asciiTheme="majorHAnsi" w:eastAsiaTheme="minorEastAsia" w:hAnsiTheme="majorHAnsi" w:cstheme="majorHAnsi"/>
          <w:b/>
          <w:bCs/>
          <w:color w:val="000000" w:themeColor="text1"/>
          <w:lang w:val="en-AU"/>
        </w:rPr>
        <w:t xml:space="preserve"> (HPSC)</w:t>
      </w:r>
      <w:r w:rsidR="004B6AA6" w:rsidRPr="00BF7DF0">
        <w:rPr>
          <w:rFonts w:asciiTheme="majorHAnsi" w:eastAsiaTheme="minorEastAsia" w:hAnsiTheme="majorHAnsi" w:cstheme="majorHAnsi"/>
          <w:color w:val="000000" w:themeColor="text1"/>
          <w:lang w:val="en-AU"/>
        </w:rPr>
        <w:t>,</w:t>
      </w:r>
      <w:r w:rsidR="00DC0BDE" w:rsidRPr="00BF7DF0">
        <w:rPr>
          <w:rFonts w:asciiTheme="majorHAnsi" w:eastAsiaTheme="minorEastAsia" w:hAnsiTheme="majorHAnsi" w:cstheme="majorHAnsi"/>
          <w:color w:val="000000" w:themeColor="text1"/>
          <w:lang w:val="en-AU"/>
        </w:rPr>
        <w:t xml:space="preserve"> </w:t>
      </w:r>
      <w:r w:rsidR="007D4C14" w:rsidRPr="00BF7DF0">
        <w:rPr>
          <w:rFonts w:asciiTheme="majorHAnsi" w:eastAsiaTheme="minorEastAsia" w:hAnsiTheme="majorHAnsi" w:cstheme="majorHAnsi"/>
          <w:color w:val="000000" w:themeColor="text1"/>
          <w:lang w:val="en-AU"/>
        </w:rPr>
        <w:t xml:space="preserve">comprising Government of Australia and </w:t>
      </w:r>
      <w:proofErr w:type="spellStart"/>
      <w:r w:rsidR="007D4C14" w:rsidRPr="00BF7DF0">
        <w:rPr>
          <w:rFonts w:asciiTheme="majorHAnsi" w:eastAsiaTheme="minorEastAsia" w:hAnsiTheme="majorHAnsi" w:cstheme="majorHAnsi"/>
          <w:color w:val="000000" w:themeColor="text1"/>
          <w:lang w:val="en-AU"/>
        </w:rPr>
        <w:t>GoPNG</w:t>
      </w:r>
      <w:proofErr w:type="spellEnd"/>
      <w:r w:rsidR="007D4C14" w:rsidRPr="00BF7DF0">
        <w:rPr>
          <w:rFonts w:asciiTheme="majorHAnsi" w:eastAsiaTheme="minorEastAsia" w:hAnsiTheme="majorHAnsi" w:cstheme="majorHAnsi"/>
          <w:color w:val="000000" w:themeColor="text1"/>
          <w:lang w:val="en-AU"/>
        </w:rPr>
        <w:t xml:space="preserve"> representatives (including NDOH, central agencies and selected PHAs). The </w:t>
      </w:r>
      <w:r w:rsidR="00F20672">
        <w:rPr>
          <w:rFonts w:asciiTheme="majorHAnsi" w:eastAsiaTheme="minorEastAsia" w:hAnsiTheme="majorHAnsi" w:cstheme="majorHAnsi"/>
          <w:color w:val="000000" w:themeColor="text1"/>
          <w:lang w:val="en-AU"/>
        </w:rPr>
        <w:t>HPSC</w:t>
      </w:r>
      <w:r w:rsidR="007D4C14" w:rsidRPr="00BF7DF0">
        <w:rPr>
          <w:rFonts w:asciiTheme="majorHAnsi" w:eastAsiaTheme="minorEastAsia" w:hAnsiTheme="majorHAnsi" w:cstheme="majorHAnsi"/>
          <w:color w:val="000000" w:themeColor="text1"/>
          <w:lang w:val="en-AU"/>
        </w:rPr>
        <w:t xml:space="preserve"> will </w:t>
      </w:r>
      <w:r w:rsidR="00DC0BDE" w:rsidRPr="00BF7DF0">
        <w:rPr>
          <w:rFonts w:asciiTheme="majorHAnsi" w:eastAsiaTheme="minorEastAsia" w:hAnsiTheme="majorHAnsi" w:cstheme="majorHAnsi"/>
          <w:color w:val="000000" w:themeColor="text1"/>
          <w:lang w:val="en-AU"/>
        </w:rPr>
        <w:t xml:space="preserve">oversee Australia’s health investments in PNG, </w:t>
      </w:r>
      <w:r w:rsidR="007D4C14" w:rsidRPr="00BF7DF0">
        <w:rPr>
          <w:rFonts w:asciiTheme="majorHAnsi" w:eastAsiaTheme="minorEastAsia" w:hAnsiTheme="majorHAnsi" w:cstheme="majorHAnsi"/>
          <w:color w:val="000000" w:themeColor="text1"/>
          <w:lang w:val="en-AU"/>
        </w:rPr>
        <w:t>providing</w:t>
      </w:r>
      <w:r w:rsidR="00DC0BDE" w:rsidRPr="00BF7DF0">
        <w:rPr>
          <w:rFonts w:asciiTheme="majorHAnsi" w:eastAsiaTheme="minorEastAsia" w:hAnsiTheme="majorHAnsi" w:cstheme="majorHAnsi"/>
          <w:color w:val="000000" w:themeColor="text1"/>
          <w:lang w:val="en-AU"/>
        </w:rPr>
        <w:t xml:space="preserve"> a forum for high-level bilateral dialogue on strategic direction, performance and risk across the health portfolio.</w:t>
      </w:r>
      <w:r w:rsidR="00E673B6" w:rsidRPr="00BF7DF0">
        <w:rPr>
          <w:rFonts w:asciiTheme="majorHAnsi" w:eastAsiaTheme="minorEastAsia" w:hAnsiTheme="majorHAnsi" w:cstheme="majorHAnsi"/>
          <w:color w:val="000000" w:themeColor="text1"/>
          <w:lang w:val="en-AU"/>
        </w:rPr>
        <w:t xml:space="preserve"> This is the same Committee that will have oversight over the PHC4PNG program, thus </w:t>
      </w:r>
      <w:r w:rsidR="008F05CD" w:rsidRPr="00BF7DF0">
        <w:rPr>
          <w:rFonts w:asciiTheme="majorHAnsi" w:eastAsiaTheme="minorEastAsia" w:hAnsiTheme="majorHAnsi" w:cstheme="majorHAnsi"/>
          <w:color w:val="000000" w:themeColor="text1"/>
          <w:lang w:val="en-AU"/>
        </w:rPr>
        <w:t>reinforcing</w:t>
      </w:r>
      <w:r w:rsidR="00E673B6" w:rsidRPr="00BF7DF0">
        <w:rPr>
          <w:rFonts w:asciiTheme="majorHAnsi" w:eastAsiaTheme="minorEastAsia" w:hAnsiTheme="majorHAnsi" w:cstheme="majorHAnsi"/>
          <w:color w:val="000000" w:themeColor="text1"/>
          <w:lang w:val="en-AU"/>
        </w:rPr>
        <w:t xml:space="preserve"> a complementary and whole-of-</w:t>
      </w:r>
      <w:r w:rsidR="008F05CD" w:rsidRPr="00BF7DF0">
        <w:rPr>
          <w:rFonts w:asciiTheme="majorHAnsi" w:eastAsiaTheme="minorEastAsia" w:hAnsiTheme="majorHAnsi" w:cstheme="majorHAnsi"/>
          <w:color w:val="000000" w:themeColor="text1"/>
          <w:lang w:val="en-AU"/>
        </w:rPr>
        <w:t>portfolio</w:t>
      </w:r>
      <w:r w:rsidR="00E673B6" w:rsidRPr="00BF7DF0">
        <w:rPr>
          <w:rFonts w:asciiTheme="majorHAnsi" w:eastAsiaTheme="minorEastAsia" w:hAnsiTheme="majorHAnsi" w:cstheme="majorHAnsi"/>
          <w:color w:val="000000" w:themeColor="text1"/>
          <w:lang w:val="en-AU"/>
        </w:rPr>
        <w:t xml:space="preserve"> approach.</w:t>
      </w:r>
      <w:r w:rsidR="00DC0BDE" w:rsidRPr="00BF7DF0">
        <w:rPr>
          <w:rFonts w:asciiTheme="majorHAnsi" w:eastAsiaTheme="minorEastAsia" w:hAnsiTheme="majorHAnsi" w:cstheme="majorHAnsi"/>
          <w:color w:val="000000" w:themeColor="text1"/>
          <w:lang w:val="en-AU"/>
        </w:rPr>
        <w:t xml:space="preserve"> It is expected to be represented at senior levels (e.g. Minister and High Commissioner) and include relevant central agencies, PHAs, and key partners. The HPSC is anticipated to meet six-monthly, with meeting frequency adjusted as required.</w:t>
      </w:r>
      <w:r w:rsidR="00352BB1">
        <w:rPr>
          <w:rFonts w:asciiTheme="majorHAnsi" w:eastAsiaTheme="minorEastAsia" w:hAnsiTheme="majorHAnsi" w:cstheme="majorHAnsi"/>
          <w:color w:val="000000" w:themeColor="text1"/>
          <w:lang w:val="en-AU"/>
        </w:rPr>
        <w:t xml:space="preserve"> </w:t>
      </w:r>
      <w:r w:rsidR="00DC0BDE" w:rsidRPr="00BF7DF0">
        <w:rPr>
          <w:rFonts w:asciiTheme="majorHAnsi" w:eastAsiaTheme="minorEastAsia" w:hAnsiTheme="majorHAnsi" w:cstheme="majorHAnsi"/>
          <w:color w:val="000000" w:themeColor="text1"/>
          <w:lang w:val="en-AU"/>
        </w:rPr>
        <w:t xml:space="preserve">Existing NDoH governance mechanisms will </w:t>
      </w:r>
      <w:r w:rsidR="00F20672">
        <w:rPr>
          <w:rFonts w:asciiTheme="majorHAnsi" w:eastAsiaTheme="minorEastAsia" w:hAnsiTheme="majorHAnsi" w:cstheme="majorHAnsi"/>
          <w:color w:val="000000" w:themeColor="text1"/>
          <w:lang w:val="en-AU"/>
        </w:rPr>
        <w:t xml:space="preserve">also </w:t>
      </w:r>
      <w:r w:rsidR="00DC0BDE" w:rsidRPr="00BF7DF0">
        <w:rPr>
          <w:rFonts w:asciiTheme="majorHAnsi" w:eastAsiaTheme="minorEastAsia" w:hAnsiTheme="majorHAnsi" w:cstheme="majorHAnsi"/>
          <w:color w:val="000000" w:themeColor="text1"/>
          <w:lang w:val="en-AU"/>
        </w:rPr>
        <w:t xml:space="preserve">be responsible for oversight of components of this investment, where aligned with their mandate. Using existing NDoH mechanisms will help to avoid duplication, promote NDoH ownership of the investment and strengthen NDoH’s governance role within the health system. These responsibilities may include priority setting, approval of work plans, monitoring of performance and risk management. The Health Sector Aid Coordination Committee (HSACC) led by the NDoH’s Aid Management and Partnership Branch will </w:t>
      </w:r>
      <w:r w:rsidR="00F20672">
        <w:rPr>
          <w:rFonts w:asciiTheme="majorHAnsi" w:eastAsiaTheme="minorEastAsia" w:hAnsiTheme="majorHAnsi" w:cstheme="majorHAnsi"/>
          <w:color w:val="000000" w:themeColor="text1"/>
          <w:lang w:val="en-AU"/>
        </w:rPr>
        <w:t xml:space="preserve">also </w:t>
      </w:r>
      <w:r w:rsidR="00DC0BDE" w:rsidRPr="00BF7DF0">
        <w:rPr>
          <w:rFonts w:asciiTheme="majorHAnsi" w:eastAsiaTheme="minorEastAsia" w:hAnsiTheme="majorHAnsi" w:cstheme="majorHAnsi"/>
          <w:color w:val="000000" w:themeColor="text1"/>
          <w:lang w:val="en-AU"/>
        </w:rPr>
        <w:t xml:space="preserve">monitor the performance of </w:t>
      </w:r>
      <w:r w:rsidR="00522F61">
        <w:rPr>
          <w:rFonts w:asciiTheme="majorHAnsi" w:eastAsiaTheme="minorEastAsia" w:hAnsiTheme="majorHAnsi" w:cstheme="majorHAnsi"/>
          <w:color w:val="000000" w:themeColor="text1"/>
          <w:lang w:val="en-AU"/>
        </w:rPr>
        <w:t xml:space="preserve">ENABLE. </w:t>
      </w:r>
      <w:r w:rsidR="00DC0BDE" w:rsidRPr="00BF7DF0">
        <w:rPr>
          <w:rFonts w:asciiTheme="majorHAnsi" w:eastAsiaTheme="minorEastAsia" w:hAnsiTheme="majorHAnsi" w:cstheme="majorHAnsi"/>
          <w:color w:val="000000" w:themeColor="text1"/>
          <w:lang w:val="en-AU"/>
        </w:rPr>
        <w:t xml:space="preserve">The purpose of the HSACC is for NDoH and DPs to discuss strategic alignment of donor investments with the NHP, coordinate investments, </w:t>
      </w:r>
      <w:r w:rsidR="003E0B5E">
        <w:rPr>
          <w:rFonts w:asciiTheme="majorHAnsi" w:eastAsiaTheme="minorEastAsia" w:hAnsiTheme="majorHAnsi" w:cstheme="majorHAnsi"/>
          <w:color w:val="000000" w:themeColor="text1"/>
          <w:lang w:val="en-AU"/>
        </w:rPr>
        <w:t xml:space="preserve">and </w:t>
      </w:r>
      <w:r w:rsidR="00DC0BDE" w:rsidRPr="00BF7DF0">
        <w:rPr>
          <w:rFonts w:asciiTheme="majorHAnsi" w:eastAsiaTheme="minorEastAsia" w:hAnsiTheme="majorHAnsi" w:cstheme="majorHAnsi"/>
          <w:color w:val="000000" w:themeColor="text1"/>
          <w:lang w:val="en-AU"/>
        </w:rPr>
        <w:t>manage risks</w:t>
      </w:r>
      <w:r w:rsidR="003E0B5E">
        <w:rPr>
          <w:rFonts w:asciiTheme="majorHAnsi" w:eastAsiaTheme="minorEastAsia" w:hAnsiTheme="majorHAnsi" w:cstheme="majorHAnsi"/>
          <w:color w:val="000000" w:themeColor="text1"/>
          <w:lang w:val="en-AU"/>
        </w:rPr>
        <w:t>.</w:t>
      </w:r>
      <w:r w:rsidR="00DC0BDE" w:rsidRPr="00BF7DF0">
        <w:rPr>
          <w:rFonts w:asciiTheme="majorHAnsi" w:eastAsiaTheme="minorEastAsia" w:hAnsiTheme="majorHAnsi" w:cstheme="majorHAnsi"/>
          <w:color w:val="000000" w:themeColor="text1"/>
          <w:lang w:val="en-AU"/>
        </w:rPr>
        <w:t xml:space="preserve"> </w:t>
      </w:r>
    </w:p>
    <w:p w14:paraId="593DAA69" w14:textId="1335A5CD" w:rsidR="00490CDB" w:rsidRPr="00631394" w:rsidRDefault="00971FA2" w:rsidP="0074325A">
      <w:pPr>
        <w:numPr>
          <w:ilvl w:val="0"/>
          <w:numId w:val="10"/>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line="240" w:lineRule="auto"/>
        <w:ind w:left="284" w:hanging="284"/>
        <w:rPr>
          <w:rFonts w:asciiTheme="majorHAnsi" w:eastAsia="Times New Roman" w:hAnsiTheme="majorHAnsi" w:cstheme="majorHAnsi"/>
          <w:color w:val="000000" w:themeColor="text1"/>
        </w:rPr>
      </w:pPr>
      <w:r w:rsidRPr="00631394">
        <w:rPr>
          <w:rFonts w:asciiTheme="majorHAnsi" w:hAnsiTheme="majorHAnsi" w:cstheme="majorHAnsi"/>
          <w:b/>
          <w:color w:val="000000" w:themeColor="text1"/>
        </w:rPr>
        <w:t>Risks</w:t>
      </w:r>
    </w:p>
    <w:p w14:paraId="39F89A61" w14:textId="417E96CB" w:rsidR="0016650D" w:rsidRPr="006862D8" w:rsidRDefault="003C602D" w:rsidP="00272A1D">
      <w:pPr>
        <w:suppressAutoHyphens w:val="0"/>
        <w:spacing w:before="0" w:after="120" w:line="240" w:lineRule="auto"/>
        <w:rPr>
          <w:rFonts w:asciiTheme="majorHAnsi" w:eastAsia="Times New Roman" w:hAnsiTheme="majorHAnsi" w:cstheme="majorBidi"/>
          <w:color w:val="000000" w:themeColor="text1"/>
          <w:lang w:val="en-AU" w:eastAsia="en-AU"/>
        </w:rPr>
      </w:pPr>
      <w:r w:rsidRPr="0DBBA3A5">
        <w:rPr>
          <w:rFonts w:asciiTheme="majorHAnsi" w:hAnsiTheme="majorHAnsi" w:cstheme="majorBidi"/>
          <w:color w:val="000000" w:themeColor="text1"/>
        </w:rPr>
        <w:t>A</w:t>
      </w:r>
      <w:r w:rsidR="00450243" w:rsidRPr="0DBBA3A5">
        <w:rPr>
          <w:rFonts w:asciiTheme="majorHAnsi" w:hAnsiTheme="majorHAnsi" w:cstheme="majorBidi"/>
          <w:color w:val="000000" w:themeColor="text1"/>
        </w:rPr>
        <w:t>n</w:t>
      </w:r>
      <w:r w:rsidRPr="0DBBA3A5">
        <w:rPr>
          <w:rFonts w:asciiTheme="majorHAnsi" w:hAnsiTheme="majorHAnsi" w:cstheme="majorBidi"/>
          <w:color w:val="000000" w:themeColor="text1"/>
        </w:rPr>
        <w:t xml:space="preserve"> </w:t>
      </w:r>
      <w:r w:rsidR="00F608A2" w:rsidRPr="0DBBA3A5">
        <w:rPr>
          <w:rFonts w:asciiTheme="majorHAnsi" w:hAnsiTheme="majorHAnsi" w:cstheme="majorBidi"/>
          <w:color w:val="000000" w:themeColor="text1"/>
        </w:rPr>
        <w:t xml:space="preserve">inherent </w:t>
      </w:r>
      <w:r w:rsidRPr="0DBBA3A5">
        <w:rPr>
          <w:rFonts w:asciiTheme="majorHAnsi" w:hAnsiTheme="majorHAnsi" w:cstheme="majorBidi"/>
          <w:color w:val="000000" w:themeColor="text1"/>
        </w:rPr>
        <w:t>risk</w:t>
      </w:r>
      <w:r w:rsidR="00F608A2" w:rsidRPr="0DBBA3A5">
        <w:rPr>
          <w:rFonts w:asciiTheme="majorHAnsi" w:hAnsiTheme="majorHAnsi" w:cstheme="majorBidi"/>
          <w:color w:val="000000" w:themeColor="text1"/>
        </w:rPr>
        <w:t xml:space="preserve"> rating</w:t>
      </w:r>
      <w:r w:rsidRPr="0DBBA3A5">
        <w:rPr>
          <w:rFonts w:asciiTheme="majorHAnsi" w:hAnsiTheme="majorHAnsi" w:cstheme="majorBidi"/>
          <w:color w:val="000000" w:themeColor="text1"/>
        </w:rPr>
        <w:t xml:space="preserve"> assessment has been undertaken consistent with DFAT’s Risk Management Guide and </w:t>
      </w:r>
      <w:proofErr w:type="gramStart"/>
      <w:r w:rsidRPr="0DBBA3A5">
        <w:rPr>
          <w:rFonts w:asciiTheme="majorHAnsi" w:hAnsiTheme="majorHAnsi" w:cstheme="majorBidi"/>
          <w:color w:val="000000" w:themeColor="text1"/>
        </w:rPr>
        <w:t>Matrix</w:t>
      </w:r>
      <w:proofErr w:type="gramEnd"/>
      <w:r w:rsidRPr="0DBBA3A5">
        <w:rPr>
          <w:rFonts w:asciiTheme="majorHAnsi" w:hAnsiTheme="majorHAnsi" w:cstheme="majorBidi"/>
          <w:color w:val="000000" w:themeColor="text1"/>
        </w:rPr>
        <w:t xml:space="preserve"> and this investment has been assessed as </w:t>
      </w:r>
      <w:r w:rsidR="00F608A2" w:rsidRPr="0DBBA3A5">
        <w:rPr>
          <w:rFonts w:asciiTheme="majorHAnsi" w:hAnsiTheme="majorHAnsi" w:cstheme="majorBidi"/>
          <w:b/>
          <w:color w:val="000000" w:themeColor="text1"/>
        </w:rPr>
        <w:t>high</w:t>
      </w:r>
      <w:r w:rsidRPr="0DBBA3A5">
        <w:rPr>
          <w:rFonts w:asciiTheme="majorHAnsi" w:hAnsiTheme="majorHAnsi" w:cstheme="majorBidi"/>
          <w:color w:val="000000" w:themeColor="text1"/>
        </w:rPr>
        <w:t xml:space="preserve"> </w:t>
      </w:r>
      <w:proofErr w:type="gramStart"/>
      <w:r w:rsidRPr="0DBBA3A5">
        <w:rPr>
          <w:rFonts w:asciiTheme="majorHAnsi" w:hAnsiTheme="majorHAnsi" w:cstheme="majorBidi"/>
          <w:color w:val="000000" w:themeColor="text1"/>
        </w:rPr>
        <w:t>The</w:t>
      </w:r>
      <w:proofErr w:type="gramEnd"/>
      <w:r w:rsidRPr="0DBBA3A5">
        <w:rPr>
          <w:rFonts w:asciiTheme="majorHAnsi" w:hAnsiTheme="majorHAnsi" w:cstheme="majorBidi"/>
          <w:color w:val="000000" w:themeColor="text1"/>
        </w:rPr>
        <w:t xml:space="preserve"> following </w:t>
      </w:r>
      <w:r w:rsidR="00AA7C21" w:rsidRPr="0DBBA3A5">
        <w:rPr>
          <w:rFonts w:asciiTheme="majorHAnsi" w:hAnsiTheme="majorHAnsi" w:cstheme="majorBidi"/>
          <w:color w:val="000000" w:themeColor="text1"/>
        </w:rPr>
        <w:t>are</w:t>
      </w:r>
      <w:r w:rsidRPr="0DBBA3A5">
        <w:rPr>
          <w:rFonts w:asciiTheme="majorHAnsi" w:hAnsiTheme="majorHAnsi" w:cstheme="majorBidi"/>
          <w:color w:val="000000" w:themeColor="text1"/>
        </w:rPr>
        <w:t xml:space="preserve"> </w:t>
      </w:r>
      <w:r w:rsidR="009F3273" w:rsidRPr="0DBBA3A5">
        <w:rPr>
          <w:rFonts w:asciiTheme="majorHAnsi" w:hAnsiTheme="majorHAnsi" w:cstheme="majorBidi"/>
          <w:color w:val="000000" w:themeColor="text1"/>
        </w:rPr>
        <w:t>key strategic risks to meeting investment objectives</w:t>
      </w:r>
      <w:r w:rsidR="00894906" w:rsidRPr="0DBBA3A5">
        <w:rPr>
          <w:rFonts w:asciiTheme="majorHAnsi" w:hAnsiTheme="majorHAnsi" w:cstheme="majorBidi"/>
          <w:color w:val="000000" w:themeColor="text1"/>
        </w:rPr>
        <w:t xml:space="preserve"> that will be addressed </w:t>
      </w:r>
      <w:r w:rsidR="008475B5">
        <w:rPr>
          <w:rFonts w:asciiTheme="majorHAnsi" w:hAnsiTheme="majorHAnsi" w:cstheme="majorBidi"/>
          <w:color w:val="000000" w:themeColor="text1"/>
        </w:rPr>
        <w:t>during design and implementation</w:t>
      </w:r>
      <w:r w:rsidR="00DB0E94" w:rsidRPr="0DBBA3A5">
        <w:rPr>
          <w:rFonts w:asciiTheme="majorHAnsi" w:hAnsiTheme="majorHAnsi" w:cstheme="majorBidi"/>
          <w:color w:val="000000" w:themeColor="text1"/>
        </w:rPr>
        <w:t>, including development of mitigation measures to reduce overall risk.</w:t>
      </w:r>
    </w:p>
    <w:tbl>
      <w:tblPr>
        <w:tblStyle w:val="TableGrid"/>
        <w:tblW w:w="0" w:type="auto"/>
        <w:tblLook w:val="04A0" w:firstRow="1" w:lastRow="0" w:firstColumn="1" w:lastColumn="0" w:noHBand="0" w:noVBand="1"/>
      </w:tblPr>
      <w:tblGrid>
        <w:gridCol w:w="2247"/>
        <w:gridCol w:w="6112"/>
        <w:gridCol w:w="1269"/>
      </w:tblGrid>
      <w:tr w:rsidR="00631394" w:rsidRPr="00E278F4" w14:paraId="78910652" w14:textId="77777777" w:rsidTr="005807A6">
        <w:trPr>
          <w:tblHeader/>
        </w:trPr>
        <w:tc>
          <w:tcPr>
            <w:tcW w:w="2247" w:type="dxa"/>
            <w:shd w:val="clear" w:color="auto" w:fill="D9D9D9" w:themeFill="background1" w:themeFillShade="D9"/>
          </w:tcPr>
          <w:p w14:paraId="546D3AD8" w14:textId="1E91C3E0" w:rsidR="003147F3" w:rsidRPr="00037AD1" w:rsidRDefault="00424400" w:rsidP="00B440F6">
            <w:pPr>
              <w:tabs>
                <w:tab w:val="left" w:pos="284"/>
              </w:tabs>
              <w:suppressAutoHyphens w:val="0"/>
              <w:spacing w:before="0" w:after="0" w:line="240" w:lineRule="auto"/>
              <w:rPr>
                <w:rFonts w:asciiTheme="majorHAnsi" w:eastAsia="Times New Roman" w:hAnsiTheme="majorHAnsi" w:cstheme="majorHAnsi"/>
                <w:b/>
                <w:bCs/>
                <w:color w:val="000000" w:themeColor="text1"/>
                <w:sz w:val="20"/>
                <w:szCs w:val="20"/>
                <w:lang w:val="en-AU" w:eastAsia="en-AU"/>
              </w:rPr>
            </w:pPr>
            <w:r w:rsidRPr="00037AD1">
              <w:rPr>
                <w:rFonts w:asciiTheme="majorHAnsi" w:eastAsia="Times New Roman" w:hAnsiTheme="majorHAnsi" w:cstheme="majorHAnsi"/>
                <w:b/>
                <w:bCs/>
                <w:color w:val="000000" w:themeColor="text1"/>
                <w:sz w:val="20"/>
                <w:szCs w:val="20"/>
                <w:lang w:val="en-AU" w:eastAsia="en-AU"/>
              </w:rPr>
              <w:t>Risk Category</w:t>
            </w:r>
          </w:p>
        </w:tc>
        <w:tc>
          <w:tcPr>
            <w:tcW w:w="6112" w:type="dxa"/>
            <w:shd w:val="clear" w:color="auto" w:fill="D9D9D9" w:themeFill="background1" w:themeFillShade="D9"/>
          </w:tcPr>
          <w:p w14:paraId="11474F16" w14:textId="3873FAE7" w:rsidR="003147F3" w:rsidRPr="00037AD1" w:rsidRDefault="003147F3" w:rsidP="00B440F6">
            <w:pPr>
              <w:tabs>
                <w:tab w:val="left" w:pos="284"/>
              </w:tabs>
              <w:suppressAutoHyphens w:val="0"/>
              <w:spacing w:before="0" w:after="0" w:line="240" w:lineRule="auto"/>
              <w:rPr>
                <w:rFonts w:asciiTheme="majorHAnsi" w:eastAsia="Times New Roman" w:hAnsiTheme="majorHAnsi" w:cstheme="majorHAnsi"/>
                <w:b/>
                <w:bCs/>
                <w:color w:val="000000" w:themeColor="text1"/>
                <w:sz w:val="20"/>
                <w:szCs w:val="20"/>
                <w:lang w:val="en-AU" w:eastAsia="en-AU"/>
              </w:rPr>
            </w:pPr>
            <w:r w:rsidRPr="00037AD1">
              <w:rPr>
                <w:rFonts w:asciiTheme="majorHAnsi" w:eastAsia="Times New Roman" w:hAnsiTheme="majorHAnsi" w:cstheme="majorHAnsi"/>
                <w:b/>
                <w:bCs/>
                <w:color w:val="000000" w:themeColor="text1"/>
                <w:sz w:val="20"/>
                <w:szCs w:val="20"/>
                <w:lang w:val="en-AU" w:eastAsia="en-AU"/>
              </w:rPr>
              <w:t>Risk</w:t>
            </w:r>
          </w:p>
        </w:tc>
        <w:tc>
          <w:tcPr>
            <w:tcW w:w="1269" w:type="dxa"/>
            <w:shd w:val="clear" w:color="auto" w:fill="D9D9D9" w:themeFill="background1" w:themeFillShade="D9"/>
          </w:tcPr>
          <w:p w14:paraId="77B1BC48" w14:textId="53B8A1BB" w:rsidR="003147F3" w:rsidRPr="00037AD1" w:rsidRDefault="003147F3" w:rsidP="00B440F6">
            <w:pPr>
              <w:tabs>
                <w:tab w:val="left" w:pos="284"/>
              </w:tabs>
              <w:suppressAutoHyphens w:val="0"/>
              <w:spacing w:before="0" w:after="0" w:line="240" w:lineRule="auto"/>
              <w:rPr>
                <w:rFonts w:asciiTheme="majorHAnsi" w:eastAsia="Times New Roman" w:hAnsiTheme="majorHAnsi" w:cstheme="majorHAnsi"/>
                <w:b/>
                <w:bCs/>
                <w:color w:val="000000" w:themeColor="text1"/>
                <w:sz w:val="20"/>
                <w:szCs w:val="20"/>
                <w:lang w:val="en-AU" w:eastAsia="en-AU"/>
              </w:rPr>
            </w:pPr>
            <w:r w:rsidRPr="00037AD1">
              <w:rPr>
                <w:rFonts w:asciiTheme="majorHAnsi" w:eastAsia="Times New Roman" w:hAnsiTheme="majorHAnsi" w:cstheme="majorHAnsi"/>
                <w:b/>
                <w:bCs/>
                <w:color w:val="000000" w:themeColor="text1"/>
                <w:sz w:val="20"/>
                <w:szCs w:val="20"/>
                <w:lang w:val="en-AU" w:eastAsia="en-AU"/>
              </w:rPr>
              <w:t xml:space="preserve">Inherent Risk Rating </w:t>
            </w:r>
          </w:p>
        </w:tc>
      </w:tr>
      <w:tr w:rsidR="00631394" w:rsidRPr="00E278F4" w14:paraId="1AA02FFE" w14:textId="77777777" w:rsidTr="001B5A6D">
        <w:tc>
          <w:tcPr>
            <w:tcW w:w="2247" w:type="dxa"/>
          </w:tcPr>
          <w:p w14:paraId="15D82267" w14:textId="34176806" w:rsidR="005412AA" w:rsidRPr="00037AD1" w:rsidRDefault="002338E6"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037AD1">
              <w:rPr>
                <w:rFonts w:asciiTheme="majorHAnsi" w:eastAsia="Times New Roman" w:hAnsiTheme="majorHAnsi" w:cstheme="majorHAnsi"/>
                <w:color w:val="000000" w:themeColor="text1"/>
                <w:sz w:val="20"/>
                <w:szCs w:val="20"/>
                <w:lang w:val="en-AU" w:eastAsia="en-AU"/>
              </w:rPr>
              <w:t>Political</w:t>
            </w:r>
            <w:r w:rsidR="00F84E08" w:rsidRPr="00037AD1">
              <w:rPr>
                <w:rFonts w:asciiTheme="majorHAnsi" w:eastAsia="Times New Roman" w:hAnsiTheme="majorHAnsi" w:cstheme="majorHAnsi"/>
                <w:color w:val="000000" w:themeColor="text1"/>
                <w:sz w:val="20"/>
                <w:szCs w:val="20"/>
                <w:lang w:val="en-AU" w:eastAsia="en-AU"/>
              </w:rPr>
              <w:t>: Partner government capacity and capability</w:t>
            </w:r>
          </w:p>
        </w:tc>
        <w:tc>
          <w:tcPr>
            <w:tcW w:w="6112" w:type="dxa"/>
          </w:tcPr>
          <w:p w14:paraId="72FC7017" w14:textId="282AA06A" w:rsidR="005412AA" w:rsidRPr="00FD16BA" w:rsidRDefault="00F84E08"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037AD1">
              <w:rPr>
                <w:rFonts w:asciiTheme="majorHAnsi" w:eastAsia="Times New Roman" w:hAnsiTheme="majorHAnsi" w:cstheme="majorHAnsi"/>
                <w:color w:val="000000" w:themeColor="text1"/>
                <w:sz w:val="20"/>
                <w:szCs w:val="20"/>
                <w:lang w:val="en-AU" w:eastAsia="en-AU"/>
              </w:rPr>
              <w:t xml:space="preserve">NDOH </w:t>
            </w:r>
            <w:r w:rsidR="00203585" w:rsidRPr="00FD16BA">
              <w:rPr>
                <w:rFonts w:asciiTheme="majorHAnsi" w:eastAsia="Times New Roman" w:hAnsiTheme="majorHAnsi" w:cstheme="majorHAnsi"/>
                <w:color w:val="000000" w:themeColor="text1"/>
                <w:sz w:val="20"/>
                <w:szCs w:val="20"/>
                <w:lang w:val="en-AU" w:eastAsia="en-AU"/>
              </w:rPr>
              <w:t xml:space="preserve">is under-resourced and </w:t>
            </w:r>
            <w:r w:rsidRPr="00037AD1">
              <w:rPr>
                <w:rFonts w:asciiTheme="majorHAnsi" w:eastAsia="Times New Roman" w:hAnsiTheme="majorHAnsi" w:cstheme="majorHAnsi"/>
                <w:color w:val="000000" w:themeColor="text1"/>
                <w:sz w:val="20"/>
                <w:szCs w:val="20"/>
                <w:lang w:val="en-AU" w:eastAsia="en-AU"/>
              </w:rPr>
              <w:t xml:space="preserve">cannot </w:t>
            </w:r>
            <w:r w:rsidR="00203585" w:rsidRPr="00FD16BA">
              <w:rPr>
                <w:rFonts w:asciiTheme="majorHAnsi" w:eastAsia="Times New Roman" w:hAnsiTheme="majorHAnsi" w:cstheme="majorHAnsi"/>
                <w:color w:val="000000" w:themeColor="text1"/>
                <w:sz w:val="20"/>
                <w:szCs w:val="20"/>
                <w:lang w:val="en-AU" w:eastAsia="en-AU"/>
              </w:rPr>
              <w:t xml:space="preserve">effectively take on </w:t>
            </w:r>
            <w:r w:rsidR="00203585" w:rsidRPr="00FD16BA">
              <w:rPr>
                <w:rFonts w:asciiTheme="majorHAnsi" w:eastAsia="Times New Roman" w:hAnsiTheme="majorHAnsi" w:cstheme="majorHAnsi"/>
                <w:color w:val="000000" w:themeColor="text1"/>
                <w:sz w:val="20"/>
                <w:szCs w:val="20"/>
                <w:lang w:eastAsia="en-AU"/>
              </w:rPr>
              <w:t xml:space="preserve">its stewardship and regulatory roles, and to lead national systems. </w:t>
            </w:r>
          </w:p>
          <w:p w14:paraId="1FAC80CB" w14:textId="6FD6F37B" w:rsidR="0024072E" w:rsidRPr="00037AD1" w:rsidRDefault="0024072E"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p>
        </w:tc>
        <w:tc>
          <w:tcPr>
            <w:tcW w:w="1269" w:type="dxa"/>
          </w:tcPr>
          <w:p w14:paraId="37D5A824" w14:textId="07371350" w:rsidR="005412AA" w:rsidRPr="00037AD1" w:rsidRDefault="00F163FA"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037AD1">
              <w:rPr>
                <w:rFonts w:asciiTheme="majorHAnsi" w:eastAsia="Times New Roman" w:hAnsiTheme="majorHAnsi" w:cstheme="majorHAnsi"/>
                <w:color w:val="000000" w:themeColor="text1"/>
                <w:sz w:val="20"/>
                <w:szCs w:val="20"/>
                <w:lang w:val="en-AU" w:eastAsia="en-AU"/>
              </w:rPr>
              <w:t>High</w:t>
            </w:r>
          </w:p>
        </w:tc>
      </w:tr>
      <w:tr w:rsidR="002913D6" w:rsidRPr="00E278F4" w14:paraId="2FDA6159" w14:textId="77777777" w:rsidTr="001B5A6D">
        <w:tc>
          <w:tcPr>
            <w:tcW w:w="2247" w:type="dxa"/>
          </w:tcPr>
          <w:p w14:paraId="39C09B05" w14:textId="36B59483" w:rsidR="002913D6" w:rsidRPr="00037AD1" w:rsidRDefault="002913D6"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037AD1">
              <w:rPr>
                <w:rFonts w:asciiTheme="majorHAnsi" w:eastAsia="Times New Roman" w:hAnsiTheme="majorHAnsi" w:cstheme="majorHAnsi"/>
                <w:color w:val="000000" w:themeColor="text1"/>
                <w:sz w:val="20"/>
                <w:szCs w:val="20"/>
                <w:lang w:val="en-AU" w:eastAsia="en-AU"/>
              </w:rPr>
              <w:t>Political: Partner government capacity and capability</w:t>
            </w:r>
          </w:p>
        </w:tc>
        <w:tc>
          <w:tcPr>
            <w:tcW w:w="6112" w:type="dxa"/>
          </w:tcPr>
          <w:p w14:paraId="2D07EDC1" w14:textId="6C3B1C07" w:rsidR="002913D6" w:rsidRPr="00037AD1" w:rsidRDefault="002913D6" w:rsidP="00B440F6">
            <w:pPr>
              <w:tabs>
                <w:tab w:val="left" w:pos="284"/>
              </w:tabs>
              <w:suppressAutoHyphens w:val="0"/>
              <w:spacing w:before="0" w:after="0" w:line="240" w:lineRule="auto"/>
              <w:rPr>
                <w:rFonts w:asciiTheme="majorHAnsi" w:eastAsia="Times New Roman" w:hAnsiTheme="majorHAnsi" w:cstheme="majorBidi"/>
                <w:color w:val="000000" w:themeColor="text1"/>
                <w:sz w:val="20"/>
                <w:szCs w:val="20"/>
                <w:lang w:val="en-AU" w:eastAsia="en-AU"/>
              </w:rPr>
            </w:pPr>
            <w:r w:rsidRPr="5A99ECEA">
              <w:rPr>
                <w:rFonts w:asciiTheme="majorHAnsi" w:eastAsia="Times New Roman" w:hAnsiTheme="majorHAnsi" w:cstheme="majorBidi"/>
                <w:color w:val="000000" w:themeColor="text1"/>
                <w:sz w:val="20"/>
                <w:szCs w:val="20"/>
                <w:lang w:eastAsia="en-AU"/>
              </w:rPr>
              <w:t xml:space="preserve">Support to NDoH is ineffective because of the role of other national government departments: DoT, </w:t>
            </w:r>
            <w:proofErr w:type="spellStart"/>
            <w:r w:rsidRPr="5A99ECEA">
              <w:rPr>
                <w:rFonts w:asciiTheme="majorHAnsi" w:eastAsia="Times New Roman" w:hAnsiTheme="majorHAnsi" w:cstheme="majorBidi"/>
                <w:color w:val="000000" w:themeColor="text1"/>
                <w:sz w:val="20"/>
                <w:szCs w:val="20"/>
                <w:lang w:eastAsia="en-AU"/>
              </w:rPr>
              <w:t>DoF</w:t>
            </w:r>
            <w:proofErr w:type="spellEnd"/>
            <w:r w:rsidRPr="5A99ECEA">
              <w:rPr>
                <w:rFonts w:asciiTheme="majorHAnsi" w:eastAsia="Times New Roman" w:hAnsiTheme="majorHAnsi" w:cstheme="majorBidi"/>
                <w:color w:val="000000" w:themeColor="text1"/>
                <w:sz w:val="20"/>
                <w:szCs w:val="20"/>
                <w:lang w:eastAsia="en-AU"/>
              </w:rPr>
              <w:t xml:space="preserve">, DPM, DHERST and </w:t>
            </w:r>
            <w:proofErr w:type="spellStart"/>
            <w:r w:rsidRPr="5A99ECEA">
              <w:rPr>
                <w:rFonts w:asciiTheme="majorHAnsi" w:eastAsia="Times New Roman" w:hAnsiTheme="majorHAnsi" w:cstheme="majorBidi"/>
                <w:color w:val="000000" w:themeColor="text1"/>
                <w:sz w:val="20"/>
                <w:szCs w:val="20"/>
                <w:lang w:eastAsia="en-AU"/>
              </w:rPr>
              <w:t>NDoE</w:t>
            </w:r>
            <w:proofErr w:type="spellEnd"/>
            <w:r w:rsidRPr="5A99ECEA">
              <w:rPr>
                <w:rFonts w:asciiTheme="majorHAnsi" w:eastAsia="Times New Roman" w:hAnsiTheme="majorHAnsi" w:cstheme="majorBidi"/>
                <w:color w:val="000000" w:themeColor="text1"/>
                <w:sz w:val="20"/>
                <w:szCs w:val="20"/>
                <w:lang w:eastAsia="en-AU"/>
              </w:rPr>
              <w:t xml:space="preserve"> play key roles within the health system, particularly with respect to the financing and HRH systems, yet the support through </w:t>
            </w:r>
            <w:r w:rsidR="641350CF" w:rsidRPr="5A99ECEA">
              <w:rPr>
                <w:rFonts w:asciiTheme="majorHAnsi" w:eastAsia="Times New Roman" w:hAnsiTheme="majorHAnsi" w:cstheme="majorBidi"/>
                <w:color w:val="000000" w:themeColor="text1"/>
                <w:sz w:val="20"/>
                <w:szCs w:val="20"/>
                <w:lang w:eastAsia="en-AU"/>
              </w:rPr>
              <w:t>ENABLE</w:t>
            </w:r>
            <w:r w:rsidRPr="5A99ECEA">
              <w:rPr>
                <w:rFonts w:asciiTheme="majorHAnsi" w:eastAsia="Times New Roman" w:hAnsiTheme="majorHAnsi" w:cstheme="majorBidi"/>
                <w:color w:val="000000" w:themeColor="text1"/>
                <w:sz w:val="20"/>
                <w:szCs w:val="20"/>
                <w:lang w:eastAsia="en-AU"/>
              </w:rPr>
              <w:t xml:space="preserve"> is predominantly focused on NDoH.</w:t>
            </w:r>
          </w:p>
        </w:tc>
        <w:tc>
          <w:tcPr>
            <w:tcW w:w="1269" w:type="dxa"/>
          </w:tcPr>
          <w:p w14:paraId="2438BDE9" w14:textId="12BA50BE" w:rsidR="002913D6" w:rsidRPr="00037AD1" w:rsidRDefault="00D00ADD" w:rsidP="00B440F6">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Pr>
                <w:rFonts w:asciiTheme="majorHAnsi" w:eastAsia="Times New Roman" w:hAnsiTheme="majorHAnsi" w:cstheme="majorHAnsi"/>
                <w:color w:val="000000" w:themeColor="text1"/>
                <w:sz w:val="20"/>
                <w:szCs w:val="20"/>
                <w:lang w:val="en-AU" w:eastAsia="en-AU"/>
              </w:rPr>
              <w:t>High</w:t>
            </w:r>
          </w:p>
        </w:tc>
      </w:tr>
      <w:tr w:rsidR="00B24E32" w:rsidRPr="00E278F4" w14:paraId="064975EC" w14:textId="77777777" w:rsidTr="001B5A6D">
        <w:tc>
          <w:tcPr>
            <w:tcW w:w="2247" w:type="dxa"/>
          </w:tcPr>
          <w:p w14:paraId="6CBF8513" w14:textId="5616A7DD" w:rsidR="00B24E32" w:rsidRPr="00037AD1" w:rsidRDefault="00B24E32" w:rsidP="00B24E32">
            <w:pPr>
              <w:tabs>
                <w:tab w:val="left" w:pos="284"/>
              </w:tabs>
              <w:suppressAutoHyphens w:val="0"/>
              <w:spacing w:before="0" w:after="0" w:line="240" w:lineRule="auto"/>
              <w:rPr>
                <w:rFonts w:asciiTheme="majorHAnsi" w:eastAsia="Times New Roman" w:hAnsiTheme="majorHAnsi" w:cstheme="majorBidi"/>
                <w:color w:val="000000" w:themeColor="text1"/>
                <w:sz w:val="20"/>
                <w:szCs w:val="20"/>
                <w:lang w:val="en-AU" w:eastAsia="en-AU"/>
              </w:rPr>
            </w:pPr>
            <w:r w:rsidRPr="5A99ECEA">
              <w:rPr>
                <w:rFonts w:asciiTheme="majorHAnsi" w:eastAsia="Times New Roman" w:hAnsiTheme="majorHAnsi" w:cstheme="majorBidi"/>
                <w:color w:val="000000" w:themeColor="text1"/>
                <w:sz w:val="20"/>
                <w:szCs w:val="20"/>
                <w:lang w:val="en-AU" w:eastAsia="en-AU"/>
              </w:rPr>
              <w:t>Stakeholder: Implementing partner capacity and capability</w:t>
            </w:r>
          </w:p>
        </w:tc>
        <w:tc>
          <w:tcPr>
            <w:tcW w:w="6112" w:type="dxa"/>
          </w:tcPr>
          <w:p w14:paraId="0A611BA6" w14:textId="74F8027D" w:rsidR="00B24E32" w:rsidRPr="00FD3D5A" w:rsidRDefault="00B24E32" w:rsidP="00B24E32">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eastAsia="en-AU"/>
              </w:rPr>
            </w:pPr>
            <w:r w:rsidRPr="00B24E32">
              <w:rPr>
                <w:rFonts w:asciiTheme="majorHAnsi" w:eastAsia="Times New Roman" w:hAnsiTheme="majorHAnsi" w:cstheme="majorHAnsi"/>
                <w:color w:val="000000" w:themeColor="text1"/>
                <w:sz w:val="20"/>
                <w:szCs w:val="20"/>
                <w:lang w:eastAsia="en-AU"/>
              </w:rPr>
              <w:t xml:space="preserve">MCs for </w:t>
            </w:r>
            <w:r w:rsidR="003B4375">
              <w:rPr>
                <w:rFonts w:asciiTheme="majorHAnsi" w:eastAsia="Times New Roman" w:hAnsiTheme="majorHAnsi" w:cstheme="majorHAnsi"/>
                <w:color w:val="000000" w:themeColor="text1"/>
                <w:sz w:val="20"/>
                <w:szCs w:val="20"/>
                <w:lang w:eastAsia="en-AU"/>
              </w:rPr>
              <w:t>ENABLE</w:t>
            </w:r>
            <w:r w:rsidR="00250A26">
              <w:rPr>
                <w:rFonts w:asciiTheme="majorHAnsi" w:eastAsia="Times New Roman" w:hAnsiTheme="majorHAnsi" w:cstheme="majorHAnsi"/>
                <w:color w:val="000000" w:themeColor="text1"/>
                <w:sz w:val="20"/>
                <w:szCs w:val="20"/>
                <w:lang w:eastAsia="en-AU"/>
              </w:rPr>
              <w:t xml:space="preserve">, </w:t>
            </w:r>
            <w:r w:rsidRPr="00B24E32">
              <w:rPr>
                <w:rFonts w:asciiTheme="majorHAnsi" w:eastAsia="Times New Roman" w:hAnsiTheme="majorHAnsi" w:cstheme="majorHAnsi"/>
                <w:color w:val="000000" w:themeColor="text1"/>
                <w:sz w:val="20"/>
                <w:szCs w:val="20"/>
                <w:lang w:eastAsia="en-AU"/>
              </w:rPr>
              <w:t>PHC4PNG</w:t>
            </w:r>
            <w:r w:rsidR="00250A26">
              <w:rPr>
                <w:rFonts w:asciiTheme="majorHAnsi" w:eastAsia="Times New Roman" w:hAnsiTheme="majorHAnsi" w:cstheme="majorHAnsi"/>
                <w:color w:val="000000" w:themeColor="text1"/>
                <w:sz w:val="20"/>
                <w:szCs w:val="20"/>
                <w:lang w:eastAsia="en-AU"/>
              </w:rPr>
              <w:t>, SHARE and other programs</w:t>
            </w:r>
            <w:r w:rsidRPr="00B24E32">
              <w:rPr>
                <w:rFonts w:asciiTheme="majorHAnsi" w:eastAsia="Times New Roman" w:hAnsiTheme="majorHAnsi" w:cstheme="majorHAnsi"/>
                <w:color w:val="000000" w:themeColor="text1"/>
                <w:sz w:val="20"/>
                <w:szCs w:val="20"/>
                <w:lang w:eastAsia="en-AU"/>
              </w:rPr>
              <w:t xml:space="preserve"> do not effectively collaborate</w:t>
            </w:r>
            <w:r w:rsidR="00250A26">
              <w:rPr>
                <w:rFonts w:asciiTheme="majorHAnsi" w:eastAsia="Times New Roman" w:hAnsiTheme="majorHAnsi" w:cstheme="majorHAnsi"/>
                <w:color w:val="000000" w:themeColor="text1"/>
                <w:sz w:val="20"/>
                <w:szCs w:val="20"/>
                <w:lang w:eastAsia="en-AU"/>
              </w:rPr>
              <w:t>,</w:t>
            </w:r>
            <w:r w:rsidRPr="00B24E32">
              <w:rPr>
                <w:rFonts w:asciiTheme="majorHAnsi" w:eastAsia="Times New Roman" w:hAnsiTheme="majorHAnsi" w:cstheme="majorHAnsi"/>
                <w:color w:val="000000" w:themeColor="text1"/>
                <w:sz w:val="20"/>
                <w:szCs w:val="20"/>
                <w:lang w:eastAsia="en-AU"/>
              </w:rPr>
              <w:t xml:space="preserve"> leading to the withholding of information or insights that may help each MC make greater progress towards </w:t>
            </w:r>
            <w:r w:rsidR="00250A26">
              <w:rPr>
                <w:rFonts w:asciiTheme="majorHAnsi" w:eastAsia="Times New Roman" w:hAnsiTheme="majorHAnsi" w:cstheme="majorHAnsi"/>
                <w:color w:val="000000" w:themeColor="text1"/>
                <w:sz w:val="20"/>
                <w:szCs w:val="20"/>
                <w:lang w:eastAsia="en-AU"/>
              </w:rPr>
              <w:t>outcomes.</w:t>
            </w:r>
          </w:p>
        </w:tc>
        <w:tc>
          <w:tcPr>
            <w:tcW w:w="1269" w:type="dxa"/>
          </w:tcPr>
          <w:p w14:paraId="4A6E5897" w14:textId="6AA61A8B" w:rsidR="00B24E32" w:rsidRPr="00037AD1" w:rsidRDefault="00D00ADD" w:rsidP="00B24E32">
            <w:pPr>
              <w:tabs>
                <w:tab w:val="left" w:pos="284"/>
              </w:tabs>
              <w:suppressAutoHyphens w:val="0"/>
              <w:spacing w:before="0" w:after="0" w:line="240" w:lineRule="auto"/>
              <w:rPr>
                <w:rFonts w:asciiTheme="majorHAnsi" w:eastAsia="Times New Roman" w:hAnsiTheme="majorHAnsi" w:cstheme="majorBidi"/>
                <w:color w:val="000000" w:themeColor="text1"/>
                <w:sz w:val="20"/>
                <w:szCs w:val="20"/>
                <w:lang w:val="en-AU" w:eastAsia="en-AU"/>
              </w:rPr>
            </w:pPr>
            <w:r w:rsidRPr="5A99ECEA">
              <w:rPr>
                <w:rFonts w:asciiTheme="majorHAnsi" w:eastAsia="Times New Roman" w:hAnsiTheme="majorHAnsi" w:cstheme="majorBidi"/>
                <w:color w:val="000000" w:themeColor="text1"/>
                <w:sz w:val="20"/>
                <w:szCs w:val="20"/>
                <w:lang w:val="en-AU" w:eastAsia="en-AU"/>
              </w:rPr>
              <w:t>High</w:t>
            </w:r>
          </w:p>
        </w:tc>
      </w:tr>
      <w:tr w:rsidR="00B24E32" w:rsidRPr="00E278F4" w14:paraId="616D102E" w14:textId="77777777" w:rsidTr="001B5A6D">
        <w:tc>
          <w:tcPr>
            <w:tcW w:w="2247" w:type="dxa"/>
          </w:tcPr>
          <w:p w14:paraId="51AD8EFD" w14:textId="67C290EE" w:rsidR="00B24E32" w:rsidRPr="0064278A" w:rsidRDefault="00B24E32" w:rsidP="00B24E32">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64278A">
              <w:rPr>
                <w:rFonts w:asciiTheme="majorHAnsi" w:eastAsia="Times New Roman" w:hAnsiTheme="majorHAnsi" w:cstheme="majorHAnsi"/>
                <w:color w:val="000000" w:themeColor="text1"/>
                <w:sz w:val="20"/>
                <w:szCs w:val="20"/>
                <w:lang w:val="en-AU" w:eastAsia="en-AU"/>
              </w:rPr>
              <w:t>Stakeholder: Implementing partner capacity and capability</w:t>
            </w:r>
          </w:p>
        </w:tc>
        <w:tc>
          <w:tcPr>
            <w:tcW w:w="6112" w:type="dxa"/>
          </w:tcPr>
          <w:p w14:paraId="215BBEEA" w14:textId="4273CB57" w:rsidR="000E632F" w:rsidRPr="0064278A" w:rsidRDefault="00B24E32" w:rsidP="000E632F">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4B2EDE">
              <w:rPr>
                <w:rFonts w:asciiTheme="majorHAnsi" w:eastAsia="Times New Roman" w:hAnsiTheme="majorHAnsi" w:cstheme="majorHAnsi"/>
                <w:color w:val="000000" w:themeColor="text1"/>
                <w:sz w:val="20"/>
                <w:szCs w:val="20"/>
                <w:lang w:val="en-AU" w:eastAsia="en-AU"/>
              </w:rPr>
              <w:t xml:space="preserve">Strategic partnerships </w:t>
            </w:r>
            <w:r w:rsidR="000E632F" w:rsidRPr="004B2EDE">
              <w:rPr>
                <w:rFonts w:asciiTheme="majorHAnsi" w:eastAsia="Times New Roman" w:hAnsiTheme="majorHAnsi" w:cstheme="majorHAnsi"/>
                <w:color w:val="000000" w:themeColor="text1"/>
                <w:sz w:val="20"/>
                <w:szCs w:val="20"/>
                <w:lang w:eastAsia="en-AU"/>
              </w:rPr>
              <w:t>do not result in changes in capability in PNG institutions</w:t>
            </w:r>
            <w:r w:rsidR="00FD16BA" w:rsidRPr="004B2EDE">
              <w:rPr>
                <w:rFonts w:asciiTheme="majorHAnsi" w:eastAsia="Times New Roman" w:hAnsiTheme="majorHAnsi" w:cstheme="majorHAnsi"/>
                <w:color w:val="000000" w:themeColor="text1"/>
                <w:sz w:val="20"/>
                <w:szCs w:val="20"/>
                <w:lang w:eastAsia="en-AU"/>
              </w:rPr>
              <w:t>; or elevate Australia-PNG linkages.</w:t>
            </w:r>
          </w:p>
          <w:p w14:paraId="0A53715B" w14:textId="0D154752" w:rsidR="00B24E32" w:rsidRPr="0064278A" w:rsidRDefault="00B24E32" w:rsidP="000E632F">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p>
        </w:tc>
        <w:tc>
          <w:tcPr>
            <w:tcW w:w="1269" w:type="dxa"/>
          </w:tcPr>
          <w:p w14:paraId="3E3063AF" w14:textId="51795930" w:rsidR="00B24E32" w:rsidRPr="00D55C10" w:rsidRDefault="00B24E32" w:rsidP="00B24E32">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D55C10">
              <w:rPr>
                <w:rFonts w:asciiTheme="majorHAnsi" w:eastAsia="Times New Roman" w:hAnsiTheme="majorHAnsi" w:cstheme="majorHAnsi"/>
                <w:color w:val="000000" w:themeColor="text1"/>
                <w:sz w:val="20"/>
                <w:szCs w:val="20"/>
                <w:lang w:val="en-AU" w:eastAsia="en-AU"/>
              </w:rPr>
              <w:t>High</w:t>
            </w:r>
          </w:p>
        </w:tc>
      </w:tr>
      <w:tr w:rsidR="00A3056F" w:rsidRPr="00E278F4" w14:paraId="6B2DF457" w14:textId="77777777" w:rsidTr="001B5A6D">
        <w:tc>
          <w:tcPr>
            <w:tcW w:w="2247" w:type="dxa"/>
          </w:tcPr>
          <w:p w14:paraId="373F09AF" w14:textId="1B04C453" w:rsidR="00A3056F" w:rsidRPr="00C75518" w:rsidRDefault="00A3056F" w:rsidP="00A3056F">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F817C0">
              <w:rPr>
                <w:rFonts w:asciiTheme="majorHAnsi" w:eastAsia="Times New Roman" w:hAnsiTheme="majorHAnsi" w:cstheme="majorHAnsi"/>
                <w:color w:val="000000" w:themeColor="text1"/>
                <w:sz w:val="20"/>
                <w:szCs w:val="20"/>
                <w:lang w:val="en-AU" w:eastAsia="en-AU"/>
              </w:rPr>
              <w:t>Programming: Gender equality, disability and social inclusion</w:t>
            </w:r>
          </w:p>
        </w:tc>
        <w:tc>
          <w:tcPr>
            <w:tcW w:w="6112" w:type="dxa"/>
          </w:tcPr>
          <w:p w14:paraId="0863466F" w14:textId="5AFFB0D8" w:rsidR="00A3056F" w:rsidRPr="00FD16BA" w:rsidRDefault="00A3056F" w:rsidP="00A3056F">
            <w:pPr>
              <w:tabs>
                <w:tab w:val="left" w:pos="284"/>
              </w:tabs>
              <w:suppressAutoHyphens w:val="0"/>
              <w:spacing w:before="0" w:after="0" w:line="240" w:lineRule="auto"/>
              <w:rPr>
                <w:rFonts w:asciiTheme="majorHAnsi" w:eastAsia="Times New Roman" w:hAnsiTheme="majorHAnsi" w:cstheme="majorBidi"/>
                <w:color w:val="000000" w:themeColor="text1"/>
                <w:sz w:val="20"/>
                <w:szCs w:val="20"/>
                <w:highlight w:val="yellow"/>
                <w:lang w:val="en-AU" w:eastAsia="en-AU"/>
              </w:rPr>
            </w:pPr>
            <w:r w:rsidRPr="5A99ECEA">
              <w:rPr>
                <w:rFonts w:asciiTheme="majorHAnsi" w:eastAsia="Times New Roman" w:hAnsiTheme="majorHAnsi" w:cstheme="majorBidi"/>
                <w:color w:val="000000" w:themeColor="text1"/>
                <w:sz w:val="20"/>
                <w:szCs w:val="20"/>
                <w:lang w:val="en-AU" w:eastAsia="en-AU"/>
              </w:rPr>
              <w:t xml:space="preserve">There is a lack of political will to incorporate GESDI considerations in </w:t>
            </w:r>
            <w:r w:rsidR="5350F463" w:rsidRPr="5A99ECEA">
              <w:rPr>
                <w:rFonts w:asciiTheme="majorHAnsi" w:eastAsia="Times New Roman" w:hAnsiTheme="majorHAnsi" w:cstheme="majorBidi"/>
                <w:color w:val="000000" w:themeColor="text1"/>
                <w:sz w:val="20"/>
                <w:szCs w:val="20"/>
                <w:lang w:val="en-AU" w:eastAsia="en-AU"/>
              </w:rPr>
              <w:t>an</w:t>
            </w:r>
            <w:r w:rsidR="550D8B1C" w:rsidRPr="5A99ECEA">
              <w:rPr>
                <w:rFonts w:asciiTheme="majorHAnsi" w:eastAsia="Times New Roman" w:hAnsiTheme="majorHAnsi" w:cstheme="majorBidi"/>
                <w:color w:val="000000" w:themeColor="text1"/>
                <w:sz w:val="20"/>
                <w:szCs w:val="20"/>
                <w:lang w:val="en-AU" w:eastAsia="en-AU"/>
              </w:rPr>
              <w:t xml:space="preserve"> </w:t>
            </w:r>
            <w:r w:rsidRPr="5A99ECEA">
              <w:rPr>
                <w:rFonts w:asciiTheme="majorHAnsi" w:eastAsia="Times New Roman" w:hAnsiTheme="majorHAnsi" w:cstheme="majorBidi"/>
                <w:color w:val="000000" w:themeColor="text1"/>
                <w:sz w:val="20"/>
                <w:szCs w:val="20"/>
                <w:lang w:val="en-AU" w:eastAsia="en-AU"/>
              </w:rPr>
              <w:t>effective manner, undermining equity outcomes</w:t>
            </w:r>
          </w:p>
        </w:tc>
        <w:tc>
          <w:tcPr>
            <w:tcW w:w="1269" w:type="dxa"/>
          </w:tcPr>
          <w:p w14:paraId="6391CB37" w14:textId="26BF4398" w:rsidR="00A3056F" w:rsidRPr="00D55C10" w:rsidRDefault="00A3056F" w:rsidP="00A3056F">
            <w:pPr>
              <w:tabs>
                <w:tab w:val="left" w:pos="284"/>
              </w:tabs>
              <w:suppressAutoHyphens w:val="0"/>
              <w:spacing w:before="0" w:after="0" w:line="240" w:lineRule="auto"/>
              <w:rPr>
                <w:rFonts w:asciiTheme="majorHAnsi" w:eastAsia="Times New Roman" w:hAnsiTheme="majorHAnsi" w:cstheme="majorHAnsi"/>
                <w:color w:val="000000" w:themeColor="text1"/>
                <w:sz w:val="20"/>
                <w:szCs w:val="20"/>
                <w:lang w:val="en-AU" w:eastAsia="en-AU"/>
              </w:rPr>
            </w:pPr>
            <w:r w:rsidRPr="00F817C0">
              <w:rPr>
                <w:rFonts w:asciiTheme="majorHAnsi" w:eastAsia="Times New Roman" w:hAnsiTheme="majorHAnsi" w:cstheme="majorHAnsi"/>
                <w:color w:val="000000" w:themeColor="text1"/>
                <w:sz w:val="20"/>
                <w:szCs w:val="20"/>
                <w:lang w:val="en-AU" w:eastAsia="en-AU"/>
              </w:rPr>
              <w:t>Medium</w:t>
            </w:r>
          </w:p>
        </w:tc>
      </w:tr>
    </w:tbl>
    <w:p w14:paraId="6CB6C035" w14:textId="7B39CB1A" w:rsidR="0016650D" w:rsidRPr="00772BEB" w:rsidRDefault="0016650D" w:rsidP="001B11D2">
      <w:pPr>
        <w:tabs>
          <w:tab w:val="left" w:pos="284"/>
        </w:tabs>
        <w:suppressAutoHyphens w:val="0"/>
        <w:spacing w:before="0" w:line="240" w:lineRule="auto"/>
        <w:rPr>
          <w:rFonts w:asciiTheme="majorHAnsi" w:eastAsia="Times New Roman" w:hAnsiTheme="majorHAnsi" w:cstheme="majorHAnsi"/>
          <w:color w:val="000000" w:themeColor="text1"/>
          <w:sz w:val="4"/>
          <w:szCs w:val="4"/>
          <w:lang w:val="en-AU" w:eastAsia="en-AU"/>
        </w:rPr>
      </w:pPr>
    </w:p>
    <w:p w14:paraId="29AA27E8" w14:textId="2F90D24F" w:rsidR="00490CDB" w:rsidRPr="00631394" w:rsidRDefault="00490CDB" w:rsidP="0074325A">
      <w:pPr>
        <w:numPr>
          <w:ilvl w:val="0"/>
          <w:numId w:val="10"/>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line="240" w:lineRule="auto"/>
        <w:ind w:left="284" w:hanging="284"/>
        <w:rPr>
          <w:rFonts w:asciiTheme="majorHAnsi" w:eastAsia="Times New Roman" w:hAnsiTheme="majorHAnsi" w:cstheme="majorHAnsi"/>
          <w:color w:val="000000" w:themeColor="text1"/>
        </w:rPr>
      </w:pPr>
      <w:r w:rsidRPr="00631394">
        <w:rPr>
          <w:rFonts w:asciiTheme="majorHAnsi" w:hAnsiTheme="majorHAnsi" w:cstheme="majorHAnsi"/>
          <w:b/>
          <w:color w:val="000000" w:themeColor="text1"/>
        </w:rPr>
        <w:t>What are the next steps?</w:t>
      </w:r>
      <w:r w:rsidRPr="00631394">
        <w:rPr>
          <w:rFonts w:asciiTheme="majorHAnsi" w:hAnsiTheme="majorHAnsi" w:cstheme="majorHAnsi"/>
          <w:b/>
          <w:color w:val="000000" w:themeColor="text1"/>
          <w:vertAlign w:val="superscript"/>
        </w:rPr>
        <w:t xml:space="preserve">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47"/>
        <w:gridCol w:w="2126"/>
      </w:tblGrid>
      <w:tr w:rsidR="00EA34ED" w:rsidRPr="00EA34ED" w14:paraId="3F739094" w14:textId="670BA832" w:rsidTr="005807A6">
        <w:trPr>
          <w:trHeight w:val="300"/>
          <w:tblHeader/>
        </w:trPr>
        <w:tc>
          <w:tcPr>
            <w:tcW w:w="7647" w:type="dxa"/>
            <w:tcBorders>
              <w:top w:val="single" w:sz="6" w:space="0" w:color="auto"/>
              <w:left w:val="single" w:sz="6" w:space="0" w:color="auto"/>
              <w:bottom w:val="single" w:sz="6" w:space="0" w:color="auto"/>
              <w:right w:val="single" w:sz="6" w:space="0" w:color="auto"/>
            </w:tcBorders>
            <w:shd w:val="clear" w:color="auto" w:fill="C1C7C6" w:themeFill="background2" w:themeFillShade="E6"/>
            <w:hideMark/>
          </w:tcPr>
          <w:p w14:paraId="0F67EF92" w14:textId="6803D420" w:rsidR="00EA34ED" w:rsidRPr="00EA34ED" w:rsidRDefault="00EA34ED" w:rsidP="00EA34ED">
            <w:pPr>
              <w:suppressAutoHyphens w:val="0"/>
              <w:spacing w:before="0" w:after="0" w:line="240" w:lineRule="auto"/>
              <w:textAlignment w:val="baseline"/>
              <w:rPr>
                <w:rFonts w:ascii="Segoe UI" w:eastAsia="Times New Roman" w:hAnsi="Segoe UI" w:cs="Segoe UI"/>
                <w:color w:val="495965"/>
                <w:sz w:val="18"/>
                <w:szCs w:val="18"/>
                <w:lang w:val="en-AU" w:eastAsia="en-AU"/>
              </w:rPr>
            </w:pPr>
            <w:r w:rsidRPr="00EA34ED">
              <w:rPr>
                <w:rFonts w:ascii="Calibri" w:eastAsia="Times New Roman" w:hAnsi="Calibri" w:cs="Calibri"/>
                <w:b/>
                <w:bCs/>
                <w:color w:val="000000"/>
                <w:lang w:val="en-AU" w:eastAsia="en-AU"/>
              </w:rPr>
              <w:t>Step</w:t>
            </w:r>
            <w:r w:rsidRPr="00EA34ED">
              <w:rPr>
                <w:rFonts w:ascii="Calibri" w:eastAsia="Times New Roman" w:hAnsi="Calibri" w:cs="Calibri"/>
                <w:color w:val="00000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C1C7C6" w:themeFill="background2" w:themeFillShade="E6"/>
            <w:hideMark/>
          </w:tcPr>
          <w:p w14:paraId="215E7322" w14:textId="597B3777" w:rsidR="00EA34ED" w:rsidRPr="00EA34ED" w:rsidRDefault="00EA34ED" w:rsidP="00EA34ED">
            <w:pPr>
              <w:suppressAutoHyphens w:val="0"/>
              <w:spacing w:before="0" w:after="0" w:line="240" w:lineRule="auto"/>
              <w:textAlignment w:val="baseline"/>
              <w:rPr>
                <w:rFonts w:ascii="Segoe UI" w:eastAsia="Times New Roman" w:hAnsi="Segoe UI" w:cs="Segoe UI"/>
                <w:color w:val="495965"/>
                <w:sz w:val="18"/>
                <w:szCs w:val="18"/>
                <w:lang w:val="en-AU" w:eastAsia="en-AU"/>
              </w:rPr>
            </w:pPr>
            <w:r w:rsidRPr="00EA34ED">
              <w:rPr>
                <w:rFonts w:ascii="Calibri" w:eastAsia="Times New Roman" w:hAnsi="Calibri" w:cs="Calibri"/>
                <w:b/>
                <w:bCs/>
                <w:color w:val="000000"/>
                <w:lang w:val="en-AU" w:eastAsia="en-AU"/>
              </w:rPr>
              <w:t>Date</w:t>
            </w:r>
            <w:r w:rsidRPr="00EA34ED">
              <w:rPr>
                <w:rFonts w:ascii="Calibri" w:eastAsia="Times New Roman" w:hAnsi="Calibri" w:cs="Calibri"/>
                <w:color w:val="000000"/>
                <w:lang w:val="en-AU" w:eastAsia="en-AU"/>
              </w:rPr>
              <w:t> </w:t>
            </w:r>
          </w:p>
        </w:tc>
      </w:tr>
      <w:tr w:rsidR="00794F5A" w:rsidRPr="00EA34ED" w14:paraId="39B81C2C" w14:textId="2A4E344B" w:rsidTr="009B15E9">
        <w:trPr>
          <w:trHeight w:val="300"/>
        </w:trPr>
        <w:tc>
          <w:tcPr>
            <w:tcW w:w="7647" w:type="dxa"/>
            <w:tcBorders>
              <w:top w:val="single" w:sz="6" w:space="0" w:color="auto"/>
              <w:left w:val="single" w:sz="6" w:space="0" w:color="auto"/>
              <w:bottom w:val="single" w:sz="6" w:space="0" w:color="auto"/>
              <w:right w:val="single" w:sz="6" w:space="0" w:color="auto"/>
            </w:tcBorders>
            <w:shd w:val="clear" w:color="auto" w:fill="FFFFFF"/>
            <w:hideMark/>
          </w:tcPr>
          <w:p w14:paraId="39EE9347" w14:textId="23098810" w:rsidR="00794F5A" w:rsidRPr="004B2EDE" w:rsidRDefault="00794F5A" w:rsidP="00794F5A">
            <w:pPr>
              <w:pStyle w:val="ListParagraph"/>
              <w:numPr>
                <w:ilvl w:val="0"/>
                <w:numId w:val="44"/>
              </w:numPr>
              <w:suppressAutoHyphens w:val="0"/>
              <w:spacing w:before="0" w:after="0" w:line="240" w:lineRule="auto"/>
              <w:textAlignment w:val="baseline"/>
              <w:rPr>
                <w:rFonts w:ascii="Calibri" w:eastAsia="Times New Roman" w:hAnsi="Calibri" w:cs="Calibri"/>
                <w:color w:val="495965"/>
                <w:lang w:val="en-AU" w:eastAsia="en-AU"/>
              </w:rPr>
            </w:pPr>
            <w:r w:rsidRPr="004B2EDE">
              <w:rPr>
                <w:rFonts w:ascii="Calibri" w:eastAsia="Times New Roman" w:hAnsi="Calibri" w:cs="Calibri"/>
                <w:color w:val="000000"/>
                <w:lang w:eastAsia="en-AU"/>
              </w:rPr>
              <w:t>Request for Expression of Interest for ICN issued to market</w:t>
            </w:r>
            <w:r w:rsidRPr="004B2EDE">
              <w:rPr>
                <w:rFonts w:ascii="Calibri" w:eastAsia="Times New Roman" w:hAnsi="Calibri" w:cs="Calibri"/>
                <w:color w:val="00000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1094DB92" w14:textId="31C33ED5" w:rsidR="00794F5A" w:rsidRPr="004B2EDE" w:rsidRDefault="00794F5A" w:rsidP="00794F5A">
            <w:p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Oct 2026</w:t>
            </w:r>
          </w:p>
        </w:tc>
      </w:tr>
      <w:tr w:rsidR="00794F5A" w:rsidRPr="00EA34ED" w14:paraId="7D633120" w14:textId="0BC2B143" w:rsidTr="009B15E9">
        <w:trPr>
          <w:trHeight w:val="300"/>
        </w:trPr>
        <w:tc>
          <w:tcPr>
            <w:tcW w:w="7647" w:type="dxa"/>
            <w:tcBorders>
              <w:top w:val="single" w:sz="6" w:space="0" w:color="auto"/>
              <w:left w:val="single" w:sz="6" w:space="0" w:color="auto"/>
              <w:bottom w:val="single" w:sz="6" w:space="0" w:color="auto"/>
              <w:right w:val="single" w:sz="6" w:space="0" w:color="auto"/>
            </w:tcBorders>
            <w:shd w:val="clear" w:color="auto" w:fill="FFFFFF"/>
            <w:hideMark/>
          </w:tcPr>
          <w:p w14:paraId="3D0DE5E3" w14:textId="7FC0E95C" w:rsidR="00794F5A" w:rsidRPr="004B2EDE" w:rsidRDefault="00794F5A" w:rsidP="00794F5A">
            <w:pPr>
              <w:pStyle w:val="ListParagraph"/>
              <w:numPr>
                <w:ilvl w:val="0"/>
                <w:numId w:val="44"/>
              </w:num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Request For Tender issued to market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5939118D" w14:textId="2523593C" w:rsidR="00794F5A" w:rsidRPr="004B2EDE" w:rsidRDefault="00824D90" w:rsidP="00794F5A">
            <w:pPr>
              <w:suppressAutoHyphens w:val="0"/>
              <w:spacing w:before="0"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Feb</w:t>
            </w:r>
            <w:r w:rsidR="0064278A" w:rsidRPr="004B2EDE">
              <w:rPr>
                <w:rFonts w:ascii="Calibri" w:eastAsia="Times New Roman" w:hAnsi="Calibri" w:cs="Calibri"/>
                <w:color w:val="000000"/>
                <w:lang w:eastAsia="en-AU"/>
              </w:rPr>
              <w:t xml:space="preserve"> 2027</w:t>
            </w:r>
          </w:p>
        </w:tc>
      </w:tr>
      <w:tr w:rsidR="00794F5A" w:rsidRPr="00EA34ED" w14:paraId="14AE4C52" w14:textId="5D431EA6" w:rsidTr="009B15E9">
        <w:trPr>
          <w:trHeight w:val="300"/>
        </w:trPr>
        <w:tc>
          <w:tcPr>
            <w:tcW w:w="7647" w:type="dxa"/>
            <w:tcBorders>
              <w:top w:val="single" w:sz="6" w:space="0" w:color="auto"/>
              <w:left w:val="single" w:sz="6" w:space="0" w:color="auto"/>
              <w:bottom w:val="single" w:sz="6" w:space="0" w:color="auto"/>
              <w:right w:val="single" w:sz="6" w:space="0" w:color="auto"/>
            </w:tcBorders>
            <w:shd w:val="clear" w:color="auto" w:fill="FFFFFF"/>
            <w:hideMark/>
          </w:tcPr>
          <w:p w14:paraId="61608FD6" w14:textId="5C3A2C40" w:rsidR="00794F5A" w:rsidRPr="004B2EDE" w:rsidRDefault="00794F5A" w:rsidP="00794F5A">
            <w:pPr>
              <w:pStyle w:val="ListParagraph"/>
              <w:numPr>
                <w:ilvl w:val="0"/>
                <w:numId w:val="44"/>
              </w:num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Tender and contract/grant agreement negotiations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507ADE48" w14:textId="76C4216C" w:rsidR="00794F5A" w:rsidRPr="004B2EDE" w:rsidRDefault="0064278A" w:rsidP="00794F5A">
            <w:p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May 2027</w:t>
            </w:r>
          </w:p>
        </w:tc>
      </w:tr>
      <w:tr w:rsidR="00794F5A" w:rsidRPr="00EA34ED" w14:paraId="3ECE9BDE" w14:textId="06FBED10" w:rsidTr="009B15E9">
        <w:trPr>
          <w:trHeight w:val="285"/>
        </w:trPr>
        <w:tc>
          <w:tcPr>
            <w:tcW w:w="7647" w:type="dxa"/>
            <w:tcBorders>
              <w:top w:val="single" w:sz="6" w:space="0" w:color="auto"/>
              <w:left w:val="single" w:sz="6" w:space="0" w:color="auto"/>
              <w:bottom w:val="single" w:sz="6" w:space="0" w:color="auto"/>
              <w:right w:val="single" w:sz="6" w:space="0" w:color="auto"/>
            </w:tcBorders>
            <w:shd w:val="clear" w:color="auto" w:fill="FFFFFF"/>
            <w:hideMark/>
          </w:tcPr>
          <w:p w14:paraId="7DB2A94C" w14:textId="3C57E4CD" w:rsidR="00794F5A" w:rsidRPr="004B2EDE" w:rsidRDefault="00794F5A" w:rsidP="00794F5A">
            <w:pPr>
              <w:pStyle w:val="ListParagraph"/>
              <w:numPr>
                <w:ilvl w:val="0"/>
                <w:numId w:val="44"/>
              </w:num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Contract signed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A15BBB3" w14:textId="50C3EA2F" w:rsidR="00794F5A" w:rsidRPr="004B2EDE" w:rsidRDefault="00794F5A" w:rsidP="00794F5A">
            <w:p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Jun 2027</w:t>
            </w:r>
          </w:p>
        </w:tc>
      </w:tr>
      <w:tr w:rsidR="00794F5A" w:rsidRPr="00EA34ED" w14:paraId="59F5B6EF" w14:textId="5FF7C1B5" w:rsidTr="009B15E9">
        <w:trPr>
          <w:trHeight w:val="300"/>
        </w:trPr>
        <w:tc>
          <w:tcPr>
            <w:tcW w:w="7647" w:type="dxa"/>
            <w:tcBorders>
              <w:top w:val="single" w:sz="6" w:space="0" w:color="auto"/>
              <w:left w:val="single" w:sz="6" w:space="0" w:color="auto"/>
              <w:bottom w:val="single" w:sz="6" w:space="0" w:color="auto"/>
              <w:right w:val="single" w:sz="6" w:space="0" w:color="auto"/>
            </w:tcBorders>
            <w:shd w:val="clear" w:color="auto" w:fill="FFFFFF"/>
            <w:hideMark/>
          </w:tcPr>
          <w:p w14:paraId="173E6553" w14:textId="783B87A2" w:rsidR="00794F5A" w:rsidRPr="004B2EDE" w:rsidRDefault="00794F5A" w:rsidP="00794F5A">
            <w:pPr>
              <w:pStyle w:val="ListParagraph"/>
              <w:numPr>
                <w:ilvl w:val="0"/>
                <w:numId w:val="44"/>
              </w:num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Implementation commences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FC1D42E" w14:textId="0FA8F626" w:rsidR="00794F5A" w:rsidRPr="004B2EDE" w:rsidRDefault="00794F5A" w:rsidP="00794F5A">
            <w:pPr>
              <w:suppressAutoHyphens w:val="0"/>
              <w:spacing w:before="0" w:after="0" w:line="240" w:lineRule="auto"/>
              <w:textAlignment w:val="baseline"/>
              <w:rPr>
                <w:rFonts w:ascii="Calibri" w:eastAsia="Times New Roman" w:hAnsi="Calibri" w:cs="Calibri"/>
                <w:color w:val="000000"/>
                <w:lang w:eastAsia="en-AU"/>
              </w:rPr>
            </w:pPr>
            <w:r w:rsidRPr="004B2EDE">
              <w:rPr>
                <w:rFonts w:ascii="Calibri" w:eastAsia="Times New Roman" w:hAnsi="Calibri" w:cs="Calibri"/>
                <w:color w:val="000000"/>
                <w:lang w:eastAsia="en-AU"/>
              </w:rPr>
              <w:t>Jul 2027</w:t>
            </w:r>
          </w:p>
        </w:tc>
      </w:tr>
    </w:tbl>
    <w:p w14:paraId="74D9D25C" w14:textId="3ECF158B" w:rsidR="00461055" w:rsidRPr="00B0285C" w:rsidRDefault="00461055" w:rsidP="00EA5C52">
      <w:pPr>
        <w:spacing w:before="240" w:after="240"/>
        <w:rPr>
          <w:rFonts w:asciiTheme="majorHAnsi" w:hAnsiTheme="majorHAnsi" w:cstheme="majorBidi"/>
          <w:color w:val="auto"/>
        </w:rPr>
      </w:pPr>
    </w:p>
    <w:p w14:paraId="33E41BEA" w14:textId="773EE790" w:rsidR="00EB780C" w:rsidRDefault="00EB780C" w:rsidP="00B36454">
      <w:pPr>
        <w:pStyle w:val="Heading1"/>
        <w:rPr>
          <w:caps w:val="0"/>
        </w:rPr>
      </w:pPr>
      <w:r>
        <w:rPr>
          <w:caps w:val="0"/>
        </w:rPr>
        <w:lastRenderedPageBreak/>
        <w:t>A</w:t>
      </w:r>
      <w:r w:rsidR="006B3FB1">
        <w:rPr>
          <w:caps w:val="0"/>
        </w:rPr>
        <w:t>nnex</w:t>
      </w:r>
      <w:r w:rsidRPr="00B36454">
        <w:rPr>
          <w:caps w:val="0"/>
        </w:rPr>
        <w:t xml:space="preserve"> 1. </w:t>
      </w:r>
      <w:r>
        <w:rPr>
          <w:caps w:val="0"/>
        </w:rPr>
        <w:t>PNG Health Indicators</w:t>
      </w:r>
      <w:r w:rsidRPr="00B36454">
        <w:rPr>
          <w:caps w:val="0"/>
        </w:rPr>
        <w:t xml:space="preserve"> </w:t>
      </w:r>
    </w:p>
    <w:p w14:paraId="135CB837" w14:textId="3733F953" w:rsidR="000E36F2" w:rsidRPr="009B2336" w:rsidRDefault="39F77365" w:rsidP="00C76C0F">
      <w:pPr>
        <w:spacing w:before="0" w:after="120"/>
        <w:rPr>
          <w:rFonts w:asciiTheme="majorHAnsi" w:hAnsiTheme="majorHAnsi" w:cstheme="majorHAnsi"/>
          <w:color w:val="auto"/>
        </w:rPr>
      </w:pPr>
      <w:r w:rsidRPr="0C78F9E2">
        <w:rPr>
          <w:rFonts w:asciiTheme="majorHAnsi" w:hAnsiTheme="majorHAnsi" w:cstheme="majorBidi"/>
          <w:color w:val="auto"/>
        </w:rPr>
        <w:t>PNG ranks 156 out of 191 countries against the Human Development Index</w:t>
      </w:r>
      <w:r w:rsidR="000E36F2" w:rsidRPr="0C78F9E2">
        <w:rPr>
          <w:rStyle w:val="FootnoteReference"/>
          <w:rFonts w:asciiTheme="majorHAnsi" w:hAnsiTheme="majorHAnsi" w:cstheme="majorBidi"/>
          <w:color w:val="auto"/>
        </w:rPr>
        <w:footnoteReference w:id="9"/>
      </w:r>
      <w:r w:rsidRPr="0C78F9E2">
        <w:rPr>
          <w:rFonts w:asciiTheme="majorHAnsi" w:hAnsiTheme="majorHAnsi" w:cstheme="majorBidi"/>
        </w:rPr>
        <w:t xml:space="preserve"> </w:t>
      </w:r>
      <w:r w:rsidRPr="0C78F9E2">
        <w:rPr>
          <w:rFonts w:asciiTheme="majorHAnsi" w:hAnsiTheme="majorHAnsi" w:cstheme="majorBidi"/>
          <w:color w:val="auto"/>
        </w:rPr>
        <w:t>and approximately 40 per cent of the population lives below the national poverty line</w:t>
      </w:r>
      <w:r w:rsidR="000E36F2" w:rsidRPr="0C78F9E2">
        <w:rPr>
          <w:rStyle w:val="FootnoteReference"/>
          <w:rFonts w:asciiTheme="majorHAnsi" w:hAnsiTheme="majorHAnsi" w:cstheme="majorBidi"/>
          <w:color w:val="auto"/>
        </w:rPr>
        <w:footnoteReference w:id="10"/>
      </w:r>
      <w:r w:rsidRPr="0C78F9E2">
        <w:rPr>
          <w:rFonts w:asciiTheme="majorHAnsi" w:hAnsiTheme="majorHAnsi" w:cstheme="majorBidi"/>
          <w:color w:val="auto"/>
        </w:rPr>
        <w:t>.  The country is ranked 158 out of 189 countries for gender equality</w:t>
      </w:r>
      <w:r w:rsidR="000E36F2" w:rsidRPr="0C78F9E2">
        <w:rPr>
          <w:rStyle w:val="FootnoteReference"/>
          <w:rFonts w:asciiTheme="majorHAnsi" w:hAnsiTheme="majorHAnsi" w:cstheme="majorBidi"/>
          <w:color w:val="auto"/>
        </w:rPr>
        <w:footnoteReference w:id="11"/>
      </w:r>
      <w:r w:rsidRPr="0C78F9E2">
        <w:rPr>
          <w:rFonts w:asciiTheme="majorHAnsi" w:hAnsiTheme="majorHAnsi" w:cstheme="majorBidi"/>
        </w:rPr>
        <w:t xml:space="preserve"> </w:t>
      </w:r>
      <w:r w:rsidRPr="0C78F9E2">
        <w:rPr>
          <w:rFonts w:asciiTheme="majorHAnsi" w:hAnsiTheme="majorHAnsi" w:cstheme="majorBidi"/>
          <w:color w:val="auto"/>
        </w:rPr>
        <w:t>and is assessed as the least safe country globally for women, children, people with disability, and the LGBTQIA+ community</w:t>
      </w:r>
      <w:r w:rsidR="000E36F2" w:rsidRPr="0C78F9E2">
        <w:rPr>
          <w:rStyle w:val="FootnoteReference"/>
          <w:rFonts w:asciiTheme="majorHAnsi" w:hAnsiTheme="majorHAnsi" w:cstheme="majorBidi"/>
          <w:color w:val="auto"/>
        </w:rPr>
        <w:footnoteReference w:id="12"/>
      </w:r>
      <w:r w:rsidRPr="0C78F9E2">
        <w:rPr>
          <w:rFonts w:asciiTheme="majorHAnsi" w:hAnsiTheme="majorHAnsi" w:cstheme="majorBidi"/>
          <w:color w:val="auto"/>
        </w:rPr>
        <w:t>. Improvements in life expectancy</w:t>
      </w:r>
      <w:r w:rsidR="000E36F2" w:rsidRPr="0C78F9E2">
        <w:rPr>
          <w:rStyle w:val="FootnoteReference"/>
          <w:rFonts w:asciiTheme="majorHAnsi" w:hAnsiTheme="majorHAnsi" w:cstheme="majorBidi"/>
          <w:color w:val="auto"/>
        </w:rPr>
        <w:footnoteReference w:id="13"/>
      </w:r>
      <w:r w:rsidRPr="0C78F9E2">
        <w:rPr>
          <w:rFonts w:asciiTheme="majorHAnsi" w:hAnsiTheme="majorHAnsi" w:cstheme="majorBidi"/>
          <w:color w:val="auto"/>
        </w:rPr>
        <w:t xml:space="preserve"> and child mortality</w:t>
      </w:r>
      <w:r w:rsidR="000E36F2" w:rsidRPr="0C78F9E2">
        <w:rPr>
          <w:rStyle w:val="FootnoteReference"/>
          <w:rFonts w:asciiTheme="majorHAnsi" w:hAnsiTheme="majorHAnsi" w:cstheme="majorBidi"/>
          <w:color w:val="auto"/>
        </w:rPr>
        <w:footnoteReference w:id="14"/>
      </w:r>
      <w:r w:rsidRPr="0C78F9E2">
        <w:rPr>
          <w:rFonts w:asciiTheme="majorHAnsi" w:hAnsiTheme="majorHAnsi" w:cstheme="majorBidi"/>
          <w:color w:val="auto"/>
        </w:rPr>
        <w:t xml:space="preserve"> have been slower than economic and regional peers – and the country continues to face pressing health challenges.  PNG is ranked third lowest in the world against the Universal Health Coverage (UHC) Index (see tables below for breakdown of UHC indicators and trends)</w:t>
      </w:r>
      <w:r w:rsidR="000E36F2" w:rsidRPr="0C78F9E2">
        <w:rPr>
          <w:rStyle w:val="FootnoteReference"/>
          <w:rFonts w:asciiTheme="majorHAnsi" w:hAnsiTheme="majorHAnsi" w:cstheme="majorBidi"/>
          <w:color w:val="auto"/>
        </w:rPr>
        <w:footnoteReference w:id="15"/>
      </w:r>
      <w:r w:rsidRPr="0C78F9E2">
        <w:rPr>
          <w:rFonts w:asciiTheme="majorHAnsi" w:hAnsiTheme="majorHAnsi" w:cstheme="majorBidi"/>
          <w:color w:val="auto"/>
        </w:rPr>
        <w:t xml:space="preserve">. There are continuing high levels of communicable diseases, including multi-drug-resistant tuberculosis, and rising HIV infections. Non-communicable diseases (NCD) are rapidly </w:t>
      </w:r>
      <w:proofErr w:type="gramStart"/>
      <w:r w:rsidRPr="0C78F9E2">
        <w:rPr>
          <w:rFonts w:asciiTheme="majorHAnsi" w:hAnsiTheme="majorHAnsi" w:cstheme="majorBidi"/>
          <w:color w:val="auto"/>
        </w:rPr>
        <w:t>increasing</w:t>
      </w:r>
      <w:proofErr w:type="gramEnd"/>
      <w:r w:rsidRPr="0C78F9E2">
        <w:rPr>
          <w:rFonts w:asciiTheme="majorHAnsi" w:hAnsiTheme="majorHAnsi" w:cstheme="majorBidi"/>
          <w:color w:val="auto"/>
        </w:rPr>
        <w:t xml:space="preserve"> and PNG is ranked 182 out of 183 countries in the world on the NCD preparedness index</w:t>
      </w:r>
      <w:r w:rsidR="000E36F2" w:rsidRPr="0C78F9E2">
        <w:rPr>
          <w:rStyle w:val="FootnoteReference"/>
          <w:rFonts w:asciiTheme="majorHAnsi" w:hAnsiTheme="majorHAnsi" w:cstheme="majorBidi"/>
          <w:color w:val="auto"/>
        </w:rPr>
        <w:footnoteReference w:id="16"/>
      </w:r>
      <w:r w:rsidRPr="0C78F9E2">
        <w:rPr>
          <w:rFonts w:asciiTheme="majorHAnsi" w:hAnsiTheme="majorHAnsi" w:cstheme="majorBidi"/>
          <w:color w:val="auto"/>
        </w:rPr>
        <w:t>.  Nutritional status is poor with 42 per cent of children under five years of age stunted</w:t>
      </w:r>
      <w:r w:rsidR="000E36F2" w:rsidRPr="0C78F9E2">
        <w:rPr>
          <w:rStyle w:val="FootnoteReference"/>
          <w:rFonts w:asciiTheme="majorHAnsi" w:hAnsiTheme="majorHAnsi" w:cstheme="majorBidi"/>
          <w:color w:val="auto"/>
        </w:rPr>
        <w:footnoteReference w:id="17"/>
      </w:r>
      <w:r w:rsidRPr="0C78F9E2">
        <w:rPr>
          <w:rFonts w:asciiTheme="majorHAnsi" w:hAnsiTheme="majorHAnsi" w:cstheme="majorBidi"/>
          <w:color w:val="auto"/>
        </w:rPr>
        <w:t xml:space="preserve"> and 38 per cent of the population predicted to be obese by 2035. The total fertility rate is substantially higher than other lower middle-income countries (4.8 compared to 2.8)</w:t>
      </w:r>
      <w:r w:rsidR="000E36F2" w:rsidRPr="0C78F9E2">
        <w:rPr>
          <w:rStyle w:val="FootnoteReference"/>
          <w:rFonts w:asciiTheme="majorHAnsi" w:hAnsiTheme="majorHAnsi" w:cstheme="majorBidi"/>
          <w:color w:val="auto"/>
        </w:rPr>
        <w:footnoteReference w:id="18"/>
      </w:r>
      <w:r w:rsidRPr="0C78F9E2">
        <w:rPr>
          <w:rFonts w:asciiTheme="majorHAnsi" w:hAnsiTheme="majorHAnsi" w:cstheme="majorBidi"/>
          <w:color w:val="auto"/>
        </w:rPr>
        <w:t>.  Routine childhood immunisation coverage has fallen from around 60 per cent in the early 2000s</w:t>
      </w:r>
      <w:r w:rsidR="000E36F2" w:rsidRPr="0C78F9E2">
        <w:rPr>
          <w:rStyle w:val="FootnoteReference"/>
          <w:rFonts w:asciiTheme="majorHAnsi" w:hAnsiTheme="majorHAnsi" w:cstheme="majorBidi"/>
          <w:color w:val="auto"/>
        </w:rPr>
        <w:footnoteReference w:id="19"/>
      </w:r>
      <w:r w:rsidRPr="0C78F9E2">
        <w:rPr>
          <w:rFonts w:asciiTheme="majorHAnsi" w:hAnsiTheme="majorHAnsi" w:cstheme="majorBidi"/>
          <w:color w:val="auto"/>
        </w:rPr>
        <w:t xml:space="preserve"> to around 40 per cent in 2023.  Over the same period, supervised childbirth deliveries have fallen from approximately 45 to 35 per cent</w:t>
      </w:r>
      <w:r w:rsidRPr="0C78F9E2">
        <w:rPr>
          <w:rFonts w:asciiTheme="majorHAnsi" w:hAnsiTheme="majorHAnsi" w:cstheme="majorBidi"/>
          <w:color w:val="auto"/>
          <w:vertAlign w:val="superscript"/>
        </w:rPr>
        <w:t>11</w:t>
      </w:r>
      <w:r w:rsidRPr="0C78F9E2">
        <w:rPr>
          <w:rFonts w:asciiTheme="majorHAnsi" w:hAnsiTheme="majorHAnsi" w:cstheme="majorBidi"/>
          <w:color w:val="auto"/>
        </w:rPr>
        <w:t>. Since 1990, the average of 2.5 outpatient contacts per person per year has decreased to an average of 1 in 2021, well below the minimum 3 or 4 visits to deliver an essential package of health services</w:t>
      </w:r>
      <w:r w:rsidRPr="0C78F9E2">
        <w:rPr>
          <w:rFonts w:asciiTheme="majorHAnsi" w:hAnsiTheme="majorHAnsi" w:cstheme="majorBidi"/>
          <w:color w:val="auto"/>
          <w:vertAlign w:val="superscript"/>
        </w:rPr>
        <w:t>11</w:t>
      </w:r>
      <w:r w:rsidRPr="0C78F9E2">
        <w:rPr>
          <w:rFonts w:asciiTheme="majorHAnsi" w:hAnsiTheme="majorHAnsi" w:cstheme="majorBidi"/>
          <w:color w:val="auto"/>
        </w:rPr>
        <w:t xml:space="preserve">.  Health outreach has stagnated for more than a </w:t>
      </w:r>
      <w:proofErr w:type="gramStart"/>
      <w:r w:rsidRPr="0C78F9E2">
        <w:rPr>
          <w:rFonts w:asciiTheme="majorHAnsi" w:hAnsiTheme="majorHAnsi" w:cstheme="majorBidi"/>
          <w:color w:val="auto"/>
        </w:rPr>
        <w:t>decade</w:t>
      </w:r>
      <w:proofErr w:type="gramEnd"/>
      <w:r w:rsidRPr="0C78F9E2">
        <w:rPr>
          <w:rFonts w:asciiTheme="majorHAnsi" w:hAnsiTheme="majorHAnsi" w:cstheme="majorBidi"/>
          <w:color w:val="auto"/>
        </w:rPr>
        <w:t xml:space="preserve"> and the quality of services is low</w:t>
      </w:r>
      <w:r w:rsidR="000E36F2" w:rsidRPr="0C78F9E2">
        <w:rPr>
          <w:rStyle w:val="FootnoteReference"/>
          <w:rFonts w:asciiTheme="majorHAnsi" w:hAnsiTheme="majorHAnsi" w:cstheme="majorBidi"/>
          <w:color w:val="auto"/>
        </w:rPr>
        <w:footnoteReference w:id="20"/>
      </w:r>
      <w:r w:rsidRPr="0C78F9E2">
        <w:rPr>
          <w:rFonts w:asciiTheme="majorHAnsi" w:hAnsiTheme="majorHAnsi" w:cstheme="majorBidi"/>
          <w:color w:val="auto"/>
        </w:rPr>
        <w:t xml:space="preserve">.   </w:t>
      </w:r>
    </w:p>
    <w:p w14:paraId="6713D059" w14:textId="77777777" w:rsidR="000E36F2" w:rsidRPr="009B2336" w:rsidRDefault="000E36F2" w:rsidP="000E36F2">
      <w:pPr>
        <w:rPr>
          <w:rFonts w:asciiTheme="majorHAnsi" w:hAnsiTheme="majorHAnsi" w:cstheme="majorHAnsi"/>
          <w:color w:val="auto"/>
        </w:rPr>
      </w:pPr>
      <w:r w:rsidRPr="009B2336">
        <w:rPr>
          <w:rFonts w:asciiTheme="majorHAnsi" w:hAnsiTheme="majorHAnsi" w:cstheme="majorHAnsi"/>
          <w:color w:val="auto"/>
        </w:rPr>
        <w:t xml:space="preserve">Underpinning PNG’s poor health outcomes and service delivery performance is a struggling health system. Assessed against the WHO Health System Strengthening (HSS) building blocks, PNG is achieving only partial health system functionality. The main health system challenges include: </w:t>
      </w:r>
    </w:p>
    <w:p w14:paraId="7E2CD346" w14:textId="77777777" w:rsidR="000E36F2" w:rsidRPr="009B2336"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09B2336">
        <w:rPr>
          <w:rFonts w:asciiTheme="majorHAnsi" w:hAnsiTheme="majorHAnsi" w:cstheme="majorHAnsi"/>
          <w:color w:val="auto"/>
        </w:rPr>
        <w:t xml:space="preserve">The health sector is highly fragmented and Provincial Health Authorities (PHAs) </w:t>
      </w:r>
      <w:r>
        <w:rPr>
          <w:rFonts w:asciiTheme="majorHAnsi" w:hAnsiTheme="majorHAnsi" w:cstheme="majorHAnsi"/>
          <w:color w:val="auto"/>
        </w:rPr>
        <w:t>–</w:t>
      </w:r>
      <w:r w:rsidRPr="009B2336">
        <w:rPr>
          <w:rFonts w:asciiTheme="majorHAnsi" w:hAnsiTheme="majorHAnsi" w:cstheme="majorHAnsi"/>
          <w:color w:val="auto"/>
        </w:rPr>
        <w:t xml:space="preserve"> established as part of reforms to facilitate more effective health services </w:t>
      </w:r>
      <w:r>
        <w:rPr>
          <w:rFonts w:asciiTheme="majorHAnsi" w:hAnsiTheme="majorHAnsi" w:cstheme="majorHAnsi"/>
          <w:color w:val="auto"/>
        </w:rPr>
        <w:t>–</w:t>
      </w:r>
      <w:r w:rsidRPr="009B2336">
        <w:rPr>
          <w:rFonts w:asciiTheme="majorHAnsi" w:hAnsiTheme="majorHAnsi" w:cstheme="majorHAnsi"/>
          <w:color w:val="auto"/>
        </w:rPr>
        <w:t xml:space="preserve"> are not yet fully functional. </w:t>
      </w:r>
    </w:p>
    <w:p w14:paraId="18B228AE" w14:textId="77777777" w:rsidR="000E36F2" w:rsidRPr="00B6132E"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Pr>
          <w:rFonts w:asciiTheme="majorHAnsi" w:hAnsiTheme="majorHAnsi" w:cstheme="majorHAnsi"/>
          <w:color w:val="auto"/>
        </w:rPr>
        <w:t xml:space="preserve">Although </w:t>
      </w:r>
      <w:r w:rsidRPr="00B6132E">
        <w:rPr>
          <w:rFonts w:asciiTheme="majorHAnsi" w:hAnsiTheme="majorHAnsi" w:cstheme="majorHAnsi"/>
          <w:color w:val="auto"/>
        </w:rPr>
        <w:t xml:space="preserve">PHAs are responsible for service delivery, </w:t>
      </w:r>
      <w:r>
        <w:rPr>
          <w:rFonts w:asciiTheme="majorHAnsi" w:hAnsiTheme="majorHAnsi" w:cstheme="majorHAnsi"/>
          <w:color w:val="auto"/>
        </w:rPr>
        <w:t xml:space="preserve">they </w:t>
      </w:r>
      <w:r w:rsidRPr="00B6132E">
        <w:rPr>
          <w:rFonts w:asciiTheme="majorHAnsi" w:hAnsiTheme="majorHAnsi" w:cstheme="majorHAnsi"/>
          <w:color w:val="auto"/>
        </w:rPr>
        <w:t>are reliant on the national government for major health system inputs including financing (NDoH and Treasury), human resources (DPM) and medical supplies (NDoH).</w:t>
      </w:r>
      <w:r>
        <w:rPr>
          <w:rFonts w:asciiTheme="majorHAnsi" w:hAnsiTheme="majorHAnsi" w:cstheme="majorHAnsi"/>
          <w:color w:val="auto"/>
        </w:rPr>
        <w:t xml:space="preserve"> </w:t>
      </w:r>
      <w:r w:rsidRPr="00B6132E">
        <w:rPr>
          <w:rFonts w:asciiTheme="majorHAnsi" w:hAnsiTheme="majorHAnsi" w:cstheme="majorHAnsi"/>
          <w:color w:val="auto"/>
        </w:rPr>
        <w:t>PHA performance with respect to utilisation of key PHC services varies significantly across provinces.</w:t>
      </w:r>
      <w:r w:rsidRPr="00DA0469">
        <w:rPr>
          <w:lang w:val="en-AU"/>
        </w:rPr>
        <w:t xml:space="preserve"> </w:t>
      </w:r>
    </w:p>
    <w:p w14:paraId="05CF659E" w14:textId="77777777" w:rsidR="000E36F2" w:rsidRPr="009B2336"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0C03266">
        <w:rPr>
          <w:rFonts w:asciiTheme="majorHAnsi" w:hAnsiTheme="majorHAnsi" w:cstheme="majorHAnsi"/>
          <w:color w:val="auto"/>
        </w:rPr>
        <w:t xml:space="preserve">Stewardship of financing, human resources and medical supplies remains at the national level and is shared by </w:t>
      </w:r>
      <w:proofErr w:type="gramStart"/>
      <w:r w:rsidRPr="00C03266">
        <w:rPr>
          <w:rFonts w:asciiTheme="majorHAnsi" w:hAnsiTheme="majorHAnsi" w:cstheme="majorHAnsi"/>
          <w:color w:val="auto"/>
        </w:rPr>
        <w:t>NDoH</w:t>
      </w:r>
      <w:proofErr w:type="gramEnd"/>
      <w:r w:rsidRPr="00C03266">
        <w:rPr>
          <w:rFonts w:asciiTheme="majorHAnsi" w:hAnsiTheme="majorHAnsi" w:cstheme="majorHAnsi"/>
          <w:color w:val="auto"/>
        </w:rPr>
        <w:t xml:space="preserve"> and other national actors and the functioning of these systems is far below national expectations. </w:t>
      </w:r>
    </w:p>
    <w:p w14:paraId="007A200A" w14:textId="77777777" w:rsidR="000E36F2" w:rsidRPr="009B2336" w:rsidRDefault="000E36F2" w:rsidP="000E36F2">
      <w:pPr>
        <w:pStyle w:val="ListParagraph"/>
        <w:numPr>
          <w:ilvl w:val="0"/>
          <w:numId w:val="8"/>
        </w:numPr>
        <w:shd w:val="clear" w:color="auto" w:fill="FFFFFF" w:themeFill="background1"/>
        <w:suppressAutoHyphens w:val="0"/>
        <w:spacing w:before="0" w:after="0" w:line="240" w:lineRule="auto"/>
        <w:ind w:hanging="357"/>
        <w:contextualSpacing w:val="0"/>
        <w:rPr>
          <w:rFonts w:asciiTheme="majorHAnsi" w:hAnsiTheme="majorHAnsi" w:cstheme="majorHAnsi"/>
          <w:color w:val="auto"/>
        </w:rPr>
      </w:pPr>
      <w:r w:rsidRPr="009B2336">
        <w:rPr>
          <w:rFonts w:asciiTheme="majorHAnsi" w:hAnsiTheme="majorHAnsi" w:cstheme="majorHAnsi"/>
          <w:color w:val="auto"/>
        </w:rPr>
        <w:t>While the</w:t>
      </w:r>
      <w:r>
        <w:rPr>
          <w:rFonts w:asciiTheme="majorHAnsi" w:hAnsiTheme="majorHAnsi" w:cstheme="majorHAnsi"/>
          <w:color w:val="auto"/>
        </w:rPr>
        <w:t xml:space="preserve"> PNG</w:t>
      </w:r>
      <w:r w:rsidRPr="009B2336">
        <w:rPr>
          <w:rFonts w:asciiTheme="majorHAnsi" w:hAnsiTheme="majorHAnsi" w:cstheme="majorHAnsi"/>
          <w:color w:val="auto"/>
        </w:rPr>
        <w:t xml:space="preserve"> government allocates approximately 10</w:t>
      </w:r>
      <w:r>
        <w:rPr>
          <w:rFonts w:asciiTheme="majorHAnsi" w:hAnsiTheme="majorHAnsi" w:cstheme="majorHAnsi"/>
          <w:color w:val="auto"/>
        </w:rPr>
        <w:t xml:space="preserve"> per cent</w:t>
      </w:r>
      <w:r w:rsidRPr="009B2336">
        <w:rPr>
          <w:rFonts w:asciiTheme="majorHAnsi" w:hAnsiTheme="majorHAnsi" w:cstheme="majorHAnsi"/>
          <w:color w:val="auto"/>
        </w:rPr>
        <w:t xml:space="preserve"> of the annual budget towards health and donor funding for health provides significant additional revenue, there is still a significant gap between what is needed to provide effective coverage of health services, and what is provided has not translated into effective coverage of health services. </w:t>
      </w:r>
      <w:r>
        <w:rPr>
          <w:rFonts w:asciiTheme="majorHAnsi" w:hAnsiTheme="majorHAnsi" w:cstheme="majorHAnsi"/>
          <w:color w:val="auto"/>
        </w:rPr>
        <w:t xml:space="preserve"> </w:t>
      </w:r>
      <w:r w:rsidRPr="009B2336">
        <w:rPr>
          <w:rFonts w:asciiTheme="majorHAnsi" w:hAnsiTheme="majorHAnsi" w:cstheme="majorHAnsi"/>
          <w:color w:val="auto"/>
        </w:rPr>
        <w:t>Misallocation and misuse of funds are common.</w:t>
      </w:r>
    </w:p>
    <w:p w14:paraId="682BD79A" w14:textId="77777777" w:rsidR="000E36F2" w:rsidRPr="009B2336" w:rsidRDefault="39F77365"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C78F9E2">
        <w:rPr>
          <w:rFonts w:asciiTheme="majorHAnsi" w:hAnsiTheme="majorHAnsi" w:cstheme="majorBidi"/>
          <w:color w:val="auto"/>
        </w:rPr>
        <w:t>PNG lacks the necessary health workforce required to fully achieve UHC, and is not making the most effective, efficient, and equitable use of the workforce it does have</w:t>
      </w:r>
      <w:r w:rsidR="000E36F2" w:rsidRPr="0C78F9E2">
        <w:rPr>
          <w:rStyle w:val="FootnoteReference"/>
          <w:rFonts w:asciiTheme="majorHAnsi" w:hAnsiTheme="majorHAnsi" w:cstheme="majorBidi"/>
          <w:color w:val="auto"/>
        </w:rPr>
        <w:footnoteReference w:id="21"/>
      </w:r>
      <w:r w:rsidRPr="0C78F9E2">
        <w:rPr>
          <w:rFonts w:asciiTheme="majorHAnsi" w:hAnsiTheme="majorHAnsi" w:cstheme="majorBidi"/>
          <w:color w:val="auto"/>
        </w:rPr>
        <w:t xml:space="preserve">. </w:t>
      </w:r>
    </w:p>
    <w:p w14:paraId="74FB2315" w14:textId="77777777" w:rsidR="000E36F2" w:rsidRPr="009B2336"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09B2336">
        <w:rPr>
          <w:rFonts w:asciiTheme="majorHAnsi" w:hAnsiTheme="majorHAnsi" w:cstheme="majorHAnsi"/>
          <w:color w:val="auto"/>
        </w:rPr>
        <w:t>Essential pharmaceutical drugs and equipment are routinely unavailable at health facilities.</w:t>
      </w:r>
    </w:p>
    <w:p w14:paraId="617DD6C3" w14:textId="77777777" w:rsidR="000E36F2" w:rsidRPr="009B2336"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09B2336">
        <w:rPr>
          <w:rFonts w:asciiTheme="majorHAnsi" w:hAnsiTheme="majorHAnsi" w:cstheme="majorHAnsi"/>
          <w:color w:val="auto"/>
        </w:rPr>
        <w:t>There are significant gaps in the quality and coverage of PNG’s healthcare infrastructure.</w:t>
      </w:r>
    </w:p>
    <w:p w14:paraId="33A4D3AD" w14:textId="77777777" w:rsidR="000E36F2" w:rsidRPr="009B2336" w:rsidRDefault="39F77365"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C78F9E2">
        <w:rPr>
          <w:rFonts w:asciiTheme="majorHAnsi" w:hAnsiTheme="majorHAnsi" w:cstheme="majorBidi"/>
          <w:color w:val="auto"/>
        </w:rPr>
        <w:t>PNG’s health information system (NHIS) produces reasonable quality service data, but this is not being used in a timely or effective way to inform policy, planning or accountability</w:t>
      </w:r>
      <w:r w:rsidR="000E36F2" w:rsidRPr="0C78F9E2">
        <w:rPr>
          <w:rStyle w:val="FootnoteReference"/>
          <w:rFonts w:asciiTheme="majorHAnsi" w:hAnsiTheme="majorHAnsi" w:cstheme="majorBidi"/>
          <w:color w:val="auto"/>
        </w:rPr>
        <w:footnoteReference w:id="22"/>
      </w:r>
      <w:r w:rsidRPr="0C78F9E2">
        <w:rPr>
          <w:rFonts w:asciiTheme="majorHAnsi" w:hAnsiTheme="majorHAnsi" w:cstheme="majorBidi"/>
          <w:color w:val="auto"/>
        </w:rPr>
        <w:t>.</w:t>
      </w:r>
    </w:p>
    <w:p w14:paraId="739D7335" w14:textId="07AD9F11" w:rsidR="00CF1905" w:rsidRPr="000E36F2" w:rsidRDefault="000E36F2" w:rsidP="000E36F2">
      <w:pPr>
        <w:pStyle w:val="ListParagraph"/>
        <w:numPr>
          <w:ilvl w:val="0"/>
          <w:numId w:val="8"/>
        </w:numPr>
        <w:shd w:val="clear" w:color="auto" w:fill="FFFFFF"/>
        <w:suppressAutoHyphens w:val="0"/>
        <w:spacing w:before="0" w:after="0" w:line="240" w:lineRule="auto"/>
        <w:contextualSpacing w:val="0"/>
        <w:rPr>
          <w:rFonts w:asciiTheme="majorHAnsi" w:hAnsiTheme="majorHAnsi" w:cstheme="majorHAnsi"/>
          <w:color w:val="auto"/>
        </w:rPr>
      </w:pPr>
      <w:r w:rsidRPr="009B2336">
        <w:rPr>
          <w:rFonts w:asciiTheme="majorHAnsi" w:hAnsiTheme="majorHAnsi" w:cstheme="majorHAnsi"/>
          <w:color w:val="auto"/>
        </w:rPr>
        <w:t>There is limited active engagement of communities in the oversight of health services or of patients in the delivery of individual care or prevention and behaviour change approaches.</w:t>
      </w:r>
      <w:r w:rsidR="00CF1905" w:rsidRPr="000E36F2">
        <w:rPr>
          <w:rFonts w:asciiTheme="majorHAnsi" w:eastAsiaTheme="majorEastAsia" w:hAnsiTheme="majorHAnsi" w:cstheme="majorBidi"/>
          <w:b/>
          <w:bCs/>
          <w:caps/>
          <w:sz w:val="38"/>
          <w:szCs w:val="28"/>
        </w:rPr>
        <w:br w:type="page"/>
      </w:r>
    </w:p>
    <w:p w14:paraId="3261C622" w14:textId="77777777" w:rsidR="00CC7F3F" w:rsidRPr="00F23575" w:rsidRDefault="00EB780C" w:rsidP="00CC7F3F">
      <w:pPr>
        <w:pStyle w:val="Heading1"/>
        <w:rPr>
          <w:caps w:val="0"/>
        </w:rPr>
      </w:pPr>
      <w:r w:rsidRPr="00F23575">
        <w:rPr>
          <w:caps w:val="0"/>
        </w:rPr>
        <w:lastRenderedPageBreak/>
        <w:t>A</w:t>
      </w:r>
      <w:r w:rsidR="006B3FB1">
        <w:rPr>
          <w:caps w:val="0"/>
        </w:rPr>
        <w:t>nnex</w:t>
      </w:r>
      <w:r w:rsidRPr="00F23575">
        <w:rPr>
          <w:caps w:val="0"/>
        </w:rPr>
        <w:t xml:space="preserve"> </w:t>
      </w:r>
      <w:r w:rsidR="00952BF7">
        <w:rPr>
          <w:caps w:val="0"/>
        </w:rPr>
        <w:t>2</w:t>
      </w:r>
      <w:r w:rsidRPr="00F23575">
        <w:rPr>
          <w:caps w:val="0"/>
        </w:rPr>
        <w:t xml:space="preserve">. </w:t>
      </w:r>
      <w:r w:rsidR="00CC7F3F">
        <w:rPr>
          <w:caps w:val="0"/>
        </w:rPr>
        <w:t>Health Program r</w:t>
      </w:r>
      <w:r w:rsidR="00CC7F3F" w:rsidRPr="00F23575">
        <w:rPr>
          <w:caps w:val="0"/>
        </w:rPr>
        <w:t>eview</w:t>
      </w:r>
      <w:r w:rsidR="00CC7F3F">
        <w:rPr>
          <w:caps w:val="0"/>
        </w:rPr>
        <w:t xml:space="preserve"> and </w:t>
      </w:r>
      <w:r w:rsidR="00CC7F3F" w:rsidRPr="00F23575">
        <w:rPr>
          <w:caps w:val="0"/>
        </w:rPr>
        <w:t xml:space="preserve">evaluation findings </w:t>
      </w:r>
    </w:p>
    <w:p w14:paraId="6BFACC8F" w14:textId="77777777" w:rsidR="00CC7F3F" w:rsidRPr="00EC43E4" w:rsidRDefault="00CC7F3F" w:rsidP="00CC7F3F">
      <w:pPr>
        <w:ind w:right="-20"/>
        <w:rPr>
          <w:rFonts w:asciiTheme="majorHAnsi" w:eastAsia="Calibri" w:hAnsiTheme="majorHAnsi" w:cstheme="majorHAnsi"/>
          <w:color w:val="auto"/>
          <w:lang w:val="en-AU"/>
        </w:rPr>
      </w:pPr>
      <w:r w:rsidRPr="00EC43E4">
        <w:rPr>
          <w:rFonts w:asciiTheme="majorHAnsi" w:eastAsia="Calibri" w:hAnsiTheme="majorHAnsi" w:cstheme="majorHAnsi"/>
          <w:color w:val="auto"/>
        </w:rPr>
        <w:t>Over a dozen independent evaluations and reviews have been undertaken on DFAT’s bilateral health investments over the past three years, focusing on individual investments through to the whole health portfolio.  The key lessons and insights from this work are summarised below</w:t>
      </w:r>
      <w:r>
        <w:rPr>
          <w:rFonts w:asciiTheme="majorHAnsi" w:eastAsia="Calibri" w:hAnsiTheme="majorHAnsi" w:cstheme="majorHAnsi"/>
          <w:color w:val="auto"/>
        </w:rPr>
        <w:t>. These findings are being considered and addressed throughout IDD1 and IDD2.</w:t>
      </w:r>
    </w:p>
    <w:p w14:paraId="0F866B5C" w14:textId="77777777" w:rsidR="00CC7F3F" w:rsidRPr="00EC43E4" w:rsidRDefault="00CC7F3F" w:rsidP="00CC7F3F">
      <w:pPr>
        <w:ind w:right="-20"/>
        <w:rPr>
          <w:rFonts w:asciiTheme="majorHAnsi" w:eastAsia="Calibri" w:hAnsiTheme="majorHAnsi" w:cstheme="majorHAnsi"/>
          <w:b/>
          <w:bCs/>
          <w:color w:val="auto"/>
          <w:u w:val="single"/>
        </w:rPr>
      </w:pPr>
      <w:r w:rsidRPr="00EC43E4">
        <w:rPr>
          <w:rFonts w:asciiTheme="majorHAnsi" w:eastAsia="Calibri" w:hAnsiTheme="majorHAnsi" w:cstheme="majorHAnsi"/>
          <w:b/>
          <w:bCs/>
          <w:color w:val="auto"/>
          <w:u w:val="single"/>
        </w:rPr>
        <w:t>Sustainable, positive change takes a long time</w:t>
      </w:r>
    </w:p>
    <w:p w14:paraId="32D160FE" w14:textId="77777777" w:rsidR="00CC7F3F" w:rsidRPr="00EC43E4" w:rsidRDefault="00CC7F3F" w:rsidP="00CC7F3F">
      <w:pPr>
        <w:ind w:right="-20"/>
        <w:rPr>
          <w:rFonts w:asciiTheme="majorHAnsi" w:eastAsia="Calibri" w:hAnsiTheme="majorHAnsi" w:cstheme="majorHAnsi"/>
          <w:color w:val="auto"/>
        </w:rPr>
      </w:pPr>
      <w:r w:rsidRPr="00EC43E4">
        <w:rPr>
          <w:rFonts w:asciiTheme="majorHAnsi" w:eastAsia="Calibri" w:hAnsiTheme="majorHAnsi" w:cstheme="majorHAnsi"/>
          <w:color w:val="auto"/>
        </w:rPr>
        <w:t xml:space="preserve">A long-term view of the time required for change to occur in the health sector needs to be balanced against the need to deliver tangible improvements to health along the way. The ambitious targets of programs and activities designed over three to five-year periods are often unmet because there </w:t>
      </w:r>
      <w:proofErr w:type="gramStart"/>
      <w:r w:rsidRPr="00EC43E4">
        <w:rPr>
          <w:rFonts w:asciiTheme="majorHAnsi" w:eastAsia="Calibri" w:hAnsiTheme="majorHAnsi" w:cstheme="majorHAnsi"/>
          <w:color w:val="auto"/>
        </w:rPr>
        <w:t>is</w:t>
      </w:r>
      <w:proofErr w:type="gramEnd"/>
      <w:r w:rsidRPr="00EC43E4">
        <w:rPr>
          <w:rFonts w:asciiTheme="majorHAnsi" w:eastAsia="Calibri" w:hAnsiTheme="majorHAnsi" w:cstheme="majorHAnsi"/>
          <w:color w:val="auto"/>
        </w:rPr>
        <w:t xml:space="preserve"> insufficient time and resources provided for programs to implement substantive activities in a complex and fluid operating environment. </w:t>
      </w:r>
    </w:p>
    <w:p w14:paraId="2582CF6F" w14:textId="77777777" w:rsidR="00CC7F3F" w:rsidRPr="00EC43E4" w:rsidRDefault="00CC7F3F" w:rsidP="00CC7F3F">
      <w:pPr>
        <w:ind w:left="-20" w:right="-20"/>
        <w:rPr>
          <w:rFonts w:asciiTheme="majorHAnsi" w:eastAsia="Calibri" w:hAnsiTheme="majorHAnsi" w:cstheme="majorHAnsi"/>
          <w:b/>
          <w:bCs/>
          <w:color w:val="auto"/>
          <w:u w:val="single"/>
        </w:rPr>
      </w:pPr>
      <w:r w:rsidRPr="00EC43E4">
        <w:rPr>
          <w:rFonts w:asciiTheme="majorHAnsi" w:eastAsia="Calibri" w:hAnsiTheme="majorHAnsi" w:cstheme="majorHAnsi"/>
          <w:b/>
          <w:bCs/>
          <w:color w:val="auto"/>
          <w:u w:val="single"/>
        </w:rPr>
        <w:t>Investments need to be restructured into a coherent set of programs</w:t>
      </w:r>
    </w:p>
    <w:p w14:paraId="265CA307" w14:textId="77777777" w:rsidR="00CC7F3F" w:rsidRPr="00EC43E4" w:rsidRDefault="00CC7F3F" w:rsidP="00CC7F3F">
      <w:pPr>
        <w:ind w:left="-20" w:right="-20"/>
        <w:rPr>
          <w:rStyle w:val="normaltextrun"/>
          <w:rFonts w:asciiTheme="majorHAnsi" w:hAnsiTheme="majorHAnsi" w:cstheme="majorHAnsi"/>
          <w:color w:val="auto"/>
        </w:rPr>
      </w:pPr>
      <w:r w:rsidRPr="00EC43E4">
        <w:rPr>
          <w:rFonts w:asciiTheme="majorHAnsi" w:eastAsia="Calibri" w:hAnsiTheme="majorHAnsi" w:cstheme="majorHAnsi"/>
          <w:color w:val="auto"/>
        </w:rPr>
        <w:t>The current portfolio evolved with programs and projects designed at various points in time.</w:t>
      </w:r>
      <w:r w:rsidRPr="00EC43E4">
        <w:rPr>
          <w:rStyle w:val="normaltextrun"/>
          <w:rFonts w:asciiTheme="majorHAnsi" w:hAnsiTheme="majorHAnsi" w:cstheme="majorHAnsi"/>
          <w:color w:val="auto"/>
          <w:shd w:val="clear" w:color="auto" w:fill="FFFFFF"/>
        </w:rPr>
        <w:t xml:space="preserve"> This constrained the alignment of investments to the previous Health Portfolio Plan (2018-2023) outcomes, which</w:t>
      </w:r>
      <w:r w:rsidRPr="00EC43E4">
        <w:rPr>
          <w:rFonts w:asciiTheme="majorHAnsi" w:eastAsia="Calibri" w:hAnsiTheme="majorHAnsi" w:cstheme="majorHAnsi"/>
          <w:color w:val="auto"/>
        </w:rPr>
        <w:t xml:space="preserve"> meant the portfolio was a collection of projects rather than a coherent set of programs. </w:t>
      </w:r>
    </w:p>
    <w:p w14:paraId="4AE704E1" w14:textId="77777777" w:rsidR="00CC7F3F" w:rsidRPr="00EC43E4" w:rsidRDefault="00CC7F3F" w:rsidP="00CC7F3F">
      <w:pPr>
        <w:pStyle w:val="paragraph"/>
        <w:spacing w:before="120" w:beforeAutospacing="0" w:after="60" w:afterAutospacing="0"/>
        <w:textAlignment w:val="baseline"/>
        <w:rPr>
          <w:rFonts w:asciiTheme="majorHAnsi" w:eastAsiaTheme="majorEastAsia" w:hAnsiTheme="majorHAnsi" w:cstheme="majorHAnsi"/>
          <w:sz w:val="22"/>
          <w:szCs w:val="22"/>
          <w:u w:val="single"/>
        </w:rPr>
      </w:pPr>
      <w:r w:rsidRPr="00EC43E4">
        <w:rPr>
          <w:rStyle w:val="normaltextrun"/>
          <w:rFonts w:asciiTheme="majorHAnsi" w:eastAsiaTheme="majorEastAsia" w:hAnsiTheme="majorHAnsi" w:cstheme="majorHAnsi"/>
          <w:b/>
          <w:bCs/>
          <w:sz w:val="22"/>
          <w:szCs w:val="22"/>
          <w:u w:val="single"/>
        </w:rPr>
        <w:t>A transformative approach to GEDSI</w:t>
      </w:r>
      <w:r w:rsidRPr="00EC43E4">
        <w:rPr>
          <w:rStyle w:val="eop"/>
          <w:rFonts w:asciiTheme="majorHAnsi" w:hAnsiTheme="majorHAnsi" w:cstheme="majorHAnsi"/>
          <w:b/>
          <w:bCs/>
          <w:sz w:val="22"/>
          <w:szCs w:val="22"/>
          <w:u w:val="single"/>
        </w:rPr>
        <w:t xml:space="preserve"> is required to advance UHC</w:t>
      </w:r>
    </w:p>
    <w:p w14:paraId="1BB31491" w14:textId="77777777" w:rsidR="00CC7F3F" w:rsidRPr="00EC43E4" w:rsidRDefault="00CC7F3F" w:rsidP="00CC7F3F">
      <w:pPr>
        <w:pStyle w:val="paragraph"/>
        <w:spacing w:before="0" w:beforeAutospacing="0" w:after="0" w:afterAutospacing="0"/>
        <w:textAlignment w:val="baseline"/>
        <w:rPr>
          <w:rStyle w:val="normaltextrun"/>
          <w:rFonts w:asciiTheme="majorHAnsi" w:eastAsiaTheme="majorEastAsia" w:hAnsiTheme="majorHAnsi" w:cstheme="majorHAnsi"/>
          <w:sz w:val="22"/>
          <w:szCs w:val="22"/>
          <w:shd w:val="clear" w:color="auto" w:fill="FFFFFF"/>
        </w:rPr>
      </w:pPr>
      <w:r w:rsidRPr="00EC43E4">
        <w:rPr>
          <w:rStyle w:val="normaltextrun"/>
          <w:rFonts w:asciiTheme="majorHAnsi" w:eastAsiaTheme="majorEastAsia" w:hAnsiTheme="majorHAnsi" w:cstheme="majorHAnsi"/>
          <w:sz w:val="22"/>
          <w:szCs w:val="22"/>
        </w:rPr>
        <w:t xml:space="preserve">The pathway to </w:t>
      </w:r>
      <w:r>
        <w:rPr>
          <w:rStyle w:val="normaltextrun"/>
          <w:rFonts w:asciiTheme="majorHAnsi" w:eastAsiaTheme="majorEastAsia" w:hAnsiTheme="majorHAnsi" w:cstheme="majorHAnsi"/>
          <w:sz w:val="22"/>
          <w:szCs w:val="22"/>
        </w:rPr>
        <w:t>P</w:t>
      </w:r>
      <w:r w:rsidRPr="00EC43E4">
        <w:rPr>
          <w:rStyle w:val="normaltextrun"/>
          <w:rFonts w:asciiTheme="majorHAnsi" w:eastAsiaTheme="majorEastAsia" w:hAnsiTheme="majorHAnsi" w:cstheme="majorHAnsi"/>
          <w:sz w:val="22"/>
          <w:szCs w:val="22"/>
        </w:rPr>
        <w:t xml:space="preserve">HC requires significant improvements in GEDSI. </w:t>
      </w:r>
      <w:r w:rsidRPr="00EC43E4">
        <w:rPr>
          <w:rStyle w:val="normaltextrun"/>
          <w:rFonts w:asciiTheme="majorHAnsi" w:eastAsiaTheme="majorEastAsia" w:hAnsiTheme="majorHAnsi" w:cstheme="majorHAnsi"/>
          <w:sz w:val="22"/>
          <w:szCs w:val="22"/>
          <w:shd w:val="clear" w:color="auto" w:fill="FFFFFF"/>
        </w:rPr>
        <w:t>For existing investments with positive benefits, the focus and approach to GEDSI have been increasing services for women and other vulnerable and marginalised groups. However, a more transformative GEDSI approach with explicit actions to address the barriers that exclude and exacerbate or fail to address inequalities and exclusion from good health and well-being needs to be systematically adopted to realise sustainable improvements in health outcomes.</w:t>
      </w:r>
    </w:p>
    <w:p w14:paraId="4028B693" w14:textId="77777777" w:rsidR="00CC7F3F" w:rsidRPr="00EC43E4" w:rsidRDefault="00CC7F3F" w:rsidP="00CC7F3F">
      <w:pPr>
        <w:ind w:left="-20" w:right="-20"/>
        <w:rPr>
          <w:rFonts w:asciiTheme="majorHAnsi" w:eastAsia="Calibri" w:hAnsiTheme="majorHAnsi" w:cstheme="majorHAnsi"/>
          <w:color w:val="auto"/>
          <w:u w:val="single"/>
        </w:rPr>
      </w:pPr>
      <w:r w:rsidRPr="00EC43E4">
        <w:rPr>
          <w:rFonts w:asciiTheme="majorHAnsi" w:eastAsia="Calibri" w:hAnsiTheme="majorHAnsi" w:cstheme="majorHAnsi"/>
          <w:b/>
          <w:bCs/>
          <w:color w:val="auto"/>
          <w:u w:val="single"/>
        </w:rPr>
        <w:t xml:space="preserve">Targeted interventions achieve results but can be </w:t>
      </w:r>
      <w:r>
        <w:rPr>
          <w:rFonts w:asciiTheme="majorHAnsi" w:eastAsia="Calibri" w:hAnsiTheme="majorHAnsi" w:cstheme="majorHAnsi"/>
          <w:b/>
          <w:bCs/>
          <w:color w:val="auto"/>
          <w:u w:val="single"/>
        </w:rPr>
        <w:t>in</w:t>
      </w:r>
      <w:r w:rsidRPr="00EC43E4">
        <w:rPr>
          <w:rFonts w:asciiTheme="majorHAnsi" w:eastAsia="Calibri" w:hAnsiTheme="majorHAnsi" w:cstheme="majorHAnsi"/>
          <w:b/>
          <w:bCs/>
          <w:color w:val="auto"/>
          <w:u w:val="single"/>
        </w:rPr>
        <w:t>efficient and unsustainable</w:t>
      </w:r>
    </w:p>
    <w:p w14:paraId="74F0EC35" w14:textId="77777777" w:rsidR="00CC7F3F" w:rsidRPr="00EC43E4" w:rsidRDefault="00CC7F3F" w:rsidP="00CC7F3F">
      <w:pPr>
        <w:ind w:right="-20"/>
        <w:rPr>
          <w:rFonts w:asciiTheme="majorHAnsi" w:eastAsia="Calibri" w:hAnsiTheme="majorHAnsi" w:cstheme="majorHAnsi"/>
          <w:color w:val="auto"/>
        </w:rPr>
      </w:pPr>
      <w:r w:rsidRPr="00EC43E4">
        <w:rPr>
          <w:rFonts w:asciiTheme="majorHAnsi" w:eastAsia="Calibri" w:hAnsiTheme="majorHAnsi" w:cstheme="majorHAnsi"/>
          <w:color w:val="auto"/>
        </w:rPr>
        <w:t>Australia’s investments in direct service delivery supplementation were successful in increasing service coverage for specific and targeted groups of people (</w:t>
      </w:r>
      <w:r>
        <w:rPr>
          <w:rFonts w:asciiTheme="majorHAnsi" w:eastAsia="Calibri" w:hAnsiTheme="majorHAnsi" w:cstheme="majorHAnsi"/>
          <w:color w:val="auto"/>
        </w:rPr>
        <w:t>including for</w:t>
      </w:r>
      <w:r w:rsidRPr="00EC43E4">
        <w:rPr>
          <w:rFonts w:asciiTheme="majorHAnsi" w:eastAsia="Calibri" w:hAnsiTheme="majorHAnsi" w:cstheme="majorHAnsi"/>
          <w:color w:val="auto"/>
        </w:rPr>
        <w:t xml:space="preserve"> </w:t>
      </w:r>
      <w:r w:rsidRPr="00584057">
        <w:rPr>
          <w:rFonts w:asciiTheme="majorHAnsi" w:eastAsia="Calibri" w:hAnsiTheme="majorHAnsi" w:cstheme="majorHAnsi"/>
          <w:color w:val="auto"/>
        </w:rPr>
        <w:t>tuberculosis</w:t>
      </w:r>
      <w:r w:rsidRPr="00EC43E4">
        <w:rPr>
          <w:rFonts w:asciiTheme="majorHAnsi" w:eastAsia="Calibri" w:hAnsiTheme="majorHAnsi" w:cstheme="majorHAnsi"/>
          <w:color w:val="auto"/>
        </w:rPr>
        <w:t>, HIV</w:t>
      </w:r>
      <w:r>
        <w:rPr>
          <w:rFonts w:asciiTheme="majorHAnsi" w:eastAsia="Calibri" w:hAnsiTheme="majorHAnsi" w:cstheme="majorHAnsi"/>
          <w:color w:val="auto"/>
        </w:rPr>
        <w:t>/</w:t>
      </w:r>
      <w:r w:rsidRPr="00EC43E4">
        <w:rPr>
          <w:rFonts w:asciiTheme="majorHAnsi" w:eastAsia="Calibri" w:hAnsiTheme="majorHAnsi" w:cstheme="majorHAnsi"/>
          <w:color w:val="auto"/>
        </w:rPr>
        <w:t xml:space="preserve">STIs, immunisation, family planning and </w:t>
      </w:r>
      <w:r>
        <w:rPr>
          <w:rFonts w:asciiTheme="majorHAnsi" w:eastAsia="Calibri" w:hAnsiTheme="majorHAnsi" w:cstheme="majorHAnsi"/>
          <w:color w:val="auto"/>
        </w:rPr>
        <w:t>ANC</w:t>
      </w:r>
      <w:r w:rsidRPr="00EC43E4">
        <w:rPr>
          <w:rFonts w:asciiTheme="majorHAnsi" w:eastAsia="Calibri" w:hAnsiTheme="majorHAnsi" w:cstheme="majorHAnsi"/>
          <w:color w:val="auto"/>
        </w:rPr>
        <w:t xml:space="preserve">). However, there are efficiency and </w:t>
      </w:r>
      <w:r w:rsidRPr="00584057">
        <w:rPr>
          <w:rFonts w:asciiTheme="majorHAnsi" w:hAnsiTheme="majorHAnsi" w:cstheme="majorHAnsi"/>
          <w:color w:val="auto"/>
        </w:rPr>
        <w:t xml:space="preserve">sustainability </w:t>
      </w:r>
      <w:r w:rsidRPr="00EC43E4">
        <w:rPr>
          <w:rFonts w:asciiTheme="majorHAnsi" w:eastAsia="Calibri" w:hAnsiTheme="majorHAnsi" w:cstheme="majorHAnsi"/>
          <w:color w:val="auto"/>
        </w:rPr>
        <w:t xml:space="preserve">concerns with this approach because these grants are still primarily delivered as parallel programs without sufficient government oversight. Some supplementary support to enable service coverage is needed to ensure indicators do not slip, but how DFAT provides that support </w:t>
      </w:r>
      <w:r>
        <w:rPr>
          <w:rFonts w:asciiTheme="majorHAnsi" w:eastAsia="Calibri" w:hAnsiTheme="majorHAnsi" w:cstheme="majorHAnsi"/>
          <w:color w:val="auto"/>
        </w:rPr>
        <w:t>should evolve in carefully planned ways that balance our obligations to manage risks and increase efficiencies</w:t>
      </w:r>
      <w:r w:rsidRPr="00EC43E4">
        <w:rPr>
          <w:rFonts w:asciiTheme="majorHAnsi" w:eastAsia="Calibri" w:hAnsiTheme="majorHAnsi" w:cstheme="majorHAnsi"/>
          <w:color w:val="auto"/>
        </w:rPr>
        <w:t xml:space="preserve">. </w:t>
      </w:r>
    </w:p>
    <w:p w14:paraId="59A2A00B" w14:textId="77777777" w:rsidR="00CC7F3F" w:rsidRPr="00EC43E4" w:rsidRDefault="00CC7F3F" w:rsidP="00CC7F3F">
      <w:pPr>
        <w:ind w:left="-20" w:right="-20"/>
        <w:rPr>
          <w:rFonts w:asciiTheme="majorHAnsi" w:eastAsia="Calibri" w:hAnsiTheme="majorHAnsi" w:cstheme="majorHAnsi"/>
          <w:color w:val="auto"/>
          <w:u w:val="single"/>
        </w:rPr>
      </w:pPr>
      <w:r w:rsidRPr="00EC43E4">
        <w:rPr>
          <w:rFonts w:asciiTheme="majorHAnsi" w:eastAsia="Calibri" w:hAnsiTheme="majorHAnsi" w:cstheme="majorHAnsi"/>
          <w:b/>
          <w:bCs/>
          <w:color w:val="auto"/>
          <w:u w:val="single"/>
        </w:rPr>
        <w:t>Infrastructure offers both opportunities and risks for health service delivery</w:t>
      </w:r>
    </w:p>
    <w:p w14:paraId="4EE2AA53" w14:textId="77777777" w:rsidR="00CC7F3F" w:rsidRPr="00EC43E4" w:rsidRDefault="00CC7F3F" w:rsidP="00CC7F3F">
      <w:pPr>
        <w:pStyle w:val="paragraph"/>
        <w:spacing w:before="0" w:beforeAutospacing="0" w:after="120" w:afterAutospacing="0"/>
        <w:textAlignment w:val="baseline"/>
        <w:rPr>
          <w:rFonts w:asciiTheme="majorHAnsi" w:hAnsiTheme="majorHAnsi" w:cstheme="majorHAnsi"/>
          <w:sz w:val="22"/>
          <w:szCs w:val="22"/>
        </w:rPr>
      </w:pPr>
      <w:r w:rsidRPr="00EC43E4">
        <w:rPr>
          <w:rStyle w:val="normaltextrun"/>
          <w:rFonts w:asciiTheme="majorHAnsi" w:eastAsiaTheme="majorEastAsia" w:hAnsiTheme="majorHAnsi" w:cstheme="majorHAnsi"/>
          <w:sz w:val="22"/>
          <w:szCs w:val="22"/>
        </w:rPr>
        <w:t xml:space="preserve">Investment in infrastructure is a priority for both governments, but </w:t>
      </w:r>
      <w:r>
        <w:rPr>
          <w:rStyle w:val="normaltextrun"/>
          <w:rFonts w:asciiTheme="majorHAnsi" w:eastAsiaTheme="majorEastAsia" w:hAnsiTheme="majorHAnsi" w:cstheme="majorHAnsi"/>
          <w:sz w:val="22"/>
          <w:szCs w:val="22"/>
        </w:rPr>
        <w:t xml:space="preserve">new infrastructure </w:t>
      </w:r>
      <w:r w:rsidRPr="00EC43E4">
        <w:rPr>
          <w:rStyle w:val="normaltextrun"/>
          <w:rFonts w:asciiTheme="majorHAnsi" w:eastAsiaTheme="majorEastAsia" w:hAnsiTheme="majorHAnsi" w:cstheme="majorHAnsi"/>
          <w:sz w:val="22"/>
          <w:szCs w:val="22"/>
        </w:rPr>
        <w:t>increases recurrent costs required for operations, maintenance and human resources. The health budget has yet to see the requisite increase in recurrent funds to enable newly constructed facilities to operate optimally. Poorly planned, urban tertiary infrastructure diverts resources from rural locations and public health programs, hampering progress towards UHC.  Significant co-investment in planning, budgeting, HR, upskilling, and change management</w:t>
      </w:r>
      <w:r>
        <w:rPr>
          <w:rStyle w:val="normaltextrun"/>
          <w:rFonts w:asciiTheme="majorHAnsi" w:eastAsiaTheme="majorEastAsia" w:hAnsiTheme="majorHAnsi" w:cstheme="majorHAnsi"/>
          <w:sz w:val="22"/>
          <w:szCs w:val="22"/>
        </w:rPr>
        <w:t xml:space="preserve"> is required</w:t>
      </w:r>
      <w:r w:rsidRPr="00EC43E4">
        <w:rPr>
          <w:rStyle w:val="normaltextrun"/>
          <w:rFonts w:asciiTheme="majorHAnsi" w:eastAsiaTheme="majorEastAsia" w:hAnsiTheme="majorHAnsi" w:cstheme="majorHAnsi"/>
          <w:sz w:val="22"/>
          <w:szCs w:val="22"/>
        </w:rPr>
        <w:t xml:space="preserve"> if outcomes from </w:t>
      </w:r>
      <w:r>
        <w:rPr>
          <w:rStyle w:val="normaltextrun"/>
          <w:rFonts w:asciiTheme="majorHAnsi" w:eastAsiaTheme="majorEastAsia" w:hAnsiTheme="majorHAnsi" w:cstheme="majorHAnsi"/>
          <w:sz w:val="22"/>
          <w:szCs w:val="22"/>
        </w:rPr>
        <w:t>infrastructure</w:t>
      </w:r>
      <w:r w:rsidRPr="00EC43E4">
        <w:rPr>
          <w:rStyle w:val="normaltextrun"/>
          <w:rFonts w:asciiTheme="majorHAnsi" w:eastAsiaTheme="majorEastAsia" w:hAnsiTheme="majorHAnsi" w:cstheme="majorHAnsi"/>
          <w:sz w:val="22"/>
          <w:szCs w:val="22"/>
        </w:rPr>
        <w:t xml:space="preserve"> investment</w:t>
      </w:r>
      <w:r>
        <w:rPr>
          <w:rStyle w:val="normaltextrun"/>
          <w:rFonts w:asciiTheme="majorHAnsi" w:eastAsiaTheme="majorEastAsia" w:hAnsiTheme="majorHAnsi" w:cstheme="majorHAnsi"/>
          <w:sz w:val="22"/>
          <w:szCs w:val="22"/>
        </w:rPr>
        <w:t>s</w:t>
      </w:r>
      <w:r w:rsidRPr="00EC43E4">
        <w:rPr>
          <w:rStyle w:val="normaltextrun"/>
          <w:rFonts w:asciiTheme="majorHAnsi" w:eastAsiaTheme="majorEastAsia" w:hAnsiTheme="majorHAnsi" w:cstheme="majorHAnsi"/>
          <w:sz w:val="22"/>
          <w:szCs w:val="22"/>
        </w:rPr>
        <w:t xml:space="preserve"> are to be realised.   </w:t>
      </w:r>
      <w:r w:rsidRPr="00EC43E4">
        <w:rPr>
          <w:rStyle w:val="eop"/>
          <w:rFonts w:asciiTheme="majorHAnsi" w:hAnsiTheme="majorHAnsi" w:cstheme="majorHAnsi"/>
          <w:sz w:val="22"/>
          <w:szCs w:val="22"/>
        </w:rPr>
        <w:t> </w:t>
      </w:r>
    </w:p>
    <w:p w14:paraId="68AD144E" w14:textId="77777777" w:rsidR="00CC7F3F" w:rsidRPr="00EC43E4" w:rsidRDefault="00CC7F3F" w:rsidP="00CC7F3F">
      <w:pPr>
        <w:pStyle w:val="paragraph"/>
        <w:spacing w:before="0" w:beforeAutospacing="0" w:after="0" w:afterAutospacing="0"/>
        <w:textAlignment w:val="baseline"/>
        <w:rPr>
          <w:rFonts w:asciiTheme="majorHAnsi" w:eastAsia="Calibri" w:hAnsiTheme="majorHAnsi" w:cstheme="majorBidi"/>
          <w:sz w:val="22"/>
          <w:szCs w:val="22"/>
          <w:lang w:val="en-GB"/>
        </w:rPr>
      </w:pPr>
      <w:r w:rsidRPr="07C884CF">
        <w:rPr>
          <w:rFonts w:asciiTheme="majorHAnsi" w:eastAsia="Calibri" w:hAnsiTheme="majorHAnsi" w:cstheme="majorBidi"/>
          <w:sz w:val="22"/>
          <w:szCs w:val="22"/>
          <w:lang w:val="en-GB"/>
        </w:rPr>
        <w:t xml:space="preserve">At the same time, health infrastructure presents an opportunity to generate political interest in health because leaders are keen to engage in the development and planning of new facilities in their electorates. However, when planning is focused on constructing a single facility, the opportunity to capitalise on that engagement to mobilise resources and plan for the facility's functioning concerning the broader network of facilities is often missed.  </w:t>
      </w:r>
    </w:p>
    <w:p w14:paraId="52F0F297" w14:textId="77777777" w:rsidR="00CC7F3F" w:rsidRPr="00EC43E4" w:rsidRDefault="00CC7F3F" w:rsidP="00CC7F3F">
      <w:pPr>
        <w:ind w:left="-20" w:right="-20"/>
        <w:rPr>
          <w:rFonts w:asciiTheme="majorHAnsi" w:eastAsia="Calibri" w:hAnsiTheme="majorHAnsi" w:cstheme="majorHAnsi"/>
          <w:b/>
          <w:bCs/>
          <w:color w:val="auto"/>
          <w:u w:val="single"/>
        </w:rPr>
      </w:pPr>
      <w:r w:rsidRPr="00EC43E4">
        <w:rPr>
          <w:rFonts w:asciiTheme="majorHAnsi" w:eastAsia="Calibri" w:hAnsiTheme="majorHAnsi" w:cstheme="majorHAnsi"/>
          <w:b/>
          <w:bCs/>
          <w:color w:val="auto"/>
          <w:u w:val="single"/>
        </w:rPr>
        <w:t>Flexibility in responding to emerging and unplanned priorities is important</w:t>
      </w:r>
    </w:p>
    <w:p w14:paraId="0097672C" w14:textId="77777777" w:rsidR="00CC7F3F" w:rsidRPr="00EC43E4" w:rsidRDefault="00CC7F3F" w:rsidP="00CC7F3F">
      <w:pPr>
        <w:ind w:left="-20" w:right="-20"/>
        <w:rPr>
          <w:rFonts w:asciiTheme="majorHAnsi" w:eastAsia="Calibri" w:hAnsiTheme="majorHAnsi" w:cstheme="majorBidi"/>
          <w:color w:val="auto"/>
        </w:rPr>
      </w:pPr>
      <w:r w:rsidRPr="24CDE38A">
        <w:rPr>
          <w:rFonts w:asciiTheme="majorHAnsi" w:eastAsia="Calibri" w:hAnsiTheme="majorHAnsi" w:cstheme="majorBidi"/>
          <w:color w:val="auto"/>
        </w:rPr>
        <w:t>One of DFAT’s comparative advantages is its ability to respond quickly to unplanned priorities.  This was evident during the COVID-19 pandemic, during which DFAT mobilised surge resources, procured vital equipment and PPE, and channelled funds directly to PHAs for emergency response plans.  It is important to keep our funding and contracts flexible to support new priorities and opportunities as they develop and respond to health emergencies.</w:t>
      </w:r>
    </w:p>
    <w:p w14:paraId="4B5DAE11" w14:textId="77777777" w:rsidR="00CC7F3F" w:rsidRPr="00EC43E4" w:rsidRDefault="00CC7F3F" w:rsidP="00CC7F3F">
      <w:pPr>
        <w:ind w:right="-20"/>
        <w:rPr>
          <w:rFonts w:asciiTheme="majorHAnsi" w:eastAsia="Calibri" w:hAnsiTheme="majorHAnsi" w:cstheme="majorHAnsi"/>
          <w:b/>
          <w:bCs/>
          <w:color w:val="auto"/>
          <w:u w:val="single"/>
        </w:rPr>
      </w:pPr>
      <w:r w:rsidRPr="00EC43E4">
        <w:rPr>
          <w:rFonts w:asciiTheme="majorHAnsi" w:eastAsia="Calibri" w:hAnsiTheme="majorHAnsi" w:cstheme="majorHAnsi"/>
          <w:b/>
          <w:bCs/>
          <w:color w:val="auto"/>
          <w:u w:val="single"/>
        </w:rPr>
        <w:t>Engage in more meaningful partnerships with sub-national authorities</w:t>
      </w:r>
    </w:p>
    <w:p w14:paraId="63EBAD06" w14:textId="77777777" w:rsidR="00CC7F3F" w:rsidRDefault="00CC7F3F" w:rsidP="00CC7F3F">
      <w:pPr>
        <w:ind w:left="-20" w:right="-20"/>
        <w:rPr>
          <w:rFonts w:asciiTheme="majorHAnsi" w:eastAsia="Calibri" w:hAnsiTheme="majorHAnsi" w:cstheme="majorHAnsi"/>
          <w:color w:val="auto"/>
        </w:rPr>
      </w:pPr>
      <w:r w:rsidRPr="00EC43E4">
        <w:rPr>
          <w:rFonts w:asciiTheme="majorHAnsi" w:eastAsia="Calibri" w:hAnsiTheme="majorHAnsi" w:cstheme="majorHAnsi"/>
          <w:color w:val="auto"/>
        </w:rPr>
        <w:lastRenderedPageBreak/>
        <w:t xml:space="preserve">DFAT engagement in </w:t>
      </w:r>
      <w:r>
        <w:rPr>
          <w:rFonts w:asciiTheme="majorHAnsi" w:eastAsia="Calibri" w:hAnsiTheme="majorHAnsi" w:cstheme="majorHAnsi"/>
          <w:color w:val="auto"/>
        </w:rPr>
        <w:t xml:space="preserve">the </w:t>
      </w:r>
      <w:r w:rsidRPr="00EC43E4">
        <w:rPr>
          <w:rFonts w:asciiTheme="majorHAnsi" w:eastAsia="Calibri" w:hAnsiTheme="majorHAnsi" w:cstheme="majorHAnsi"/>
          <w:color w:val="auto"/>
        </w:rPr>
        <w:t>health</w:t>
      </w:r>
      <w:r>
        <w:rPr>
          <w:rFonts w:asciiTheme="majorHAnsi" w:eastAsia="Calibri" w:hAnsiTheme="majorHAnsi" w:cstheme="majorHAnsi"/>
          <w:color w:val="auto"/>
        </w:rPr>
        <w:t xml:space="preserve"> sector</w:t>
      </w:r>
      <w:r w:rsidRPr="00EC43E4">
        <w:rPr>
          <w:rFonts w:asciiTheme="majorHAnsi" w:eastAsia="Calibri" w:hAnsiTheme="majorHAnsi" w:cstheme="majorHAnsi"/>
          <w:color w:val="auto"/>
        </w:rPr>
        <w:t xml:space="preserve"> is substantial.   </w:t>
      </w:r>
      <w:r>
        <w:rPr>
          <w:rFonts w:asciiTheme="majorHAnsi" w:eastAsia="Calibri" w:hAnsiTheme="majorHAnsi" w:cstheme="majorHAnsi"/>
          <w:color w:val="auto"/>
        </w:rPr>
        <w:t>Post t</w:t>
      </w:r>
      <w:r w:rsidRPr="00EC43E4">
        <w:rPr>
          <w:rFonts w:asciiTheme="majorHAnsi" w:eastAsia="Calibri" w:hAnsiTheme="majorHAnsi" w:cstheme="majorHAnsi"/>
          <w:color w:val="auto"/>
        </w:rPr>
        <w:t xml:space="preserve">eam members actively participate in national meetings and forums and have sound relationships with the NDoH staff and Port Moresby-based stakeholders. Engagement with provinces is more limited, and feedback indicates that implementation of donor-funded activities in provinces needs to be more cohesive and aligned with PHA plans. NDoH colleagues have advised they don’t always have clarity on what donors are funding and struggle to keep up with the demands of donor-funded projects.  The objective to remain a trusted, reliable and transparent partner requires the health team to engage more systematically with the sector stakeholders and lead discussions on Australia's policy contributions, performance management, and key decisions.  </w:t>
      </w:r>
    </w:p>
    <w:p w14:paraId="6359A53B" w14:textId="77777777" w:rsidR="00CC7F3F" w:rsidRDefault="00CC7F3F" w:rsidP="00CC7F3F">
      <w:pPr>
        <w:suppressAutoHyphens w:val="0"/>
        <w:spacing w:before="0" w:after="120" w:line="440" w:lineRule="atLeast"/>
        <w:rPr>
          <w:rFonts w:asciiTheme="majorHAnsi" w:eastAsia="Calibri" w:hAnsiTheme="majorHAnsi" w:cstheme="majorHAnsi"/>
          <w:color w:val="auto"/>
        </w:rPr>
      </w:pPr>
      <w:r>
        <w:rPr>
          <w:rFonts w:asciiTheme="majorHAnsi" w:eastAsia="Calibri" w:hAnsiTheme="majorHAnsi" w:cstheme="majorHAnsi"/>
          <w:color w:val="auto"/>
        </w:rPr>
        <w:br w:type="page"/>
      </w:r>
    </w:p>
    <w:p w14:paraId="7A59A6C5" w14:textId="540E28DD" w:rsidR="00EB780C" w:rsidRPr="00F23575" w:rsidRDefault="00EB780C" w:rsidP="00EB780C">
      <w:pPr>
        <w:pStyle w:val="Heading1"/>
        <w:rPr>
          <w:caps w:val="0"/>
        </w:rPr>
      </w:pPr>
      <w:r w:rsidRPr="00F23575">
        <w:rPr>
          <w:caps w:val="0"/>
        </w:rPr>
        <w:lastRenderedPageBreak/>
        <w:t>A</w:t>
      </w:r>
      <w:r w:rsidR="006B3FB1">
        <w:rPr>
          <w:caps w:val="0"/>
        </w:rPr>
        <w:t>nnex</w:t>
      </w:r>
      <w:r w:rsidRPr="00F23575">
        <w:rPr>
          <w:caps w:val="0"/>
        </w:rPr>
        <w:t xml:space="preserve"> </w:t>
      </w:r>
      <w:r w:rsidR="00CC7F3F">
        <w:rPr>
          <w:caps w:val="0"/>
        </w:rPr>
        <w:t>3</w:t>
      </w:r>
      <w:r w:rsidRPr="00F23575">
        <w:rPr>
          <w:caps w:val="0"/>
        </w:rPr>
        <w:t>. Strategic and policy context</w:t>
      </w:r>
    </w:p>
    <w:p w14:paraId="5C5FD0C5" w14:textId="77777777" w:rsidR="00EB780C" w:rsidRPr="009B2336" w:rsidRDefault="00EB780C" w:rsidP="009B2336">
      <w:pPr>
        <w:pStyle w:val="pf0"/>
        <w:spacing w:before="0" w:beforeAutospacing="0" w:after="0" w:afterAutospacing="0"/>
        <w:rPr>
          <w:rFonts w:asciiTheme="majorHAnsi" w:eastAsiaTheme="minorEastAsia" w:hAnsiTheme="majorHAnsi" w:cstheme="majorHAnsi"/>
          <w:b/>
          <w:bCs/>
          <w:sz w:val="22"/>
          <w:szCs w:val="22"/>
          <w:lang w:eastAsia="en-US"/>
        </w:rPr>
      </w:pPr>
      <w:r w:rsidRPr="009B2336">
        <w:rPr>
          <w:rFonts w:asciiTheme="majorHAnsi" w:eastAsiaTheme="minorEastAsia" w:hAnsiTheme="majorHAnsi" w:cstheme="majorHAnsi"/>
          <w:b/>
          <w:bCs/>
          <w:sz w:val="22"/>
          <w:szCs w:val="22"/>
          <w:lang w:eastAsia="en-US"/>
        </w:rPr>
        <w:t>Policy settings - Australia</w:t>
      </w:r>
    </w:p>
    <w:p w14:paraId="62D9037C" w14:textId="501DD541" w:rsidR="00EB780C" w:rsidRPr="009B2336" w:rsidRDefault="00EB780C" w:rsidP="009B2336">
      <w:pPr>
        <w:pStyle w:val="pf0"/>
        <w:spacing w:before="120" w:beforeAutospacing="0" w:after="0" w:afterAutospacing="0"/>
        <w:rPr>
          <w:rFonts w:asciiTheme="majorHAnsi" w:eastAsiaTheme="minorEastAsia" w:hAnsiTheme="majorHAnsi" w:cstheme="majorHAnsi"/>
          <w:sz w:val="22"/>
          <w:szCs w:val="22"/>
        </w:rPr>
      </w:pPr>
      <w:r w:rsidRPr="009B2336">
        <w:rPr>
          <w:rFonts w:asciiTheme="majorHAnsi" w:eastAsiaTheme="minorEastAsia" w:hAnsiTheme="majorHAnsi" w:cstheme="majorHAnsi"/>
          <w:i/>
          <w:iCs/>
          <w:sz w:val="22"/>
          <w:szCs w:val="22"/>
          <w:lang w:eastAsia="en-US"/>
        </w:rPr>
        <w:t>Australia’s International Development Policy</w:t>
      </w:r>
      <w:r w:rsidRPr="009B2336">
        <w:rPr>
          <w:rFonts w:asciiTheme="majorHAnsi" w:eastAsiaTheme="minorEastAsia" w:hAnsiTheme="majorHAnsi" w:cstheme="majorHAnsi"/>
          <w:sz w:val="22"/>
          <w:szCs w:val="22"/>
          <w:lang w:eastAsia="en-US"/>
        </w:rPr>
        <w:t xml:space="preserve"> (2023) presents a long-term vision for how Australia will help meet the critical needs of partners and support sustainable development </w:t>
      </w:r>
      <w:r w:rsidRPr="009B2336">
        <w:rPr>
          <w:rFonts w:asciiTheme="majorHAnsi" w:eastAsiaTheme="minorHAnsi" w:hAnsiTheme="majorHAnsi" w:cstheme="majorHAnsi"/>
          <w:sz w:val="22"/>
          <w:szCs w:val="22"/>
          <w:lang w:eastAsia="en-US"/>
        </w:rPr>
        <w:t xml:space="preserve">while </w:t>
      </w:r>
      <w:r w:rsidRPr="009B2336">
        <w:rPr>
          <w:rFonts w:asciiTheme="majorHAnsi" w:eastAsiaTheme="minorEastAsia" w:hAnsiTheme="majorHAnsi" w:cstheme="majorHAnsi"/>
          <w:sz w:val="22"/>
          <w:szCs w:val="22"/>
          <w:lang w:eastAsia="en-US"/>
        </w:rPr>
        <w:t xml:space="preserve">supporting Australia's national and shared interests across the region.  The IDP is centred on listening, respect, and genuine partnership.  </w:t>
      </w:r>
      <w:r w:rsidRPr="009B2336">
        <w:rPr>
          <w:rFonts w:asciiTheme="majorHAnsi" w:eastAsiaTheme="minorHAnsi" w:hAnsiTheme="majorHAnsi" w:cstheme="majorHAnsi"/>
          <w:sz w:val="22"/>
          <w:szCs w:val="22"/>
          <w:lang w:eastAsia="en-US"/>
        </w:rPr>
        <w:t>Australia’s development program aims</w:t>
      </w:r>
      <w:r w:rsidRPr="009B2336">
        <w:rPr>
          <w:rFonts w:asciiTheme="majorHAnsi" w:eastAsiaTheme="minorEastAsia" w:hAnsiTheme="majorHAnsi" w:cstheme="majorHAnsi"/>
          <w:sz w:val="22"/>
          <w:szCs w:val="22"/>
          <w:lang w:eastAsia="en-US"/>
        </w:rPr>
        <w:t xml:space="preserve"> to advance a peaceful, stable, and prosperous Indo-Pacific region. Australia will continue to focus on health because healthier individuals and communities can contribute meaningfully to a country’s economic and social development</w:t>
      </w:r>
      <w:r w:rsidRPr="009B2336">
        <w:rPr>
          <w:rFonts w:asciiTheme="majorHAnsi" w:eastAsiaTheme="minorHAnsi" w:hAnsiTheme="majorHAnsi" w:cstheme="majorHAnsi"/>
          <w:sz w:val="22"/>
          <w:szCs w:val="22"/>
          <w:lang w:eastAsia="en-US"/>
        </w:rPr>
        <w:t>,</w:t>
      </w:r>
      <w:r w:rsidRPr="009B2336">
        <w:rPr>
          <w:rFonts w:asciiTheme="majorHAnsi" w:eastAsiaTheme="minorEastAsia" w:hAnsiTheme="majorHAnsi" w:cstheme="majorHAnsi"/>
          <w:sz w:val="22"/>
          <w:szCs w:val="22"/>
          <w:lang w:eastAsia="en-US"/>
        </w:rPr>
        <w:t xml:space="preserve"> thus building state and community resilience. </w:t>
      </w:r>
    </w:p>
    <w:p w14:paraId="3A6797CB" w14:textId="1FE15561" w:rsidR="00EB780C" w:rsidRPr="009B2336" w:rsidRDefault="00EB780C" w:rsidP="24CDE38A">
      <w:pPr>
        <w:rPr>
          <w:rFonts w:asciiTheme="majorHAnsi" w:hAnsiTheme="majorHAnsi" w:cstheme="majorBidi"/>
          <w:color w:val="auto"/>
        </w:rPr>
      </w:pPr>
      <w:r w:rsidRPr="24CDE38A">
        <w:rPr>
          <w:rFonts w:asciiTheme="majorHAnsi" w:hAnsiTheme="majorHAnsi" w:cstheme="majorBidi"/>
          <w:color w:val="auto"/>
        </w:rPr>
        <w:t xml:space="preserve">The </w:t>
      </w:r>
      <w:r w:rsidRPr="24CDE38A">
        <w:rPr>
          <w:rFonts w:asciiTheme="majorHAnsi" w:hAnsiTheme="majorHAnsi" w:cstheme="majorBidi"/>
          <w:i/>
          <w:iCs/>
          <w:color w:val="auto"/>
        </w:rPr>
        <w:t>PNG</w:t>
      </w:r>
      <w:r w:rsidR="006A6031" w:rsidRPr="24CDE38A">
        <w:rPr>
          <w:rFonts w:asciiTheme="majorHAnsi" w:hAnsiTheme="majorHAnsi" w:cstheme="majorBidi"/>
          <w:i/>
          <w:iCs/>
          <w:color w:val="auto"/>
        </w:rPr>
        <w:t>-Australia</w:t>
      </w:r>
      <w:r w:rsidRPr="24CDE38A">
        <w:rPr>
          <w:rFonts w:asciiTheme="majorHAnsi" w:hAnsiTheme="majorHAnsi" w:cstheme="majorBidi"/>
          <w:i/>
          <w:iCs/>
          <w:color w:val="auto"/>
        </w:rPr>
        <w:t xml:space="preserve"> Development Partnership Plan 2024-2029</w:t>
      </w:r>
      <w:r w:rsidRPr="24CDE38A">
        <w:rPr>
          <w:rFonts w:asciiTheme="majorHAnsi" w:hAnsiTheme="majorHAnsi" w:cstheme="majorBidi"/>
          <w:color w:val="auto"/>
        </w:rPr>
        <w:t xml:space="preserve"> (DPP) translates into action the development priorities Australia shares with PNG. The DPP reinforces the two countries' </w:t>
      </w:r>
      <w:r w:rsidRPr="24CDE38A">
        <w:rPr>
          <w:rFonts w:asciiTheme="majorHAnsi" w:hAnsiTheme="majorHAnsi" w:cstheme="majorBidi"/>
          <w:i/>
          <w:iCs/>
          <w:color w:val="auto"/>
        </w:rPr>
        <w:t>Comprehensive Strategic and Economic Partnership</w:t>
      </w:r>
      <w:r w:rsidRPr="24CDE38A">
        <w:rPr>
          <w:rFonts w:asciiTheme="majorHAnsi" w:hAnsiTheme="majorHAnsi" w:cstheme="majorBidi"/>
          <w:color w:val="auto"/>
        </w:rPr>
        <w:t xml:space="preserve"> (CSEP), providing an overarching framework for deepening bilateral development cooperation.  Aligning with the IDP, the overarching goal for the DPP is a peaceful, stable, resilient, and prosperous PNG.  </w:t>
      </w:r>
    </w:p>
    <w:p w14:paraId="298CC40D" w14:textId="6B3CA500" w:rsidR="00EB780C" w:rsidRPr="009B2336" w:rsidRDefault="00EB780C" w:rsidP="00EB780C">
      <w:pPr>
        <w:rPr>
          <w:rFonts w:asciiTheme="majorHAnsi" w:eastAsiaTheme="minorEastAsia" w:hAnsiTheme="majorHAnsi" w:cstheme="majorHAnsi"/>
          <w:color w:val="auto"/>
        </w:rPr>
      </w:pPr>
      <w:r w:rsidRPr="0073452A">
        <w:rPr>
          <w:rFonts w:asciiTheme="majorHAnsi" w:eastAsiaTheme="minorEastAsia" w:hAnsiTheme="majorHAnsi" w:cstheme="majorHAnsi"/>
          <w:color w:val="auto"/>
        </w:rPr>
        <w:t xml:space="preserve">Australia’s current and future investments in health contribute directly to Objective 3 ‘Investing in People and Building Resilient Communities’, in particular Outcome 3.1. Service Delivery ‘Supporting PNG to increase access to and use of essential services, including health and education, which are well maintained and responsive to people’s </w:t>
      </w:r>
      <w:proofErr w:type="gramStart"/>
      <w:r w:rsidRPr="0073452A">
        <w:rPr>
          <w:rFonts w:asciiTheme="majorHAnsi" w:eastAsiaTheme="minorEastAsia" w:hAnsiTheme="majorHAnsi" w:cstheme="majorHAnsi"/>
          <w:color w:val="auto"/>
        </w:rPr>
        <w:t>needs’</w:t>
      </w:r>
      <w:proofErr w:type="gramEnd"/>
      <w:r w:rsidRPr="0073452A">
        <w:rPr>
          <w:rFonts w:asciiTheme="majorHAnsi" w:eastAsiaTheme="minorEastAsia" w:hAnsiTheme="majorHAnsi" w:cstheme="majorHAnsi"/>
          <w:color w:val="auto"/>
        </w:rPr>
        <w:t xml:space="preserve">. </w:t>
      </w:r>
      <w:r w:rsidR="00831ADC">
        <w:rPr>
          <w:rFonts w:asciiTheme="majorHAnsi" w:eastAsiaTheme="minorEastAsia" w:hAnsiTheme="majorHAnsi" w:cstheme="majorHAnsi"/>
          <w:color w:val="auto"/>
        </w:rPr>
        <w:t xml:space="preserve"> </w:t>
      </w:r>
      <w:r w:rsidRPr="0073452A">
        <w:rPr>
          <w:rFonts w:asciiTheme="majorHAnsi" w:eastAsiaTheme="minorEastAsia" w:hAnsiTheme="majorHAnsi" w:cstheme="majorHAnsi"/>
          <w:color w:val="auto"/>
        </w:rPr>
        <w:t>Investments in health</w:t>
      </w:r>
      <w:r w:rsidRPr="009B2336">
        <w:rPr>
          <w:rFonts w:asciiTheme="majorHAnsi" w:eastAsiaTheme="minorEastAsia" w:hAnsiTheme="majorHAnsi" w:cstheme="majorHAnsi"/>
          <w:color w:val="auto"/>
        </w:rPr>
        <w:t xml:space="preserve"> also make contributions to</w:t>
      </w:r>
      <w:r w:rsidR="00831ADC">
        <w:rPr>
          <w:rFonts w:asciiTheme="majorHAnsi" w:eastAsiaTheme="minorEastAsia" w:hAnsiTheme="majorHAnsi" w:cstheme="majorHAnsi"/>
          <w:color w:val="auto"/>
        </w:rPr>
        <w:t xml:space="preserve"> </w:t>
      </w:r>
      <w:proofErr w:type="gramStart"/>
      <w:r w:rsidR="00831ADC">
        <w:rPr>
          <w:rFonts w:asciiTheme="majorHAnsi" w:eastAsiaTheme="minorEastAsia" w:hAnsiTheme="majorHAnsi" w:cstheme="majorHAnsi"/>
          <w:color w:val="auto"/>
        </w:rPr>
        <w:t>a number of</w:t>
      </w:r>
      <w:proofErr w:type="gramEnd"/>
      <w:r w:rsidR="00831ADC">
        <w:rPr>
          <w:rFonts w:asciiTheme="majorHAnsi" w:eastAsiaTheme="minorEastAsia" w:hAnsiTheme="majorHAnsi" w:cstheme="majorHAnsi"/>
          <w:color w:val="auto"/>
        </w:rPr>
        <w:t xml:space="preserve"> </w:t>
      </w:r>
      <w:r w:rsidRPr="009B2336">
        <w:rPr>
          <w:rFonts w:asciiTheme="majorHAnsi" w:eastAsiaTheme="minorEastAsia" w:hAnsiTheme="majorHAnsi" w:cstheme="majorHAnsi"/>
          <w:color w:val="auto"/>
        </w:rPr>
        <w:t>other outcomes.</w:t>
      </w:r>
    </w:p>
    <w:p w14:paraId="314ED05D" w14:textId="215056DB" w:rsidR="00947C50" w:rsidRPr="009B2336" w:rsidRDefault="00EB780C" w:rsidP="24CDE38A">
      <w:pPr>
        <w:rPr>
          <w:rFonts w:asciiTheme="majorHAnsi" w:hAnsiTheme="majorHAnsi" w:cstheme="majorBidi"/>
          <w:color w:val="auto"/>
          <w:lang w:eastAsia="en-AU"/>
        </w:rPr>
      </w:pPr>
      <w:r w:rsidRPr="24CDE38A">
        <w:rPr>
          <w:rFonts w:asciiTheme="majorHAnsi" w:eastAsiaTheme="minorEastAsia" w:hAnsiTheme="majorHAnsi" w:cstheme="majorBidi"/>
          <w:color w:val="auto"/>
        </w:rPr>
        <w:t>PNG Post’</w:t>
      </w:r>
      <w:r w:rsidR="4585918B" w:rsidRPr="24CDE38A">
        <w:rPr>
          <w:rFonts w:asciiTheme="majorHAnsi" w:eastAsiaTheme="minorEastAsia" w:hAnsiTheme="majorHAnsi" w:cstheme="majorBidi"/>
          <w:color w:val="auto"/>
        </w:rPr>
        <w:t xml:space="preserve"> </w:t>
      </w:r>
      <w:r w:rsidRPr="24CDE38A">
        <w:rPr>
          <w:rFonts w:asciiTheme="majorHAnsi" w:eastAsiaTheme="minorEastAsia" w:hAnsiTheme="majorHAnsi" w:cstheme="majorBidi"/>
          <w:color w:val="auto"/>
        </w:rPr>
        <w:t>s</w:t>
      </w:r>
      <w:r w:rsidRPr="24CDE38A">
        <w:rPr>
          <w:rFonts w:asciiTheme="majorHAnsi" w:eastAsia="Times New Roman" w:hAnsiTheme="majorHAnsi" w:cstheme="majorBidi"/>
          <w:i/>
          <w:iCs/>
          <w:color w:val="auto"/>
          <w:lang w:val="en-AU" w:eastAsia="en-AU"/>
        </w:rPr>
        <w:t>PNG-Australia Health Portfolio Strategy 2024-203</w:t>
      </w:r>
      <w:r w:rsidR="00FE7B8C" w:rsidRPr="24CDE38A">
        <w:rPr>
          <w:rFonts w:asciiTheme="majorHAnsi" w:eastAsia="Times New Roman" w:hAnsiTheme="majorHAnsi" w:cstheme="majorBidi"/>
          <w:i/>
          <w:iCs/>
          <w:color w:val="auto"/>
          <w:lang w:val="en-AU" w:eastAsia="en-AU"/>
        </w:rPr>
        <w:t>4</w:t>
      </w:r>
      <w:r w:rsidRPr="24CDE38A">
        <w:rPr>
          <w:rFonts w:asciiTheme="majorHAnsi" w:eastAsia="Times New Roman" w:hAnsiTheme="majorHAnsi" w:cstheme="majorBidi"/>
          <w:color w:val="auto"/>
          <w:lang w:val="en-AU" w:eastAsia="en-AU"/>
        </w:rPr>
        <w:t xml:space="preserve"> </w:t>
      </w:r>
      <w:r w:rsidR="00B314B8" w:rsidRPr="24CDE38A">
        <w:rPr>
          <w:rFonts w:asciiTheme="majorHAnsi" w:eastAsia="Times New Roman" w:hAnsiTheme="majorHAnsi" w:cstheme="majorBidi"/>
          <w:color w:val="auto"/>
          <w:lang w:val="en-AU" w:eastAsia="en-AU"/>
        </w:rPr>
        <w:t xml:space="preserve">(HPS) </w:t>
      </w:r>
      <w:r w:rsidRPr="24CDE38A">
        <w:rPr>
          <w:rFonts w:asciiTheme="majorHAnsi" w:eastAsia="Times New Roman" w:hAnsiTheme="majorHAnsi" w:cstheme="majorBidi"/>
          <w:color w:val="auto"/>
          <w:lang w:val="en-AU" w:eastAsia="en-AU"/>
        </w:rPr>
        <w:t>responds to the challenging health system and political economy context in PNG, to chart a practical and focussed strategic</w:t>
      </w:r>
      <w:r w:rsidRPr="24CDE38A">
        <w:rPr>
          <w:rFonts w:asciiTheme="majorHAnsi" w:hAnsiTheme="majorHAnsi" w:cstheme="majorBidi"/>
          <w:color w:val="auto"/>
          <w:lang w:val="en-US"/>
        </w:rPr>
        <w:t xml:space="preserve"> direction for Australia’s program of PNG health sector support the next 10 years</w:t>
      </w:r>
      <w:r w:rsidRPr="24CDE38A">
        <w:rPr>
          <w:rFonts w:asciiTheme="majorHAnsi" w:eastAsia="Times New Roman" w:hAnsiTheme="majorHAnsi" w:cstheme="majorBidi"/>
          <w:color w:val="auto"/>
          <w:lang w:val="en-AU" w:eastAsia="en-AU"/>
        </w:rPr>
        <w:t xml:space="preserve">.  </w:t>
      </w:r>
      <w:r w:rsidR="00416855" w:rsidRPr="24CDE38A">
        <w:rPr>
          <w:rFonts w:asciiTheme="majorHAnsi" w:hAnsiTheme="majorHAnsi" w:cstheme="majorBidi"/>
          <w:color w:val="auto"/>
        </w:rPr>
        <w:t>The</w:t>
      </w:r>
      <w:r w:rsidRPr="24CDE38A">
        <w:rPr>
          <w:rFonts w:asciiTheme="majorHAnsi" w:hAnsiTheme="majorHAnsi" w:cstheme="majorBidi"/>
          <w:color w:val="auto"/>
          <w:lang w:val="en-US"/>
        </w:rPr>
        <w:t xml:space="preserve"> HPS </w:t>
      </w:r>
      <w:proofErr w:type="spellStart"/>
      <w:r w:rsidRPr="24CDE38A">
        <w:rPr>
          <w:rFonts w:asciiTheme="majorHAnsi" w:hAnsiTheme="majorHAnsi" w:cstheme="majorBidi"/>
          <w:color w:val="auto"/>
          <w:lang w:val="en-US"/>
        </w:rPr>
        <w:t>recogni</w:t>
      </w:r>
      <w:r w:rsidR="00B314B8" w:rsidRPr="24CDE38A">
        <w:rPr>
          <w:rFonts w:asciiTheme="majorHAnsi" w:hAnsiTheme="majorHAnsi" w:cstheme="majorBidi"/>
          <w:color w:val="auto"/>
          <w:lang w:val="en-US"/>
        </w:rPr>
        <w:t>s</w:t>
      </w:r>
      <w:r w:rsidRPr="24CDE38A">
        <w:rPr>
          <w:rFonts w:asciiTheme="majorHAnsi" w:hAnsiTheme="majorHAnsi" w:cstheme="majorBidi"/>
          <w:color w:val="auto"/>
          <w:lang w:val="en-US"/>
        </w:rPr>
        <w:t>e</w:t>
      </w:r>
      <w:r w:rsidR="00B314B8" w:rsidRPr="24CDE38A">
        <w:rPr>
          <w:rFonts w:asciiTheme="majorHAnsi" w:hAnsiTheme="majorHAnsi" w:cstheme="majorBidi"/>
          <w:color w:val="auto"/>
          <w:lang w:val="en-US"/>
        </w:rPr>
        <w:t>s</w:t>
      </w:r>
      <w:proofErr w:type="spellEnd"/>
      <w:r w:rsidRPr="24CDE38A">
        <w:rPr>
          <w:rFonts w:asciiTheme="majorHAnsi" w:hAnsiTheme="majorHAnsi" w:cstheme="majorBidi"/>
          <w:color w:val="auto"/>
          <w:lang w:val="en-US"/>
        </w:rPr>
        <w:t xml:space="preserve"> that a comprehensive, long-term investment in </w:t>
      </w:r>
      <w:r w:rsidR="00416855" w:rsidRPr="24CDE38A">
        <w:rPr>
          <w:rFonts w:asciiTheme="majorHAnsi" w:hAnsiTheme="majorHAnsi" w:cstheme="majorBidi"/>
          <w:color w:val="auto"/>
          <w:lang w:val="en-US"/>
        </w:rPr>
        <w:t xml:space="preserve">a portfolio of </w:t>
      </w:r>
      <w:r w:rsidRPr="24CDE38A">
        <w:rPr>
          <w:rFonts w:asciiTheme="majorHAnsi" w:hAnsiTheme="majorHAnsi" w:cstheme="majorBidi"/>
          <w:color w:val="auto"/>
          <w:lang w:val="en-US"/>
        </w:rPr>
        <w:t>evidence-informed health system strengthening approaches that support PNG</w:t>
      </w:r>
      <w:r w:rsidR="00B314B8" w:rsidRPr="24CDE38A">
        <w:rPr>
          <w:rFonts w:asciiTheme="majorHAnsi" w:hAnsiTheme="majorHAnsi" w:cstheme="majorBidi"/>
          <w:color w:val="auto"/>
          <w:lang w:val="en-US"/>
        </w:rPr>
        <w:t>-</w:t>
      </w:r>
      <w:r w:rsidRPr="24CDE38A">
        <w:rPr>
          <w:rFonts w:asciiTheme="majorHAnsi" w:hAnsiTheme="majorHAnsi" w:cstheme="majorBidi"/>
          <w:color w:val="auto"/>
          <w:lang w:val="en-US"/>
        </w:rPr>
        <w:t>led reform efforts</w:t>
      </w:r>
      <w:r w:rsidR="00416855" w:rsidRPr="24CDE38A">
        <w:rPr>
          <w:rFonts w:asciiTheme="majorHAnsi" w:hAnsiTheme="majorHAnsi" w:cstheme="majorBidi"/>
          <w:color w:val="auto"/>
          <w:lang w:val="en-US"/>
        </w:rPr>
        <w:t xml:space="preserve"> is required</w:t>
      </w:r>
      <w:r w:rsidRPr="24CDE38A">
        <w:rPr>
          <w:rFonts w:asciiTheme="majorHAnsi" w:hAnsiTheme="majorHAnsi" w:cstheme="majorBidi"/>
          <w:color w:val="auto"/>
          <w:lang w:val="en-US"/>
        </w:rPr>
        <w:t xml:space="preserve">.  This approach will be challenging and necessarily long-term. In the interim, the HPS also </w:t>
      </w:r>
      <w:proofErr w:type="spellStart"/>
      <w:r w:rsidRPr="24CDE38A">
        <w:rPr>
          <w:rFonts w:asciiTheme="majorHAnsi" w:hAnsiTheme="majorHAnsi" w:cstheme="majorBidi"/>
          <w:color w:val="auto"/>
          <w:lang w:val="en-US"/>
        </w:rPr>
        <w:t>recogni</w:t>
      </w:r>
      <w:r w:rsidR="00B314B8" w:rsidRPr="24CDE38A">
        <w:rPr>
          <w:rFonts w:asciiTheme="majorHAnsi" w:hAnsiTheme="majorHAnsi" w:cstheme="majorBidi"/>
          <w:color w:val="auto"/>
          <w:lang w:val="en-US"/>
        </w:rPr>
        <w:t>s</w:t>
      </w:r>
      <w:r w:rsidRPr="24CDE38A">
        <w:rPr>
          <w:rFonts w:asciiTheme="majorHAnsi" w:hAnsiTheme="majorHAnsi" w:cstheme="majorBidi"/>
          <w:color w:val="auto"/>
          <w:lang w:val="en-US"/>
        </w:rPr>
        <w:t>es</w:t>
      </w:r>
      <w:proofErr w:type="spellEnd"/>
      <w:r w:rsidRPr="24CDE38A">
        <w:rPr>
          <w:rFonts w:asciiTheme="majorHAnsi" w:hAnsiTheme="majorHAnsi" w:cstheme="majorBidi"/>
          <w:color w:val="auto"/>
          <w:lang w:val="en-US"/>
        </w:rPr>
        <w:t xml:space="preserve"> the need to meet, in a targeted way, some of the pressing need for health services not currently being adequately met by the PNG health system.   To this end, this investment – </w:t>
      </w:r>
      <w:r w:rsidR="346BB0BB" w:rsidRPr="24CDE38A">
        <w:rPr>
          <w:rFonts w:asciiTheme="majorHAnsi" w:hAnsiTheme="majorHAnsi" w:cstheme="majorBidi"/>
          <w:color w:val="auto"/>
          <w:lang w:val="en-US"/>
        </w:rPr>
        <w:t>PHC4PNG</w:t>
      </w:r>
      <w:r w:rsidRPr="24CDE38A">
        <w:rPr>
          <w:rFonts w:asciiTheme="majorHAnsi" w:hAnsiTheme="majorHAnsi" w:cstheme="majorBidi"/>
          <w:color w:val="auto"/>
          <w:lang w:val="en-US"/>
        </w:rPr>
        <w:t xml:space="preserve"> – will</w:t>
      </w:r>
      <w:r w:rsidR="005C5872" w:rsidRPr="24CDE38A">
        <w:rPr>
          <w:rFonts w:asciiTheme="majorHAnsi" w:hAnsiTheme="majorHAnsi" w:cstheme="majorBidi"/>
          <w:color w:val="auto"/>
          <w:lang w:val="en-US"/>
        </w:rPr>
        <w:t xml:space="preserve"> continue to </w:t>
      </w:r>
      <w:r w:rsidRPr="24CDE38A">
        <w:rPr>
          <w:rFonts w:asciiTheme="majorHAnsi" w:hAnsiTheme="majorHAnsi" w:cstheme="majorBidi"/>
          <w:color w:val="auto"/>
          <w:lang w:val="en-US"/>
        </w:rPr>
        <w:t xml:space="preserve">provide </w:t>
      </w:r>
      <w:r w:rsidR="005C5872" w:rsidRPr="24CDE38A">
        <w:rPr>
          <w:rFonts w:asciiTheme="majorHAnsi" w:hAnsiTheme="majorHAnsi" w:cstheme="majorBidi"/>
          <w:color w:val="auto"/>
          <w:lang w:val="en-US"/>
        </w:rPr>
        <w:t xml:space="preserve">essential </w:t>
      </w:r>
      <w:r w:rsidRPr="24CDE38A">
        <w:rPr>
          <w:rFonts w:asciiTheme="majorHAnsi" w:hAnsiTheme="majorHAnsi" w:cstheme="majorBidi"/>
          <w:color w:val="auto"/>
          <w:lang w:val="en-US"/>
        </w:rPr>
        <w:t>direct service delivery supplementation in selected areas of high need and low service coverage</w:t>
      </w:r>
      <w:r w:rsidR="00094B99" w:rsidRPr="24CDE38A">
        <w:rPr>
          <w:rFonts w:asciiTheme="majorHAnsi" w:hAnsiTheme="majorHAnsi" w:cstheme="majorBidi"/>
          <w:color w:val="auto"/>
          <w:lang w:val="en-US"/>
        </w:rPr>
        <w:t>, while moving to a more integrated, PNG-led delivery model</w:t>
      </w:r>
      <w:r w:rsidRPr="24CDE38A">
        <w:rPr>
          <w:rFonts w:asciiTheme="majorHAnsi" w:hAnsiTheme="majorHAnsi" w:cstheme="majorBidi"/>
          <w:color w:val="auto"/>
          <w:lang w:val="en-US"/>
        </w:rPr>
        <w:t xml:space="preserve">. </w:t>
      </w:r>
    </w:p>
    <w:p w14:paraId="6860B8DD" w14:textId="77777777" w:rsidR="00EB780C" w:rsidRPr="009B2336" w:rsidRDefault="00EB780C" w:rsidP="008E61F9">
      <w:pPr>
        <w:pStyle w:val="pf0"/>
        <w:spacing w:after="120" w:afterAutospacing="0"/>
        <w:rPr>
          <w:rFonts w:asciiTheme="majorHAnsi" w:eastAsiaTheme="minorEastAsia" w:hAnsiTheme="majorHAnsi" w:cstheme="majorHAnsi"/>
          <w:b/>
          <w:bCs/>
          <w:sz w:val="22"/>
          <w:szCs w:val="22"/>
          <w:lang w:eastAsia="en-US"/>
        </w:rPr>
      </w:pPr>
      <w:r w:rsidRPr="009B2336">
        <w:rPr>
          <w:rFonts w:asciiTheme="majorHAnsi" w:eastAsiaTheme="minorEastAsia" w:hAnsiTheme="majorHAnsi" w:cstheme="majorHAnsi"/>
          <w:b/>
          <w:bCs/>
          <w:sz w:val="22"/>
          <w:szCs w:val="22"/>
          <w:lang w:eastAsia="en-US"/>
        </w:rPr>
        <w:t>Policy settings - PNG</w:t>
      </w:r>
    </w:p>
    <w:p w14:paraId="61A0E9E6" w14:textId="5FBDB09B" w:rsidR="00EB780C" w:rsidRPr="009B2336" w:rsidRDefault="00EB780C" w:rsidP="008B2DB2">
      <w:pPr>
        <w:spacing w:before="0"/>
        <w:rPr>
          <w:rFonts w:asciiTheme="majorHAnsi" w:hAnsiTheme="majorHAnsi" w:cstheme="majorHAnsi"/>
          <w:color w:val="auto"/>
        </w:rPr>
      </w:pPr>
      <w:bookmarkStart w:id="13" w:name="_Hlk163721346"/>
      <w:r w:rsidRPr="009B2336">
        <w:rPr>
          <w:rFonts w:asciiTheme="majorHAnsi" w:hAnsiTheme="majorHAnsi" w:cstheme="majorHAnsi"/>
          <w:color w:val="auto"/>
        </w:rPr>
        <w:t xml:space="preserve">Access to quality and affordable health care is one of 12 strategic priority areas identified in PNG’s </w:t>
      </w:r>
      <w:r w:rsidRPr="009B2336">
        <w:rPr>
          <w:rFonts w:asciiTheme="majorHAnsi" w:hAnsiTheme="majorHAnsi" w:cstheme="majorHAnsi"/>
          <w:i/>
          <w:color w:val="auto"/>
        </w:rPr>
        <w:t>Medium Term Development Plan IV 2023 – 2027</w:t>
      </w:r>
      <w:r w:rsidR="004A4C22" w:rsidRPr="004A4C22">
        <w:rPr>
          <w:rFonts w:asciiTheme="majorHAnsi" w:hAnsiTheme="majorHAnsi" w:cstheme="majorHAnsi"/>
          <w:color w:val="auto"/>
        </w:rPr>
        <w:t xml:space="preserve"> </w:t>
      </w:r>
      <w:r w:rsidR="004A4C22">
        <w:rPr>
          <w:rFonts w:asciiTheme="majorHAnsi" w:hAnsiTheme="majorHAnsi" w:cstheme="majorHAnsi"/>
          <w:color w:val="auto"/>
        </w:rPr>
        <w:t>(</w:t>
      </w:r>
      <w:r w:rsidR="004A4C22" w:rsidRPr="009B2336">
        <w:rPr>
          <w:rFonts w:asciiTheme="majorHAnsi" w:hAnsiTheme="majorHAnsi" w:cstheme="majorHAnsi"/>
          <w:color w:val="auto"/>
        </w:rPr>
        <w:t>MDTP IV</w:t>
      </w:r>
      <w:r w:rsidR="004A4C22">
        <w:rPr>
          <w:rFonts w:asciiTheme="majorHAnsi" w:hAnsiTheme="majorHAnsi" w:cstheme="majorHAnsi"/>
          <w:color w:val="auto"/>
        </w:rPr>
        <w:t>)</w:t>
      </w:r>
      <w:r w:rsidRPr="009B2336">
        <w:rPr>
          <w:rFonts w:asciiTheme="majorHAnsi" w:hAnsiTheme="majorHAnsi" w:cstheme="majorHAnsi"/>
          <w:i/>
          <w:color w:val="auto"/>
        </w:rPr>
        <w:t>.</w:t>
      </w:r>
      <w:r w:rsidRPr="009B2336">
        <w:rPr>
          <w:rFonts w:asciiTheme="majorHAnsi" w:hAnsiTheme="majorHAnsi" w:cstheme="majorHAnsi"/>
          <w:color w:val="auto"/>
        </w:rPr>
        <w:t xml:space="preserve">  </w:t>
      </w:r>
      <w:bookmarkEnd w:id="13"/>
      <w:r w:rsidRPr="009B2336">
        <w:rPr>
          <w:rFonts w:asciiTheme="majorHAnsi" w:hAnsiTheme="majorHAnsi" w:cstheme="majorHAnsi"/>
          <w:color w:val="auto"/>
        </w:rPr>
        <w:t>The intent of the government, as stated in the plan, is to roll out primary health care services through the Community Health Post (CHP), the District and Provincial Hospital Programs, and by empowering Provincial Health Authorities (PHAs) to deliver specialised health care.  Five interventions focused on primary health care, specialised health care, health infrastructure, specialised training and accreditation, and HIV-AIDS are key interventions.  The plan estimates a projection of PGK5.804 billion is needed to deliver the priorities of the health sector by 2027.</w:t>
      </w:r>
    </w:p>
    <w:p w14:paraId="753A00CE" w14:textId="0D06FDDF" w:rsidR="00EB780C" w:rsidRPr="009B2336" w:rsidRDefault="00EB780C" w:rsidP="0AE8B1B0">
      <w:pPr>
        <w:rPr>
          <w:rFonts w:asciiTheme="majorHAnsi" w:hAnsiTheme="majorHAnsi" w:cstheme="majorBidi"/>
          <w:color w:val="auto"/>
        </w:rPr>
      </w:pPr>
      <w:r w:rsidRPr="0AE8B1B0">
        <w:rPr>
          <w:rFonts w:asciiTheme="majorHAnsi" w:hAnsiTheme="majorHAnsi" w:cstheme="majorBidi"/>
          <w:color w:val="auto"/>
        </w:rPr>
        <w:t xml:space="preserve">The country's sector strategy is </w:t>
      </w:r>
      <w:r w:rsidR="00C344FC" w:rsidRPr="0AE8B1B0">
        <w:rPr>
          <w:rFonts w:asciiTheme="majorHAnsi" w:hAnsiTheme="majorHAnsi" w:cstheme="majorBidi"/>
          <w:color w:val="auto"/>
        </w:rPr>
        <w:t xml:space="preserve">the </w:t>
      </w:r>
      <w:r w:rsidRPr="0AE8B1B0">
        <w:rPr>
          <w:rFonts w:asciiTheme="majorHAnsi" w:hAnsiTheme="majorHAnsi" w:cstheme="majorBidi"/>
          <w:i/>
          <w:iCs/>
          <w:color w:val="auto"/>
        </w:rPr>
        <w:t>PNG National Health Plan 2021-2030</w:t>
      </w:r>
      <w:r w:rsidR="00C344FC" w:rsidRPr="0AE8B1B0">
        <w:rPr>
          <w:rFonts w:asciiTheme="majorHAnsi" w:hAnsiTheme="majorHAnsi" w:cstheme="majorBidi"/>
          <w:color w:val="auto"/>
        </w:rPr>
        <w:t xml:space="preserve"> (NHP)</w:t>
      </w:r>
      <w:r w:rsidRPr="0AE8B1B0">
        <w:rPr>
          <w:rFonts w:asciiTheme="majorHAnsi" w:hAnsiTheme="majorHAnsi" w:cstheme="majorBidi"/>
          <w:color w:val="auto"/>
        </w:rPr>
        <w:t xml:space="preserve">. The overall objective of the NHP is for PNG to be a healthy and prosperous nation where health and well-being are enjoyed by all. The NHP is structured around five key result areas. PNG’s National Department of Health (NDoH) estimated it would cost PGK42.7 billion to implement the NHP (significantly more than the MDTP IV estimates).  Over the next eight years, an average increase of around PGK2 billion to the annual budget of </w:t>
      </w:r>
      <w:r w:rsidR="05EDD992" w:rsidRPr="0AE8B1B0">
        <w:rPr>
          <w:rFonts w:asciiTheme="majorHAnsi" w:hAnsiTheme="majorHAnsi" w:cstheme="majorBidi"/>
          <w:color w:val="auto"/>
        </w:rPr>
        <w:t xml:space="preserve">approximately </w:t>
      </w:r>
      <w:r w:rsidRPr="0AE8B1B0">
        <w:rPr>
          <w:rFonts w:asciiTheme="majorHAnsi" w:hAnsiTheme="majorHAnsi" w:cstheme="majorBidi"/>
          <w:color w:val="auto"/>
        </w:rPr>
        <w:t>PGK2.5 billion w</w:t>
      </w:r>
      <w:r w:rsidR="2B572A86" w:rsidRPr="0AE8B1B0">
        <w:rPr>
          <w:rFonts w:asciiTheme="majorHAnsi" w:hAnsiTheme="majorHAnsi" w:cstheme="majorBidi"/>
          <w:color w:val="auto"/>
        </w:rPr>
        <w:t>ould</w:t>
      </w:r>
      <w:r w:rsidRPr="0AE8B1B0">
        <w:rPr>
          <w:rFonts w:asciiTheme="majorHAnsi" w:hAnsiTheme="majorHAnsi" w:cstheme="majorBidi"/>
          <w:color w:val="auto"/>
        </w:rPr>
        <w:t xml:space="preserve"> be needed to operationalise the NHP. Australia (and other donors) cannot fill that funding gap but can make a meaningful contribution by bringing resources to selected strategies.  </w:t>
      </w:r>
    </w:p>
    <w:p w14:paraId="25847456" w14:textId="77777777" w:rsidR="00EB780C" w:rsidRPr="009B2336" w:rsidRDefault="00EB780C" w:rsidP="00C249B4">
      <w:pPr>
        <w:pStyle w:val="pf0"/>
        <w:spacing w:after="0" w:afterAutospacing="0"/>
        <w:rPr>
          <w:rFonts w:asciiTheme="majorHAnsi" w:eastAsiaTheme="minorEastAsia" w:hAnsiTheme="majorHAnsi" w:cstheme="majorHAnsi"/>
          <w:b/>
          <w:bCs/>
          <w:sz w:val="22"/>
          <w:szCs w:val="22"/>
          <w:lang w:eastAsia="en-US"/>
        </w:rPr>
      </w:pPr>
      <w:bookmarkStart w:id="14" w:name="_Toc427620419"/>
      <w:bookmarkStart w:id="15" w:name="_Toc161239483"/>
      <w:r w:rsidRPr="009B2336">
        <w:rPr>
          <w:rFonts w:asciiTheme="majorHAnsi" w:eastAsiaTheme="minorEastAsia" w:hAnsiTheme="majorHAnsi" w:cstheme="majorHAnsi"/>
          <w:b/>
          <w:bCs/>
          <w:sz w:val="22"/>
          <w:szCs w:val="22"/>
          <w:lang w:eastAsia="en-US"/>
        </w:rPr>
        <w:t>Sector Context</w:t>
      </w:r>
      <w:bookmarkEnd w:id="14"/>
      <w:bookmarkEnd w:id="15"/>
    </w:p>
    <w:p w14:paraId="656FE0B4" w14:textId="0E1DA6E8" w:rsidR="00EB780C" w:rsidRPr="009B2336" w:rsidRDefault="00EB780C" w:rsidP="00C249B4">
      <w:pPr>
        <w:spacing w:after="120"/>
        <w:ind w:left="-20" w:right="-20"/>
        <w:rPr>
          <w:rFonts w:asciiTheme="majorHAnsi" w:hAnsiTheme="majorHAnsi" w:cstheme="majorHAnsi"/>
          <w:color w:val="auto"/>
        </w:rPr>
      </w:pPr>
      <w:r w:rsidRPr="009B2336">
        <w:rPr>
          <w:rFonts w:asciiTheme="majorHAnsi" w:hAnsiTheme="majorHAnsi" w:cstheme="majorHAnsi"/>
          <w:color w:val="auto"/>
        </w:rPr>
        <w:t>PNG is geographically and culturally diverse, with a largely rural-dwelling population. PNG’s abundant natural resources support PNG’s raw economic wealth, amounting to USD 32.89 billion in 2024—close to three times larger than the other Pacific Island Countries combined.  PNG</w:t>
      </w:r>
      <w:r w:rsidR="0095199F">
        <w:rPr>
          <w:rFonts w:asciiTheme="majorHAnsi" w:hAnsiTheme="majorHAnsi" w:cstheme="majorHAnsi"/>
          <w:color w:val="auto"/>
        </w:rPr>
        <w:t>’</w:t>
      </w:r>
      <w:r w:rsidRPr="009B2336">
        <w:rPr>
          <w:rFonts w:asciiTheme="majorHAnsi" w:hAnsiTheme="majorHAnsi" w:cstheme="majorHAnsi"/>
          <w:color w:val="auto"/>
        </w:rPr>
        <w:t xml:space="preserve">s </w:t>
      </w:r>
      <w:r w:rsidR="0095199F">
        <w:rPr>
          <w:rFonts w:asciiTheme="majorHAnsi" w:hAnsiTheme="majorHAnsi" w:cstheme="majorHAnsi"/>
          <w:color w:val="auto"/>
        </w:rPr>
        <w:t>population</w:t>
      </w:r>
      <w:r w:rsidR="00A16AF3">
        <w:rPr>
          <w:rFonts w:asciiTheme="majorHAnsi" w:hAnsiTheme="majorHAnsi" w:cstheme="majorHAnsi"/>
          <w:color w:val="auto"/>
        </w:rPr>
        <w:t xml:space="preserve"> of </w:t>
      </w:r>
      <w:r w:rsidR="00EF749E">
        <w:rPr>
          <w:rFonts w:asciiTheme="majorHAnsi" w:hAnsiTheme="majorHAnsi" w:cstheme="majorHAnsi"/>
          <w:color w:val="auto"/>
        </w:rPr>
        <w:t>at least 10.2</w:t>
      </w:r>
      <w:r w:rsidR="00A16AF3" w:rsidRPr="009B2336">
        <w:rPr>
          <w:rFonts w:asciiTheme="majorHAnsi" w:hAnsiTheme="majorHAnsi" w:cstheme="majorHAnsi"/>
          <w:color w:val="auto"/>
        </w:rPr>
        <w:t xml:space="preserve"> </w:t>
      </w:r>
      <w:r w:rsidR="00A16AF3" w:rsidRPr="009B2336">
        <w:rPr>
          <w:rFonts w:asciiTheme="majorHAnsi" w:hAnsiTheme="majorHAnsi" w:cstheme="majorHAnsi"/>
          <w:color w:val="auto"/>
        </w:rPr>
        <w:lastRenderedPageBreak/>
        <w:t>million</w:t>
      </w:r>
      <w:r w:rsidR="0095199F">
        <w:rPr>
          <w:rFonts w:asciiTheme="majorHAnsi" w:hAnsiTheme="majorHAnsi" w:cstheme="majorHAnsi"/>
          <w:color w:val="auto"/>
        </w:rPr>
        <w:t xml:space="preserve"> is </w:t>
      </w:r>
      <w:r w:rsidRPr="009B2336">
        <w:rPr>
          <w:rFonts w:asciiTheme="majorHAnsi" w:hAnsiTheme="majorHAnsi" w:cstheme="majorHAnsi"/>
          <w:color w:val="auto"/>
        </w:rPr>
        <w:t>young</w:t>
      </w:r>
      <w:r w:rsidR="0095199F">
        <w:rPr>
          <w:rFonts w:asciiTheme="majorHAnsi" w:hAnsiTheme="majorHAnsi" w:cstheme="majorHAnsi"/>
          <w:color w:val="auto"/>
        </w:rPr>
        <w:t xml:space="preserve">, with </w:t>
      </w:r>
      <w:r w:rsidR="00EF749E">
        <w:rPr>
          <w:rFonts w:asciiTheme="majorHAnsi" w:hAnsiTheme="majorHAnsi" w:cstheme="majorHAnsi"/>
          <w:color w:val="auto"/>
        </w:rPr>
        <w:t>43</w:t>
      </w:r>
      <w:r w:rsidRPr="009B2336">
        <w:rPr>
          <w:rFonts w:asciiTheme="majorHAnsi" w:hAnsiTheme="majorHAnsi" w:cstheme="majorHAnsi"/>
          <w:color w:val="auto"/>
        </w:rPr>
        <w:t xml:space="preserve"> per cent </w:t>
      </w:r>
      <w:r w:rsidR="00EF749E">
        <w:rPr>
          <w:rFonts w:asciiTheme="majorHAnsi" w:hAnsiTheme="majorHAnsi" w:cstheme="majorHAnsi"/>
          <w:color w:val="auto"/>
        </w:rPr>
        <w:t>aged under 18</w:t>
      </w:r>
      <w:r w:rsidR="0095199F">
        <w:rPr>
          <w:rFonts w:asciiTheme="majorHAnsi" w:hAnsiTheme="majorHAnsi" w:cstheme="majorHAnsi"/>
          <w:color w:val="auto"/>
        </w:rPr>
        <w:t>,</w:t>
      </w:r>
      <w:r w:rsidRPr="009B2336">
        <w:rPr>
          <w:rFonts w:asciiTheme="majorHAnsi" w:hAnsiTheme="majorHAnsi" w:cstheme="majorHAnsi"/>
          <w:color w:val="auto"/>
        </w:rPr>
        <w:t xml:space="preserve"> and rapidly growing</w:t>
      </w:r>
      <w:r w:rsidR="006823F9">
        <w:rPr>
          <w:rFonts w:asciiTheme="majorHAnsi" w:hAnsiTheme="majorHAnsi" w:cstheme="majorHAnsi"/>
          <w:color w:val="auto"/>
        </w:rPr>
        <w:t xml:space="preserve">, with population </w:t>
      </w:r>
      <w:r w:rsidR="00A16AF3">
        <w:rPr>
          <w:rFonts w:asciiTheme="majorHAnsi" w:hAnsiTheme="majorHAnsi" w:cstheme="majorHAnsi"/>
          <w:color w:val="auto"/>
        </w:rPr>
        <w:t xml:space="preserve">growth estimated to be 4.8 per cent. </w:t>
      </w:r>
      <w:r w:rsidRPr="009B2336">
        <w:rPr>
          <w:rFonts w:asciiTheme="majorHAnsi" w:hAnsiTheme="majorHAnsi" w:cstheme="majorHAnsi"/>
          <w:color w:val="auto"/>
        </w:rPr>
        <w:t xml:space="preserve"> </w:t>
      </w:r>
      <w:r w:rsidR="00A16AF3">
        <w:rPr>
          <w:rFonts w:asciiTheme="majorHAnsi" w:hAnsiTheme="majorHAnsi" w:cstheme="majorHAnsi"/>
          <w:color w:val="auto"/>
        </w:rPr>
        <w:t>This</w:t>
      </w:r>
      <w:r w:rsidRPr="009B2336">
        <w:rPr>
          <w:rFonts w:asciiTheme="majorHAnsi" w:hAnsiTheme="majorHAnsi" w:cstheme="majorHAnsi"/>
          <w:color w:val="auto"/>
        </w:rPr>
        <w:t xml:space="preserve"> provide</w:t>
      </w:r>
      <w:r w:rsidR="00A16AF3">
        <w:rPr>
          <w:rFonts w:asciiTheme="majorHAnsi" w:hAnsiTheme="majorHAnsi" w:cstheme="majorHAnsi"/>
          <w:color w:val="auto"/>
        </w:rPr>
        <w:t>s</w:t>
      </w:r>
      <w:r w:rsidRPr="009B2336">
        <w:rPr>
          <w:rFonts w:asciiTheme="majorHAnsi" w:hAnsiTheme="majorHAnsi" w:cstheme="majorHAnsi"/>
          <w:color w:val="auto"/>
        </w:rPr>
        <w:t xml:space="preserve"> an opportunity for PNG to reap the benefits of a demographic dividend in the coming decades, if required development opportunities are effectively utilised.  A robust and expanded health system catering for the needs of children and young adults entering reproductive years is required for PNG to use its natural resources and human capital </w:t>
      </w:r>
      <w:r w:rsidR="006730A6">
        <w:rPr>
          <w:rFonts w:asciiTheme="majorHAnsi" w:hAnsiTheme="majorHAnsi" w:cstheme="majorHAnsi"/>
          <w:color w:val="auto"/>
        </w:rPr>
        <w:t>for</w:t>
      </w:r>
      <w:r w:rsidRPr="009B2336">
        <w:rPr>
          <w:rFonts w:asciiTheme="majorHAnsi" w:hAnsiTheme="majorHAnsi" w:cstheme="majorHAnsi"/>
          <w:color w:val="auto"/>
        </w:rPr>
        <w:t xml:space="preserve"> the benefit of all Papua New Guineans.  </w:t>
      </w:r>
    </w:p>
    <w:p w14:paraId="4423B5E9" w14:textId="1959A460" w:rsidR="00EB780C" w:rsidRPr="009B2336" w:rsidRDefault="55126DF9" w:rsidP="005546BC">
      <w:pPr>
        <w:pStyle w:val="NoSpacing"/>
        <w:spacing w:after="120"/>
        <w:rPr>
          <w:rFonts w:asciiTheme="majorHAnsi" w:hAnsiTheme="majorHAnsi" w:cstheme="majorHAnsi"/>
          <w:lang w:val="en-GB" w:eastAsia="en-AU"/>
        </w:rPr>
      </w:pPr>
      <w:r w:rsidRPr="0C78F9E2">
        <w:rPr>
          <w:rFonts w:asciiTheme="majorHAnsi" w:hAnsiTheme="majorHAnsi" w:cstheme="majorBidi"/>
          <w:lang w:val="en-GB" w:eastAsia="en-AU"/>
        </w:rPr>
        <w:t xml:space="preserve">In </w:t>
      </w:r>
      <w:r w:rsidRPr="0C78F9E2">
        <w:rPr>
          <w:rFonts w:asciiTheme="majorHAnsi" w:hAnsiTheme="majorHAnsi" w:cstheme="majorBidi"/>
          <w:lang w:val="en-GB"/>
        </w:rPr>
        <w:t>PNG</w:t>
      </w:r>
      <w:r w:rsidRPr="0C78F9E2">
        <w:rPr>
          <w:rFonts w:asciiTheme="majorHAnsi" w:hAnsiTheme="majorHAnsi" w:cstheme="majorBidi"/>
          <w:lang w:val="en-GB" w:eastAsia="en-AU"/>
        </w:rPr>
        <w:t>, 71 per cent of health services are government funded</w:t>
      </w:r>
      <w:r w:rsidR="00EB780C" w:rsidRPr="0C78F9E2">
        <w:rPr>
          <w:rStyle w:val="EndnoteReference"/>
          <w:rFonts w:asciiTheme="majorHAnsi" w:hAnsiTheme="majorHAnsi" w:cstheme="majorBidi"/>
          <w:lang w:val="en-GB" w:eastAsia="en-AU"/>
        </w:rPr>
        <w:endnoteReference w:id="2"/>
      </w:r>
      <w:r w:rsidRPr="0C78F9E2">
        <w:rPr>
          <w:rFonts w:asciiTheme="majorHAnsi" w:hAnsiTheme="majorHAnsi" w:cstheme="majorBidi"/>
          <w:lang w:val="en-GB" w:eastAsia="en-AU"/>
        </w:rPr>
        <w:t>.</w:t>
      </w:r>
      <w:r w:rsidRPr="0C78F9E2">
        <w:rPr>
          <w:rFonts w:asciiTheme="majorHAnsi" w:hAnsiTheme="majorHAnsi" w:cstheme="majorBidi"/>
          <w:lang w:val="en-GB"/>
        </w:rPr>
        <w:t xml:space="preserve"> This includes funding to church-run health services that deliver almost half of the country’s services, mainly in rural areas.</w:t>
      </w:r>
      <w:r w:rsidRPr="0C78F9E2">
        <w:rPr>
          <w:rFonts w:asciiTheme="majorHAnsi" w:hAnsiTheme="majorHAnsi" w:cstheme="majorBidi"/>
          <w:lang w:val="en-GB" w:eastAsia="en-AU"/>
        </w:rPr>
        <w:t xml:space="preserve"> Private health providers are a small portion of the market, servicing larger towns and resource project sites.  </w:t>
      </w:r>
      <w:proofErr w:type="gramStart"/>
      <w:r w:rsidRPr="0C78F9E2">
        <w:rPr>
          <w:rFonts w:asciiTheme="majorHAnsi" w:hAnsiTheme="majorHAnsi" w:cstheme="majorBidi"/>
          <w:lang w:val="en-GB" w:eastAsia="en-AU"/>
        </w:rPr>
        <w:t>As a consequence</w:t>
      </w:r>
      <w:proofErr w:type="gramEnd"/>
      <w:r w:rsidRPr="0C78F9E2">
        <w:rPr>
          <w:rFonts w:asciiTheme="majorHAnsi" w:hAnsiTheme="majorHAnsi" w:cstheme="majorBidi"/>
          <w:lang w:val="en-GB" w:eastAsia="en-AU"/>
        </w:rPr>
        <w:t xml:space="preserve">, out-of-pocket health expenditure is low. Still, the availability of quality services </w:t>
      </w:r>
      <w:proofErr w:type="gramStart"/>
      <w:r w:rsidRPr="0C78F9E2">
        <w:rPr>
          <w:rFonts w:asciiTheme="majorHAnsi" w:hAnsiTheme="majorHAnsi" w:cstheme="majorBidi"/>
          <w:lang w:val="en-GB" w:eastAsia="en-AU"/>
        </w:rPr>
        <w:t>close</w:t>
      </w:r>
      <w:proofErr w:type="gramEnd"/>
      <w:r w:rsidRPr="0C78F9E2">
        <w:rPr>
          <w:rFonts w:asciiTheme="majorHAnsi" w:hAnsiTheme="majorHAnsi" w:cstheme="majorBidi"/>
          <w:lang w:val="en-GB" w:eastAsia="en-AU"/>
        </w:rPr>
        <w:t xml:space="preserve"> to where people live is a problem reflected in PNG’s low ranking (192 out of 194 globally) o</w:t>
      </w:r>
      <w:r w:rsidR="4627F0D4" w:rsidRPr="0C78F9E2">
        <w:rPr>
          <w:rFonts w:asciiTheme="majorHAnsi" w:hAnsiTheme="majorHAnsi" w:cstheme="majorBidi"/>
          <w:lang w:val="en-GB" w:eastAsia="en-AU"/>
        </w:rPr>
        <w:t>n</w:t>
      </w:r>
      <w:r w:rsidRPr="0C78F9E2">
        <w:rPr>
          <w:rFonts w:asciiTheme="majorHAnsi" w:hAnsiTheme="majorHAnsi" w:cstheme="majorBidi"/>
          <w:lang w:val="en-GB" w:eastAsia="en-AU"/>
        </w:rPr>
        <w:t xml:space="preserve"> Universal Health Coverage (UHC).</w:t>
      </w:r>
    </w:p>
    <w:p w14:paraId="78364EFF" w14:textId="29E13073" w:rsidR="00EB780C" w:rsidRPr="009B2336" w:rsidRDefault="55126DF9" w:rsidP="00985B3F">
      <w:pPr>
        <w:pStyle w:val="paragraph"/>
        <w:spacing w:before="120" w:beforeAutospacing="0" w:after="0" w:afterAutospacing="0"/>
        <w:rPr>
          <w:rFonts w:asciiTheme="majorHAnsi" w:eastAsiaTheme="minorEastAsia" w:hAnsiTheme="majorHAnsi" w:cstheme="majorHAnsi"/>
          <w:sz w:val="22"/>
          <w:szCs w:val="22"/>
        </w:rPr>
      </w:pPr>
      <w:r w:rsidRPr="0C78F9E2">
        <w:rPr>
          <w:rFonts w:asciiTheme="majorHAnsi" w:eastAsiaTheme="minorEastAsia" w:hAnsiTheme="majorHAnsi" w:cstheme="majorBidi"/>
          <w:sz w:val="22"/>
          <w:szCs w:val="22"/>
        </w:rPr>
        <w:t>The inability to provide providing quality health services in a challenging environment has led to some stagnation and declining health outcomes over the last two decades. Life expectancy in PNG is 65 years (World Bank, 2017), meaning people live on average 18</w:t>
      </w:r>
      <w:r w:rsidR="00EB780C" w:rsidRPr="0C78F9E2">
        <w:rPr>
          <w:rStyle w:val="FootnoteReference"/>
          <w:rFonts w:asciiTheme="majorHAnsi" w:eastAsiaTheme="minorEastAsia" w:hAnsiTheme="majorHAnsi" w:cstheme="majorBidi"/>
          <w:sz w:val="22"/>
          <w:szCs w:val="22"/>
        </w:rPr>
        <w:footnoteReference w:id="23"/>
      </w:r>
      <w:r w:rsidRPr="0C78F9E2">
        <w:rPr>
          <w:rFonts w:asciiTheme="majorHAnsi" w:eastAsiaTheme="minorEastAsia" w:hAnsiTheme="majorHAnsi" w:cstheme="majorBidi"/>
          <w:sz w:val="22"/>
          <w:szCs w:val="22"/>
        </w:rPr>
        <w:t xml:space="preserve"> years less than their Australian neighbours at 83 years. Australia (and other donors), via intensive NGO support for specific programs – tuberculosis, immunisation, HIV, family planning, malaria – have been able to achieve some improvement in service coverage in targeted provinces or clinics.  However, this is unsustainable under PNG Government funding levels. </w:t>
      </w:r>
    </w:p>
    <w:p w14:paraId="3F225299" w14:textId="38591C8D" w:rsidR="00EB780C" w:rsidRPr="009B2336" w:rsidRDefault="00EB780C" w:rsidP="00985B3F">
      <w:pPr>
        <w:pStyle w:val="paragraph"/>
        <w:spacing w:before="120" w:beforeAutospacing="0" w:after="0" w:afterAutospacing="0"/>
        <w:textAlignment w:val="baseline"/>
        <w:rPr>
          <w:rStyle w:val="normaltextrun"/>
          <w:rFonts w:asciiTheme="majorHAnsi" w:hAnsiTheme="majorHAnsi" w:cstheme="majorHAnsi"/>
          <w:sz w:val="22"/>
          <w:szCs w:val="22"/>
          <w:lang w:val="en-GB"/>
        </w:rPr>
      </w:pPr>
      <w:r w:rsidRPr="009B2336">
        <w:rPr>
          <w:rStyle w:val="normaltextrun"/>
          <w:rFonts w:asciiTheme="majorHAnsi" w:hAnsiTheme="majorHAnsi" w:cstheme="majorHAnsi"/>
          <w:sz w:val="22"/>
          <w:szCs w:val="22"/>
          <w:lang w:val="en-GB"/>
        </w:rPr>
        <w:t xml:space="preserve">There is a mix of factors that contribute to poor health sector performance. In the last decade, Provincial Health Authorities (PHAs) were established to decentralise national health service delivery. </w:t>
      </w:r>
      <w:r w:rsidR="001C5854">
        <w:rPr>
          <w:rStyle w:val="normaltextrun"/>
          <w:rFonts w:asciiTheme="majorHAnsi" w:hAnsiTheme="majorHAnsi" w:cstheme="majorHAnsi"/>
          <w:sz w:val="22"/>
          <w:szCs w:val="22"/>
          <w:lang w:val="en-GB"/>
        </w:rPr>
        <w:t>While this is</w:t>
      </w:r>
      <w:r w:rsidRPr="009B2336">
        <w:rPr>
          <w:rStyle w:val="normaltextrun"/>
          <w:rFonts w:asciiTheme="majorHAnsi" w:hAnsiTheme="majorHAnsi" w:cstheme="majorHAnsi"/>
          <w:sz w:val="22"/>
          <w:szCs w:val="22"/>
          <w:lang w:val="en-GB"/>
        </w:rPr>
        <w:t xml:space="preserve"> </w:t>
      </w:r>
      <w:r w:rsidR="001C5854">
        <w:rPr>
          <w:rStyle w:val="normaltextrun"/>
          <w:rFonts w:asciiTheme="majorHAnsi" w:hAnsiTheme="majorHAnsi" w:cstheme="majorHAnsi"/>
          <w:sz w:val="22"/>
          <w:szCs w:val="22"/>
          <w:lang w:val="en-GB"/>
        </w:rPr>
        <w:t>theoretically</w:t>
      </w:r>
      <w:r w:rsidRPr="009B2336">
        <w:rPr>
          <w:rStyle w:val="normaltextrun"/>
          <w:rFonts w:asciiTheme="majorHAnsi" w:hAnsiTheme="majorHAnsi" w:cstheme="majorHAnsi"/>
          <w:sz w:val="22"/>
          <w:szCs w:val="22"/>
          <w:lang w:val="en-GB"/>
        </w:rPr>
        <w:t xml:space="preserve"> the right pathway for service delivery, only some PHAs are functioning well. The changed financing, administrative, and governance arrangements required to be established under PHAs have taken time to settle. All PHAs face chronic staff issues, essential drug shortages, inadequate infrastructure, and underfunding. </w:t>
      </w:r>
    </w:p>
    <w:p w14:paraId="5F13F788" w14:textId="22BF7DF1" w:rsidR="00EB780C" w:rsidRPr="009B2336" w:rsidRDefault="00EB780C" w:rsidP="00985B3F">
      <w:pPr>
        <w:pStyle w:val="paragraph"/>
        <w:spacing w:before="120" w:beforeAutospacing="0" w:after="0" w:afterAutospacing="0"/>
        <w:rPr>
          <w:rStyle w:val="normaltextrun"/>
          <w:rFonts w:asciiTheme="majorHAnsi" w:eastAsiaTheme="minorEastAsia" w:hAnsiTheme="majorHAnsi" w:cstheme="majorHAnsi"/>
          <w:sz w:val="22"/>
          <w:szCs w:val="22"/>
          <w:lang w:val="en-GB" w:eastAsia="en-US"/>
        </w:rPr>
      </w:pPr>
      <w:r w:rsidRPr="009B2336">
        <w:rPr>
          <w:rStyle w:val="normaltextrun"/>
          <w:rFonts w:asciiTheme="majorHAnsi" w:hAnsiTheme="majorHAnsi" w:cstheme="majorHAnsi"/>
          <w:sz w:val="22"/>
          <w:szCs w:val="22"/>
          <w:lang w:val="en-GB"/>
        </w:rPr>
        <w:t>PNG spends around USD6</w:t>
      </w:r>
      <w:r w:rsidR="005D33EA">
        <w:rPr>
          <w:rStyle w:val="normaltextrun"/>
          <w:rFonts w:asciiTheme="majorHAnsi" w:hAnsiTheme="majorHAnsi" w:cstheme="majorHAnsi"/>
          <w:sz w:val="22"/>
          <w:szCs w:val="22"/>
          <w:lang w:val="en-GB"/>
        </w:rPr>
        <w:t>2</w:t>
      </w:r>
      <w:r w:rsidRPr="009B2336">
        <w:rPr>
          <w:rStyle w:val="normaltextrun"/>
          <w:rFonts w:asciiTheme="majorHAnsi" w:hAnsiTheme="majorHAnsi" w:cstheme="majorHAnsi"/>
          <w:sz w:val="22"/>
          <w:szCs w:val="22"/>
          <w:lang w:val="en-GB"/>
        </w:rPr>
        <w:t xml:space="preserve"> per person annually on health compared to Australia’s USD5,370</w:t>
      </w:r>
      <w:r w:rsidR="008D4E40">
        <w:rPr>
          <w:rStyle w:val="normaltextrun"/>
          <w:rFonts w:asciiTheme="majorHAnsi" w:hAnsiTheme="majorHAnsi" w:cstheme="majorHAnsi"/>
          <w:sz w:val="22"/>
          <w:szCs w:val="22"/>
          <w:lang w:val="en-GB"/>
        </w:rPr>
        <w:t>, with a budget allocation approximately 10</w:t>
      </w:r>
      <w:r w:rsidR="00C57CA4">
        <w:rPr>
          <w:rStyle w:val="normaltextrun"/>
          <w:rFonts w:asciiTheme="majorHAnsi" w:hAnsiTheme="majorHAnsi" w:cstheme="majorHAnsi"/>
          <w:sz w:val="22"/>
          <w:szCs w:val="22"/>
          <w:lang w:val="en-GB"/>
        </w:rPr>
        <w:t xml:space="preserve"> per cent</w:t>
      </w:r>
      <w:r w:rsidRPr="009B2336">
        <w:rPr>
          <w:rStyle w:val="normaltextrun"/>
          <w:rFonts w:asciiTheme="majorHAnsi" w:hAnsiTheme="majorHAnsi" w:cstheme="majorHAnsi"/>
          <w:sz w:val="22"/>
          <w:szCs w:val="22"/>
          <w:lang w:val="en-GB"/>
        </w:rPr>
        <w:t xml:space="preserve"> of GDP</w:t>
      </w:r>
      <w:r w:rsidR="008D4E40">
        <w:rPr>
          <w:rStyle w:val="normaltextrun"/>
          <w:rFonts w:asciiTheme="majorHAnsi" w:hAnsiTheme="majorHAnsi" w:cstheme="majorHAnsi"/>
          <w:sz w:val="22"/>
          <w:szCs w:val="22"/>
          <w:lang w:val="en-GB"/>
        </w:rPr>
        <w:t xml:space="preserve"> annually</w:t>
      </w:r>
      <w:r w:rsidRPr="009B2336">
        <w:rPr>
          <w:rStyle w:val="normaltextrun"/>
          <w:rFonts w:asciiTheme="majorHAnsi" w:hAnsiTheme="majorHAnsi" w:cstheme="majorHAnsi"/>
          <w:sz w:val="22"/>
          <w:szCs w:val="22"/>
          <w:lang w:val="en-GB"/>
        </w:rPr>
        <w:t>.  There is poor allocation of resources and financial management is weak. Rural services are severely underfunded.</w:t>
      </w:r>
      <w:r w:rsidRPr="009B2336">
        <w:rPr>
          <w:rStyle w:val="EndnoteReference"/>
          <w:rFonts w:asciiTheme="majorHAnsi" w:hAnsiTheme="majorHAnsi" w:cstheme="majorHAnsi"/>
          <w:sz w:val="22"/>
          <w:szCs w:val="22"/>
          <w:lang w:val="en-GB"/>
        </w:rPr>
        <w:t xml:space="preserve"> </w:t>
      </w:r>
      <w:r w:rsidRPr="009B2336">
        <w:rPr>
          <w:rStyle w:val="normaltextrun"/>
          <w:rFonts w:asciiTheme="majorHAnsi" w:hAnsiTheme="majorHAnsi" w:cstheme="majorHAnsi"/>
          <w:sz w:val="22"/>
          <w:szCs w:val="22"/>
          <w:lang w:val="en-GB"/>
        </w:rPr>
        <w:t>Nominally, 20% of the annual funding allocations to Members of Parliament through the District Service Improvement Programs (currently PGK20 million per year</w:t>
      </w:r>
      <w:r w:rsidR="00FB0FEA">
        <w:rPr>
          <w:rStyle w:val="normaltextrun"/>
          <w:rFonts w:asciiTheme="majorHAnsi" w:hAnsiTheme="majorHAnsi" w:cstheme="majorHAnsi"/>
          <w:sz w:val="22"/>
          <w:szCs w:val="22"/>
          <w:lang w:val="en-GB"/>
        </w:rPr>
        <w:t xml:space="preserve"> for each MP</w:t>
      </w:r>
      <w:r w:rsidRPr="009B2336">
        <w:rPr>
          <w:rStyle w:val="normaltextrun"/>
          <w:rFonts w:asciiTheme="majorHAnsi" w:hAnsiTheme="majorHAnsi" w:cstheme="majorHAnsi"/>
          <w:sz w:val="22"/>
          <w:szCs w:val="22"/>
          <w:lang w:val="en-GB"/>
        </w:rPr>
        <w:t xml:space="preserve">) and Provincial Service Improvement Programs (PGK5 million </w:t>
      </w:r>
      <w:r w:rsidR="00FB0FEA">
        <w:rPr>
          <w:rStyle w:val="normaltextrun"/>
          <w:rFonts w:asciiTheme="majorHAnsi" w:hAnsiTheme="majorHAnsi" w:cstheme="majorHAnsi"/>
          <w:sz w:val="22"/>
          <w:szCs w:val="22"/>
          <w:lang w:val="en-GB"/>
        </w:rPr>
        <w:t xml:space="preserve">per year </w:t>
      </w:r>
      <w:r w:rsidRPr="009B2336">
        <w:rPr>
          <w:rStyle w:val="normaltextrun"/>
          <w:rFonts w:asciiTheme="majorHAnsi" w:hAnsiTheme="majorHAnsi" w:cstheme="majorHAnsi"/>
          <w:sz w:val="22"/>
          <w:szCs w:val="22"/>
          <w:lang w:val="en-GB"/>
        </w:rPr>
        <w:t>per district) is earmarked for health.  However, these funds are at the Member's discretion and are rarely used to support health service delivery costs.</w:t>
      </w:r>
    </w:p>
    <w:p w14:paraId="1445A5CB" w14:textId="541DF274" w:rsidR="00EB780C" w:rsidRPr="009B2336" w:rsidRDefault="00EB780C" w:rsidP="00985B3F">
      <w:pPr>
        <w:pStyle w:val="paragraph"/>
        <w:spacing w:before="120" w:beforeAutospacing="0" w:after="0" w:afterAutospacing="0"/>
        <w:textAlignment w:val="baseline"/>
        <w:rPr>
          <w:rStyle w:val="eop"/>
          <w:rFonts w:asciiTheme="majorHAnsi" w:hAnsiTheme="majorHAnsi" w:cstheme="majorHAnsi"/>
          <w:sz w:val="22"/>
          <w:szCs w:val="22"/>
        </w:rPr>
      </w:pPr>
      <w:r w:rsidRPr="009B2336">
        <w:rPr>
          <w:rStyle w:val="eop"/>
          <w:rFonts w:asciiTheme="majorHAnsi" w:hAnsiTheme="majorHAnsi" w:cstheme="majorHAnsi"/>
          <w:sz w:val="22"/>
          <w:szCs w:val="22"/>
        </w:rPr>
        <w:t xml:space="preserve">There is a significant need for improved infrastructure.  </w:t>
      </w:r>
      <w:r w:rsidR="00FB5B84">
        <w:rPr>
          <w:rStyle w:val="eop"/>
          <w:rFonts w:asciiTheme="majorHAnsi" w:hAnsiTheme="majorHAnsi" w:cstheme="majorHAnsi"/>
          <w:sz w:val="22"/>
          <w:szCs w:val="22"/>
        </w:rPr>
        <w:t>A recent survey showed that a</w:t>
      </w:r>
      <w:r w:rsidRPr="009B2336">
        <w:rPr>
          <w:rStyle w:val="eop"/>
          <w:rFonts w:asciiTheme="majorHAnsi" w:hAnsiTheme="majorHAnsi" w:cstheme="majorHAnsi"/>
          <w:sz w:val="22"/>
          <w:szCs w:val="22"/>
        </w:rPr>
        <w:t xml:space="preserve"> little over half </w:t>
      </w:r>
      <w:r w:rsidR="00FB5B84">
        <w:rPr>
          <w:rStyle w:val="eop"/>
          <w:rFonts w:asciiTheme="majorHAnsi" w:hAnsiTheme="majorHAnsi" w:cstheme="majorHAnsi"/>
          <w:sz w:val="22"/>
          <w:szCs w:val="22"/>
        </w:rPr>
        <w:t>of</w:t>
      </w:r>
      <w:r w:rsidRPr="009B2336">
        <w:rPr>
          <w:rStyle w:val="eop"/>
          <w:rFonts w:asciiTheme="majorHAnsi" w:hAnsiTheme="majorHAnsi" w:cstheme="majorHAnsi"/>
          <w:sz w:val="22"/>
          <w:szCs w:val="22"/>
        </w:rPr>
        <w:t xml:space="preserve"> health clinics ha</w:t>
      </w:r>
      <w:r w:rsidR="00FB0FEA">
        <w:rPr>
          <w:rStyle w:val="eop"/>
          <w:rFonts w:asciiTheme="majorHAnsi" w:hAnsiTheme="majorHAnsi" w:cstheme="majorHAnsi"/>
          <w:sz w:val="22"/>
          <w:szCs w:val="22"/>
        </w:rPr>
        <w:t>ve</w:t>
      </w:r>
      <w:r w:rsidRPr="009B2336">
        <w:rPr>
          <w:rStyle w:val="eop"/>
          <w:rFonts w:asciiTheme="majorHAnsi" w:hAnsiTheme="majorHAnsi" w:cstheme="majorHAnsi"/>
          <w:sz w:val="22"/>
          <w:szCs w:val="22"/>
        </w:rPr>
        <w:t xml:space="preserve"> year-round access to water; 40</w:t>
      </w:r>
      <w:r w:rsidR="00FB0FEA">
        <w:rPr>
          <w:rStyle w:val="eop"/>
          <w:rFonts w:asciiTheme="majorHAnsi" w:hAnsiTheme="majorHAnsi" w:cstheme="majorHAnsi"/>
          <w:sz w:val="22"/>
          <w:szCs w:val="22"/>
        </w:rPr>
        <w:t xml:space="preserve"> per cent have</w:t>
      </w:r>
      <w:r w:rsidRPr="009B2336">
        <w:rPr>
          <w:rStyle w:val="eop"/>
          <w:rFonts w:asciiTheme="majorHAnsi" w:hAnsiTheme="majorHAnsi" w:cstheme="majorHAnsi"/>
          <w:sz w:val="22"/>
          <w:szCs w:val="22"/>
        </w:rPr>
        <w:t xml:space="preserve"> electricity and refrigeration, 30</w:t>
      </w:r>
      <w:r w:rsidR="00FB0FEA">
        <w:rPr>
          <w:rStyle w:val="eop"/>
          <w:rFonts w:asciiTheme="majorHAnsi" w:hAnsiTheme="majorHAnsi" w:cstheme="majorHAnsi"/>
          <w:sz w:val="22"/>
          <w:szCs w:val="22"/>
        </w:rPr>
        <w:t xml:space="preserve"> per cent have</w:t>
      </w:r>
      <w:r w:rsidRPr="009B2336">
        <w:rPr>
          <w:rStyle w:val="eop"/>
          <w:rFonts w:asciiTheme="majorHAnsi" w:hAnsiTheme="majorHAnsi" w:cstheme="majorHAnsi"/>
          <w:sz w:val="22"/>
          <w:szCs w:val="22"/>
        </w:rPr>
        <w:t xml:space="preserve"> access to fuel, about 20</w:t>
      </w:r>
      <w:r w:rsidR="00FB0FEA">
        <w:rPr>
          <w:rStyle w:val="eop"/>
          <w:rFonts w:asciiTheme="majorHAnsi" w:hAnsiTheme="majorHAnsi" w:cstheme="majorHAnsi"/>
          <w:sz w:val="22"/>
          <w:szCs w:val="22"/>
        </w:rPr>
        <w:t xml:space="preserve"> </w:t>
      </w:r>
      <w:r w:rsidR="00117ABF">
        <w:rPr>
          <w:rStyle w:val="eop"/>
          <w:rFonts w:asciiTheme="majorHAnsi" w:hAnsiTheme="majorHAnsi" w:cstheme="majorHAnsi"/>
          <w:sz w:val="22"/>
          <w:szCs w:val="22"/>
        </w:rPr>
        <w:t xml:space="preserve">per cent </w:t>
      </w:r>
      <w:r w:rsidR="00FB0FEA">
        <w:rPr>
          <w:rStyle w:val="eop"/>
          <w:rFonts w:asciiTheme="majorHAnsi" w:hAnsiTheme="majorHAnsi" w:cstheme="majorHAnsi"/>
          <w:sz w:val="22"/>
          <w:szCs w:val="22"/>
        </w:rPr>
        <w:t xml:space="preserve">have </w:t>
      </w:r>
      <w:r w:rsidRPr="009B2336">
        <w:rPr>
          <w:rStyle w:val="eop"/>
          <w:rFonts w:asciiTheme="majorHAnsi" w:hAnsiTheme="majorHAnsi" w:cstheme="majorHAnsi"/>
          <w:sz w:val="22"/>
          <w:szCs w:val="22"/>
        </w:rPr>
        <w:t>beds with mattresses and a kitchen, and only 33</w:t>
      </w:r>
      <w:r w:rsidR="00117ABF">
        <w:rPr>
          <w:rStyle w:val="eop"/>
          <w:rFonts w:asciiTheme="majorHAnsi" w:hAnsiTheme="majorHAnsi" w:cstheme="majorHAnsi"/>
          <w:sz w:val="22"/>
          <w:szCs w:val="22"/>
        </w:rPr>
        <w:t xml:space="preserve"> per cent</w:t>
      </w:r>
      <w:r w:rsidRPr="009B2336">
        <w:rPr>
          <w:rStyle w:val="eop"/>
          <w:rFonts w:asciiTheme="majorHAnsi" w:hAnsiTheme="majorHAnsi" w:cstheme="majorHAnsi"/>
          <w:sz w:val="22"/>
          <w:szCs w:val="22"/>
        </w:rPr>
        <w:t xml:space="preserve"> could make patient transfers.  The sector has recently seen increased government funding for capital works.  This has focused mainly on new and/or upgrades to tertiary hospitals without the requisite funding for the increased staff and operational budget.  This places further pressure on PHA budgets, with funding for larger hospitals being prioritised over funding for rural services.  </w:t>
      </w:r>
    </w:p>
    <w:p w14:paraId="4F6C1CCD" w14:textId="4B0726D5" w:rsidR="00EB780C" w:rsidRPr="009B2336" w:rsidRDefault="05B2CD8D" w:rsidP="00985B3F">
      <w:pPr>
        <w:pStyle w:val="paragraph"/>
        <w:spacing w:before="120" w:beforeAutospacing="0" w:after="0" w:afterAutospacing="0"/>
        <w:textAlignment w:val="baseline"/>
        <w:rPr>
          <w:rStyle w:val="normaltextrun"/>
          <w:rFonts w:asciiTheme="majorHAnsi" w:hAnsiTheme="majorHAnsi" w:cstheme="majorHAnsi"/>
          <w:sz w:val="22"/>
          <w:szCs w:val="22"/>
          <w:lang w:val="en-GB"/>
        </w:rPr>
      </w:pPr>
      <w:r w:rsidRPr="0C78F9E2">
        <w:rPr>
          <w:rStyle w:val="normaltextrun"/>
          <w:rFonts w:asciiTheme="majorHAnsi" w:hAnsiTheme="majorHAnsi" w:cstheme="majorBidi"/>
          <w:sz w:val="22"/>
          <w:szCs w:val="22"/>
          <w:lang w:val="en-GB"/>
        </w:rPr>
        <w:t xml:space="preserve">There are insufficient health workers with the right skills in the right places. There are approximately 18,929 health sector employees </w:t>
      </w:r>
      <w:r w:rsidR="1D00C2F1" w:rsidRPr="0C78F9E2">
        <w:rPr>
          <w:rStyle w:val="normaltextrun"/>
          <w:rFonts w:asciiTheme="majorHAnsi" w:hAnsiTheme="majorHAnsi" w:cstheme="majorBidi"/>
          <w:sz w:val="22"/>
          <w:szCs w:val="22"/>
          <w:lang w:val="en-GB"/>
        </w:rPr>
        <w:t xml:space="preserve">(3 per cent doctors, 27 per cent nurses, 35 per cent community health workers, 11 per cent other clinical, 24 per cent non-clinical) </w:t>
      </w:r>
      <w:r w:rsidRPr="0C78F9E2">
        <w:rPr>
          <w:rStyle w:val="normaltextrun"/>
          <w:rFonts w:asciiTheme="majorHAnsi" w:hAnsiTheme="majorHAnsi" w:cstheme="majorBidi"/>
          <w:sz w:val="22"/>
          <w:szCs w:val="22"/>
          <w:lang w:val="en-GB"/>
        </w:rPr>
        <w:t>for a population of 11.7</w:t>
      </w:r>
      <w:r w:rsidR="67AA9695" w:rsidRPr="0C78F9E2">
        <w:rPr>
          <w:rStyle w:val="normaltextrun"/>
          <w:rFonts w:asciiTheme="majorHAnsi" w:hAnsiTheme="majorHAnsi" w:cstheme="majorBidi"/>
          <w:sz w:val="22"/>
          <w:szCs w:val="22"/>
          <w:lang w:val="en-GB"/>
        </w:rPr>
        <w:t>8</w:t>
      </w:r>
      <w:r w:rsidRPr="0C78F9E2">
        <w:rPr>
          <w:rStyle w:val="normaltextrun"/>
          <w:rFonts w:asciiTheme="majorHAnsi" w:hAnsiTheme="majorHAnsi" w:cstheme="majorBidi"/>
          <w:sz w:val="22"/>
          <w:szCs w:val="22"/>
          <w:lang w:val="en-GB"/>
        </w:rPr>
        <w:t xml:space="preserve"> million, which translates to 14.1 health workers per 10,000 and is far below the recommended ratio of 45 per 10,000 for the achievement of UHC</w:t>
      </w:r>
      <w:r w:rsidR="00EB780C" w:rsidRPr="0C78F9E2">
        <w:rPr>
          <w:rStyle w:val="FootnoteReference"/>
          <w:rFonts w:asciiTheme="majorHAnsi" w:hAnsiTheme="majorHAnsi" w:cstheme="majorBidi"/>
          <w:sz w:val="22"/>
          <w:szCs w:val="22"/>
          <w:lang w:val="en-GB"/>
        </w:rPr>
        <w:footnoteReference w:id="24"/>
      </w:r>
      <w:r w:rsidRPr="0C78F9E2">
        <w:rPr>
          <w:rStyle w:val="normaltextrun"/>
          <w:rFonts w:asciiTheme="majorHAnsi" w:hAnsiTheme="majorHAnsi" w:cstheme="majorBidi"/>
          <w:sz w:val="22"/>
          <w:szCs w:val="22"/>
          <w:lang w:val="en-GB"/>
        </w:rPr>
        <w:t>.  Most doctors and skilled nurses are concentrated in urban areas, with community health workers providing the bulk of rural services.  Opportunities for continued professional development and upskilling are limited.</w:t>
      </w:r>
    </w:p>
    <w:p w14:paraId="05C74AF7" w14:textId="68842736" w:rsidR="00EB780C" w:rsidRPr="009B2336" w:rsidRDefault="00EB780C" w:rsidP="00985B3F">
      <w:pPr>
        <w:pStyle w:val="paragraph"/>
        <w:spacing w:before="120" w:beforeAutospacing="0" w:after="0" w:afterAutospacing="0"/>
        <w:textAlignment w:val="baseline"/>
        <w:rPr>
          <w:rStyle w:val="eop"/>
          <w:rFonts w:asciiTheme="majorHAnsi" w:hAnsiTheme="majorHAnsi" w:cstheme="majorHAnsi"/>
          <w:sz w:val="22"/>
          <w:szCs w:val="22"/>
        </w:rPr>
      </w:pPr>
      <w:r w:rsidRPr="009B2336">
        <w:rPr>
          <w:rStyle w:val="eop"/>
          <w:rFonts w:asciiTheme="majorHAnsi" w:hAnsiTheme="majorHAnsi" w:cstheme="majorHAnsi"/>
          <w:sz w:val="22"/>
          <w:szCs w:val="22"/>
        </w:rPr>
        <w:t>The availability of quality medical supplies continues to be compromised by poor procurement practices and insufficient planning and budgeting.  This leads to periodic stock outs around the country and PNG often pays much higher pharmaceutical prices.  Poor distribution of drugs contribute</w:t>
      </w:r>
      <w:r w:rsidR="00F75A1F">
        <w:rPr>
          <w:rStyle w:val="eop"/>
          <w:rFonts w:asciiTheme="majorHAnsi" w:hAnsiTheme="majorHAnsi" w:cstheme="majorHAnsi"/>
          <w:sz w:val="22"/>
          <w:szCs w:val="22"/>
        </w:rPr>
        <w:t>s</w:t>
      </w:r>
      <w:r w:rsidRPr="009B2336">
        <w:rPr>
          <w:rStyle w:val="eop"/>
          <w:rFonts w:asciiTheme="majorHAnsi" w:hAnsiTheme="majorHAnsi" w:cstheme="majorHAnsi"/>
          <w:sz w:val="22"/>
          <w:szCs w:val="22"/>
        </w:rPr>
        <w:t xml:space="preserve"> to wastage, with an estimated 41</w:t>
      </w:r>
      <w:r w:rsidR="00F75A1F">
        <w:rPr>
          <w:rStyle w:val="eop"/>
          <w:rFonts w:asciiTheme="majorHAnsi" w:hAnsiTheme="majorHAnsi" w:cstheme="majorHAnsi"/>
          <w:sz w:val="22"/>
          <w:szCs w:val="22"/>
        </w:rPr>
        <w:t xml:space="preserve"> per cent</w:t>
      </w:r>
      <w:r w:rsidRPr="009B2336">
        <w:rPr>
          <w:rStyle w:val="eop"/>
          <w:rFonts w:asciiTheme="majorHAnsi" w:hAnsiTheme="majorHAnsi" w:cstheme="majorHAnsi"/>
          <w:sz w:val="22"/>
          <w:szCs w:val="22"/>
        </w:rPr>
        <w:t xml:space="preserve"> of drugs/medical supplies expiring on the shelf in the country’s </w:t>
      </w:r>
      <w:r w:rsidR="00DF6FF4">
        <w:rPr>
          <w:rStyle w:val="eop"/>
          <w:rFonts w:asciiTheme="majorHAnsi" w:hAnsiTheme="majorHAnsi" w:cstheme="majorHAnsi"/>
          <w:sz w:val="22"/>
          <w:szCs w:val="22"/>
        </w:rPr>
        <w:t>central</w:t>
      </w:r>
      <w:r w:rsidRPr="009B2336">
        <w:rPr>
          <w:rStyle w:val="eop"/>
          <w:rFonts w:asciiTheme="majorHAnsi" w:hAnsiTheme="majorHAnsi" w:cstheme="majorHAnsi"/>
          <w:sz w:val="22"/>
          <w:szCs w:val="22"/>
        </w:rPr>
        <w:t xml:space="preserve"> medical store.</w:t>
      </w:r>
    </w:p>
    <w:p w14:paraId="4015B027" w14:textId="241F1907" w:rsidR="00EB780C" w:rsidRPr="009B2336" w:rsidRDefault="00EB780C" w:rsidP="00985B3F">
      <w:pPr>
        <w:pStyle w:val="paragraph"/>
        <w:spacing w:before="120" w:beforeAutospacing="0" w:after="0" w:afterAutospacing="0"/>
        <w:textAlignment w:val="baseline"/>
        <w:rPr>
          <w:rStyle w:val="eop"/>
          <w:rFonts w:asciiTheme="majorHAnsi" w:hAnsiTheme="majorHAnsi" w:cstheme="majorHAnsi"/>
          <w:sz w:val="22"/>
          <w:szCs w:val="22"/>
        </w:rPr>
      </w:pPr>
      <w:proofErr w:type="spellStart"/>
      <w:r w:rsidRPr="009B2336">
        <w:rPr>
          <w:rStyle w:val="eop"/>
          <w:rFonts w:asciiTheme="majorHAnsi" w:hAnsiTheme="majorHAnsi" w:cstheme="majorHAnsi"/>
          <w:sz w:val="22"/>
          <w:szCs w:val="22"/>
        </w:rPr>
        <w:lastRenderedPageBreak/>
        <w:t>GoPNG</w:t>
      </w:r>
      <w:proofErr w:type="spellEnd"/>
      <w:r w:rsidRPr="009B2336">
        <w:rPr>
          <w:rStyle w:val="eop"/>
          <w:rFonts w:asciiTheme="majorHAnsi" w:hAnsiTheme="majorHAnsi" w:cstheme="majorHAnsi"/>
          <w:sz w:val="22"/>
          <w:szCs w:val="22"/>
        </w:rPr>
        <w:t xml:space="preserve"> has ambitions for digital transformation to improve the performance and productivity of public sector agencies, and there is an excellent opportunity for using digital technology in health. The </w:t>
      </w:r>
      <w:r w:rsidR="00202128">
        <w:rPr>
          <w:rStyle w:val="eop"/>
          <w:rFonts w:asciiTheme="majorHAnsi" w:hAnsiTheme="majorHAnsi" w:cstheme="majorHAnsi"/>
          <w:sz w:val="22"/>
          <w:szCs w:val="22"/>
        </w:rPr>
        <w:t>electronic national health information system (</w:t>
      </w:r>
      <w:proofErr w:type="spellStart"/>
      <w:r w:rsidRPr="009B2336">
        <w:rPr>
          <w:rStyle w:val="eop"/>
          <w:rFonts w:asciiTheme="majorHAnsi" w:hAnsiTheme="majorHAnsi" w:cstheme="majorHAnsi"/>
          <w:sz w:val="22"/>
          <w:szCs w:val="22"/>
        </w:rPr>
        <w:t>eNHIS</w:t>
      </w:r>
      <w:proofErr w:type="spellEnd"/>
      <w:r w:rsidR="00202128">
        <w:rPr>
          <w:rStyle w:val="eop"/>
          <w:rFonts w:asciiTheme="majorHAnsi" w:hAnsiTheme="majorHAnsi" w:cstheme="majorHAnsi"/>
          <w:sz w:val="22"/>
          <w:szCs w:val="22"/>
        </w:rPr>
        <w:t>)</w:t>
      </w:r>
      <w:r w:rsidRPr="009B2336">
        <w:rPr>
          <w:rStyle w:val="eop"/>
          <w:rFonts w:asciiTheme="majorHAnsi" w:hAnsiTheme="majorHAnsi" w:cstheme="majorHAnsi"/>
          <w:sz w:val="22"/>
          <w:szCs w:val="22"/>
        </w:rPr>
        <w:t xml:space="preserve"> has now been rolled out across the country to every facility. This has improved reporting rates, but there is still work to improve the quality of input data and to create a culture of data</w:t>
      </w:r>
      <w:r w:rsidR="00202128">
        <w:rPr>
          <w:rStyle w:val="eop"/>
          <w:rFonts w:asciiTheme="majorHAnsi" w:hAnsiTheme="majorHAnsi" w:cstheme="majorHAnsi"/>
          <w:sz w:val="22"/>
          <w:szCs w:val="22"/>
        </w:rPr>
        <w:t xml:space="preserve"> analysis</w:t>
      </w:r>
      <w:r w:rsidRPr="009B2336">
        <w:rPr>
          <w:rStyle w:val="eop"/>
          <w:rFonts w:asciiTheme="majorHAnsi" w:hAnsiTheme="majorHAnsi" w:cstheme="majorHAnsi"/>
          <w:sz w:val="22"/>
          <w:szCs w:val="22"/>
        </w:rPr>
        <w:t xml:space="preserve"> for decision-making.  </w:t>
      </w:r>
    </w:p>
    <w:p w14:paraId="5C2F4D68" w14:textId="151F3672" w:rsidR="00EB780C" w:rsidRPr="009B2336" w:rsidRDefault="00EB780C" w:rsidP="07C884CF">
      <w:pPr>
        <w:pStyle w:val="paragraph"/>
        <w:spacing w:before="120" w:beforeAutospacing="0" w:after="0" w:afterAutospacing="0"/>
        <w:textAlignment w:val="baseline"/>
        <w:rPr>
          <w:rFonts w:asciiTheme="majorHAnsi" w:hAnsiTheme="majorHAnsi" w:cstheme="majorBidi"/>
          <w:sz w:val="22"/>
          <w:szCs w:val="22"/>
          <w:lang w:val="en-GB"/>
        </w:rPr>
      </w:pPr>
      <w:r w:rsidRPr="07C884CF">
        <w:rPr>
          <w:rFonts w:asciiTheme="majorHAnsi" w:hAnsiTheme="majorHAnsi" w:cstheme="majorBidi"/>
          <w:sz w:val="22"/>
          <w:szCs w:val="22"/>
          <w:lang w:val="en-GB"/>
        </w:rPr>
        <w:t>Slow progress on gender equality, disability and social inclusion (GEDSI) contributes to health inequities and poor outcomes in PNG.  Women and girls make up around 48</w:t>
      </w:r>
      <w:r w:rsidR="00B40B81" w:rsidRPr="07C884CF">
        <w:rPr>
          <w:rFonts w:asciiTheme="majorHAnsi" w:hAnsiTheme="majorHAnsi" w:cstheme="majorBidi"/>
          <w:sz w:val="22"/>
          <w:szCs w:val="22"/>
          <w:lang w:val="en-GB"/>
        </w:rPr>
        <w:t xml:space="preserve"> per cent</w:t>
      </w:r>
      <w:r w:rsidRPr="07C884CF">
        <w:rPr>
          <w:rFonts w:asciiTheme="majorHAnsi" w:hAnsiTheme="majorHAnsi" w:cstheme="majorBidi"/>
          <w:sz w:val="22"/>
          <w:szCs w:val="22"/>
          <w:lang w:val="en-GB"/>
        </w:rPr>
        <w:t xml:space="preserve"> of the PNG population, more than 85</w:t>
      </w:r>
      <w:r w:rsidR="00B40B81" w:rsidRPr="07C884CF">
        <w:rPr>
          <w:rFonts w:asciiTheme="majorHAnsi" w:hAnsiTheme="majorHAnsi" w:cstheme="majorBidi"/>
          <w:sz w:val="22"/>
          <w:szCs w:val="22"/>
          <w:lang w:val="en-GB"/>
        </w:rPr>
        <w:t xml:space="preserve"> per cent</w:t>
      </w:r>
      <w:r w:rsidRPr="07C884CF">
        <w:rPr>
          <w:rFonts w:asciiTheme="majorHAnsi" w:hAnsiTheme="majorHAnsi" w:cstheme="majorBidi"/>
          <w:sz w:val="22"/>
          <w:szCs w:val="22"/>
          <w:lang w:val="en-GB"/>
        </w:rPr>
        <w:t xml:space="preserve"> reside rurally, and there are an estimated 1,600,000 people with a disability. Rates of physical and sexual violence against women are persistently high, with women and girls with a disability at even greater risk with significant consequences for their health. Exclusion from services by health workers directly or due to challenges in accessing appropriate services </w:t>
      </w:r>
      <w:r w:rsidR="002E1DD0" w:rsidRPr="07C884CF">
        <w:rPr>
          <w:rFonts w:asciiTheme="majorHAnsi" w:hAnsiTheme="majorHAnsi" w:cstheme="majorBidi"/>
          <w:sz w:val="22"/>
          <w:szCs w:val="22"/>
          <w:lang w:val="en-GB"/>
        </w:rPr>
        <w:t>(</w:t>
      </w:r>
      <w:r w:rsidRPr="07C884CF">
        <w:rPr>
          <w:rFonts w:asciiTheme="majorHAnsi" w:hAnsiTheme="majorHAnsi" w:cstheme="majorBidi"/>
          <w:sz w:val="22"/>
          <w:szCs w:val="22"/>
          <w:lang w:val="en-GB"/>
        </w:rPr>
        <w:t>because of gender, age, place of residence, disability or marginalisation</w:t>
      </w:r>
      <w:r w:rsidR="002E1DD0" w:rsidRPr="07C884CF">
        <w:rPr>
          <w:rFonts w:asciiTheme="majorHAnsi" w:hAnsiTheme="majorHAnsi" w:cstheme="majorBidi"/>
          <w:sz w:val="22"/>
          <w:szCs w:val="22"/>
          <w:lang w:val="en-GB"/>
        </w:rPr>
        <w:t>)</w:t>
      </w:r>
      <w:r w:rsidRPr="07C884CF">
        <w:rPr>
          <w:rFonts w:asciiTheme="majorHAnsi" w:hAnsiTheme="majorHAnsi" w:cstheme="majorBidi"/>
          <w:sz w:val="22"/>
          <w:szCs w:val="22"/>
          <w:lang w:val="en-GB"/>
        </w:rPr>
        <w:t xml:space="preserve"> prevents people from receiving the care they need. </w:t>
      </w:r>
      <w:r w:rsidR="008A6AB2" w:rsidRPr="07C884CF">
        <w:rPr>
          <w:rFonts w:asciiTheme="majorHAnsi" w:hAnsiTheme="majorHAnsi" w:cstheme="majorBidi"/>
          <w:sz w:val="22"/>
          <w:szCs w:val="22"/>
          <w:lang w:val="en-GB"/>
        </w:rPr>
        <w:t>Enhanced a</w:t>
      </w:r>
      <w:r w:rsidRPr="07C884CF">
        <w:rPr>
          <w:rFonts w:asciiTheme="majorHAnsi" w:hAnsiTheme="majorHAnsi" w:cstheme="majorBidi"/>
          <w:sz w:val="22"/>
          <w:szCs w:val="22"/>
          <w:lang w:val="en-GB"/>
        </w:rPr>
        <w:t>ttention to gender equality, disability and social inclusion (GEDSI) is necessary to progress health.</w:t>
      </w:r>
    </w:p>
    <w:p w14:paraId="1DB96327" w14:textId="77777777" w:rsidR="00EB780C" w:rsidRPr="009B2336" w:rsidRDefault="00EB780C" w:rsidP="00985B3F">
      <w:pPr>
        <w:spacing w:after="0"/>
        <w:rPr>
          <w:rFonts w:asciiTheme="majorHAnsi" w:hAnsiTheme="majorHAnsi" w:cstheme="majorHAnsi"/>
          <w:color w:val="auto"/>
          <w:lang w:eastAsia="en-AU"/>
        </w:rPr>
      </w:pPr>
      <w:r w:rsidRPr="009B2336">
        <w:rPr>
          <w:rFonts w:asciiTheme="majorHAnsi" w:hAnsiTheme="majorHAnsi" w:cstheme="majorHAnsi"/>
          <w:color w:val="auto"/>
        </w:rPr>
        <w:t>PNG is highly vulnerable to health emergencies.   Due to factors such as its relatively young population and small number of densely populated towns/cities, the impact of the COVID-19 pandemic did not appear to be as severe as in many other countries.  However, the crisis highlighted the fragility of PNG’s health system.  There was a lack of skilled emergency care clinicians, poor planning to manage surges, and resistance from health workers to pivot to work on COVID-19. Among health workers and the broader population, widespread vaccine resistance was fuelled by misinformation, poor health literacy and low health-seeking behaviour.   Information about the impact of climate change on health in PNG is limited. However, PNG is likely more at risk because the system cannot adapt to climate change-related shocks and stresses.</w:t>
      </w:r>
    </w:p>
    <w:p w14:paraId="6C1D96DF" w14:textId="2648DCFF" w:rsidR="00EB780C" w:rsidRPr="009B2336" w:rsidRDefault="00EB780C" w:rsidP="24CDE38A">
      <w:pPr>
        <w:pStyle w:val="NoSpacing"/>
        <w:spacing w:before="120"/>
        <w:rPr>
          <w:rFonts w:asciiTheme="majorHAnsi" w:hAnsiTheme="majorHAnsi" w:cstheme="majorBidi"/>
          <w:lang w:val="en-GB"/>
        </w:rPr>
      </w:pPr>
      <w:r w:rsidRPr="24CDE38A">
        <w:rPr>
          <w:rFonts w:asciiTheme="majorHAnsi" w:hAnsiTheme="majorHAnsi" w:cstheme="majorBidi"/>
          <w:lang w:val="en-GB"/>
        </w:rPr>
        <w:t xml:space="preserve">There are multiple </w:t>
      </w:r>
      <w:r w:rsidR="00CA01B8" w:rsidRPr="24CDE38A">
        <w:rPr>
          <w:rFonts w:asciiTheme="majorHAnsi" w:hAnsiTheme="majorHAnsi" w:cstheme="majorBidi"/>
          <w:lang w:val="en-GB"/>
        </w:rPr>
        <w:t>development partners in the</w:t>
      </w:r>
      <w:r w:rsidRPr="24CDE38A">
        <w:rPr>
          <w:rFonts w:asciiTheme="majorHAnsi" w:hAnsiTheme="majorHAnsi" w:cstheme="majorBidi"/>
          <w:lang w:val="en-GB"/>
        </w:rPr>
        <w:t xml:space="preserve"> PNG health sector, including UN Agencies (WHO, UNICEF,</w:t>
      </w:r>
      <w:r w:rsidR="00CA01B8" w:rsidRPr="24CDE38A">
        <w:rPr>
          <w:rFonts w:asciiTheme="majorHAnsi" w:hAnsiTheme="majorHAnsi" w:cstheme="majorBidi"/>
          <w:lang w:val="en-GB"/>
        </w:rPr>
        <w:t xml:space="preserve"> UNAIDS,</w:t>
      </w:r>
      <w:r w:rsidRPr="24CDE38A">
        <w:rPr>
          <w:rFonts w:asciiTheme="majorHAnsi" w:hAnsiTheme="majorHAnsi" w:cstheme="majorBidi"/>
          <w:lang w:val="en-GB"/>
        </w:rPr>
        <w:t xml:space="preserve"> UNFPA and UNOPS), Gavi, the Global Fund to Fight HIV, TB and Malaria, the World Bank, and the Asian Development Bank</w:t>
      </w:r>
      <w:r w:rsidR="00CA01B8" w:rsidRPr="24CDE38A">
        <w:rPr>
          <w:rFonts w:asciiTheme="majorHAnsi" w:hAnsiTheme="majorHAnsi" w:cstheme="majorBidi"/>
          <w:lang w:val="en-GB"/>
        </w:rPr>
        <w:t>; many saw funding and staffing reductions over the course of 2025</w:t>
      </w:r>
      <w:r w:rsidRPr="24CDE38A">
        <w:rPr>
          <w:rFonts w:asciiTheme="majorHAnsi" w:hAnsiTheme="majorHAnsi" w:cstheme="majorBidi"/>
          <w:lang w:val="en-GB"/>
        </w:rPr>
        <w:t xml:space="preserve">.  The US </w:t>
      </w:r>
      <w:r w:rsidR="00CA01B8" w:rsidRPr="24CDE38A">
        <w:rPr>
          <w:rFonts w:asciiTheme="majorHAnsi" w:hAnsiTheme="majorHAnsi" w:cstheme="majorBidi"/>
          <w:lang w:val="en-GB"/>
        </w:rPr>
        <w:t>has a very small remaining health security footprint</w:t>
      </w:r>
      <w:r w:rsidRPr="24CDE38A">
        <w:rPr>
          <w:rFonts w:asciiTheme="majorHAnsi" w:hAnsiTheme="majorHAnsi" w:cstheme="majorBidi"/>
          <w:lang w:val="en-GB"/>
        </w:rPr>
        <w:t>.  New Zealand contributes to an immunisation project jointly with Australia and Gavi. China financed the New Enga Provincial Hospital and has a long-standing partnership with Port Moresby General Hospital (PMGH).  There are many international and local NGOs operating in the health sector.  Large resource firms, including Santos, Exxon and Total, commit funds for projects in the locations where they operate.  All bring resources and expertise to the</w:t>
      </w:r>
      <w:r w:rsidR="008D2C72" w:rsidRPr="24CDE38A">
        <w:rPr>
          <w:rFonts w:asciiTheme="majorHAnsi" w:hAnsiTheme="majorHAnsi" w:cstheme="majorBidi"/>
          <w:lang w:val="en-GB"/>
        </w:rPr>
        <w:t xml:space="preserve"> health</w:t>
      </w:r>
      <w:r w:rsidRPr="24CDE38A">
        <w:rPr>
          <w:rFonts w:asciiTheme="majorHAnsi" w:hAnsiTheme="majorHAnsi" w:cstheme="majorBidi"/>
          <w:lang w:val="en-GB"/>
        </w:rPr>
        <w:t xml:space="preserve"> </w:t>
      </w:r>
      <w:proofErr w:type="gramStart"/>
      <w:r w:rsidRPr="24CDE38A">
        <w:rPr>
          <w:rFonts w:asciiTheme="majorHAnsi" w:hAnsiTheme="majorHAnsi" w:cstheme="majorBidi"/>
          <w:lang w:val="en-GB"/>
        </w:rPr>
        <w:t>sector</w:t>
      </w:r>
      <w:r w:rsidR="008D2C72" w:rsidRPr="24CDE38A">
        <w:rPr>
          <w:rFonts w:asciiTheme="majorHAnsi" w:hAnsiTheme="majorHAnsi" w:cstheme="majorBidi"/>
          <w:lang w:val="en-GB"/>
        </w:rPr>
        <w:t>,</w:t>
      </w:r>
      <w:proofErr w:type="gramEnd"/>
      <w:r w:rsidR="008D2C72" w:rsidRPr="24CDE38A">
        <w:rPr>
          <w:rFonts w:asciiTheme="majorHAnsi" w:hAnsiTheme="majorHAnsi" w:cstheme="majorBidi"/>
          <w:lang w:val="en-GB"/>
        </w:rPr>
        <w:t xml:space="preserve"> however Australia is the largest and has broadest influence across different aspects of the sector</w:t>
      </w:r>
      <w:r w:rsidR="00822126" w:rsidRPr="24CDE38A">
        <w:rPr>
          <w:rFonts w:asciiTheme="majorHAnsi" w:hAnsiTheme="majorHAnsi" w:cstheme="majorBidi"/>
          <w:lang w:val="en-GB"/>
        </w:rPr>
        <w:t xml:space="preserve"> given the scope and depth of our funding through both bilateral and regional programs</w:t>
      </w:r>
      <w:r w:rsidRPr="24CDE38A">
        <w:rPr>
          <w:rFonts w:asciiTheme="majorHAnsi" w:hAnsiTheme="majorHAnsi" w:cstheme="majorBidi"/>
          <w:lang w:val="en-GB"/>
        </w:rPr>
        <w:t xml:space="preserve">.  </w:t>
      </w:r>
    </w:p>
    <w:p w14:paraId="3C87EF15" w14:textId="6508972B" w:rsidR="008122C5" w:rsidRPr="008122C5" w:rsidRDefault="008122C5" w:rsidP="008122C5">
      <w:pPr>
        <w:pStyle w:val="pf0"/>
        <w:spacing w:after="0" w:afterAutospacing="0"/>
        <w:rPr>
          <w:rFonts w:asciiTheme="majorHAnsi" w:eastAsiaTheme="minorEastAsia" w:hAnsiTheme="majorHAnsi" w:cstheme="majorHAnsi"/>
          <w:b/>
          <w:bCs/>
          <w:sz w:val="22"/>
          <w:szCs w:val="22"/>
          <w:lang w:eastAsia="en-US"/>
        </w:rPr>
      </w:pPr>
      <w:bookmarkStart w:id="16" w:name="_Toc1986434154"/>
      <w:bookmarkStart w:id="17" w:name="_Toc161239484"/>
      <w:r w:rsidRPr="008122C5">
        <w:rPr>
          <w:rFonts w:asciiTheme="majorHAnsi" w:eastAsiaTheme="minorEastAsia" w:hAnsiTheme="majorHAnsi" w:cstheme="majorHAnsi"/>
          <w:b/>
          <w:bCs/>
          <w:sz w:val="22"/>
          <w:szCs w:val="22"/>
          <w:lang w:eastAsia="en-US"/>
        </w:rPr>
        <w:t xml:space="preserve">Current </w:t>
      </w:r>
      <w:r>
        <w:rPr>
          <w:rFonts w:asciiTheme="majorHAnsi" w:eastAsiaTheme="minorEastAsia" w:hAnsiTheme="majorHAnsi" w:cstheme="majorHAnsi"/>
          <w:b/>
          <w:bCs/>
          <w:sz w:val="22"/>
          <w:szCs w:val="22"/>
          <w:lang w:eastAsia="en-US"/>
        </w:rPr>
        <w:t>Australian i</w:t>
      </w:r>
      <w:r w:rsidRPr="008122C5">
        <w:rPr>
          <w:rFonts w:asciiTheme="majorHAnsi" w:eastAsiaTheme="minorEastAsia" w:hAnsiTheme="majorHAnsi" w:cstheme="majorHAnsi"/>
          <w:b/>
          <w:bCs/>
          <w:sz w:val="22"/>
          <w:szCs w:val="22"/>
          <w:lang w:eastAsia="en-US"/>
        </w:rPr>
        <w:t>nvestments</w:t>
      </w:r>
      <w:bookmarkEnd w:id="16"/>
      <w:bookmarkEnd w:id="17"/>
      <w:r>
        <w:rPr>
          <w:rFonts w:asciiTheme="majorHAnsi" w:eastAsiaTheme="minorEastAsia" w:hAnsiTheme="majorHAnsi" w:cstheme="majorHAnsi"/>
          <w:b/>
          <w:bCs/>
          <w:sz w:val="22"/>
          <w:szCs w:val="22"/>
          <w:lang w:eastAsia="en-US"/>
        </w:rPr>
        <w:t xml:space="preserve"> for health in PNG</w:t>
      </w:r>
    </w:p>
    <w:p w14:paraId="040CEABA" w14:textId="290A7F25" w:rsidR="008122C5" w:rsidRPr="008122C5" w:rsidRDefault="002A5281" w:rsidP="008122C5">
      <w:pPr>
        <w:pStyle w:val="NoSpacing"/>
        <w:spacing w:before="120"/>
        <w:rPr>
          <w:rFonts w:asciiTheme="majorHAnsi" w:hAnsiTheme="majorHAnsi" w:cstheme="majorBidi"/>
          <w:lang w:val="en-GB"/>
        </w:rPr>
      </w:pPr>
      <w:r w:rsidRPr="79E4F0CB">
        <w:rPr>
          <w:rFonts w:asciiTheme="majorHAnsi" w:hAnsiTheme="majorHAnsi" w:cstheme="majorBidi"/>
          <w:lang w:val="en-GB"/>
        </w:rPr>
        <w:t>DFAT’s</w:t>
      </w:r>
      <w:r w:rsidR="008122C5" w:rsidRPr="79E4F0CB">
        <w:rPr>
          <w:rFonts w:asciiTheme="majorHAnsi" w:hAnsiTheme="majorHAnsi" w:cstheme="majorBidi"/>
          <w:lang w:val="en-GB"/>
        </w:rPr>
        <w:t xml:space="preserve"> current portfolio</w:t>
      </w:r>
      <w:r w:rsidR="00CF7A63" w:rsidRPr="79E4F0CB">
        <w:rPr>
          <w:rFonts w:asciiTheme="majorHAnsi" w:hAnsiTheme="majorHAnsi" w:cstheme="majorBidi"/>
          <w:lang w:val="en-GB"/>
        </w:rPr>
        <w:t xml:space="preserve"> of programs</w:t>
      </w:r>
      <w:r w:rsidR="008122C5" w:rsidRPr="79E4F0CB">
        <w:rPr>
          <w:rFonts w:asciiTheme="majorHAnsi" w:hAnsiTheme="majorHAnsi" w:cstheme="majorBidi"/>
          <w:lang w:val="en-GB"/>
        </w:rPr>
        <w:t xml:space="preserve"> includes investments that have been developed, implemented and refined over the last decade and combine support for specific services, health system support, infrastructure, and responses to specific requests.</w:t>
      </w:r>
    </w:p>
    <w:p w14:paraId="49087B9D" w14:textId="7D53AB23" w:rsidR="008122C5" w:rsidRPr="008122C5" w:rsidRDefault="008122C5" w:rsidP="008122C5">
      <w:pPr>
        <w:pStyle w:val="NoSpacing"/>
        <w:spacing w:before="120"/>
        <w:rPr>
          <w:rFonts w:asciiTheme="majorHAnsi" w:hAnsiTheme="majorHAnsi" w:cstheme="majorHAnsi"/>
          <w:lang w:val="en-GB"/>
        </w:rPr>
      </w:pPr>
      <w:r w:rsidRPr="008122C5">
        <w:rPr>
          <w:rFonts w:asciiTheme="majorHAnsi" w:hAnsiTheme="majorHAnsi" w:cstheme="majorHAnsi"/>
        </w:rPr>
        <w:t xml:space="preserve">The </w:t>
      </w:r>
      <w:r w:rsidR="00B73814">
        <w:rPr>
          <w:rFonts w:asciiTheme="majorHAnsi" w:hAnsiTheme="majorHAnsi" w:cstheme="majorHAnsi"/>
        </w:rPr>
        <w:t>six</w:t>
      </w:r>
      <w:r w:rsidRPr="008122C5">
        <w:rPr>
          <w:rFonts w:asciiTheme="majorHAnsi" w:hAnsiTheme="majorHAnsi" w:cstheme="majorHAnsi"/>
        </w:rPr>
        <w:t>-year, $2</w:t>
      </w:r>
      <w:r w:rsidR="00B73814">
        <w:rPr>
          <w:rFonts w:asciiTheme="majorHAnsi" w:hAnsiTheme="majorHAnsi" w:cstheme="majorHAnsi"/>
        </w:rPr>
        <w:t>8</w:t>
      </w:r>
      <w:r w:rsidRPr="008122C5">
        <w:rPr>
          <w:rFonts w:asciiTheme="majorHAnsi" w:hAnsiTheme="majorHAnsi" w:cstheme="majorHAnsi"/>
        </w:rPr>
        <w:t xml:space="preserve">0 million PNG-Australia Transition to Health (PATH) </w:t>
      </w:r>
      <w:r w:rsidR="002A5281">
        <w:rPr>
          <w:rFonts w:asciiTheme="majorHAnsi" w:hAnsiTheme="majorHAnsi" w:cstheme="majorHAnsi"/>
        </w:rPr>
        <w:t xml:space="preserve">program </w:t>
      </w:r>
      <w:r w:rsidRPr="008122C5">
        <w:rPr>
          <w:rFonts w:asciiTheme="majorHAnsi" w:hAnsiTheme="majorHAnsi" w:cstheme="majorHAnsi"/>
        </w:rPr>
        <w:t xml:space="preserve">implements </w:t>
      </w:r>
      <w:r w:rsidR="002A5281">
        <w:rPr>
          <w:rFonts w:asciiTheme="majorHAnsi" w:hAnsiTheme="majorHAnsi" w:cstheme="majorHAnsi"/>
        </w:rPr>
        <w:t>projects</w:t>
      </w:r>
      <w:r w:rsidRPr="008122C5">
        <w:rPr>
          <w:rFonts w:asciiTheme="majorHAnsi" w:hAnsiTheme="majorHAnsi" w:cstheme="majorHAnsi"/>
        </w:rPr>
        <w:t xml:space="preserve"> across </w:t>
      </w:r>
      <w:r w:rsidR="00400C6A">
        <w:rPr>
          <w:rFonts w:asciiTheme="majorHAnsi" w:hAnsiTheme="majorHAnsi" w:cstheme="majorHAnsi"/>
        </w:rPr>
        <w:t>all of PNG’s</w:t>
      </w:r>
      <w:r w:rsidRPr="008122C5">
        <w:rPr>
          <w:rFonts w:asciiTheme="majorHAnsi" w:hAnsiTheme="majorHAnsi" w:cstheme="majorHAnsi"/>
        </w:rPr>
        <w:t xml:space="preserve"> provinces </w:t>
      </w:r>
      <w:r w:rsidR="00400C6A">
        <w:rPr>
          <w:rFonts w:asciiTheme="majorHAnsi" w:hAnsiTheme="majorHAnsi" w:cstheme="majorHAnsi"/>
        </w:rPr>
        <w:t xml:space="preserve">including for </w:t>
      </w:r>
      <w:r w:rsidRPr="008122C5">
        <w:rPr>
          <w:rFonts w:asciiTheme="majorHAnsi" w:hAnsiTheme="majorHAnsi" w:cstheme="majorHAnsi"/>
        </w:rPr>
        <w:t xml:space="preserve">tuberculosis, </w:t>
      </w:r>
      <w:r w:rsidR="00400C6A">
        <w:rPr>
          <w:rFonts w:asciiTheme="majorHAnsi" w:hAnsiTheme="majorHAnsi" w:cstheme="majorHAnsi"/>
        </w:rPr>
        <w:t>HIV</w:t>
      </w:r>
      <w:r w:rsidRPr="008122C5">
        <w:rPr>
          <w:rFonts w:asciiTheme="majorHAnsi" w:hAnsiTheme="majorHAnsi" w:cstheme="majorHAnsi"/>
        </w:rPr>
        <w:t>, routine immunisation, and sexual and reproductive health. It provides targeted technical assistance</w:t>
      </w:r>
      <w:r w:rsidRPr="008122C5">
        <w:rPr>
          <w:rFonts w:asciiTheme="majorHAnsi" w:hAnsiTheme="majorHAnsi" w:cstheme="majorHAnsi"/>
          <w:lang w:val="en-GB"/>
        </w:rPr>
        <w:t> to</w:t>
      </w:r>
      <w:r w:rsidRPr="008122C5">
        <w:rPr>
          <w:rFonts w:asciiTheme="majorHAnsi" w:hAnsiTheme="majorHAnsi" w:cstheme="majorHAnsi"/>
        </w:rPr>
        <w:t xml:space="preserve"> the NDOH, Bougainville D</w:t>
      </w:r>
      <w:r w:rsidR="00B0607F">
        <w:rPr>
          <w:rFonts w:asciiTheme="majorHAnsi" w:hAnsiTheme="majorHAnsi" w:cstheme="majorHAnsi"/>
        </w:rPr>
        <w:t xml:space="preserve">epartment </w:t>
      </w:r>
      <w:r w:rsidRPr="008122C5">
        <w:rPr>
          <w:rFonts w:asciiTheme="majorHAnsi" w:hAnsiTheme="majorHAnsi" w:cstheme="majorHAnsi"/>
        </w:rPr>
        <w:t>o</w:t>
      </w:r>
      <w:r w:rsidR="00B0607F">
        <w:rPr>
          <w:rFonts w:asciiTheme="majorHAnsi" w:hAnsiTheme="majorHAnsi" w:cstheme="majorHAnsi"/>
        </w:rPr>
        <w:t xml:space="preserve">f </w:t>
      </w:r>
      <w:r w:rsidRPr="008122C5">
        <w:rPr>
          <w:rFonts w:asciiTheme="majorHAnsi" w:hAnsiTheme="majorHAnsi" w:cstheme="majorHAnsi"/>
        </w:rPr>
        <w:t>H</w:t>
      </w:r>
      <w:r w:rsidR="00B0607F">
        <w:rPr>
          <w:rFonts w:asciiTheme="majorHAnsi" w:hAnsiTheme="majorHAnsi" w:cstheme="majorHAnsi"/>
        </w:rPr>
        <w:t xml:space="preserve">ealth </w:t>
      </w:r>
      <w:r w:rsidRPr="008122C5">
        <w:rPr>
          <w:rFonts w:asciiTheme="majorHAnsi" w:hAnsiTheme="majorHAnsi" w:cstheme="majorHAnsi"/>
        </w:rPr>
        <w:t>and the P</w:t>
      </w:r>
      <w:r w:rsidR="00B0607F">
        <w:rPr>
          <w:rFonts w:asciiTheme="majorHAnsi" w:hAnsiTheme="majorHAnsi" w:cstheme="majorHAnsi"/>
        </w:rPr>
        <w:t xml:space="preserve">rovincial </w:t>
      </w:r>
      <w:r w:rsidRPr="008122C5">
        <w:rPr>
          <w:rFonts w:asciiTheme="majorHAnsi" w:hAnsiTheme="majorHAnsi" w:cstheme="majorHAnsi"/>
        </w:rPr>
        <w:t>H</w:t>
      </w:r>
      <w:r w:rsidR="005330B9">
        <w:rPr>
          <w:rFonts w:asciiTheme="majorHAnsi" w:hAnsiTheme="majorHAnsi" w:cstheme="majorHAnsi"/>
        </w:rPr>
        <w:t xml:space="preserve">eath </w:t>
      </w:r>
      <w:r w:rsidRPr="008122C5">
        <w:rPr>
          <w:rFonts w:asciiTheme="majorHAnsi" w:hAnsiTheme="majorHAnsi" w:cstheme="majorHAnsi"/>
        </w:rPr>
        <w:t>A</w:t>
      </w:r>
      <w:r w:rsidR="005330B9">
        <w:rPr>
          <w:rFonts w:asciiTheme="majorHAnsi" w:hAnsiTheme="majorHAnsi" w:cstheme="majorHAnsi"/>
        </w:rPr>
        <w:t>uthoritie</w:t>
      </w:r>
      <w:r w:rsidRPr="008122C5">
        <w:rPr>
          <w:rFonts w:asciiTheme="majorHAnsi" w:hAnsiTheme="majorHAnsi" w:cstheme="majorHAnsi"/>
        </w:rPr>
        <w:t>s of Western, West</w:t>
      </w:r>
      <w:r w:rsidR="005330B9">
        <w:rPr>
          <w:rFonts w:asciiTheme="majorHAnsi" w:hAnsiTheme="majorHAnsi" w:cstheme="majorHAnsi"/>
        </w:rPr>
        <w:t>ern</w:t>
      </w:r>
      <w:r w:rsidRPr="008122C5">
        <w:rPr>
          <w:rFonts w:asciiTheme="majorHAnsi" w:hAnsiTheme="majorHAnsi" w:cstheme="majorHAnsi"/>
        </w:rPr>
        <w:t xml:space="preserve"> Highlands, West Sepik, East New Britain and </w:t>
      </w:r>
      <w:proofErr w:type="spellStart"/>
      <w:r w:rsidRPr="008122C5">
        <w:rPr>
          <w:rFonts w:asciiTheme="majorHAnsi" w:hAnsiTheme="majorHAnsi" w:cstheme="majorHAnsi"/>
        </w:rPr>
        <w:t>Morobe</w:t>
      </w:r>
      <w:proofErr w:type="spellEnd"/>
      <w:r w:rsidRPr="008122C5">
        <w:rPr>
          <w:rFonts w:asciiTheme="majorHAnsi" w:hAnsiTheme="majorHAnsi" w:cstheme="majorHAnsi"/>
        </w:rPr>
        <w:t xml:space="preserve">.  PATH is DFAT’s most flexible delivery mechanism, and it implements a range of discrete tasks, often in response to specific requests from </w:t>
      </w:r>
      <w:r w:rsidR="005330B9">
        <w:rPr>
          <w:rFonts w:asciiTheme="majorHAnsi" w:hAnsiTheme="majorHAnsi" w:cstheme="majorHAnsi"/>
        </w:rPr>
        <w:t xml:space="preserve">the </w:t>
      </w:r>
      <w:r w:rsidRPr="008122C5">
        <w:rPr>
          <w:rFonts w:asciiTheme="majorHAnsi" w:hAnsiTheme="majorHAnsi" w:cstheme="majorHAnsi"/>
        </w:rPr>
        <w:t>PNG</w:t>
      </w:r>
      <w:r w:rsidR="005330B9">
        <w:rPr>
          <w:rFonts w:asciiTheme="majorHAnsi" w:hAnsiTheme="majorHAnsi" w:cstheme="majorHAnsi"/>
        </w:rPr>
        <w:t xml:space="preserve"> Government</w:t>
      </w:r>
      <w:r w:rsidRPr="008122C5">
        <w:rPr>
          <w:rFonts w:asciiTheme="majorHAnsi" w:hAnsiTheme="majorHAnsi" w:cstheme="majorHAnsi"/>
        </w:rPr>
        <w:t>.</w:t>
      </w:r>
    </w:p>
    <w:p w14:paraId="3B9027E5" w14:textId="3B6F225B" w:rsidR="008122C5" w:rsidRPr="008122C5" w:rsidRDefault="008122C5" w:rsidP="24CDE38A">
      <w:pPr>
        <w:pStyle w:val="NoSpacing"/>
        <w:spacing w:before="120"/>
        <w:rPr>
          <w:rFonts w:asciiTheme="majorHAnsi" w:hAnsiTheme="majorHAnsi" w:cstheme="majorBidi"/>
          <w:lang w:val="en-GB"/>
        </w:rPr>
      </w:pPr>
      <w:r w:rsidRPr="24CDE38A">
        <w:rPr>
          <w:rFonts w:asciiTheme="majorHAnsi" w:hAnsiTheme="majorHAnsi" w:cstheme="majorBidi"/>
        </w:rPr>
        <w:t xml:space="preserve">The ANGAU Memorial Provincial Hospital Redevelopment in Lae </w:t>
      </w:r>
      <w:r w:rsidR="00FB744D" w:rsidRPr="24CDE38A">
        <w:rPr>
          <w:rFonts w:asciiTheme="majorHAnsi" w:hAnsiTheme="majorHAnsi" w:cstheme="majorBidi"/>
        </w:rPr>
        <w:t>was</w:t>
      </w:r>
      <w:r w:rsidRPr="24CDE38A">
        <w:rPr>
          <w:rFonts w:asciiTheme="majorHAnsi" w:hAnsiTheme="majorHAnsi" w:cstheme="majorBidi"/>
        </w:rPr>
        <w:t xml:space="preserve"> Australia’s </w:t>
      </w:r>
      <w:r w:rsidR="00837323" w:rsidRPr="24CDE38A">
        <w:rPr>
          <w:rFonts w:asciiTheme="majorHAnsi" w:hAnsiTheme="majorHAnsi" w:cstheme="majorBidi"/>
        </w:rPr>
        <w:t xml:space="preserve">largest </w:t>
      </w:r>
      <w:r w:rsidR="00FB744D" w:rsidRPr="24CDE38A">
        <w:rPr>
          <w:rFonts w:asciiTheme="majorHAnsi" w:hAnsiTheme="majorHAnsi" w:cstheme="majorBidi"/>
        </w:rPr>
        <w:t xml:space="preserve">single project </w:t>
      </w:r>
      <w:r w:rsidRPr="24CDE38A">
        <w:rPr>
          <w:rFonts w:asciiTheme="majorHAnsi" w:hAnsiTheme="majorHAnsi" w:cstheme="majorBidi"/>
        </w:rPr>
        <w:t xml:space="preserve">($250 million) since PNG’s independence. </w:t>
      </w:r>
      <w:r w:rsidR="00DC2043" w:rsidRPr="24CDE38A">
        <w:rPr>
          <w:rFonts w:asciiTheme="majorHAnsi" w:hAnsiTheme="majorHAnsi" w:cstheme="majorBidi"/>
        </w:rPr>
        <w:t>While ANGAU is now complete, a separate Strategic Health Infrastructure Program ($90 million) is delivering a</w:t>
      </w:r>
      <w:r w:rsidR="0AAC47A6" w:rsidRPr="24CDE38A">
        <w:rPr>
          <w:rFonts w:asciiTheme="majorHAnsi" w:hAnsiTheme="majorHAnsi" w:cstheme="majorBidi"/>
        </w:rPr>
        <w:t xml:space="preserve"> </w:t>
      </w:r>
      <w:r w:rsidR="00DC2043" w:rsidRPr="24CDE38A">
        <w:rPr>
          <w:rFonts w:asciiTheme="majorHAnsi" w:hAnsiTheme="majorHAnsi" w:cstheme="majorBidi"/>
        </w:rPr>
        <w:t xml:space="preserve">new pharmacy and outpatients block, as well as a significant package of staff housing for Daru Hospital. </w:t>
      </w:r>
    </w:p>
    <w:p w14:paraId="44784EFE" w14:textId="3CFF289C" w:rsidR="008122C5" w:rsidRPr="008122C5" w:rsidRDefault="008122C5" w:rsidP="008122C5">
      <w:pPr>
        <w:pStyle w:val="NoSpacing"/>
        <w:spacing w:before="120"/>
        <w:rPr>
          <w:rFonts w:asciiTheme="majorHAnsi" w:hAnsiTheme="majorHAnsi" w:cstheme="majorHAnsi"/>
          <w:lang w:val="en-GB"/>
        </w:rPr>
      </w:pPr>
      <w:r w:rsidRPr="008122C5">
        <w:rPr>
          <w:rFonts w:asciiTheme="majorHAnsi" w:hAnsiTheme="majorHAnsi" w:cstheme="majorHAnsi"/>
          <w:lang w:val="en-GB"/>
        </w:rPr>
        <w:t>T</w:t>
      </w:r>
      <w:r w:rsidRPr="008122C5">
        <w:rPr>
          <w:rFonts w:asciiTheme="majorHAnsi" w:hAnsiTheme="majorHAnsi" w:cstheme="majorHAnsi"/>
        </w:rPr>
        <w:t xml:space="preserve">he USD204 million Health Services Sector Development Program (HSSDP, 2018-2027) is delivered through a partnership financed by USD9.5 million from </w:t>
      </w:r>
      <w:r w:rsidR="00837323">
        <w:rPr>
          <w:rFonts w:asciiTheme="majorHAnsi" w:hAnsiTheme="majorHAnsi" w:cstheme="majorHAnsi"/>
        </w:rPr>
        <w:t>the PNG Government</w:t>
      </w:r>
      <w:r w:rsidRPr="008122C5">
        <w:rPr>
          <w:rFonts w:asciiTheme="majorHAnsi" w:hAnsiTheme="majorHAnsi" w:cstheme="majorHAnsi"/>
        </w:rPr>
        <w:t xml:space="preserve">, USD135 million </w:t>
      </w:r>
      <w:r w:rsidR="00837323">
        <w:rPr>
          <w:rFonts w:asciiTheme="majorHAnsi" w:hAnsiTheme="majorHAnsi" w:cstheme="majorHAnsi"/>
        </w:rPr>
        <w:t xml:space="preserve">in </w:t>
      </w:r>
      <w:r w:rsidRPr="008122C5">
        <w:rPr>
          <w:rFonts w:asciiTheme="majorHAnsi" w:hAnsiTheme="majorHAnsi" w:cstheme="majorHAnsi"/>
        </w:rPr>
        <w:t xml:space="preserve">loan financing from </w:t>
      </w:r>
      <w:r w:rsidR="00837323">
        <w:rPr>
          <w:rFonts w:asciiTheme="majorHAnsi" w:hAnsiTheme="majorHAnsi" w:cstheme="majorHAnsi"/>
        </w:rPr>
        <w:t>the Asian Development Bank</w:t>
      </w:r>
      <w:r w:rsidRPr="008122C5">
        <w:rPr>
          <w:rFonts w:asciiTheme="majorHAnsi" w:hAnsiTheme="majorHAnsi" w:cstheme="majorHAnsi"/>
        </w:rPr>
        <w:t xml:space="preserve"> and USD59.5 million</w:t>
      </w:r>
      <w:r w:rsidR="00837323">
        <w:rPr>
          <w:rFonts w:asciiTheme="majorHAnsi" w:hAnsiTheme="majorHAnsi" w:cstheme="majorHAnsi"/>
        </w:rPr>
        <w:t xml:space="preserve"> in</w:t>
      </w:r>
      <w:r w:rsidRPr="008122C5">
        <w:rPr>
          <w:rFonts w:asciiTheme="majorHAnsi" w:hAnsiTheme="majorHAnsi" w:cstheme="majorHAnsi"/>
        </w:rPr>
        <w:t xml:space="preserve"> grant financing from DFAT. HSSDP is building 18</w:t>
      </w:r>
      <w:r w:rsidR="00326CC5">
        <w:rPr>
          <w:rFonts w:asciiTheme="majorHAnsi" w:hAnsiTheme="majorHAnsi" w:cstheme="majorHAnsi"/>
        </w:rPr>
        <w:t> </w:t>
      </w:r>
      <w:r w:rsidR="00400C6A">
        <w:rPr>
          <w:rFonts w:asciiTheme="majorHAnsi" w:hAnsiTheme="majorHAnsi" w:cstheme="majorHAnsi"/>
        </w:rPr>
        <w:t>rural</w:t>
      </w:r>
      <w:r w:rsidRPr="008122C5">
        <w:rPr>
          <w:rFonts w:asciiTheme="majorHAnsi" w:hAnsiTheme="majorHAnsi" w:cstheme="majorHAnsi"/>
        </w:rPr>
        <w:t xml:space="preserve"> health facilities and a national reference laboratory. It </w:t>
      </w:r>
      <w:r w:rsidR="0007487B">
        <w:rPr>
          <w:rFonts w:asciiTheme="majorHAnsi" w:hAnsiTheme="majorHAnsi" w:cstheme="majorHAnsi"/>
        </w:rPr>
        <w:t>funds</w:t>
      </w:r>
      <w:r w:rsidRPr="008122C5">
        <w:rPr>
          <w:rFonts w:asciiTheme="majorHAnsi" w:hAnsiTheme="majorHAnsi" w:cstheme="majorHAnsi"/>
        </w:rPr>
        <w:t xml:space="preserve"> PNG</w:t>
      </w:r>
      <w:r w:rsidR="00326CC5">
        <w:rPr>
          <w:rFonts w:asciiTheme="majorHAnsi" w:hAnsiTheme="majorHAnsi" w:cstheme="majorHAnsi"/>
        </w:rPr>
        <w:t>’</w:t>
      </w:r>
      <w:r w:rsidRPr="008122C5">
        <w:rPr>
          <w:rFonts w:asciiTheme="majorHAnsi" w:hAnsiTheme="majorHAnsi" w:cstheme="majorHAnsi"/>
        </w:rPr>
        <w:t xml:space="preserve">s </w:t>
      </w:r>
      <w:proofErr w:type="spellStart"/>
      <w:r w:rsidRPr="008122C5">
        <w:rPr>
          <w:rFonts w:asciiTheme="majorHAnsi" w:hAnsiTheme="majorHAnsi" w:cstheme="majorHAnsi"/>
        </w:rPr>
        <w:t>eNHIS</w:t>
      </w:r>
      <w:proofErr w:type="spellEnd"/>
      <w:r w:rsidRPr="008122C5">
        <w:rPr>
          <w:rFonts w:asciiTheme="majorHAnsi" w:hAnsiTheme="majorHAnsi" w:cstheme="majorHAnsi"/>
        </w:rPr>
        <w:t xml:space="preserve"> and provides policy development </w:t>
      </w:r>
      <w:r w:rsidRPr="008122C5">
        <w:rPr>
          <w:rFonts w:asciiTheme="majorHAnsi" w:hAnsiTheme="majorHAnsi" w:cstheme="majorHAnsi"/>
        </w:rPr>
        <w:lastRenderedPageBreak/>
        <w:t>and management training support.</w:t>
      </w:r>
      <w:r w:rsidRPr="008122C5">
        <w:rPr>
          <w:rFonts w:asciiTheme="majorHAnsi" w:hAnsiTheme="majorHAnsi" w:cstheme="majorHAnsi"/>
          <w:lang w:val="en-GB"/>
        </w:rPr>
        <w:t> </w:t>
      </w:r>
      <w:r w:rsidR="00DC2043">
        <w:rPr>
          <w:rFonts w:asciiTheme="majorHAnsi" w:hAnsiTheme="majorHAnsi" w:cstheme="majorHAnsi"/>
          <w:lang w:val="en-GB"/>
        </w:rPr>
        <w:t xml:space="preserve">A separate UNOPS investment ($9.4 million) is developing a toolkit for </w:t>
      </w:r>
      <w:r w:rsidR="00206394">
        <w:rPr>
          <w:rFonts w:asciiTheme="majorHAnsi" w:hAnsiTheme="majorHAnsi" w:cstheme="majorHAnsi"/>
          <w:lang w:val="en-GB"/>
        </w:rPr>
        <w:t xml:space="preserve">assessing and prioritising health infrastructure needs nationwide. </w:t>
      </w:r>
    </w:p>
    <w:p w14:paraId="077A292E" w14:textId="77777777" w:rsidR="00DC2043" w:rsidRDefault="008122C5" w:rsidP="24CDE38A">
      <w:pPr>
        <w:pStyle w:val="NoSpacing"/>
        <w:spacing w:before="120"/>
        <w:rPr>
          <w:rFonts w:asciiTheme="majorHAnsi" w:hAnsiTheme="majorHAnsi" w:cstheme="majorBidi"/>
          <w:lang w:val="en-GB"/>
        </w:rPr>
      </w:pPr>
      <w:r w:rsidRPr="24CDE38A">
        <w:rPr>
          <w:rFonts w:asciiTheme="majorHAnsi" w:hAnsiTheme="majorHAnsi" w:cstheme="majorBidi"/>
          <w:lang w:val="en-GB"/>
        </w:rPr>
        <w:t>Bilateral funding to the PNG WHO Country Office ($</w:t>
      </w:r>
      <w:r w:rsidR="00DC2043" w:rsidRPr="24CDE38A">
        <w:rPr>
          <w:rFonts w:asciiTheme="majorHAnsi" w:hAnsiTheme="majorHAnsi" w:cstheme="majorBidi"/>
          <w:lang w:val="en-GB"/>
        </w:rPr>
        <w:t>15</w:t>
      </w:r>
      <w:r w:rsidRPr="24CDE38A">
        <w:rPr>
          <w:rFonts w:asciiTheme="majorHAnsi" w:hAnsiTheme="majorHAnsi" w:cstheme="majorBidi"/>
          <w:lang w:val="en-GB"/>
        </w:rPr>
        <w:t xml:space="preserve"> million, </w:t>
      </w:r>
      <w:r w:rsidR="00DC2043" w:rsidRPr="24CDE38A">
        <w:rPr>
          <w:rFonts w:asciiTheme="majorHAnsi" w:hAnsiTheme="majorHAnsi" w:cstheme="majorBidi"/>
          <w:lang w:val="en-GB"/>
        </w:rPr>
        <w:t>2025-2028</w:t>
      </w:r>
      <w:r w:rsidRPr="24CDE38A">
        <w:rPr>
          <w:rFonts w:asciiTheme="majorHAnsi" w:hAnsiTheme="majorHAnsi" w:cstheme="majorBidi"/>
          <w:lang w:val="en-GB"/>
        </w:rPr>
        <w:t xml:space="preserve">) provides technical officers for </w:t>
      </w:r>
      <w:r w:rsidR="00DC2043" w:rsidRPr="24CDE38A">
        <w:rPr>
          <w:rFonts w:asciiTheme="majorHAnsi" w:hAnsiTheme="majorHAnsi" w:cstheme="majorBidi"/>
          <w:lang w:val="en-GB"/>
        </w:rPr>
        <w:t xml:space="preserve">areas including </w:t>
      </w:r>
      <w:r w:rsidRPr="24CDE38A">
        <w:rPr>
          <w:rFonts w:asciiTheme="majorHAnsi" w:hAnsiTheme="majorHAnsi" w:cstheme="majorBidi"/>
          <w:lang w:val="en-GB"/>
        </w:rPr>
        <w:t xml:space="preserve">health system strengthening, human resources for health, maternal and child health, </w:t>
      </w:r>
      <w:r w:rsidR="00DC2043" w:rsidRPr="24CDE38A">
        <w:rPr>
          <w:rFonts w:asciiTheme="majorHAnsi" w:hAnsiTheme="majorHAnsi" w:cstheme="majorBidi"/>
          <w:lang w:val="en-GB"/>
        </w:rPr>
        <w:t xml:space="preserve">and </w:t>
      </w:r>
      <w:r w:rsidRPr="24CDE38A">
        <w:rPr>
          <w:rFonts w:asciiTheme="majorHAnsi" w:hAnsiTheme="majorHAnsi" w:cstheme="majorBidi"/>
          <w:lang w:val="en-GB"/>
        </w:rPr>
        <w:t>essential medicines</w:t>
      </w:r>
      <w:r w:rsidR="00DC2043" w:rsidRPr="24CDE38A">
        <w:rPr>
          <w:rFonts w:asciiTheme="majorHAnsi" w:hAnsiTheme="majorHAnsi" w:cstheme="majorBidi"/>
          <w:lang w:val="en-GB"/>
        </w:rPr>
        <w:t>, and associated activities</w:t>
      </w:r>
      <w:r w:rsidRPr="24CDE38A">
        <w:rPr>
          <w:rFonts w:asciiTheme="majorHAnsi" w:hAnsiTheme="majorHAnsi" w:cstheme="majorBidi"/>
          <w:lang w:val="en-GB"/>
        </w:rPr>
        <w:t xml:space="preserve">.  </w:t>
      </w:r>
    </w:p>
    <w:p w14:paraId="5312164A" w14:textId="5C3CDB28" w:rsidR="008122C5" w:rsidRPr="008122C5" w:rsidRDefault="008122C5" w:rsidP="008122C5">
      <w:pPr>
        <w:pStyle w:val="NoSpacing"/>
        <w:spacing w:before="120"/>
        <w:rPr>
          <w:rFonts w:asciiTheme="majorHAnsi" w:hAnsiTheme="majorHAnsi" w:cstheme="majorHAnsi"/>
          <w:lang w:val="en-GB"/>
        </w:rPr>
      </w:pPr>
      <w:r w:rsidRPr="008122C5">
        <w:rPr>
          <w:rFonts w:asciiTheme="majorHAnsi" w:hAnsiTheme="majorHAnsi" w:cstheme="majorHAnsi"/>
        </w:rPr>
        <w:t xml:space="preserve">Through Australia Awards, in-country scholarships for nurses and midwives at five schools are provided to bolster the production of health workers. Outreach and health services along the Kokoda Track are funded through the sub-national program, and the Economic and Social Infrastructure Program </w:t>
      </w:r>
      <w:r w:rsidR="00206394">
        <w:rPr>
          <w:rFonts w:asciiTheme="majorHAnsi" w:hAnsiTheme="majorHAnsi" w:cstheme="majorHAnsi"/>
        </w:rPr>
        <w:t xml:space="preserve">and </w:t>
      </w:r>
      <w:r w:rsidRPr="008122C5">
        <w:rPr>
          <w:rFonts w:asciiTheme="majorHAnsi" w:hAnsiTheme="majorHAnsi" w:cstheme="majorHAnsi"/>
        </w:rPr>
        <w:t xml:space="preserve">The Incentive Fund </w:t>
      </w:r>
      <w:r w:rsidR="00206394">
        <w:rPr>
          <w:rFonts w:asciiTheme="majorHAnsi" w:hAnsiTheme="majorHAnsi" w:cstheme="majorHAnsi"/>
        </w:rPr>
        <w:t>both support infrastructure</w:t>
      </w:r>
      <w:r w:rsidRPr="008122C5">
        <w:rPr>
          <w:rFonts w:asciiTheme="majorHAnsi" w:hAnsiTheme="majorHAnsi" w:cstheme="majorHAnsi"/>
        </w:rPr>
        <w:t xml:space="preserve"> </w:t>
      </w:r>
      <w:r w:rsidR="00206394">
        <w:rPr>
          <w:rFonts w:asciiTheme="majorHAnsi" w:hAnsiTheme="majorHAnsi" w:cstheme="majorHAnsi"/>
        </w:rPr>
        <w:t>p</w:t>
      </w:r>
      <w:r w:rsidRPr="008122C5">
        <w:rPr>
          <w:rFonts w:asciiTheme="majorHAnsi" w:hAnsiTheme="majorHAnsi" w:cstheme="majorHAnsi"/>
        </w:rPr>
        <w:t>rojects in the health sector.</w:t>
      </w:r>
    </w:p>
    <w:p w14:paraId="25392449" w14:textId="2EAD32B4" w:rsidR="00EB780C" w:rsidRDefault="00435A41" w:rsidP="00463672">
      <w:pPr>
        <w:pStyle w:val="NoSpacing"/>
        <w:spacing w:before="120"/>
        <w:rPr>
          <w:rFonts w:eastAsiaTheme="majorEastAsia" w:cstheme="minorHAnsi"/>
          <w:b/>
          <w:bCs/>
          <w:caps/>
          <w:sz w:val="38"/>
          <w:szCs w:val="28"/>
        </w:rPr>
      </w:pPr>
      <w:r w:rsidRPr="24CDE38A">
        <w:rPr>
          <w:rFonts w:asciiTheme="majorHAnsi" w:hAnsiTheme="majorHAnsi" w:cstheme="majorBidi"/>
          <w:lang w:val="en-GB"/>
        </w:rPr>
        <w:t>Annually, the</w:t>
      </w:r>
      <w:r w:rsidR="008122C5" w:rsidRPr="24CDE38A">
        <w:rPr>
          <w:rFonts w:asciiTheme="majorHAnsi" w:hAnsiTheme="majorHAnsi" w:cstheme="majorBidi"/>
          <w:lang w:val="en-GB"/>
        </w:rPr>
        <w:t xml:space="preserve"> Australian NGO Cooperation Program </w:t>
      </w:r>
      <w:r w:rsidRPr="24CDE38A">
        <w:rPr>
          <w:rFonts w:asciiTheme="majorHAnsi" w:hAnsiTheme="majorHAnsi" w:cstheme="majorBidi"/>
          <w:lang w:val="en-GB"/>
        </w:rPr>
        <w:t>funds between 10 and 20</w:t>
      </w:r>
      <w:r w:rsidR="008122C5" w:rsidRPr="24CDE38A">
        <w:rPr>
          <w:rFonts w:asciiTheme="majorHAnsi" w:hAnsiTheme="majorHAnsi" w:cstheme="majorBidi"/>
          <w:lang w:val="en-GB"/>
        </w:rPr>
        <w:t xml:space="preserve"> health-related projects (</w:t>
      </w:r>
      <w:r w:rsidRPr="24CDE38A">
        <w:rPr>
          <w:rFonts w:asciiTheme="majorHAnsi" w:hAnsiTheme="majorHAnsi" w:cstheme="majorBidi"/>
          <w:lang w:val="en-GB"/>
        </w:rPr>
        <w:t xml:space="preserve">valued between $5 and 10 </w:t>
      </w:r>
      <w:r w:rsidR="008122C5" w:rsidRPr="24CDE38A">
        <w:rPr>
          <w:rFonts w:asciiTheme="majorHAnsi" w:hAnsiTheme="majorHAnsi" w:cstheme="majorBidi"/>
          <w:lang w:val="en-GB"/>
        </w:rPr>
        <w:t xml:space="preserve">million) in PNG. The Partnerships for a Healthy Region initiative (managed by </w:t>
      </w:r>
      <w:r w:rsidR="00266BEA" w:rsidRPr="24CDE38A">
        <w:rPr>
          <w:rFonts w:asciiTheme="majorHAnsi" w:hAnsiTheme="majorHAnsi" w:cstheme="majorBidi"/>
          <w:lang w:val="en-GB"/>
        </w:rPr>
        <w:t>DFAT’s</w:t>
      </w:r>
      <w:r w:rsidR="008122C5" w:rsidRPr="24CDE38A">
        <w:rPr>
          <w:rFonts w:asciiTheme="majorHAnsi" w:hAnsiTheme="majorHAnsi" w:cstheme="majorBidi"/>
          <w:lang w:val="en-GB"/>
        </w:rPr>
        <w:t xml:space="preserve"> Global Health Division) includes PNG in all nine ‘strategic partnerships’ and six projects.  Additional support for </w:t>
      </w:r>
      <w:r w:rsidR="00E94B80" w:rsidRPr="24CDE38A">
        <w:rPr>
          <w:rFonts w:asciiTheme="majorHAnsi" w:hAnsiTheme="majorHAnsi" w:cstheme="majorBidi"/>
          <w:lang w:val="en-GB"/>
        </w:rPr>
        <w:t>health</w:t>
      </w:r>
      <w:r w:rsidR="002A2432" w:rsidRPr="24CDE38A">
        <w:rPr>
          <w:rFonts w:asciiTheme="majorHAnsi" w:hAnsiTheme="majorHAnsi" w:cstheme="majorBidi"/>
          <w:lang w:val="en-GB"/>
        </w:rPr>
        <w:t xml:space="preserve"> in</w:t>
      </w:r>
      <w:r w:rsidR="00E94B80" w:rsidRPr="24CDE38A">
        <w:rPr>
          <w:rFonts w:asciiTheme="majorHAnsi" w:hAnsiTheme="majorHAnsi" w:cstheme="majorBidi"/>
          <w:lang w:val="en-GB"/>
        </w:rPr>
        <w:t xml:space="preserve"> </w:t>
      </w:r>
      <w:r w:rsidR="008122C5" w:rsidRPr="24CDE38A">
        <w:rPr>
          <w:rFonts w:asciiTheme="majorHAnsi" w:hAnsiTheme="majorHAnsi" w:cstheme="majorBidi"/>
          <w:lang w:val="en-GB"/>
        </w:rPr>
        <w:t xml:space="preserve">PNG </w:t>
      </w:r>
      <w:r w:rsidR="002A2432" w:rsidRPr="24CDE38A">
        <w:rPr>
          <w:rFonts w:asciiTheme="majorHAnsi" w:hAnsiTheme="majorHAnsi" w:cstheme="majorBidi"/>
          <w:lang w:val="en-GB"/>
        </w:rPr>
        <w:t>comes</w:t>
      </w:r>
      <w:r w:rsidR="008122C5" w:rsidRPr="24CDE38A">
        <w:rPr>
          <w:rFonts w:asciiTheme="majorHAnsi" w:hAnsiTheme="majorHAnsi" w:cstheme="majorBidi"/>
          <w:lang w:val="en-GB"/>
        </w:rPr>
        <w:t xml:space="preserve"> through our </w:t>
      </w:r>
      <w:r w:rsidR="002A2432" w:rsidRPr="24CDE38A">
        <w:rPr>
          <w:rFonts w:asciiTheme="majorHAnsi" w:hAnsiTheme="majorHAnsi" w:cstheme="majorBidi"/>
          <w:lang w:val="en-GB"/>
        </w:rPr>
        <w:t>core</w:t>
      </w:r>
      <w:r w:rsidR="008122C5" w:rsidRPr="24CDE38A">
        <w:rPr>
          <w:rFonts w:asciiTheme="majorHAnsi" w:hAnsiTheme="majorHAnsi" w:cstheme="majorBidi"/>
          <w:lang w:val="en-GB"/>
        </w:rPr>
        <w:t xml:space="preserve"> contribution</w:t>
      </w:r>
      <w:r w:rsidR="00266BEA" w:rsidRPr="24CDE38A">
        <w:rPr>
          <w:rFonts w:asciiTheme="majorHAnsi" w:hAnsiTheme="majorHAnsi" w:cstheme="majorBidi"/>
          <w:lang w:val="en-GB"/>
        </w:rPr>
        <w:t>s UN and multilateral agencies including Gavi and</w:t>
      </w:r>
      <w:r w:rsidR="008122C5" w:rsidRPr="24CDE38A">
        <w:rPr>
          <w:rFonts w:asciiTheme="majorHAnsi" w:hAnsiTheme="majorHAnsi" w:cstheme="majorBidi"/>
          <w:lang w:val="en-GB"/>
        </w:rPr>
        <w:t xml:space="preserve"> the Global Fund</w:t>
      </w:r>
      <w:r w:rsidR="00266BEA" w:rsidRPr="24CDE38A">
        <w:rPr>
          <w:rFonts w:asciiTheme="majorHAnsi" w:hAnsiTheme="majorHAnsi" w:cstheme="majorBidi"/>
          <w:lang w:val="en-GB"/>
        </w:rPr>
        <w:t xml:space="preserve">. </w:t>
      </w:r>
    </w:p>
    <w:sectPr w:rsidR="00EB780C" w:rsidSect="00C76C0F">
      <w:headerReference w:type="default" r:id="rId8"/>
      <w:footerReference w:type="default" r:id="rId9"/>
      <w:footerReference w:type="first" r:id="rId10"/>
      <w:pgSz w:w="11906" w:h="16838" w:code="9"/>
      <w:pgMar w:top="993" w:right="1134" w:bottom="709" w:left="1134" w:header="425" w:footer="493"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00056" w14:textId="77777777" w:rsidR="00D03EDB" w:rsidRDefault="00D03EDB" w:rsidP="00D37B04">
      <w:r>
        <w:separator/>
      </w:r>
    </w:p>
  </w:endnote>
  <w:endnote w:type="continuationSeparator" w:id="0">
    <w:p w14:paraId="001D2A22" w14:textId="77777777" w:rsidR="00D03EDB" w:rsidRDefault="00D03EDB" w:rsidP="00D37B04">
      <w:r>
        <w:continuationSeparator/>
      </w:r>
    </w:p>
  </w:endnote>
  <w:endnote w:type="continuationNotice" w:id="1">
    <w:p w14:paraId="0A8D859B" w14:textId="77777777" w:rsidR="00D03EDB" w:rsidRDefault="00D03EDB">
      <w:pPr>
        <w:spacing w:before="0" w:after="0" w:line="240" w:lineRule="auto"/>
      </w:pPr>
    </w:p>
  </w:endnote>
  <w:endnote w:id="2">
    <w:p w14:paraId="52EEC816" w14:textId="5FA44EEE" w:rsidR="00EB780C" w:rsidRPr="008A06A7" w:rsidRDefault="00EB780C" w:rsidP="00EB780C">
      <w:pPr>
        <w:pStyle w:val="EndnoteText"/>
        <w:rPr>
          <w:lang w:val="en-A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useoSans-500">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E8B1B0" w14:paraId="4E54B843" w14:textId="77777777" w:rsidTr="0AE8B1B0">
      <w:trPr>
        <w:trHeight w:val="300"/>
      </w:trPr>
      <w:tc>
        <w:tcPr>
          <w:tcW w:w="3210" w:type="dxa"/>
        </w:tcPr>
        <w:p w14:paraId="0A788F33" w14:textId="1E74782A" w:rsidR="0AE8B1B0" w:rsidRDefault="0AE8B1B0" w:rsidP="0AE8B1B0">
          <w:pPr>
            <w:pStyle w:val="Header"/>
            <w:ind w:left="-115"/>
          </w:pPr>
        </w:p>
      </w:tc>
      <w:tc>
        <w:tcPr>
          <w:tcW w:w="3210" w:type="dxa"/>
        </w:tcPr>
        <w:p w14:paraId="11CC2C31" w14:textId="58FE1AEF" w:rsidR="0AE8B1B0" w:rsidRDefault="0AE8B1B0" w:rsidP="0AE8B1B0">
          <w:pPr>
            <w:pStyle w:val="Header"/>
            <w:jc w:val="center"/>
          </w:pPr>
        </w:p>
      </w:tc>
      <w:tc>
        <w:tcPr>
          <w:tcW w:w="3210" w:type="dxa"/>
        </w:tcPr>
        <w:p w14:paraId="4B6C258C" w14:textId="55459A10" w:rsidR="0AE8B1B0" w:rsidRDefault="0AE8B1B0" w:rsidP="0AE8B1B0">
          <w:pPr>
            <w:pStyle w:val="Header"/>
            <w:ind w:right="-115"/>
            <w:jc w:val="right"/>
          </w:pPr>
        </w:p>
      </w:tc>
    </w:tr>
  </w:tbl>
  <w:p w14:paraId="79DACBF2" w14:textId="53D0D084" w:rsidR="0AE8B1B0" w:rsidRDefault="0AE8B1B0" w:rsidP="0AE8B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E8B1B0" w14:paraId="53B11553" w14:textId="77777777" w:rsidTr="0AE8B1B0">
      <w:trPr>
        <w:trHeight w:val="300"/>
      </w:trPr>
      <w:tc>
        <w:tcPr>
          <w:tcW w:w="3210" w:type="dxa"/>
        </w:tcPr>
        <w:p w14:paraId="45DF0620" w14:textId="4D21CC31" w:rsidR="0AE8B1B0" w:rsidRDefault="0AE8B1B0" w:rsidP="0AE8B1B0">
          <w:pPr>
            <w:pStyle w:val="Header"/>
            <w:ind w:left="-115"/>
          </w:pPr>
        </w:p>
      </w:tc>
      <w:tc>
        <w:tcPr>
          <w:tcW w:w="3210" w:type="dxa"/>
        </w:tcPr>
        <w:p w14:paraId="219FDF28" w14:textId="3A09E289" w:rsidR="0AE8B1B0" w:rsidRDefault="0AE8B1B0" w:rsidP="0AE8B1B0">
          <w:pPr>
            <w:pStyle w:val="Header"/>
            <w:jc w:val="center"/>
          </w:pPr>
        </w:p>
      </w:tc>
      <w:tc>
        <w:tcPr>
          <w:tcW w:w="3210" w:type="dxa"/>
        </w:tcPr>
        <w:p w14:paraId="752BABB3" w14:textId="428E8CED" w:rsidR="0AE8B1B0" w:rsidRDefault="0AE8B1B0" w:rsidP="0AE8B1B0">
          <w:pPr>
            <w:pStyle w:val="Header"/>
            <w:ind w:right="-115"/>
            <w:jc w:val="right"/>
          </w:pPr>
        </w:p>
      </w:tc>
    </w:tr>
  </w:tbl>
  <w:p w14:paraId="1A20139E" w14:textId="062155A5" w:rsidR="0AE8B1B0" w:rsidRDefault="0AE8B1B0" w:rsidP="0AE8B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6FC5" w14:textId="77777777" w:rsidR="00D03EDB" w:rsidRPr="008C5A0E" w:rsidRDefault="00D03EDB" w:rsidP="00D37B04">
      <w:pPr>
        <w:pStyle w:val="Footer"/>
      </w:pPr>
    </w:p>
  </w:footnote>
  <w:footnote w:type="continuationSeparator" w:id="0">
    <w:p w14:paraId="3C30C4AB" w14:textId="77777777" w:rsidR="00D03EDB" w:rsidRDefault="00D03EDB" w:rsidP="00D37B04">
      <w:r>
        <w:continuationSeparator/>
      </w:r>
    </w:p>
  </w:footnote>
  <w:footnote w:type="continuationNotice" w:id="1">
    <w:p w14:paraId="2A67E756" w14:textId="77777777" w:rsidR="00D03EDB" w:rsidRDefault="00D03EDB">
      <w:pPr>
        <w:spacing w:before="0" w:after="0" w:line="240" w:lineRule="auto"/>
      </w:pPr>
    </w:p>
  </w:footnote>
  <w:footnote w:id="2">
    <w:p w14:paraId="2420CBA8" w14:textId="77777777" w:rsidR="00E0149D" w:rsidRPr="0043293C" w:rsidRDefault="00E0149D" w:rsidP="006A252E">
      <w:pPr>
        <w:pStyle w:val="FootnoteText"/>
        <w:spacing w:before="0" w:line="240" w:lineRule="auto"/>
        <w:rPr>
          <w:rFonts w:cstheme="minorHAnsi"/>
          <w:sz w:val="13"/>
          <w:szCs w:val="13"/>
        </w:rPr>
      </w:pPr>
      <w:r w:rsidRPr="0043293C">
        <w:rPr>
          <w:rStyle w:val="FootnoteReference"/>
          <w:rFonts w:cstheme="minorHAnsi"/>
          <w:sz w:val="13"/>
          <w:szCs w:val="13"/>
        </w:rPr>
        <w:footnoteRef/>
      </w:r>
      <w:r w:rsidRPr="0043293C">
        <w:rPr>
          <w:rFonts w:cstheme="minorHAnsi"/>
          <w:sz w:val="13"/>
          <w:szCs w:val="13"/>
        </w:rPr>
        <w:t xml:space="preserve"> United Nations, </w:t>
      </w:r>
      <w:hyperlink r:id="rId1" w:anchor="/countries/PNG" w:history="1">
        <w:r w:rsidRPr="0043293C">
          <w:rPr>
            <w:rStyle w:val="Hyperlink"/>
            <w:rFonts w:cstheme="minorHAnsi"/>
            <w:i/>
            <w:iCs/>
            <w:color w:val="495965" w:themeColor="text2"/>
            <w:sz w:val="13"/>
            <w:szCs w:val="13"/>
          </w:rPr>
          <w:t>Human Development Index</w:t>
        </w:r>
      </w:hyperlink>
      <w:r w:rsidRPr="0043293C">
        <w:rPr>
          <w:rFonts w:cstheme="minorHAnsi"/>
          <w:sz w:val="13"/>
          <w:szCs w:val="13"/>
        </w:rPr>
        <w:t>, updated 6 May 2025, accessed 24 November 2025</w:t>
      </w:r>
    </w:p>
  </w:footnote>
  <w:footnote w:id="3">
    <w:p w14:paraId="413E5CFA" w14:textId="77777777" w:rsidR="00332453" w:rsidRPr="0043293C" w:rsidRDefault="00332453" w:rsidP="006A252E">
      <w:pPr>
        <w:pStyle w:val="FootnoteText"/>
        <w:shd w:val="clear" w:color="auto" w:fill="FFFFFF" w:themeFill="background1"/>
        <w:spacing w:before="0" w:line="240" w:lineRule="auto"/>
        <w:rPr>
          <w:rFonts w:cstheme="minorHAnsi"/>
          <w:sz w:val="13"/>
          <w:szCs w:val="13"/>
        </w:rPr>
      </w:pPr>
      <w:r w:rsidRPr="0043293C">
        <w:rPr>
          <w:rStyle w:val="FootnoteReference"/>
          <w:rFonts w:cstheme="minorHAnsi"/>
          <w:sz w:val="13"/>
          <w:szCs w:val="13"/>
        </w:rPr>
        <w:footnoteRef/>
      </w:r>
      <w:r w:rsidRPr="0043293C">
        <w:rPr>
          <w:rFonts w:cstheme="minorHAnsi"/>
          <w:sz w:val="13"/>
          <w:szCs w:val="13"/>
        </w:rPr>
        <w:t xml:space="preserve"> United Nations,</w:t>
      </w:r>
      <w:r w:rsidRPr="0043293C">
        <w:rPr>
          <w:rFonts w:cstheme="minorHAnsi"/>
          <w:i/>
          <w:iCs/>
          <w:sz w:val="13"/>
          <w:szCs w:val="13"/>
        </w:rPr>
        <w:t xml:space="preserve"> </w:t>
      </w:r>
      <w:hyperlink r:id="rId2" w:history="1">
        <w:r w:rsidRPr="0043293C">
          <w:rPr>
            <w:rStyle w:val="Hyperlink"/>
            <w:rFonts w:cstheme="minorHAnsi"/>
            <w:i/>
            <w:iCs/>
            <w:color w:val="495965" w:themeColor="text2"/>
            <w:sz w:val="13"/>
            <w:szCs w:val="13"/>
          </w:rPr>
          <w:t>Sustainable Development Report 2025 Financing Sustainable Development to 2030 and Mid-Century</w:t>
        </w:r>
      </w:hyperlink>
      <w:r w:rsidRPr="0043293C">
        <w:rPr>
          <w:rFonts w:cstheme="minorHAnsi"/>
          <w:sz w:val="13"/>
          <w:szCs w:val="13"/>
        </w:rPr>
        <w:t>, 2025, accessed 24 November 2025</w:t>
      </w:r>
    </w:p>
  </w:footnote>
  <w:footnote w:id="4">
    <w:p w14:paraId="589F0B52" w14:textId="77777777" w:rsidR="004E3A3E" w:rsidRPr="0043293C" w:rsidRDefault="004E3A3E" w:rsidP="006A252E">
      <w:pPr>
        <w:pStyle w:val="FootnoteText"/>
        <w:spacing w:before="0" w:line="240" w:lineRule="auto"/>
        <w:rPr>
          <w:rFonts w:cstheme="minorHAnsi"/>
          <w:sz w:val="13"/>
          <w:szCs w:val="13"/>
        </w:rPr>
      </w:pPr>
      <w:r w:rsidRPr="0043293C">
        <w:rPr>
          <w:rFonts w:cstheme="minorHAnsi"/>
          <w:sz w:val="13"/>
          <w:szCs w:val="13"/>
          <w:vertAlign w:val="superscript"/>
        </w:rPr>
        <w:footnoteRef/>
      </w:r>
      <w:r w:rsidRPr="0043293C">
        <w:rPr>
          <w:rFonts w:cstheme="minorHAnsi"/>
          <w:sz w:val="13"/>
          <w:szCs w:val="13"/>
        </w:rPr>
        <w:t xml:space="preserve"> United Nations, </w:t>
      </w:r>
      <w:hyperlink r:id="rId3" w:anchor="/countries/PNG" w:history="1">
        <w:r w:rsidRPr="0043293C">
          <w:rPr>
            <w:rStyle w:val="Hyperlink"/>
            <w:rFonts w:cstheme="minorHAnsi"/>
            <w:i/>
            <w:iCs/>
            <w:color w:val="495965" w:themeColor="text2"/>
            <w:sz w:val="13"/>
            <w:szCs w:val="13"/>
          </w:rPr>
          <w:t>Human Development Index</w:t>
        </w:r>
      </w:hyperlink>
      <w:r w:rsidRPr="0043293C">
        <w:rPr>
          <w:rFonts w:cstheme="minorHAnsi"/>
          <w:sz w:val="13"/>
          <w:szCs w:val="13"/>
        </w:rPr>
        <w:t>, updated 6 May 2025, accessed 24 November 2025</w:t>
      </w:r>
    </w:p>
  </w:footnote>
  <w:footnote w:id="5">
    <w:p w14:paraId="7E01A946" w14:textId="77777777" w:rsidR="003B36F6" w:rsidRPr="0043293C" w:rsidRDefault="003B36F6" w:rsidP="006A252E">
      <w:pPr>
        <w:pStyle w:val="FootnoteText"/>
        <w:spacing w:before="0" w:line="240" w:lineRule="auto"/>
        <w:rPr>
          <w:rFonts w:eastAsiaTheme="minorEastAsia" w:cstheme="minorHAnsi"/>
          <w:sz w:val="13"/>
          <w:szCs w:val="13"/>
        </w:rPr>
      </w:pPr>
      <w:r w:rsidRPr="0043293C">
        <w:rPr>
          <w:rFonts w:eastAsiaTheme="minorEastAsia" w:cstheme="minorHAnsi"/>
          <w:sz w:val="13"/>
          <w:szCs w:val="13"/>
          <w:vertAlign w:val="superscript"/>
        </w:rPr>
        <w:footnoteRef/>
      </w:r>
      <w:r w:rsidRPr="0043293C">
        <w:rPr>
          <w:rFonts w:eastAsiaTheme="minorEastAsia" w:cstheme="minorHAnsi"/>
          <w:sz w:val="13"/>
          <w:szCs w:val="13"/>
        </w:rPr>
        <w:t xml:space="preserve"> Department of Prime Minister and National Executive Council</w:t>
      </w:r>
      <w:proofErr w:type="gramStart"/>
      <w:r w:rsidRPr="0043293C">
        <w:rPr>
          <w:rFonts w:eastAsiaTheme="minorEastAsia" w:cstheme="minorHAnsi"/>
          <w:sz w:val="13"/>
          <w:szCs w:val="13"/>
        </w:rPr>
        <w:t>, ’</w:t>
      </w:r>
      <w:proofErr w:type="gramEnd"/>
      <w:hyperlink r:id="rId4">
        <w:r w:rsidRPr="0043293C">
          <w:rPr>
            <w:rStyle w:val="Hyperlink"/>
            <w:rFonts w:eastAsiaTheme="minorEastAsia" w:cstheme="minorHAnsi"/>
            <w:color w:val="495965" w:themeColor="text2"/>
            <w:sz w:val="13"/>
            <w:szCs w:val="13"/>
          </w:rPr>
          <w:t>Prime Minister Marape Hails Passage of Historic Disability Services Bill as a 50th Anniversary Gift to Over 1.5 million Papua New Guineans</w:t>
        </w:r>
      </w:hyperlink>
      <w:r w:rsidRPr="0043293C">
        <w:rPr>
          <w:rFonts w:eastAsiaTheme="minorEastAsia" w:cstheme="minorHAnsi"/>
          <w:sz w:val="13"/>
          <w:szCs w:val="13"/>
        </w:rPr>
        <w:t xml:space="preserve">‘ (press release), 31 July 2025, accessed 26 November 2025. </w:t>
      </w:r>
    </w:p>
  </w:footnote>
  <w:footnote w:id="6">
    <w:p w14:paraId="1CF8E136" w14:textId="77777777" w:rsidR="00937E44" w:rsidRPr="0043293C" w:rsidRDefault="00937E44" w:rsidP="006A252E">
      <w:pPr>
        <w:pStyle w:val="FootnoteText"/>
        <w:spacing w:before="0" w:line="240" w:lineRule="auto"/>
        <w:rPr>
          <w:rFonts w:cstheme="minorHAnsi"/>
          <w:sz w:val="13"/>
          <w:szCs w:val="13"/>
          <w:lang w:val="en-AU"/>
        </w:rPr>
      </w:pPr>
      <w:r w:rsidRPr="0043293C">
        <w:rPr>
          <w:rStyle w:val="FootnoteReference"/>
          <w:rFonts w:cstheme="minorHAnsi"/>
          <w:sz w:val="13"/>
          <w:szCs w:val="13"/>
        </w:rPr>
        <w:footnoteRef/>
      </w:r>
      <w:r w:rsidRPr="0043293C">
        <w:rPr>
          <w:rFonts w:cstheme="minorHAnsi"/>
          <w:sz w:val="13"/>
          <w:szCs w:val="13"/>
        </w:rPr>
        <w:t xml:space="preserve"> </w:t>
      </w:r>
      <w:r w:rsidRPr="0043293C">
        <w:rPr>
          <w:rFonts w:cstheme="minorHAnsi"/>
          <w:sz w:val="13"/>
          <w:szCs w:val="13"/>
          <w:lang w:val="en-AU"/>
        </w:rPr>
        <w:t xml:space="preserve">World Bank, </w:t>
      </w:r>
      <w:hyperlink r:id="rId5" w:history="1">
        <w:r w:rsidRPr="0043293C">
          <w:rPr>
            <w:rStyle w:val="Hyperlink"/>
            <w:rFonts w:cstheme="minorHAnsi"/>
            <w:i/>
            <w:iCs/>
            <w:color w:val="495965" w:themeColor="text2"/>
            <w:sz w:val="13"/>
            <w:szCs w:val="13"/>
          </w:rPr>
          <w:t>Papua New Guinea Economic Update Macroeconomic Stability and Growth: Unlocking the Potential of Agriculture,</w:t>
        </w:r>
      </w:hyperlink>
      <w:r w:rsidRPr="0043293C">
        <w:rPr>
          <w:rFonts w:cstheme="minorHAnsi"/>
          <w:sz w:val="13"/>
          <w:szCs w:val="13"/>
        </w:rPr>
        <w:t xml:space="preserve"> June 2025, accessed 24 November 2025; United Nations, </w:t>
      </w:r>
      <w:hyperlink r:id="rId6">
        <w:r w:rsidRPr="0043293C">
          <w:rPr>
            <w:rStyle w:val="Hyperlink"/>
            <w:rFonts w:cstheme="minorHAnsi"/>
            <w:i/>
            <w:iCs/>
            <w:color w:val="495965" w:themeColor="text2"/>
            <w:sz w:val="13"/>
            <w:szCs w:val="13"/>
          </w:rPr>
          <w:t>Country Analysis,</w:t>
        </w:r>
      </w:hyperlink>
      <w:r w:rsidRPr="0043293C">
        <w:rPr>
          <w:rFonts w:cstheme="minorHAnsi"/>
          <w:sz w:val="13"/>
          <w:szCs w:val="13"/>
        </w:rPr>
        <w:t xml:space="preserve"> 2024, accessed 8 December 2025.</w:t>
      </w:r>
    </w:p>
  </w:footnote>
  <w:footnote w:id="7">
    <w:p w14:paraId="79F756C6" w14:textId="77777777" w:rsidR="00301756" w:rsidRPr="0043293C" w:rsidRDefault="00301756" w:rsidP="006A252E">
      <w:pPr>
        <w:pStyle w:val="FootnoteText"/>
        <w:spacing w:before="0" w:line="240" w:lineRule="auto"/>
        <w:rPr>
          <w:rFonts w:cstheme="minorHAnsi"/>
          <w:sz w:val="13"/>
          <w:szCs w:val="13"/>
        </w:rPr>
      </w:pPr>
      <w:r w:rsidRPr="0043293C">
        <w:rPr>
          <w:rFonts w:cstheme="minorHAnsi"/>
          <w:sz w:val="13"/>
          <w:szCs w:val="13"/>
          <w:vertAlign w:val="superscript"/>
        </w:rPr>
        <w:footnoteRef/>
      </w:r>
      <w:r w:rsidRPr="0043293C">
        <w:rPr>
          <w:rFonts w:cstheme="minorHAnsi"/>
          <w:sz w:val="13"/>
          <w:szCs w:val="13"/>
        </w:rPr>
        <w:t xml:space="preserve"> </w:t>
      </w:r>
      <w:r w:rsidRPr="0043293C">
        <w:rPr>
          <w:rFonts w:eastAsia="Calibri Light" w:cstheme="minorHAnsi"/>
          <w:sz w:val="13"/>
          <w:szCs w:val="13"/>
        </w:rPr>
        <w:t xml:space="preserve">World Bank, </w:t>
      </w:r>
      <w:hyperlink r:id="rId7">
        <w:r w:rsidRPr="0043293C">
          <w:rPr>
            <w:rStyle w:val="Hyperlink"/>
            <w:rFonts w:eastAsia="Calibri Light" w:cstheme="minorHAnsi"/>
            <w:i/>
            <w:iCs/>
            <w:color w:val="495965" w:themeColor="text2"/>
            <w:sz w:val="13"/>
            <w:szCs w:val="13"/>
          </w:rPr>
          <w:t>World Bank Open Data</w:t>
        </w:r>
      </w:hyperlink>
      <w:r w:rsidRPr="0043293C">
        <w:rPr>
          <w:rFonts w:eastAsia="Calibri Light" w:cstheme="minorHAnsi"/>
          <w:sz w:val="13"/>
          <w:szCs w:val="13"/>
        </w:rPr>
        <w:t xml:space="preserve"> [data set], data.worldbank.org, accessed 26 November 2025.</w:t>
      </w:r>
    </w:p>
  </w:footnote>
  <w:footnote w:id="8">
    <w:p w14:paraId="20C8EFC1" w14:textId="68B95CF2" w:rsidR="00301756" w:rsidRPr="0043293C" w:rsidRDefault="00301756" w:rsidP="006A252E">
      <w:pPr>
        <w:tabs>
          <w:tab w:val="left" w:pos="5910"/>
        </w:tabs>
        <w:spacing w:before="0" w:after="0" w:line="240" w:lineRule="auto"/>
        <w:ind w:left="170" w:hanging="170"/>
        <w:rPr>
          <w:rFonts w:cstheme="minorHAnsi"/>
          <w:sz w:val="13"/>
          <w:szCs w:val="13"/>
        </w:rPr>
      </w:pPr>
      <w:r w:rsidRPr="0043293C">
        <w:rPr>
          <w:rFonts w:cstheme="minorHAnsi"/>
          <w:sz w:val="13"/>
          <w:szCs w:val="13"/>
          <w:vertAlign w:val="superscript"/>
        </w:rPr>
        <w:footnoteRef/>
      </w:r>
      <w:r w:rsidRPr="0043293C">
        <w:rPr>
          <w:rFonts w:cstheme="minorHAnsi"/>
          <w:sz w:val="13"/>
          <w:szCs w:val="13"/>
        </w:rPr>
        <w:t xml:space="preserve"> </w:t>
      </w:r>
      <w:r w:rsidRPr="0043293C">
        <w:rPr>
          <w:rFonts w:eastAsia="Calibri Light" w:cstheme="minorHAnsi"/>
          <w:sz w:val="13"/>
          <w:szCs w:val="13"/>
        </w:rPr>
        <w:t xml:space="preserve">World Bank, </w:t>
      </w:r>
      <w:hyperlink r:id="rId8">
        <w:r w:rsidRPr="0043293C">
          <w:rPr>
            <w:rStyle w:val="Hyperlink"/>
            <w:rFonts w:eastAsia="Calibri Light" w:cstheme="minorHAnsi"/>
            <w:i/>
            <w:iCs/>
            <w:color w:val="495965" w:themeColor="text2"/>
            <w:sz w:val="13"/>
            <w:szCs w:val="13"/>
          </w:rPr>
          <w:t>World Bank Open Data</w:t>
        </w:r>
      </w:hyperlink>
      <w:r w:rsidRPr="0043293C">
        <w:rPr>
          <w:rFonts w:eastAsia="Calibri Light" w:cstheme="minorHAnsi"/>
          <w:sz w:val="13"/>
          <w:szCs w:val="13"/>
        </w:rPr>
        <w:t xml:space="preserve"> [data set], data.worldbank.org, accessed 26 November 2025.</w:t>
      </w:r>
      <w:r w:rsidR="006A252E">
        <w:rPr>
          <w:rFonts w:eastAsia="Calibri Light" w:cstheme="minorHAnsi"/>
          <w:sz w:val="13"/>
          <w:szCs w:val="13"/>
        </w:rPr>
        <w:tab/>
      </w:r>
    </w:p>
  </w:footnote>
  <w:footnote w:id="9">
    <w:p w14:paraId="46C3C71C" w14:textId="77777777" w:rsidR="000E36F2" w:rsidRPr="0027761D" w:rsidRDefault="000E36F2" w:rsidP="004B7EDA">
      <w:pPr>
        <w:pStyle w:val="FootnoteText"/>
        <w:spacing w:before="0" w:line="240" w:lineRule="auto"/>
        <w:rPr>
          <w:lang w:val="en-AU"/>
        </w:rPr>
        <w:pPrChange w:id="0" w:author="Author">
          <w:pPr>
            <w:pStyle w:val="FootnoteText"/>
          </w:pPr>
        </w:pPrChange>
      </w:pPr>
      <w:r>
        <w:rPr>
          <w:rStyle w:val="FootnoteReference"/>
        </w:rPr>
        <w:footnoteRef/>
      </w:r>
      <w:r>
        <w:t xml:space="preserve"> </w:t>
      </w:r>
      <w:r>
        <w:rPr>
          <w:noProof/>
        </w:rPr>
        <w:t>Human Development Index. [Online] 2023. [Cited: 30 September 2023.] https://hdr.undp.org/data-center/human-development-index#/indicies/HDI</w:t>
      </w:r>
    </w:p>
  </w:footnote>
  <w:footnote w:id="10">
    <w:p w14:paraId="5FBA5583" w14:textId="77777777" w:rsidR="000E36F2" w:rsidRPr="00755EED" w:rsidRDefault="000E36F2" w:rsidP="004B7EDA">
      <w:pPr>
        <w:pStyle w:val="FootnoteText"/>
        <w:spacing w:before="0" w:line="240" w:lineRule="auto"/>
        <w:rPr>
          <w:lang w:val="en-AU"/>
        </w:rPr>
        <w:pPrChange w:id="1" w:author="Author">
          <w:pPr>
            <w:pStyle w:val="FootnoteText"/>
          </w:pPr>
        </w:pPrChange>
      </w:pPr>
      <w:r>
        <w:rPr>
          <w:rStyle w:val="FootnoteReference"/>
        </w:rPr>
        <w:footnoteRef/>
      </w:r>
      <w:r>
        <w:t xml:space="preserve"> </w:t>
      </w:r>
      <w:r>
        <w:fldChar w:fldCharType="begin"/>
      </w:r>
      <w:r>
        <w:instrText>HYPERLINK "https://databankfiles.worldbank.org/public/ddpext_download/poverty/987B9C90-CB9F-4D93-AE8C-750588BF00QA/AM2021/Global_POVEQ_PNG.pdf"</w:instrText>
      </w:r>
      <w:r>
        <w:fldChar w:fldCharType="separate"/>
      </w:r>
      <w:r>
        <w:rPr>
          <w:rStyle w:val="Hyperlink"/>
        </w:rPr>
        <w:t>Global_POVEQ_PNG.pdf (worldbank.org)</w:t>
      </w:r>
      <w:r>
        <w:fldChar w:fldCharType="end"/>
      </w:r>
    </w:p>
  </w:footnote>
  <w:footnote w:id="11">
    <w:p w14:paraId="0A6F625A" w14:textId="77777777" w:rsidR="000E36F2" w:rsidRPr="006A2015" w:rsidRDefault="000E36F2" w:rsidP="004B7EDA">
      <w:pPr>
        <w:pStyle w:val="FootnoteText"/>
        <w:spacing w:before="0" w:line="240" w:lineRule="auto"/>
        <w:rPr>
          <w:lang w:val="en-AU"/>
        </w:rPr>
        <w:pPrChange w:id="2" w:author="Author">
          <w:pPr>
            <w:pStyle w:val="FootnoteText"/>
          </w:pPr>
        </w:pPrChange>
      </w:pPr>
      <w:r>
        <w:rPr>
          <w:rStyle w:val="FootnoteReference"/>
        </w:rPr>
        <w:footnoteRef/>
      </w:r>
      <w:r>
        <w:t xml:space="preserve"> </w:t>
      </w:r>
      <w:r>
        <w:rPr>
          <w:b/>
          <w:bCs/>
          <w:noProof/>
        </w:rPr>
        <w:t>United Nations Development Programme.</w:t>
      </w:r>
      <w:r>
        <w:rPr>
          <w:noProof/>
        </w:rPr>
        <w:t xml:space="preserve"> </w:t>
      </w:r>
      <w:r>
        <w:rPr>
          <w:i/>
          <w:iCs/>
          <w:noProof/>
        </w:rPr>
        <w:t xml:space="preserve">Papua New Guinea Gender Equality Program, 2023-2025. </w:t>
      </w:r>
      <w:r>
        <w:rPr>
          <w:noProof/>
        </w:rPr>
        <w:t>s.l. : UNDP, 2022</w:t>
      </w:r>
    </w:p>
  </w:footnote>
  <w:footnote w:id="12">
    <w:p w14:paraId="6E1CCF6A" w14:textId="77777777" w:rsidR="000E36F2" w:rsidRPr="002214D1" w:rsidRDefault="000E36F2" w:rsidP="004B7EDA">
      <w:pPr>
        <w:pStyle w:val="FootnoteText"/>
        <w:spacing w:before="0" w:line="240" w:lineRule="auto"/>
        <w:rPr>
          <w:lang w:val="en-AU"/>
        </w:rPr>
        <w:pPrChange w:id="3" w:author="Author">
          <w:pPr>
            <w:pStyle w:val="FootnoteText"/>
          </w:pPr>
        </w:pPrChange>
      </w:pPr>
      <w:r>
        <w:rPr>
          <w:rStyle w:val="FootnoteReference"/>
        </w:rPr>
        <w:footnoteRef/>
      </w:r>
      <w:r>
        <w:t xml:space="preserve"> </w:t>
      </w:r>
      <w:r>
        <w:rPr>
          <w:b/>
          <w:bCs/>
          <w:noProof/>
        </w:rPr>
        <w:t>Human Rights Measurement Initiative.</w:t>
      </w:r>
      <w:r>
        <w:rPr>
          <w:noProof/>
        </w:rPr>
        <w:t xml:space="preserve"> </w:t>
      </w:r>
      <w:r>
        <w:rPr>
          <w:i/>
          <w:iCs/>
          <w:noProof/>
        </w:rPr>
        <w:t xml:space="preserve">Human Rights Across the Pacific. </w:t>
      </w:r>
      <w:r>
        <w:rPr>
          <w:noProof/>
        </w:rPr>
        <w:t>2020.</w:t>
      </w:r>
    </w:p>
  </w:footnote>
  <w:footnote w:id="13">
    <w:p w14:paraId="624E029A" w14:textId="77777777" w:rsidR="000E36F2" w:rsidRPr="00643074" w:rsidRDefault="000E36F2" w:rsidP="004B7EDA">
      <w:pPr>
        <w:pStyle w:val="FootnoteText"/>
        <w:spacing w:before="0" w:line="240" w:lineRule="auto"/>
        <w:rPr>
          <w:lang w:val="en-AU"/>
        </w:rPr>
        <w:pPrChange w:id="4" w:author="Author">
          <w:pPr>
            <w:pStyle w:val="FootnoteText"/>
          </w:pPr>
        </w:pPrChange>
      </w:pPr>
      <w:r>
        <w:rPr>
          <w:rStyle w:val="FootnoteReference"/>
        </w:rPr>
        <w:footnoteRef/>
      </w:r>
      <w:r>
        <w:t xml:space="preserve"> </w:t>
      </w:r>
      <w:r>
        <w:rPr>
          <w:b/>
          <w:bCs/>
          <w:noProof/>
        </w:rPr>
        <w:t>Institute of Health Metrics and Evaluation.</w:t>
      </w:r>
      <w:r>
        <w:rPr>
          <w:noProof/>
        </w:rPr>
        <w:t xml:space="preserve"> Results Tool. </w:t>
      </w:r>
      <w:r>
        <w:rPr>
          <w:i/>
          <w:iCs/>
          <w:noProof/>
        </w:rPr>
        <w:t xml:space="preserve">Global Burden of Disease. </w:t>
      </w:r>
      <w:r>
        <w:rPr>
          <w:noProof/>
        </w:rPr>
        <w:t>[Online] [Cited: 15 September 2023.]</w:t>
      </w:r>
    </w:p>
  </w:footnote>
  <w:footnote w:id="14">
    <w:p w14:paraId="65C6B9C4" w14:textId="77777777" w:rsidR="000E36F2" w:rsidRPr="00CD63C1" w:rsidRDefault="000E36F2" w:rsidP="004B7EDA">
      <w:pPr>
        <w:pStyle w:val="FootnoteText"/>
        <w:spacing w:before="0" w:line="240" w:lineRule="auto"/>
        <w:rPr>
          <w:lang w:val="en-AU"/>
        </w:rPr>
        <w:pPrChange w:id="5" w:author="Author">
          <w:pPr>
            <w:pStyle w:val="FootnoteText"/>
          </w:pPr>
        </w:pPrChange>
      </w:pPr>
      <w:r>
        <w:rPr>
          <w:rStyle w:val="FootnoteReference"/>
        </w:rPr>
        <w:footnoteRef/>
      </w:r>
      <w:r>
        <w:t xml:space="preserve"> </w:t>
      </w:r>
      <w:r>
        <w:rPr>
          <w:b/>
          <w:bCs/>
          <w:noProof/>
        </w:rPr>
        <w:t>World Bank.</w:t>
      </w:r>
      <w:r>
        <w:rPr>
          <w:noProof/>
        </w:rPr>
        <w:t xml:space="preserve"> Indicators: Under five-years mortality rate. </w:t>
      </w:r>
      <w:r>
        <w:rPr>
          <w:i/>
          <w:iCs/>
          <w:noProof/>
        </w:rPr>
        <w:t xml:space="preserve">World Bank Open Data. </w:t>
      </w:r>
      <w:r>
        <w:rPr>
          <w:noProof/>
        </w:rPr>
        <w:t>[Online] [Cited: 12 September 2023.] https://data.worldbank.org/indicator/SH.DYN.MORT.MA?locations=PG</w:t>
      </w:r>
    </w:p>
  </w:footnote>
  <w:footnote w:id="15">
    <w:p w14:paraId="13D17CA8" w14:textId="77777777" w:rsidR="000E36F2" w:rsidRPr="0071146D" w:rsidRDefault="000E36F2" w:rsidP="004B7EDA">
      <w:pPr>
        <w:pStyle w:val="FootnoteText"/>
        <w:spacing w:before="0" w:line="240" w:lineRule="auto"/>
        <w:rPr>
          <w:lang w:val="en-AU"/>
        </w:rPr>
        <w:pPrChange w:id="6" w:author="Author">
          <w:pPr>
            <w:pStyle w:val="FootnoteText"/>
          </w:pPr>
        </w:pPrChange>
      </w:pPr>
      <w:r>
        <w:rPr>
          <w:rStyle w:val="FootnoteReference"/>
        </w:rPr>
        <w:footnoteRef/>
      </w:r>
      <w:r>
        <w:t xml:space="preserve"> </w:t>
      </w:r>
      <w:r>
        <w:rPr>
          <w:b/>
          <w:bCs/>
          <w:noProof/>
        </w:rPr>
        <w:t>WHO.</w:t>
      </w:r>
      <w:r>
        <w:rPr>
          <w:noProof/>
        </w:rPr>
        <w:t xml:space="preserve"> Global Health Observatory. </w:t>
      </w:r>
      <w:r>
        <w:rPr>
          <w:i/>
          <w:iCs/>
          <w:noProof/>
        </w:rPr>
        <w:t xml:space="preserve">Universal Healt Index Coverage. </w:t>
      </w:r>
      <w:r>
        <w:rPr>
          <w:noProof/>
        </w:rPr>
        <w:t>[Online] 2023. [Cited: 30 September 2023.] https://www.who.int/data/gho/data/indicators/indicator-details/GHO/uhc-index-of-service-coverage</w:t>
      </w:r>
    </w:p>
  </w:footnote>
  <w:footnote w:id="16">
    <w:p w14:paraId="66A7F473" w14:textId="77777777" w:rsidR="000E36F2" w:rsidRPr="00497DA1" w:rsidRDefault="000E36F2" w:rsidP="004B7EDA">
      <w:pPr>
        <w:pStyle w:val="FootnoteText"/>
        <w:spacing w:before="0" w:line="240" w:lineRule="auto"/>
        <w:rPr>
          <w:lang w:val="en-AU"/>
        </w:rPr>
        <w:pPrChange w:id="7" w:author="Author">
          <w:pPr>
            <w:pStyle w:val="FootnoteText"/>
          </w:pPr>
        </w:pPrChange>
      </w:pPr>
      <w:r>
        <w:rPr>
          <w:rStyle w:val="FootnoteReference"/>
        </w:rPr>
        <w:footnoteRef/>
      </w:r>
      <w:r>
        <w:t xml:space="preserve"> </w:t>
      </w:r>
      <w:r>
        <w:rPr>
          <w:b/>
          <w:bCs/>
          <w:noProof/>
        </w:rPr>
        <w:t>I, Anderson.</w:t>
      </w:r>
      <w:r>
        <w:rPr>
          <w:noProof/>
        </w:rPr>
        <w:t xml:space="preserve"> </w:t>
      </w:r>
      <w:r>
        <w:rPr>
          <w:i/>
          <w:iCs/>
          <w:noProof/>
        </w:rPr>
        <w:t xml:space="preserve">Obesity Preparedness in the Asia and Paciific. </w:t>
      </w:r>
      <w:r>
        <w:rPr>
          <w:noProof/>
        </w:rPr>
        <w:t>s.l. : ANU Devpolicy Blog, 2023</w:t>
      </w:r>
    </w:p>
  </w:footnote>
  <w:footnote w:id="17">
    <w:p w14:paraId="5459BB30" w14:textId="77777777" w:rsidR="000E36F2" w:rsidRPr="00D3219E" w:rsidRDefault="000E36F2" w:rsidP="004B7EDA">
      <w:pPr>
        <w:pStyle w:val="FootnoteText"/>
        <w:spacing w:before="0" w:line="240" w:lineRule="auto"/>
        <w:rPr>
          <w:lang w:val="en-AU"/>
        </w:rPr>
        <w:pPrChange w:id="8" w:author="Author">
          <w:pPr>
            <w:pStyle w:val="FootnoteText"/>
          </w:pPr>
        </w:pPrChange>
      </w:pPr>
      <w:r>
        <w:rPr>
          <w:rStyle w:val="FootnoteReference"/>
        </w:rPr>
        <w:footnoteRef/>
      </w:r>
      <w:r>
        <w:t xml:space="preserve"> </w:t>
      </w:r>
      <w:r>
        <w:rPr>
          <w:b/>
          <w:bCs/>
          <w:noProof/>
        </w:rPr>
        <w:t>World Bank.</w:t>
      </w:r>
      <w:r>
        <w:rPr>
          <w:noProof/>
        </w:rPr>
        <w:t xml:space="preserve"> </w:t>
      </w:r>
      <w:r>
        <w:rPr>
          <w:i/>
          <w:iCs/>
          <w:noProof/>
        </w:rPr>
        <w:t xml:space="preserve">Success Stories with Reducing Stunting: Lessons from PNG. </w:t>
      </w:r>
      <w:r>
        <w:rPr>
          <w:noProof/>
        </w:rPr>
        <w:t>Washington : World Bank Group, n.d.</w:t>
      </w:r>
    </w:p>
  </w:footnote>
  <w:footnote w:id="18">
    <w:p w14:paraId="116F115C" w14:textId="77777777" w:rsidR="000E36F2" w:rsidRPr="00F4318F" w:rsidRDefault="000E36F2" w:rsidP="004B7EDA">
      <w:pPr>
        <w:pStyle w:val="FootnoteText"/>
        <w:spacing w:before="0" w:line="240" w:lineRule="auto"/>
        <w:rPr>
          <w:lang w:val="en-AU"/>
        </w:rPr>
        <w:pPrChange w:id="9" w:author="Author">
          <w:pPr>
            <w:pStyle w:val="FootnoteText"/>
          </w:pPr>
        </w:pPrChange>
      </w:pPr>
      <w:r>
        <w:rPr>
          <w:rStyle w:val="FootnoteReference"/>
        </w:rPr>
        <w:footnoteRef/>
      </w:r>
      <w:r>
        <w:t xml:space="preserve"> </w:t>
      </w:r>
      <w:r>
        <w:rPr>
          <w:b/>
          <w:bCs/>
          <w:noProof/>
        </w:rPr>
        <w:t>World Bank.</w:t>
      </w:r>
      <w:r>
        <w:rPr>
          <w:noProof/>
        </w:rPr>
        <w:t xml:space="preserve"> Indicators: Total Fertility Rate. </w:t>
      </w:r>
      <w:r>
        <w:rPr>
          <w:i/>
          <w:iCs/>
          <w:noProof/>
        </w:rPr>
        <w:t xml:space="preserve">World Bank Open Data. </w:t>
      </w:r>
      <w:r>
        <w:rPr>
          <w:noProof/>
        </w:rPr>
        <w:t>[Online] [Cited: 12 September 2023.] https://data.worldbank.org/indicator/SP.DYN.TFRT.IN?locations=XN</w:t>
      </w:r>
    </w:p>
  </w:footnote>
  <w:footnote w:id="19">
    <w:p w14:paraId="6CF99FA1" w14:textId="77777777" w:rsidR="000E36F2" w:rsidRPr="000360A0" w:rsidRDefault="000E36F2" w:rsidP="004B7EDA">
      <w:pPr>
        <w:pStyle w:val="FootnoteText"/>
        <w:spacing w:before="0" w:line="240" w:lineRule="auto"/>
        <w:rPr>
          <w:lang w:val="en-AU"/>
        </w:rPr>
        <w:pPrChange w:id="10" w:author="Author">
          <w:pPr>
            <w:pStyle w:val="FootnoteText"/>
          </w:pPr>
        </w:pPrChange>
      </w:pPr>
      <w:r>
        <w:rPr>
          <w:rStyle w:val="FootnoteReference"/>
        </w:rPr>
        <w:footnoteRef/>
      </w:r>
      <w:r>
        <w:t xml:space="preserve"> </w:t>
      </w:r>
      <w:r>
        <w:rPr>
          <w:b/>
          <w:bCs/>
          <w:noProof/>
        </w:rPr>
        <w:t>NDOH.</w:t>
      </w:r>
      <w:r>
        <w:rPr>
          <w:noProof/>
        </w:rPr>
        <w:t xml:space="preserve"> </w:t>
      </w:r>
      <w:r>
        <w:rPr>
          <w:i/>
          <w:iCs/>
          <w:noProof/>
        </w:rPr>
        <w:t xml:space="preserve">Sector Performance Annual Review. </w:t>
      </w:r>
      <w:r>
        <w:rPr>
          <w:noProof/>
        </w:rPr>
        <w:t>2000-2021</w:t>
      </w:r>
    </w:p>
  </w:footnote>
  <w:footnote w:id="20">
    <w:p w14:paraId="3F6DDFF2" w14:textId="77777777" w:rsidR="000E36F2" w:rsidRPr="008B6BB6" w:rsidRDefault="000E36F2" w:rsidP="004B7EDA">
      <w:pPr>
        <w:pStyle w:val="FootnoteText"/>
        <w:spacing w:before="0" w:line="240" w:lineRule="auto"/>
        <w:rPr>
          <w:lang w:val="en-AU"/>
        </w:rPr>
        <w:pPrChange w:id="11" w:author="Author">
          <w:pPr>
            <w:pStyle w:val="FootnoteText"/>
          </w:pPr>
        </w:pPrChange>
      </w:pPr>
      <w:r>
        <w:rPr>
          <w:rStyle w:val="FootnoteReference"/>
        </w:rPr>
        <w:footnoteRef/>
      </w:r>
      <w:r>
        <w:t xml:space="preserve"> </w:t>
      </w:r>
      <w:r>
        <w:rPr>
          <w:i/>
          <w:iCs/>
          <w:noProof/>
        </w:rPr>
        <w:t xml:space="preserve">Readiness of health facilities to provide emergency obsetric care in PNG: Evidence from a cross sectional survery. </w:t>
      </w:r>
      <w:r>
        <w:rPr>
          <w:b/>
          <w:bCs/>
          <w:noProof/>
        </w:rPr>
        <w:t>Hou X., et al.,.</w:t>
      </w:r>
      <w:r>
        <w:rPr>
          <w:noProof/>
        </w:rPr>
        <w:t xml:space="preserve"> e050150, s.l. : BMJ Open, 2022, Vol. 12</w:t>
      </w:r>
    </w:p>
  </w:footnote>
  <w:footnote w:id="21">
    <w:p w14:paraId="75351583" w14:textId="77777777" w:rsidR="000E36F2" w:rsidRPr="0016460F" w:rsidRDefault="000E36F2" w:rsidP="004B7EDA">
      <w:pPr>
        <w:pStyle w:val="FootnoteText"/>
        <w:spacing w:before="0" w:line="240" w:lineRule="auto"/>
        <w:rPr>
          <w:lang w:val="en-AU"/>
        </w:rPr>
        <w:pPrChange w:id="12" w:author="Author">
          <w:pPr>
            <w:pStyle w:val="FootnoteText"/>
          </w:pPr>
        </w:pPrChange>
      </w:pPr>
      <w:r>
        <w:rPr>
          <w:rStyle w:val="FootnoteReference"/>
        </w:rPr>
        <w:footnoteRef/>
      </w:r>
      <w:r>
        <w:t xml:space="preserve"> </w:t>
      </w:r>
      <w:r>
        <w:rPr>
          <w:b/>
          <w:bCs/>
          <w:noProof/>
        </w:rPr>
        <w:t>World Bank.</w:t>
      </w:r>
      <w:r>
        <w:rPr>
          <w:noProof/>
        </w:rPr>
        <w:t xml:space="preserve"> </w:t>
      </w:r>
      <w:r>
        <w:rPr>
          <w:i/>
          <w:iCs/>
          <w:noProof/>
        </w:rPr>
        <w:t xml:space="preserve">Service Delivery by Health Facilities. </w:t>
      </w:r>
      <w:r>
        <w:rPr>
          <w:noProof/>
        </w:rPr>
        <w:t>Washington : Wold Bank Group, 2018</w:t>
      </w:r>
    </w:p>
  </w:footnote>
  <w:footnote w:id="22">
    <w:p w14:paraId="10873130" w14:textId="77777777" w:rsidR="000E36F2" w:rsidRPr="00D17C62" w:rsidRDefault="000E36F2" w:rsidP="000E36F2">
      <w:pPr>
        <w:pStyle w:val="FootnoteText"/>
        <w:spacing w:before="0" w:line="240" w:lineRule="auto"/>
        <w:rPr>
          <w:lang w:val="en-AU"/>
        </w:rPr>
      </w:pPr>
      <w:r>
        <w:rPr>
          <w:rStyle w:val="FootnoteReference"/>
        </w:rPr>
        <w:footnoteRef/>
      </w:r>
      <w:r>
        <w:t xml:space="preserve"> </w:t>
      </w:r>
      <w:r>
        <w:rPr>
          <w:b/>
          <w:bCs/>
          <w:noProof/>
        </w:rPr>
        <w:t>WHO.</w:t>
      </w:r>
      <w:r>
        <w:rPr>
          <w:noProof/>
        </w:rPr>
        <w:t xml:space="preserve"> </w:t>
      </w:r>
      <w:r>
        <w:rPr>
          <w:i/>
          <w:iCs/>
          <w:noProof/>
        </w:rPr>
        <w:t xml:space="preserve">Papua New Guinea Heath System Review. </w:t>
      </w:r>
      <w:r>
        <w:rPr>
          <w:noProof/>
        </w:rPr>
        <w:t>New Delhi : WHO SEARO, 2019</w:t>
      </w:r>
    </w:p>
  </w:footnote>
  <w:footnote w:id="23">
    <w:p w14:paraId="40EE29B2" w14:textId="77777777" w:rsidR="00EB780C" w:rsidRPr="00286BE5" w:rsidRDefault="00EB780C" w:rsidP="00EB780C">
      <w:pPr>
        <w:pStyle w:val="FootnoteText"/>
        <w:rPr>
          <w:lang w:val="en-AU"/>
        </w:rPr>
      </w:pPr>
      <w:r>
        <w:rPr>
          <w:rStyle w:val="FootnoteReference"/>
        </w:rPr>
        <w:footnoteRef/>
      </w:r>
      <w:r>
        <w:t xml:space="preserve"> </w:t>
      </w:r>
      <w:hyperlink r:id="rId9" w:history="1">
        <w:r>
          <w:rPr>
            <w:rStyle w:val="Hyperlink"/>
          </w:rPr>
          <w:t>Life expectancy at birth, total (years) | Data (worldbank.org)</w:t>
        </w:r>
      </w:hyperlink>
    </w:p>
  </w:footnote>
  <w:footnote w:id="24">
    <w:p w14:paraId="3E215456" w14:textId="77777777" w:rsidR="00EB780C" w:rsidRPr="00286BE5" w:rsidRDefault="00EB780C" w:rsidP="00EB780C">
      <w:pPr>
        <w:pStyle w:val="FootnoteText"/>
        <w:rPr>
          <w:lang w:val="en-AU"/>
        </w:rPr>
      </w:pPr>
      <w:r>
        <w:rPr>
          <w:rStyle w:val="FootnoteReference"/>
        </w:rPr>
        <w:footnoteRef/>
      </w:r>
      <w:r>
        <w:t xml:space="preserve"> </w:t>
      </w:r>
      <w:r w:rsidRPr="000E59E8">
        <w:rPr>
          <w:rFonts w:ascii="Segoe UI" w:hAnsi="Segoe UI" w:cs="Segoe UI"/>
          <w:color w:val="495965"/>
          <w:szCs w:val="12"/>
        </w:rPr>
        <w:t xml:space="preserve">Global Strategy on Human Resources for Health: Workforce 2030’, </w:t>
      </w:r>
      <w:r w:rsidRPr="000E59E8">
        <w:rPr>
          <w:rFonts w:ascii="Segoe UI" w:hAnsi="Segoe UI" w:cs="Segoe UI"/>
          <w:i/>
          <w:iCs/>
          <w:color w:val="495965"/>
          <w:szCs w:val="12"/>
        </w:rPr>
        <w:t>World Health Organisation</w:t>
      </w:r>
      <w:r w:rsidRPr="000E59E8">
        <w:rPr>
          <w:rFonts w:ascii="Segoe UI" w:hAnsi="Segoe UI" w:cs="Segoe UI"/>
          <w:color w:val="495965"/>
          <w:szCs w:val="12"/>
        </w:rPr>
        <w:t>, 2016 &lt;https://www.who.int/hrh/resources/globstrathrh-2030/en/.&gt;.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E8B1B0" w14:paraId="5A84AC74" w14:textId="77777777" w:rsidTr="0AE8B1B0">
      <w:trPr>
        <w:trHeight w:val="300"/>
      </w:trPr>
      <w:tc>
        <w:tcPr>
          <w:tcW w:w="3210" w:type="dxa"/>
        </w:tcPr>
        <w:p w14:paraId="5F3D6EA8" w14:textId="4ACBC85D" w:rsidR="0AE8B1B0" w:rsidRDefault="0AE8B1B0" w:rsidP="0AE8B1B0">
          <w:pPr>
            <w:pStyle w:val="Header"/>
            <w:ind w:left="-115"/>
          </w:pPr>
        </w:p>
      </w:tc>
      <w:tc>
        <w:tcPr>
          <w:tcW w:w="3210" w:type="dxa"/>
        </w:tcPr>
        <w:p w14:paraId="42D7D665" w14:textId="745A2F0E" w:rsidR="0AE8B1B0" w:rsidRDefault="0AE8B1B0" w:rsidP="0AE8B1B0">
          <w:pPr>
            <w:pStyle w:val="Header"/>
            <w:jc w:val="center"/>
          </w:pPr>
        </w:p>
      </w:tc>
      <w:tc>
        <w:tcPr>
          <w:tcW w:w="3210" w:type="dxa"/>
        </w:tcPr>
        <w:p w14:paraId="2A4A33C4" w14:textId="40C50CC1" w:rsidR="0AE8B1B0" w:rsidRDefault="0AE8B1B0" w:rsidP="0AE8B1B0">
          <w:pPr>
            <w:pStyle w:val="Header"/>
            <w:ind w:right="-115"/>
            <w:jc w:val="right"/>
          </w:pPr>
        </w:p>
      </w:tc>
    </w:tr>
  </w:tbl>
  <w:p w14:paraId="54567450" w14:textId="30DBD35D" w:rsidR="0AE8B1B0" w:rsidRDefault="0AE8B1B0" w:rsidP="0AE8B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8EC"/>
    <w:multiLevelType w:val="multilevel"/>
    <w:tmpl w:val="374E061C"/>
    <w:lvl w:ilvl="0">
      <w:start w:val="1"/>
      <w:numFmt w:val="decimal"/>
      <w:pStyle w:val="NumberedTitle"/>
      <w:lvlText w:val="%1."/>
      <w:lvlJc w:val="left"/>
      <w:pPr>
        <w:ind w:left="360" w:hanging="360"/>
      </w:pPr>
    </w:lvl>
    <w:lvl w:ilvl="1">
      <w:start w:val="1"/>
      <w:numFmt w:val="lowerLetter"/>
      <w:lvlText w:val="%2)"/>
      <w:lvlJc w:val="left"/>
      <w:pPr>
        <w:tabs>
          <w:tab w:val="num" w:pos="720"/>
        </w:tabs>
        <w:ind w:left="720" w:hanging="360"/>
      </w:pPr>
      <w:rPr>
        <w:lang w:val="en-GB"/>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3A03F46"/>
    <w:multiLevelType w:val="multilevel"/>
    <w:tmpl w:val="3252ED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D2858"/>
    <w:multiLevelType w:val="hybridMultilevel"/>
    <w:tmpl w:val="14EE3020"/>
    <w:lvl w:ilvl="0" w:tplc="18D85D98">
      <w:start w:val="1"/>
      <w:numFmt w:val="decimal"/>
      <w:lvlText w:val="%1."/>
      <w:lvlJc w:val="left"/>
      <w:pPr>
        <w:ind w:left="360" w:hanging="360"/>
      </w:pPr>
      <w:rPr>
        <w:rFonts w:hint="default"/>
        <w:color w:val="00000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47B0318"/>
    <w:multiLevelType w:val="multilevel"/>
    <w:tmpl w:val="99642D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BE7609"/>
    <w:multiLevelType w:val="multilevel"/>
    <w:tmpl w:val="226AB6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F6B80"/>
    <w:multiLevelType w:val="multilevel"/>
    <w:tmpl w:val="73283DF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0AA51367"/>
    <w:multiLevelType w:val="multilevel"/>
    <w:tmpl w:val="17B624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B627D7"/>
    <w:multiLevelType w:val="multilevel"/>
    <w:tmpl w:val="15C45E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1B7DA3"/>
    <w:multiLevelType w:val="hybridMultilevel"/>
    <w:tmpl w:val="77BCD67A"/>
    <w:lvl w:ilvl="0" w:tplc="BAA26750">
      <w:start w:val="1"/>
      <w:numFmt w:val="bullet"/>
      <w:lvlText w:val=""/>
      <w:lvlJc w:val="left"/>
      <w:pPr>
        <w:ind w:left="1280" w:hanging="360"/>
      </w:pPr>
      <w:rPr>
        <w:rFonts w:ascii="Symbol" w:hAnsi="Symbol"/>
      </w:rPr>
    </w:lvl>
    <w:lvl w:ilvl="1" w:tplc="019E5CC6">
      <w:start w:val="1"/>
      <w:numFmt w:val="bullet"/>
      <w:lvlText w:val=""/>
      <w:lvlJc w:val="left"/>
      <w:pPr>
        <w:ind w:left="1280" w:hanging="360"/>
      </w:pPr>
      <w:rPr>
        <w:rFonts w:ascii="Symbol" w:hAnsi="Symbol"/>
      </w:rPr>
    </w:lvl>
    <w:lvl w:ilvl="2" w:tplc="824E5E90">
      <w:start w:val="1"/>
      <w:numFmt w:val="bullet"/>
      <w:lvlText w:val=""/>
      <w:lvlJc w:val="left"/>
      <w:pPr>
        <w:ind w:left="1280" w:hanging="360"/>
      </w:pPr>
      <w:rPr>
        <w:rFonts w:ascii="Symbol" w:hAnsi="Symbol"/>
      </w:rPr>
    </w:lvl>
    <w:lvl w:ilvl="3" w:tplc="3D2C23E4">
      <w:start w:val="1"/>
      <w:numFmt w:val="bullet"/>
      <w:lvlText w:val=""/>
      <w:lvlJc w:val="left"/>
      <w:pPr>
        <w:ind w:left="1280" w:hanging="360"/>
      </w:pPr>
      <w:rPr>
        <w:rFonts w:ascii="Symbol" w:hAnsi="Symbol"/>
      </w:rPr>
    </w:lvl>
    <w:lvl w:ilvl="4" w:tplc="30F0ADF2">
      <w:start w:val="1"/>
      <w:numFmt w:val="bullet"/>
      <w:lvlText w:val=""/>
      <w:lvlJc w:val="left"/>
      <w:pPr>
        <w:ind w:left="1280" w:hanging="360"/>
      </w:pPr>
      <w:rPr>
        <w:rFonts w:ascii="Symbol" w:hAnsi="Symbol"/>
      </w:rPr>
    </w:lvl>
    <w:lvl w:ilvl="5" w:tplc="88E08244">
      <w:start w:val="1"/>
      <w:numFmt w:val="bullet"/>
      <w:lvlText w:val=""/>
      <w:lvlJc w:val="left"/>
      <w:pPr>
        <w:ind w:left="1280" w:hanging="360"/>
      </w:pPr>
      <w:rPr>
        <w:rFonts w:ascii="Symbol" w:hAnsi="Symbol"/>
      </w:rPr>
    </w:lvl>
    <w:lvl w:ilvl="6" w:tplc="E3105FA0">
      <w:start w:val="1"/>
      <w:numFmt w:val="bullet"/>
      <w:lvlText w:val=""/>
      <w:lvlJc w:val="left"/>
      <w:pPr>
        <w:ind w:left="1280" w:hanging="360"/>
      </w:pPr>
      <w:rPr>
        <w:rFonts w:ascii="Symbol" w:hAnsi="Symbol"/>
      </w:rPr>
    </w:lvl>
    <w:lvl w:ilvl="7" w:tplc="E0F0DCD2">
      <w:start w:val="1"/>
      <w:numFmt w:val="bullet"/>
      <w:lvlText w:val=""/>
      <w:lvlJc w:val="left"/>
      <w:pPr>
        <w:ind w:left="1280" w:hanging="360"/>
      </w:pPr>
      <w:rPr>
        <w:rFonts w:ascii="Symbol" w:hAnsi="Symbol"/>
      </w:rPr>
    </w:lvl>
    <w:lvl w:ilvl="8" w:tplc="0F64C9CC">
      <w:start w:val="1"/>
      <w:numFmt w:val="bullet"/>
      <w:lvlText w:val=""/>
      <w:lvlJc w:val="left"/>
      <w:pPr>
        <w:ind w:left="1280" w:hanging="360"/>
      </w:pPr>
      <w:rPr>
        <w:rFonts w:ascii="Symbol" w:hAnsi="Symbol"/>
      </w:rPr>
    </w:lvl>
  </w:abstractNum>
  <w:abstractNum w:abstractNumId="9" w15:restartNumberingAfterBreak="0">
    <w:nsid w:val="0E8372CD"/>
    <w:multiLevelType w:val="multilevel"/>
    <w:tmpl w:val="CD8CEE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E55F28"/>
    <w:multiLevelType w:val="hybridMultilevel"/>
    <w:tmpl w:val="9522CD42"/>
    <w:lvl w:ilvl="0" w:tplc="D3308322">
      <w:start w:val="1"/>
      <w:numFmt w:val="decimal"/>
      <w:lvlText w:val="%1)"/>
      <w:lvlJc w:val="left"/>
      <w:pPr>
        <w:ind w:left="1020" w:hanging="360"/>
      </w:pPr>
    </w:lvl>
    <w:lvl w:ilvl="1" w:tplc="300ED69E">
      <w:start w:val="1"/>
      <w:numFmt w:val="decimal"/>
      <w:lvlText w:val="%2)"/>
      <w:lvlJc w:val="left"/>
      <w:pPr>
        <w:ind w:left="1020" w:hanging="360"/>
      </w:pPr>
    </w:lvl>
    <w:lvl w:ilvl="2" w:tplc="2C14868E">
      <w:start w:val="1"/>
      <w:numFmt w:val="decimal"/>
      <w:lvlText w:val="%3)"/>
      <w:lvlJc w:val="left"/>
      <w:pPr>
        <w:ind w:left="1020" w:hanging="360"/>
      </w:pPr>
    </w:lvl>
    <w:lvl w:ilvl="3" w:tplc="77C6751E">
      <w:start w:val="1"/>
      <w:numFmt w:val="decimal"/>
      <w:lvlText w:val="%4)"/>
      <w:lvlJc w:val="left"/>
      <w:pPr>
        <w:ind w:left="1020" w:hanging="360"/>
      </w:pPr>
    </w:lvl>
    <w:lvl w:ilvl="4" w:tplc="98CC503C">
      <w:start w:val="1"/>
      <w:numFmt w:val="decimal"/>
      <w:lvlText w:val="%5)"/>
      <w:lvlJc w:val="left"/>
      <w:pPr>
        <w:ind w:left="1020" w:hanging="360"/>
      </w:pPr>
    </w:lvl>
    <w:lvl w:ilvl="5" w:tplc="7D801640">
      <w:start w:val="1"/>
      <w:numFmt w:val="decimal"/>
      <w:lvlText w:val="%6)"/>
      <w:lvlJc w:val="left"/>
      <w:pPr>
        <w:ind w:left="1020" w:hanging="360"/>
      </w:pPr>
    </w:lvl>
    <w:lvl w:ilvl="6" w:tplc="0BCC0AEC">
      <w:start w:val="1"/>
      <w:numFmt w:val="decimal"/>
      <w:lvlText w:val="%7)"/>
      <w:lvlJc w:val="left"/>
      <w:pPr>
        <w:ind w:left="1020" w:hanging="360"/>
      </w:pPr>
    </w:lvl>
    <w:lvl w:ilvl="7" w:tplc="6DC8F9D6">
      <w:start w:val="1"/>
      <w:numFmt w:val="decimal"/>
      <w:lvlText w:val="%8)"/>
      <w:lvlJc w:val="left"/>
      <w:pPr>
        <w:ind w:left="1020" w:hanging="360"/>
      </w:pPr>
    </w:lvl>
    <w:lvl w:ilvl="8" w:tplc="43C44830">
      <w:start w:val="1"/>
      <w:numFmt w:val="decimal"/>
      <w:lvlText w:val="%9)"/>
      <w:lvlJc w:val="left"/>
      <w:pPr>
        <w:ind w:left="1020" w:hanging="360"/>
      </w:pPr>
    </w:lvl>
  </w:abstractNum>
  <w:abstractNum w:abstractNumId="11" w15:restartNumberingAfterBreak="0">
    <w:nsid w:val="123E040D"/>
    <w:multiLevelType w:val="hybridMultilevel"/>
    <w:tmpl w:val="47D4DBEE"/>
    <w:lvl w:ilvl="0" w:tplc="B65EEA0E">
      <w:start w:val="1"/>
      <w:numFmt w:val="decimal"/>
      <w:lvlText w:val="%1)"/>
      <w:lvlJc w:val="left"/>
      <w:pPr>
        <w:ind w:left="1020" w:hanging="360"/>
      </w:pPr>
    </w:lvl>
    <w:lvl w:ilvl="1" w:tplc="DAB271C0">
      <w:start w:val="1"/>
      <w:numFmt w:val="decimal"/>
      <w:lvlText w:val="%2)"/>
      <w:lvlJc w:val="left"/>
      <w:pPr>
        <w:ind w:left="1020" w:hanging="360"/>
      </w:pPr>
    </w:lvl>
    <w:lvl w:ilvl="2" w:tplc="6144E350">
      <w:start w:val="1"/>
      <w:numFmt w:val="decimal"/>
      <w:lvlText w:val="%3)"/>
      <w:lvlJc w:val="left"/>
      <w:pPr>
        <w:ind w:left="1020" w:hanging="360"/>
      </w:pPr>
    </w:lvl>
    <w:lvl w:ilvl="3" w:tplc="248A148C">
      <w:start w:val="1"/>
      <w:numFmt w:val="decimal"/>
      <w:lvlText w:val="%4)"/>
      <w:lvlJc w:val="left"/>
      <w:pPr>
        <w:ind w:left="1020" w:hanging="360"/>
      </w:pPr>
    </w:lvl>
    <w:lvl w:ilvl="4" w:tplc="8708BCD4">
      <w:start w:val="1"/>
      <w:numFmt w:val="decimal"/>
      <w:lvlText w:val="%5)"/>
      <w:lvlJc w:val="left"/>
      <w:pPr>
        <w:ind w:left="1020" w:hanging="360"/>
      </w:pPr>
    </w:lvl>
    <w:lvl w:ilvl="5" w:tplc="9D3A4A30">
      <w:start w:val="1"/>
      <w:numFmt w:val="decimal"/>
      <w:lvlText w:val="%6)"/>
      <w:lvlJc w:val="left"/>
      <w:pPr>
        <w:ind w:left="1020" w:hanging="360"/>
      </w:pPr>
    </w:lvl>
    <w:lvl w:ilvl="6" w:tplc="8656F39C">
      <w:start w:val="1"/>
      <w:numFmt w:val="decimal"/>
      <w:lvlText w:val="%7)"/>
      <w:lvlJc w:val="left"/>
      <w:pPr>
        <w:ind w:left="1020" w:hanging="360"/>
      </w:pPr>
    </w:lvl>
    <w:lvl w:ilvl="7" w:tplc="67966A16">
      <w:start w:val="1"/>
      <w:numFmt w:val="decimal"/>
      <w:lvlText w:val="%8)"/>
      <w:lvlJc w:val="left"/>
      <w:pPr>
        <w:ind w:left="1020" w:hanging="360"/>
      </w:pPr>
    </w:lvl>
    <w:lvl w:ilvl="8" w:tplc="4A503852">
      <w:start w:val="1"/>
      <w:numFmt w:val="decimal"/>
      <w:lvlText w:val="%9)"/>
      <w:lvlJc w:val="left"/>
      <w:pPr>
        <w:ind w:left="1020" w:hanging="360"/>
      </w:pPr>
    </w:lvl>
  </w:abstractNum>
  <w:abstractNum w:abstractNumId="12" w15:restartNumberingAfterBreak="0">
    <w:nsid w:val="14250306"/>
    <w:multiLevelType w:val="hybridMultilevel"/>
    <w:tmpl w:val="588C8F68"/>
    <w:lvl w:ilvl="0" w:tplc="1CF6517A">
      <w:start w:val="1"/>
      <w:numFmt w:val="bullet"/>
      <w:lvlText w:val=""/>
      <w:lvlJc w:val="left"/>
      <w:pPr>
        <w:ind w:left="1280" w:hanging="360"/>
      </w:pPr>
      <w:rPr>
        <w:rFonts w:ascii="Symbol" w:hAnsi="Symbol"/>
      </w:rPr>
    </w:lvl>
    <w:lvl w:ilvl="1" w:tplc="436CF31A">
      <w:start w:val="1"/>
      <w:numFmt w:val="bullet"/>
      <w:lvlText w:val=""/>
      <w:lvlJc w:val="left"/>
      <w:pPr>
        <w:ind w:left="1280" w:hanging="360"/>
      </w:pPr>
      <w:rPr>
        <w:rFonts w:ascii="Symbol" w:hAnsi="Symbol"/>
      </w:rPr>
    </w:lvl>
    <w:lvl w:ilvl="2" w:tplc="F3E2C402">
      <w:start w:val="1"/>
      <w:numFmt w:val="bullet"/>
      <w:lvlText w:val=""/>
      <w:lvlJc w:val="left"/>
      <w:pPr>
        <w:ind w:left="1280" w:hanging="360"/>
      </w:pPr>
      <w:rPr>
        <w:rFonts w:ascii="Symbol" w:hAnsi="Symbol"/>
      </w:rPr>
    </w:lvl>
    <w:lvl w:ilvl="3" w:tplc="253E36D4">
      <w:start w:val="1"/>
      <w:numFmt w:val="bullet"/>
      <w:lvlText w:val=""/>
      <w:lvlJc w:val="left"/>
      <w:pPr>
        <w:ind w:left="1280" w:hanging="360"/>
      </w:pPr>
      <w:rPr>
        <w:rFonts w:ascii="Symbol" w:hAnsi="Symbol"/>
      </w:rPr>
    </w:lvl>
    <w:lvl w:ilvl="4" w:tplc="EAC299F4">
      <w:start w:val="1"/>
      <w:numFmt w:val="bullet"/>
      <w:lvlText w:val=""/>
      <w:lvlJc w:val="left"/>
      <w:pPr>
        <w:ind w:left="1280" w:hanging="360"/>
      </w:pPr>
      <w:rPr>
        <w:rFonts w:ascii="Symbol" w:hAnsi="Symbol"/>
      </w:rPr>
    </w:lvl>
    <w:lvl w:ilvl="5" w:tplc="C926330A">
      <w:start w:val="1"/>
      <w:numFmt w:val="bullet"/>
      <w:lvlText w:val=""/>
      <w:lvlJc w:val="left"/>
      <w:pPr>
        <w:ind w:left="1280" w:hanging="360"/>
      </w:pPr>
      <w:rPr>
        <w:rFonts w:ascii="Symbol" w:hAnsi="Symbol"/>
      </w:rPr>
    </w:lvl>
    <w:lvl w:ilvl="6" w:tplc="988A6240">
      <w:start w:val="1"/>
      <w:numFmt w:val="bullet"/>
      <w:lvlText w:val=""/>
      <w:lvlJc w:val="left"/>
      <w:pPr>
        <w:ind w:left="1280" w:hanging="360"/>
      </w:pPr>
      <w:rPr>
        <w:rFonts w:ascii="Symbol" w:hAnsi="Symbol"/>
      </w:rPr>
    </w:lvl>
    <w:lvl w:ilvl="7" w:tplc="96AAA508">
      <w:start w:val="1"/>
      <w:numFmt w:val="bullet"/>
      <w:lvlText w:val=""/>
      <w:lvlJc w:val="left"/>
      <w:pPr>
        <w:ind w:left="1280" w:hanging="360"/>
      </w:pPr>
      <w:rPr>
        <w:rFonts w:ascii="Symbol" w:hAnsi="Symbol"/>
      </w:rPr>
    </w:lvl>
    <w:lvl w:ilvl="8" w:tplc="97B6A540">
      <w:start w:val="1"/>
      <w:numFmt w:val="bullet"/>
      <w:lvlText w:val=""/>
      <w:lvlJc w:val="left"/>
      <w:pPr>
        <w:ind w:left="1280" w:hanging="360"/>
      </w:pPr>
      <w:rPr>
        <w:rFonts w:ascii="Symbol" w:hAnsi="Symbol"/>
      </w:rPr>
    </w:lvl>
  </w:abstractNum>
  <w:abstractNum w:abstractNumId="13" w15:restartNumberingAfterBreak="0">
    <w:nsid w:val="14E25B8E"/>
    <w:multiLevelType w:val="hybridMultilevel"/>
    <w:tmpl w:val="99664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A321EE"/>
    <w:multiLevelType w:val="hybridMultilevel"/>
    <w:tmpl w:val="B9126F96"/>
    <w:lvl w:ilvl="0" w:tplc="89F041FE">
      <w:start w:val="1"/>
      <w:numFmt w:val="bullet"/>
      <w:pStyle w:val="Box1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abstractNum w:abstractNumId="15" w15:restartNumberingAfterBreak="0">
    <w:nsid w:val="178A4881"/>
    <w:multiLevelType w:val="multilevel"/>
    <w:tmpl w:val="9078BB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906B23"/>
    <w:multiLevelType w:val="multilevel"/>
    <w:tmpl w:val="F00245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9D1486"/>
    <w:multiLevelType w:val="multilevel"/>
    <w:tmpl w:val="262A73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D377DDB"/>
    <w:multiLevelType w:val="multilevel"/>
    <w:tmpl w:val="FE827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7C5CF3"/>
    <w:multiLevelType w:val="multilevel"/>
    <w:tmpl w:val="1ED416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0446DE"/>
    <w:multiLevelType w:val="multilevel"/>
    <w:tmpl w:val="10C492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98546F"/>
    <w:multiLevelType w:val="hybridMultilevel"/>
    <w:tmpl w:val="2BBACA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02328C9"/>
    <w:multiLevelType w:val="multilevel"/>
    <w:tmpl w:val="B192A9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2E4814"/>
    <w:multiLevelType w:val="multilevel"/>
    <w:tmpl w:val="DCB0E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3A771B4"/>
    <w:multiLevelType w:val="multilevel"/>
    <w:tmpl w:val="BD4E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3ABEA58"/>
    <w:multiLevelType w:val="hybridMultilevel"/>
    <w:tmpl w:val="A44EC454"/>
    <w:lvl w:ilvl="0" w:tplc="4BB85500">
      <w:start w:val="1"/>
      <w:numFmt w:val="bullet"/>
      <w:lvlText w:val=""/>
      <w:lvlJc w:val="left"/>
      <w:pPr>
        <w:ind w:left="720" w:hanging="360"/>
      </w:pPr>
      <w:rPr>
        <w:rFonts w:ascii="Symbol" w:hAnsi="Symbol" w:hint="default"/>
      </w:rPr>
    </w:lvl>
    <w:lvl w:ilvl="1" w:tplc="5B1A87DA">
      <w:start w:val="1"/>
      <w:numFmt w:val="bullet"/>
      <w:lvlText w:val="o"/>
      <w:lvlJc w:val="left"/>
      <w:pPr>
        <w:ind w:left="1440" w:hanging="360"/>
      </w:pPr>
      <w:rPr>
        <w:rFonts w:ascii="Courier New" w:hAnsi="Courier New" w:cs="Times New Roman" w:hint="default"/>
      </w:rPr>
    </w:lvl>
    <w:lvl w:ilvl="2" w:tplc="48680F04">
      <w:start w:val="1"/>
      <w:numFmt w:val="bullet"/>
      <w:lvlText w:val=""/>
      <w:lvlJc w:val="left"/>
      <w:pPr>
        <w:ind w:left="2160" w:hanging="360"/>
      </w:pPr>
      <w:rPr>
        <w:rFonts w:ascii="Wingdings" w:hAnsi="Wingdings" w:hint="default"/>
      </w:rPr>
    </w:lvl>
    <w:lvl w:ilvl="3" w:tplc="90A0AE3E">
      <w:start w:val="1"/>
      <w:numFmt w:val="bullet"/>
      <w:lvlText w:val=""/>
      <w:lvlJc w:val="left"/>
      <w:pPr>
        <w:ind w:left="2880" w:hanging="360"/>
      </w:pPr>
      <w:rPr>
        <w:rFonts w:ascii="Symbol" w:hAnsi="Symbol" w:hint="default"/>
      </w:rPr>
    </w:lvl>
    <w:lvl w:ilvl="4" w:tplc="00006DB4">
      <w:start w:val="1"/>
      <w:numFmt w:val="bullet"/>
      <w:lvlText w:val="o"/>
      <w:lvlJc w:val="left"/>
      <w:pPr>
        <w:ind w:left="3600" w:hanging="360"/>
      </w:pPr>
      <w:rPr>
        <w:rFonts w:ascii="Courier New" w:hAnsi="Courier New" w:cs="Times New Roman" w:hint="default"/>
      </w:rPr>
    </w:lvl>
    <w:lvl w:ilvl="5" w:tplc="06F0A234">
      <w:start w:val="1"/>
      <w:numFmt w:val="bullet"/>
      <w:lvlText w:val=""/>
      <w:lvlJc w:val="left"/>
      <w:pPr>
        <w:ind w:left="4320" w:hanging="360"/>
      </w:pPr>
      <w:rPr>
        <w:rFonts w:ascii="Wingdings" w:hAnsi="Wingdings" w:hint="default"/>
      </w:rPr>
    </w:lvl>
    <w:lvl w:ilvl="6" w:tplc="232CABCC">
      <w:start w:val="1"/>
      <w:numFmt w:val="bullet"/>
      <w:lvlText w:val=""/>
      <w:lvlJc w:val="left"/>
      <w:pPr>
        <w:ind w:left="5040" w:hanging="360"/>
      </w:pPr>
      <w:rPr>
        <w:rFonts w:ascii="Symbol" w:hAnsi="Symbol" w:hint="default"/>
      </w:rPr>
    </w:lvl>
    <w:lvl w:ilvl="7" w:tplc="2260475E">
      <w:start w:val="1"/>
      <w:numFmt w:val="bullet"/>
      <w:lvlText w:val="o"/>
      <w:lvlJc w:val="left"/>
      <w:pPr>
        <w:ind w:left="5760" w:hanging="360"/>
      </w:pPr>
      <w:rPr>
        <w:rFonts w:ascii="Courier New" w:hAnsi="Courier New" w:cs="Times New Roman" w:hint="default"/>
      </w:rPr>
    </w:lvl>
    <w:lvl w:ilvl="8" w:tplc="641CE708">
      <w:start w:val="1"/>
      <w:numFmt w:val="bullet"/>
      <w:lvlText w:val=""/>
      <w:lvlJc w:val="left"/>
      <w:pPr>
        <w:ind w:left="6480" w:hanging="360"/>
      </w:pPr>
      <w:rPr>
        <w:rFonts w:ascii="Wingdings" w:hAnsi="Wingdings" w:hint="default"/>
      </w:rPr>
    </w:lvl>
  </w:abstractNum>
  <w:abstractNum w:abstractNumId="26" w15:restartNumberingAfterBreak="0">
    <w:nsid w:val="272025EB"/>
    <w:multiLevelType w:val="multilevel"/>
    <w:tmpl w:val="A844C5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B3B4445"/>
    <w:multiLevelType w:val="multilevel"/>
    <w:tmpl w:val="B34017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9" w15:restartNumberingAfterBreak="0">
    <w:nsid w:val="2BC25F4E"/>
    <w:multiLevelType w:val="hybridMultilevel"/>
    <w:tmpl w:val="FE128B1C"/>
    <w:lvl w:ilvl="0" w:tplc="ED22CEE6">
      <w:numFmt w:val="bullet"/>
      <w:lvlText w:val="-"/>
      <w:lvlJc w:val="left"/>
      <w:pPr>
        <w:ind w:left="720" w:hanging="360"/>
      </w:pPr>
      <w:rPr>
        <w:rFonts w:ascii="Calibri" w:eastAsia="Calibri" w:hAnsi="Calibri" w:cs="Calibri"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C127CF8"/>
    <w:multiLevelType w:val="multilevel"/>
    <w:tmpl w:val="F81849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4A364A"/>
    <w:multiLevelType w:val="hybridMultilevel"/>
    <w:tmpl w:val="E1262B60"/>
    <w:lvl w:ilvl="0" w:tplc="7EA26E72">
      <w:start w:val="1"/>
      <w:numFmt w:val="bullet"/>
      <w:lvlText w:val=""/>
      <w:lvlJc w:val="left"/>
      <w:pPr>
        <w:ind w:left="1280" w:hanging="360"/>
      </w:pPr>
      <w:rPr>
        <w:rFonts w:ascii="Symbol" w:hAnsi="Symbol"/>
      </w:rPr>
    </w:lvl>
    <w:lvl w:ilvl="1" w:tplc="A016EE62">
      <w:start w:val="1"/>
      <w:numFmt w:val="bullet"/>
      <w:lvlText w:val=""/>
      <w:lvlJc w:val="left"/>
      <w:pPr>
        <w:ind w:left="1280" w:hanging="360"/>
      </w:pPr>
      <w:rPr>
        <w:rFonts w:ascii="Symbol" w:hAnsi="Symbol"/>
      </w:rPr>
    </w:lvl>
    <w:lvl w:ilvl="2" w:tplc="A65E0A8E">
      <w:start w:val="1"/>
      <w:numFmt w:val="bullet"/>
      <w:lvlText w:val=""/>
      <w:lvlJc w:val="left"/>
      <w:pPr>
        <w:ind w:left="1280" w:hanging="360"/>
      </w:pPr>
      <w:rPr>
        <w:rFonts w:ascii="Symbol" w:hAnsi="Symbol"/>
      </w:rPr>
    </w:lvl>
    <w:lvl w:ilvl="3" w:tplc="5930ED60">
      <w:start w:val="1"/>
      <w:numFmt w:val="bullet"/>
      <w:lvlText w:val=""/>
      <w:lvlJc w:val="left"/>
      <w:pPr>
        <w:ind w:left="1280" w:hanging="360"/>
      </w:pPr>
      <w:rPr>
        <w:rFonts w:ascii="Symbol" w:hAnsi="Symbol"/>
      </w:rPr>
    </w:lvl>
    <w:lvl w:ilvl="4" w:tplc="16C26530">
      <w:start w:val="1"/>
      <w:numFmt w:val="bullet"/>
      <w:lvlText w:val=""/>
      <w:lvlJc w:val="left"/>
      <w:pPr>
        <w:ind w:left="1280" w:hanging="360"/>
      </w:pPr>
      <w:rPr>
        <w:rFonts w:ascii="Symbol" w:hAnsi="Symbol"/>
      </w:rPr>
    </w:lvl>
    <w:lvl w:ilvl="5" w:tplc="3BCEA04E">
      <w:start w:val="1"/>
      <w:numFmt w:val="bullet"/>
      <w:lvlText w:val=""/>
      <w:lvlJc w:val="left"/>
      <w:pPr>
        <w:ind w:left="1280" w:hanging="360"/>
      </w:pPr>
      <w:rPr>
        <w:rFonts w:ascii="Symbol" w:hAnsi="Symbol"/>
      </w:rPr>
    </w:lvl>
    <w:lvl w:ilvl="6" w:tplc="7632CC8C">
      <w:start w:val="1"/>
      <w:numFmt w:val="bullet"/>
      <w:lvlText w:val=""/>
      <w:lvlJc w:val="left"/>
      <w:pPr>
        <w:ind w:left="1280" w:hanging="360"/>
      </w:pPr>
      <w:rPr>
        <w:rFonts w:ascii="Symbol" w:hAnsi="Symbol"/>
      </w:rPr>
    </w:lvl>
    <w:lvl w:ilvl="7" w:tplc="B1BE42C0">
      <w:start w:val="1"/>
      <w:numFmt w:val="bullet"/>
      <w:lvlText w:val=""/>
      <w:lvlJc w:val="left"/>
      <w:pPr>
        <w:ind w:left="1280" w:hanging="360"/>
      </w:pPr>
      <w:rPr>
        <w:rFonts w:ascii="Symbol" w:hAnsi="Symbol"/>
      </w:rPr>
    </w:lvl>
    <w:lvl w:ilvl="8" w:tplc="33F471A8">
      <w:start w:val="1"/>
      <w:numFmt w:val="bullet"/>
      <w:lvlText w:val=""/>
      <w:lvlJc w:val="left"/>
      <w:pPr>
        <w:ind w:left="1280" w:hanging="360"/>
      </w:pPr>
      <w:rPr>
        <w:rFonts w:ascii="Symbol" w:hAnsi="Symbol"/>
      </w:rPr>
    </w:lvl>
  </w:abstractNum>
  <w:abstractNum w:abstractNumId="32" w15:restartNumberingAfterBreak="0">
    <w:nsid w:val="3C8925B6"/>
    <w:multiLevelType w:val="multilevel"/>
    <w:tmpl w:val="E33872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DE00D69"/>
    <w:multiLevelType w:val="multilevel"/>
    <w:tmpl w:val="3684D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242D39"/>
    <w:multiLevelType w:val="multilevel"/>
    <w:tmpl w:val="5E66D8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01A68B0"/>
    <w:multiLevelType w:val="multilevel"/>
    <w:tmpl w:val="C8641B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4A35D05"/>
    <w:multiLevelType w:val="multilevel"/>
    <w:tmpl w:val="C0FC2F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BE4BB4"/>
    <w:multiLevelType w:val="hybridMultilevel"/>
    <w:tmpl w:val="FDF8C0F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B764073"/>
    <w:multiLevelType w:val="hybridMultilevel"/>
    <w:tmpl w:val="9AC4FCF8"/>
    <w:lvl w:ilvl="0" w:tplc="82F6910A">
      <w:start w:val="1"/>
      <w:numFmt w:val="bullet"/>
      <w:lvlText w:val=""/>
      <w:lvlJc w:val="left"/>
      <w:pPr>
        <w:ind w:left="1280" w:hanging="360"/>
      </w:pPr>
      <w:rPr>
        <w:rFonts w:ascii="Symbol" w:hAnsi="Symbol"/>
      </w:rPr>
    </w:lvl>
    <w:lvl w:ilvl="1" w:tplc="A2D2FE58">
      <w:start w:val="1"/>
      <w:numFmt w:val="bullet"/>
      <w:lvlText w:val=""/>
      <w:lvlJc w:val="left"/>
      <w:pPr>
        <w:ind w:left="1280" w:hanging="360"/>
      </w:pPr>
      <w:rPr>
        <w:rFonts w:ascii="Symbol" w:hAnsi="Symbol"/>
      </w:rPr>
    </w:lvl>
    <w:lvl w:ilvl="2" w:tplc="31EC9C40">
      <w:start w:val="1"/>
      <w:numFmt w:val="bullet"/>
      <w:lvlText w:val=""/>
      <w:lvlJc w:val="left"/>
      <w:pPr>
        <w:ind w:left="1280" w:hanging="360"/>
      </w:pPr>
      <w:rPr>
        <w:rFonts w:ascii="Symbol" w:hAnsi="Symbol"/>
      </w:rPr>
    </w:lvl>
    <w:lvl w:ilvl="3" w:tplc="AD0408EE">
      <w:start w:val="1"/>
      <w:numFmt w:val="bullet"/>
      <w:lvlText w:val=""/>
      <w:lvlJc w:val="left"/>
      <w:pPr>
        <w:ind w:left="1280" w:hanging="360"/>
      </w:pPr>
      <w:rPr>
        <w:rFonts w:ascii="Symbol" w:hAnsi="Symbol"/>
      </w:rPr>
    </w:lvl>
    <w:lvl w:ilvl="4" w:tplc="CD607B8E">
      <w:start w:val="1"/>
      <w:numFmt w:val="bullet"/>
      <w:lvlText w:val=""/>
      <w:lvlJc w:val="left"/>
      <w:pPr>
        <w:ind w:left="1280" w:hanging="360"/>
      </w:pPr>
      <w:rPr>
        <w:rFonts w:ascii="Symbol" w:hAnsi="Symbol"/>
      </w:rPr>
    </w:lvl>
    <w:lvl w:ilvl="5" w:tplc="981001B0">
      <w:start w:val="1"/>
      <w:numFmt w:val="bullet"/>
      <w:lvlText w:val=""/>
      <w:lvlJc w:val="left"/>
      <w:pPr>
        <w:ind w:left="1280" w:hanging="360"/>
      </w:pPr>
      <w:rPr>
        <w:rFonts w:ascii="Symbol" w:hAnsi="Symbol"/>
      </w:rPr>
    </w:lvl>
    <w:lvl w:ilvl="6" w:tplc="2342DE3C">
      <w:start w:val="1"/>
      <w:numFmt w:val="bullet"/>
      <w:lvlText w:val=""/>
      <w:lvlJc w:val="left"/>
      <w:pPr>
        <w:ind w:left="1280" w:hanging="360"/>
      </w:pPr>
      <w:rPr>
        <w:rFonts w:ascii="Symbol" w:hAnsi="Symbol"/>
      </w:rPr>
    </w:lvl>
    <w:lvl w:ilvl="7" w:tplc="415E231A">
      <w:start w:val="1"/>
      <w:numFmt w:val="bullet"/>
      <w:lvlText w:val=""/>
      <w:lvlJc w:val="left"/>
      <w:pPr>
        <w:ind w:left="1280" w:hanging="360"/>
      </w:pPr>
      <w:rPr>
        <w:rFonts w:ascii="Symbol" w:hAnsi="Symbol"/>
      </w:rPr>
    </w:lvl>
    <w:lvl w:ilvl="8" w:tplc="DF5C7BAC">
      <w:start w:val="1"/>
      <w:numFmt w:val="bullet"/>
      <w:lvlText w:val=""/>
      <w:lvlJc w:val="left"/>
      <w:pPr>
        <w:ind w:left="1280" w:hanging="360"/>
      </w:pPr>
      <w:rPr>
        <w:rFonts w:ascii="Symbol" w:hAnsi="Symbol"/>
      </w:rPr>
    </w:lvl>
  </w:abstractNum>
  <w:abstractNum w:abstractNumId="39" w15:restartNumberingAfterBreak="0">
    <w:nsid w:val="50120CE5"/>
    <w:multiLevelType w:val="hybridMultilevel"/>
    <w:tmpl w:val="E11481F0"/>
    <w:lvl w:ilvl="0" w:tplc="5830A24A">
      <w:start w:val="1"/>
      <w:numFmt w:val="bullet"/>
      <w:lvlText w:val=""/>
      <w:lvlJc w:val="left"/>
      <w:pPr>
        <w:ind w:left="1280" w:hanging="360"/>
      </w:pPr>
      <w:rPr>
        <w:rFonts w:ascii="Symbol" w:hAnsi="Symbol"/>
      </w:rPr>
    </w:lvl>
    <w:lvl w:ilvl="1" w:tplc="5D9A417A">
      <w:start w:val="1"/>
      <w:numFmt w:val="bullet"/>
      <w:lvlText w:val=""/>
      <w:lvlJc w:val="left"/>
      <w:pPr>
        <w:ind w:left="1280" w:hanging="360"/>
      </w:pPr>
      <w:rPr>
        <w:rFonts w:ascii="Symbol" w:hAnsi="Symbol"/>
      </w:rPr>
    </w:lvl>
    <w:lvl w:ilvl="2" w:tplc="38F8CA10">
      <w:start w:val="1"/>
      <w:numFmt w:val="bullet"/>
      <w:lvlText w:val=""/>
      <w:lvlJc w:val="left"/>
      <w:pPr>
        <w:ind w:left="1280" w:hanging="360"/>
      </w:pPr>
      <w:rPr>
        <w:rFonts w:ascii="Symbol" w:hAnsi="Symbol"/>
      </w:rPr>
    </w:lvl>
    <w:lvl w:ilvl="3" w:tplc="70B8DCF8">
      <w:start w:val="1"/>
      <w:numFmt w:val="bullet"/>
      <w:lvlText w:val=""/>
      <w:lvlJc w:val="left"/>
      <w:pPr>
        <w:ind w:left="1280" w:hanging="360"/>
      </w:pPr>
      <w:rPr>
        <w:rFonts w:ascii="Symbol" w:hAnsi="Symbol"/>
      </w:rPr>
    </w:lvl>
    <w:lvl w:ilvl="4" w:tplc="C7D25C42">
      <w:start w:val="1"/>
      <w:numFmt w:val="bullet"/>
      <w:lvlText w:val=""/>
      <w:lvlJc w:val="left"/>
      <w:pPr>
        <w:ind w:left="1280" w:hanging="360"/>
      </w:pPr>
      <w:rPr>
        <w:rFonts w:ascii="Symbol" w:hAnsi="Symbol"/>
      </w:rPr>
    </w:lvl>
    <w:lvl w:ilvl="5" w:tplc="BEC8773C">
      <w:start w:val="1"/>
      <w:numFmt w:val="bullet"/>
      <w:lvlText w:val=""/>
      <w:lvlJc w:val="left"/>
      <w:pPr>
        <w:ind w:left="1280" w:hanging="360"/>
      </w:pPr>
      <w:rPr>
        <w:rFonts w:ascii="Symbol" w:hAnsi="Symbol"/>
      </w:rPr>
    </w:lvl>
    <w:lvl w:ilvl="6" w:tplc="92D45676">
      <w:start w:val="1"/>
      <w:numFmt w:val="bullet"/>
      <w:lvlText w:val=""/>
      <w:lvlJc w:val="left"/>
      <w:pPr>
        <w:ind w:left="1280" w:hanging="360"/>
      </w:pPr>
      <w:rPr>
        <w:rFonts w:ascii="Symbol" w:hAnsi="Symbol"/>
      </w:rPr>
    </w:lvl>
    <w:lvl w:ilvl="7" w:tplc="871EFD1C">
      <w:start w:val="1"/>
      <w:numFmt w:val="bullet"/>
      <w:lvlText w:val=""/>
      <w:lvlJc w:val="left"/>
      <w:pPr>
        <w:ind w:left="1280" w:hanging="360"/>
      </w:pPr>
      <w:rPr>
        <w:rFonts w:ascii="Symbol" w:hAnsi="Symbol"/>
      </w:rPr>
    </w:lvl>
    <w:lvl w:ilvl="8" w:tplc="DD9890CC">
      <w:start w:val="1"/>
      <w:numFmt w:val="bullet"/>
      <w:lvlText w:val=""/>
      <w:lvlJc w:val="left"/>
      <w:pPr>
        <w:ind w:left="1280" w:hanging="360"/>
      </w:pPr>
      <w:rPr>
        <w:rFonts w:ascii="Symbol" w:hAnsi="Symbol"/>
      </w:rPr>
    </w:lvl>
  </w:abstractNum>
  <w:abstractNum w:abstractNumId="40" w15:restartNumberingAfterBreak="0">
    <w:nsid w:val="532E5E12"/>
    <w:multiLevelType w:val="hybridMultilevel"/>
    <w:tmpl w:val="67801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46A28D9"/>
    <w:multiLevelType w:val="hybridMultilevel"/>
    <w:tmpl w:val="83B070D8"/>
    <w:lvl w:ilvl="0" w:tplc="A448D15A">
      <w:start w:val="1"/>
      <w:numFmt w:val="bullet"/>
      <w:lvlText w:val=""/>
      <w:lvlJc w:val="left"/>
      <w:pPr>
        <w:ind w:left="1280" w:hanging="360"/>
      </w:pPr>
      <w:rPr>
        <w:rFonts w:ascii="Symbol" w:hAnsi="Symbol"/>
      </w:rPr>
    </w:lvl>
    <w:lvl w:ilvl="1" w:tplc="E8467DDE">
      <w:start w:val="1"/>
      <w:numFmt w:val="bullet"/>
      <w:lvlText w:val=""/>
      <w:lvlJc w:val="left"/>
      <w:pPr>
        <w:ind w:left="1280" w:hanging="360"/>
      </w:pPr>
      <w:rPr>
        <w:rFonts w:ascii="Symbol" w:hAnsi="Symbol"/>
      </w:rPr>
    </w:lvl>
    <w:lvl w:ilvl="2" w:tplc="437076D4">
      <w:start w:val="1"/>
      <w:numFmt w:val="bullet"/>
      <w:lvlText w:val=""/>
      <w:lvlJc w:val="left"/>
      <w:pPr>
        <w:ind w:left="1280" w:hanging="360"/>
      </w:pPr>
      <w:rPr>
        <w:rFonts w:ascii="Symbol" w:hAnsi="Symbol"/>
      </w:rPr>
    </w:lvl>
    <w:lvl w:ilvl="3" w:tplc="2FBA4018">
      <w:start w:val="1"/>
      <w:numFmt w:val="bullet"/>
      <w:lvlText w:val=""/>
      <w:lvlJc w:val="left"/>
      <w:pPr>
        <w:ind w:left="1280" w:hanging="360"/>
      </w:pPr>
      <w:rPr>
        <w:rFonts w:ascii="Symbol" w:hAnsi="Symbol"/>
      </w:rPr>
    </w:lvl>
    <w:lvl w:ilvl="4" w:tplc="44AA89A6">
      <w:start w:val="1"/>
      <w:numFmt w:val="bullet"/>
      <w:lvlText w:val=""/>
      <w:lvlJc w:val="left"/>
      <w:pPr>
        <w:ind w:left="1280" w:hanging="360"/>
      </w:pPr>
      <w:rPr>
        <w:rFonts w:ascii="Symbol" w:hAnsi="Symbol"/>
      </w:rPr>
    </w:lvl>
    <w:lvl w:ilvl="5" w:tplc="2484480C">
      <w:start w:val="1"/>
      <w:numFmt w:val="bullet"/>
      <w:lvlText w:val=""/>
      <w:lvlJc w:val="left"/>
      <w:pPr>
        <w:ind w:left="1280" w:hanging="360"/>
      </w:pPr>
      <w:rPr>
        <w:rFonts w:ascii="Symbol" w:hAnsi="Symbol"/>
      </w:rPr>
    </w:lvl>
    <w:lvl w:ilvl="6" w:tplc="79CA9E7C">
      <w:start w:val="1"/>
      <w:numFmt w:val="bullet"/>
      <w:lvlText w:val=""/>
      <w:lvlJc w:val="left"/>
      <w:pPr>
        <w:ind w:left="1280" w:hanging="360"/>
      </w:pPr>
      <w:rPr>
        <w:rFonts w:ascii="Symbol" w:hAnsi="Symbol"/>
      </w:rPr>
    </w:lvl>
    <w:lvl w:ilvl="7" w:tplc="835A94D6">
      <w:start w:val="1"/>
      <w:numFmt w:val="bullet"/>
      <w:lvlText w:val=""/>
      <w:lvlJc w:val="left"/>
      <w:pPr>
        <w:ind w:left="1280" w:hanging="360"/>
      </w:pPr>
      <w:rPr>
        <w:rFonts w:ascii="Symbol" w:hAnsi="Symbol"/>
      </w:rPr>
    </w:lvl>
    <w:lvl w:ilvl="8" w:tplc="58B6D9C2">
      <w:start w:val="1"/>
      <w:numFmt w:val="bullet"/>
      <w:lvlText w:val=""/>
      <w:lvlJc w:val="left"/>
      <w:pPr>
        <w:ind w:left="1280" w:hanging="360"/>
      </w:pPr>
      <w:rPr>
        <w:rFonts w:ascii="Symbol" w:hAnsi="Symbol"/>
      </w:rPr>
    </w:lvl>
  </w:abstractNum>
  <w:abstractNum w:abstractNumId="42"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43"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44" w15:restartNumberingAfterBreak="0">
    <w:nsid w:val="5F173874"/>
    <w:multiLevelType w:val="hybridMultilevel"/>
    <w:tmpl w:val="DFFA067A"/>
    <w:lvl w:ilvl="0" w:tplc="B328B152">
      <w:start w:val="1"/>
      <w:numFmt w:val="bullet"/>
      <w:lvlText w:val=""/>
      <w:lvlJc w:val="left"/>
      <w:pPr>
        <w:ind w:left="1280" w:hanging="360"/>
      </w:pPr>
      <w:rPr>
        <w:rFonts w:ascii="Symbol" w:hAnsi="Symbol"/>
      </w:rPr>
    </w:lvl>
    <w:lvl w:ilvl="1" w:tplc="4C0A7DC4">
      <w:start w:val="1"/>
      <w:numFmt w:val="bullet"/>
      <w:lvlText w:val=""/>
      <w:lvlJc w:val="left"/>
      <w:pPr>
        <w:ind w:left="1280" w:hanging="360"/>
      </w:pPr>
      <w:rPr>
        <w:rFonts w:ascii="Symbol" w:hAnsi="Symbol"/>
      </w:rPr>
    </w:lvl>
    <w:lvl w:ilvl="2" w:tplc="45285D5E">
      <w:start w:val="1"/>
      <w:numFmt w:val="bullet"/>
      <w:lvlText w:val=""/>
      <w:lvlJc w:val="left"/>
      <w:pPr>
        <w:ind w:left="1280" w:hanging="360"/>
      </w:pPr>
      <w:rPr>
        <w:rFonts w:ascii="Symbol" w:hAnsi="Symbol"/>
      </w:rPr>
    </w:lvl>
    <w:lvl w:ilvl="3" w:tplc="474C9796">
      <w:start w:val="1"/>
      <w:numFmt w:val="bullet"/>
      <w:lvlText w:val=""/>
      <w:lvlJc w:val="left"/>
      <w:pPr>
        <w:ind w:left="1280" w:hanging="360"/>
      </w:pPr>
      <w:rPr>
        <w:rFonts w:ascii="Symbol" w:hAnsi="Symbol"/>
      </w:rPr>
    </w:lvl>
    <w:lvl w:ilvl="4" w:tplc="E14E16C2">
      <w:start w:val="1"/>
      <w:numFmt w:val="bullet"/>
      <w:lvlText w:val=""/>
      <w:lvlJc w:val="left"/>
      <w:pPr>
        <w:ind w:left="1280" w:hanging="360"/>
      </w:pPr>
      <w:rPr>
        <w:rFonts w:ascii="Symbol" w:hAnsi="Symbol"/>
      </w:rPr>
    </w:lvl>
    <w:lvl w:ilvl="5" w:tplc="59AEEC4A">
      <w:start w:val="1"/>
      <w:numFmt w:val="bullet"/>
      <w:lvlText w:val=""/>
      <w:lvlJc w:val="left"/>
      <w:pPr>
        <w:ind w:left="1280" w:hanging="360"/>
      </w:pPr>
      <w:rPr>
        <w:rFonts w:ascii="Symbol" w:hAnsi="Symbol"/>
      </w:rPr>
    </w:lvl>
    <w:lvl w:ilvl="6" w:tplc="7FE62926">
      <w:start w:val="1"/>
      <w:numFmt w:val="bullet"/>
      <w:lvlText w:val=""/>
      <w:lvlJc w:val="left"/>
      <w:pPr>
        <w:ind w:left="1280" w:hanging="360"/>
      </w:pPr>
      <w:rPr>
        <w:rFonts w:ascii="Symbol" w:hAnsi="Symbol"/>
      </w:rPr>
    </w:lvl>
    <w:lvl w:ilvl="7" w:tplc="0644DF7C">
      <w:start w:val="1"/>
      <w:numFmt w:val="bullet"/>
      <w:lvlText w:val=""/>
      <w:lvlJc w:val="left"/>
      <w:pPr>
        <w:ind w:left="1280" w:hanging="360"/>
      </w:pPr>
      <w:rPr>
        <w:rFonts w:ascii="Symbol" w:hAnsi="Symbol"/>
      </w:rPr>
    </w:lvl>
    <w:lvl w:ilvl="8" w:tplc="31E693F2">
      <w:start w:val="1"/>
      <w:numFmt w:val="bullet"/>
      <w:lvlText w:val=""/>
      <w:lvlJc w:val="left"/>
      <w:pPr>
        <w:ind w:left="1280" w:hanging="360"/>
      </w:pPr>
      <w:rPr>
        <w:rFonts w:ascii="Symbol" w:hAnsi="Symbol"/>
      </w:rPr>
    </w:lvl>
  </w:abstractNum>
  <w:abstractNum w:abstractNumId="45" w15:restartNumberingAfterBreak="0">
    <w:nsid w:val="60C94AB9"/>
    <w:multiLevelType w:val="hybridMultilevel"/>
    <w:tmpl w:val="AC688D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611525F5"/>
    <w:multiLevelType w:val="hybridMultilevel"/>
    <w:tmpl w:val="ABA8F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18274A4"/>
    <w:multiLevelType w:val="multilevel"/>
    <w:tmpl w:val="146AAA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730C35"/>
    <w:multiLevelType w:val="hybridMultilevel"/>
    <w:tmpl w:val="008A1FC0"/>
    <w:lvl w:ilvl="0" w:tplc="85407654">
      <w:start w:val="1"/>
      <w:numFmt w:val="bullet"/>
      <w:lvlText w:val=""/>
      <w:lvlJc w:val="left"/>
      <w:pPr>
        <w:ind w:left="1280" w:hanging="360"/>
      </w:pPr>
      <w:rPr>
        <w:rFonts w:ascii="Symbol" w:hAnsi="Symbol"/>
      </w:rPr>
    </w:lvl>
    <w:lvl w:ilvl="1" w:tplc="00A0323A">
      <w:start w:val="1"/>
      <w:numFmt w:val="bullet"/>
      <w:lvlText w:val=""/>
      <w:lvlJc w:val="left"/>
      <w:pPr>
        <w:ind w:left="1280" w:hanging="360"/>
      </w:pPr>
      <w:rPr>
        <w:rFonts w:ascii="Symbol" w:hAnsi="Symbol"/>
      </w:rPr>
    </w:lvl>
    <w:lvl w:ilvl="2" w:tplc="647079E8">
      <w:start w:val="1"/>
      <w:numFmt w:val="bullet"/>
      <w:lvlText w:val=""/>
      <w:lvlJc w:val="left"/>
      <w:pPr>
        <w:ind w:left="1280" w:hanging="360"/>
      </w:pPr>
      <w:rPr>
        <w:rFonts w:ascii="Symbol" w:hAnsi="Symbol"/>
      </w:rPr>
    </w:lvl>
    <w:lvl w:ilvl="3" w:tplc="32F6726E">
      <w:start w:val="1"/>
      <w:numFmt w:val="bullet"/>
      <w:lvlText w:val=""/>
      <w:lvlJc w:val="left"/>
      <w:pPr>
        <w:ind w:left="1280" w:hanging="360"/>
      </w:pPr>
      <w:rPr>
        <w:rFonts w:ascii="Symbol" w:hAnsi="Symbol"/>
      </w:rPr>
    </w:lvl>
    <w:lvl w:ilvl="4" w:tplc="63F06EFC">
      <w:start w:val="1"/>
      <w:numFmt w:val="bullet"/>
      <w:lvlText w:val=""/>
      <w:lvlJc w:val="left"/>
      <w:pPr>
        <w:ind w:left="1280" w:hanging="360"/>
      </w:pPr>
      <w:rPr>
        <w:rFonts w:ascii="Symbol" w:hAnsi="Symbol"/>
      </w:rPr>
    </w:lvl>
    <w:lvl w:ilvl="5" w:tplc="34BC984A">
      <w:start w:val="1"/>
      <w:numFmt w:val="bullet"/>
      <w:lvlText w:val=""/>
      <w:lvlJc w:val="left"/>
      <w:pPr>
        <w:ind w:left="1280" w:hanging="360"/>
      </w:pPr>
      <w:rPr>
        <w:rFonts w:ascii="Symbol" w:hAnsi="Symbol"/>
      </w:rPr>
    </w:lvl>
    <w:lvl w:ilvl="6" w:tplc="B84E374C">
      <w:start w:val="1"/>
      <w:numFmt w:val="bullet"/>
      <w:lvlText w:val=""/>
      <w:lvlJc w:val="left"/>
      <w:pPr>
        <w:ind w:left="1280" w:hanging="360"/>
      </w:pPr>
      <w:rPr>
        <w:rFonts w:ascii="Symbol" w:hAnsi="Symbol"/>
      </w:rPr>
    </w:lvl>
    <w:lvl w:ilvl="7" w:tplc="B7ACE530">
      <w:start w:val="1"/>
      <w:numFmt w:val="bullet"/>
      <w:lvlText w:val=""/>
      <w:lvlJc w:val="left"/>
      <w:pPr>
        <w:ind w:left="1280" w:hanging="360"/>
      </w:pPr>
      <w:rPr>
        <w:rFonts w:ascii="Symbol" w:hAnsi="Symbol"/>
      </w:rPr>
    </w:lvl>
    <w:lvl w:ilvl="8" w:tplc="1A708050">
      <w:start w:val="1"/>
      <w:numFmt w:val="bullet"/>
      <w:lvlText w:val=""/>
      <w:lvlJc w:val="left"/>
      <w:pPr>
        <w:ind w:left="1280" w:hanging="360"/>
      </w:pPr>
      <w:rPr>
        <w:rFonts w:ascii="Symbol" w:hAnsi="Symbol"/>
      </w:rPr>
    </w:lvl>
  </w:abstractNum>
  <w:abstractNum w:abstractNumId="49" w15:restartNumberingAfterBreak="0">
    <w:nsid w:val="66C903F3"/>
    <w:multiLevelType w:val="hybridMultilevel"/>
    <w:tmpl w:val="64209724"/>
    <w:lvl w:ilvl="0" w:tplc="8D20A9EE">
      <w:start w:val="1"/>
      <w:numFmt w:val="upperLetter"/>
      <w:lvlText w:val="%1."/>
      <w:lvlJc w:val="left"/>
      <w:pPr>
        <w:ind w:left="360" w:hanging="360"/>
      </w:pPr>
      <w:rPr>
        <w:b/>
        <w:color w:val="495965" w:themeColor="text2"/>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6B59694D"/>
    <w:multiLevelType w:val="hybridMultilevel"/>
    <w:tmpl w:val="FFFFFFFF"/>
    <w:lvl w:ilvl="0" w:tplc="6E28659A">
      <w:start w:val="1"/>
      <w:numFmt w:val="bullet"/>
      <w:lvlText w:val=""/>
      <w:lvlJc w:val="left"/>
      <w:pPr>
        <w:ind w:left="360" w:hanging="360"/>
      </w:pPr>
      <w:rPr>
        <w:rFonts w:ascii="Symbol" w:hAnsi="Symbol" w:hint="default"/>
      </w:rPr>
    </w:lvl>
    <w:lvl w:ilvl="1" w:tplc="5056768E">
      <w:start w:val="1"/>
      <w:numFmt w:val="bullet"/>
      <w:lvlText w:val="o"/>
      <w:lvlJc w:val="left"/>
      <w:pPr>
        <w:ind w:left="1440" w:hanging="360"/>
      </w:pPr>
      <w:rPr>
        <w:rFonts w:ascii="Courier New" w:hAnsi="Courier New" w:hint="default"/>
      </w:rPr>
    </w:lvl>
    <w:lvl w:ilvl="2" w:tplc="C9C633B8">
      <w:start w:val="1"/>
      <w:numFmt w:val="bullet"/>
      <w:lvlText w:val=""/>
      <w:lvlJc w:val="left"/>
      <w:pPr>
        <w:ind w:left="2160" w:hanging="360"/>
      </w:pPr>
      <w:rPr>
        <w:rFonts w:ascii="Wingdings" w:hAnsi="Wingdings" w:hint="default"/>
      </w:rPr>
    </w:lvl>
    <w:lvl w:ilvl="3" w:tplc="940AE038">
      <w:start w:val="1"/>
      <w:numFmt w:val="bullet"/>
      <w:lvlText w:val=""/>
      <w:lvlJc w:val="left"/>
      <w:pPr>
        <w:ind w:left="2880" w:hanging="360"/>
      </w:pPr>
      <w:rPr>
        <w:rFonts w:ascii="Symbol" w:hAnsi="Symbol" w:hint="default"/>
      </w:rPr>
    </w:lvl>
    <w:lvl w:ilvl="4" w:tplc="5CCEDA94">
      <w:start w:val="1"/>
      <w:numFmt w:val="bullet"/>
      <w:lvlText w:val="o"/>
      <w:lvlJc w:val="left"/>
      <w:pPr>
        <w:ind w:left="3600" w:hanging="360"/>
      </w:pPr>
      <w:rPr>
        <w:rFonts w:ascii="Courier New" w:hAnsi="Courier New" w:hint="default"/>
      </w:rPr>
    </w:lvl>
    <w:lvl w:ilvl="5" w:tplc="21260450">
      <w:start w:val="1"/>
      <w:numFmt w:val="bullet"/>
      <w:lvlText w:val=""/>
      <w:lvlJc w:val="left"/>
      <w:pPr>
        <w:ind w:left="4320" w:hanging="360"/>
      </w:pPr>
      <w:rPr>
        <w:rFonts w:ascii="Wingdings" w:hAnsi="Wingdings" w:hint="default"/>
      </w:rPr>
    </w:lvl>
    <w:lvl w:ilvl="6" w:tplc="CC8CD4CA">
      <w:start w:val="1"/>
      <w:numFmt w:val="bullet"/>
      <w:lvlText w:val=""/>
      <w:lvlJc w:val="left"/>
      <w:pPr>
        <w:ind w:left="5040" w:hanging="360"/>
      </w:pPr>
      <w:rPr>
        <w:rFonts w:ascii="Symbol" w:hAnsi="Symbol" w:hint="default"/>
      </w:rPr>
    </w:lvl>
    <w:lvl w:ilvl="7" w:tplc="092AFC20">
      <w:start w:val="1"/>
      <w:numFmt w:val="bullet"/>
      <w:lvlText w:val="o"/>
      <w:lvlJc w:val="left"/>
      <w:pPr>
        <w:ind w:left="5760" w:hanging="360"/>
      </w:pPr>
      <w:rPr>
        <w:rFonts w:ascii="Courier New" w:hAnsi="Courier New" w:hint="default"/>
      </w:rPr>
    </w:lvl>
    <w:lvl w:ilvl="8" w:tplc="0F36E902">
      <w:start w:val="1"/>
      <w:numFmt w:val="bullet"/>
      <w:lvlText w:val=""/>
      <w:lvlJc w:val="left"/>
      <w:pPr>
        <w:ind w:left="6480" w:hanging="360"/>
      </w:pPr>
      <w:rPr>
        <w:rFonts w:ascii="Wingdings" w:hAnsi="Wingdings" w:hint="default"/>
      </w:rPr>
    </w:lvl>
  </w:abstractNum>
  <w:abstractNum w:abstractNumId="51" w15:restartNumberingAfterBreak="0">
    <w:nsid w:val="6E741A0D"/>
    <w:multiLevelType w:val="multilevel"/>
    <w:tmpl w:val="36862F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FCA559E"/>
    <w:multiLevelType w:val="hybridMultilevel"/>
    <w:tmpl w:val="AADA1280"/>
    <w:lvl w:ilvl="0" w:tplc="17768A98">
      <w:start w:val="1"/>
      <w:numFmt w:val="bullet"/>
      <w:lvlText w:val="›"/>
      <w:lvlJc w:val="left"/>
      <w:pPr>
        <w:ind w:left="862" w:hanging="360"/>
      </w:pPr>
      <w:rPr>
        <w:rFonts w:ascii="Times New Roman" w:hAnsi="Times New Roman" w:cs="Times New Roman"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3" w15:restartNumberingAfterBreak="0">
    <w:nsid w:val="70C45AD0"/>
    <w:multiLevelType w:val="multilevel"/>
    <w:tmpl w:val="403813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3107305"/>
    <w:multiLevelType w:val="multilevel"/>
    <w:tmpl w:val="A6FA45D0"/>
    <w:styleLink w:val="BulletsList"/>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5" w15:restartNumberingAfterBreak="0">
    <w:nsid w:val="73D27ED4"/>
    <w:multiLevelType w:val="hybridMultilevel"/>
    <w:tmpl w:val="C8EA3E6C"/>
    <w:lvl w:ilvl="0" w:tplc="104C7B1E">
      <w:start w:val="1"/>
      <w:numFmt w:val="bullet"/>
      <w:lvlText w:val=""/>
      <w:lvlJc w:val="left"/>
      <w:pPr>
        <w:ind w:left="1280" w:hanging="360"/>
      </w:pPr>
      <w:rPr>
        <w:rFonts w:ascii="Symbol" w:hAnsi="Symbol"/>
      </w:rPr>
    </w:lvl>
    <w:lvl w:ilvl="1" w:tplc="A9FEF9AC">
      <w:start w:val="1"/>
      <w:numFmt w:val="bullet"/>
      <w:lvlText w:val=""/>
      <w:lvlJc w:val="left"/>
      <w:pPr>
        <w:ind w:left="1280" w:hanging="360"/>
      </w:pPr>
      <w:rPr>
        <w:rFonts w:ascii="Symbol" w:hAnsi="Symbol"/>
      </w:rPr>
    </w:lvl>
    <w:lvl w:ilvl="2" w:tplc="FA789244">
      <w:start w:val="1"/>
      <w:numFmt w:val="bullet"/>
      <w:lvlText w:val=""/>
      <w:lvlJc w:val="left"/>
      <w:pPr>
        <w:ind w:left="1280" w:hanging="360"/>
      </w:pPr>
      <w:rPr>
        <w:rFonts w:ascii="Symbol" w:hAnsi="Symbol"/>
      </w:rPr>
    </w:lvl>
    <w:lvl w:ilvl="3" w:tplc="C6786C38">
      <w:start w:val="1"/>
      <w:numFmt w:val="bullet"/>
      <w:lvlText w:val=""/>
      <w:lvlJc w:val="left"/>
      <w:pPr>
        <w:ind w:left="1280" w:hanging="360"/>
      </w:pPr>
      <w:rPr>
        <w:rFonts w:ascii="Symbol" w:hAnsi="Symbol"/>
      </w:rPr>
    </w:lvl>
    <w:lvl w:ilvl="4" w:tplc="17DEE0A4">
      <w:start w:val="1"/>
      <w:numFmt w:val="bullet"/>
      <w:lvlText w:val=""/>
      <w:lvlJc w:val="left"/>
      <w:pPr>
        <w:ind w:left="1280" w:hanging="360"/>
      </w:pPr>
      <w:rPr>
        <w:rFonts w:ascii="Symbol" w:hAnsi="Symbol"/>
      </w:rPr>
    </w:lvl>
    <w:lvl w:ilvl="5" w:tplc="8098F004">
      <w:start w:val="1"/>
      <w:numFmt w:val="bullet"/>
      <w:lvlText w:val=""/>
      <w:lvlJc w:val="left"/>
      <w:pPr>
        <w:ind w:left="1280" w:hanging="360"/>
      </w:pPr>
      <w:rPr>
        <w:rFonts w:ascii="Symbol" w:hAnsi="Symbol"/>
      </w:rPr>
    </w:lvl>
    <w:lvl w:ilvl="6" w:tplc="65FA8218">
      <w:start w:val="1"/>
      <w:numFmt w:val="bullet"/>
      <w:lvlText w:val=""/>
      <w:lvlJc w:val="left"/>
      <w:pPr>
        <w:ind w:left="1280" w:hanging="360"/>
      </w:pPr>
      <w:rPr>
        <w:rFonts w:ascii="Symbol" w:hAnsi="Symbol"/>
      </w:rPr>
    </w:lvl>
    <w:lvl w:ilvl="7" w:tplc="5F34E894">
      <w:start w:val="1"/>
      <w:numFmt w:val="bullet"/>
      <w:lvlText w:val=""/>
      <w:lvlJc w:val="left"/>
      <w:pPr>
        <w:ind w:left="1280" w:hanging="360"/>
      </w:pPr>
      <w:rPr>
        <w:rFonts w:ascii="Symbol" w:hAnsi="Symbol"/>
      </w:rPr>
    </w:lvl>
    <w:lvl w:ilvl="8" w:tplc="2A0EAAD8">
      <w:start w:val="1"/>
      <w:numFmt w:val="bullet"/>
      <w:lvlText w:val=""/>
      <w:lvlJc w:val="left"/>
      <w:pPr>
        <w:ind w:left="1280" w:hanging="360"/>
      </w:pPr>
      <w:rPr>
        <w:rFonts w:ascii="Symbol" w:hAnsi="Symbol"/>
      </w:rPr>
    </w:lvl>
  </w:abstractNum>
  <w:abstractNum w:abstractNumId="56" w15:restartNumberingAfterBreak="0">
    <w:nsid w:val="792E3E94"/>
    <w:multiLevelType w:val="hybridMultilevel"/>
    <w:tmpl w:val="F5FC89DC"/>
    <w:lvl w:ilvl="0" w:tplc="0D469CE2">
      <w:start w:val="1"/>
      <w:numFmt w:val="bullet"/>
      <w:pStyle w:val="Box2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7" w15:restartNumberingAfterBreak="0">
    <w:nsid w:val="7F7A528B"/>
    <w:multiLevelType w:val="hybridMultilevel"/>
    <w:tmpl w:val="A39658C0"/>
    <w:lvl w:ilvl="0" w:tplc="7B640FF6">
      <w:start w:val="1"/>
      <w:numFmt w:val="bullet"/>
      <w:pStyle w:val="ListBullet"/>
      <w:lvlText w:val="›"/>
      <w:lvlJc w:val="left"/>
      <w:pPr>
        <w:ind w:left="0" w:hanging="360"/>
      </w:pPr>
      <w:rPr>
        <w:rFonts w:ascii="Times New Roman" w:hAnsi="Times New Roman" w:cs="Times New Roman" w:hint="default"/>
        <w:color w:val="auto"/>
        <w:position w:val="3"/>
      </w:rPr>
    </w:lvl>
    <w:lvl w:ilvl="1" w:tplc="FFFFFFFF">
      <w:start w:val="1"/>
      <w:numFmt w:val="bullet"/>
      <w:lvlText w:val="o"/>
      <w:lvlJc w:val="left"/>
      <w:pPr>
        <w:tabs>
          <w:tab w:val="num" w:pos="1364"/>
        </w:tabs>
        <w:ind w:left="1364" w:hanging="360"/>
      </w:pPr>
      <w:rPr>
        <w:rFonts w:ascii="Courier New" w:hAnsi="Courier New" w:cs="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cs="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cs="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16cid:durableId="1203666630">
    <w:abstractNumId w:val="54"/>
  </w:num>
  <w:num w:numId="2" w16cid:durableId="808858907">
    <w:abstractNumId w:val="5"/>
  </w:num>
  <w:num w:numId="3" w16cid:durableId="779566621">
    <w:abstractNumId w:val="28"/>
  </w:num>
  <w:num w:numId="4" w16cid:durableId="1716194976">
    <w:abstractNumId w:val="42"/>
  </w:num>
  <w:num w:numId="5" w16cid:durableId="1511676522">
    <w:abstractNumId w:val="43"/>
  </w:num>
  <w:num w:numId="6" w16cid:durableId="181750828">
    <w:abstractNumId w:val="14"/>
  </w:num>
  <w:num w:numId="7" w16cid:durableId="1211767671">
    <w:abstractNumId w:val="56"/>
  </w:num>
  <w:num w:numId="8" w16cid:durableId="6908785">
    <w:abstractNumId w:val="52"/>
  </w:num>
  <w:num w:numId="9" w16cid:durableId="48070133">
    <w:abstractNumId w:val="57"/>
  </w:num>
  <w:num w:numId="10" w16cid:durableId="2139643756">
    <w:abstractNumId w:val="49"/>
  </w:num>
  <w:num w:numId="11" w16cid:durableId="1331983895">
    <w:abstractNumId w:val="45"/>
  </w:num>
  <w:num w:numId="12" w16cid:durableId="652639507">
    <w:abstractNumId w:val="13"/>
  </w:num>
  <w:num w:numId="13" w16cid:durableId="114717861">
    <w:abstractNumId w:val="11"/>
  </w:num>
  <w:num w:numId="14" w16cid:durableId="1514107326">
    <w:abstractNumId w:val="10"/>
  </w:num>
  <w:num w:numId="15" w16cid:durableId="982151835">
    <w:abstractNumId w:val="39"/>
  </w:num>
  <w:num w:numId="16" w16cid:durableId="169568895">
    <w:abstractNumId w:val="48"/>
  </w:num>
  <w:num w:numId="17" w16cid:durableId="19209357">
    <w:abstractNumId w:val="38"/>
  </w:num>
  <w:num w:numId="18" w16cid:durableId="1418863554">
    <w:abstractNumId w:val="31"/>
  </w:num>
  <w:num w:numId="19" w16cid:durableId="898587777">
    <w:abstractNumId w:val="41"/>
  </w:num>
  <w:num w:numId="20" w16cid:durableId="1456171685">
    <w:abstractNumId w:val="55"/>
  </w:num>
  <w:num w:numId="21" w16cid:durableId="384184519">
    <w:abstractNumId w:val="44"/>
  </w:num>
  <w:num w:numId="22" w16cid:durableId="219286928">
    <w:abstractNumId w:val="12"/>
  </w:num>
  <w:num w:numId="23" w16cid:durableId="403602100">
    <w:abstractNumId w:val="8"/>
  </w:num>
  <w:num w:numId="24" w16cid:durableId="1694265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3489639">
    <w:abstractNumId w:val="21"/>
  </w:num>
  <w:num w:numId="26" w16cid:durableId="1874727205">
    <w:abstractNumId w:val="37"/>
  </w:num>
  <w:num w:numId="27" w16cid:durableId="407389030">
    <w:abstractNumId w:val="25"/>
  </w:num>
  <w:num w:numId="28" w16cid:durableId="353381219">
    <w:abstractNumId w:val="50"/>
  </w:num>
  <w:num w:numId="29" w16cid:durableId="1014769398">
    <w:abstractNumId w:val="40"/>
  </w:num>
  <w:num w:numId="30" w16cid:durableId="114252237">
    <w:abstractNumId w:val="46"/>
  </w:num>
  <w:num w:numId="31" w16cid:durableId="851534950">
    <w:abstractNumId w:val="24"/>
  </w:num>
  <w:num w:numId="32" w16cid:durableId="1909922397">
    <w:abstractNumId w:val="51"/>
  </w:num>
  <w:num w:numId="33" w16cid:durableId="437796969">
    <w:abstractNumId w:val="18"/>
  </w:num>
  <w:num w:numId="34" w16cid:durableId="1501384923">
    <w:abstractNumId w:val="33"/>
  </w:num>
  <w:num w:numId="35" w16cid:durableId="685794452">
    <w:abstractNumId w:val="20"/>
  </w:num>
  <w:num w:numId="36" w16cid:durableId="1838227855">
    <w:abstractNumId w:val="34"/>
  </w:num>
  <w:num w:numId="37" w16cid:durableId="1840001034">
    <w:abstractNumId w:val="15"/>
  </w:num>
  <w:num w:numId="38" w16cid:durableId="939684965">
    <w:abstractNumId w:val="19"/>
  </w:num>
  <w:num w:numId="39" w16cid:durableId="862747532">
    <w:abstractNumId w:val="6"/>
  </w:num>
  <w:num w:numId="40" w16cid:durableId="1406148196">
    <w:abstractNumId w:val="1"/>
  </w:num>
  <w:num w:numId="41" w16cid:durableId="1297293998">
    <w:abstractNumId w:val="9"/>
  </w:num>
  <w:num w:numId="42" w16cid:durableId="1572737669">
    <w:abstractNumId w:val="27"/>
  </w:num>
  <w:num w:numId="43" w16cid:durableId="623734217">
    <w:abstractNumId w:val="17"/>
  </w:num>
  <w:num w:numId="44" w16cid:durableId="660544830">
    <w:abstractNumId w:val="2"/>
  </w:num>
  <w:num w:numId="45" w16cid:durableId="725489337">
    <w:abstractNumId w:val="23"/>
  </w:num>
  <w:num w:numId="46" w16cid:durableId="1557278143">
    <w:abstractNumId w:val="53"/>
  </w:num>
  <w:num w:numId="47" w16cid:durableId="1442602748">
    <w:abstractNumId w:val="26"/>
  </w:num>
  <w:num w:numId="48" w16cid:durableId="981468183">
    <w:abstractNumId w:val="30"/>
  </w:num>
  <w:num w:numId="49" w16cid:durableId="2059086548">
    <w:abstractNumId w:val="22"/>
  </w:num>
  <w:num w:numId="50" w16cid:durableId="612899901">
    <w:abstractNumId w:val="36"/>
  </w:num>
  <w:num w:numId="51" w16cid:durableId="300616355">
    <w:abstractNumId w:val="4"/>
  </w:num>
  <w:num w:numId="52" w16cid:durableId="991639903">
    <w:abstractNumId w:val="35"/>
  </w:num>
  <w:num w:numId="53" w16cid:durableId="1927570652">
    <w:abstractNumId w:val="32"/>
  </w:num>
  <w:num w:numId="54" w16cid:durableId="1396120157">
    <w:abstractNumId w:val="7"/>
  </w:num>
  <w:num w:numId="55" w16cid:durableId="553469849">
    <w:abstractNumId w:val="16"/>
  </w:num>
  <w:num w:numId="56" w16cid:durableId="1812091561">
    <w:abstractNumId w:val="3"/>
  </w:num>
  <w:num w:numId="57" w16cid:durableId="1092775048">
    <w:abstractNumId w:val="47"/>
  </w:num>
  <w:num w:numId="58" w16cid:durableId="438180774">
    <w:abstractNumId w:val="2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57"/>
    <w:rsid w:val="00000326"/>
    <w:rsid w:val="00000798"/>
    <w:rsid w:val="00001636"/>
    <w:rsid w:val="00001DA8"/>
    <w:rsid w:val="00001DE6"/>
    <w:rsid w:val="00002064"/>
    <w:rsid w:val="000020C1"/>
    <w:rsid w:val="00002856"/>
    <w:rsid w:val="00002E95"/>
    <w:rsid w:val="00002F99"/>
    <w:rsid w:val="0000304D"/>
    <w:rsid w:val="00003108"/>
    <w:rsid w:val="00003241"/>
    <w:rsid w:val="000032C9"/>
    <w:rsid w:val="000033E9"/>
    <w:rsid w:val="00003402"/>
    <w:rsid w:val="000038C6"/>
    <w:rsid w:val="00003FAE"/>
    <w:rsid w:val="000041C9"/>
    <w:rsid w:val="00004215"/>
    <w:rsid w:val="00004B2B"/>
    <w:rsid w:val="00004B63"/>
    <w:rsid w:val="000054D3"/>
    <w:rsid w:val="000055C5"/>
    <w:rsid w:val="00005724"/>
    <w:rsid w:val="00005B02"/>
    <w:rsid w:val="00005D41"/>
    <w:rsid w:val="000065E4"/>
    <w:rsid w:val="00006ACD"/>
    <w:rsid w:val="00006CC5"/>
    <w:rsid w:val="00006E8F"/>
    <w:rsid w:val="00007842"/>
    <w:rsid w:val="00007E6D"/>
    <w:rsid w:val="00007FA8"/>
    <w:rsid w:val="000102C1"/>
    <w:rsid w:val="00011CB2"/>
    <w:rsid w:val="00011D73"/>
    <w:rsid w:val="00011DA4"/>
    <w:rsid w:val="000123C6"/>
    <w:rsid w:val="00013646"/>
    <w:rsid w:val="000137F4"/>
    <w:rsid w:val="000144F4"/>
    <w:rsid w:val="000148F9"/>
    <w:rsid w:val="000153CE"/>
    <w:rsid w:val="000159C1"/>
    <w:rsid w:val="00016528"/>
    <w:rsid w:val="00016A1A"/>
    <w:rsid w:val="0001700C"/>
    <w:rsid w:val="00017AA5"/>
    <w:rsid w:val="000203B1"/>
    <w:rsid w:val="000203C9"/>
    <w:rsid w:val="0002080A"/>
    <w:rsid w:val="00022866"/>
    <w:rsid w:val="0002357B"/>
    <w:rsid w:val="00023585"/>
    <w:rsid w:val="00023D09"/>
    <w:rsid w:val="000248C2"/>
    <w:rsid w:val="00024A46"/>
    <w:rsid w:val="00024B87"/>
    <w:rsid w:val="0002525B"/>
    <w:rsid w:val="00025960"/>
    <w:rsid w:val="00025DE2"/>
    <w:rsid w:val="00025E2B"/>
    <w:rsid w:val="0002624D"/>
    <w:rsid w:val="000266BE"/>
    <w:rsid w:val="000266D8"/>
    <w:rsid w:val="00026EA1"/>
    <w:rsid w:val="00026F05"/>
    <w:rsid w:val="00026F32"/>
    <w:rsid w:val="00027173"/>
    <w:rsid w:val="0002782F"/>
    <w:rsid w:val="00027C39"/>
    <w:rsid w:val="00027E71"/>
    <w:rsid w:val="00030760"/>
    <w:rsid w:val="0003082B"/>
    <w:rsid w:val="00031612"/>
    <w:rsid w:val="0003225B"/>
    <w:rsid w:val="000326DB"/>
    <w:rsid w:val="0003293B"/>
    <w:rsid w:val="00032E3B"/>
    <w:rsid w:val="000337D0"/>
    <w:rsid w:val="00034376"/>
    <w:rsid w:val="00034470"/>
    <w:rsid w:val="00034A29"/>
    <w:rsid w:val="00035177"/>
    <w:rsid w:val="00035772"/>
    <w:rsid w:val="00035BBF"/>
    <w:rsid w:val="000360A0"/>
    <w:rsid w:val="000360C9"/>
    <w:rsid w:val="00036836"/>
    <w:rsid w:val="00036983"/>
    <w:rsid w:val="00036F0B"/>
    <w:rsid w:val="000375C8"/>
    <w:rsid w:val="00037AD1"/>
    <w:rsid w:val="00037D50"/>
    <w:rsid w:val="00040BB0"/>
    <w:rsid w:val="00040DB9"/>
    <w:rsid w:val="000414FC"/>
    <w:rsid w:val="000416F9"/>
    <w:rsid w:val="000419D1"/>
    <w:rsid w:val="00042676"/>
    <w:rsid w:val="00042743"/>
    <w:rsid w:val="000428E8"/>
    <w:rsid w:val="0004297B"/>
    <w:rsid w:val="00042DB9"/>
    <w:rsid w:val="00042DEB"/>
    <w:rsid w:val="00042EFF"/>
    <w:rsid w:val="000431DE"/>
    <w:rsid w:val="00044074"/>
    <w:rsid w:val="0004419C"/>
    <w:rsid w:val="0004483A"/>
    <w:rsid w:val="00044B3A"/>
    <w:rsid w:val="00044CD8"/>
    <w:rsid w:val="000461A3"/>
    <w:rsid w:val="0004669B"/>
    <w:rsid w:val="00047372"/>
    <w:rsid w:val="00047468"/>
    <w:rsid w:val="00047D0A"/>
    <w:rsid w:val="00050806"/>
    <w:rsid w:val="000508B8"/>
    <w:rsid w:val="00050C56"/>
    <w:rsid w:val="00050FC1"/>
    <w:rsid w:val="00050FE7"/>
    <w:rsid w:val="000510BC"/>
    <w:rsid w:val="0005197A"/>
    <w:rsid w:val="00052270"/>
    <w:rsid w:val="00052EA8"/>
    <w:rsid w:val="0005364F"/>
    <w:rsid w:val="00053D13"/>
    <w:rsid w:val="000546D9"/>
    <w:rsid w:val="00054E47"/>
    <w:rsid w:val="00054E4D"/>
    <w:rsid w:val="00055FDC"/>
    <w:rsid w:val="0005622B"/>
    <w:rsid w:val="00056290"/>
    <w:rsid w:val="0005755D"/>
    <w:rsid w:val="00057803"/>
    <w:rsid w:val="0005781C"/>
    <w:rsid w:val="00057985"/>
    <w:rsid w:val="00060073"/>
    <w:rsid w:val="00060E74"/>
    <w:rsid w:val="00060FFE"/>
    <w:rsid w:val="0006105E"/>
    <w:rsid w:val="00061104"/>
    <w:rsid w:val="000616C6"/>
    <w:rsid w:val="000618FC"/>
    <w:rsid w:val="00062628"/>
    <w:rsid w:val="00063349"/>
    <w:rsid w:val="00064840"/>
    <w:rsid w:val="000649D7"/>
    <w:rsid w:val="00064D42"/>
    <w:rsid w:val="00064DC6"/>
    <w:rsid w:val="000650F3"/>
    <w:rsid w:val="000661AF"/>
    <w:rsid w:val="00066798"/>
    <w:rsid w:val="00066855"/>
    <w:rsid w:val="00066D1D"/>
    <w:rsid w:val="0006709C"/>
    <w:rsid w:val="0006711F"/>
    <w:rsid w:val="00067B0A"/>
    <w:rsid w:val="00067D3F"/>
    <w:rsid w:val="00072BEF"/>
    <w:rsid w:val="000739F5"/>
    <w:rsid w:val="00073D2F"/>
    <w:rsid w:val="000742F6"/>
    <w:rsid w:val="0007487B"/>
    <w:rsid w:val="000749EF"/>
    <w:rsid w:val="000755D6"/>
    <w:rsid w:val="00076474"/>
    <w:rsid w:val="00076502"/>
    <w:rsid w:val="00076C7D"/>
    <w:rsid w:val="00076E59"/>
    <w:rsid w:val="000770D7"/>
    <w:rsid w:val="0007743D"/>
    <w:rsid w:val="00077733"/>
    <w:rsid w:val="00077EE6"/>
    <w:rsid w:val="00080D6E"/>
    <w:rsid w:val="000814B9"/>
    <w:rsid w:val="00081A69"/>
    <w:rsid w:val="000826EB"/>
    <w:rsid w:val="000837D6"/>
    <w:rsid w:val="00083987"/>
    <w:rsid w:val="00083E92"/>
    <w:rsid w:val="00085026"/>
    <w:rsid w:val="000854FD"/>
    <w:rsid w:val="00085655"/>
    <w:rsid w:val="000860FF"/>
    <w:rsid w:val="000862F5"/>
    <w:rsid w:val="00086BBB"/>
    <w:rsid w:val="0008787F"/>
    <w:rsid w:val="00087949"/>
    <w:rsid w:val="00087A3E"/>
    <w:rsid w:val="000906DF"/>
    <w:rsid w:val="00090BF6"/>
    <w:rsid w:val="000912D7"/>
    <w:rsid w:val="00092504"/>
    <w:rsid w:val="000927ED"/>
    <w:rsid w:val="00092B41"/>
    <w:rsid w:val="00092D4E"/>
    <w:rsid w:val="00092E98"/>
    <w:rsid w:val="00092F61"/>
    <w:rsid w:val="00092FA1"/>
    <w:rsid w:val="000933EB"/>
    <w:rsid w:val="0009395D"/>
    <w:rsid w:val="00093C2A"/>
    <w:rsid w:val="00093C8A"/>
    <w:rsid w:val="00094B99"/>
    <w:rsid w:val="00095039"/>
    <w:rsid w:val="000953BE"/>
    <w:rsid w:val="0009557F"/>
    <w:rsid w:val="00096A42"/>
    <w:rsid w:val="00096E0E"/>
    <w:rsid w:val="000973DD"/>
    <w:rsid w:val="00097A45"/>
    <w:rsid w:val="00097A71"/>
    <w:rsid w:val="000A029E"/>
    <w:rsid w:val="000A0300"/>
    <w:rsid w:val="000A07D7"/>
    <w:rsid w:val="000A0A0A"/>
    <w:rsid w:val="000A12CD"/>
    <w:rsid w:val="000A1887"/>
    <w:rsid w:val="000A1A7B"/>
    <w:rsid w:val="000A1A97"/>
    <w:rsid w:val="000A245A"/>
    <w:rsid w:val="000A296F"/>
    <w:rsid w:val="000A2B95"/>
    <w:rsid w:val="000A36AB"/>
    <w:rsid w:val="000A3716"/>
    <w:rsid w:val="000A410F"/>
    <w:rsid w:val="000A4160"/>
    <w:rsid w:val="000A440E"/>
    <w:rsid w:val="000A4ED0"/>
    <w:rsid w:val="000A4F96"/>
    <w:rsid w:val="000A50B4"/>
    <w:rsid w:val="000A5233"/>
    <w:rsid w:val="000A541C"/>
    <w:rsid w:val="000A57F9"/>
    <w:rsid w:val="000A5CF8"/>
    <w:rsid w:val="000A5EC8"/>
    <w:rsid w:val="000A6F1E"/>
    <w:rsid w:val="000A7051"/>
    <w:rsid w:val="000A71AE"/>
    <w:rsid w:val="000A7B0A"/>
    <w:rsid w:val="000A7F1B"/>
    <w:rsid w:val="000B0078"/>
    <w:rsid w:val="000B07EA"/>
    <w:rsid w:val="000B0D20"/>
    <w:rsid w:val="000B11B2"/>
    <w:rsid w:val="000B1DC2"/>
    <w:rsid w:val="000B25F3"/>
    <w:rsid w:val="000B2F39"/>
    <w:rsid w:val="000B34DE"/>
    <w:rsid w:val="000B3537"/>
    <w:rsid w:val="000B37F5"/>
    <w:rsid w:val="000B3A24"/>
    <w:rsid w:val="000B4935"/>
    <w:rsid w:val="000B4AAC"/>
    <w:rsid w:val="000B5105"/>
    <w:rsid w:val="000B52F4"/>
    <w:rsid w:val="000B5AD7"/>
    <w:rsid w:val="000B5B0D"/>
    <w:rsid w:val="000B5ED8"/>
    <w:rsid w:val="000B726F"/>
    <w:rsid w:val="000B75C2"/>
    <w:rsid w:val="000B780A"/>
    <w:rsid w:val="000C0EDD"/>
    <w:rsid w:val="000C1795"/>
    <w:rsid w:val="000C281B"/>
    <w:rsid w:val="000C2B4D"/>
    <w:rsid w:val="000C2C87"/>
    <w:rsid w:val="000C2E2D"/>
    <w:rsid w:val="000C37FF"/>
    <w:rsid w:val="000C3916"/>
    <w:rsid w:val="000C3C2B"/>
    <w:rsid w:val="000C4C4D"/>
    <w:rsid w:val="000C53FD"/>
    <w:rsid w:val="000C5A14"/>
    <w:rsid w:val="000C5B42"/>
    <w:rsid w:val="000C5B49"/>
    <w:rsid w:val="000C6031"/>
    <w:rsid w:val="000C699A"/>
    <w:rsid w:val="000C79B3"/>
    <w:rsid w:val="000C7D9C"/>
    <w:rsid w:val="000C7E93"/>
    <w:rsid w:val="000D023E"/>
    <w:rsid w:val="000D07AA"/>
    <w:rsid w:val="000D08BA"/>
    <w:rsid w:val="000D144A"/>
    <w:rsid w:val="000D1482"/>
    <w:rsid w:val="000D1673"/>
    <w:rsid w:val="000D193E"/>
    <w:rsid w:val="000D1C3E"/>
    <w:rsid w:val="000D2051"/>
    <w:rsid w:val="000D24AA"/>
    <w:rsid w:val="000D2BED"/>
    <w:rsid w:val="000D306F"/>
    <w:rsid w:val="000D4311"/>
    <w:rsid w:val="000D483A"/>
    <w:rsid w:val="000D4B3E"/>
    <w:rsid w:val="000D4BED"/>
    <w:rsid w:val="000D5D4B"/>
    <w:rsid w:val="000D5D76"/>
    <w:rsid w:val="000D5DAD"/>
    <w:rsid w:val="000D5E46"/>
    <w:rsid w:val="000D5FB0"/>
    <w:rsid w:val="000D60C4"/>
    <w:rsid w:val="000D60DF"/>
    <w:rsid w:val="000D6394"/>
    <w:rsid w:val="000D66C3"/>
    <w:rsid w:val="000D66D6"/>
    <w:rsid w:val="000D6DE4"/>
    <w:rsid w:val="000E0257"/>
    <w:rsid w:val="000E0521"/>
    <w:rsid w:val="000E0882"/>
    <w:rsid w:val="000E0948"/>
    <w:rsid w:val="000E0B09"/>
    <w:rsid w:val="000E0DC3"/>
    <w:rsid w:val="000E1423"/>
    <w:rsid w:val="000E14E6"/>
    <w:rsid w:val="000E1BE1"/>
    <w:rsid w:val="000E216C"/>
    <w:rsid w:val="000E2BDF"/>
    <w:rsid w:val="000E2E23"/>
    <w:rsid w:val="000E33AD"/>
    <w:rsid w:val="000E36F2"/>
    <w:rsid w:val="000E3C38"/>
    <w:rsid w:val="000E410C"/>
    <w:rsid w:val="000E437C"/>
    <w:rsid w:val="000E5063"/>
    <w:rsid w:val="000E59E8"/>
    <w:rsid w:val="000E5F4D"/>
    <w:rsid w:val="000E632F"/>
    <w:rsid w:val="000E79C9"/>
    <w:rsid w:val="000E7D77"/>
    <w:rsid w:val="000F001F"/>
    <w:rsid w:val="000F035C"/>
    <w:rsid w:val="000F04D8"/>
    <w:rsid w:val="000F09B9"/>
    <w:rsid w:val="000F112C"/>
    <w:rsid w:val="000F1E0D"/>
    <w:rsid w:val="000F23E1"/>
    <w:rsid w:val="000F248F"/>
    <w:rsid w:val="000F24C6"/>
    <w:rsid w:val="000F2874"/>
    <w:rsid w:val="000F3220"/>
    <w:rsid w:val="000F3339"/>
    <w:rsid w:val="000F3531"/>
    <w:rsid w:val="000F35C8"/>
    <w:rsid w:val="000F36CC"/>
    <w:rsid w:val="000F44F8"/>
    <w:rsid w:val="000F451D"/>
    <w:rsid w:val="000F4C2A"/>
    <w:rsid w:val="000F4F90"/>
    <w:rsid w:val="000F5401"/>
    <w:rsid w:val="000F6B41"/>
    <w:rsid w:val="000F7F84"/>
    <w:rsid w:val="000F7F96"/>
    <w:rsid w:val="0010001C"/>
    <w:rsid w:val="001003D8"/>
    <w:rsid w:val="00100BA3"/>
    <w:rsid w:val="00100CD2"/>
    <w:rsid w:val="00101061"/>
    <w:rsid w:val="001015F5"/>
    <w:rsid w:val="0010164D"/>
    <w:rsid w:val="00101A9E"/>
    <w:rsid w:val="001021F9"/>
    <w:rsid w:val="00103770"/>
    <w:rsid w:val="00103D6C"/>
    <w:rsid w:val="00104017"/>
    <w:rsid w:val="00104AEA"/>
    <w:rsid w:val="00105948"/>
    <w:rsid w:val="00105BCB"/>
    <w:rsid w:val="00106208"/>
    <w:rsid w:val="0010632E"/>
    <w:rsid w:val="001067E5"/>
    <w:rsid w:val="0010693D"/>
    <w:rsid w:val="00106BF9"/>
    <w:rsid w:val="00107364"/>
    <w:rsid w:val="0010788E"/>
    <w:rsid w:val="00107B6E"/>
    <w:rsid w:val="001100F6"/>
    <w:rsid w:val="00110337"/>
    <w:rsid w:val="001109E3"/>
    <w:rsid w:val="00110B8E"/>
    <w:rsid w:val="00110BE2"/>
    <w:rsid w:val="00110FBF"/>
    <w:rsid w:val="001115FA"/>
    <w:rsid w:val="00111965"/>
    <w:rsid w:val="001123A9"/>
    <w:rsid w:val="0011269E"/>
    <w:rsid w:val="00112C8F"/>
    <w:rsid w:val="00113288"/>
    <w:rsid w:val="00113514"/>
    <w:rsid w:val="001139B4"/>
    <w:rsid w:val="001145B7"/>
    <w:rsid w:val="0011521A"/>
    <w:rsid w:val="00115455"/>
    <w:rsid w:val="001155E1"/>
    <w:rsid w:val="00115705"/>
    <w:rsid w:val="001169BC"/>
    <w:rsid w:val="00117073"/>
    <w:rsid w:val="00117A67"/>
    <w:rsid w:val="00117ABF"/>
    <w:rsid w:val="00117BFA"/>
    <w:rsid w:val="00117C2E"/>
    <w:rsid w:val="00117DCD"/>
    <w:rsid w:val="001206E4"/>
    <w:rsid w:val="00120D8B"/>
    <w:rsid w:val="001211E9"/>
    <w:rsid w:val="00121382"/>
    <w:rsid w:val="001214BE"/>
    <w:rsid w:val="001218C3"/>
    <w:rsid w:val="00121ACB"/>
    <w:rsid w:val="00121E93"/>
    <w:rsid w:val="001223D5"/>
    <w:rsid w:val="0012271F"/>
    <w:rsid w:val="001227B7"/>
    <w:rsid w:val="001235A6"/>
    <w:rsid w:val="001235F6"/>
    <w:rsid w:val="00123AC3"/>
    <w:rsid w:val="00123C2C"/>
    <w:rsid w:val="00125A43"/>
    <w:rsid w:val="00125EF2"/>
    <w:rsid w:val="00125FA2"/>
    <w:rsid w:val="001264D0"/>
    <w:rsid w:val="0012651C"/>
    <w:rsid w:val="0012745E"/>
    <w:rsid w:val="00127576"/>
    <w:rsid w:val="00127A2B"/>
    <w:rsid w:val="00127F1B"/>
    <w:rsid w:val="00127F5F"/>
    <w:rsid w:val="00127FEB"/>
    <w:rsid w:val="00130537"/>
    <w:rsid w:val="0013054E"/>
    <w:rsid w:val="00130F75"/>
    <w:rsid w:val="0013101C"/>
    <w:rsid w:val="00131ACF"/>
    <w:rsid w:val="00131F1D"/>
    <w:rsid w:val="00132052"/>
    <w:rsid w:val="001323BD"/>
    <w:rsid w:val="00132CA8"/>
    <w:rsid w:val="0013382B"/>
    <w:rsid w:val="00133833"/>
    <w:rsid w:val="0013384D"/>
    <w:rsid w:val="00134E08"/>
    <w:rsid w:val="00134E0E"/>
    <w:rsid w:val="0013571B"/>
    <w:rsid w:val="00135AA3"/>
    <w:rsid w:val="00135D82"/>
    <w:rsid w:val="00135FDA"/>
    <w:rsid w:val="0013626A"/>
    <w:rsid w:val="00136EE8"/>
    <w:rsid w:val="00137370"/>
    <w:rsid w:val="00137460"/>
    <w:rsid w:val="0013764C"/>
    <w:rsid w:val="00137F98"/>
    <w:rsid w:val="0014024A"/>
    <w:rsid w:val="0014043F"/>
    <w:rsid w:val="00140449"/>
    <w:rsid w:val="001406BF"/>
    <w:rsid w:val="00140702"/>
    <w:rsid w:val="001408D2"/>
    <w:rsid w:val="00140A7E"/>
    <w:rsid w:val="00140AA2"/>
    <w:rsid w:val="00141696"/>
    <w:rsid w:val="00141DEE"/>
    <w:rsid w:val="00142378"/>
    <w:rsid w:val="001426D7"/>
    <w:rsid w:val="00142AD2"/>
    <w:rsid w:val="00142C34"/>
    <w:rsid w:val="00142FA7"/>
    <w:rsid w:val="0014413E"/>
    <w:rsid w:val="00144931"/>
    <w:rsid w:val="00144B7E"/>
    <w:rsid w:val="00144BD6"/>
    <w:rsid w:val="00145301"/>
    <w:rsid w:val="001461D6"/>
    <w:rsid w:val="0014659E"/>
    <w:rsid w:val="00146E48"/>
    <w:rsid w:val="00147679"/>
    <w:rsid w:val="001478B5"/>
    <w:rsid w:val="00147BBD"/>
    <w:rsid w:val="0015017D"/>
    <w:rsid w:val="00150A8B"/>
    <w:rsid w:val="00151310"/>
    <w:rsid w:val="00151588"/>
    <w:rsid w:val="00152051"/>
    <w:rsid w:val="0015259C"/>
    <w:rsid w:val="00152A75"/>
    <w:rsid w:val="00152EE6"/>
    <w:rsid w:val="00153747"/>
    <w:rsid w:val="00153B32"/>
    <w:rsid w:val="00153B94"/>
    <w:rsid w:val="001541EA"/>
    <w:rsid w:val="00154BED"/>
    <w:rsid w:val="00155CA2"/>
    <w:rsid w:val="00155E9F"/>
    <w:rsid w:val="001569A4"/>
    <w:rsid w:val="0015793C"/>
    <w:rsid w:val="00157AFA"/>
    <w:rsid w:val="00157F6F"/>
    <w:rsid w:val="0016046D"/>
    <w:rsid w:val="00160746"/>
    <w:rsid w:val="00161651"/>
    <w:rsid w:val="00161BCF"/>
    <w:rsid w:val="00162AFB"/>
    <w:rsid w:val="00162B0E"/>
    <w:rsid w:val="001632A0"/>
    <w:rsid w:val="00163A77"/>
    <w:rsid w:val="00163D1C"/>
    <w:rsid w:val="00163D95"/>
    <w:rsid w:val="00164171"/>
    <w:rsid w:val="001645E1"/>
    <w:rsid w:val="0016460F"/>
    <w:rsid w:val="00164E5A"/>
    <w:rsid w:val="00165279"/>
    <w:rsid w:val="001653FE"/>
    <w:rsid w:val="00165683"/>
    <w:rsid w:val="00165882"/>
    <w:rsid w:val="00165927"/>
    <w:rsid w:val="001660AB"/>
    <w:rsid w:val="0016650D"/>
    <w:rsid w:val="0016669B"/>
    <w:rsid w:val="00166792"/>
    <w:rsid w:val="001668F4"/>
    <w:rsid w:val="00167122"/>
    <w:rsid w:val="001671C8"/>
    <w:rsid w:val="00167745"/>
    <w:rsid w:val="001706C7"/>
    <w:rsid w:val="00170730"/>
    <w:rsid w:val="001707AC"/>
    <w:rsid w:val="0017129A"/>
    <w:rsid w:val="0017176A"/>
    <w:rsid w:val="001719EB"/>
    <w:rsid w:val="0017235E"/>
    <w:rsid w:val="001723E0"/>
    <w:rsid w:val="001726E0"/>
    <w:rsid w:val="0017289E"/>
    <w:rsid w:val="00172A4B"/>
    <w:rsid w:val="00173577"/>
    <w:rsid w:val="00173A63"/>
    <w:rsid w:val="00173E20"/>
    <w:rsid w:val="00174C82"/>
    <w:rsid w:val="00174EC6"/>
    <w:rsid w:val="00174F7B"/>
    <w:rsid w:val="0017532A"/>
    <w:rsid w:val="00175745"/>
    <w:rsid w:val="00175A7C"/>
    <w:rsid w:val="00175BDD"/>
    <w:rsid w:val="00176059"/>
    <w:rsid w:val="001765F5"/>
    <w:rsid w:val="00176DC5"/>
    <w:rsid w:val="0017700A"/>
    <w:rsid w:val="00177262"/>
    <w:rsid w:val="001804A1"/>
    <w:rsid w:val="001806A4"/>
    <w:rsid w:val="00180A53"/>
    <w:rsid w:val="00180AF9"/>
    <w:rsid w:val="001811FB"/>
    <w:rsid w:val="001814A3"/>
    <w:rsid w:val="00181565"/>
    <w:rsid w:val="001816B9"/>
    <w:rsid w:val="00182183"/>
    <w:rsid w:val="00183106"/>
    <w:rsid w:val="0018345B"/>
    <w:rsid w:val="001834AF"/>
    <w:rsid w:val="001836FA"/>
    <w:rsid w:val="00183F91"/>
    <w:rsid w:val="00184C8B"/>
    <w:rsid w:val="00185C80"/>
    <w:rsid w:val="0018644D"/>
    <w:rsid w:val="001868B0"/>
    <w:rsid w:val="00186D80"/>
    <w:rsid w:val="00187EE6"/>
    <w:rsid w:val="00190195"/>
    <w:rsid w:val="00190B22"/>
    <w:rsid w:val="00191016"/>
    <w:rsid w:val="001911AA"/>
    <w:rsid w:val="0019121C"/>
    <w:rsid w:val="00191759"/>
    <w:rsid w:val="001917F3"/>
    <w:rsid w:val="00191B15"/>
    <w:rsid w:val="00191DA7"/>
    <w:rsid w:val="00192CBA"/>
    <w:rsid w:val="00192D78"/>
    <w:rsid w:val="00192F8A"/>
    <w:rsid w:val="00193353"/>
    <w:rsid w:val="001933E4"/>
    <w:rsid w:val="001933E7"/>
    <w:rsid w:val="0019340A"/>
    <w:rsid w:val="001935A0"/>
    <w:rsid w:val="0019488A"/>
    <w:rsid w:val="001953D7"/>
    <w:rsid w:val="001954FA"/>
    <w:rsid w:val="0019575B"/>
    <w:rsid w:val="00195ABA"/>
    <w:rsid w:val="00195ED8"/>
    <w:rsid w:val="00196474"/>
    <w:rsid w:val="0019689D"/>
    <w:rsid w:val="00196AC2"/>
    <w:rsid w:val="0019765A"/>
    <w:rsid w:val="0019774B"/>
    <w:rsid w:val="001979AE"/>
    <w:rsid w:val="00197AE5"/>
    <w:rsid w:val="001A00EF"/>
    <w:rsid w:val="001A03D8"/>
    <w:rsid w:val="001A0521"/>
    <w:rsid w:val="001A19F7"/>
    <w:rsid w:val="001A1D28"/>
    <w:rsid w:val="001A1E5F"/>
    <w:rsid w:val="001A2124"/>
    <w:rsid w:val="001A2145"/>
    <w:rsid w:val="001A2897"/>
    <w:rsid w:val="001A2C04"/>
    <w:rsid w:val="001A3A5C"/>
    <w:rsid w:val="001A3C62"/>
    <w:rsid w:val="001A448E"/>
    <w:rsid w:val="001A5F01"/>
    <w:rsid w:val="001A6456"/>
    <w:rsid w:val="001A7F26"/>
    <w:rsid w:val="001B00AA"/>
    <w:rsid w:val="001B02DC"/>
    <w:rsid w:val="001B0624"/>
    <w:rsid w:val="001B0645"/>
    <w:rsid w:val="001B0B2E"/>
    <w:rsid w:val="001B0C4C"/>
    <w:rsid w:val="001B11D2"/>
    <w:rsid w:val="001B1475"/>
    <w:rsid w:val="001B1C33"/>
    <w:rsid w:val="001B227C"/>
    <w:rsid w:val="001B2957"/>
    <w:rsid w:val="001B2B1E"/>
    <w:rsid w:val="001B2B5D"/>
    <w:rsid w:val="001B2DC9"/>
    <w:rsid w:val="001B3027"/>
    <w:rsid w:val="001B306E"/>
    <w:rsid w:val="001B31BA"/>
    <w:rsid w:val="001B34D7"/>
    <w:rsid w:val="001B3CE6"/>
    <w:rsid w:val="001B3DA2"/>
    <w:rsid w:val="001B4009"/>
    <w:rsid w:val="001B57B9"/>
    <w:rsid w:val="001B57FF"/>
    <w:rsid w:val="001B5A6D"/>
    <w:rsid w:val="001B5B27"/>
    <w:rsid w:val="001B5FAE"/>
    <w:rsid w:val="001C0154"/>
    <w:rsid w:val="001C0420"/>
    <w:rsid w:val="001C04F1"/>
    <w:rsid w:val="001C09CF"/>
    <w:rsid w:val="001C0AD4"/>
    <w:rsid w:val="001C220B"/>
    <w:rsid w:val="001C2604"/>
    <w:rsid w:val="001C35EE"/>
    <w:rsid w:val="001C3861"/>
    <w:rsid w:val="001C3941"/>
    <w:rsid w:val="001C3957"/>
    <w:rsid w:val="001C4585"/>
    <w:rsid w:val="001C4F0D"/>
    <w:rsid w:val="001C53B3"/>
    <w:rsid w:val="001C5644"/>
    <w:rsid w:val="001C572A"/>
    <w:rsid w:val="001C5854"/>
    <w:rsid w:val="001C6502"/>
    <w:rsid w:val="001C677D"/>
    <w:rsid w:val="001C7B69"/>
    <w:rsid w:val="001D019C"/>
    <w:rsid w:val="001D041A"/>
    <w:rsid w:val="001D08B6"/>
    <w:rsid w:val="001D0AC8"/>
    <w:rsid w:val="001D120F"/>
    <w:rsid w:val="001D138C"/>
    <w:rsid w:val="001D1894"/>
    <w:rsid w:val="001D3648"/>
    <w:rsid w:val="001D466B"/>
    <w:rsid w:val="001D477B"/>
    <w:rsid w:val="001D481D"/>
    <w:rsid w:val="001D4B95"/>
    <w:rsid w:val="001D51A9"/>
    <w:rsid w:val="001D58EF"/>
    <w:rsid w:val="001D5F86"/>
    <w:rsid w:val="001D5FCE"/>
    <w:rsid w:val="001D663E"/>
    <w:rsid w:val="001D73E7"/>
    <w:rsid w:val="001D7743"/>
    <w:rsid w:val="001D7EF9"/>
    <w:rsid w:val="001E0694"/>
    <w:rsid w:val="001E088E"/>
    <w:rsid w:val="001E0BDA"/>
    <w:rsid w:val="001E0C84"/>
    <w:rsid w:val="001E0C93"/>
    <w:rsid w:val="001E1150"/>
    <w:rsid w:val="001E155C"/>
    <w:rsid w:val="001E174F"/>
    <w:rsid w:val="001E1DC0"/>
    <w:rsid w:val="001E1EDD"/>
    <w:rsid w:val="001E22FB"/>
    <w:rsid w:val="001E29F5"/>
    <w:rsid w:val="001E2F0A"/>
    <w:rsid w:val="001E2F4B"/>
    <w:rsid w:val="001E4243"/>
    <w:rsid w:val="001E427C"/>
    <w:rsid w:val="001E46AC"/>
    <w:rsid w:val="001E49B1"/>
    <w:rsid w:val="001E4AB7"/>
    <w:rsid w:val="001E51A3"/>
    <w:rsid w:val="001E5550"/>
    <w:rsid w:val="001E59BE"/>
    <w:rsid w:val="001E65E5"/>
    <w:rsid w:val="001E6617"/>
    <w:rsid w:val="001E6B59"/>
    <w:rsid w:val="001E7485"/>
    <w:rsid w:val="001E791D"/>
    <w:rsid w:val="001E7C22"/>
    <w:rsid w:val="001F00B3"/>
    <w:rsid w:val="001F0691"/>
    <w:rsid w:val="001F0A6E"/>
    <w:rsid w:val="001F0E07"/>
    <w:rsid w:val="001F0F6D"/>
    <w:rsid w:val="001F12EB"/>
    <w:rsid w:val="001F2713"/>
    <w:rsid w:val="001F2991"/>
    <w:rsid w:val="001F2BAF"/>
    <w:rsid w:val="001F2E24"/>
    <w:rsid w:val="001F35CE"/>
    <w:rsid w:val="001F3984"/>
    <w:rsid w:val="001F39D7"/>
    <w:rsid w:val="001F439D"/>
    <w:rsid w:val="001F440C"/>
    <w:rsid w:val="001F514F"/>
    <w:rsid w:val="001F51F9"/>
    <w:rsid w:val="001F54BA"/>
    <w:rsid w:val="001F5592"/>
    <w:rsid w:val="001F55B3"/>
    <w:rsid w:val="001F58F7"/>
    <w:rsid w:val="001F604D"/>
    <w:rsid w:val="001F60F9"/>
    <w:rsid w:val="001F6911"/>
    <w:rsid w:val="001F6ADE"/>
    <w:rsid w:val="001F6F64"/>
    <w:rsid w:val="001F7C2A"/>
    <w:rsid w:val="001F7C30"/>
    <w:rsid w:val="00200320"/>
    <w:rsid w:val="002006EF"/>
    <w:rsid w:val="00200701"/>
    <w:rsid w:val="002015EB"/>
    <w:rsid w:val="0020171C"/>
    <w:rsid w:val="00201ADB"/>
    <w:rsid w:val="00202128"/>
    <w:rsid w:val="002023C6"/>
    <w:rsid w:val="002025CC"/>
    <w:rsid w:val="00203277"/>
    <w:rsid w:val="002032ED"/>
    <w:rsid w:val="00203369"/>
    <w:rsid w:val="0020344B"/>
    <w:rsid w:val="00203585"/>
    <w:rsid w:val="002042F6"/>
    <w:rsid w:val="0020445A"/>
    <w:rsid w:val="00204987"/>
    <w:rsid w:val="0020557F"/>
    <w:rsid w:val="00205A41"/>
    <w:rsid w:val="00205B2E"/>
    <w:rsid w:val="00205C2A"/>
    <w:rsid w:val="00205CFC"/>
    <w:rsid w:val="00205E9D"/>
    <w:rsid w:val="00206394"/>
    <w:rsid w:val="002063BC"/>
    <w:rsid w:val="00206C3E"/>
    <w:rsid w:val="00207ADA"/>
    <w:rsid w:val="00207DFD"/>
    <w:rsid w:val="00207E68"/>
    <w:rsid w:val="00210334"/>
    <w:rsid w:val="00210A7E"/>
    <w:rsid w:val="00210B50"/>
    <w:rsid w:val="00210C70"/>
    <w:rsid w:val="00211A3C"/>
    <w:rsid w:val="002125B4"/>
    <w:rsid w:val="002128E6"/>
    <w:rsid w:val="0021323F"/>
    <w:rsid w:val="00213496"/>
    <w:rsid w:val="00214301"/>
    <w:rsid w:val="002151EE"/>
    <w:rsid w:val="00215D09"/>
    <w:rsid w:val="0021652D"/>
    <w:rsid w:val="00217867"/>
    <w:rsid w:val="002201F7"/>
    <w:rsid w:val="00220CB7"/>
    <w:rsid w:val="002214D1"/>
    <w:rsid w:val="002217DF"/>
    <w:rsid w:val="0022248D"/>
    <w:rsid w:val="002224EC"/>
    <w:rsid w:val="00222C77"/>
    <w:rsid w:val="002239D5"/>
    <w:rsid w:val="002239EA"/>
    <w:rsid w:val="00223F25"/>
    <w:rsid w:val="00223F4A"/>
    <w:rsid w:val="00224B04"/>
    <w:rsid w:val="00224B51"/>
    <w:rsid w:val="00225106"/>
    <w:rsid w:val="0022548D"/>
    <w:rsid w:val="002258B4"/>
    <w:rsid w:val="00225EFD"/>
    <w:rsid w:val="00226A49"/>
    <w:rsid w:val="00226D03"/>
    <w:rsid w:val="00226DD0"/>
    <w:rsid w:val="00227002"/>
    <w:rsid w:val="002271BC"/>
    <w:rsid w:val="00227A13"/>
    <w:rsid w:val="00227AC3"/>
    <w:rsid w:val="00227DC4"/>
    <w:rsid w:val="00227E07"/>
    <w:rsid w:val="00227F1E"/>
    <w:rsid w:val="00230564"/>
    <w:rsid w:val="00230726"/>
    <w:rsid w:val="00230E56"/>
    <w:rsid w:val="0023116C"/>
    <w:rsid w:val="002313DF"/>
    <w:rsid w:val="002317E4"/>
    <w:rsid w:val="00231A7F"/>
    <w:rsid w:val="0023275A"/>
    <w:rsid w:val="00232F56"/>
    <w:rsid w:val="00233849"/>
    <w:rsid w:val="002338E6"/>
    <w:rsid w:val="002341A3"/>
    <w:rsid w:val="002347FD"/>
    <w:rsid w:val="00234E96"/>
    <w:rsid w:val="002352D9"/>
    <w:rsid w:val="0023553E"/>
    <w:rsid w:val="002355FE"/>
    <w:rsid w:val="00235821"/>
    <w:rsid w:val="0023589F"/>
    <w:rsid w:val="00236FA4"/>
    <w:rsid w:val="0023756D"/>
    <w:rsid w:val="002378BE"/>
    <w:rsid w:val="00237BA2"/>
    <w:rsid w:val="0024072E"/>
    <w:rsid w:val="00241643"/>
    <w:rsid w:val="00241B96"/>
    <w:rsid w:val="00241BE3"/>
    <w:rsid w:val="002426C2"/>
    <w:rsid w:val="00242EC0"/>
    <w:rsid w:val="0024386C"/>
    <w:rsid w:val="002441CF"/>
    <w:rsid w:val="002444AA"/>
    <w:rsid w:val="0024593D"/>
    <w:rsid w:val="0024681C"/>
    <w:rsid w:val="00246C98"/>
    <w:rsid w:val="00246F27"/>
    <w:rsid w:val="002470F2"/>
    <w:rsid w:val="0024710B"/>
    <w:rsid w:val="00250A0E"/>
    <w:rsid w:val="00250A26"/>
    <w:rsid w:val="00251FDE"/>
    <w:rsid w:val="002521FE"/>
    <w:rsid w:val="002522E1"/>
    <w:rsid w:val="0025272C"/>
    <w:rsid w:val="00252C04"/>
    <w:rsid w:val="00253572"/>
    <w:rsid w:val="002535A5"/>
    <w:rsid w:val="00253EA2"/>
    <w:rsid w:val="0025475C"/>
    <w:rsid w:val="002553D5"/>
    <w:rsid w:val="0025597B"/>
    <w:rsid w:val="002578C6"/>
    <w:rsid w:val="002579C4"/>
    <w:rsid w:val="002609A4"/>
    <w:rsid w:val="00260F89"/>
    <w:rsid w:val="00261865"/>
    <w:rsid w:val="00263109"/>
    <w:rsid w:val="00265214"/>
    <w:rsid w:val="00265C16"/>
    <w:rsid w:val="0026651C"/>
    <w:rsid w:val="002668AD"/>
    <w:rsid w:val="002669CE"/>
    <w:rsid w:val="00266BEA"/>
    <w:rsid w:val="00267683"/>
    <w:rsid w:val="002676B0"/>
    <w:rsid w:val="00267BC0"/>
    <w:rsid w:val="00267C52"/>
    <w:rsid w:val="00270346"/>
    <w:rsid w:val="00270604"/>
    <w:rsid w:val="00270B74"/>
    <w:rsid w:val="002711B1"/>
    <w:rsid w:val="0027133D"/>
    <w:rsid w:val="0027174A"/>
    <w:rsid w:val="002718AD"/>
    <w:rsid w:val="00271D11"/>
    <w:rsid w:val="00272332"/>
    <w:rsid w:val="00272A1D"/>
    <w:rsid w:val="00272FE6"/>
    <w:rsid w:val="00273D8E"/>
    <w:rsid w:val="00273F14"/>
    <w:rsid w:val="00274237"/>
    <w:rsid w:val="00275081"/>
    <w:rsid w:val="00275E74"/>
    <w:rsid w:val="00276384"/>
    <w:rsid w:val="00276A3E"/>
    <w:rsid w:val="00276F03"/>
    <w:rsid w:val="0027761D"/>
    <w:rsid w:val="00277623"/>
    <w:rsid w:val="0027768D"/>
    <w:rsid w:val="0027778F"/>
    <w:rsid w:val="00277CB4"/>
    <w:rsid w:val="00280376"/>
    <w:rsid w:val="002803D8"/>
    <w:rsid w:val="00280CFB"/>
    <w:rsid w:val="00280E9A"/>
    <w:rsid w:val="00281052"/>
    <w:rsid w:val="00281602"/>
    <w:rsid w:val="0028178E"/>
    <w:rsid w:val="00281B2B"/>
    <w:rsid w:val="00282D01"/>
    <w:rsid w:val="00282DBC"/>
    <w:rsid w:val="00282E50"/>
    <w:rsid w:val="00283037"/>
    <w:rsid w:val="00283ED5"/>
    <w:rsid w:val="00284427"/>
    <w:rsid w:val="00284A6F"/>
    <w:rsid w:val="00284AF0"/>
    <w:rsid w:val="002858DE"/>
    <w:rsid w:val="0028602A"/>
    <w:rsid w:val="00286145"/>
    <w:rsid w:val="002861D1"/>
    <w:rsid w:val="002863B0"/>
    <w:rsid w:val="00286AF1"/>
    <w:rsid w:val="0028787C"/>
    <w:rsid w:val="00287F3C"/>
    <w:rsid w:val="00290497"/>
    <w:rsid w:val="00290ADB"/>
    <w:rsid w:val="00290DE6"/>
    <w:rsid w:val="002913D6"/>
    <w:rsid w:val="00291D95"/>
    <w:rsid w:val="0029205B"/>
    <w:rsid w:val="00292749"/>
    <w:rsid w:val="00292C27"/>
    <w:rsid w:val="00293299"/>
    <w:rsid w:val="00293D2E"/>
    <w:rsid w:val="002947ED"/>
    <w:rsid w:val="00294FBA"/>
    <w:rsid w:val="00295642"/>
    <w:rsid w:val="00295704"/>
    <w:rsid w:val="00295788"/>
    <w:rsid w:val="00295DBA"/>
    <w:rsid w:val="00296081"/>
    <w:rsid w:val="00296167"/>
    <w:rsid w:val="0029634D"/>
    <w:rsid w:val="00296A76"/>
    <w:rsid w:val="00297031"/>
    <w:rsid w:val="0029707B"/>
    <w:rsid w:val="002972AE"/>
    <w:rsid w:val="00297365"/>
    <w:rsid w:val="00297A9F"/>
    <w:rsid w:val="00297C3D"/>
    <w:rsid w:val="002A014D"/>
    <w:rsid w:val="002A0532"/>
    <w:rsid w:val="002A0E29"/>
    <w:rsid w:val="002A1899"/>
    <w:rsid w:val="002A1DE0"/>
    <w:rsid w:val="002A21B3"/>
    <w:rsid w:val="002A2432"/>
    <w:rsid w:val="002A252E"/>
    <w:rsid w:val="002A2E39"/>
    <w:rsid w:val="002A34A8"/>
    <w:rsid w:val="002A3C75"/>
    <w:rsid w:val="002A414A"/>
    <w:rsid w:val="002A4D6B"/>
    <w:rsid w:val="002A512C"/>
    <w:rsid w:val="002A5281"/>
    <w:rsid w:val="002A5811"/>
    <w:rsid w:val="002A5BC4"/>
    <w:rsid w:val="002A5D31"/>
    <w:rsid w:val="002A5F9A"/>
    <w:rsid w:val="002A617B"/>
    <w:rsid w:val="002A6297"/>
    <w:rsid w:val="002A6582"/>
    <w:rsid w:val="002A6D9B"/>
    <w:rsid w:val="002A740B"/>
    <w:rsid w:val="002A7BFB"/>
    <w:rsid w:val="002B0489"/>
    <w:rsid w:val="002B0C57"/>
    <w:rsid w:val="002B0CA5"/>
    <w:rsid w:val="002B0CBA"/>
    <w:rsid w:val="002B0F50"/>
    <w:rsid w:val="002B24ED"/>
    <w:rsid w:val="002B2A52"/>
    <w:rsid w:val="002B2EBE"/>
    <w:rsid w:val="002B327D"/>
    <w:rsid w:val="002B3C06"/>
    <w:rsid w:val="002B3CA2"/>
    <w:rsid w:val="002B44F9"/>
    <w:rsid w:val="002B4B92"/>
    <w:rsid w:val="002B4EC8"/>
    <w:rsid w:val="002B5E10"/>
    <w:rsid w:val="002B70C6"/>
    <w:rsid w:val="002B781C"/>
    <w:rsid w:val="002B7D05"/>
    <w:rsid w:val="002B7EC0"/>
    <w:rsid w:val="002C01A9"/>
    <w:rsid w:val="002C0B3A"/>
    <w:rsid w:val="002C0F43"/>
    <w:rsid w:val="002C11E2"/>
    <w:rsid w:val="002C12BF"/>
    <w:rsid w:val="002C183F"/>
    <w:rsid w:val="002C1929"/>
    <w:rsid w:val="002C1EE4"/>
    <w:rsid w:val="002C5304"/>
    <w:rsid w:val="002C5378"/>
    <w:rsid w:val="002C57ED"/>
    <w:rsid w:val="002C59D4"/>
    <w:rsid w:val="002C6049"/>
    <w:rsid w:val="002C624F"/>
    <w:rsid w:val="002C676E"/>
    <w:rsid w:val="002C6C2A"/>
    <w:rsid w:val="002C747B"/>
    <w:rsid w:val="002C792C"/>
    <w:rsid w:val="002C793D"/>
    <w:rsid w:val="002C7B42"/>
    <w:rsid w:val="002C7B90"/>
    <w:rsid w:val="002D01AF"/>
    <w:rsid w:val="002D110B"/>
    <w:rsid w:val="002D27C1"/>
    <w:rsid w:val="002D2A4C"/>
    <w:rsid w:val="002D3EA0"/>
    <w:rsid w:val="002D4658"/>
    <w:rsid w:val="002D4815"/>
    <w:rsid w:val="002D50BE"/>
    <w:rsid w:val="002D5973"/>
    <w:rsid w:val="002D5A29"/>
    <w:rsid w:val="002D5B25"/>
    <w:rsid w:val="002D5DB3"/>
    <w:rsid w:val="002D63AB"/>
    <w:rsid w:val="002D6402"/>
    <w:rsid w:val="002D6841"/>
    <w:rsid w:val="002D73A9"/>
    <w:rsid w:val="002D780B"/>
    <w:rsid w:val="002D7F32"/>
    <w:rsid w:val="002E04C6"/>
    <w:rsid w:val="002E08DC"/>
    <w:rsid w:val="002E1DD0"/>
    <w:rsid w:val="002E1E14"/>
    <w:rsid w:val="002E1F75"/>
    <w:rsid w:val="002E2252"/>
    <w:rsid w:val="002E26A7"/>
    <w:rsid w:val="002E2F9E"/>
    <w:rsid w:val="002E3CA8"/>
    <w:rsid w:val="002E5A6B"/>
    <w:rsid w:val="002E63BE"/>
    <w:rsid w:val="002E657B"/>
    <w:rsid w:val="002E6996"/>
    <w:rsid w:val="002E7302"/>
    <w:rsid w:val="002E78CE"/>
    <w:rsid w:val="002F04E7"/>
    <w:rsid w:val="002F0D7C"/>
    <w:rsid w:val="002F18C4"/>
    <w:rsid w:val="002F1DCF"/>
    <w:rsid w:val="002F2734"/>
    <w:rsid w:val="002F29C8"/>
    <w:rsid w:val="002F3167"/>
    <w:rsid w:val="002F416E"/>
    <w:rsid w:val="002F4298"/>
    <w:rsid w:val="002F439E"/>
    <w:rsid w:val="002F44ED"/>
    <w:rsid w:val="002F47A9"/>
    <w:rsid w:val="002F4F2B"/>
    <w:rsid w:val="002F549C"/>
    <w:rsid w:val="002F5938"/>
    <w:rsid w:val="002F5E73"/>
    <w:rsid w:val="002F5F90"/>
    <w:rsid w:val="002F642B"/>
    <w:rsid w:val="002F6950"/>
    <w:rsid w:val="003002C0"/>
    <w:rsid w:val="003002F6"/>
    <w:rsid w:val="003005F9"/>
    <w:rsid w:val="00300BA5"/>
    <w:rsid w:val="00300C95"/>
    <w:rsid w:val="00300ED6"/>
    <w:rsid w:val="00301144"/>
    <w:rsid w:val="003013BA"/>
    <w:rsid w:val="00301756"/>
    <w:rsid w:val="0030209C"/>
    <w:rsid w:val="003021B5"/>
    <w:rsid w:val="003031C6"/>
    <w:rsid w:val="003042A6"/>
    <w:rsid w:val="003046DD"/>
    <w:rsid w:val="00304984"/>
    <w:rsid w:val="00305A47"/>
    <w:rsid w:val="003061F7"/>
    <w:rsid w:val="0030629A"/>
    <w:rsid w:val="00307383"/>
    <w:rsid w:val="003077B4"/>
    <w:rsid w:val="00310820"/>
    <w:rsid w:val="00310D1B"/>
    <w:rsid w:val="00310E6B"/>
    <w:rsid w:val="003112B5"/>
    <w:rsid w:val="0031142F"/>
    <w:rsid w:val="0031173E"/>
    <w:rsid w:val="00311AA0"/>
    <w:rsid w:val="003120DA"/>
    <w:rsid w:val="003124BD"/>
    <w:rsid w:val="00312BF8"/>
    <w:rsid w:val="00313AA0"/>
    <w:rsid w:val="00314249"/>
    <w:rsid w:val="0031447F"/>
    <w:rsid w:val="00314559"/>
    <w:rsid w:val="003147F3"/>
    <w:rsid w:val="00314875"/>
    <w:rsid w:val="003148B7"/>
    <w:rsid w:val="00314C02"/>
    <w:rsid w:val="00314D2A"/>
    <w:rsid w:val="00314E36"/>
    <w:rsid w:val="003157D7"/>
    <w:rsid w:val="003157DC"/>
    <w:rsid w:val="00315812"/>
    <w:rsid w:val="003158C3"/>
    <w:rsid w:val="0031650A"/>
    <w:rsid w:val="00316AAD"/>
    <w:rsid w:val="00317099"/>
    <w:rsid w:val="0031724B"/>
    <w:rsid w:val="00317661"/>
    <w:rsid w:val="003177C4"/>
    <w:rsid w:val="00317E18"/>
    <w:rsid w:val="00320379"/>
    <w:rsid w:val="00320779"/>
    <w:rsid w:val="0032091B"/>
    <w:rsid w:val="00320F9F"/>
    <w:rsid w:val="003214FC"/>
    <w:rsid w:val="003220AF"/>
    <w:rsid w:val="003222D7"/>
    <w:rsid w:val="003228C2"/>
    <w:rsid w:val="00323024"/>
    <w:rsid w:val="003234D6"/>
    <w:rsid w:val="00323769"/>
    <w:rsid w:val="00323DE4"/>
    <w:rsid w:val="00323EDF"/>
    <w:rsid w:val="00324D6B"/>
    <w:rsid w:val="00324E40"/>
    <w:rsid w:val="00325548"/>
    <w:rsid w:val="00325AA3"/>
    <w:rsid w:val="0032667F"/>
    <w:rsid w:val="00326CC5"/>
    <w:rsid w:val="003274CD"/>
    <w:rsid w:val="00327518"/>
    <w:rsid w:val="0032774B"/>
    <w:rsid w:val="003279E6"/>
    <w:rsid w:val="00327FE3"/>
    <w:rsid w:val="00330123"/>
    <w:rsid w:val="00331618"/>
    <w:rsid w:val="003316E8"/>
    <w:rsid w:val="0033192E"/>
    <w:rsid w:val="003322F3"/>
    <w:rsid w:val="00332347"/>
    <w:rsid w:val="00332453"/>
    <w:rsid w:val="0033256A"/>
    <w:rsid w:val="00332BB7"/>
    <w:rsid w:val="00332DFA"/>
    <w:rsid w:val="003331A9"/>
    <w:rsid w:val="00333429"/>
    <w:rsid w:val="00333501"/>
    <w:rsid w:val="0033387E"/>
    <w:rsid w:val="00333A11"/>
    <w:rsid w:val="00333B9E"/>
    <w:rsid w:val="003340B5"/>
    <w:rsid w:val="00334A84"/>
    <w:rsid w:val="0033574A"/>
    <w:rsid w:val="00335760"/>
    <w:rsid w:val="00335B7D"/>
    <w:rsid w:val="00335BD5"/>
    <w:rsid w:val="00335D70"/>
    <w:rsid w:val="00335FD4"/>
    <w:rsid w:val="003360F0"/>
    <w:rsid w:val="003366CA"/>
    <w:rsid w:val="00336A4C"/>
    <w:rsid w:val="0033704B"/>
    <w:rsid w:val="00337113"/>
    <w:rsid w:val="003371C1"/>
    <w:rsid w:val="003371EE"/>
    <w:rsid w:val="00337D6B"/>
    <w:rsid w:val="00337DDB"/>
    <w:rsid w:val="0034044A"/>
    <w:rsid w:val="00341719"/>
    <w:rsid w:val="003420DB"/>
    <w:rsid w:val="00342254"/>
    <w:rsid w:val="00342D07"/>
    <w:rsid w:val="00343D91"/>
    <w:rsid w:val="00344090"/>
    <w:rsid w:val="00344138"/>
    <w:rsid w:val="0034414E"/>
    <w:rsid w:val="003449CC"/>
    <w:rsid w:val="003449D8"/>
    <w:rsid w:val="00345298"/>
    <w:rsid w:val="003457C4"/>
    <w:rsid w:val="003501DC"/>
    <w:rsid w:val="00350596"/>
    <w:rsid w:val="003506AE"/>
    <w:rsid w:val="0035076C"/>
    <w:rsid w:val="00351126"/>
    <w:rsid w:val="0035119D"/>
    <w:rsid w:val="003513DD"/>
    <w:rsid w:val="00351C29"/>
    <w:rsid w:val="00351EEC"/>
    <w:rsid w:val="00352BB1"/>
    <w:rsid w:val="00352C0E"/>
    <w:rsid w:val="003539AA"/>
    <w:rsid w:val="00353FDB"/>
    <w:rsid w:val="00354356"/>
    <w:rsid w:val="00354BAC"/>
    <w:rsid w:val="00354C94"/>
    <w:rsid w:val="003555AD"/>
    <w:rsid w:val="0035612F"/>
    <w:rsid w:val="00356148"/>
    <w:rsid w:val="00356223"/>
    <w:rsid w:val="00357003"/>
    <w:rsid w:val="003579A1"/>
    <w:rsid w:val="00357FD3"/>
    <w:rsid w:val="0036034A"/>
    <w:rsid w:val="00360B58"/>
    <w:rsid w:val="00360E65"/>
    <w:rsid w:val="00361795"/>
    <w:rsid w:val="003620C0"/>
    <w:rsid w:val="00362410"/>
    <w:rsid w:val="00362891"/>
    <w:rsid w:val="00363860"/>
    <w:rsid w:val="003639DD"/>
    <w:rsid w:val="00363ACC"/>
    <w:rsid w:val="00363E6D"/>
    <w:rsid w:val="00364139"/>
    <w:rsid w:val="00364BF1"/>
    <w:rsid w:val="00364F52"/>
    <w:rsid w:val="00365CA4"/>
    <w:rsid w:val="00365DA2"/>
    <w:rsid w:val="00365DEC"/>
    <w:rsid w:val="00365E67"/>
    <w:rsid w:val="00365F26"/>
    <w:rsid w:val="0036663E"/>
    <w:rsid w:val="00367ED3"/>
    <w:rsid w:val="00367EF3"/>
    <w:rsid w:val="003703EC"/>
    <w:rsid w:val="00370B5E"/>
    <w:rsid w:val="00370DC1"/>
    <w:rsid w:val="0037149C"/>
    <w:rsid w:val="00371CAB"/>
    <w:rsid w:val="00371F69"/>
    <w:rsid w:val="00372722"/>
    <w:rsid w:val="00372CC1"/>
    <w:rsid w:val="003730B9"/>
    <w:rsid w:val="0037331E"/>
    <w:rsid w:val="003746C8"/>
    <w:rsid w:val="003747E1"/>
    <w:rsid w:val="00374A04"/>
    <w:rsid w:val="00374E7D"/>
    <w:rsid w:val="0037541C"/>
    <w:rsid w:val="0037664B"/>
    <w:rsid w:val="00376858"/>
    <w:rsid w:val="00376D15"/>
    <w:rsid w:val="00377AA0"/>
    <w:rsid w:val="00377CD1"/>
    <w:rsid w:val="00380106"/>
    <w:rsid w:val="00380413"/>
    <w:rsid w:val="00380998"/>
    <w:rsid w:val="00380AE6"/>
    <w:rsid w:val="00380AFC"/>
    <w:rsid w:val="0038144E"/>
    <w:rsid w:val="003815DD"/>
    <w:rsid w:val="003823AC"/>
    <w:rsid w:val="0038271C"/>
    <w:rsid w:val="00382F42"/>
    <w:rsid w:val="00383316"/>
    <w:rsid w:val="00383860"/>
    <w:rsid w:val="00383BDE"/>
    <w:rsid w:val="00383EDD"/>
    <w:rsid w:val="00384D40"/>
    <w:rsid w:val="00384DCE"/>
    <w:rsid w:val="00385028"/>
    <w:rsid w:val="00385633"/>
    <w:rsid w:val="0038580F"/>
    <w:rsid w:val="00385858"/>
    <w:rsid w:val="003859BE"/>
    <w:rsid w:val="00386111"/>
    <w:rsid w:val="0038612E"/>
    <w:rsid w:val="0038680F"/>
    <w:rsid w:val="00386A66"/>
    <w:rsid w:val="00386E1A"/>
    <w:rsid w:val="00387216"/>
    <w:rsid w:val="003877C9"/>
    <w:rsid w:val="00387955"/>
    <w:rsid w:val="0039043B"/>
    <w:rsid w:val="0039056C"/>
    <w:rsid w:val="00392897"/>
    <w:rsid w:val="00392984"/>
    <w:rsid w:val="00392F8A"/>
    <w:rsid w:val="0039322B"/>
    <w:rsid w:val="0039344A"/>
    <w:rsid w:val="00393DCA"/>
    <w:rsid w:val="0039419B"/>
    <w:rsid w:val="00394710"/>
    <w:rsid w:val="00394909"/>
    <w:rsid w:val="00395163"/>
    <w:rsid w:val="003952F1"/>
    <w:rsid w:val="00395EB3"/>
    <w:rsid w:val="0039707D"/>
    <w:rsid w:val="00397595"/>
    <w:rsid w:val="00397862"/>
    <w:rsid w:val="003A06AF"/>
    <w:rsid w:val="003A0821"/>
    <w:rsid w:val="003A145A"/>
    <w:rsid w:val="003A188A"/>
    <w:rsid w:val="003A19AB"/>
    <w:rsid w:val="003A1B70"/>
    <w:rsid w:val="003A1EF4"/>
    <w:rsid w:val="003A2564"/>
    <w:rsid w:val="003A2571"/>
    <w:rsid w:val="003A28A6"/>
    <w:rsid w:val="003A30D7"/>
    <w:rsid w:val="003A3EEF"/>
    <w:rsid w:val="003A4083"/>
    <w:rsid w:val="003A422C"/>
    <w:rsid w:val="003A462D"/>
    <w:rsid w:val="003A4869"/>
    <w:rsid w:val="003A5205"/>
    <w:rsid w:val="003A5764"/>
    <w:rsid w:val="003A5F57"/>
    <w:rsid w:val="003A5FD3"/>
    <w:rsid w:val="003A688E"/>
    <w:rsid w:val="003A6F73"/>
    <w:rsid w:val="003A76B7"/>
    <w:rsid w:val="003B079E"/>
    <w:rsid w:val="003B0B6D"/>
    <w:rsid w:val="003B12B2"/>
    <w:rsid w:val="003B1611"/>
    <w:rsid w:val="003B1AF8"/>
    <w:rsid w:val="003B1B3B"/>
    <w:rsid w:val="003B1B83"/>
    <w:rsid w:val="003B1D8E"/>
    <w:rsid w:val="003B27B8"/>
    <w:rsid w:val="003B36F6"/>
    <w:rsid w:val="003B3CAD"/>
    <w:rsid w:val="003B4375"/>
    <w:rsid w:val="003B4F12"/>
    <w:rsid w:val="003B503F"/>
    <w:rsid w:val="003B5377"/>
    <w:rsid w:val="003B5F9F"/>
    <w:rsid w:val="003B6053"/>
    <w:rsid w:val="003B75D0"/>
    <w:rsid w:val="003B7A72"/>
    <w:rsid w:val="003C084B"/>
    <w:rsid w:val="003C1440"/>
    <w:rsid w:val="003C1B3A"/>
    <w:rsid w:val="003C2206"/>
    <w:rsid w:val="003C24F2"/>
    <w:rsid w:val="003C2747"/>
    <w:rsid w:val="003C28F5"/>
    <w:rsid w:val="003C2ABC"/>
    <w:rsid w:val="003C2E21"/>
    <w:rsid w:val="003C3415"/>
    <w:rsid w:val="003C3432"/>
    <w:rsid w:val="003C3C79"/>
    <w:rsid w:val="003C486A"/>
    <w:rsid w:val="003C4D43"/>
    <w:rsid w:val="003C602D"/>
    <w:rsid w:val="003C615A"/>
    <w:rsid w:val="003C6844"/>
    <w:rsid w:val="003C68E0"/>
    <w:rsid w:val="003C732C"/>
    <w:rsid w:val="003C7D6F"/>
    <w:rsid w:val="003C7E00"/>
    <w:rsid w:val="003C7E17"/>
    <w:rsid w:val="003D0776"/>
    <w:rsid w:val="003D1B03"/>
    <w:rsid w:val="003D242A"/>
    <w:rsid w:val="003D2ABA"/>
    <w:rsid w:val="003D3149"/>
    <w:rsid w:val="003D3778"/>
    <w:rsid w:val="003D4041"/>
    <w:rsid w:val="003D47B6"/>
    <w:rsid w:val="003D4F18"/>
    <w:rsid w:val="003D52A2"/>
    <w:rsid w:val="003D547B"/>
    <w:rsid w:val="003D652D"/>
    <w:rsid w:val="003D6A4B"/>
    <w:rsid w:val="003D6B4F"/>
    <w:rsid w:val="003D70E5"/>
    <w:rsid w:val="003D7200"/>
    <w:rsid w:val="003D78E9"/>
    <w:rsid w:val="003E0B5E"/>
    <w:rsid w:val="003E2D92"/>
    <w:rsid w:val="003E2F4D"/>
    <w:rsid w:val="003E30C9"/>
    <w:rsid w:val="003E33DC"/>
    <w:rsid w:val="003E3C97"/>
    <w:rsid w:val="003E49D1"/>
    <w:rsid w:val="003E5257"/>
    <w:rsid w:val="003E5319"/>
    <w:rsid w:val="003E5437"/>
    <w:rsid w:val="003E5F09"/>
    <w:rsid w:val="003E659A"/>
    <w:rsid w:val="003E714B"/>
    <w:rsid w:val="003E756F"/>
    <w:rsid w:val="003E7C8D"/>
    <w:rsid w:val="003F017F"/>
    <w:rsid w:val="003F0607"/>
    <w:rsid w:val="003F0EAA"/>
    <w:rsid w:val="003F0F29"/>
    <w:rsid w:val="003F1539"/>
    <w:rsid w:val="003F1900"/>
    <w:rsid w:val="003F1B36"/>
    <w:rsid w:val="003F2041"/>
    <w:rsid w:val="003F3D7C"/>
    <w:rsid w:val="003F3F19"/>
    <w:rsid w:val="003F423A"/>
    <w:rsid w:val="003F450F"/>
    <w:rsid w:val="003F4765"/>
    <w:rsid w:val="003F481E"/>
    <w:rsid w:val="003F76CB"/>
    <w:rsid w:val="003F78B2"/>
    <w:rsid w:val="003F7BB0"/>
    <w:rsid w:val="003F7C94"/>
    <w:rsid w:val="004000B5"/>
    <w:rsid w:val="00400C6A"/>
    <w:rsid w:val="00400E4B"/>
    <w:rsid w:val="004016D3"/>
    <w:rsid w:val="00401A24"/>
    <w:rsid w:val="00402185"/>
    <w:rsid w:val="00402765"/>
    <w:rsid w:val="00402A2B"/>
    <w:rsid w:val="00402ACC"/>
    <w:rsid w:val="00402E26"/>
    <w:rsid w:val="004035D7"/>
    <w:rsid w:val="00403E7D"/>
    <w:rsid w:val="004042C3"/>
    <w:rsid w:val="00404E14"/>
    <w:rsid w:val="00404E32"/>
    <w:rsid w:val="004053E0"/>
    <w:rsid w:val="004059A1"/>
    <w:rsid w:val="00405AC2"/>
    <w:rsid w:val="00405C37"/>
    <w:rsid w:val="00406026"/>
    <w:rsid w:val="0040610A"/>
    <w:rsid w:val="00406258"/>
    <w:rsid w:val="0040666D"/>
    <w:rsid w:val="004076BF"/>
    <w:rsid w:val="00407BF5"/>
    <w:rsid w:val="00410913"/>
    <w:rsid w:val="00410EAC"/>
    <w:rsid w:val="00411567"/>
    <w:rsid w:val="00411E18"/>
    <w:rsid w:val="00411E76"/>
    <w:rsid w:val="004120EC"/>
    <w:rsid w:val="0041252A"/>
    <w:rsid w:val="004125BF"/>
    <w:rsid w:val="00412F9E"/>
    <w:rsid w:val="0041453C"/>
    <w:rsid w:val="00414758"/>
    <w:rsid w:val="00414F7E"/>
    <w:rsid w:val="00415C9F"/>
    <w:rsid w:val="0041646E"/>
    <w:rsid w:val="0041650C"/>
    <w:rsid w:val="00416528"/>
    <w:rsid w:val="0041663D"/>
    <w:rsid w:val="00416855"/>
    <w:rsid w:val="004176AB"/>
    <w:rsid w:val="00417CF9"/>
    <w:rsid w:val="0042021E"/>
    <w:rsid w:val="0042049D"/>
    <w:rsid w:val="00420FE1"/>
    <w:rsid w:val="004219A9"/>
    <w:rsid w:val="004220DD"/>
    <w:rsid w:val="0042218D"/>
    <w:rsid w:val="00423152"/>
    <w:rsid w:val="00423436"/>
    <w:rsid w:val="00423494"/>
    <w:rsid w:val="004234EB"/>
    <w:rsid w:val="004236CD"/>
    <w:rsid w:val="00423865"/>
    <w:rsid w:val="00423BB1"/>
    <w:rsid w:val="00423F31"/>
    <w:rsid w:val="00424400"/>
    <w:rsid w:val="004246E2"/>
    <w:rsid w:val="004247C1"/>
    <w:rsid w:val="00424A5F"/>
    <w:rsid w:val="00424C22"/>
    <w:rsid w:val="004255B8"/>
    <w:rsid w:val="00425F7E"/>
    <w:rsid w:val="0042612F"/>
    <w:rsid w:val="004264C9"/>
    <w:rsid w:val="00426AED"/>
    <w:rsid w:val="00426E13"/>
    <w:rsid w:val="0042759F"/>
    <w:rsid w:val="00430772"/>
    <w:rsid w:val="00430E9F"/>
    <w:rsid w:val="00431899"/>
    <w:rsid w:val="00431CD7"/>
    <w:rsid w:val="00431EB6"/>
    <w:rsid w:val="00432A56"/>
    <w:rsid w:val="004331FA"/>
    <w:rsid w:val="004339F5"/>
    <w:rsid w:val="00433BB3"/>
    <w:rsid w:val="00433FAD"/>
    <w:rsid w:val="004344C1"/>
    <w:rsid w:val="00434BF3"/>
    <w:rsid w:val="00434DC4"/>
    <w:rsid w:val="00435451"/>
    <w:rsid w:val="00435527"/>
    <w:rsid w:val="00435A41"/>
    <w:rsid w:val="00435EA0"/>
    <w:rsid w:val="00436C21"/>
    <w:rsid w:val="004371FC"/>
    <w:rsid w:val="00440197"/>
    <w:rsid w:val="004406CC"/>
    <w:rsid w:val="0044093C"/>
    <w:rsid w:val="00441352"/>
    <w:rsid w:val="00442055"/>
    <w:rsid w:val="00442242"/>
    <w:rsid w:val="00442329"/>
    <w:rsid w:val="004424D7"/>
    <w:rsid w:val="004426AF"/>
    <w:rsid w:val="00443349"/>
    <w:rsid w:val="00443816"/>
    <w:rsid w:val="004441C8"/>
    <w:rsid w:val="004446A4"/>
    <w:rsid w:val="00444735"/>
    <w:rsid w:val="00445406"/>
    <w:rsid w:val="00446C14"/>
    <w:rsid w:val="00446E67"/>
    <w:rsid w:val="00450243"/>
    <w:rsid w:val="00450F54"/>
    <w:rsid w:val="0045124D"/>
    <w:rsid w:val="0045132C"/>
    <w:rsid w:val="00452510"/>
    <w:rsid w:val="004525DE"/>
    <w:rsid w:val="00453768"/>
    <w:rsid w:val="00453888"/>
    <w:rsid w:val="00454080"/>
    <w:rsid w:val="00454442"/>
    <w:rsid w:val="0045446A"/>
    <w:rsid w:val="00454779"/>
    <w:rsid w:val="0045566D"/>
    <w:rsid w:val="00455BC8"/>
    <w:rsid w:val="00455CE3"/>
    <w:rsid w:val="004563C1"/>
    <w:rsid w:val="004565BA"/>
    <w:rsid w:val="004566A8"/>
    <w:rsid w:val="00456B58"/>
    <w:rsid w:val="00456CB3"/>
    <w:rsid w:val="00457B62"/>
    <w:rsid w:val="00457D06"/>
    <w:rsid w:val="004600FE"/>
    <w:rsid w:val="004603AF"/>
    <w:rsid w:val="00461055"/>
    <w:rsid w:val="0046227E"/>
    <w:rsid w:val="00462759"/>
    <w:rsid w:val="00462925"/>
    <w:rsid w:val="004629E6"/>
    <w:rsid w:val="00462CF5"/>
    <w:rsid w:val="00462F91"/>
    <w:rsid w:val="00463672"/>
    <w:rsid w:val="004638C5"/>
    <w:rsid w:val="00464817"/>
    <w:rsid w:val="00465E04"/>
    <w:rsid w:val="00465F91"/>
    <w:rsid w:val="004660C2"/>
    <w:rsid w:val="00466445"/>
    <w:rsid w:val="00466B86"/>
    <w:rsid w:val="00466C8C"/>
    <w:rsid w:val="004679CF"/>
    <w:rsid w:val="00467AAE"/>
    <w:rsid w:val="00467B95"/>
    <w:rsid w:val="004703F1"/>
    <w:rsid w:val="00470CD0"/>
    <w:rsid w:val="004715FF"/>
    <w:rsid w:val="00471C35"/>
    <w:rsid w:val="00471E56"/>
    <w:rsid w:val="00471FCB"/>
    <w:rsid w:val="00472384"/>
    <w:rsid w:val="004723AE"/>
    <w:rsid w:val="00472541"/>
    <w:rsid w:val="004734CC"/>
    <w:rsid w:val="004739BA"/>
    <w:rsid w:val="00473C31"/>
    <w:rsid w:val="00474B16"/>
    <w:rsid w:val="00474CFD"/>
    <w:rsid w:val="0047528B"/>
    <w:rsid w:val="004756E9"/>
    <w:rsid w:val="00475EBB"/>
    <w:rsid w:val="00475FD0"/>
    <w:rsid w:val="00476D26"/>
    <w:rsid w:val="0047756A"/>
    <w:rsid w:val="004776A5"/>
    <w:rsid w:val="004802E3"/>
    <w:rsid w:val="00480640"/>
    <w:rsid w:val="00480F66"/>
    <w:rsid w:val="0048104B"/>
    <w:rsid w:val="00481151"/>
    <w:rsid w:val="00481449"/>
    <w:rsid w:val="004816F2"/>
    <w:rsid w:val="0048175C"/>
    <w:rsid w:val="00481E7E"/>
    <w:rsid w:val="00482AE8"/>
    <w:rsid w:val="0048457C"/>
    <w:rsid w:val="00484596"/>
    <w:rsid w:val="0048492D"/>
    <w:rsid w:val="00484A30"/>
    <w:rsid w:val="00484F57"/>
    <w:rsid w:val="00485E78"/>
    <w:rsid w:val="00486405"/>
    <w:rsid w:val="00486463"/>
    <w:rsid w:val="004865B4"/>
    <w:rsid w:val="00486783"/>
    <w:rsid w:val="00486804"/>
    <w:rsid w:val="00486EF2"/>
    <w:rsid w:val="00487623"/>
    <w:rsid w:val="00487A33"/>
    <w:rsid w:val="00487D5C"/>
    <w:rsid w:val="00490005"/>
    <w:rsid w:val="004904E5"/>
    <w:rsid w:val="00490BCB"/>
    <w:rsid w:val="00490CDB"/>
    <w:rsid w:val="00491160"/>
    <w:rsid w:val="0049190E"/>
    <w:rsid w:val="00492080"/>
    <w:rsid w:val="004925E4"/>
    <w:rsid w:val="00492E9C"/>
    <w:rsid w:val="004934D9"/>
    <w:rsid w:val="00493695"/>
    <w:rsid w:val="00493987"/>
    <w:rsid w:val="004939C4"/>
    <w:rsid w:val="00493CD0"/>
    <w:rsid w:val="00494AC1"/>
    <w:rsid w:val="0049517A"/>
    <w:rsid w:val="004958FF"/>
    <w:rsid w:val="00496C57"/>
    <w:rsid w:val="0049734F"/>
    <w:rsid w:val="00497837"/>
    <w:rsid w:val="00497DA1"/>
    <w:rsid w:val="004A10D7"/>
    <w:rsid w:val="004A112E"/>
    <w:rsid w:val="004A18D2"/>
    <w:rsid w:val="004A204D"/>
    <w:rsid w:val="004A214C"/>
    <w:rsid w:val="004A374F"/>
    <w:rsid w:val="004A3D93"/>
    <w:rsid w:val="004A3DDA"/>
    <w:rsid w:val="004A4C22"/>
    <w:rsid w:val="004A5020"/>
    <w:rsid w:val="004A58AB"/>
    <w:rsid w:val="004A626C"/>
    <w:rsid w:val="004A6476"/>
    <w:rsid w:val="004A673C"/>
    <w:rsid w:val="004A6820"/>
    <w:rsid w:val="004A6B1D"/>
    <w:rsid w:val="004A6B65"/>
    <w:rsid w:val="004A6FC0"/>
    <w:rsid w:val="004A74AE"/>
    <w:rsid w:val="004B0150"/>
    <w:rsid w:val="004B07BD"/>
    <w:rsid w:val="004B0DC6"/>
    <w:rsid w:val="004B111C"/>
    <w:rsid w:val="004B1121"/>
    <w:rsid w:val="004B145D"/>
    <w:rsid w:val="004B160C"/>
    <w:rsid w:val="004B2C7D"/>
    <w:rsid w:val="004B2EDE"/>
    <w:rsid w:val="004B31F1"/>
    <w:rsid w:val="004B3775"/>
    <w:rsid w:val="004B38A7"/>
    <w:rsid w:val="004B3F3B"/>
    <w:rsid w:val="004B3FE9"/>
    <w:rsid w:val="004B42AA"/>
    <w:rsid w:val="004B4953"/>
    <w:rsid w:val="004B5898"/>
    <w:rsid w:val="004B615E"/>
    <w:rsid w:val="004B68EC"/>
    <w:rsid w:val="004B697E"/>
    <w:rsid w:val="004B6AA6"/>
    <w:rsid w:val="004B7458"/>
    <w:rsid w:val="004B7EDA"/>
    <w:rsid w:val="004C110C"/>
    <w:rsid w:val="004C177C"/>
    <w:rsid w:val="004C1B59"/>
    <w:rsid w:val="004C1DE8"/>
    <w:rsid w:val="004C1EE5"/>
    <w:rsid w:val="004C294F"/>
    <w:rsid w:val="004C2FDB"/>
    <w:rsid w:val="004C345E"/>
    <w:rsid w:val="004C38D5"/>
    <w:rsid w:val="004C3A29"/>
    <w:rsid w:val="004C49D6"/>
    <w:rsid w:val="004C4EB3"/>
    <w:rsid w:val="004C4EFB"/>
    <w:rsid w:val="004C5033"/>
    <w:rsid w:val="004C5145"/>
    <w:rsid w:val="004C526B"/>
    <w:rsid w:val="004C56A3"/>
    <w:rsid w:val="004C5E6F"/>
    <w:rsid w:val="004C5F58"/>
    <w:rsid w:val="004C61C0"/>
    <w:rsid w:val="004C6342"/>
    <w:rsid w:val="004C6B5F"/>
    <w:rsid w:val="004C6BBA"/>
    <w:rsid w:val="004C7445"/>
    <w:rsid w:val="004C7B79"/>
    <w:rsid w:val="004C7FF1"/>
    <w:rsid w:val="004D047B"/>
    <w:rsid w:val="004D09F1"/>
    <w:rsid w:val="004D0BA0"/>
    <w:rsid w:val="004D0F0E"/>
    <w:rsid w:val="004D1966"/>
    <w:rsid w:val="004D223E"/>
    <w:rsid w:val="004D2941"/>
    <w:rsid w:val="004D3182"/>
    <w:rsid w:val="004D34BC"/>
    <w:rsid w:val="004D4037"/>
    <w:rsid w:val="004D441D"/>
    <w:rsid w:val="004D475F"/>
    <w:rsid w:val="004D54D4"/>
    <w:rsid w:val="004D5949"/>
    <w:rsid w:val="004D68F9"/>
    <w:rsid w:val="004D6A06"/>
    <w:rsid w:val="004D6C30"/>
    <w:rsid w:val="004D6DD9"/>
    <w:rsid w:val="004D6F23"/>
    <w:rsid w:val="004D75A1"/>
    <w:rsid w:val="004D79F0"/>
    <w:rsid w:val="004E058F"/>
    <w:rsid w:val="004E0C05"/>
    <w:rsid w:val="004E0D47"/>
    <w:rsid w:val="004E113A"/>
    <w:rsid w:val="004E13BC"/>
    <w:rsid w:val="004E13D2"/>
    <w:rsid w:val="004E14BB"/>
    <w:rsid w:val="004E168C"/>
    <w:rsid w:val="004E1916"/>
    <w:rsid w:val="004E1CE9"/>
    <w:rsid w:val="004E238C"/>
    <w:rsid w:val="004E2F72"/>
    <w:rsid w:val="004E37A0"/>
    <w:rsid w:val="004E3979"/>
    <w:rsid w:val="004E3A3E"/>
    <w:rsid w:val="004E3B87"/>
    <w:rsid w:val="004E45C6"/>
    <w:rsid w:val="004E4E79"/>
    <w:rsid w:val="004E5B60"/>
    <w:rsid w:val="004E5B7B"/>
    <w:rsid w:val="004E5EB7"/>
    <w:rsid w:val="004E695D"/>
    <w:rsid w:val="004E7221"/>
    <w:rsid w:val="004E7307"/>
    <w:rsid w:val="004E7DB5"/>
    <w:rsid w:val="004F0732"/>
    <w:rsid w:val="004F0D9A"/>
    <w:rsid w:val="004F25F2"/>
    <w:rsid w:val="004F27CB"/>
    <w:rsid w:val="004F2AF9"/>
    <w:rsid w:val="004F349C"/>
    <w:rsid w:val="004F3C17"/>
    <w:rsid w:val="004F3F3A"/>
    <w:rsid w:val="004F4560"/>
    <w:rsid w:val="004F573B"/>
    <w:rsid w:val="004F581A"/>
    <w:rsid w:val="004F6317"/>
    <w:rsid w:val="004F7B38"/>
    <w:rsid w:val="00500FB6"/>
    <w:rsid w:val="00501131"/>
    <w:rsid w:val="0050172C"/>
    <w:rsid w:val="00501969"/>
    <w:rsid w:val="00501C7B"/>
    <w:rsid w:val="0050207E"/>
    <w:rsid w:val="00502246"/>
    <w:rsid w:val="00502714"/>
    <w:rsid w:val="0050285E"/>
    <w:rsid w:val="00502A59"/>
    <w:rsid w:val="00502AD3"/>
    <w:rsid w:val="005035F1"/>
    <w:rsid w:val="005041DE"/>
    <w:rsid w:val="00504453"/>
    <w:rsid w:val="005046E3"/>
    <w:rsid w:val="005053EF"/>
    <w:rsid w:val="005056DF"/>
    <w:rsid w:val="0050582C"/>
    <w:rsid w:val="00505A53"/>
    <w:rsid w:val="005065BC"/>
    <w:rsid w:val="005066C0"/>
    <w:rsid w:val="0050671B"/>
    <w:rsid w:val="00506D27"/>
    <w:rsid w:val="00506DA7"/>
    <w:rsid w:val="005072EB"/>
    <w:rsid w:val="00507A79"/>
    <w:rsid w:val="00510462"/>
    <w:rsid w:val="00510921"/>
    <w:rsid w:val="00510AD3"/>
    <w:rsid w:val="00510CCF"/>
    <w:rsid w:val="0051107A"/>
    <w:rsid w:val="005117DE"/>
    <w:rsid w:val="00512310"/>
    <w:rsid w:val="00512C31"/>
    <w:rsid w:val="00512FFB"/>
    <w:rsid w:val="00513348"/>
    <w:rsid w:val="005133A1"/>
    <w:rsid w:val="00513760"/>
    <w:rsid w:val="00513829"/>
    <w:rsid w:val="00513AD8"/>
    <w:rsid w:val="00513B2F"/>
    <w:rsid w:val="00513B77"/>
    <w:rsid w:val="00514143"/>
    <w:rsid w:val="00514966"/>
    <w:rsid w:val="0051496B"/>
    <w:rsid w:val="00515208"/>
    <w:rsid w:val="0051629A"/>
    <w:rsid w:val="00516329"/>
    <w:rsid w:val="005168BC"/>
    <w:rsid w:val="00516D06"/>
    <w:rsid w:val="00517543"/>
    <w:rsid w:val="00517716"/>
    <w:rsid w:val="00517DC4"/>
    <w:rsid w:val="005204D2"/>
    <w:rsid w:val="00520508"/>
    <w:rsid w:val="00520609"/>
    <w:rsid w:val="00520720"/>
    <w:rsid w:val="00520D4F"/>
    <w:rsid w:val="00521C10"/>
    <w:rsid w:val="0052220D"/>
    <w:rsid w:val="00522396"/>
    <w:rsid w:val="00522AB9"/>
    <w:rsid w:val="00522AEA"/>
    <w:rsid w:val="00522F61"/>
    <w:rsid w:val="005233AE"/>
    <w:rsid w:val="0052377D"/>
    <w:rsid w:val="005238F9"/>
    <w:rsid w:val="00523B15"/>
    <w:rsid w:val="00523B31"/>
    <w:rsid w:val="005243E9"/>
    <w:rsid w:val="0052492E"/>
    <w:rsid w:val="00525079"/>
    <w:rsid w:val="00525835"/>
    <w:rsid w:val="00526460"/>
    <w:rsid w:val="005265AC"/>
    <w:rsid w:val="005269EF"/>
    <w:rsid w:val="0052736C"/>
    <w:rsid w:val="00527753"/>
    <w:rsid w:val="00527955"/>
    <w:rsid w:val="00530828"/>
    <w:rsid w:val="0053126D"/>
    <w:rsid w:val="00531C25"/>
    <w:rsid w:val="005321D5"/>
    <w:rsid w:val="005321E8"/>
    <w:rsid w:val="00532E02"/>
    <w:rsid w:val="00532FFB"/>
    <w:rsid w:val="005330B9"/>
    <w:rsid w:val="00533264"/>
    <w:rsid w:val="005334AB"/>
    <w:rsid w:val="005337DD"/>
    <w:rsid w:val="00533B5D"/>
    <w:rsid w:val="00533FD2"/>
    <w:rsid w:val="005341EC"/>
    <w:rsid w:val="00534B7F"/>
    <w:rsid w:val="0053529D"/>
    <w:rsid w:val="005358E3"/>
    <w:rsid w:val="00535956"/>
    <w:rsid w:val="00535E6D"/>
    <w:rsid w:val="00536494"/>
    <w:rsid w:val="00536717"/>
    <w:rsid w:val="005368DE"/>
    <w:rsid w:val="005376B3"/>
    <w:rsid w:val="00537A06"/>
    <w:rsid w:val="00537D4E"/>
    <w:rsid w:val="00540619"/>
    <w:rsid w:val="0054118F"/>
    <w:rsid w:val="005411AE"/>
    <w:rsid w:val="005412AA"/>
    <w:rsid w:val="005417EC"/>
    <w:rsid w:val="00542F10"/>
    <w:rsid w:val="00543A15"/>
    <w:rsid w:val="00544F41"/>
    <w:rsid w:val="00544F5D"/>
    <w:rsid w:val="0054505C"/>
    <w:rsid w:val="005452F4"/>
    <w:rsid w:val="005453CC"/>
    <w:rsid w:val="0054562F"/>
    <w:rsid w:val="005463EF"/>
    <w:rsid w:val="005464B9"/>
    <w:rsid w:val="00546A37"/>
    <w:rsid w:val="00546D76"/>
    <w:rsid w:val="00547178"/>
    <w:rsid w:val="005471CD"/>
    <w:rsid w:val="00547A3B"/>
    <w:rsid w:val="00547E82"/>
    <w:rsid w:val="0055178D"/>
    <w:rsid w:val="00551911"/>
    <w:rsid w:val="005527AC"/>
    <w:rsid w:val="00552CF1"/>
    <w:rsid w:val="00552E81"/>
    <w:rsid w:val="0055341C"/>
    <w:rsid w:val="0055350A"/>
    <w:rsid w:val="00553567"/>
    <w:rsid w:val="00553799"/>
    <w:rsid w:val="00553F7F"/>
    <w:rsid w:val="005546BC"/>
    <w:rsid w:val="005546D4"/>
    <w:rsid w:val="00554A3F"/>
    <w:rsid w:val="00554A82"/>
    <w:rsid w:val="00555031"/>
    <w:rsid w:val="00556493"/>
    <w:rsid w:val="00557900"/>
    <w:rsid w:val="00557BAC"/>
    <w:rsid w:val="00557FB7"/>
    <w:rsid w:val="00560DE8"/>
    <w:rsid w:val="00561197"/>
    <w:rsid w:val="00561199"/>
    <w:rsid w:val="005616C4"/>
    <w:rsid w:val="005619C5"/>
    <w:rsid w:val="00561CDE"/>
    <w:rsid w:val="005627D0"/>
    <w:rsid w:val="005632F0"/>
    <w:rsid w:val="0056394A"/>
    <w:rsid w:val="00563A70"/>
    <w:rsid w:val="00563FEE"/>
    <w:rsid w:val="0056432B"/>
    <w:rsid w:val="005643D9"/>
    <w:rsid w:val="00564694"/>
    <w:rsid w:val="005647C0"/>
    <w:rsid w:val="00565598"/>
    <w:rsid w:val="00565D78"/>
    <w:rsid w:val="005660F1"/>
    <w:rsid w:val="00566263"/>
    <w:rsid w:val="005669E7"/>
    <w:rsid w:val="00567153"/>
    <w:rsid w:val="0056755F"/>
    <w:rsid w:val="00567937"/>
    <w:rsid w:val="0057160C"/>
    <w:rsid w:val="005721C2"/>
    <w:rsid w:val="0057306A"/>
    <w:rsid w:val="00573345"/>
    <w:rsid w:val="00573DA9"/>
    <w:rsid w:val="00573E83"/>
    <w:rsid w:val="00574D41"/>
    <w:rsid w:val="00575254"/>
    <w:rsid w:val="00575255"/>
    <w:rsid w:val="0057529C"/>
    <w:rsid w:val="00575B65"/>
    <w:rsid w:val="00575C70"/>
    <w:rsid w:val="00577314"/>
    <w:rsid w:val="00577702"/>
    <w:rsid w:val="00577AE1"/>
    <w:rsid w:val="00577BB8"/>
    <w:rsid w:val="005805D4"/>
    <w:rsid w:val="005807A6"/>
    <w:rsid w:val="00580AA6"/>
    <w:rsid w:val="00581491"/>
    <w:rsid w:val="00581694"/>
    <w:rsid w:val="0058184A"/>
    <w:rsid w:val="00581F87"/>
    <w:rsid w:val="005827D7"/>
    <w:rsid w:val="00583023"/>
    <w:rsid w:val="00583063"/>
    <w:rsid w:val="0058334F"/>
    <w:rsid w:val="00583627"/>
    <w:rsid w:val="00584057"/>
    <w:rsid w:val="005847CE"/>
    <w:rsid w:val="00584B1E"/>
    <w:rsid w:val="00584C4E"/>
    <w:rsid w:val="00584D07"/>
    <w:rsid w:val="005853FC"/>
    <w:rsid w:val="005857CD"/>
    <w:rsid w:val="00585A4C"/>
    <w:rsid w:val="00585BDA"/>
    <w:rsid w:val="005866E2"/>
    <w:rsid w:val="0058704B"/>
    <w:rsid w:val="0058723A"/>
    <w:rsid w:val="00587307"/>
    <w:rsid w:val="0058762D"/>
    <w:rsid w:val="005876D9"/>
    <w:rsid w:val="00587927"/>
    <w:rsid w:val="00587ABE"/>
    <w:rsid w:val="005908D1"/>
    <w:rsid w:val="005908F1"/>
    <w:rsid w:val="00590C1D"/>
    <w:rsid w:val="00591C9D"/>
    <w:rsid w:val="00591DCB"/>
    <w:rsid w:val="00592E09"/>
    <w:rsid w:val="00592EC1"/>
    <w:rsid w:val="005937E1"/>
    <w:rsid w:val="00594014"/>
    <w:rsid w:val="00594191"/>
    <w:rsid w:val="00594325"/>
    <w:rsid w:val="005949A0"/>
    <w:rsid w:val="00595588"/>
    <w:rsid w:val="00596ABB"/>
    <w:rsid w:val="00596B2A"/>
    <w:rsid w:val="005A0060"/>
    <w:rsid w:val="005A0540"/>
    <w:rsid w:val="005A0B4F"/>
    <w:rsid w:val="005A1448"/>
    <w:rsid w:val="005A1A93"/>
    <w:rsid w:val="005A1C7F"/>
    <w:rsid w:val="005A20F6"/>
    <w:rsid w:val="005A2344"/>
    <w:rsid w:val="005A31CE"/>
    <w:rsid w:val="005A375D"/>
    <w:rsid w:val="005A3AC0"/>
    <w:rsid w:val="005A3E65"/>
    <w:rsid w:val="005A418E"/>
    <w:rsid w:val="005A4D0A"/>
    <w:rsid w:val="005A4FAA"/>
    <w:rsid w:val="005A530A"/>
    <w:rsid w:val="005A589E"/>
    <w:rsid w:val="005A5B08"/>
    <w:rsid w:val="005A6000"/>
    <w:rsid w:val="005A62F4"/>
    <w:rsid w:val="005A715B"/>
    <w:rsid w:val="005A71A2"/>
    <w:rsid w:val="005B0A9B"/>
    <w:rsid w:val="005B1058"/>
    <w:rsid w:val="005B106A"/>
    <w:rsid w:val="005B26FE"/>
    <w:rsid w:val="005B2A32"/>
    <w:rsid w:val="005B2A51"/>
    <w:rsid w:val="005B2ED0"/>
    <w:rsid w:val="005B4FAF"/>
    <w:rsid w:val="005B5419"/>
    <w:rsid w:val="005B55E8"/>
    <w:rsid w:val="005B6DC1"/>
    <w:rsid w:val="005B70F1"/>
    <w:rsid w:val="005B71EC"/>
    <w:rsid w:val="005C0138"/>
    <w:rsid w:val="005C0170"/>
    <w:rsid w:val="005C0485"/>
    <w:rsid w:val="005C0541"/>
    <w:rsid w:val="005C223C"/>
    <w:rsid w:val="005C2289"/>
    <w:rsid w:val="005C235D"/>
    <w:rsid w:val="005C3CD7"/>
    <w:rsid w:val="005C40A9"/>
    <w:rsid w:val="005C46AB"/>
    <w:rsid w:val="005C4B4B"/>
    <w:rsid w:val="005C4C47"/>
    <w:rsid w:val="005C4C5D"/>
    <w:rsid w:val="005C4C83"/>
    <w:rsid w:val="005C5697"/>
    <w:rsid w:val="005C5872"/>
    <w:rsid w:val="005C606D"/>
    <w:rsid w:val="005C6E98"/>
    <w:rsid w:val="005C7E65"/>
    <w:rsid w:val="005D04F5"/>
    <w:rsid w:val="005D1090"/>
    <w:rsid w:val="005D1C77"/>
    <w:rsid w:val="005D1CA1"/>
    <w:rsid w:val="005D2C94"/>
    <w:rsid w:val="005D33EA"/>
    <w:rsid w:val="005D34FD"/>
    <w:rsid w:val="005D3519"/>
    <w:rsid w:val="005D3655"/>
    <w:rsid w:val="005D3976"/>
    <w:rsid w:val="005D3E60"/>
    <w:rsid w:val="005D57FB"/>
    <w:rsid w:val="005D6A35"/>
    <w:rsid w:val="005D6EA1"/>
    <w:rsid w:val="005D706D"/>
    <w:rsid w:val="005D708E"/>
    <w:rsid w:val="005D7223"/>
    <w:rsid w:val="005E0399"/>
    <w:rsid w:val="005E0950"/>
    <w:rsid w:val="005E0CAF"/>
    <w:rsid w:val="005E17AD"/>
    <w:rsid w:val="005E1E7E"/>
    <w:rsid w:val="005E28D6"/>
    <w:rsid w:val="005E4830"/>
    <w:rsid w:val="005E4BA8"/>
    <w:rsid w:val="005E4D38"/>
    <w:rsid w:val="005E5745"/>
    <w:rsid w:val="005E5994"/>
    <w:rsid w:val="005E5A22"/>
    <w:rsid w:val="005E5FB6"/>
    <w:rsid w:val="005E6278"/>
    <w:rsid w:val="005E63F9"/>
    <w:rsid w:val="005E6B69"/>
    <w:rsid w:val="005F0BC0"/>
    <w:rsid w:val="005F0D6F"/>
    <w:rsid w:val="005F11C2"/>
    <w:rsid w:val="005F1445"/>
    <w:rsid w:val="005F1702"/>
    <w:rsid w:val="005F1FDE"/>
    <w:rsid w:val="005F2461"/>
    <w:rsid w:val="005F295F"/>
    <w:rsid w:val="005F2E26"/>
    <w:rsid w:val="005F2E5B"/>
    <w:rsid w:val="005F31E8"/>
    <w:rsid w:val="005F3557"/>
    <w:rsid w:val="005F37C0"/>
    <w:rsid w:val="005F480F"/>
    <w:rsid w:val="005F4ECF"/>
    <w:rsid w:val="005F51CB"/>
    <w:rsid w:val="005F570F"/>
    <w:rsid w:val="005F5E29"/>
    <w:rsid w:val="005F5F27"/>
    <w:rsid w:val="005F65CA"/>
    <w:rsid w:val="005F687E"/>
    <w:rsid w:val="005F6895"/>
    <w:rsid w:val="005F778B"/>
    <w:rsid w:val="006005B6"/>
    <w:rsid w:val="00600724"/>
    <w:rsid w:val="0060090F"/>
    <w:rsid w:val="00601756"/>
    <w:rsid w:val="00601DE3"/>
    <w:rsid w:val="00602F22"/>
    <w:rsid w:val="006035EF"/>
    <w:rsid w:val="006038A9"/>
    <w:rsid w:val="00603C67"/>
    <w:rsid w:val="00604CE8"/>
    <w:rsid w:val="00604D33"/>
    <w:rsid w:val="006056AD"/>
    <w:rsid w:val="0060581F"/>
    <w:rsid w:val="00605C1E"/>
    <w:rsid w:val="00605EF5"/>
    <w:rsid w:val="00606F20"/>
    <w:rsid w:val="006075B2"/>
    <w:rsid w:val="00607954"/>
    <w:rsid w:val="00607B7A"/>
    <w:rsid w:val="00607C2E"/>
    <w:rsid w:val="006102BF"/>
    <w:rsid w:val="00610D8A"/>
    <w:rsid w:val="00611B16"/>
    <w:rsid w:val="00611BF4"/>
    <w:rsid w:val="00611D24"/>
    <w:rsid w:val="00611F49"/>
    <w:rsid w:val="00612468"/>
    <w:rsid w:val="00612570"/>
    <w:rsid w:val="00612958"/>
    <w:rsid w:val="0061315F"/>
    <w:rsid w:val="006136D3"/>
    <w:rsid w:val="00613B09"/>
    <w:rsid w:val="00613CAA"/>
    <w:rsid w:val="006144FD"/>
    <w:rsid w:val="00614563"/>
    <w:rsid w:val="0061461F"/>
    <w:rsid w:val="00615272"/>
    <w:rsid w:val="006155C5"/>
    <w:rsid w:val="006159FB"/>
    <w:rsid w:val="00616265"/>
    <w:rsid w:val="006165E8"/>
    <w:rsid w:val="00617115"/>
    <w:rsid w:val="00617762"/>
    <w:rsid w:val="0061797A"/>
    <w:rsid w:val="00617EFE"/>
    <w:rsid w:val="00617FFD"/>
    <w:rsid w:val="00620283"/>
    <w:rsid w:val="00620414"/>
    <w:rsid w:val="00620627"/>
    <w:rsid w:val="00620923"/>
    <w:rsid w:val="0062098D"/>
    <w:rsid w:val="006219AC"/>
    <w:rsid w:val="00622911"/>
    <w:rsid w:val="00622B86"/>
    <w:rsid w:val="00622C88"/>
    <w:rsid w:val="00623B37"/>
    <w:rsid w:val="00623BA1"/>
    <w:rsid w:val="006249BB"/>
    <w:rsid w:val="00624B03"/>
    <w:rsid w:val="00624DBD"/>
    <w:rsid w:val="006252DD"/>
    <w:rsid w:val="00625797"/>
    <w:rsid w:val="00626BA8"/>
    <w:rsid w:val="00626E1A"/>
    <w:rsid w:val="006273F3"/>
    <w:rsid w:val="0062740D"/>
    <w:rsid w:val="00627CF0"/>
    <w:rsid w:val="00627E7A"/>
    <w:rsid w:val="00630387"/>
    <w:rsid w:val="006305E6"/>
    <w:rsid w:val="00630843"/>
    <w:rsid w:val="00631109"/>
    <w:rsid w:val="00631394"/>
    <w:rsid w:val="0063184F"/>
    <w:rsid w:val="006319E2"/>
    <w:rsid w:val="00631A86"/>
    <w:rsid w:val="00631E9A"/>
    <w:rsid w:val="006327E3"/>
    <w:rsid w:val="00632BE8"/>
    <w:rsid w:val="00632E2D"/>
    <w:rsid w:val="00633471"/>
    <w:rsid w:val="00633A49"/>
    <w:rsid w:val="00633E06"/>
    <w:rsid w:val="00634445"/>
    <w:rsid w:val="0063445D"/>
    <w:rsid w:val="006346BC"/>
    <w:rsid w:val="00635AEC"/>
    <w:rsid w:val="0064048B"/>
    <w:rsid w:val="0064149C"/>
    <w:rsid w:val="0064278A"/>
    <w:rsid w:val="00642CBB"/>
    <w:rsid w:val="00642E89"/>
    <w:rsid w:val="00643074"/>
    <w:rsid w:val="00643438"/>
    <w:rsid w:val="0064379D"/>
    <w:rsid w:val="006437FC"/>
    <w:rsid w:val="00643E12"/>
    <w:rsid w:val="00643F5D"/>
    <w:rsid w:val="00643FBC"/>
    <w:rsid w:val="00644898"/>
    <w:rsid w:val="00644EA6"/>
    <w:rsid w:val="00645482"/>
    <w:rsid w:val="006454F5"/>
    <w:rsid w:val="006459A5"/>
    <w:rsid w:val="00645D92"/>
    <w:rsid w:val="00646562"/>
    <w:rsid w:val="006468E9"/>
    <w:rsid w:val="00646ED2"/>
    <w:rsid w:val="00647F6F"/>
    <w:rsid w:val="0065229C"/>
    <w:rsid w:val="00652722"/>
    <w:rsid w:val="00652878"/>
    <w:rsid w:val="00652B74"/>
    <w:rsid w:val="00652DC1"/>
    <w:rsid w:val="00653739"/>
    <w:rsid w:val="00653A21"/>
    <w:rsid w:val="00653C36"/>
    <w:rsid w:val="0065424B"/>
    <w:rsid w:val="00654AC3"/>
    <w:rsid w:val="00654B1D"/>
    <w:rsid w:val="00654FA2"/>
    <w:rsid w:val="006552C3"/>
    <w:rsid w:val="0065560B"/>
    <w:rsid w:val="006559C2"/>
    <w:rsid w:val="00656406"/>
    <w:rsid w:val="00656778"/>
    <w:rsid w:val="00656EE1"/>
    <w:rsid w:val="006574CA"/>
    <w:rsid w:val="006578B3"/>
    <w:rsid w:val="00657EA5"/>
    <w:rsid w:val="00660DBA"/>
    <w:rsid w:val="00661214"/>
    <w:rsid w:val="00661948"/>
    <w:rsid w:val="00661BA9"/>
    <w:rsid w:val="00661C0A"/>
    <w:rsid w:val="006623C5"/>
    <w:rsid w:val="006626E4"/>
    <w:rsid w:val="00663839"/>
    <w:rsid w:val="00663CC6"/>
    <w:rsid w:val="00664C23"/>
    <w:rsid w:val="00664DFF"/>
    <w:rsid w:val="00664F07"/>
    <w:rsid w:val="00664F46"/>
    <w:rsid w:val="00665220"/>
    <w:rsid w:val="0066528A"/>
    <w:rsid w:val="00665E4A"/>
    <w:rsid w:val="00666470"/>
    <w:rsid w:val="0066652A"/>
    <w:rsid w:val="00666BF6"/>
    <w:rsid w:val="00666F4C"/>
    <w:rsid w:val="0067005E"/>
    <w:rsid w:val="006706E1"/>
    <w:rsid w:val="00671109"/>
    <w:rsid w:val="0067152A"/>
    <w:rsid w:val="006716BC"/>
    <w:rsid w:val="006719C3"/>
    <w:rsid w:val="00671F44"/>
    <w:rsid w:val="00671F4F"/>
    <w:rsid w:val="006721DA"/>
    <w:rsid w:val="0067245F"/>
    <w:rsid w:val="00672DA3"/>
    <w:rsid w:val="006730A6"/>
    <w:rsid w:val="006732D2"/>
    <w:rsid w:val="0067339F"/>
    <w:rsid w:val="00674C69"/>
    <w:rsid w:val="006751DD"/>
    <w:rsid w:val="0067537A"/>
    <w:rsid w:val="006759B3"/>
    <w:rsid w:val="006759F5"/>
    <w:rsid w:val="00675B30"/>
    <w:rsid w:val="00676351"/>
    <w:rsid w:val="00676C10"/>
    <w:rsid w:val="006778EF"/>
    <w:rsid w:val="00677AB0"/>
    <w:rsid w:val="00677FC1"/>
    <w:rsid w:val="006803F7"/>
    <w:rsid w:val="00680522"/>
    <w:rsid w:val="00681300"/>
    <w:rsid w:val="00681D3B"/>
    <w:rsid w:val="0068212F"/>
    <w:rsid w:val="00682167"/>
    <w:rsid w:val="006823F9"/>
    <w:rsid w:val="00683024"/>
    <w:rsid w:val="00683393"/>
    <w:rsid w:val="00684F68"/>
    <w:rsid w:val="0068501E"/>
    <w:rsid w:val="0068520D"/>
    <w:rsid w:val="00685696"/>
    <w:rsid w:val="006857E2"/>
    <w:rsid w:val="0068610F"/>
    <w:rsid w:val="00686298"/>
    <w:rsid w:val="006862D8"/>
    <w:rsid w:val="00686B8E"/>
    <w:rsid w:val="00686C9F"/>
    <w:rsid w:val="006876E7"/>
    <w:rsid w:val="006876EB"/>
    <w:rsid w:val="0068774C"/>
    <w:rsid w:val="00687B5A"/>
    <w:rsid w:val="00687FC6"/>
    <w:rsid w:val="00690185"/>
    <w:rsid w:val="00690533"/>
    <w:rsid w:val="00690D10"/>
    <w:rsid w:val="00690F25"/>
    <w:rsid w:val="00690FC7"/>
    <w:rsid w:val="00691D56"/>
    <w:rsid w:val="00692056"/>
    <w:rsid w:val="006921C1"/>
    <w:rsid w:val="00692374"/>
    <w:rsid w:val="0069290E"/>
    <w:rsid w:val="00692AC7"/>
    <w:rsid w:val="00692D8B"/>
    <w:rsid w:val="00692E62"/>
    <w:rsid w:val="00693AA9"/>
    <w:rsid w:val="00693C83"/>
    <w:rsid w:val="00694250"/>
    <w:rsid w:val="00694C7D"/>
    <w:rsid w:val="00694EF2"/>
    <w:rsid w:val="00695191"/>
    <w:rsid w:val="0069522C"/>
    <w:rsid w:val="00695292"/>
    <w:rsid w:val="00695B7E"/>
    <w:rsid w:val="00695F61"/>
    <w:rsid w:val="006963A2"/>
    <w:rsid w:val="00696AF1"/>
    <w:rsid w:val="00696C74"/>
    <w:rsid w:val="0069715D"/>
    <w:rsid w:val="0069728C"/>
    <w:rsid w:val="006972CD"/>
    <w:rsid w:val="006974D4"/>
    <w:rsid w:val="00697528"/>
    <w:rsid w:val="0069771C"/>
    <w:rsid w:val="00697CE8"/>
    <w:rsid w:val="006A0036"/>
    <w:rsid w:val="006A0315"/>
    <w:rsid w:val="006A2015"/>
    <w:rsid w:val="006A2067"/>
    <w:rsid w:val="006A252E"/>
    <w:rsid w:val="006A2813"/>
    <w:rsid w:val="006A3630"/>
    <w:rsid w:val="006A3839"/>
    <w:rsid w:val="006A47BD"/>
    <w:rsid w:val="006A4916"/>
    <w:rsid w:val="006A4C79"/>
    <w:rsid w:val="006A4E2B"/>
    <w:rsid w:val="006A54F4"/>
    <w:rsid w:val="006A6031"/>
    <w:rsid w:val="006A6817"/>
    <w:rsid w:val="006A7478"/>
    <w:rsid w:val="006A75D2"/>
    <w:rsid w:val="006A7747"/>
    <w:rsid w:val="006A7BD5"/>
    <w:rsid w:val="006B09E9"/>
    <w:rsid w:val="006B0AE3"/>
    <w:rsid w:val="006B0F48"/>
    <w:rsid w:val="006B1248"/>
    <w:rsid w:val="006B1BCD"/>
    <w:rsid w:val="006B1DA7"/>
    <w:rsid w:val="006B243F"/>
    <w:rsid w:val="006B2A50"/>
    <w:rsid w:val="006B2A88"/>
    <w:rsid w:val="006B34F5"/>
    <w:rsid w:val="006B37C2"/>
    <w:rsid w:val="006B3AAE"/>
    <w:rsid w:val="006B3D85"/>
    <w:rsid w:val="006B3FB1"/>
    <w:rsid w:val="006B40EB"/>
    <w:rsid w:val="006B4A09"/>
    <w:rsid w:val="006B4A88"/>
    <w:rsid w:val="006B4C2E"/>
    <w:rsid w:val="006B50BF"/>
    <w:rsid w:val="006B53E3"/>
    <w:rsid w:val="006B5859"/>
    <w:rsid w:val="006B611A"/>
    <w:rsid w:val="006B69D4"/>
    <w:rsid w:val="006B7796"/>
    <w:rsid w:val="006C2170"/>
    <w:rsid w:val="006C3071"/>
    <w:rsid w:val="006C307E"/>
    <w:rsid w:val="006C3389"/>
    <w:rsid w:val="006C3600"/>
    <w:rsid w:val="006C37C0"/>
    <w:rsid w:val="006C42AF"/>
    <w:rsid w:val="006C5447"/>
    <w:rsid w:val="006C546B"/>
    <w:rsid w:val="006C5AD0"/>
    <w:rsid w:val="006C60C5"/>
    <w:rsid w:val="006C632D"/>
    <w:rsid w:val="006C6A11"/>
    <w:rsid w:val="006C7977"/>
    <w:rsid w:val="006C7A69"/>
    <w:rsid w:val="006C7E98"/>
    <w:rsid w:val="006D11CD"/>
    <w:rsid w:val="006D183C"/>
    <w:rsid w:val="006D28C3"/>
    <w:rsid w:val="006D2A98"/>
    <w:rsid w:val="006D3D18"/>
    <w:rsid w:val="006D3EC2"/>
    <w:rsid w:val="006D43AC"/>
    <w:rsid w:val="006D53B0"/>
    <w:rsid w:val="006D5769"/>
    <w:rsid w:val="006D6477"/>
    <w:rsid w:val="006D6BE4"/>
    <w:rsid w:val="006D743C"/>
    <w:rsid w:val="006D759B"/>
    <w:rsid w:val="006D7B42"/>
    <w:rsid w:val="006E0821"/>
    <w:rsid w:val="006E1389"/>
    <w:rsid w:val="006E20B6"/>
    <w:rsid w:val="006E25D0"/>
    <w:rsid w:val="006E2BB5"/>
    <w:rsid w:val="006E2FD7"/>
    <w:rsid w:val="006E36E3"/>
    <w:rsid w:val="006E3899"/>
    <w:rsid w:val="006E3DC6"/>
    <w:rsid w:val="006E4907"/>
    <w:rsid w:val="006E52C7"/>
    <w:rsid w:val="006E5C50"/>
    <w:rsid w:val="006E654B"/>
    <w:rsid w:val="006E6CDA"/>
    <w:rsid w:val="006E700B"/>
    <w:rsid w:val="006E7390"/>
    <w:rsid w:val="006E76A2"/>
    <w:rsid w:val="006F036C"/>
    <w:rsid w:val="006F048F"/>
    <w:rsid w:val="006F079F"/>
    <w:rsid w:val="006F169C"/>
    <w:rsid w:val="006F1DB8"/>
    <w:rsid w:val="006F1FDB"/>
    <w:rsid w:val="006F20D1"/>
    <w:rsid w:val="006F28A4"/>
    <w:rsid w:val="006F3E8F"/>
    <w:rsid w:val="006F443C"/>
    <w:rsid w:val="006F5558"/>
    <w:rsid w:val="006F5E85"/>
    <w:rsid w:val="006F6010"/>
    <w:rsid w:val="006F60B5"/>
    <w:rsid w:val="006F615E"/>
    <w:rsid w:val="006F61E1"/>
    <w:rsid w:val="006F63EC"/>
    <w:rsid w:val="006F7C3C"/>
    <w:rsid w:val="00700599"/>
    <w:rsid w:val="00700661"/>
    <w:rsid w:val="00700E3C"/>
    <w:rsid w:val="00701B12"/>
    <w:rsid w:val="00702306"/>
    <w:rsid w:val="00702733"/>
    <w:rsid w:val="00702C5C"/>
    <w:rsid w:val="00702D96"/>
    <w:rsid w:val="007034FC"/>
    <w:rsid w:val="00703843"/>
    <w:rsid w:val="00703D3F"/>
    <w:rsid w:val="00704790"/>
    <w:rsid w:val="00705669"/>
    <w:rsid w:val="007057A7"/>
    <w:rsid w:val="007059BE"/>
    <w:rsid w:val="0070612F"/>
    <w:rsid w:val="007066EB"/>
    <w:rsid w:val="00706DA2"/>
    <w:rsid w:val="00706E36"/>
    <w:rsid w:val="007070EF"/>
    <w:rsid w:val="00707285"/>
    <w:rsid w:val="00711013"/>
    <w:rsid w:val="0071146D"/>
    <w:rsid w:val="00711D8E"/>
    <w:rsid w:val="007124BC"/>
    <w:rsid w:val="00712672"/>
    <w:rsid w:val="00712802"/>
    <w:rsid w:val="00712994"/>
    <w:rsid w:val="007133EF"/>
    <w:rsid w:val="00713CB0"/>
    <w:rsid w:val="00714736"/>
    <w:rsid w:val="0071491E"/>
    <w:rsid w:val="00714AC9"/>
    <w:rsid w:val="00714E4A"/>
    <w:rsid w:val="0071513B"/>
    <w:rsid w:val="00715EBC"/>
    <w:rsid w:val="00716862"/>
    <w:rsid w:val="00716AEF"/>
    <w:rsid w:val="00716B1A"/>
    <w:rsid w:val="007171CC"/>
    <w:rsid w:val="007176D7"/>
    <w:rsid w:val="007178A9"/>
    <w:rsid w:val="00717E7C"/>
    <w:rsid w:val="0072056E"/>
    <w:rsid w:val="00720904"/>
    <w:rsid w:val="0072152E"/>
    <w:rsid w:val="007217AF"/>
    <w:rsid w:val="00722C7B"/>
    <w:rsid w:val="00723123"/>
    <w:rsid w:val="00723157"/>
    <w:rsid w:val="007235F0"/>
    <w:rsid w:val="0072369F"/>
    <w:rsid w:val="00723750"/>
    <w:rsid w:val="0072386F"/>
    <w:rsid w:val="00723BC9"/>
    <w:rsid w:val="00723EFC"/>
    <w:rsid w:val="0072425C"/>
    <w:rsid w:val="007245DB"/>
    <w:rsid w:val="00725785"/>
    <w:rsid w:val="007260FE"/>
    <w:rsid w:val="007264CC"/>
    <w:rsid w:val="00726CCA"/>
    <w:rsid w:val="00726D0E"/>
    <w:rsid w:val="00727A0A"/>
    <w:rsid w:val="00727ABC"/>
    <w:rsid w:val="00730117"/>
    <w:rsid w:val="00730480"/>
    <w:rsid w:val="00730693"/>
    <w:rsid w:val="00730C0C"/>
    <w:rsid w:val="00731827"/>
    <w:rsid w:val="00731D63"/>
    <w:rsid w:val="007320D4"/>
    <w:rsid w:val="00732114"/>
    <w:rsid w:val="00732343"/>
    <w:rsid w:val="007325D5"/>
    <w:rsid w:val="00732809"/>
    <w:rsid w:val="00732839"/>
    <w:rsid w:val="00732F78"/>
    <w:rsid w:val="00733D9F"/>
    <w:rsid w:val="00734297"/>
    <w:rsid w:val="0073452A"/>
    <w:rsid w:val="00734A11"/>
    <w:rsid w:val="00734A15"/>
    <w:rsid w:val="00734BB7"/>
    <w:rsid w:val="00734E3F"/>
    <w:rsid w:val="00735178"/>
    <w:rsid w:val="00735492"/>
    <w:rsid w:val="00735690"/>
    <w:rsid w:val="00735C67"/>
    <w:rsid w:val="00736620"/>
    <w:rsid w:val="007368C3"/>
    <w:rsid w:val="00736985"/>
    <w:rsid w:val="00736A07"/>
    <w:rsid w:val="00737106"/>
    <w:rsid w:val="00737572"/>
    <w:rsid w:val="0073767F"/>
    <w:rsid w:val="00737CCF"/>
    <w:rsid w:val="007407FA"/>
    <w:rsid w:val="007411CE"/>
    <w:rsid w:val="007419E1"/>
    <w:rsid w:val="00741BC3"/>
    <w:rsid w:val="00741E61"/>
    <w:rsid w:val="00742136"/>
    <w:rsid w:val="007423BD"/>
    <w:rsid w:val="007427E6"/>
    <w:rsid w:val="00742DDE"/>
    <w:rsid w:val="0074310F"/>
    <w:rsid w:val="0074325A"/>
    <w:rsid w:val="00743D9E"/>
    <w:rsid w:val="00744416"/>
    <w:rsid w:val="007447DD"/>
    <w:rsid w:val="0074487A"/>
    <w:rsid w:val="007453FF"/>
    <w:rsid w:val="00745654"/>
    <w:rsid w:val="00745DF5"/>
    <w:rsid w:val="0074612A"/>
    <w:rsid w:val="00746C96"/>
    <w:rsid w:val="00747232"/>
    <w:rsid w:val="007477F4"/>
    <w:rsid w:val="00747FF0"/>
    <w:rsid w:val="00750274"/>
    <w:rsid w:val="00750A10"/>
    <w:rsid w:val="00750C3D"/>
    <w:rsid w:val="00750D0C"/>
    <w:rsid w:val="007512D9"/>
    <w:rsid w:val="00751B07"/>
    <w:rsid w:val="00751BC8"/>
    <w:rsid w:val="00751D53"/>
    <w:rsid w:val="007520F6"/>
    <w:rsid w:val="007522BC"/>
    <w:rsid w:val="007523DA"/>
    <w:rsid w:val="007537B3"/>
    <w:rsid w:val="00753DDE"/>
    <w:rsid w:val="007541D0"/>
    <w:rsid w:val="007542C8"/>
    <w:rsid w:val="0075449E"/>
    <w:rsid w:val="007557BF"/>
    <w:rsid w:val="00755C76"/>
    <w:rsid w:val="00755E3F"/>
    <w:rsid w:val="00755EED"/>
    <w:rsid w:val="007566E7"/>
    <w:rsid w:val="00756735"/>
    <w:rsid w:val="00756B22"/>
    <w:rsid w:val="00757046"/>
    <w:rsid w:val="00757FE7"/>
    <w:rsid w:val="0076250F"/>
    <w:rsid w:val="00762625"/>
    <w:rsid w:val="0076476B"/>
    <w:rsid w:val="0076479A"/>
    <w:rsid w:val="00764B4A"/>
    <w:rsid w:val="00764E03"/>
    <w:rsid w:val="007661BC"/>
    <w:rsid w:val="007662DA"/>
    <w:rsid w:val="0076740F"/>
    <w:rsid w:val="0076798B"/>
    <w:rsid w:val="00767D88"/>
    <w:rsid w:val="007706B8"/>
    <w:rsid w:val="00770CD2"/>
    <w:rsid w:val="007712C7"/>
    <w:rsid w:val="007714F5"/>
    <w:rsid w:val="00772BEB"/>
    <w:rsid w:val="0077355A"/>
    <w:rsid w:val="00773DB1"/>
    <w:rsid w:val="007744A9"/>
    <w:rsid w:val="00774869"/>
    <w:rsid w:val="00774D85"/>
    <w:rsid w:val="00774EE4"/>
    <w:rsid w:val="007751EC"/>
    <w:rsid w:val="007752DB"/>
    <w:rsid w:val="00777326"/>
    <w:rsid w:val="007774AD"/>
    <w:rsid w:val="0078095C"/>
    <w:rsid w:val="00780B1E"/>
    <w:rsid w:val="00780FA5"/>
    <w:rsid w:val="00781EFD"/>
    <w:rsid w:val="00782B91"/>
    <w:rsid w:val="00782CF0"/>
    <w:rsid w:val="00782EEF"/>
    <w:rsid w:val="007833E5"/>
    <w:rsid w:val="00783AED"/>
    <w:rsid w:val="00783DF6"/>
    <w:rsid w:val="00783F1F"/>
    <w:rsid w:val="00784067"/>
    <w:rsid w:val="00784193"/>
    <w:rsid w:val="00784620"/>
    <w:rsid w:val="00784AEA"/>
    <w:rsid w:val="00785002"/>
    <w:rsid w:val="0078516F"/>
    <w:rsid w:val="00785AA4"/>
    <w:rsid w:val="00786877"/>
    <w:rsid w:val="00786BC6"/>
    <w:rsid w:val="00786CAD"/>
    <w:rsid w:val="0078735B"/>
    <w:rsid w:val="00787E8B"/>
    <w:rsid w:val="00790491"/>
    <w:rsid w:val="00790963"/>
    <w:rsid w:val="00790BF8"/>
    <w:rsid w:val="00791BF5"/>
    <w:rsid w:val="00791CC1"/>
    <w:rsid w:val="00791DCA"/>
    <w:rsid w:val="00791F9E"/>
    <w:rsid w:val="00792008"/>
    <w:rsid w:val="0079283D"/>
    <w:rsid w:val="0079376C"/>
    <w:rsid w:val="00793DB5"/>
    <w:rsid w:val="007944C6"/>
    <w:rsid w:val="007948A6"/>
    <w:rsid w:val="00794998"/>
    <w:rsid w:val="00794A63"/>
    <w:rsid w:val="00794EA3"/>
    <w:rsid w:val="00794F5A"/>
    <w:rsid w:val="007955D3"/>
    <w:rsid w:val="0079566C"/>
    <w:rsid w:val="00796050"/>
    <w:rsid w:val="00796B02"/>
    <w:rsid w:val="00796EEB"/>
    <w:rsid w:val="007A008E"/>
    <w:rsid w:val="007A03F8"/>
    <w:rsid w:val="007A0438"/>
    <w:rsid w:val="007A0885"/>
    <w:rsid w:val="007A0DCF"/>
    <w:rsid w:val="007A0E77"/>
    <w:rsid w:val="007A18ED"/>
    <w:rsid w:val="007A22E6"/>
    <w:rsid w:val="007A2684"/>
    <w:rsid w:val="007A28C0"/>
    <w:rsid w:val="007A2EDB"/>
    <w:rsid w:val="007A35D8"/>
    <w:rsid w:val="007A4479"/>
    <w:rsid w:val="007A4981"/>
    <w:rsid w:val="007A4BCD"/>
    <w:rsid w:val="007A4F72"/>
    <w:rsid w:val="007A53CD"/>
    <w:rsid w:val="007A5813"/>
    <w:rsid w:val="007A5DFC"/>
    <w:rsid w:val="007A62D1"/>
    <w:rsid w:val="007A62DB"/>
    <w:rsid w:val="007A63E4"/>
    <w:rsid w:val="007A6468"/>
    <w:rsid w:val="007A6503"/>
    <w:rsid w:val="007A6C65"/>
    <w:rsid w:val="007A6D7D"/>
    <w:rsid w:val="007A76DE"/>
    <w:rsid w:val="007A7BB3"/>
    <w:rsid w:val="007B0866"/>
    <w:rsid w:val="007B1D58"/>
    <w:rsid w:val="007B218D"/>
    <w:rsid w:val="007B2897"/>
    <w:rsid w:val="007B2A50"/>
    <w:rsid w:val="007B3572"/>
    <w:rsid w:val="007B3A3F"/>
    <w:rsid w:val="007B4339"/>
    <w:rsid w:val="007B48C6"/>
    <w:rsid w:val="007B5601"/>
    <w:rsid w:val="007B6200"/>
    <w:rsid w:val="007B6931"/>
    <w:rsid w:val="007B6A6E"/>
    <w:rsid w:val="007B6E53"/>
    <w:rsid w:val="007B70EE"/>
    <w:rsid w:val="007B76EF"/>
    <w:rsid w:val="007B7808"/>
    <w:rsid w:val="007B7A52"/>
    <w:rsid w:val="007B7AB8"/>
    <w:rsid w:val="007B7B04"/>
    <w:rsid w:val="007B7DE3"/>
    <w:rsid w:val="007C035D"/>
    <w:rsid w:val="007C0789"/>
    <w:rsid w:val="007C0D7C"/>
    <w:rsid w:val="007C0ECD"/>
    <w:rsid w:val="007C1143"/>
    <w:rsid w:val="007C14E3"/>
    <w:rsid w:val="007C21C5"/>
    <w:rsid w:val="007C244A"/>
    <w:rsid w:val="007C2B32"/>
    <w:rsid w:val="007C2B8B"/>
    <w:rsid w:val="007C32B0"/>
    <w:rsid w:val="007C4690"/>
    <w:rsid w:val="007C47C9"/>
    <w:rsid w:val="007C54E9"/>
    <w:rsid w:val="007C6DF4"/>
    <w:rsid w:val="007C6ED7"/>
    <w:rsid w:val="007C7262"/>
    <w:rsid w:val="007C7468"/>
    <w:rsid w:val="007C75ED"/>
    <w:rsid w:val="007D02A0"/>
    <w:rsid w:val="007D0938"/>
    <w:rsid w:val="007D0D0D"/>
    <w:rsid w:val="007D10E0"/>
    <w:rsid w:val="007D10E9"/>
    <w:rsid w:val="007D129C"/>
    <w:rsid w:val="007D27E6"/>
    <w:rsid w:val="007D3BC1"/>
    <w:rsid w:val="007D3EC7"/>
    <w:rsid w:val="007D4C14"/>
    <w:rsid w:val="007D4CB6"/>
    <w:rsid w:val="007D4E27"/>
    <w:rsid w:val="007D57F1"/>
    <w:rsid w:val="007D64E9"/>
    <w:rsid w:val="007D6ADB"/>
    <w:rsid w:val="007D6BF8"/>
    <w:rsid w:val="007D6CEB"/>
    <w:rsid w:val="007D721F"/>
    <w:rsid w:val="007D7E08"/>
    <w:rsid w:val="007D7F48"/>
    <w:rsid w:val="007E033C"/>
    <w:rsid w:val="007E12E2"/>
    <w:rsid w:val="007E1349"/>
    <w:rsid w:val="007E1850"/>
    <w:rsid w:val="007E1A95"/>
    <w:rsid w:val="007E1C63"/>
    <w:rsid w:val="007E23C0"/>
    <w:rsid w:val="007E3186"/>
    <w:rsid w:val="007E3187"/>
    <w:rsid w:val="007E3327"/>
    <w:rsid w:val="007E35EF"/>
    <w:rsid w:val="007E39CD"/>
    <w:rsid w:val="007E3C93"/>
    <w:rsid w:val="007E53B6"/>
    <w:rsid w:val="007E58EE"/>
    <w:rsid w:val="007E5928"/>
    <w:rsid w:val="007E5DB0"/>
    <w:rsid w:val="007E6316"/>
    <w:rsid w:val="007E6402"/>
    <w:rsid w:val="007E679E"/>
    <w:rsid w:val="007E698B"/>
    <w:rsid w:val="007E75D7"/>
    <w:rsid w:val="007E796D"/>
    <w:rsid w:val="007F088B"/>
    <w:rsid w:val="007F0969"/>
    <w:rsid w:val="007F0A40"/>
    <w:rsid w:val="007F12CA"/>
    <w:rsid w:val="007F14DB"/>
    <w:rsid w:val="007F1BB0"/>
    <w:rsid w:val="007F2B54"/>
    <w:rsid w:val="007F3395"/>
    <w:rsid w:val="007F3609"/>
    <w:rsid w:val="007F3681"/>
    <w:rsid w:val="007F3B46"/>
    <w:rsid w:val="007F41CB"/>
    <w:rsid w:val="007F4753"/>
    <w:rsid w:val="007F4D96"/>
    <w:rsid w:val="007F5133"/>
    <w:rsid w:val="007F5177"/>
    <w:rsid w:val="007F5D8A"/>
    <w:rsid w:val="007F6499"/>
    <w:rsid w:val="007F64E1"/>
    <w:rsid w:val="007F6524"/>
    <w:rsid w:val="007F6E62"/>
    <w:rsid w:val="007F71BD"/>
    <w:rsid w:val="007F7BF0"/>
    <w:rsid w:val="007F7CD7"/>
    <w:rsid w:val="007F7D6D"/>
    <w:rsid w:val="008009CB"/>
    <w:rsid w:val="00800D08"/>
    <w:rsid w:val="008010AF"/>
    <w:rsid w:val="00801B9F"/>
    <w:rsid w:val="0080204D"/>
    <w:rsid w:val="00802618"/>
    <w:rsid w:val="00802A04"/>
    <w:rsid w:val="00802F30"/>
    <w:rsid w:val="0080400C"/>
    <w:rsid w:val="008042B5"/>
    <w:rsid w:val="00804C5F"/>
    <w:rsid w:val="008051A8"/>
    <w:rsid w:val="008057E9"/>
    <w:rsid w:val="00805B9C"/>
    <w:rsid w:val="00806502"/>
    <w:rsid w:val="008067E3"/>
    <w:rsid w:val="00806CAF"/>
    <w:rsid w:val="00807908"/>
    <w:rsid w:val="00807A42"/>
    <w:rsid w:val="008105B7"/>
    <w:rsid w:val="0081074C"/>
    <w:rsid w:val="00811119"/>
    <w:rsid w:val="00811814"/>
    <w:rsid w:val="0081197D"/>
    <w:rsid w:val="00811C0B"/>
    <w:rsid w:val="00811F0C"/>
    <w:rsid w:val="008120AC"/>
    <w:rsid w:val="008122C5"/>
    <w:rsid w:val="00812478"/>
    <w:rsid w:val="0081289D"/>
    <w:rsid w:val="00812995"/>
    <w:rsid w:val="008129EC"/>
    <w:rsid w:val="00813418"/>
    <w:rsid w:val="00813568"/>
    <w:rsid w:val="0081390A"/>
    <w:rsid w:val="00813B53"/>
    <w:rsid w:val="008144AE"/>
    <w:rsid w:val="0081480D"/>
    <w:rsid w:val="00814B19"/>
    <w:rsid w:val="008150ED"/>
    <w:rsid w:val="00815191"/>
    <w:rsid w:val="008151CD"/>
    <w:rsid w:val="00815984"/>
    <w:rsid w:val="00815C9D"/>
    <w:rsid w:val="00815EBE"/>
    <w:rsid w:val="00816412"/>
    <w:rsid w:val="008164EE"/>
    <w:rsid w:val="00817286"/>
    <w:rsid w:val="0081787D"/>
    <w:rsid w:val="008178E6"/>
    <w:rsid w:val="00817930"/>
    <w:rsid w:val="008203B4"/>
    <w:rsid w:val="00820BED"/>
    <w:rsid w:val="00820CD4"/>
    <w:rsid w:val="00821C8B"/>
    <w:rsid w:val="00822126"/>
    <w:rsid w:val="008221BD"/>
    <w:rsid w:val="0082238B"/>
    <w:rsid w:val="0082286D"/>
    <w:rsid w:val="00822FFF"/>
    <w:rsid w:val="00823336"/>
    <w:rsid w:val="0082353A"/>
    <w:rsid w:val="0082359F"/>
    <w:rsid w:val="008243D2"/>
    <w:rsid w:val="00824496"/>
    <w:rsid w:val="008246B0"/>
    <w:rsid w:val="00824965"/>
    <w:rsid w:val="008249F3"/>
    <w:rsid w:val="00824D90"/>
    <w:rsid w:val="008250CD"/>
    <w:rsid w:val="00825170"/>
    <w:rsid w:val="0082521F"/>
    <w:rsid w:val="00825C7F"/>
    <w:rsid w:val="008260A9"/>
    <w:rsid w:val="0082648C"/>
    <w:rsid w:val="00826794"/>
    <w:rsid w:val="00826AB7"/>
    <w:rsid w:val="00826B82"/>
    <w:rsid w:val="00827461"/>
    <w:rsid w:val="00827537"/>
    <w:rsid w:val="00827F98"/>
    <w:rsid w:val="0083052F"/>
    <w:rsid w:val="00830631"/>
    <w:rsid w:val="00830E8A"/>
    <w:rsid w:val="008313FE"/>
    <w:rsid w:val="008319D3"/>
    <w:rsid w:val="00831ADC"/>
    <w:rsid w:val="00833079"/>
    <w:rsid w:val="008331DC"/>
    <w:rsid w:val="008334F5"/>
    <w:rsid w:val="00834023"/>
    <w:rsid w:val="00834773"/>
    <w:rsid w:val="00835B95"/>
    <w:rsid w:val="00835CE2"/>
    <w:rsid w:val="00836081"/>
    <w:rsid w:val="0083637F"/>
    <w:rsid w:val="0083688C"/>
    <w:rsid w:val="00836892"/>
    <w:rsid w:val="00836983"/>
    <w:rsid w:val="00836D0E"/>
    <w:rsid w:val="00837323"/>
    <w:rsid w:val="00837378"/>
    <w:rsid w:val="0083789C"/>
    <w:rsid w:val="008378F3"/>
    <w:rsid w:val="00837D46"/>
    <w:rsid w:val="0084008C"/>
    <w:rsid w:val="00840371"/>
    <w:rsid w:val="00840A6E"/>
    <w:rsid w:val="00840D60"/>
    <w:rsid w:val="00841661"/>
    <w:rsid w:val="00842882"/>
    <w:rsid w:val="00842C82"/>
    <w:rsid w:val="00842EA7"/>
    <w:rsid w:val="00843054"/>
    <w:rsid w:val="008433F5"/>
    <w:rsid w:val="008442C7"/>
    <w:rsid w:val="0084435D"/>
    <w:rsid w:val="0084447E"/>
    <w:rsid w:val="0084483D"/>
    <w:rsid w:val="008458E2"/>
    <w:rsid w:val="00846378"/>
    <w:rsid w:val="00846918"/>
    <w:rsid w:val="00846B8F"/>
    <w:rsid w:val="00846F65"/>
    <w:rsid w:val="008475B5"/>
    <w:rsid w:val="008475F0"/>
    <w:rsid w:val="00850B38"/>
    <w:rsid w:val="00852103"/>
    <w:rsid w:val="00852421"/>
    <w:rsid w:val="0085279A"/>
    <w:rsid w:val="00852C51"/>
    <w:rsid w:val="00852F19"/>
    <w:rsid w:val="0085351B"/>
    <w:rsid w:val="00854259"/>
    <w:rsid w:val="00854825"/>
    <w:rsid w:val="008557A7"/>
    <w:rsid w:val="008557F9"/>
    <w:rsid w:val="0085681D"/>
    <w:rsid w:val="00856ADF"/>
    <w:rsid w:val="00856BF9"/>
    <w:rsid w:val="00856EB0"/>
    <w:rsid w:val="00856F52"/>
    <w:rsid w:val="00857259"/>
    <w:rsid w:val="00857A8E"/>
    <w:rsid w:val="00860136"/>
    <w:rsid w:val="0086075E"/>
    <w:rsid w:val="00860F8B"/>
    <w:rsid w:val="008613D4"/>
    <w:rsid w:val="00861584"/>
    <w:rsid w:val="00861B62"/>
    <w:rsid w:val="00861B8D"/>
    <w:rsid w:val="00862731"/>
    <w:rsid w:val="00862D7F"/>
    <w:rsid w:val="00862E58"/>
    <w:rsid w:val="00862F03"/>
    <w:rsid w:val="00862FA0"/>
    <w:rsid w:val="008634B6"/>
    <w:rsid w:val="008637D7"/>
    <w:rsid w:val="00863E09"/>
    <w:rsid w:val="00864197"/>
    <w:rsid w:val="008644CF"/>
    <w:rsid w:val="008645CC"/>
    <w:rsid w:val="00864A84"/>
    <w:rsid w:val="00864F9B"/>
    <w:rsid w:val="008650E0"/>
    <w:rsid w:val="008665F6"/>
    <w:rsid w:val="00866DD2"/>
    <w:rsid w:val="00866ED1"/>
    <w:rsid w:val="00867079"/>
    <w:rsid w:val="00867557"/>
    <w:rsid w:val="008675DE"/>
    <w:rsid w:val="008679CD"/>
    <w:rsid w:val="00867C44"/>
    <w:rsid w:val="00870928"/>
    <w:rsid w:val="00871299"/>
    <w:rsid w:val="008712CD"/>
    <w:rsid w:val="008720D1"/>
    <w:rsid w:val="00872A1E"/>
    <w:rsid w:val="00872BC0"/>
    <w:rsid w:val="00872CB0"/>
    <w:rsid w:val="00872EC6"/>
    <w:rsid w:val="0087364F"/>
    <w:rsid w:val="008739EE"/>
    <w:rsid w:val="00873B48"/>
    <w:rsid w:val="00873BC8"/>
    <w:rsid w:val="00874A8D"/>
    <w:rsid w:val="008751A2"/>
    <w:rsid w:val="00875AE1"/>
    <w:rsid w:val="00876C37"/>
    <w:rsid w:val="008770A7"/>
    <w:rsid w:val="00877323"/>
    <w:rsid w:val="008774F1"/>
    <w:rsid w:val="0087758A"/>
    <w:rsid w:val="00877E80"/>
    <w:rsid w:val="00880081"/>
    <w:rsid w:val="008808D1"/>
    <w:rsid w:val="008809D1"/>
    <w:rsid w:val="0088207E"/>
    <w:rsid w:val="00882398"/>
    <w:rsid w:val="00882755"/>
    <w:rsid w:val="00882EC8"/>
    <w:rsid w:val="00882F1F"/>
    <w:rsid w:val="00882F66"/>
    <w:rsid w:val="00883D8D"/>
    <w:rsid w:val="00883DA7"/>
    <w:rsid w:val="0088449B"/>
    <w:rsid w:val="00884AA1"/>
    <w:rsid w:val="0088546E"/>
    <w:rsid w:val="0088562F"/>
    <w:rsid w:val="00885A62"/>
    <w:rsid w:val="00885E3F"/>
    <w:rsid w:val="00886092"/>
    <w:rsid w:val="0088627C"/>
    <w:rsid w:val="008869B5"/>
    <w:rsid w:val="00886B61"/>
    <w:rsid w:val="00886CF5"/>
    <w:rsid w:val="00886EF7"/>
    <w:rsid w:val="008877B1"/>
    <w:rsid w:val="0089053A"/>
    <w:rsid w:val="00890C9B"/>
    <w:rsid w:val="0089107E"/>
    <w:rsid w:val="008915C3"/>
    <w:rsid w:val="008918DE"/>
    <w:rsid w:val="00891958"/>
    <w:rsid w:val="00891E85"/>
    <w:rsid w:val="0089208E"/>
    <w:rsid w:val="00892A35"/>
    <w:rsid w:val="00892AC1"/>
    <w:rsid w:val="00892D8D"/>
    <w:rsid w:val="00892F1A"/>
    <w:rsid w:val="00893065"/>
    <w:rsid w:val="008934F2"/>
    <w:rsid w:val="00893CA5"/>
    <w:rsid w:val="0089405C"/>
    <w:rsid w:val="008948AE"/>
    <w:rsid w:val="00894906"/>
    <w:rsid w:val="00894DF6"/>
    <w:rsid w:val="008950D5"/>
    <w:rsid w:val="00895169"/>
    <w:rsid w:val="00895F95"/>
    <w:rsid w:val="00896980"/>
    <w:rsid w:val="00897165"/>
    <w:rsid w:val="008978DA"/>
    <w:rsid w:val="00897FA2"/>
    <w:rsid w:val="008A06F7"/>
    <w:rsid w:val="008A0C56"/>
    <w:rsid w:val="008A0DBF"/>
    <w:rsid w:val="008A0E71"/>
    <w:rsid w:val="008A11E7"/>
    <w:rsid w:val="008A1E86"/>
    <w:rsid w:val="008A215E"/>
    <w:rsid w:val="008A26F3"/>
    <w:rsid w:val="008A27BE"/>
    <w:rsid w:val="008A3143"/>
    <w:rsid w:val="008A3750"/>
    <w:rsid w:val="008A3811"/>
    <w:rsid w:val="008A49AE"/>
    <w:rsid w:val="008A528C"/>
    <w:rsid w:val="008A58ED"/>
    <w:rsid w:val="008A59FD"/>
    <w:rsid w:val="008A5AFE"/>
    <w:rsid w:val="008A5BD0"/>
    <w:rsid w:val="008A6392"/>
    <w:rsid w:val="008A6830"/>
    <w:rsid w:val="008A6AB2"/>
    <w:rsid w:val="008A7A47"/>
    <w:rsid w:val="008B0754"/>
    <w:rsid w:val="008B0B6C"/>
    <w:rsid w:val="008B1D9D"/>
    <w:rsid w:val="008B1E4B"/>
    <w:rsid w:val="008B2021"/>
    <w:rsid w:val="008B2026"/>
    <w:rsid w:val="008B2032"/>
    <w:rsid w:val="008B223D"/>
    <w:rsid w:val="008B2AC3"/>
    <w:rsid w:val="008B2B6D"/>
    <w:rsid w:val="008B2DB2"/>
    <w:rsid w:val="008B36C4"/>
    <w:rsid w:val="008B3901"/>
    <w:rsid w:val="008B3B48"/>
    <w:rsid w:val="008B3CC3"/>
    <w:rsid w:val="008B418F"/>
    <w:rsid w:val="008B4624"/>
    <w:rsid w:val="008B4706"/>
    <w:rsid w:val="008B475B"/>
    <w:rsid w:val="008B4CF2"/>
    <w:rsid w:val="008B4EC5"/>
    <w:rsid w:val="008B53B6"/>
    <w:rsid w:val="008B5CF2"/>
    <w:rsid w:val="008B5E83"/>
    <w:rsid w:val="008B6307"/>
    <w:rsid w:val="008B6461"/>
    <w:rsid w:val="008B690D"/>
    <w:rsid w:val="008B6949"/>
    <w:rsid w:val="008B6BB6"/>
    <w:rsid w:val="008B6C8F"/>
    <w:rsid w:val="008B7C93"/>
    <w:rsid w:val="008B7DAC"/>
    <w:rsid w:val="008C0A70"/>
    <w:rsid w:val="008C0E70"/>
    <w:rsid w:val="008C26E2"/>
    <w:rsid w:val="008C27AE"/>
    <w:rsid w:val="008C2DD9"/>
    <w:rsid w:val="008C329C"/>
    <w:rsid w:val="008C39DA"/>
    <w:rsid w:val="008C3C69"/>
    <w:rsid w:val="008C3CAE"/>
    <w:rsid w:val="008C4C1D"/>
    <w:rsid w:val="008C57DB"/>
    <w:rsid w:val="008C5A0E"/>
    <w:rsid w:val="008C5EE5"/>
    <w:rsid w:val="008C6227"/>
    <w:rsid w:val="008C629C"/>
    <w:rsid w:val="008C665A"/>
    <w:rsid w:val="008C6746"/>
    <w:rsid w:val="008C6C58"/>
    <w:rsid w:val="008C6E28"/>
    <w:rsid w:val="008C6ED0"/>
    <w:rsid w:val="008C720B"/>
    <w:rsid w:val="008C75A5"/>
    <w:rsid w:val="008C7F9E"/>
    <w:rsid w:val="008D114E"/>
    <w:rsid w:val="008D25C7"/>
    <w:rsid w:val="008D2C72"/>
    <w:rsid w:val="008D330A"/>
    <w:rsid w:val="008D33D9"/>
    <w:rsid w:val="008D38EB"/>
    <w:rsid w:val="008D4816"/>
    <w:rsid w:val="008D4881"/>
    <w:rsid w:val="008D4E40"/>
    <w:rsid w:val="008D525D"/>
    <w:rsid w:val="008D53AB"/>
    <w:rsid w:val="008D54DB"/>
    <w:rsid w:val="008D572C"/>
    <w:rsid w:val="008D57E2"/>
    <w:rsid w:val="008D5987"/>
    <w:rsid w:val="008D6117"/>
    <w:rsid w:val="008D7335"/>
    <w:rsid w:val="008D7552"/>
    <w:rsid w:val="008D77F0"/>
    <w:rsid w:val="008D7FC9"/>
    <w:rsid w:val="008E09A5"/>
    <w:rsid w:val="008E1093"/>
    <w:rsid w:val="008E17F8"/>
    <w:rsid w:val="008E1ABB"/>
    <w:rsid w:val="008E1E6C"/>
    <w:rsid w:val="008E1FE1"/>
    <w:rsid w:val="008E2BC7"/>
    <w:rsid w:val="008E2CC3"/>
    <w:rsid w:val="008E35EF"/>
    <w:rsid w:val="008E3A26"/>
    <w:rsid w:val="008E407A"/>
    <w:rsid w:val="008E4261"/>
    <w:rsid w:val="008E42D0"/>
    <w:rsid w:val="008E43A9"/>
    <w:rsid w:val="008E45FC"/>
    <w:rsid w:val="008E48FA"/>
    <w:rsid w:val="008E5DA6"/>
    <w:rsid w:val="008E5DD7"/>
    <w:rsid w:val="008E5EBE"/>
    <w:rsid w:val="008E61F9"/>
    <w:rsid w:val="008E6B4A"/>
    <w:rsid w:val="008E726A"/>
    <w:rsid w:val="008E7C09"/>
    <w:rsid w:val="008E7C76"/>
    <w:rsid w:val="008EDCC9"/>
    <w:rsid w:val="008F033E"/>
    <w:rsid w:val="008F05CD"/>
    <w:rsid w:val="008F065C"/>
    <w:rsid w:val="008F07B4"/>
    <w:rsid w:val="008F0880"/>
    <w:rsid w:val="008F1389"/>
    <w:rsid w:val="008F1720"/>
    <w:rsid w:val="008F1B6F"/>
    <w:rsid w:val="008F2076"/>
    <w:rsid w:val="008F2386"/>
    <w:rsid w:val="008F23BC"/>
    <w:rsid w:val="008F44A6"/>
    <w:rsid w:val="008F4C32"/>
    <w:rsid w:val="008F4C90"/>
    <w:rsid w:val="008F59CE"/>
    <w:rsid w:val="008F6113"/>
    <w:rsid w:val="008F63CF"/>
    <w:rsid w:val="008F643C"/>
    <w:rsid w:val="008F66F5"/>
    <w:rsid w:val="008F74FA"/>
    <w:rsid w:val="008F7555"/>
    <w:rsid w:val="00900928"/>
    <w:rsid w:val="00902EF7"/>
    <w:rsid w:val="0090315C"/>
    <w:rsid w:val="00903B8A"/>
    <w:rsid w:val="009044E2"/>
    <w:rsid w:val="00904C57"/>
    <w:rsid w:val="00904D2C"/>
    <w:rsid w:val="0090592B"/>
    <w:rsid w:val="00905A68"/>
    <w:rsid w:val="00905C93"/>
    <w:rsid w:val="00905F9B"/>
    <w:rsid w:val="00906B12"/>
    <w:rsid w:val="00906C5C"/>
    <w:rsid w:val="00907AD2"/>
    <w:rsid w:val="00907C41"/>
    <w:rsid w:val="00907F81"/>
    <w:rsid w:val="00910395"/>
    <w:rsid w:val="00910660"/>
    <w:rsid w:val="00910DFD"/>
    <w:rsid w:val="00911140"/>
    <w:rsid w:val="00911899"/>
    <w:rsid w:val="00911C6C"/>
    <w:rsid w:val="00911F43"/>
    <w:rsid w:val="00912319"/>
    <w:rsid w:val="009126B3"/>
    <w:rsid w:val="00913EEE"/>
    <w:rsid w:val="009143C5"/>
    <w:rsid w:val="0091452E"/>
    <w:rsid w:val="00914746"/>
    <w:rsid w:val="009148FC"/>
    <w:rsid w:val="009151FD"/>
    <w:rsid w:val="00915D53"/>
    <w:rsid w:val="00917290"/>
    <w:rsid w:val="009172D2"/>
    <w:rsid w:val="009176AD"/>
    <w:rsid w:val="009177C6"/>
    <w:rsid w:val="00917843"/>
    <w:rsid w:val="00920A89"/>
    <w:rsid w:val="00920C92"/>
    <w:rsid w:val="00921560"/>
    <w:rsid w:val="009215A0"/>
    <w:rsid w:val="00921B81"/>
    <w:rsid w:val="00921DAC"/>
    <w:rsid w:val="00923661"/>
    <w:rsid w:val="009239B4"/>
    <w:rsid w:val="0092443F"/>
    <w:rsid w:val="009258F0"/>
    <w:rsid w:val="00925B74"/>
    <w:rsid w:val="00926338"/>
    <w:rsid w:val="009263E6"/>
    <w:rsid w:val="00926481"/>
    <w:rsid w:val="009269BF"/>
    <w:rsid w:val="00926B0D"/>
    <w:rsid w:val="00926CA6"/>
    <w:rsid w:val="009273E5"/>
    <w:rsid w:val="00927834"/>
    <w:rsid w:val="00927BFF"/>
    <w:rsid w:val="00930464"/>
    <w:rsid w:val="00930F42"/>
    <w:rsid w:val="00931037"/>
    <w:rsid w:val="009315A1"/>
    <w:rsid w:val="00932307"/>
    <w:rsid w:val="00932F73"/>
    <w:rsid w:val="00932F75"/>
    <w:rsid w:val="00933A37"/>
    <w:rsid w:val="00933A3E"/>
    <w:rsid w:val="00933C51"/>
    <w:rsid w:val="00933D92"/>
    <w:rsid w:val="00934378"/>
    <w:rsid w:val="00934874"/>
    <w:rsid w:val="009353AB"/>
    <w:rsid w:val="0093581D"/>
    <w:rsid w:val="00935F8D"/>
    <w:rsid w:val="00936492"/>
    <w:rsid w:val="00936758"/>
    <w:rsid w:val="00936C0B"/>
    <w:rsid w:val="009371F2"/>
    <w:rsid w:val="00937708"/>
    <w:rsid w:val="00937E44"/>
    <w:rsid w:val="009404F5"/>
    <w:rsid w:val="00940657"/>
    <w:rsid w:val="00940797"/>
    <w:rsid w:val="009409EF"/>
    <w:rsid w:val="009421F1"/>
    <w:rsid w:val="009424E2"/>
    <w:rsid w:val="00942BC2"/>
    <w:rsid w:val="009432C1"/>
    <w:rsid w:val="00943730"/>
    <w:rsid w:val="00943A77"/>
    <w:rsid w:val="00943BF7"/>
    <w:rsid w:val="0094425A"/>
    <w:rsid w:val="0094501C"/>
    <w:rsid w:val="00945320"/>
    <w:rsid w:val="0094552A"/>
    <w:rsid w:val="00945F2C"/>
    <w:rsid w:val="0094678D"/>
    <w:rsid w:val="00946E44"/>
    <w:rsid w:val="00946EFB"/>
    <w:rsid w:val="0094726E"/>
    <w:rsid w:val="00947462"/>
    <w:rsid w:val="009476D0"/>
    <w:rsid w:val="00947C50"/>
    <w:rsid w:val="00947F5F"/>
    <w:rsid w:val="009507C4"/>
    <w:rsid w:val="009508BA"/>
    <w:rsid w:val="00951606"/>
    <w:rsid w:val="0095199F"/>
    <w:rsid w:val="00951C4C"/>
    <w:rsid w:val="00951D1D"/>
    <w:rsid w:val="00952484"/>
    <w:rsid w:val="0095269E"/>
    <w:rsid w:val="00952BF7"/>
    <w:rsid w:val="00953613"/>
    <w:rsid w:val="00953CF3"/>
    <w:rsid w:val="009544EA"/>
    <w:rsid w:val="009545E4"/>
    <w:rsid w:val="009545F6"/>
    <w:rsid w:val="0095479F"/>
    <w:rsid w:val="00955756"/>
    <w:rsid w:val="00955880"/>
    <w:rsid w:val="00955ABA"/>
    <w:rsid w:val="00955CA8"/>
    <w:rsid w:val="009560DF"/>
    <w:rsid w:val="00956E0F"/>
    <w:rsid w:val="00956FE6"/>
    <w:rsid w:val="00957151"/>
    <w:rsid w:val="009576B0"/>
    <w:rsid w:val="00957D80"/>
    <w:rsid w:val="00960AAA"/>
    <w:rsid w:val="0096161F"/>
    <w:rsid w:val="009619CD"/>
    <w:rsid w:val="00961E72"/>
    <w:rsid w:val="00962588"/>
    <w:rsid w:val="00962E0C"/>
    <w:rsid w:val="009630C9"/>
    <w:rsid w:val="00964611"/>
    <w:rsid w:val="009650AA"/>
    <w:rsid w:val="009656F1"/>
    <w:rsid w:val="0096579E"/>
    <w:rsid w:val="0096624A"/>
    <w:rsid w:val="00966DAF"/>
    <w:rsid w:val="009672BB"/>
    <w:rsid w:val="00967669"/>
    <w:rsid w:val="0096772B"/>
    <w:rsid w:val="0096797B"/>
    <w:rsid w:val="00967FDC"/>
    <w:rsid w:val="00971196"/>
    <w:rsid w:val="00971D1E"/>
    <w:rsid w:val="00971D97"/>
    <w:rsid w:val="00971FA2"/>
    <w:rsid w:val="00972856"/>
    <w:rsid w:val="00972F1F"/>
    <w:rsid w:val="00973402"/>
    <w:rsid w:val="009736F4"/>
    <w:rsid w:val="009738F3"/>
    <w:rsid w:val="0097396B"/>
    <w:rsid w:val="00973A13"/>
    <w:rsid w:val="00973A2B"/>
    <w:rsid w:val="0097433D"/>
    <w:rsid w:val="009746DD"/>
    <w:rsid w:val="00975CA5"/>
    <w:rsid w:val="00976302"/>
    <w:rsid w:val="00976698"/>
    <w:rsid w:val="0097694C"/>
    <w:rsid w:val="00976C25"/>
    <w:rsid w:val="00976C67"/>
    <w:rsid w:val="00976F25"/>
    <w:rsid w:val="00977689"/>
    <w:rsid w:val="0098023D"/>
    <w:rsid w:val="009803E1"/>
    <w:rsid w:val="0098173F"/>
    <w:rsid w:val="009820BA"/>
    <w:rsid w:val="009838CB"/>
    <w:rsid w:val="00983AAA"/>
    <w:rsid w:val="00983AED"/>
    <w:rsid w:val="00983DD7"/>
    <w:rsid w:val="009848AC"/>
    <w:rsid w:val="00984B44"/>
    <w:rsid w:val="009854CB"/>
    <w:rsid w:val="00985530"/>
    <w:rsid w:val="009857AD"/>
    <w:rsid w:val="00985838"/>
    <w:rsid w:val="00985B3F"/>
    <w:rsid w:val="009860A5"/>
    <w:rsid w:val="00986590"/>
    <w:rsid w:val="00986D97"/>
    <w:rsid w:val="00987061"/>
    <w:rsid w:val="00987273"/>
    <w:rsid w:val="009904E4"/>
    <w:rsid w:val="00990570"/>
    <w:rsid w:val="009907D6"/>
    <w:rsid w:val="00990E11"/>
    <w:rsid w:val="009913F2"/>
    <w:rsid w:val="00991403"/>
    <w:rsid w:val="00991562"/>
    <w:rsid w:val="0099159E"/>
    <w:rsid w:val="009916A3"/>
    <w:rsid w:val="009921FE"/>
    <w:rsid w:val="009922CF"/>
    <w:rsid w:val="00992C76"/>
    <w:rsid w:val="00992D42"/>
    <w:rsid w:val="009934EF"/>
    <w:rsid w:val="00993611"/>
    <w:rsid w:val="00993850"/>
    <w:rsid w:val="00993B5D"/>
    <w:rsid w:val="009942C7"/>
    <w:rsid w:val="00994956"/>
    <w:rsid w:val="00994F5C"/>
    <w:rsid w:val="009951A3"/>
    <w:rsid w:val="009965E2"/>
    <w:rsid w:val="009966FD"/>
    <w:rsid w:val="00996984"/>
    <w:rsid w:val="009969D6"/>
    <w:rsid w:val="00996C14"/>
    <w:rsid w:val="009973A5"/>
    <w:rsid w:val="009A053D"/>
    <w:rsid w:val="009A0B39"/>
    <w:rsid w:val="009A0D6A"/>
    <w:rsid w:val="009A126D"/>
    <w:rsid w:val="009A1971"/>
    <w:rsid w:val="009A1A0A"/>
    <w:rsid w:val="009A1D15"/>
    <w:rsid w:val="009A272A"/>
    <w:rsid w:val="009A3388"/>
    <w:rsid w:val="009A365D"/>
    <w:rsid w:val="009A3DD2"/>
    <w:rsid w:val="009A3E28"/>
    <w:rsid w:val="009A4184"/>
    <w:rsid w:val="009A4631"/>
    <w:rsid w:val="009A4653"/>
    <w:rsid w:val="009A4DA5"/>
    <w:rsid w:val="009A5180"/>
    <w:rsid w:val="009A5334"/>
    <w:rsid w:val="009A5516"/>
    <w:rsid w:val="009A60F4"/>
    <w:rsid w:val="009A6404"/>
    <w:rsid w:val="009A6EA5"/>
    <w:rsid w:val="009A7AC5"/>
    <w:rsid w:val="009A7C04"/>
    <w:rsid w:val="009A7C89"/>
    <w:rsid w:val="009A7FBD"/>
    <w:rsid w:val="009B15E9"/>
    <w:rsid w:val="009B1D06"/>
    <w:rsid w:val="009B2336"/>
    <w:rsid w:val="009B247B"/>
    <w:rsid w:val="009B2612"/>
    <w:rsid w:val="009B2708"/>
    <w:rsid w:val="009B2B0A"/>
    <w:rsid w:val="009B2CE3"/>
    <w:rsid w:val="009B303A"/>
    <w:rsid w:val="009B4329"/>
    <w:rsid w:val="009B444D"/>
    <w:rsid w:val="009B4695"/>
    <w:rsid w:val="009B49F9"/>
    <w:rsid w:val="009B4D3B"/>
    <w:rsid w:val="009B6069"/>
    <w:rsid w:val="009B6142"/>
    <w:rsid w:val="009B62E0"/>
    <w:rsid w:val="009B74EC"/>
    <w:rsid w:val="009B7942"/>
    <w:rsid w:val="009C026B"/>
    <w:rsid w:val="009C0A2E"/>
    <w:rsid w:val="009C1171"/>
    <w:rsid w:val="009C1631"/>
    <w:rsid w:val="009C2B17"/>
    <w:rsid w:val="009C2BA9"/>
    <w:rsid w:val="009C2CF8"/>
    <w:rsid w:val="009C2F4A"/>
    <w:rsid w:val="009C30B1"/>
    <w:rsid w:val="009C31FA"/>
    <w:rsid w:val="009C3665"/>
    <w:rsid w:val="009C3936"/>
    <w:rsid w:val="009C3E8F"/>
    <w:rsid w:val="009C41DF"/>
    <w:rsid w:val="009C4D91"/>
    <w:rsid w:val="009C4F67"/>
    <w:rsid w:val="009C56DC"/>
    <w:rsid w:val="009C5AA2"/>
    <w:rsid w:val="009C5CB4"/>
    <w:rsid w:val="009C5DC7"/>
    <w:rsid w:val="009C6E3F"/>
    <w:rsid w:val="009C713D"/>
    <w:rsid w:val="009C7A13"/>
    <w:rsid w:val="009D0145"/>
    <w:rsid w:val="009D076D"/>
    <w:rsid w:val="009D0B3D"/>
    <w:rsid w:val="009D0C22"/>
    <w:rsid w:val="009D0CCC"/>
    <w:rsid w:val="009D0D01"/>
    <w:rsid w:val="009D1AA4"/>
    <w:rsid w:val="009D1ADB"/>
    <w:rsid w:val="009D1D41"/>
    <w:rsid w:val="009D1EDC"/>
    <w:rsid w:val="009D2B25"/>
    <w:rsid w:val="009D2F0D"/>
    <w:rsid w:val="009D33C2"/>
    <w:rsid w:val="009D481B"/>
    <w:rsid w:val="009D4FA6"/>
    <w:rsid w:val="009D5C36"/>
    <w:rsid w:val="009D6AF0"/>
    <w:rsid w:val="009D7407"/>
    <w:rsid w:val="009D7DD8"/>
    <w:rsid w:val="009E0866"/>
    <w:rsid w:val="009E0CEF"/>
    <w:rsid w:val="009E1210"/>
    <w:rsid w:val="009E14E0"/>
    <w:rsid w:val="009E273C"/>
    <w:rsid w:val="009E2832"/>
    <w:rsid w:val="009E340B"/>
    <w:rsid w:val="009E352F"/>
    <w:rsid w:val="009E36E6"/>
    <w:rsid w:val="009E3D05"/>
    <w:rsid w:val="009E3D20"/>
    <w:rsid w:val="009E4082"/>
    <w:rsid w:val="009E42F2"/>
    <w:rsid w:val="009E4E94"/>
    <w:rsid w:val="009E5124"/>
    <w:rsid w:val="009E5389"/>
    <w:rsid w:val="009E56AE"/>
    <w:rsid w:val="009E56E8"/>
    <w:rsid w:val="009E61D7"/>
    <w:rsid w:val="009E6564"/>
    <w:rsid w:val="009E6919"/>
    <w:rsid w:val="009E6D73"/>
    <w:rsid w:val="009E7705"/>
    <w:rsid w:val="009E7809"/>
    <w:rsid w:val="009E7E02"/>
    <w:rsid w:val="009F075C"/>
    <w:rsid w:val="009F08F5"/>
    <w:rsid w:val="009F0CAD"/>
    <w:rsid w:val="009F0F9A"/>
    <w:rsid w:val="009F1350"/>
    <w:rsid w:val="009F205D"/>
    <w:rsid w:val="009F250D"/>
    <w:rsid w:val="009F2E0E"/>
    <w:rsid w:val="009F3273"/>
    <w:rsid w:val="009F3741"/>
    <w:rsid w:val="009F40E3"/>
    <w:rsid w:val="009F5137"/>
    <w:rsid w:val="009F5240"/>
    <w:rsid w:val="009F5364"/>
    <w:rsid w:val="009F569F"/>
    <w:rsid w:val="009F5765"/>
    <w:rsid w:val="009F626C"/>
    <w:rsid w:val="009F6423"/>
    <w:rsid w:val="009F6515"/>
    <w:rsid w:val="009F6AD2"/>
    <w:rsid w:val="00A00333"/>
    <w:rsid w:val="00A0065D"/>
    <w:rsid w:val="00A007F2"/>
    <w:rsid w:val="00A0099C"/>
    <w:rsid w:val="00A00C44"/>
    <w:rsid w:val="00A013A6"/>
    <w:rsid w:val="00A015BC"/>
    <w:rsid w:val="00A01E21"/>
    <w:rsid w:val="00A022CC"/>
    <w:rsid w:val="00A025AB"/>
    <w:rsid w:val="00A030B7"/>
    <w:rsid w:val="00A031C4"/>
    <w:rsid w:val="00A03401"/>
    <w:rsid w:val="00A03B28"/>
    <w:rsid w:val="00A04E2D"/>
    <w:rsid w:val="00A0526F"/>
    <w:rsid w:val="00A0535A"/>
    <w:rsid w:val="00A057AF"/>
    <w:rsid w:val="00A05D76"/>
    <w:rsid w:val="00A05E3B"/>
    <w:rsid w:val="00A06897"/>
    <w:rsid w:val="00A06AC2"/>
    <w:rsid w:val="00A06D00"/>
    <w:rsid w:val="00A07924"/>
    <w:rsid w:val="00A0797C"/>
    <w:rsid w:val="00A1044C"/>
    <w:rsid w:val="00A10939"/>
    <w:rsid w:val="00A11AF1"/>
    <w:rsid w:val="00A12031"/>
    <w:rsid w:val="00A12044"/>
    <w:rsid w:val="00A122AF"/>
    <w:rsid w:val="00A1263D"/>
    <w:rsid w:val="00A130E1"/>
    <w:rsid w:val="00A13959"/>
    <w:rsid w:val="00A13C56"/>
    <w:rsid w:val="00A13FC2"/>
    <w:rsid w:val="00A14069"/>
    <w:rsid w:val="00A1419B"/>
    <w:rsid w:val="00A15433"/>
    <w:rsid w:val="00A16A04"/>
    <w:rsid w:val="00A16AF3"/>
    <w:rsid w:val="00A16B31"/>
    <w:rsid w:val="00A16D78"/>
    <w:rsid w:val="00A17206"/>
    <w:rsid w:val="00A17487"/>
    <w:rsid w:val="00A175B3"/>
    <w:rsid w:val="00A179C8"/>
    <w:rsid w:val="00A200CF"/>
    <w:rsid w:val="00A2014F"/>
    <w:rsid w:val="00A20F76"/>
    <w:rsid w:val="00A2112A"/>
    <w:rsid w:val="00A21E09"/>
    <w:rsid w:val="00A21F8A"/>
    <w:rsid w:val="00A2222A"/>
    <w:rsid w:val="00A224AA"/>
    <w:rsid w:val="00A22BEA"/>
    <w:rsid w:val="00A2340A"/>
    <w:rsid w:val="00A23589"/>
    <w:rsid w:val="00A237B2"/>
    <w:rsid w:val="00A24A62"/>
    <w:rsid w:val="00A254FF"/>
    <w:rsid w:val="00A258E8"/>
    <w:rsid w:val="00A25B02"/>
    <w:rsid w:val="00A25F5D"/>
    <w:rsid w:val="00A26118"/>
    <w:rsid w:val="00A2615A"/>
    <w:rsid w:val="00A26D8F"/>
    <w:rsid w:val="00A2747D"/>
    <w:rsid w:val="00A27E31"/>
    <w:rsid w:val="00A3056F"/>
    <w:rsid w:val="00A3098B"/>
    <w:rsid w:val="00A30D4F"/>
    <w:rsid w:val="00A31050"/>
    <w:rsid w:val="00A31578"/>
    <w:rsid w:val="00A31842"/>
    <w:rsid w:val="00A31C9F"/>
    <w:rsid w:val="00A32858"/>
    <w:rsid w:val="00A32EA0"/>
    <w:rsid w:val="00A33169"/>
    <w:rsid w:val="00A332B1"/>
    <w:rsid w:val="00A332F4"/>
    <w:rsid w:val="00A337C3"/>
    <w:rsid w:val="00A34404"/>
    <w:rsid w:val="00A34507"/>
    <w:rsid w:val="00A34D66"/>
    <w:rsid w:val="00A34F6A"/>
    <w:rsid w:val="00A35016"/>
    <w:rsid w:val="00A35023"/>
    <w:rsid w:val="00A35323"/>
    <w:rsid w:val="00A35767"/>
    <w:rsid w:val="00A3609D"/>
    <w:rsid w:val="00A364B2"/>
    <w:rsid w:val="00A368C9"/>
    <w:rsid w:val="00A37AD3"/>
    <w:rsid w:val="00A37F42"/>
    <w:rsid w:val="00A406AE"/>
    <w:rsid w:val="00A408B9"/>
    <w:rsid w:val="00A4101E"/>
    <w:rsid w:val="00A4144F"/>
    <w:rsid w:val="00A414A2"/>
    <w:rsid w:val="00A41FB5"/>
    <w:rsid w:val="00A4242D"/>
    <w:rsid w:val="00A42CF9"/>
    <w:rsid w:val="00A42E9D"/>
    <w:rsid w:val="00A43044"/>
    <w:rsid w:val="00A432D3"/>
    <w:rsid w:val="00A435D5"/>
    <w:rsid w:val="00A43E8B"/>
    <w:rsid w:val="00A443BA"/>
    <w:rsid w:val="00A443D6"/>
    <w:rsid w:val="00A44BE0"/>
    <w:rsid w:val="00A44F39"/>
    <w:rsid w:val="00A45610"/>
    <w:rsid w:val="00A45ACA"/>
    <w:rsid w:val="00A45C0D"/>
    <w:rsid w:val="00A45E05"/>
    <w:rsid w:val="00A45E39"/>
    <w:rsid w:val="00A46040"/>
    <w:rsid w:val="00A46B76"/>
    <w:rsid w:val="00A46C54"/>
    <w:rsid w:val="00A46D00"/>
    <w:rsid w:val="00A46ED8"/>
    <w:rsid w:val="00A470C5"/>
    <w:rsid w:val="00A4781B"/>
    <w:rsid w:val="00A47A01"/>
    <w:rsid w:val="00A47DB7"/>
    <w:rsid w:val="00A507BD"/>
    <w:rsid w:val="00A51756"/>
    <w:rsid w:val="00A517CA"/>
    <w:rsid w:val="00A52002"/>
    <w:rsid w:val="00A526D6"/>
    <w:rsid w:val="00A52D19"/>
    <w:rsid w:val="00A53988"/>
    <w:rsid w:val="00A545D1"/>
    <w:rsid w:val="00A55BA3"/>
    <w:rsid w:val="00A55FF3"/>
    <w:rsid w:val="00A56628"/>
    <w:rsid w:val="00A56BD5"/>
    <w:rsid w:val="00A6047B"/>
    <w:rsid w:val="00A6054B"/>
    <w:rsid w:val="00A6058D"/>
    <w:rsid w:val="00A60887"/>
    <w:rsid w:val="00A61430"/>
    <w:rsid w:val="00A6151C"/>
    <w:rsid w:val="00A61B4D"/>
    <w:rsid w:val="00A625E9"/>
    <w:rsid w:val="00A62A98"/>
    <w:rsid w:val="00A62E7F"/>
    <w:rsid w:val="00A6312B"/>
    <w:rsid w:val="00A63483"/>
    <w:rsid w:val="00A64664"/>
    <w:rsid w:val="00A64F3F"/>
    <w:rsid w:val="00A652A2"/>
    <w:rsid w:val="00A65E52"/>
    <w:rsid w:val="00A667A9"/>
    <w:rsid w:val="00A66A73"/>
    <w:rsid w:val="00A6711C"/>
    <w:rsid w:val="00A67235"/>
    <w:rsid w:val="00A675A0"/>
    <w:rsid w:val="00A67CB8"/>
    <w:rsid w:val="00A702AC"/>
    <w:rsid w:val="00A71572"/>
    <w:rsid w:val="00A71896"/>
    <w:rsid w:val="00A71EBE"/>
    <w:rsid w:val="00A71EE5"/>
    <w:rsid w:val="00A733EF"/>
    <w:rsid w:val="00A73CE5"/>
    <w:rsid w:val="00A74A3D"/>
    <w:rsid w:val="00A75056"/>
    <w:rsid w:val="00A7505F"/>
    <w:rsid w:val="00A75CE5"/>
    <w:rsid w:val="00A762C7"/>
    <w:rsid w:val="00A769C5"/>
    <w:rsid w:val="00A76B80"/>
    <w:rsid w:val="00A77271"/>
    <w:rsid w:val="00A7799C"/>
    <w:rsid w:val="00A77C07"/>
    <w:rsid w:val="00A80249"/>
    <w:rsid w:val="00A8026B"/>
    <w:rsid w:val="00A80D98"/>
    <w:rsid w:val="00A80F95"/>
    <w:rsid w:val="00A80FA2"/>
    <w:rsid w:val="00A8154B"/>
    <w:rsid w:val="00A81EDD"/>
    <w:rsid w:val="00A82C81"/>
    <w:rsid w:val="00A84369"/>
    <w:rsid w:val="00A84840"/>
    <w:rsid w:val="00A84C31"/>
    <w:rsid w:val="00A84E09"/>
    <w:rsid w:val="00A84F35"/>
    <w:rsid w:val="00A850C6"/>
    <w:rsid w:val="00A853E9"/>
    <w:rsid w:val="00A867F5"/>
    <w:rsid w:val="00A86D5D"/>
    <w:rsid w:val="00A87078"/>
    <w:rsid w:val="00A874CB"/>
    <w:rsid w:val="00A875F9"/>
    <w:rsid w:val="00A8788A"/>
    <w:rsid w:val="00A87A0B"/>
    <w:rsid w:val="00A87B80"/>
    <w:rsid w:val="00A9117C"/>
    <w:rsid w:val="00A91795"/>
    <w:rsid w:val="00A92359"/>
    <w:rsid w:val="00A9274F"/>
    <w:rsid w:val="00A92894"/>
    <w:rsid w:val="00A928E7"/>
    <w:rsid w:val="00A93C25"/>
    <w:rsid w:val="00A93CF5"/>
    <w:rsid w:val="00A9441A"/>
    <w:rsid w:val="00A952F9"/>
    <w:rsid w:val="00A9572E"/>
    <w:rsid w:val="00A95902"/>
    <w:rsid w:val="00A9623C"/>
    <w:rsid w:val="00A9671C"/>
    <w:rsid w:val="00A9696C"/>
    <w:rsid w:val="00A9717C"/>
    <w:rsid w:val="00A97685"/>
    <w:rsid w:val="00A979B4"/>
    <w:rsid w:val="00A97BF1"/>
    <w:rsid w:val="00A97E50"/>
    <w:rsid w:val="00AA0867"/>
    <w:rsid w:val="00AA0E34"/>
    <w:rsid w:val="00AA177B"/>
    <w:rsid w:val="00AA187B"/>
    <w:rsid w:val="00AA1F94"/>
    <w:rsid w:val="00AA21CE"/>
    <w:rsid w:val="00AA26EB"/>
    <w:rsid w:val="00AA298A"/>
    <w:rsid w:val="00AA2C69"/>
    <w:rsid w:val="00AA2F4B"/>
    <w:rsid w:val="00AA315B"/>
    <w:rsid w:val="00AA3520"/>
    <w:rsid w:val="00AA3B36"/>
    <w:rsid w:val="00AA3CD1"/>
    <w:rsid w:val="00AA3D3D"/>
    <w:rsid w:val="00AA3EBF"/>
    <w:rsid w:val="00AA43B1"/>
    <w:rsid w:val="00AA4410"/>
    <w:rsid w:val="00AA51A4"/>
    <w:rsid w:val="00AA53E5"/>
    <w:rsid w:val="00AA56F8"/>
    <w:rsid w:val="00AA6F5B"/>
    <w:rsid w:val="00AA7184"/>
    <w:rsid w:val="00AA7A78"/>
    <w:rsid w:val="00AA7A9C"/>
    <w:rsid w:val="00AA7B48"/>
    <w:rsid w:val="00AA7C21"/>
    <w:rsid w:val="00AB0A2D"/>
    <w:rsid w:val="00AB0D46"/>
    <w:rsid w:val="00AB0E07"/>
    <w:rsid w:val="00AB0E7B"/>
    <w:rsid w:val="00AB132B"/>
    <w:rsid w:val="00AB1855"/>
    <w:rsid w:val="00AB309A"/>
    <w:rsid w:val="00AB334C"/>
    <w:rsid w:val="00AB3CC0"/>
    <w:rsid w:val="00AB3DE7"/>
    <w:rsid w:val="00AB45CE"/>
    <w:rsid w:val="00AB4950"/>
    <w:rsid w:val="00AB5F7A"/>
    <w:rsid w:val="00AB5FB6"/>
    <w:rsid w:val="00AB6AA9"/>
    <w:rsid w:val="00AB71BE"/>
    <w:rsid w:val="00AB75EA"/>
    <w:rsid w:val="00AB76E8"/>
    <w:rsid w:val="00AC01C8"/>
    <w:rsid w:val="00AC09B4"/>
    <w:rsid w:val="00AC0B11"/>
    <w:rsid w:val="00AC0C16"/>
    <w:rsid w:val="00AC1368"/>
    <w:rsid w:val="00AC14B3"/>
    <w:rsid w:val="00AC164A"/>
    <w:rsid w:val="00AC1F77"/>
    <w:rsid w:val="00AC2172"/>
    <w:rsid w:val="00AC3864"/>
    <w:rsid w:val="00AC39A7"/>
    <w:rsid w:val="00AC3A68"/>
    <w:rsid w:val="00AC3BA9"/>
    <w:rsid w:val="00AC4D25"/>
    <w:rsid w:val="00AC5306"/>
    <w:rsid w:val="00AC6096"/>
    <w:rsid w:val="00AC6319"/>
    <w:rsid w:val="00AC6B99"/>
    <w:rsid w:val="00AC6BD1"/>
    <w:rsid w:val="00AC6F16"/>
    <w:rsid w:val="00AC7877"/>
    <w:rsid w:val="00AD0219"/>
    <w:rsid w:val="00AD06C3"/>
    <w:rsid w:val="00AD08FA"/>
    <w:rsid w:val="00AD0BC7"/>
    <w:rsid w:val="00AD0C68"/>
    <w:rsid w:val="00AD0CBA"/>
    <w:rsid w:val="00AD11C3"/>
    <w:rsid w:val="00AD18E0"/>
    <w:rsid w:val="00AD1BB0"/>
    <w:rsid w:val="00AD2182"/>
    <w:rsid w:val="00AD295F"/>
    <w:rsid w:val="00AD2F97"/>
    <w:rsid w:val="00AD38FF"/>
    <w:rsid w:val="00AD3C09"/>
    <w:rsid w:val="00AD3D25"/>
    <w:rsid w:val="00AD474E"/>
    <w:rsid w:val="00AD4F12"/>
    <w:rsid w:val="00AD50F1"/>
    <w:rsid w:val="00AD57AA"/>
    <w:rsid w:val="00AD59B7"/>
    <w:rsid w:val="00AD5B87"/>
    <w:rsid w:val="00AD5C68"/>
    <w:rsid w:val="00AD61BB"/>
    <w:rsid w:val="00AD6774"/>
    <w:rsid w:val="00AD6BCA"/>
    <w:rsid w:val="00AD70BF"/>
    <w:rsid w:val="00AD769E"/>
    <w:rsid w:val="00AD7AF7"/>
    <w:rsid w:val="00AD7E23"/>
    <w:rsid w:val="00AE0621"/>
    <w:rsid w:val="00AE1B1A"/>
    <w:rsid w:val="00AE1EA5"/>
    <w:rsid w:val="00AE200F"/>
    <w:rsid w:val="00AE2291"/>
    <w:rsid w:val="00AE2FE8"/>
    <w:rsid w:val="00AE34B4"/>
    <w:rsid w:val="00AE3AFA"/>
    <w:rsid w:val="00AE3ED3"/>
    <w:rsid w:val="00AE428F"/>
    <w:rsid w:val="00AE448A"/>
    <w:rsid w:val="00AE45E7"/>
    <w:rsid w:val="00AE5287"/>
    <w:rsid w:val="00AE63BC"/>
    <w:rsid w:val="00AE71D9"/>
    <w:rsid w:val="00AE78E4"/>
    <w:rsid w:val="00AF0901"/>
    <w:rsid w:val="00AF0AD6"/>
    <w:rsid w:val="00AF0F04"/>
    <w:rsid w:val="00AF1065"/>
    <w:rsid w:val="00AF15F0"/>
    <w:rsid w:val="00AF1BD0"/>
    <w:rsid w:val="00AF1C42"/>
    <w:rsid w:val="00AF2050"/>
    <w:rsid w:val="00AF2891"/>
    <w:rsid w:val="00AF2C49"/>
    <w:rsid w:val="00AF32F6"/>
    <w:rsid w:val="00AF3317"/>
    <w:rsid w:val="00AF33E9"/>
    <w:rsid w:val="00AF395B"/>
    <w:rsid w:val="00AF417A"/>
    <w:rsid w:val="00AF44C7"/>
    <w:rsid w:val="00AF4DFE"/>
    <w:rsid w:val="00AF5721"/>
    <w:rsid w:val="00B01E88"/>
    <w:rsid w:val="00B01EA9"/>
    <w:rsid w:val="00B020E6"/>
    <w:rsid w:val="00B0221B"/>
    <w:rsid w:val="00B024E9"/>
    <w:rsid w:val="00B0285C"/>
    <w:rsid w:val="00B02C12"/>
    <w:rsid w:val="00B02FE8"/>
    <w:rsid w:val="00B03122"/>
    <w:rsid w:val="00B03CA8"/>
    <w:rsid w:val="00B0607F"/>
    <w:rsid w:val="00B07640"/>
    <w:rsid w:val="00B077F9"/>
    <w:rsid w:val="00B100C5"/>
    <w:rsid w:val="00B10161"/>
    <w:rsid w:val="00B10868"/>
    <w:rsid w:val="00B10D81"/>
    <w:rsid w:val="00B11FD0"/>
    <w:rsid w:val="00B1234F"/>
    <w:rsid w:val="00B12873"/>
    <w:rsid w:val="00B128DD"/>
    <w:rsid w:val="00B134B7"/>
    <w:rsid w:val="00B13AAF"/>
    <w:rsid w:val="00B13B8D"/>
    <w:rsid w:val="00B14B4A"/>
    <w:rsid w:val="00B14B7C"/>
    <w:rsid w:val="00B1543E"/>
    <w:rsid w:val="00B15920"/>
    <w:rsid w:val="00B15BB8"/>
    <w:rsid w:val="00B15F84"/>
    <w:rsid w:val="00B17173"/>
    <w:rsid w:val="00B177A3"/>
    <w:rsid w:val="00B2072D"/>
    <w:rsid w:val="00B21A2E"/>
    <w:rsid w:val="00B21BA1"/>
    <w:rsid w:val="00B22A42"/>
    <w:rsid w:val="00B22B0C"/>
    <w:rsid w:val="00B239A7"/>
    <w:rsid w:val="00B239F6"/>
    <w:rsid w:val="00B23F7C"/>
    <w:rsid w:val="00B23F8D"/>
    <w:rsid w:val="00B24885"/>
    <w:rsid w:val="00B249BF"/>
    <w:rsid w:val="00B24E32"/>
    <w:rsid w:val="00B24FF1"/>
    <w:rsid w:val="00B2521B"/>
    <w:rsid w:val="00B25799"/>
    <w:rsid w:val="00B25F5E"/>
    <w:rsid w:val="00B26458"/>
    <w:rsid w:val="00B26DBA"/>
    <w:rsid w:val="00B27620"/>
    <w:rsid w:val="00B2791C"/>
    <w:rsid w:val="00B27B61"/>
    <w:rsid w:val="00B27DED"/>
    <w:rsid w:val="00B30093"/>
    <w:rsid w:val="00B300BE"/>
    <w:rsid w:val="00B30DD5"/>
    <w:rsid w:val="00B312B8"/>
    <w:rsid w:val="00B314B8"/>
    <w:rsid w:val="00B325F5"/>
    <w:rsid w:val="00B32B37"/>
    <w:rsid w:val="00B32F33"/>
    <w:rsid w:val="00B33290"/>
    <w:rsid w:val="00B332D8"/>
    <w:rsid w:val="00B336BA"/>
    <w:rsid w:val="00B33737"/>
    <w:rsid w:val="00B33B7E"/>
    <w:rsid w:val="00B33C0A"/>
    <w:rsid w:val="00B33F74"/>
    <w:rsid w:val="00B3438B"/>
    <w:rsid w:val="00B35039"/>
    <w:rsid w:val="00B3577B"/>
    <w:rsid w:val="00B36039"/>
    <w:rsid w:val="00B36454"/>
    <w:rsid w:val="00B366B4"/>
    <w:rsid w:val="00B36C9D"/>
    <w:rsid w:val="00B36CE3"/>
    <w:rsid w:val="00B37D90"/>
    <w:rsid w:val="00B40476"/>
    <w:rsid w:val="00B406F3"/>
    <w:rsid w:val="00B40B81"/>
    <w:rsid w:val="00B40D5B"/>
    <w:rsid w:val="00B4270C"/>
    <w:rsid w:val="00B42CBC"/>
    <w:rsid w:val="00B43471"/>
    <w:rsid w:val="00B435DB"/>
    <w:rsid w:val="00B43B83"/>
    <w:rsid w:val="00B43EA8"/>
    <w:rsid w:val="00B440F6"/>
    <w:rsid w:val="00B447F4"/>
    <w:rsid w:val="00B44F63"/>
    <w:rsid w:val="00B451E2"/>
    <w:rsid w:val="00B453B8"/>
    <w:rsid w:val="00B45611"/>
    <w:rsid w:val="00B458EF"/>
    <w:rsid w:val="00B45CE3"/>
    <w:rsid w:val="00B46336"/>
    <w:rsid w:val="00B4636B"/>
    <w:rsid w:val="00B46654"/>
    <w:rsid w:val="00B475CD"/>
    <w:rsid w:val="00B476E3"/>
    <w:rsid w:val="00B47880"/>
    <w:rsid w:val="00B47A9C"/>
    <w:rsid w:val="00B500D3"/>
    <w:rsid w:val="00B501B7"/>
    <w:rsid w:val="00B50C27"/>
    <w:rsid w:val="00B50E28"/>
    <w:rsid w:val="00B510F6"/>
    <w:rsid w:val="00B51161"/>
    <w:rsid w:val="00B513E9"/>
    <w:rsid w:val="00B5159B"/>
    <w:rsid w:val="00B518E0"/>
    <w:rsid w:val="00B51C9F"/>
    <w:rsid w:val="00B51E81"/>
    <w:rsid w:val="00B51EC9"/>
    <w:rsid w:val="00B53747"/>
    <w:rsid w:val="00B54254"/>
    <w:rsid w:val="00B54302"/>
    <w:rsid w:val="00B54518"/>
    <w:rsid w:val="00B546A7"/>
    <w:rsid w:val="00B54E9D"/>
    <w:rsid w:val="00B55061"/>
    <w:rsid w:val="00B554BC"/>
    <w:rsid w:val="00B55867"/>
    <w:rsid w:val="00B558E0"/>
    <w:rsid w:val="00B55BCE"/>
    <w:rsid w:val="00B55E19"/>
    <w:rsid w:val="00B561EB"/>
    <w:rsid w:val="00B57A4E"/>
    <w:rsid w:val="00B605DB"/>
    <w:rsid w:val="00B6132E"/>
    <w:rsid w:val="00B61AD5"/>
    <w:rsid w:val="00B61BBD"/>
    <w:rsid w:val="00B61C9D"/>
    <w:rsid w:val="00B61DAA"/>
    <w:rsid w:val="00B623CD"/>
    <w:rsid w:val="00B62573"/>
    <w:rsid w:val="00B62CAD"/>
    <w:rsid w:val="00B62E5B"/>
    <w:rsid w:val="00B634E6"/>
    <w:rsid w:val="00B63EE7"/>
    <w:rsid w:val="00B64A5A"/>
    <w:rsid w:val="00B65295"/>
    <w:rsid w:val="00B6552C"/>
    <w:rsid w:val="00B658A0"/>
    <w:rsid w:val="00B658BB"/>
    <w:rsid w:val="00B65B24"/>
    <w:rsid w:val="00B66203"/>
    <w:rsid w:val="00B66232"/>
    <w:rsid w:val="00B66A21"/>
    <w:rsid w:val="00B66E60"/>
    <w:rsid w:val="00B716CC"/>
    <w:rsid w:val="00B71A59"/>
    <w:rsid w:val="00B71F74"/>
    <w:rsid w:val="00B72159"/>
    <w:rsid w:val="00B728BF"/>
    <w:rsid w:val="00B72AA8"/>
    <w:rsid w:val="00B72C9A"/>
    <w:rsid w:val="00B7316C"/>
    <w:rsid w:val="00B732B4"/>
    <w:rsid w:val="00B73434"/>
    <w:rsid w:val="00B73517"/>
    <w:rsid w:val="00B73726"/>
    <w:rsid w:val="00B73814"/>
    <w:rsid w:val="00B73D67"/>
    <w:rsid w:val="00B7473F"/>
    <w:rsid w:val="00B74EF7"/>
    <w:rsid w:val="00B75099"/>
    <w:rsid w:val="00B757CC"/>
    <w:rsid w:val="00B75902"/>
    <w:rsid w:val="00B75F80"/>
    <w:rsid w:val="00B7637D"/>
    <w:rsid w:val="00B76C02"/>
    <w:rsid w:val="00B77AF6"/>
    <w:rsid w:val="00B77B45"/>
    <w:rsid w:val="00B77DFA"/>
    <w:rsid w:val="00B77EA6"/>
    <w:rsid w:val="00B77F74"/>
    <w:rsid w:val="00B807CD"/>
    <w:rsid w:val="00B81015"/>
    <w:rsid w:val="00B81ED3"/>
    <w:rsid w:val="00B82134"/>
    <w:rsid w:val="00B8235C"/>
    <w:rsid w:val="00B82548"/>
    <w:rsid w:val="00B8283E"/>
    <w:rsid w:val="00B82B66"/>
    <w:rsid w:val="00B83628"/>
    <w:rsid w:val="00B837D6"/>
    <w:rsid w:val="00B8387D"/>
    <w:rsid w:val="00B83AE0"/>
    <w:rsid w:val="00B841B2"/>
    <w:rsid w:val="00B842A5"/>
    <w:rsid w:val="00B8445A"/>
    <w:rsid w:val="00B84F20"/>
    <w:rsid w:val="00B85024"/>
    <w:rsid w:val="00B8575D"/>
    <w:rsid w:val="00B86694"/>
    <w:rsid w:val="00B86F29"/>
    <w:rsid w:val="00B8717F"/>
    <w:rsid w:val="00B87386"/>
    <w:rsid w:val="00B878D0"/>
    <w:rsid w:val="00B87C1C"/>
    <w:rsid w:val="00B90729"/>
    <w:rsid w:val="00B90919"/>
    <w:rsid w:val="00B91914"/>
    <w:rsid w:val="00B9224F"/>
    <w:rsid w:val="00B923FC"/>
    <w:rsid w:val="00B9291D"/>
    <w:rsid w:val="00B939E9"/>
    <w:rsid w:val="00B940F6"/>
    <w:rsid w:val="00B94151"/>
    <w:rsid w:val="00B943E7"/>
    <w:rsid w:val="00B94530"/>
    <w:rsid w:val="00B94758"/>
    <w:rsid w:val="00B95C35"/>
    <w:rsid w:val="00B95DE4"/>
    <w:rsid w:val="00B9681B"/>
    <w:rsid w:val="00B96ADF"/>
    <w:rsid w:val="00B97DCD"/>
    <w:rsid w:val="00B97EAD"/>
    <w:rsid w:val="00BA0734"/>
    <w:rsid w:val="00BA08C8"/>
    <w:rsid w:val="00BA0D80"/>
    <w:rsid w:val="00BA0EFF"/>
    <w:rsid w:val="00BA105C"/>
    <w:rsid w:val="00BA15BA"/>
    <w:rsid w:val="00BA2897"/>
    <w:rsid w:val="00BA2C0E"/>
    <w:rsid w:val="00BA3429"/>
    <w:rsid w:val="00BA3D6A"/>
    <w:rsid w:val="00BA40E6"/>
    <w:rsid w:val="00BA4B6D"/>
    <w:rsid w:val="00BA5104"/>
    <w:rsid w:val="00BA574C"/>
    <w:rsid w:val="00BA6771"/>
    <w:rsid w:val="00BA6AAA"/>
    <w:rsid w:val="00BA6DAD"/>
    <w:rsid w:val="00BA6E0F"/>
    <w:rsid w:val="00BA7072"/>
    <w:rsid w:val="00BA7269"/>
    <w:rsid w:val="00BA726D"/>
    <w:rsid w:val="00BA7678"/>
    <w:rsid w:val="00BA77FC"/>
    <w:rsid w:val="00BA7EB8"/>
    <w:rsid w:val="00BB0B59"/>
    <w:rsid w:val="00BB0FB1"/>
    <w:rsid w:val="00BB1776"/>
    <w:rsid w:val="00BB1FC4"/>
    <w:rsid w:val="00BB26C5"/>
    <w:rsid w:val="00BB280B"/>
    <w:rsid w:val="00BB2C63"/>
    <w:rsid w:val="00BB3711"/>
    <w:rsid w:val="00BB38C7"/>
    <w:rsid w:val="00BB3C2F"/>
    <w:rsid w:val="00BB4254"/>
    <w:rsid w:val="00BB453A"/>
    <w:rsid w:val="00BB470D"/>
    <w:rsid w:val="00BB49FE"/>
    <w:rsid w:val="00BB4C6E"/>
    <w:rsid w:val="00BB4FE7"/>
    <w:rsid w:val="00BB5040"/>
    <w:rsid w:val="00BB5DE2"/>
    <w:rsid w:val="00BB70C5"/>
    <w:rsid w:val="00BB78A8"/>
    <w:rsid w:val="00BB79CE"/>
    <w:rsid w:val="00BB7DE3"/>
    <w:rsid w:val="00BC0C31"/>
    <w:rsid w:val="00BC14FD"/>
    <w:rsid w:val="00BC1F63"/>
    <w:rsid w:val="00BC1FEA"/>
    <w:rsid w:val="00BC226B"/>
    <w:rsid w:val="00BC2523"/>
    <w:rsid w:val="00BC2558"/>
    <w:rsid w:val="00BC2606"/>
    <w:rsid w:val="00BC30D6"/>
    <w:rsid w:val="00BC31BD"/>
    <w:rsid w:val="00BC31BF"/>
    <w:rsid w:val="00BC31C4"/>
    <w:rsid w:val="00BC438E"/>
    <w:rsid w:val="00BC4807"/>
    <w:rsid w:val="00BC4B29"/>
    <w:rsid w:val="00BC4D16"/>
    <w:rsid w:val="00BC4D7A"/>
    <w:rsid w:val="00BC5433"/>
    <w:rsid w:val="00BC5A1B"/>
    <w:rsid w:val="00BC6177"/>
    <w:rsid w:val="00BC661F"/>
    <w:rsid w:val="00BC69DE"/>
    <w:rsid w:val="00BC6A0C"/>
    <w:rsid w:val="00BC79AB"/>
    <w:rsid w:val="00BC7EFD"/>
    <w:rsid w:val="00BD04FF"/>
    <w:rsid w:val="00BD0B22"/>
    <w:rsid w:val="00BD0CD5"/>
    <w:rsid w:val="00BD1E56"/>
    <w:rsid w:val="00BD2983"/>
    <w:rsid w:val="00BD4276"/>
    <w:rsid w:val="00BD483A"/>
    <w:rsid w:val="00BD48C3"/>
    <w:rsid w:val="00BD4ABB"/>
    <w:rsid w:val="00BD4D39"/>
    <w:rsid w:val="00BD4F55"/>
    <w:rsid w:val="00BD50A1"/>
    <w:rsid w:val="00BD58F8"/>
    <w:rsid w:val="00BD5C26"/>
    <w:rsid w:val="00BD6CF4"/>
    <w:rsid w:val="00BD70D2"/>
    <w:rsid w:val="00BD75A4"/>
    <w:rsid w:val="00BD7FA8"/>
    <w:rsid w:val="00BE05D1"/>
    <w:rsid w:val="00BE07D1"/>
    <w:rsid w:val="00BE08DA"/>
    <w:rsid w:val="00BE10F4"/>
    <w:rsid w:val="00BE1BA8"/>
    <w:rsid w:val="00BE1FD0"/>
    <w:rsid w:val="00BE2097"/>
    <w:rsid w:val="00BE23B3"/>
    <w:rsid w:val="00BE2CCB"/>
    <w:rsid w:val="00BE2DC0"/>
    <w:rsid w:val="00BE2E48"/>
    <w:rsid w:val="00BE3BD6"/>
    <w:rsid w:val="00BE3F52"/>
    <w:rsid w:val="00BE4CBE"/>
    <w:rsid w:val="00BE4CCD"/>
    <w:rsid w:val="00BE4DC3"/>
    <w:rsid w:val="00BE5527"/>
    <w:rsid w:val="00BE76A8"/>
    <w:rsid w:val="00BE7907"/>
    <w:rsid w:val="00BE79A9"/>
    <w:rsid w:val="00BE7E0F"/>
    <w:rsid w:val="00BF0D90"/>
    <w:rsid w:val="00BF1349"/>
    <w:rsid w:val="00BF1B48"/>
    <w:rsid w:val="00BF1E2C"/>
    <w:rsid w:val="00BF1E8E"/>
    <w:rsid w:val="00BF22D5"/>
    <w:rsid w:val="00BF23FB"/>
    <w:rsid w:val="00BF2868"/>
    <w:rsid w:val="00BF2F94"/>
    <w:rsid w:val="00BF3E3C"/>
    <w:rsid w:val="00BF3EAF"/>
    <w:rsid w:val="00BF3F84"/>
    <w:rsid w:val="00BF4849"/>
    <w:rsid w:val="00BF4DE6"/>
    <w:rsid w:val="00BF504D"/>
    <w:rsid w:val="00BF5263"/>
    <w:rsid w:val="00BF5B20"/>
    <w:rsid w:val="00BF5CB8"/>
    <w:rsid w:val="00BF615D"/>
    <w:rsid w:val="00BF76FA"/>
    <w:rsid w:val="00BF7D70"/>
    <w:rsid w:val="00BF7DA3"/>
    <w:rsid w:val="00BF7DF0"/>
    <w:rsid w:val="00C001DC"/>
    <w:rsid w:val="00C0107A"/>
    <w:rsid w:val="00C018F4"/>
    <w:rsid w:val="00C01BC1"/>
    <w:rsid w:val="00C01FE5"/>
    <w:rsid w:val="00C025CA"/>
    <w:rsid w:val="00C02EB6"/>
    <w:rsid w:val="00C03266"/>
    <w:rsid w:val="00C0328E"/>
    <w:rsid w:val="00C03A27"/>
    <w:rsid w:val="00C04073"/>
    <w:rsid w:val="00C04204"/>
    <w:rsid w:val="00C043CA"/>
    <w:rsid w:val="00C04CF9"/>
    <w:rsid w:val="00C04EFB"/>
    <w:rsid w:val="00C05072"/>
    <w:rsid w:val="00C06277"/>
    <w:rsid w:val="00C06331"/>
    <w:rsid w:val="00C06389"/>
    <w:rsid w:val="00C06B13"/>
    <w:rsid w:val="00C07967"/>
    <w:rsid w:val="00C07FBA"/>
    <w:rsid w:val="00C102F4"/>
    <w:rsid w:val="00C10CA7"/>
    <w:rsid w:val="00C1211B"/>
    <w:rsid w:val="00C121DE"/>
    <w:rsid w:val="00C12F93"/>
    <w:rsid w:val="00C134F8"/>
    <w:rsid w:val="00C138B8"/>
    <w:rsid w:val="00C1395F"/>
    <w:rsid w:val="00C1402B"/>
    <w:rsid w:val="00C1436C"/>
    <w:rsid w:val="00C1461F"/>
    <w:rsid w:val="00C15354"/>
    <w:rsid w:val="00C15600"/>
    <w:rsid w:val="00C158B5"/>
    <w:rsid w:val="00C159E2"/>
    <w:rsid w:val="00C16BE5"/>
    <w:rsid w:val="00C17B4D"/>
    <w:rsid w:val="00C208F5"/>
    <w:rsid w:val="00C20C14"/>
    <w:rsid w:val="00C2241F"/>
    <w:rsid w:val="00C228E5"/>
    <w:rsid w:val="00C22C8E"/>
    <w:rsid w:val="00C23153"/>
    <w:rsid w:val="00C232D0"/>
    <w:rsid w:val="00C2375E"/>
    <w:rsid w:val="00C23974"/>
    <w:rsid w:val="00C23B1E"/>
    <w:rsid w:val="00C23B43"/>
    <w:rsid w:val="00C23D66"/>
    <w:rsid w:val="00C23E62"/>
    <w:rsid w:val="00C2414E"/>
    <w:rsid w:val="00C248AB"/>
    <w:rsid w:val="00C249B4"/>
    <w:rsid w:val="00C249D3"/>
    <w:rsid w:val="00C24E72"/>
    <w:rsid w:val="00C24ED5"/>
    <w:rsid w:val="00C2554F"/>
    <w:rsid w:val="00C25E20"/>
    <w:rsid w:val="00C266BF"/>
    <w:rsid w:val="00C27704"/>
    <w:rsid w:val="00C279F8"/>
    <w:rsid w:val="00C27D25"/>
    <w:rsid w:val="00C27FBA"/>
    <w:rsid w:val="00C30C92"/>
    <w:rsid w:val="00C30CA5"/>
    <w:rsid w:val="00C313E1"/>
    <w:rsid w:val="00C31792"/>
    <w:rsid w:val="00C33F42"/>
    <w:rsid w:val="00C3421E"/>
    <w:rsid w:val="00C3424A"/>
    <w:rsid w:val="00C344FC"/>
    <w:rsid w:val="00C346C0"/>
    <w:rsid w:val="00C348CE"/>
    <w:rsid w:val="00C34A33"/>
    <w:rsid w:val="00C3508F"/>
    <w:rsid w:val="00C3545E"/>
    <w:rsid w:val="00C35544"/>
    <w:rsid w:val="00C35728"/>
    <w:rsid w:val="00C36FC5"/>
    <w:rsid w:val="00C3714F"/>
    <w:rsid w:val="00C372FF"/>
    <w:rsid w:val="00C378EF"/>
    <w:rsid w:val="00C37CEE"/>
    <w:rsid w:val="00C414D8"/>
    <w:rsid w:val="00C4158D"/>
    <w:rsid w:val="00C41A7F"/>
    <w:rsid w:val="00C41C1E"/>
    <w:rsid w:val="00C42541"/>
    <w:rsid w:val="00C42CDE"/>
    <w:rsid w:val="00C42FA6"/>
    <w:rsid w:val="00C43FF4"/>
    <w:rsid w:val="00C452CF"/>
    <w:rsid w:val="00C456E3"/>
    <w:rsid w:val="00C45A94"/>
    <w:rsid w:val="00C45FD0"/>
    <w:rsid w:val="00C46D2E"/>
    <w:rsid w:val="00C46DFE"/>
    <w:rsid w:val="00C471C1"/>
    <w:rsid w:val="00C47419"/>
    <w:rsid w:val="00C47FA7"/>
    <w:rsid w:val="00C50239"/>
    <w:rsid w:val="00C5182A"/>
    <w:rsid w:val="00C519AA"/>
    <w:rsid w:val="00C51F75"/>
    <w:rsid w:val="00C52671"/>
    <w:rsid w:val="00C52CA4"/>
    <w:rsid w:val="00C53E89"/>
    <w:rsid w:val="00C5411B"/>
    <w:rsid w:val="00C55FBE"/>
    <w:rsid w:val="00C570C0"/>
    <w:rsid w:val="00C57AB4"/>
    <w:rsid w:val="00C57CA4"/>
    <w:rsid w:val="00C6010B"/>
    <w:rsid w:val="00C609A4"/>
    <w:rsid w:val="00C60BF9"/>
    <w:rsid w:val="00C61041"/>
    <w:rsid w:val="00C612B4"/>
    <w:rsid w:val="00C61536"/>
    <w:rsid w:val="00C61773"/>
    <w:rsid w:val="00C61FF8"/>
    <w:rsid w:val="00C62281"/>
    <w:rsid w:val="00C62884"/>
    <w:rsid w:val="00C629B5"/>
    <w:rsid w:val="00C6314C"/>
    <w:rsid w:val="00C634A8"/>
    <w:rsid w:val="00C6384E"/>
    <w:rsid w:val="00C63EE9"/>
    <w:rsid w:val="00C6452F"/>
    <w:rsid w:val="00C64B53"/>
    <w:rsid w:val="00C65201"/>
    <w:rsid w:val="00C65233"/>
    <w:rsid w:val="00C658D1"/>
    <w:rsid w:val="00C65F46"/>
    <w:rsid w:val="00C665BB"/>
    <w:rsid w:val="00C66707"/>
    <w:rsid w:val="00C66CEC"/>
    <w:rsid w:val="00C66F93"/>
    <w:rsid w:val="00C671C8"/>
    <w:rsid w:val="00C67AF4"/>
    <w:rsid w:val="00C67DEA"/>
    <w:rsid w:val="00C70107"/>
    <w:rsid w:val="00C702F4"/>
    <w:rsid w:val="00C713FD"/>
    <w:rsid w:val="00C71AB7"/>
    <w:rsid w:val="00C7293A"/>
    <w:rsid w:val="00C72B89"/>
    <w:rsid w:val="00C72F28"/>
    <w:rsid w:val="00C72FC3"/>
    <w:rsid w:val="00C730DA"/>
    <w:rsid w:val="00C73F18"/>
    <w:rsid w:val="00C7438B"/>
    <w:rsid w:val="00C75518"/>
    <w:rsid w:val="00C7585F"/>
    <w:rsid w:val="00C75E3A"/>
    <w:rsid w:val="00C76329"/>
    <w:rsid w:val="00C76C0F"/>
    <w:rsid w:val="00C770AD"/>
    <w:rsid w:val="00C802BE"/>
    <w:rsid w:val="00C80398"/>
    <w:rsid w:val="00C807BE"/>
    <w:rsid w:val="00C81276"/>
    <w:rsid w:val="00C8130A"/>
    <w:rsid w:val="00C818CC"/>
    <w:rsid w:val="00C81D79"/>
    <w:rsid w:val="00C825DF"/>
    <w:rsid w:val="00C82A73"/>
    <w:rsid w:val="00C83273"/>
    <w:rsid w:val="00C8339F"/>
    <w:rsid w:val="00C836A8"/>
    <w:rsid w:val="00C84742"/>
    <w:rsid w:val="00C86A93"/>
    <w:rsid w:val="00C86C52"/>
    <w:rsid w:val="00C87477"/>
    <w:rsid w:val="00C8759B"/>
    <w:rsid w:val="00C878BB"/>
    <w:rsid w:val="00C87DA5"/>
    <w:rsid w:val="00C90651"/>
    <w:rsid w:val="00C9091B"/>
    <w:rsid w:val="00C909FD"/>
    <w:rsid w:val="00C90AA1"/>
    <w:rsid w:val="00C90DA7"/>
    <w:rsid w:val="00C90EA9"/>
    <w:rsid w:val="00C91A01"/>
    <w:rsid w:val="00C91AF6"/>
    <w:rsid w:val="00C92216"/>
    <w:rsid w:val="00C9243D"/>
    <w:rsid w:val="00C924D9"/>
    <w:rsid w:val="00C92D54"/>
    <w:rsid w:val="00C93014"/>
    <w:rsid w:val="00C938B2"/>
    <w:rsid w:val="00C94D20"/>
    <w:rsid w:val="00C94E0A"/>
    <w:rsid w:val="00C94F68"/>
    <w:rsid w:val="00C94FD6"/>
    <w:rsid w:val="00C95457"/>
    <w:rsid w:val="00C95A8D"/>
    <w:rsid w:val="00C968EC"/>
    <w:rsid w:val="00C96A04"/>
    <w:rsid w:val="00C96BC4"/>
    <w:rsid w:val="00C971C5"/>
    <w:rsid w:val="00C97723"/>
    <w:rsid w:val="00C97BAA"/>
    <w:rsid w:val="00CA01B8"/>
    <w:rsid w:val="00CA0EF6"/>
    <w:rsid w:val="00CA16F3"/>
    <w:rsid w:val="00CA1D06"/>
    <w:rsid w:val="00CA2FD9"/>
    <w:rsid w:val="00CA37B1"/>
    <w:rsid w:val="00CA41EE"/>
    <w:rsid w:val="00CA425B"/>
    <w:rsid w:val="00CA448A"/>
    <w:rsid w:val="00CA4844"/>
    <w:rsid w:val="00CA4F77"/>
    <w:rsid w:val="00CA50B5"/>
    <w:rsid w:val="00CA5592"/>
    <w:rsid w:val="00CA57C9"/>
    <w:rsid w:val="00CA695D"/>
    <w:rsid w:val="00CA6B47"/>
    <w:rsid w:val="00CA6EB2"/>
    <w:rsid w:val="00CA73ED"/>
    <w:rsid w:val="00CA79A2"/>
    <w:rsid w:val="00CB009C"/>
    <w:rsid w:val="00CB07CE"/>
    <w:rsid w:val="00CB0A47"/>
    <w:rsid w:val="00CB1392"/>
    <w:rsid w:val="00CB1959"/>
    <w:rsid w:val="00CB1C97"/>
    <w:rsid w:val="00CB1D7E"/>
    <w:rsid w:val="00CB1DD6"/>
    <w:rsid w:val="00CB1EDB"/>
    <w:rsid w:val="00CB1F8F"/>
    <w:rsid w:val="00CB2CCA"/>
    <w:rsid w:val="00CB373E"/>
    <w:rsid w:val="00CB3892"/>
    <w:rsid w:val="00CB3ACC"/>
    <w:rsid w:val="00CB3E07"/>
    <w:rsid w:val="00CB3F84"/>
    <w:rsid w:val="00CB40AA"/>
    <w:rsid w:val="00CB4C4C"/>
    <w:rsid w:val="00CB5635"/>
    <w:rsid w:val="00CB5B1B"/>
    <w:rsid w:val="00CB5CE0"/>
    <w:rsid w:val="00CB643B"/>
    <w:rsid w:val="00CB66F6"/>
    <w:rsid w:val="00CB7B00"/>
    <w:rsid w:val="00CB7EAB"/>
    <w:rsid w:val="00CB7EDE"/>
    <w:rsid w:val="00CC0A4D"/>
    <w:rsid w:val="00CC1B66"/>
    <w:rsid w:val="00CC24E7"/>
    <w:rsid w:val="00CC2655"/>
    <w:rsid w:val="00CC26EF"/>
    <w:rsid w:val="00CC2860"/>
    <w:rsid w:val="00CC3AA8"/>
    <w:rsid w:val="00CC3FC3"/>
    <w:rsid w:val="00CC42DB"/>
    <w:rsid w:val="00CC4338"/>
    <w:rsid w:val="00CC48E8"/>
    <w:rsid w:val="00CC4DE6"/>
    <w:rsid w:val="00CC4F1F"/>
    <w:rsid w:val="00CC598B"/>
    <w:rsid w:val="00CC5D00"/>
    <w:rsid w:val="00CC61FE"/>
    <w:rsid w:val="00CC6473"/>
    <w:rsid w:val="00CC6871"/>
    <w:rsid w:val="00CC6913"/>
    <w:rsid w:val="00CC6B5B"/>
    <w:rsid w:val="00CC741B"/>
    <w:rsid w:val="00CC7B50"/>
    <w:rsid w:val="00CC7D0D"/>
    <w:rsid w:val="00CC7F3F"/>
    <w:rsid w:val="00CD0E4B"/>
    <w:rsid w:val="00CD1351"/>
    <w:rsid w:val="00CD16C7"/>
    <w:rsid w:val="00CD18FD"/>
    <w:rsid w:val="00CD1B54"/>
    <w:rsid w:val="00CD2128"/>
    <w:rsid w:val="00CD3121"/>
    <w:rsid w:val="00CD32EC"/>
    <w:rsid w:val="00CD3422"/>
    <w:rsid w:val="00CD3EE9"/>
    <w:rsid w:val="00CD4510"/>
    <w:rsid w:val="00CD4F37"/>
    <w:rsid w:val="00CD511D"/>
    <w:rsid w:val="00CD55A2"/>
    <w:rsid w:val="00CD5D9B"/>
    <w:rsid w:val="00CD63C1"/>
    <w:rsid w:val="00CD63CF"/>
    <w:rsid w:val="00CD6AA4"/>
    <w:rsid w:val="00CD700E"/>
    <w:rsid w:val="00CD711A"/>
    <w:rsid w:val="00CD764E"/>
    <w:rsid w:val="00CD7C4D"/>
    <w:rsid w:val="00CDEBFE"/>
    <w:rsid w:val="00CE0097"/>
    <w:rsid w:val="00CE0712"/>
    <w:rsid w:val="00CE1A05"/>
    <w:rsid w:val="00CE1A3F"/>
    <w:rsid w:val="00CE2702"/>
    <w:rsid w:val="00CE33F3"/>
    <w:rsid w:val="00CE3552"/>
    <w:rsid w:val="00CE3F41"/>
    <w:rsid w:val="00CE4A7C"/>
    <w:rsid w:val="00CE4C89"/>
    <w:rsid w:val="00CE5366"/>
    <w:rsid w:val="00CE5815"/>
    <w:rsid w:val="00CE5AEE"/>
    <w:rsid w:val="00CE5B54"/>
    <w:rsid w:val="00CE5B74"/>
    <w:rsid w:val="00CE5F4B"/>
    <w:rsid w:val="00CE66B1"/>
    <w:rsid w:val="00CE6A2B"/>
    <w:rsid w:val="00CE704A"/>
    <w:rsid w:val="00CE79E7"/>
    <w:rsid w:val="00CE7FC7"/>
    <w:rsid w:val="00CF05A9"/>
    <w:rsid w:val="00CF07BA"/>
    <w:rsid w:val="00CF1905"/>
    <w:rsid w:val="00CF197C"/>
    <w:rsid w:val="00CF2411"/>
    <w:rsid w:val="00CF2679"/>
    <w:rsid w:val="00CF3576"/>
    <w:rsid w:val="00CF38EC"/>
    <w:rsid w:val="00CF3B95"/>
    <w:rsid w:val="00CF4079"/>
    <w:rsid w:val="00CF464F"/>
    <w:rsid w:val="00CF4A38"/>
    <w:rsid w:val="00CF4D9B"/>
    <w:rsid w:val="00CF50CF"/>
    <w:rsid w:val="00CF57C1"/>
    <w:rsid w:val="00CF5CAD"/>
    <w:rsid w:val="00CF797D"/>
    <w:rsid w:val="00CF7A63"/>
    <w:rsid w:val="00D00283"/>
    <w:rsid w:val="00D00503"/>
    <w:rsid w:val="00D00ADD"/>
    <w:rsid w:val="00D01223"/>
    <w:rsid w:val="00D012AF"/>
    <w:rsid w:val="00D01647"/>
    <w:rsid w:val="00D0169D"/>
    <w:rsid w:val="00D0203E"/>
    <w:rsid w:val="00D0296C"/>
    <w:rsid w:val="00D02B11"/>
    <w:rsid w:val="00D03BAF"/>
    <w:rsid w:val="00D03EDB"/>
    <w:rsid w:val="00D0495A"/>
    <w:rsid w:val="00D050E1"/>
    <w:rsid w:val="00D05242"/>
    <w:rsid w:val="00D0531C"/>
    <w:rsid w:val="00D05549"/>
    <w:rsid w:val="00D05DC6"/>
    <w:rsid w:val="00D05E8B"/>
    <w:rsid w:val="00D05FFB"/>
    <w:rsid w:val="00D06567"/>
    <w:rsid w:val="00D06954"/>
    <w:rsid w:val="00D06A4B"/>
    <w:rsid w:val="00D0727A"/>
    <w:rsid w:val="00D0748F"/>
    <w:rsid w:val="00D07654"/>
    <w:rsid w:val="00D07791"/>
    <w:rsid w:val="00D07A15"/>
    <w:rsid w:val="00D07A74"/>
    <w:rsid w:val="00D10159"/>
    <w:rsid w:val="00D106B4"/>
    <w:rsid w:val="00D107A4"/>
    <w:rsid w:val="00D10AE5"/>
    <w:rsid w:val="00D1153F"/>
    <w:rsid w:val="00D13309"/>
    <w:rsid w:val="00D13DA4"/>
    <w:rsid w:val="00D13F5C"/>
    <w:rsid w:val="00D1420C"/>
    <w:rsid w:val="00D14ED6"/>
    <w:rsid w:val="00D1527D"/>
    <w:rsid w:val="00D15553"/>
    <w:rsid w:val="00D159AB"/>
    <w:rsid w:val="00D16358"/>
    <w:rsid w:val="00D1637D"/>
    <w:rsid w:val="00D17BC0"/>
    <w:rsid w:val="00D17C62"/>
    <w:rsid w:val="00D17D96"/>
    <w:rsid w:val="00D20EB4"/>
    <w:rsid w:val="00D21046"/>
    <w:rsid w:val="00D214AC"/>
    <w:rsid w:val="00D21EEA"/>
    <w:rsid w:val="00D220BA"/>
    <w:rsid w:val="00D226CF"/>
    <w:rsid w:val="00D2336A"/>
    <w:rsid w:val="00D23565"/>
    <w:rsid w:val="00D23A6C"/>
    <w:rsid w:val="00D23EF9"/>
    <w:rsid w:val="00D24D78"/>
    <w:rsid w:val="00D26ED1"/>
    <w:rsid w:val="00D2718B"/>
    <w:rsid w:val="00D274E5"/>
    <w:rsid w:val="00D2775A"/>
    <w:rsid w:val="00D27B02"/>
    <w:rsid w:val="00D30229"/>
    <w:rsid w:val="00D30DEB"/>
    <w:rsid w:val="00D31C88"/>
    <w:rsid w:val="00D31C98"/>
    <w:rsid w:val="00D31F1A"/>
    <w:rsid w:val="00D32023"/>
    <w:rsid w:val="00D3219E"/>
    <w:rsid w:val="00D3225B"/>
    <w:rsid w:val="00D32D6F"/>
    <w:rsid w:val="00D33122"/>
    <w:rsid w:val="00D34343"/>
    <w:rsid w:val="00D34487"/>
    <w:rsid w:val="00D34585"/>
    <w:rsid w:val="00D34E06"/>
    <w:rsid w:val="00D34E83"/>
    <w:rsid w:val="00D3536A"/>
    <w:rsid w:val="00D36DAC"/>
    <w:rsid w:val="00D37733"/>
    <w:rsid w:val="00D37779"/>
    <w:rsid w:val="00D379F2"/>
    <w:rsid w:val="00D37AF4"/>
    <w:rsid w:val="00D37B04"/>
    <w:rsid w:val="00D40475"/>
    <w:rsid w:val="00D40D97"/>
    <w:rsid w:val="00D40DEB"/>
    <w:rsid w:val="00D410F7"/>
    <w:rsid w:val="00D41344"/>
    <w:rsid w:val="00D413B5"/>
    <w:rsid w:val="00D416BB"/>
    <w:rsid w:val="00D41A00"/>
    <w:rsid w:val="00D42087"/>
    <w:rsid w:val="00D42C24"/>
    <w:rsid w:val="00D42F5B"/>
    <w:rsid w:val="00D4466E"/>
    <w:rsid w:val="00D44F7D"/>
    <w:rsid w:val="00D45660"/>
    <w:rsid w:val="00D45E50"/>
    <w:rsid w:val="00D45E5D"/>
    <w:rsid w:val="00D46D9C"/>
    <w:rsid w:val="00D47C2F"/>
    <w:rsid w:val="00D50315"/>
    <w:rsid w:val="00D50420"/>
    <w:rsid w:val="00D5074B"/>
    <w:rsid w:val="00D513A5"/>
    <w:rsid w:val="00D522E6"/>
    <w:rsid w:val="00D52A47"/>
    <w:rsid w:val="00D52C06"/>
    <w:rsid w:val="00D52D7C"/>
    <w:rsid w:val="00D53079"/>
    <w:rsid w:val="00D534CE"/>
    <w:rsid w:val="00D5368B"/>
    <w:rsid w:val="00D53F25"/>
    <w:rsid w:val="00D540C6"/>
    <w:rsid w:val="00D55612"/>
    <w:rsid w:val="00D55722"/>
    <w:rsid w:val="00D55C10"/>
    <w:rsid w:val="00D55F05"/>
    <w:rsid w:val="00D56E49"/>
    <w:rsid w:val="00D57264"/>
    <w:rsid w:val="00D57787"/>
    <w:rsid w:val="00D57D0D"/>
    <w:rsid w:val="00D600E8"/>
    <w:rsid w:val="00D60120"/>
    <w:rsid w:val="00D6049D"/>
    <w:rsid w:val="00D60A18"/>
    <w:rsid w:val="00D60F5D"/>
    <w:rsid w:val="00D611BB"/>
    <w:rsid w:val="00D6121E"/>
    <w:rsid w:val="00D619A3"/>
    <w:rsid w:val="00D6271D"/>
    <w:rsid w:val="00D6276E"/>
    <w:rsid w:val="00D6292B"/>
    <w:rsid w:val="00D63249"/>
    <w:rsid w:val="00D6332E"/>
    <w:rsid w:val="00D63849"/>
    <w:rsid w:val="00D64120"/>
    <w:rsid w:val="00D64BD1"/>
    <w:rsid w:val="00D65199"/>
    <w:rsid w:val="00D655C0"/>
    <w:rsid w:val="00D65C69"/>
    <w:rsid w:val="00D6650E"/>
    <w:rsid w:val="00D66D79"/>
    <w:rsid w:val="00D66DD0"/>
    <w:rsid w:val="00D6734B"/>
    <w:rsid w:val="00D67C30"/>
    <w:rsid w:val="00D705DB"/>
    <w:rsid w:val="00D707F3"/>
    <w:rsid w:val="00D70924"/>
    <w:rsid w:val="00D709BB"/>
    <w:rsid w:val="00D70A83"/>
    <w:rsid w:val="00D70AAE"/>
    <w:rsid w:val="00D71860"/>
    <w:rsid w:val="00D71B61"/>
    <w:rsid w:val="00D73CB7"/>
    <w:rsid w:val="00D746F8"/>
    <w:rsid w:val="00D74FCF"/>
    <w:rsid w:val="00D75003"/>
    <w:rsid w:val="00D7508A"/>
    <w:rsid w:val="00D7517D"/>
    <w:rsid w:val="00D75295"/>
    <w:rsid w:val="00D756AF"/>
    <w:rsid w:val="00D758B5"/>
    <w:rsid w:val="00D75AF9"/>
    <w:rsid w:val="00D75B69"/>
    <w:rsid w:val="00D761CF"/>
    <w:rsid w:val="00D7762D"/>
    <w:rsid w:val="00D77C33"/>
    <w:rsid w:val="00D8046A"/>
    <w:rsid w:val="00D805CF"/>
    <w:rsid w:val="00D80F91"/>
    <w:rsid w:val="00D81699"/>
    <w:rsid w:val="00D816D1"/>
    <w:rsid w:val="00D8235C"/>
    <w:rsid w:val="00D8281D"/>
    <w:rsid w:val="00D82EBF"/>
    <w:rsid w:val="00D835FD"/>
    <w:rsid w:val="00D838A1"/>
    <w:rsid w:val="00D838A6"/>
    <w:rsid w:val="00D83C17"/>
    <w:rsid w:val="00D84571"/>
    <w:rsid w:val="00D8520B"/>
    <w:rsid w:val="00D856BD"/>
    <w:rsid w:val="00D85909"/>
    <w:rsid w:val="00D85BDF"/>
    <w:rsid w:val="00D860A7"/>
    <w:rsid w:val="00D86443"/>
    <w:rsid w:val="00D86ECA"/>
    <w:rsid w:val="00D87CC8"/>
    <w:rsid w:val="00D9064A"/>
    <w:rsid w:val="00D90C6B"/>
    <w:rsid w:val="00D91495"/>
    <w:rsid w:val="00D9168D"/>
    <w:rsid w:val="00D91E54"/>
    <w:rsid w:val="00D92254"/>
    <w:rsid w:val="00D922C1"/>
    <w:rsid w:val="00D9237F"/>
    <w:rsid w:val="00D92F67"/>
    <w:rsid w:val="00D93168"/>
    <w:rsid w:val="00D932F0"/>
    <w:rsid w:val="00D93677"/>
    <w:rsid w:val="00D93B75"/>
    <w:rsid w:val="00D941CB"/>
    <w:rsid w:val="00D94331"/>
    <w:rsid w:val="00D9479A"/>
    <w:rsid w:val="00D9541F"/>
    <w:rsid w:val="00D95420"/>
    <w:rsid w:val="00D9548B"/>
    <w:rsid w:val="00D954E6"/>
    <w:rsid w:val="00D9648E"/>
    <w:rsid w:val="00D96C92"/>
    <w:rsid w:val="00DA0469"/>
    <w:rsid w:val="00DA093F"/>
    <w:rsid w:val="00DA0CA4"/>
    <w:rsid w:val="00DA1063"/>
    <w:rsid w:val="00DA1F75"/>
    <w:rsid w:val="00DA2273"/>
    <w:rsid w:val="00DA2318"/>
    <w:rsid w:val="00DA2628"/>
    <w:rsid w:val="00DA29B1"/>
    <w:rsid w:val="00DA2BDC"/>
    <w:rsid w:val="00DA2EF6"/>
    <w:rsid w:val="00DA35E2"/>
    <w:rsid w:val="00DA3D01"/>
    <w:rsid w:val="00DA3F7A"/>
    <w:rsid w:val="00DA45FD"/>
    <w:rsid w:val="00DA4C8B"/>
    <w:rsid w:val="00DA501D"/>
    <w:rsid w:val="00DA5640"/>
    <w:rsid w:val="00DA5912"/>
    <w:rsid w:val="00DA5941"/>
    <w:rsid w:val="00DA5C10"/>
    <w:rsid w:val="00DA77E0"/>
    <w:rsid w:val="00DA7C13"/>
    <w:rsid w:val="00DB0034"/>
    <w:rsid w:val="00DB05CE"/>
    <w:rsid w:val="00DB0B6C"/>
    <w:rsid w:val="00DB0E94"/>
    <w:rsid w:val="00DB1402"/>
    <w:rsid w:val="00DB238A"/>
    <w:rsid w:val="00DB2408"/>
    <w:rsid w:val="00DB260F"/>
    <w:rsid w:val="00DB2BD2"/>
    <w:rsid w:val="00DB31C7"/>
    <w:rsid w:val="00DB368C"/>
    <w:rsid w:val="00DB3C73"/>
    <w:rsid w:val="00DB4FCC"/>
    <w:rsid w:val="00DB5836"/>
    <w:rsid w:val="00DB5EC0"/>
    <w:rsid w:val="00DB6417"/>
    <w:rsid w:val="00DB6E88"/>
    <w:rsid w:val="00DB6FEE"/>
    <w:rsid w:val="00DB73CB"/>
    <w:rsid w:val="00DB747E"/>
    <w:rsid w:val="00DB77CC"/>
    <w:rsid w:val="00DC0BDE"/>
    <w:rsid w:val="00DC1022"/>
    <w:rsid w:val="00DC11C2"/>
    <w:rsid w:val="00DC13E9"/>
    <w:rsid w:val="00DC15C8"/>
    <w:rsid w:val="00DC1AF2"/>
    <w:rsid w:val="00DC2043"/>
    <w:rsid w:val="00DC28F9"/>
    <w:rsid w:val="00DC33CE"/>
    <w:rsid w:val="00DC3847"/>
    <w:rsid w:val="00DC3D62"/>
    <w:rsid w:val="00DC3F7D"/>
    <w:rsid w:val="00DC4742"/>
    <w:rsid w:val="00DC4FEB"/>
    <w:rsid w:val="00DC5262"/>
    <w:rsid w:val="00DC565A"/>
    <w:rsid w:val="00DC56B9"/>
    <w:rsid w:val="00DC5D90"/>
    <w:rsid w:val="00DC6146"/>
    <w:rsid w:val="00DC639F"/>
    <w:rsid w:val="00DC66F0"/>
    <w:rsid w:val="00DC6DA3"/>
    <w:rsid w:val="00DC7661"/>
    <w:rsid w:val="00DC77DF"/>
    <w:rsid w:val="00DC79AB"/>
    <w:rsid w:val="00DC7AEA"/>
    <w:rsid w:val="00DC7FBC"/>
    <w:rsid w:val="00DC7FF8"/>
    <w:rsid w:val="00DD0195"/>
    <w:rsid w:val="00DD07E0"/>
    <w:rsid w:val="00DD07F2"/>
    <w:rsid w:val="00DD0BD5"/>
    <w:rsid w:val="00DD19D0"/>
    <w:rsid w:val="00DD26FE"/>
    <w:rsid w:val="00DD2BED"/>
    <w:rsid w:val="00DD3B6F"/>
    <w:rsid w:val="00DD3D92"/>
    <w:rsid w:val="00DD5115"/>
    <w:rsid w:val="00DD5399"/>
    <w:rsid w:val="00DD5E53"/>
    <w:rsid w:val="00DD6A0E"/>
    <w:rsid w:val="00DD6D02"/>
    <w:rsid w:val="00DD6F3C"/>
    <w:rsid w:val="00DD7BB6"/>
    <w:rsid w:val="00DE0164"/>
    <w:rsid w:val="00DE084C"/>
    <w:rsid w:val="00DE0940"/>
    <w:rsid w:val="00DE0B40"/>
    <w:rsid w:val="00DE1632"/>
    <w:rsid w:val="00DE1CB3"/>
    <w:rsid w:val="00DE20AC"/>
    <w:rsid w:val="00DE330D"/>
    <w:rsid w:val="00DE351E"/>
    <w:rsid w:val="00DE3692"/>
    <w:rsid w:val="00DE3B7C"/>
    <w:rsid w:val="00DE3F03"/>
    <w:rsid w:val="00DE4166"/>
    <w:rsid w:val="00DE42C4"/>
    <w:rsid w:val="00DE4707"/>
    <w:rsid w:val="00DE498F"/>
    <w:rsid w:val="00DE5784"/>
    <w:rsid w:val="00DE58DE"/>
    <w:rsid w:val="00DE67F7"/>
    <w:rsid w:val="00DE69F5"/>
    <w:rsid w:val="00DF0215"/>
    <w:rsid w:val="00DF03DC"/>
    <w:rsid w:val="00DF05E5"/>
    <w:rsid w:val="00DF09FA"/>
    <w:rsid w:val="00DF0A1D"/>
    <w:rsid w:val="00DF0E5C"/>
    <w:rsid w:val="00DF11C6"/>
    <w:rsid w:val="00DF1844"/>
    <w:rsid w:val="00DF266B"/>
    <w:rsid w:val="00DF2BCF"/>
    <w:rsid w:val="00DF3A39"/>
    <w:rsid w:val="00DF44B0"/>
    <w:rsid w:val="00DF459B"/>
    <w:rsid w:val="00DF46C2"/>
    <w:rsid w:val="00DF4DA2"/>
    <w:rsid w:val="00DF5EB9"/>
    <w:rsid w:val="00DF64CD"/>
    <w:rsid w:val="00DF6AC9"/>
    <w:rsid w:val="00DF6FF4"/>
    <w:rsid w:val="00DF7ADA"/>
    <w:rsid w:val="00E006E7"/>
    <w:rsid w:val="00E00D2E"/>
    <w:rsid w:val="00E01268"/>
    <w:rsid w:val="00E0149D"/>
    <w:rsid w:val="00E01FC6"/>
    <w:rsid w:val="00E02CF2"/>
    <w:rsid w:val="00E02F3A"/>
    <w:rsid w:val="00E02FA8"/>
    <w:rsid w:val="00E03329"/>
    <w:rsid w:val="00E03605"/>
    <w:rsid w:val="00E03659"/>
    <w:rsid w:val="00E039D3"/>
    <w:rsid w:val="00E03C79"/>
    <w:rsid w:val="00E044BE"/>
    <w:rsid w:val="00E04932"/>
    <w:rsid w:val="00E04EF1"/>
    <w:rsid w:val="00E056DE"/>
    <w:rsid w:val="00E06D1E"/>
    <w:rsid w:val="00E06E26"/>
    <w:rsid w:val="00E10447"/>
    <w:rsid w:val="00E1050D"/>
    <w:rsid w:val="00E1052D"/>
    <w:rsid w:val="00E10533"/>
    <w:rsid w:val="00E10665"/>
    <w:rsid w:val="00E10CB4"/>
    <w:rsid w:val="00E10D00"/>
    <w:rsid w:val="00E1102A"/>
    <w:rsid w:val="00E114C4"/>
    <w:rsid w:val="00E115AC"/>
    <w:rsid w:val="00E119E1"/>
    <w:rsid w:val="00E11E31"/>
    <w:rsid w:val="00E120B0"/>
    <w:rsid w:val="00E120F8"/>
    <w:rsid w:val="00E127DD"/>
    <w:rsid w:val="00E1364E"/>
    <w:rsid w:val="00E1395B"/>
    <w:rsid w:val="00E144A7"/>
    <w:rsid w:val="00E146F0"/>
    <w:rsid w:val="00E14F51"/>
    <w:rsid w:val="00E1500D"/>
    <w:rsid w:val="00E15116"/>
    <w:rsid w:val="00E151B6"/>
    <w:rsid w:val="00E153DD"/>
    <w:rsid w:val="00E15588"/>
    <w:rsid w:val="00E160A3"/>
    <w:rsid w:val="00E16541"/>
    <w:rsid w:val="00E171B6"/>
    <w:rsid w:val="00E172CA"/>
    <w:rsid w:val="00E17338"/>
    <w:rsid w:val="00E1740D"/>
    <w:rsid w:val="00E17AE1"/>
    <w:rsid w:val="00E2052C"/>
    <w:rsid w:val="00E2079B"/>
    <w:rsid w:val="00E20AF8"/>
    <w:rsid w:val="00E21C02"/>
    <w:rsid w:val="00E21D89"/>
    <w:rsid w:val="00E230A6"/>
    <w:rsid w:val="00E23C9A"/>
    <w:rsid w:val="00E241C4"/>
    <w:rsid w:val="00E247B3"/>
    <w:rsid w:val="00E25123"/>
    <w:rsid w:val="00E2527D"/>
    <w:rsid w:val="00E25790"/>
    <w:rsid w:val="00E25C88"/>
    <w:rsid w:val="00E25DDA"/>
    <w:rsid w:val="00E26628"/>
    <w:rsid w:val="00E27384"/>
    <w:rsid w:val="00E27441"/>
    <w:rsid w:val="00E277EC"/>
    <w:rsid w:val="00E278F4"/>
    <w:rsid w:val="00E27A70"/>
    <w:rsid w:val="00E27C7F"/>
    <w:rsid w:val="00E30406"/>
    <w:rsid w:val="00E306D4"/>
    <w:rsid w:val="00E31140"/>
    <w:rsid w:val="00E31AAD"/>
    <w:rsid w:val="00E31D4D"/>
    <w:rsid w:val="00E31DD1"/>
    <w:rsid w:val="00E321EA"/>
    <w:rsid w:val="00E328C6"/>
    <w:rsid w:val="00E32D3D"/>
    <w:rsid w:val="00E33218"/>
    <w:rsid w:val="00E33C5E"/>
    <w:rsid w:val="00E34516"/>
    <w:rsid w:val="00E357B7"/>
    <w:rsid w:val="00E35998"/>
    <w:rsid w:val="00E359FB"/>
    <w:rsid w:val="00E35CC2"/>
    <w:rsid w:val="00E363BE"/>
    <w:rsid w:val="00E378E7"/>
    <w:rsid w:val="00E402CB"/>
    <w:rsid w:val="00E406C8"/>
    <w:rsid w:val="00E4075F"/>
    <w:rsid w:val="00E407AD"/>
    <w:rsid w:val="00E4129F"/>
    <w:rsid w:val="00E420C9"/>
    <w:rsid w:val="00E427C3"/>
    <w:rsid w:val="00E4368B"/>
    <w:rsid w:val="00E437CD"/>
    <w:rsid w:val="00E44B9B"/>
    <w:rsid w:val="00E44C97"/>
    <w:rsid w:val="00E4549A"/>
    <w:rsid w:val="00E45AE2"/>
    <w:rsid w:val="00E45BD6"/>
    <w:rsid w:val="00E45C50"/>
    <w:rsid w:val="00E45D11"/>
    <w:rsid w:val="00E45EE4"/>
    <w:rsid w:val="00E46412"/>
    <w:rsid w:val="00E46A08"/>
    <w:rsid w:val="00E47561"/>
    <w:rsid w:val="00E4792B"/>
    <w:rsid w:val="00E47A08"/>
    <w:rsid w:val="00E5034D"/>
    <w:rsid w:val="00E50BC1"/>
    <w:rsid w:val="00E514DB"/>
    <w:rsid w:val="00E5194A"/>
    <w:rsid w:val="00E51E25"/>
    <w:rsid w:val="00E5211C"/>
    <w:rsid w:val="00E52282"/>
    <w:rsid w:val="00E5267B"/>
    <w:rsid w:val="00E52B19"/>
    <w:rsid w:val="00E52BEC"/>
    <w:rsid w:val="00E53740"/>
    <w:rsid w:val="00E53800"/>
    <w:rsid w:val="00E53BE9"/>
    <w:rsid w:val="00E54533"/>
    <w:rsid w:val="00E5496E"/>
    <w:rsid w:val="00E549AA"/>
    <w:rsid w:val="00E55B95"/>
    <w:rsid w:val="00E55C94"/>
    <w:rsid w:val="00E56DF1"/>
    <w:rsid w:val="00E56EC7"/>
    <w:rsid w:val="00E57014"/>
    <w:rsid w:val="00E573EA"/>
    <w:rsid w:val="00E577DF"/>
    <w:rsid w:val="00E57DC9"/>
    <w:rsid w:val="00E604E5"/>
    <w:rsid w:val="00E60683"/>
    <w:rsid w:val="00E6081F"/>
    <w:rsid w:val="00E60837"/>
    <w:rsid w:val="00E60B7E"/>
    <w:rsid w:val="00E61227"/>
    <w:rsid w:val="00E6123E"/>
    <w:rsid w:val="00E6173C"/>
    <w:rsid w:val="00E619D0"/>
    <w:rsid w:val="00E61FAD"/>
    <w:rsid w:val="00E62AB7"/>
    <w:rsid w:val="00E633F6"/>
    <w:rsid w:val="00E64351"/>
    <w:rsid w:val="00E651A5"/>
    <w:rsid w:val="00E653B3"/>
    <w:rsid w:val="00E653EF"/>
    <w:rsid w:val="00E66A34"/>
    <w:rsid w:val="00E673B6"/>
    <w:rsid w:val="00E70346"/>
    <w:rsid w:val="00E70EFD"/>
    <w:rsid w:val="00E7131F"/>
    <w:rsid w:val="00E71337"/>
    <w:rsid w:val="00E7199D"/>
    <w:rsid w:val="00E71DCC"/>
    <w:rsid w:val="00E72313"/>
    <w:rsid w:val="00E73819"/>
    <w:rsid w:val="00E7389E"/>
    <w:rsid w:val="00E73C7F"/>
    <w:rsid w:val="00E73CDD"/>
    <w:rsid w:val="00E74264"/>
    <w:rsid w:val="00E74B16"/>
    <w:rsid w:val="00E75525"/>
    <w:rsid w:val="00E75A82"/>
    <w:rsid w:val="00E76AF9"/>
    <w:rsid w:val="00E770F0"/>
    <w:rsid w:val="00E778EB"/>
    <w:rsid w:val="00E77D1A"/>
    <w:rsid w:val="00E77E6C"/>
    <w:rsid w:val="00E77F55"/>
    <w:rsid w:val="00E80374"/>
    <w:rsid w:val="00E815A1"/>
    <w:rsid w:val="00E81714"/>
    <w:rsid w:val="00E8296D"/>
    <w:rsid w:val="00E82B30"/>
    <w:rsid w:val="00E82CEB"/>
    <w:rsid w:val="00E82E43"/>
    <w:rsid w:val="00E82FDC"/>
    <w:rsid w:val="00E833EC"/>
    <w:rsid w:val="00E83550"/>
    <w:rsid w:val="00E8360E"/>
    <w:rsid w:val="00E83BF3"/>
    <w:rsid w:val="00E83CE0"/>
    <w:rsid w:val="00E83DD5"/>
    <w:rsid w:val="00E84123"/>
    <w:rsid w:val="00E8457B"/>
    <w:rsid w:val="00E85397"/>
    <w:rsid w:val="00E85FB6"/>
    <w:rsid w:val="00E861B5"/>
    <w:rsid w:val="00E873A4"/>
    <w:rsid w:val="00E87C8F"/>
    <w:rsid w:val="00E90072"/>
    <w:rsid w:val="00E9040E"/>
    <w:rsid w:val="00E90B10"/>
    <w:rsid w:val="00E90ECF"/>
    <w:rsid w:val="00E914EA"/>
    <w:rsid w:val="00E918FC"/>
    <w:rsid w:val="00E92285"/>
    <w:rsid w:val="00E926A0"/>
    <w:rsid w:val="00E92AD7"/>
    <w:rsid w:val="00E92B11"/>
    <w:rsid w:val="00E93FE8"/>
    <w:rsid w:val="00E9408D"/>
    <w:rsid w:val="00E940AB"/>
    <w:rsid w:val="00E94406"/>
    <w:rsid w:val="00E94453"/>
    <w:rsid w:val="00E947A1"/>
    <w:rsid w:val="00E94B80"/>
    <w:rsid w:val="00E94B9A"/>
    <w:rsid w:val="00E950D0"/>
    <w:rsid w:val="00E9576E"/>
    <w:rsid w:val="00E95A3A"/>
    <w:rsid w:val="00E95AC8"/>
    <w:rsid w:val="00E96AB5"/>
    <w:rsid w:val="00E96CB6"/>
    <w:rsid w:val="00E971C1"/>
    <w:rsid w:val="00E97731"/>
    <w:rsid w:val="00E977E2"/>
    <w:rsid w:val="00E97BB5"/>
    <w:rsid w:val="00E97BE1"/>
    <w:rsid w:val="00EA02F0"/>
    <w:rsid w:val="00EA04B2"/>
    <w:rsid w:val="00EA0A32"/>
    <w:rsid w:val="00EA0D7A"/>
    <w:rsid w:val="00EA0E7C"/>
    <w:rsid w:val="00EA10F1"/>
    <w:rsid w:val="00EA1794"/>
    <w:rsid w:val="00EA1BB5"/>
    <w:rsid w:val="00EA1FAD"/>
    <w:rsid w:val="00EA20F3"/>
    <w:rsid w:val="00EA283B"/>
    <w:rsid w:val="00EA2D3B"/>
    <w:rsid w:val="00EA342B"/>
    <w:rsid w:val="00EA34ED"/>
    <w:rsid w:val="00EA3CF3"/>
    <w:rsid w:val="00EA3F74"/>
    <w:rsid w:val="00EA45D2"/>
    <w:rsid w:val="00EA5595"/>
    <w:rsid w:val="00EA5C52"/>
    <w:rsid w:val="00EA6672"/>
    <w:rsid w:val="00EA6A13"/>
    <w:rsid w:val="00EA6D5D"/>
    <w:rsid w:val="00EA7253"/>
    <w:rsid w:val="00EA7EAA"/>
    <w:rsid w:val="00EB0670"/>
    <w:rsid w:val="00EB0943"/>
    <w:rsid w:val="00EB0E95"/>
    <w:rsid w:val="00EB10E9"/>
    <w:rsid w:val="00EB20BC"/>
    <w:rsid w:val="00EB2292"/>
    <w:rsid w:val="00EB2940"/>
    <w:rsid w:val="00EB2BF4"/>
    <w:rsid w:val="00EB31FF"/>
    <w:rsid w:val="00EB357E"/>
    <w:rsid w:val="00EB387F"/>
    <w:rsid w:val="00EB3B34"/>
    <w:rsid w:val="00EB3D81"/>
    <w:rsid w:val="00EB49F0"/>
    <w:rsid w:val="00EB4A03"/>
    <w:rsid w:val="00EB553C"/>
    <w:rsid w:val="00EB56D1"/>
    <w:rsid w:val="00EB58D5"/>
    <w:rsid w:val="00EB5B0D"/>
    <w:rsid w:val="00EB5DCC"/>
    <w:rsid w:val="00EB5E80"/>
    <w:rsid w:val="00EB6294"/>
    <w:rsid w:val="00EB640F"/>
    <w:rsid w:val="00EB6B10"/>
    <w:rsid w:val="00EB6B4F"/>
    <w:rsid w:val="00EB6FD2"/>
    <w:rsid w:val="00EB70FE"/>
    <w:rsid w:val="00EB7486"/>
    <w:rsid w:val="00EB74E2"/>
    <w:rsid w:val="00EB780C"/>
    <w:rsid w:val="00EC0AFB"/>
    <w:rsid w:val="00EC14DB"/>
    <w:rsid w:val="00EC1BB7"/>
    <w:rsid w:val="00EC2250"/>
    <w:rsid w:val="00EC24E1"/>
    <w:rsid w:val="00EC2FD3"/>
    <w:rsid w:val="00EC3832"/>
    <w:rsid w:val="00EC3BDC"/>
    <w:rsid w:val="00EC43E4"/>
    <w:rsid w:val="00EC47C2"/>
    <w:rsid w:val="00EC4DEE"/>
    <w:rsid w:val="00EC5134"/>
    <w:rsid w:val="00EC5350"/>
    <w:rsid w:val="00EC5627"/>
    <w:rsid w:val="00EC5688"/>
    <w:rsid w:val="00EC59ED"/>
    <w:rsid w:val="00EC62A8"/>
    <w:rsid w:val="00EC648B"/>
    <w:rsid w:val="00EC6F38"/>
    <w:rsid w:val="00EC708D"/>
    <w:rsid w:val="00EC7A11"/>
    <w:rsid w:val="00EC7AFF"/>
    <w:rsid w:val="00EC7FED"/>
    <w:rsid w:val="00ED02B8"/>
    <w:rsid w:val="00ED047A"/>
    <w:rsid w:val="00ED0A15"/>
    <w:rsid w:val="00ED0A5B"/>
    <w:rsid w:val="00ED0BC9"/>
    <w:rsid w:val="00ED15C9"/>
    <w:rsid w:val="00ED191A"/>
    <w:rsid w:val="00ED1B2B"/>
    <w:rsid w:val="00ED2107"/>
    <w:rsid w:val="00ED2831"/>
    <w:rsid w:val="00ED42C7"/>
    <w:rsid w:val="00ED43D1"/>
    <w:rsid w:val="00ED466F"/>
    <w:rsid w:val="00ED5C64"/>
    <w:rsid w:val="00ED5E3C"/>
    <w:rsid w:val="00ED5EF5"/>
    <w:rsid w:val="00ED6BA6"/>
    <w:rsid w:val="00ED6D4E"/>
    <w:rsid w:val="00ED73E7"/>
    <w:rsid w:val="00ED771B"/>
    <w:rsid w:val="00ED7801"/>
    <w:rsid w:val="00EE0164"/>
    <w:rsid w:val="00EE05A4"/>
    <w:rsid w:val="00EE0BDE"/>
    <w:rsid w:val="00EE0FCD"/>
    <w:rsid w:val="00EE1BA0"/>
    <w:rsid w:val="00EE24AA"/>
    <w:rsid w:val="00EE25F4"/>
    <w:rsid w:val="00EE2D0F"/>
    <w:rsid w:val="00EE3179"/>
    <w:rsid w:val="00EE345A"/>
    <w:rsid w:val="00EE44E5"/>
    <w:rsid w:val="00EE455A"/>
    <w:rsid w:val="00EE4EE1"/>
    <w:rsid w:val="00EE524F"/>
    <w:rsid w:val="00EE558F"/>
    <w:rsid w:val="00EE5FD8"/>
    <w:rsid w:val="00EE6848"/>
    <w:rsid w:val="00EE6B7F"/>
    <w:rsid w:val="00EE6CC2"/>
    <w:rsid w:val="00EE7DF9"/>
    <w:rsid w:val="00EF0310"/>
    <w:rsid w:val="00EF045F"/>
    <w:rsid w:val="00EF0BDD"/>
    <w:rsid w:val="00EF0C30"/>
    <w:rsid w:val="00EF0C83"/>
    <w:rsid w:val="00EF1845"/>
    <w:rsid w:val="00EF240D"/>
    <w:rsid w:val="00EF3C10"/>
    <w:rsid w:val="00EF3DE0"/>
    <w:rsid w:val="00EF41C5"/>
    <w:rsid w:val="00EF4574"/>
    <w:rsid w:val="00EF45C8"/>
    <w:rsid w:val="00EF534D"/>
    <w:rsid w:val="00EF5FB3"/>
    <w:rsid w:val="00EF609B"/>
    <w:rsid w:val="00EF684F"/>
    <w:rsid w:val="00EF6AA3"/>
    <w:rsid w:val="00EF6E0F"/>
    <w:rsid w:val="00EF70EB"/>
    <w:rsid w:val="00EF70F3"/>
    <w:rsid w:val="00EF749E"/>
    <w:rsid w:val="00EF7D7C"/>
    <w:rsid w:val="00F00A87"/>
    <w:rsid w:val="00F00AA6"/>
    <w:rsid w:val="00F00E6D"/>
    <w:rsid w:val="00F017E6"/>
    <w:rsid w:val="00F01A0D"/>
    <w:rsid w:val="00F023D6"/>
    <w:rsid w:val="00F0256F"/>
    <w:rsid w:val="00F02B6A"/>
    <w:rsid w:val="00F03D32"/>
    <w:rsid w:val="00F045CA"/>
    <w:rsid w:val="00F04C00"/>
    <w:rsid w:val="00F05600"/>
    <w:rsid w:val="00F05688"/>
    <w:rsid w:val="00F05AB3"/>
    <w:rsid w:val="00F05C3F"/>
    <w:rsid w:val="00F06193"/>
    <w:rsid w:val="00F07264"/>
    <w:rsid w:val="00F0791A"/>
    <w:rsid w:val="00F07C34"/>
    <w:rsid w:val="00F07F28"/>
    <w:rsid w:val="00F103DC"/>
    <w:rsid w:val="00F10CF6"/>
    <w:rsid w:val="00F11009"/>
    <w:rsid w:val="00F11277"/>
    <w:rsid w:val="00F117A3"/>
    <w:rsid w:val="00F118DE"/>
    <w:rsid w:val="00F11CC0"/>
    <w:rsid w:val="00F12628"/>
    <w:rsid w:val="00F12938"/>
    <w:rsid w:val="00F12955"/>
    <w:rsid w:val="00F129D8"/>
    <w:rsid w:val="00F12E9A"/>
    <w:rsid w:val="00F13569"/>
    <w:rsid w:val="00F13800"/>
    <w:rsid w:val="00F14C10"/>
    <w:rsid w:val="00F1518E"/>
    <w:rsid w:val="00F15585"/>
    <w:rsid w:val="00F15803"/>
    <w:rsid w:val="00F1606C"/>
    <w:rsid w:val="00F163FA"/>
    <w:rsid w:val="00F16AB0"/>
    <w:rsid w:val="00F16DE4"/>
    <w:rsid w:val="00F1715E"/>
    <w:rsid w:val="00F1752A"/>
    <w:rsid w:val="00F2017E"/>
    <w:rsid w:val="00F20672"/>
    <w:rsid w:val="00F20CD4"/>
    <w:rsid w:val="00F2112E"/>
    <w:rsid w:val="00F211AC"/>
    <w:rsid w:val="00F2129B"/>
    <w:rsid w:val="00F22BB3"/>
    <w:rsid w:val="00F23575"/>
    <w:rsid w:val="00F23721"/>
    <w:rsid w:val="00F23BC4"/>
    <w:rsid w:val="00F23D49"/>
    <w:rsid w:val="00F23F68"/>
    <w:rsid w:val="00F24379"/>
    <w:rsid w:val="00F2480B"/>
    <w:rsid w:val="00F24940"/>
    <w:rsid w:val="00F25257"/>
    <w:rsid w:val="00F25396"/>
    <w:rsid w:val="00F256E1"/>
    <w:rsid w:val="00F25A93"/>
    <w:rsid w:val="00F25E5E"/>
    <w:rsid w:val="00F25FA7"/>
    <w:rsid w:val="00F264F4"/>
    <w:rsid w:val="00F2684E"/>
    <w:rsid w:val="00F269B8"/>
    <w:rsid w:val="00F274B2"/>
    <w:rsid w:val="00F30736"/>
    <w:rsid w:val="00F307A1"/>
    <w:rsid w:val="00F318E2"/>
    <w:rsid w:val="00F31C5B"/>
    <w:rsid w:val="00F32694"/>
    <w:rsid w:val="00F327D9"/>
    <w:rsid w:val="00F332B4"/>
    <w:rsid w:val="00F3438A"/>
    <w:rsid w:val="00F34EBE"/>
    <w:rsid w:val="00F352D9"/>
    <w:rsid w:val="00F362D2"/>
    <w:rsid w:val="00F36A00"/>
    <w:rsid w:val="00F37CF9"/>
    <w:rsid w:val="00F40DC1"/>
    <w:rsid w:val="00F4114A"/>
    <w:rsid w:val="00F4121C"/>
    <w:rsid w:val="00F419C5"/>
    <w:rsid w:val="00F41E64"/>
    <w:rsid w:val="00F42093"/>
    <w:rsid w:val="00F42431"/>
    <w:rsid w:val="00F42F1C"/>
    <w:rsid w:val="00F4318F"/>
    <w:rsid w:val="00F4336E"/>
    <w:rsid w:val="00F436FC"/>
    <w:rsid w:val="00F43BA1"/>
    <w:rsid w:val="00F441AE"/>
    <w:rsid w:val="00F44E4B"/>
    <w:rsid w:val="00F451D8"/>
    <w:rsid w:val="00F452DB"/>
    <w:rsid w:val="00F45915"/>
    <w:rsid w:val="00F45C36"/>
    <w:rsid w:val="00F45D76"/>
    <w:rsid w:val="00F45D7D"/>
    <w:rsid w:val="00F468C1"/>
    <w:rsid w:val="00F46C8D"/>
    <w:rsid w:val="00F46E7E"/>
    <w:rsid w:val="00F46EC6"/>
    <w:rsid w:val="00F47D0C"/>
    <w:rsid w:val="00F47E0A"/>
    <w:rsid w:val="00F47F38"/>
    <w:rsid w:val="00F50BFF"/>
    <w:rsid w:val="00F512EF"/>
    <w:rsid w:val="00F5189D"/>
    <w:rsid w:val="00F51A82"/>
    <w:rsid w:val="00F51B21"/>
    <w:rsid w:val="00F51B28"/>
    <w:rsid w:val="00F5265A"/>
    <w:rsid w:val="00F52BF3"/>
    <w:rsid w:val="00F52D96"/>
    <w:rsid w:val="00F5404C"/>
    <w:rsid w:val="00F54130"/>
    <w:rsid w:val="00F557D3"/>
    <w:rsid w:val="00F55FFD"/>
    <w:rsid w:val="00F56028"/>
    <w:rsid w:val="00F56284"/>
    <w:rsid w:val="00F5642F"/>
    <w:rsid w:val="00F56A67"/>
    <w:rsid w:val="00F56B02"/>
    <w:rsid w:val="00F56F5E"/>
    <w:rsid w:val="00F5732D"/>
    <w:rsid w:val="00F57583"/>
    <w:rsid w:val="00F60156"/>
    <w:rsid w:val="00F608A2"/>
    <w:rsid w:val="00F60DCC"/>
    <w:rsid w:val="00F61151"/>
    <w:rsid w:val="00F618F0"/>
    <w:rsid w:val="00F62AFC"/>
    <w:rsid w:val="00F63250"/>
    <w:rsid w:val="00F63707"/>
    <w:rsid w:val="00F63E6F"/>
    <w:rsid w:val="00F64A45"/>
    <w:rsid w:val="00F64C38"/>
    <w:rsid w:val="00F652A4"/>
    <w:rsid w:val="00F652F4"/>
    <w:rsid w:val="00F65CC4"/>
    <w:rsid w:val="00F663CC"/>
    <w:rsid w:val="00F67071"/>
    <w:rsid w:val="00F674F8"/>
    <w:rsid w:val="00F677E9"/>
    <w:rsid w:val="00F67B9C"/>
    <w:rsid w:val="00F67EEF"/>
    <w:rsid w:val="00F701A7"/>
    <w:rsid w:val="00F7042A"/>
    <w:rsid w:val="00F70459"/>
    <w:rsid w:val="00F70ABE"/>
    <w:rsid w:val="00F710B6"/>
    <w:rsid w:val="00F71C30"/>
    <w:rsid w:val="00F71F92"/>
    <w:rsid w:val="00F723C3"/>
    <w:rsid w:val="00F7269B"/>
    <w:rsid w:val="00F729EF"/>
    <w:rsid w:val="00F738DB"/>
    <w:rsid w:val="00F738F5"/>
    <w:rsid w:val="00F73E29"/>
    <w:rsid w:val="00F744A2"/>
    <w:rsid w:val="00F74DC4"/>
    <w:rsid w:val="00F74E67"/>
    <w:rsid w:val="00F75A1F"/>
    <w:rsid w:val="00F75E57"/>
    <w:rsid w:val="00F7636B"/>
    <w:rsid w:val="00F76C28"/>
    <w:rsid w:val="00F76F52"/>
    <w:rsid w:val="00F7710C"/>
    <w:rsid w:val="00F772FD"/>
    <w:rsid w:val="00F77B44"/>
    <w:rsid w:val="00F77C62"/>
    <w:rsid w:val="00F77CAE"/>
    <w:rsid w:val="00F77F5C"/>
    <w:rsid w:val="00F802A0"/>
    <w:rsid w:val="00F8032C"/>
    <w:rsid w:val="00F80A0A"/>
    <w:rsid w:val="00F80BFC"/>
    <w:rsid w:val="00F80C41"/>
    <w:rsid w:val="00F80F8D"/>
    <w:rsid w:val="00F81744"/>
    <w:rsid w:val="00F817C0"/>
    <w:rsid w:val="00F820AE"/>
    <w:rsid w:val="00F82271"/>
    <w:rsid w:val="00F82332"/>
    <w:rsid w:val="00F824E8"/>
    <w:rsid w:val="00F83428"/>
    <w:rsid w:val="00F83B5D"/>
    <w:rsid w:val="00F846C5"/>
    <w:rsid w:val="00F84E08"/>
    <w:rsid w:val="00F85313"/>
    <w:rsid w:val="00F8545E"/>
    <w:rsid w:val="00F85CA3"/>
    <w:rsid w:val="00F865DD"/>
    <w:rsid w:val="00F87A8D"/>
    <w:rsid w:val="00F87C69"/>
    <w:rsid w:val="00F9045C"/>
    <w:rsid w:val="00F90652"/>
    <w:rsid w:val="00F90B56"/>
    <w:rsid w:val="00F91E06"/>
    <w:rsid w:val="00F9242C"/>
    <w:rsid w:val="00F92AFD"/>
    <w:rsid w:val="00F92C48"/>
    <w:rsid w:val="00F933D7"/>
    <w:rsid w:val="00F940D1"/>
    <w:rsid w:val="00F94E11"/>
    <w:rsid w:val="00F9537D"/>
    <w:rsid w:val="00F9556B"/>
    <w:rsid w:val="00F957EF"/>
    <w:rsid w:val="00F95B0F"/>
    <w:rsid w:val="00F95FA1"/>
    <w:rsid w:val="00F9622F"/>
    <w:rsid w:val="00F965C7"/>
    <w:rsid w:val="00F96B35"/>
    <w:rsid w:val="00F96BB9"/>
    <w:rsid w:val="00F970D6"/>
    <w:rsid w:val="00F97199"/>
    <w:rsid w:val="00F971DD"/>
    <w:rsid w:val="00F97BF6"/>
    <w:rsid w:val="00FA00BE"/>
    <w:rsid w:val="00FA0DA0"/>
    <w:rsid w:val="00FA108B"/>
    <w:rsid w:val="00FA1347"/>
    <w:rsid w:val="00FA26D9"/>
    <w:rsid w:val="00FA2702"/>
    <w:rsid w:val="00FA2DB8"/>
    <w:rsid w:val="00FA3C35"/>
    <w:rsid w:val="00FA49B3"/>
    <w:rsid w:val="00FA5598"/>
    <w:rsid w:val="00FA62E4"/>
    <w:rsid w:val="00FA66B3"/>
    <w:rsid w:val="00FA74A7"/>
    <w:rsid w:val="00FA7841"/>
    <w:rsid w:val="00FA7AF2"/>
    <w:rsid w:val="00FA7C5C"/>
    <w:rsid w:val="00FB07BD"/>
    <w:rsid w:val="00FB0FEA"/>
    <w:rsid w:val="00FB1B07"/>
    <w:rsid w:val="00FB2A41"/>
    <w:rsid w:val="00FB2A60"/>
    <w:rsid w:val="00FB2D84"/>
    <w:rsid w:val="00FB32FF"/>
    <w:rsid w:val="00FB3C5F"/>
    <w:rsid w:val="00FB432A"/>
    <w:rsid w:val="00FB451B"/>
    <w:rsid w:val="00FB53A7"/>
    <w:rsid w:val="00FB5B84"/>
    <w:rsid w:val="00FB5BD4"/>
    <w:rsid w:val="00FB744D"/>
    <w:rsid w:val="00FB7529"/>
    <w:rsid w:val="00FC14D7"/>
    <w:rsid w:val="00FC2FC9"/>
    <w:rsid w:val="00FC307D"/>
    <w:rsid w:val="00FC322F"/>
    <w:rsid w:val="00FC41FD"/>
    <w:rsid w:val="00FC48BC"/>
    <w:rsid w:val="00FC54E6"/>
    <w:rsid w:val="00FC5667"/>
    <w:rsid w:val="00FC57BA"/>
    <w:rsid w:val="00FC599D"/>
    <w:rsid w:val="00FC5BAE"/>
    <w:rsid w:val="00FC61A3"/>
    <w:rsid w:val="00FC6B19"/>
    <w:rsid w:val="00FC737C"/>
    <w:rsid w:val="00FC7625"/>
    <w:rsid w:val="00FC7FC2"/>
    <w:rsid w:val="00FD15D0"/>
    <w:rsid w:val="00FD16BA"/>
    <w:rsid w:val="00FD1B0E"/>
    <w:rsid w:val="00FD3D35"/>
    <w:rsid w:val="00FD3D5A"/>
    <w:rsid w:val="00FD4316"/>
    <w:rsid w:val="00FD454F"/>
    <w:rsid w:val="00FD5628"/>
    <w:rsid w:val="00FD5698"/>
    <w:rsid w:val="00FD5773"/>
    <w:rsid w:val="00FD5A52"/>
    <w:rsid w:val="00FD5EE9"/>
    <w:rsid w:val="00FD6109"/>
    <w:rsid w:val="00FD6248"/>
    <w:rsid w:val="00FD6449"/>
    <w:rsid w:val="00FD68D5"/>
    <w:rsid w:val="00FD6CAB"/>
    <w:rsid w:val="00FD7863"/>
    <w:rsid w:val="00FD7C2B"/>
    <w:rsid w:val="00FE06B6"/>
    <w:rsid w:val="00FE107F"/>
    <w:rsid w:val="00FE1215"/>
    <w:rsid w:val="00FE1B8C"/>
    <w:rsid w:val="00FE22FF"/>
    <w:rsid w:val="00FE237A"/>
    <w:rsid w:val="00FE311C"/>
    <w:rsid w:val="00FE3198"/>
    <w:rsid w:val="00FE3782"/>
    <w:rsid w:val="00FE3A5E"/>
    <w:rsid w:val="00FE56FC"/>
    <w:rsid w:val="00FE6D51"/>
    <w:rsid w:val="00FE6F2A"/>
    <w:rsid w:val="00FE7464"/>
    <w:rsid w:val="00FE79BF"/>
    <w:rsid w:val="00FE7B8C"/>
    <w:rsid w:val="00FF0D42"/>
    <w:rsid w:val="00FF0DF9"/>
    <w:rsid w:val="00FF0EE3"/>
    <w:rsid w:val="00FF113B"/>
    <w:rsid w:val="00FF119D"/>
    <w:rsid w:val="00FF181E"/>
    <w:rsid w:val="00FF21E1"/>
    <w:rsid w:val="00FF2373"/>
    <w:rsid w:val="00FF242E"/>
    <w:rsid w:val="00FF24A4"/>
    <w:rsid w:val="00FF2D99"/>
    <w:rsid w:val="00FF30C5"/>
    <w:rsid w:val="00FF38E0"/>
    <w:rsid w:val="00FF3969"/>
    <w:rsid w:val="00FF3F59"/>
    <w:rsid w:val="00FF42D1"/>
    <w:rsid w:val="00FF44A5"/>
    <w:rsid w:val="00FF4502"/>
    <w:rsid w:val="00FF4514"/>
    <w:rsid w:val="00FF5CC8"/>
    <w:rsid w:val="00FF641B"/>
    <w:rsid w:val="00FF65DA"/>
    <w:rsid w:val="00FF6B14"/>
    <w:rsid w:val="00FF745F"/>
    <w:rsid w:val="00FF79EC"/>
    <w:rsid w:val="00FF7AAF"/>
    <w:rsid w:val="00FF7AFD"/>
    <w:rsid w:val="011E935C"/>
    <w:rsid w:val="017F5AD6"/>
    <w:rsid w:val="0192F6DB"/>
    <w:rsid w:val="01985457"/>
    <w:rsid w:val="01EFDECA"/>
    <w:rsid w:val="022D4541"/>
    <w:rsid w:val="022F42BC"/>
    <w:rsid w:val="024838C1"/>
    <w:rsid w:val="025DD72C"/>
    <w:rsid w:val="025E0B3B"/>
    <w:rsid w:val="0275008A"/>
    <w:rsid w:val="02882FF8"/>
    <w:rsid w:val="029D2F71"/>
    <w:rsid w:val="02A8BD9E"/>
    <w:rsid w:val="03604BC2"/>
    <w:rsid w:val="0390BEEE"/>
    <w:rsid w:val="03AF188D"/>
    <w:rsid w:val="03BF6E27"/>
    <w:rsid w:val="03DEB9F0"/>
    <w:rsid w:val="044BAC19"/>
    <w:rsid w:val="048A9120"/>
    <w:rsid w:val="0498795B"/>
    <w:rsid w:val="04A10EA8"/>
    <w:rsid w:val="0528AB25"/>
    <w:rsid w:val="0537A957"/>
    <w:rsid w:val="056D953E"/>
    <w:rsid w:val="05749D28"/>
    <w:rsid w:val="05966B73"/>
    <w:rsid w:val="0597938A"/>
    <w:rsid w:val="05B2CD8D"/>
    <w:rsid w:val="05EDD992"/>
    <w:rsid w:val="05EE60C1"/>
    <w:rsid w:val="0638D483"/>
    <w:rsid w:val="06591DC5"/>
    <w:rsid w:val="06CF6B17"/>
    <w:rsid w:val="06EFAE3A"/>
    <w:rsid w:val="0711A127"/>
    <w:rsid w:val="073927E9"/>
    <w:rsid w:val="073982C9"/>
    <w:rsid w:val="075B3CD5"/>
    <w:rsid w:val="076259BE"/>
    <w:rsid w:val="0798B929"/>
    <w:rsid w:val="07BC6E38"/>
    <w:rsid w:val="07C884CF"/>
    <w:rsid w:val="07E8B6FE"/>
    <w:rsid w:val="07EDAF27"/>
    <w:rsid w:val="07FA0F24"/>
    <w:rsid w:val="0814FF5B"/>
    <w:rsid w:val="08678D79"/>
    <w:rsid w:val="08D08ECD"/>
    <w:rsid w:val="08D6360E"/>
    <w:rsid w:val="08DF5B99"/>
    <w:rsid w:val="090F7158"/>
    <w:rsid w:val="0914AC3C"/>
    <w:rsid w:val="0921721C"/>
    <w:rsid w:val="0925B5E6"/>
    <w:rsid w:val="09273D72"/>
    <w:rsid w:val="094902C8"/>
    <w:rsid w:val="094BB4CD"/>
    <w:rsid w:val="0995E7B1"/>
    <w:rsid w:val="09978AEB"/>
    <w:rsid w:val="099B40C5"/>
    <w:rsid w:val="09CDF854"/>
    <w:rsid w:val="0A15BBEE"/>
    <w:rsid w:val="0A5C727D"/>
    <w:rsid w:val="0A78E48F"/>
    <w:rsid w:val="0A940C7A"/>
    <w:rsid w:val="0AAC47A6"/>
    <w:rsid w:val="0ABF0676"/>
    <w:rsid w:val="0AE8B1B0"/>
    <w:rsid w:val="0AEFE1F1"/>
    <w:rsid w:val="0B5B086B"/>
    <w:rsid w:val="0B60EEF7"/>
    <w:rsid w:val="0B6CEDEB"/>
    <w:rsid w:val="0B8892A8"/>
    <w:rsid w:val="0BB29D0A"/>
    <w:rsid w:val="0C29B30F"/>
    <w:rsid w:val="0C4F0D36"/>
    <w:rsid w:val="0C540520"/>
    <w:rsid w:val="0C78F9E2"/>
    <w:rsid w:val="0C97B4E9"/>
    <w:rsid w:val="0CA40F75"/>
    <w:rsid w:val="0CAA33D3"/>
    <w:rsid w:val="0D137C3A"/>
    <w:rsid w:val="0D789505"/>
    <w:rsid w:val="0D8E247C"/>
    <w:rsid w:val="0D9DEA06"/>
    <w:rsid w:val="0DB71A85"/>
    <w:rsid w:val="0DBBA3A5"/>
    <w:rsid w:val="0DD34687"/>
    <w:rsid w:val="0DE07F05"/>
    <w:rsid w:val="0E0E054C"/>
    <w:rsid w:val="0E1FA439"/>
    <w:rsid w:val="0E4C3235"/>
    <w:rsid w:val="0E6C8C6E"/>
    <w:rsid w:val="0E92318B"/>
    <w:rsid w:val="0EA0BD73"/>
    <w:rsid w:val="0ED02007"/>
    <w:rsid w:val="0F2950FE"/>
    <w:rsid w:val="0F986E7F"/>
    <w:rsid w:val="0FADA874"/>
    <w:rsid w:val="0FB2AAB4"/>
    <w:rsid w:val="0FBE53D8"/>
    <w:rsid w:val="0FE82B4D"/>
    <w:rsid w:val="10079059"/>
    <w:rsid w:val="105326F6"/>
    <w:rsid w:val="108AC652"/>
    <w:rsid w:val="108CFA2A"/>
    <w:rsid w:val="10942E38"/>
    <w:rsid w:val="1097FA24"/>
    <w:rsid w:val="10C2E5C0"/>
    <w:rsid w:val="10E2FF2B"/>
    <w:rsid w:val="110587BA"/>
    <w:rsid w:val="1116D2EA"/>
    <w:rsid w:val="112B051D"/>
    <w:rsid w:val="114E589A"/>
    <w:rsid w:val="114F57F2"/>
    <w:rsid w:val="116CE782"/>
    <w:rsid w:val="1182DDC5"/>
    <w:rsid w:val="118E8268"/>
    <w:rsid w:val="11F11D54"/>
    <w:rsid w:val="1238207D"/>
    <w:rsid w:val="123DA3D0"/>
    <w:rsid w:val="1243438D"/>
    <w:rsid w:val="126779F0"/>
    <w:rsid w:val="12AFC6B4"/>
    <w:rsid w:val="12B46876"/>
    <w:rsid w:val="12BEB5F4"/>
    <w:rsid w:val="130927AB"/>
    <w:rsid w:val="1309B9C7"/>
    <w:rsid w:val="1318614F"/>
    <w:rsid w:val="13303386"/>
    <w:rsid w:val="134C8F24"/>
    <w:rsid w:val="13B6BB4B"/>
    <w:rsid w:val="13CED03C"/>
    <w:rsid w:val="13DF65E7"/>
    <w:rsid w:val="13FDAB1E"/>
    <w:rsid w:val="1465ADB5"/>
    <w:rsid w:val="146FCEB0"/>
    <w:rsid w:val="148EBB1A"/>
    <w:rsid w:val="14A195C9"/>
    <w:rsid w:val="14B2B7DA"/>
    <w:rsid w:val="14BAF45B"/>
    <w:rsid w:val="151FBC0C"/>
    <w:rsid w:val="153663F2"/>
    <w:rsid w:val="15377F26"/>
    <w:rsid w:val="1545911F"/>
    <w:rsid w:val="1573CF04"/>
    <w:rsid w:val="15A3472F"/>
    <w:rsid w:val="15E9F49B"/>
    <w:rsid w:val="161E66B9"/>
    <w:rsid w:val="1650CE58"/>
    <w:rsid w:val="167EC57B"/>
    <w:rsid w:val="168B90A3"/>
    <w:rsid w:val="1690BCA6"/>
    <w:rsid w:val="16BD959D"/>
    <w:rsid w:val="16E59D93"/>
    <w:rsid w:val="16EE4B31"/>
    <w:rsid w:val="171B147D"/>
    <w:rsid w:val="171E062C"/>
    <w:rsid w:val="1752402E"/>
    <w:rsid w:val="17635272"/>
    <w:rsid w:val="1808ABC7"/>
    <w:rsid w:val="1845A7F6"/>
    <w:rsid w:val="184C9CB4"/>
    <w:rsid w:val="18755AF4"/>
    <w:rsid w:val="188582D0"/>
    <w:rsid w:val="18BED001"/>
    <w:rsid w:val="18C26A94"/>
    <w:rsid w:val="19308F12"/>
    <w:rsid w:val="195E60C4"/>
    <w:rsid w:val="196C0E92"/>
    <w:rsid w:val="1986A4C3"/>
    <w:rsid w:val="19A3DB06"/>
    <w:rsid w:val="19EBE28D"/>
    <w:rsid w:val="1A2D81B3"/>
    <w:rsid w:val="1A62846C"/>
    <w:rsid w:val="1A751194"/>
    <w:rsid w:val="1AA02C71"/>
    <w:rsid w:val="1ABDCE60"/>
    <w:rsid w:val="1B1957EB"/>
    <w:rsid w:val="1B1DD4E1"/>
    <w:rsid w:val="1B444040"/>
    <w:rsid w:val="1B7BB951"/>
    <w:rsid w:val="1B847C42"/>
    <w:rsid w:val="1B8E758B"/>
    <w:rsid w:val="1B8E8A2E"/>
    <w:rsid w:val="1BAFB378"/>
    <w:rsid w:val="1BCFDDD9"/>
    <w:rsid w:val="1BD807CD"/>
    <w:rsid w:val="1C3F4BE4"/>
    <w:rsid w:val="1C541E1A"/>
    <w:rsid w:val="1C6F3A93"/>
    <w:rsid w:val="1C877F70"/>
    <w:rsid w:val="1C91495C"/>
    <w:rsid w:val="1CA571D7"/>
    <w:rsid w:val="1CDE4E94"/>
    <w:rsid w:val="1CE273CE"/>
    <w:rsid w:val="1D00C2F1"/>
    <w:rsid w:val="1D5F3EF8"/>
    <w:rsid w:val="1D64B9F0"/>
    <w:rsid w:val="1D65DDA4"/>
    <w:rsid w:val="1D81BD5B"/>
    <w:rsid w:val="1D8C29B9"/>
    <w:rsid w:val="1D9C0FCA"/>
    <w:rsid w:val="1DA68EDB"/>
    <w:rsid w:val="1DA77621"/>
    <w:rsid w:val="1DC01C28"/>
    <w:rsid w:val="1E0E0260"/>
    <w:rsid w:val="1E2A7DC4"/>
    <w:rsid w:val="1E311296"/>
    <w:rsid w:val="1E46D861"/>
    <w:rsid w:val="1E715973"/>
    <w:rsid w:val="1F2B1F12"/>
    <w:rsid w:val="1F72103D"/>
    <w:rsid w:val="1F8D59FC"/>
    <w:rsid w:val="1FC4AF7A"/>
    <w:rsid w:val="1FDB9C12"/>
    <w:rsid w:val="1FF64BB8"/>
    <w:rsid w:val="1FFB2BF5"/>
    <w:rsid w:val="2012F6C0"/>
    <w:rsid w:val="2029C202"/>
    <w:rsid w:val="203CDC7B"/>
    <w:rsid w:val="20593664"/>
    <w:rsid w:val="20893C68"/>
    <w:rsid w:val="20BB254D"/>
    <w:rsid w:val="210E5B9A"/>
    <w:rsid w:val="21195F5B"/>
    <w:rsid w:val="212BFADC"/>
    <w:rsid w:val="21536892"/>
    <w:rsid w:val="21A8835F"/>
    <w:rsid w:val="21C0F913"/>
    <w:rsid w:val="21D3CE72"/>
    <w:rsid w:val="22294378"/>
    <w:rsid w:val="224E287E"/>
    <w:rsid w:val="22896199"/>
    <w:rsid w:val="22988230"/>
    <w:rsid w:val="229D205B"/>
    <w:rsid w:val="22BC8E76"/>
    <w:rsid w:val="231A1FC2"/>
    <w:rsid w:val="23279E68"/>
    <w:rsid w:val="23286D74"/>
    <w:rsid w:val="2331AFA1"/>
    <w:rsid w:val="2373171C"/>
    <w:rsid w:val="23A2733D"/>
    <w:rsid w:val="23D0E3C8"/>
    <w:rsid w:val="23F4CFD0"/>
    <w:rsid w:val="247DB4DA"/>
    <w:rsid w:val="24929155"/>
    <w:rsid w:val="24BA4984"/>
    <w:rsid w:val="24CDE38A"/>
    <w:rsid w:val="24E46DFF"/>
    <w:rsid w:val="24E7B642"/>
    <w:rsid w:val="24E9FA19"/>
    <w:rsid w:val="2504915B"/>
    <w:rsid w:val="252C8174"/>
    <w:rsid w:val="25874171"/>
    <w:rsid w:val="2593EEDA"/>
    <w:rsid w:val="25D96D12"/>
    <w:rsid w:val="25EE1327"/>
    <w:rsid w:val="26168558"/>
    <w:rsid w:val="261C0B98"/>
    <w:rsid w:val="2620B3F2"/>
    <w:rsid w:val="262E61B6"/>
    <w:rsid w:val="26586D3E"/>
    <w:rsid w:val="26FED0C0"/>
    <w:rsid w:val="27064277"/>
    <w:rsid w:val="276FE5CB"/>
    <w:rsid w:val="279B19C9"/>
    <w:rsid w:val="27D4206F"/>
    <w:rsid w:val="27E78B6A"/>
    <w:rsid w:val="27F1EC8E"/>
    <w:rsid w:val="280B2051"/>
    <w:rsid w:val="281943D2"/>
    <w:rsid w:val="284F7303"/>
    <w:rsid w:val="28622666"/>
    <w:rsid w:val="28A8EE3C"/>
    <w:rsid w:val="28D5B2F1"/>
    <w:rsid w:val="28FAFACF"/>
    <w:rsid w:val="293E9906"/>
    <w:rsid w:val="2967CE65"/>
    <w:rsid w:val="298D9D77"/>
    <w:rsid w:val="299CAF6B"/>
    <w:rsid w:val="2A26136A"/>
    <w:rsid w:val="2A4FB1A2"/>
    <w:rsid w:val="2A97FDC4"/>
    <w:rsid w:val="2A9930F9"/>
    <w:rsid w:val="2AA6F7CC"/>
    <w:rsid w:val="2AC34955"/>
    <w:rsid w:val="2ACE52EA"/>
    <w:rsid w:val="2B572A86"/>
    <w:rsid w:val="2B762BFF"/>
    <w:rsid w:val="2B93A646"/>
    <w:rsid w:val="2BC98383"/>
    <w:rsid w:val="2BE74DF7"/>
    <w:rsid w:val="2BEB2039"/>
    <w:rsid w:val="2BF88AF2"/>
    <w:rsid w:val="2C0A4E89"/>
    <w:rsid w:val="2C1DC570"/>
    <w:rsid w:val="2C2CC338"/>
    <w:rsid w:val="2C4AAB30"/>
    <w:rsid w:val="2C769A0D"/>
    <w:rsid w:val="2CA2C6DD"/>
    <w:rsid w:val="2CB58147"/>
    <w:rsid w:val="2D02B2C5"/>
    <w:rsid w:val="2D091141"/>
    <w:rsid w:val="2D226E20"/>
    <w:rsid w:val="2D4F023A"/>
    <w:rsid w:val="2D533FF4"/>
    <w:rsid w:val="2D54D984"/>
    <w:rsid w:val="2D897910"/>
    <w:rsid w:val="2D8BDFE8"/>
    <w:rsid w:val="2DDF990B"/>
    <w:rsid w:val="2DE0F016"/>
    <w:rsid w:val="2DFD5895"/>
    <w:rsid w:val="2E4947D5"/>
    <w:rsid w:val="2EB2608B"/>
    <w:rsid w:val="2ED60AEA"/>
    <w:rsid w:val="2EE0D59F"/>
    <w:rsid w:val="2F04B311"/>
    <w:rsid w:val="2F27D31C"/>
    <w:rsid w:val="2F3F2D68"/>
    <w:rsid w:val="2F79B8B2"/>
    <w:rsid w:val="2F82E16F"/>
    <w:rsid w:val="2FB074AC"/>
    <w:rsid w:val="3025C83C"/>
    <w:rsid w:val="3064068B"/>
    <w:rsid w:val="3077EAE5"/>
    <w:rsid w:val="30AFEE2D"/>
    <w:rsid w:val="30BEE6D2"/>
    <w:rsid w:val="30F29708"/>
    <w:rsid w:val="30F54FF0"/>
    <w:rsid w:val="30FE9206"/>
    <w:rsid w:val="312293EA"/>
    <w:rsid w:val="31BEC5D1"/>
    <w:rsid w:val="31C16E56"/>
    <w:rsid w:val="31D4A004"/>
    <w:rsid w:val="3245BCDB"/>
    <w:rsid w:val="3258BDD1"/>
    <w:rsid w:val="32A2086F"/>
    <w:rsid w:val="32C58942"/>
    <w:rsid w:val="32C71992"/>
    <w:rsid w:val="32C91365"/>
    <w:rsid w:val="32E43D5A"/>
    <w:rsid w:val="32F252CB"/>
    <w:rsid w:val="331A1390"/>
    <w:rsid w:val="333A7DEF"/>
    <w:rsid w:val="3347CE41"/>
    <w:rsid w:val="33C61154"/>
    <w:rsid w:val="34059696"/>
    <w:rsid w:val="34072C60"/>
    <w:rsid w:val="3421EF11"/>
    <w:rsid w:val="346BB0BB"/>
    <w:rsid w:val="34B21E95"/>
    <w:rsid w:val="34D27CFF"/>
    <w:rsid w:val="34E0B618"/>
    <w:rsid w:val="350DE260"/>
    <w:rsid w:val="352EEBDC"/>
    <w:rsid w:val="353A3725"/>
    <w:rsid w:val="353BCB6E"/>
    <w:rsid w:val="3563960C"/>
    <w:rsid w:val="359192BF"/>
    <w:rsid w:val="35BC8A76"/>
    <w:rsid w:val="36170CFB"/>
    <w:rsid w:val="36277DE4"/>
    <w:rsid w:val="364C369D"/>
    <w:rsid w:val="3658DDF6"/>
    <w:rsid w:val="3660F489"/>
    <w:rsid w:val="36A55231"/>
    <w:rsid w:val="36BF3246"/>
    <w:rsid w:val="36C861A0"/>
    <w:rsid w:val="372DF7FA"/>
    <w:rsid w:val="372FBB3F"/>
    <w:rsid w:val="3745432F"/>
    <w:rsid w:val="37510DA6"/>
    <w:rsid w:val="375CCA88"/>
    <w:rsid w:val="3775AB66"/>
    <w:rsid w:val="377E46EB"/>
    <w:rsid w:val="379B1A08"/>
    <w:rsid w:val="37C79EF9"/>
    <w:rsid w:val="37D96128"/>
    <w:rsid w:val="37DCBDEB"/>
    <w:rsid w:val="37E84367"/>
    <w:rsid w:val="37ECD2B8"/>
    <w:rsid w:val="37FC1CFD"/>
    <w:rsid w:val="380BCE6D"/>
    <w:rsid w:val="38286A62"/>
    <w:rsid w:val="384F709E"/>
    <w:rsid w:val="385D2AB6"/>
    <w:rsid w:val="38B5BB5C"/>
    <w:rsid w:val="38BA917C"/>
    <w:rsid w:val="38D3EF3B"/>
    <w:rsid w:val="38D9DA11"/>
    <w:rsid w:val="3912237A"/>
    <w:rsid w:val="3913F9E8"/>
    <w:rsid w:val="394ABE16"/>
    <w:rsid w:val="394C32BC"/>
    <w:rsid w:val="39626468"/>
    <w:rsid w:val="398619AF"/>
    <w:rsid w:val="398D46B7"/>
    <w:rsid w:val="3999CD19"/>
    <w:rsid w:val="39A0BDA5"/>
    <w:rsid w:val="39B4B755"/>
    <w:rsid w:val="39CDA6B2"/>
    <w:rsid w:val="39F77365"/>
    <w:rsid w:val="3A046C62"/>
    <w:rsid w:val="3A32F74E"/>
    <w:rsid w:val="3A47D597"/>
    <w:rsid w:val="3ABBBDED"/>
    <w:rsid w:val="3AC8897E"/>
    <w:rsid w:val="3AD263E8"/>
    <w:rsid w:val="3AD62807"/>
    <w:rsid w:val="3ADFA964"/>
    <w:rsid w:val="3AE885DE"/>
    <w:rsid w:val="3AF1DB9E"/>
    <w:rsid w:val="3B538B69"/>
    <w:rsid w:val="3B6C1808"/>
    <w:rsid w:val="3B79D89E"/>
    <w:rsid w:val="3B7AE7B4"/>
    <w:rsid w:val="3BB6078A"/>
    <w:rsid w:val="3BC770CF"/>
    <w:rsid w:val="3BD6CFA9"/>
    <w:rsid w:val="3C1E0D06"/>
    <w:rsid w:val="3C24AF22"/>
    <w:rsid w:val="3C489CE9"/>
    <w:rsid w:val="3C51DF75"/>
    <w:rsid w:val="3C693069"/>
    <w:rsid w:val="3C69A52C"/>
    <w:rsid w:val="3CB336AB"/>
    <w:rsid w:val="3CDD3B53"/>
    <w:rsid w:val="3CE6E46A"/>
    <w:rsid w:val="3CEB2094"/>
    <w:rsid w:val="3CF7E5BB"/>
    <w:rsid w:val="3D0FFE57"/>
    <w:rsid w:val="3D15A8FF"/>
    <w:rsid w:val="3D1FF6A2"/>
    <w:rsid w:val="3D317778"/>
    <w:rsid w:val="3D4B8E01"/>
    <w:rsid w:val="3D8546A2"/>
    <w:rsid w:val="3DA41915"/>
    <w:rsid w:val="3DB003BE"/>
    <w:rsid w:val="3DB1C6BF"/>
    <w:rsid w:val="3DBBA8C3"/>
    <w:rsid w:val="3DCFABB6"/>
    <w:rsid w:val="3DDE7776"/>
    <w:rsid w:val="3DE1E4D6"/>
    <w:rsid w:val="3DEDAFD6"/>
    <w:rsid w:val="3E306528"/>
    <w:rsid w:val="3E4DE37A"/>
    <w:rsid w:val="3F0A7093"/>
    <w:rsid w:val="3F1F05BF"/>
    <w:rsid w:val="3F29E918"/>
    <w:rsid w:val="3F437B80"/>
    <w:rsid w:val="3F473CF3"/>
    <w:rsid w:val="3FB2A2F5"/>
    <w:rsid w:val="3FB96079"/>
    <w:rsid w:val="3FC921D6"/>
    <w:rsid w:val="3FCE9664"/>
    <w:rsid w:val="3FD510CC"/>
    <w:rsid w:val="40305FF3"/>
    <w:rsid w:val="40EE63F3"/>
    <w:rsid w:val="415DB93E"/>
    <w:rsid w:val="4162B465"/>
    <w:rsid w:val="4169311A"/>
    <w:rsid w:val="41854654"/>
    <w:rsid w:val="41BE0764"/>
    <w:rsid w:val="41BF5F80"/>
    <w:rsid w:val="41D745F1"/>
    <w:rsid w:val="41D9B449"/>
    <w:rsid w:val="4240ECE5"/>
    <w:rsid w:val="424A2A49"/>
    <w:rsid w:val="426C6310"/>
    <w:rsid w:val="4270F972"/>
    <w:rsid w:val="42861CF4"/>
    <w:rsid w:val="429A1D52"/>
    <w:rsid w:val="42B1A9A7"/>
    <w:rsid w:val="42C290F8"/>
    <w:rsid w:val="42C90EA9"/>
    <w:rsid w:val="42FA2D2E"/>
    <w:rsid w:val="43030161"/>
    <w:rsid w:val="43043BD3"/>
    <w:rsid w:val="43131821"/>
    <w:rsid w:val="432BF775"/>
    <w:rsid w:val="4342BECD"/>
    <w:rsid w:val="43BB2627"/>
    <w:rsid w:val="43C400CE"/>
    <w:rsid w:val="43C8D68A"/>
    <w:rsid w:val="43CAEFAA"/>
    <w:rsid w:val="440E11DA"/>
    <w:rsid w:val="446F6EE6"/>
    <w:rsid w:val="44840741"/>
    <w:rsid w:val="44849075"/>
    <w:rsid w:val="448AA7AA"/>
    <w:rsid w:val="4496DE5F"/>
    <w:rsid w:val="44BBA8DD"/>
    <w:rsid w:val="44C6E056"/>
    <w:rsid w:val="44F4AE12"/>
    <w:rsid w:val="44F8EA71"/>
    <w:rsid w:val="451A7EED"/>
    <w:rsid w:val="4535E3C1"/>
    <w:rsid w:val="453D80BF"/>
    <w:rsid w:val="45678083"/>
    <w:rsid w:val="45685BDA"/>
    <w:rsid w:val="45779E11"/>
    <w:rsid w:val="4585918B"/>
    <w:rsid w:val="45BD7B87"/>
    <w:rsid w:val="45CFEA00"/>
    <w:rsid w:val="45DA5F9A"/>
    <w:rsid w:val="45DB4BD2"/>
    <w:rsid w:val="46180442"/>
    <w:rsid w:val="4627F0D4"/>
    <w:rsid w:val="4643FEDC"/>
    <w:rsid w:val="469D8B98"/>
    <w:rsid w:val="46A99379"/>
    <w:rsid w:val="46BBBBDA"/>
    <w:rsid w:val="46E0A4ED"/>
    <w:rsid w:val="4718B4AE"/>
    <w:rsid w:val="47206FE6"/>
    <w:rsid w:val="4775066C"/>
    <w:rsid w:val="47C4482A"/>
    <w:rsid w:val="48322288"/>
    <w:rsid w:val="48425115"/>
    <w:rsid w:val="484D4A08"/>
    <w:rsid w:val="4852F575"/>
    <w:rsid w:val="4873ABE5"/>
    <w:rsid w:val="48873D10"/>
    <w:rsid w:val="490AAA03"/>
    <w:rsid w:val="49432DDF"/>
    <w:rsid w:val="49C63E83"/>
    <w:rsid w:val="49DFF996"/>
    <w:rsid w:val="4A38F095"/>
    <w:rsid w:val="4A3CC9AA"/>
    <w:rsid w:val="4A50E6C7"/>
    <w:rsid w:val="4A644818"/>
    <w:rsid w:val="4A747A35"/>
    <w:rsid w:val="4A7B4212"/>
    <w:rsid w:val="4AB4244F"/>
    <w:rsid w:val="4AFA62EE"/>
    <w:rsid w:val="4B13924A"/>
    <w:rsid w:val="4B458BAD"/>
    <w:rsid w:val="4B4AD334"/>
    <w:rsid w:val="4B72BB30"/>
    <w:rsid w:val="4B8710ED"/>
    <w:rsid w:val="4B9DCBE1"/>
    <w:rsid w:val="4BB15929"/>
    <w:rsid w:val="4C5DE753"/>
    <w:rsid w:val="4C83B116"/>
    <w:rsid w:val="4CA58D83"/>
    <w:rsid w:val="4CCDFB7D"/>
    <w:rsid w:val="4CD71CA9"/>
    <w:rsid w:val="4CEA237C"/>
    <w:rsid w:val="4D45DFF8"/>
    <w:rsid w:val="4D8B4C57"/>
    <w:rsid w:val="4DA64E9D"/>
    <w:rsid w:val="4DC3B8D8"/>
    <w:rsid w:val="4DE4BFA0"/>
    <w:rsid w:val="4DF553AD"/>
    <w:rsid w:val="4DF6F145"/>
    <w:rsid w:val="4E079997"/>
    <w:rsid w:val="4E14F7BC"/>
    <w:rsid w:val="4E5B691B"/>
    <w:rsid w:val="4E5C6DDE"/>
    <w:rsid w:val="4EAC758A"/>
    <w:rsid w:val="4EB34D44"/>
    <w:rsid w:val="4EB51463"/>
    <w:rsid w:val="4F0070B8"/>
    <w:rsid w:val="4F5FE175"/>
    <w:rsid w:val="4F770811"/>
    <w:rsid w:val="4F80DA4C"/>
    <w:rsid w:val="4F9AC51D"/>
    <w:rsid w:val="50837F9C"/>
    <w:rsid w:val="50C5099A"/>
    <w:rsid w:val="512D9C80"/>
    <w:rsid w:val="5193874B"/>
    <w:rsid w:val="51B10BCD"/>
    <w:rsid w:val="51C2EF74"/>
    <w:rsid w:val="51FCD7F1"/>
    <w:rsid w:val="52418094"/>
    <w:rsid w:val="524C71AA"/>
    <w:rsid w:val="5263BCBB"/>
    <w:rsid w:val="52788AA8"/>
    <w:rsid w:val="528DEAA2"/>
    <w:rsid w:val="52905A18"/>
    <w:rsid w:val="52B586FF"/>
    <w:rsid w:val="52C52E37"/>
    <w:rsid w:val="52CBF9B8"/>
    <w:rsid w:val="52F11A3E"/>
    <w:rsid w:val="5322A56B"/>
    <w:rsid w:val="53285CC3"/>
    <w:rsid w:val="532D099C"/>
    <w:rsid w:val="533D5944"/>
    <w:rsid w:val="533EB362"/>
    <w:rsid w:val="5350F463"/>
    <w:rsid w:val="53E74778"/>
    <w:rsid w:val="53F0F239"/>
    <w:rsid w:val="53F94DB7"/>
    <w:rsid w:val="5441848E"/>
    <w:rsid w:val="5444E13A"/>
    <w:rsid w:val="545920E5"/>
    <w:rsid w:val="54634E6F"/>
    <w:rsid w:val="54FEC516"/>
    <w:rsid w:val="550D34E8"/>
    <w:rsid w:val="550D8B1C"/>
    <w:rsid w:val="55126DF9"/>
    <w:rsid w:val="5573C81F"/>
    <w:rsid w:val="55F3623B"/>
    <w:rsid w:val="560F6D48"/>
    <w:rsid w:val="56223559"/>
    <w:rsid w:val="565BE193"/>
    <w:rsid w:val="56629426"/>
    <w:rsid w:val="566D1837"/>
    <w:rsid w:val="56779139"/>
    <w:rsid w:val="56A876B3"/>
    <w:rsid w:val="56ECF934"/>
    <w:rsid w:val="56F92899"/>
    <w:rsid w:val="5719CDFF"/>
    <w:rsid w:val="5745075B"/>
    <w:rsid w:val="5751A781"/>
    <w:rsid w:val="57BD11E3"/>
    <w:rsid w:val="582AF4AB"/>
    <w:rsid w:val="5853D45E"/>
    <w:rsid w:val="586B0BAF"/>
    <w:rsid w:val="58B1622D"/>
    <w:rsid w:val="58DCA37A"/>
    <w:rsid w:val="5908145E"/>
    <w:rsid w:val="5921C7D2"/>
    <w:rsid w:val="5940E1D0"/>
    <w:rsid w:val="5954959E"/>
    <w:rsid w:val="59A61BB0"/>
    <w:rsid w:val="59ECC375"/>
    <w:rsid w:val="5A3EFF6A"/>
    <w:rsid w:val="5A7E1400"/>
    <w:rsid w:val="5A99ECEA"/>
    <w:rsid w:val="5AB05843"/>
    <w:rsid w:val="5AB67E9F"/>
    <w:rsid w:val="5ADB57FE"/>
    <w:rsid w:val="5B7DC728"/>
    <w:rsid w:val="5BB27041"/>
    <w:rsid w:val="5BC9FACF"/>
    <w:rsid w:val="5BD0CD48"/>
    <w:rsid w:val="5C30E290"/>
    <w:rsid w:val="5CB54C52"/>
    <w:rsid w:val="5CC3684C"/>
    <w:rsid w:val="5CEE99A5"/>
    <w:rsid w:val="5D0A3F9A"/>
    <w:rsid w:val="5D1A8946"/>
    <w:rsid w:val="5D28113D"/>
    <w:rsid w:val="5D331D75"/>
    <w:rsid w:val="5D4BEA9C"/>
    <w:rsid w:val="5D919E9A"/>
    <w:rsid w:val="5D9631E8"/>
    <w:rsid w:val="5DA16CDF"/>
    <w:rsid w:val="5DA95DFF"/>
    <w:rsid w:val="5DAFA4FD"/>
    <w:rsid w:val="5DE747EB"/>
    <w:rsid w:val="5DEAC023"/>
    <w:rsid w:val="5E09A060"/>
    <w:rsid w:val="5E36E3F4"/>
    <w:rsid w:val="5E606D6C"/>
    <w:rsid w:val="5E6A54ED"/>
    <w:rsid w:val="5E76CD7B"/>
    <w:rsid w:val="5E7D7860"/>
    <w:rsid w:val="5E851539"/>
    <w:rsid w:val="5EA2F98B"/>
    <w:rsid w:val="5EAAB4AC"/>
    <w:rsid w:val="5ED96B0D"/>
    <w:rsid w:val="5EDD7D9A"/>
    <w:rsid w:val="5EE0B9DA"/>
    <w:rsid w:val="5EEE415E"/>
    <w:rsid w:val="5F11B1E1"/>
    <w:rsid w:val="5F3CA64B"/>
    <w:rsid w:val="5F455D72"/>
    <w:rsid w:val="5F97411D"/>
    <w:rsid w:val="5FAF65F5"/>
    <w:rsid w:val="5FDC964B"/>
    <w:rsid w:val="60215BBE"/>
    <w:rsid w:val="603AD28F"/>
    <w:rsid w:val="603C3065"/>
    <w:rsid w:val="603D75DD"/>
    <w:rsid w:val="606730D4"/>
    <w:rsid w:val="6077BD3C"/>
    <w:rsid w:val="608F3899"/>
    <w:rsid w:val="60CA4209"/>
    <w:rsid w:val="60E211D3"/>
    <w:rsid w:val="60FD0998"/>
    <w:rsid w:val="61103453"/>
    <w:rsid w:val="6110DE9F"/>
    <w:rsid w:val="6141F093"/>
    <w:rsid w:val="616DDE1D"/>
    <w:rsid w:val="617CFE89"/>
    <w:rsid w:val="6182BEB4"/>
    <w:rsid w:val="619767A4"/>
    <w:rsid w:val="61AA57AC"/>
    <w:rsid w:val="61DAA356"/>
    <w:rsid w:val="61E8C913"/>
    <w:rsid w:val="61F9B2A4"/>
    <w:rsid w:val="6224D29C"/>
    <w:rsid w:val="6243C4A3"/>
    <w:rsid w:val="624E1E5D"/>
    <w:rsid w:val="6258FA02"/>
    <w:rsid w:val="625C2CB8"/>
    <w:rsid w:val="62643A6E"/>
    <w:rsid w:val="630A1245"/>
    <w:rsid w:val="633CF423"/>
    <w:rsid w:val="633FA938"/>
    <w:rsid w:val="634A1CB0"/>
    <w:rsid w:val="63720BF3"/>
    <w:rsid w:val="637C5885"/>
    <w:rsid w:val="6402CC08"/>
    <w:rsid w:val="641350CF"/>
    <w:rsid w:val="642BFBA8"/>
    <w:rsid w:val="6431AD8D"/>
    <w:rsid w:val="6438233D"/>
    <w:rsid w:val="64505A9D"/>
    <w:rsid w:val="64C71A33"/>
    <w:rsid w:val="64C98E58"/>
    <w:rsid w:val="64CAB159"/>
    <w:rsid w:val="64D78C0C"/>
    <w:rsid w:val="64DC0F7B"/>
    <w:rsid w:val="64DD6474"/>
    <w:rsid w:val="65534DD8"/>
    <w:rsid w:val="6568E8FE"/>
    <w:rsid w:val="65890B3C"/>
    <w:rsid w:val="65FEF8B9"/>
    <w:rsid w:val="6639A412"/>
    <w:rsid w:val="66461B16"/>
    <w:rsid w:val="66A03C6B"/>
    <w:rsid w:val="66F02059"/>
    <w:rsid w:val="670B3B16"/>
    <w:rsid w:val="67512583"/>
    <w:rsid w:val="678ECEDE"/>
    <w:rsid w:val="67A90162"/>
    <w:rsid w:val="67AA9695"/>
    <w:rsid w:val="67B5B3C2"/>
    <w:rsid w:val="67C7CDCE"/>
    <w:rsid w:val="67C9EB9C"/>
    <w:rsid w:val="67CAFE10"/>
    <w:rsid w:val="67F991D4"/>
    <w:rsid w:val="67FB3076"/>
    <w:rsid w:val="680A230C"/>
    <w:rsid w:val="6833DC07"/>
    <w:rsid w:val="683E3507"/>
    <w:rsid w:val="68524A7F"/>
    <w:rsid w:val="685467BE"/>
    <w:rsid w:val="686B1635"/>
    <w:rsid w:val="687671B7"/>
    <w:rsid w:val="697981B0"/>
    <w:rsid w:val="69ECF061"/>
    <w:rsid w:val="69FBD72B"/>
    <w:rsid w:val="6A16AD74"/>
    <w:rsid w:val="6A437327"/>
    <w:rsid w:val="6A728988"/>
    <w:rsid w:val="6AEB1A0C"/>
    <w:rsid w:val="6AF04DD1"/>
    <w:rsid w:val="6B064E56"/>
    <w:rsid w:val="6B1B4E25"/>
    <w:rsid w:val="6B76F391"/>
    <w:rsid w:val="6B84B013"/>
    <w:rsid w:val="6B9F3DF2"/>
    <w:rsid w:val="6BB77912"/>
    <w:rsid w:val="6BC71DF9"/>
    <w:rsid w:val="6C27882F"/>
    <w:rsid w:val="6C3AA464"/>
    <w:rsid w:val="6C3C5189"/>
    <w:rsid w:val="6C4BEF03"/>
    <w:rsid w:val="6C9BE6EF"/>
    <w:rsid w:val="6CADAF9E"/>
    <w:rsid w:val="6CAFE89C"/>
    <w:rsid w:val="6CE4C103"/>
    <w:rsid w:val="6CFC5064"/>
    <w:rsid w:val="6D1EFDBB"/>
    <w:rsid w:val="6D6DA729"/>
    <w:rsid w:val="6D85795C"/>
    <w:rsid w:val="6D920449"/>
    <w:rsid w:val="6DD238A1"/>
    <w:rsid w:val="6DF05A96"/>
    <w:rsid w:val="6E5B15C8"/>
    <w:rsid w:val="6E73696A"/>
    <w:rsid w:val="6E88D3D8"/>
    <w:rsid w:val="6ECCC8B3"/>
    <w:rsid w:val="6ED31988"/>
    <w:rsid w:val="6ED804D2"/>
    <w:rsid w:val="6ED9C010"/>
    <w:rsid w:val="6F053255"/>
    <w:rsid w:val="6F5A02F1"/>
    <w:rsid w:val="6F8315FD"/>
    <w:rsid w:val="6F949F6C"/>
    <w:rsid w:val="6FA3C232"/>
    <w:rsid w:val="6FC15610"/>
    <w:rsid w:val="6FFDD0F4"/>
    <w:rsid w:val="7010AD19"/>
    <w:rsid w:val="704AEFAB"/>
    <w:rsid w:val="707672AD"/>
    <w:rsid w:val="70918A1D"/>
    <w:rsid w:val="70B32ED6"/>
    <w:rsid w:val="70B441C0"/>
    <w:rsid w:val="70C4E863"/>
    <w:rsid w:val="70CB9307"/>
    <w:rsid w:val="70FA387B"/>
    <w:rsid w:val="70FF7972"/>
    <w:rsid w:val="71606C60"/>
    <w:rsid w:val="7190E4D3"/>
    <w:rsid w:val="71CA15AA"/>
    <w:rsid w:val="72398BE5"/>
    <w:rsid w:val="726556B9"/>
    <w:rsid w:val="72744411"/>
    <w:rsid w:val="7285BEDE"/>
    <w:rsid w:val="72B39FE9"/>
    <w:rsid w:val="72E6FC0C"/>
    <w:rsid w:val="731EC694"/>
    <w:rsid w:val="73299F63"/>
    <w:rsid w:val="734D3E7A"/>
    <w:rsid w:val="7380CE40"/>
    <w:rsid w:val="7387A340"/>
    <w:rsid w:val="73D30F32"/>
    <w:rsid w:val="7408FF6A"/>
    <w:rsid w:val="744DC673"/>
    <w:rsid w:val="744F51D8"/>
    <w:rsid w:val="746810D2"/>
    <w:rsid w:val="74A0E656"/>
    <w:rsid w:val="74A46105"/>
    <w:rsid w:val="74AB1806"/>
    <w:rsid w:val="74AE9FD1"/>
    <w:rsid w:val="74BF87C0"/>
    <w:rsid w:val="74DD637E"/>
    <w:rsid w:val="7515251B"/>
    <w:rsid w:val="75241798"/>
    <w:rsid w:val="75552564"/>
    <w:rsid w:val="756DF41D"/>
    <w:rsid w:val="7598DA77"/>
    <w:rsid w:val="75ADFDBE"/>
    <w:rsid w:val="75C5D2D7"/>
    <w:rsid w:val="75D171A7"/>
    <w:rsid w:val="7611D446"/>
    <w:rsid w:val="762A8F38"/>
    <w:rsid w:val="762F61FF"/>
    <w:rsid w:val="7639809E"/>
    <w:rsid w:val="765D18C3"/>
    <w:rsid w:val="76AB65B1"/>
    <w:rsid w:val="76C5738C"/>
    <w:rsid w:val="76D37874"/>
    <w:rsid w:val="76D75C85"/>
    <w:rsid w:val="76F617A0"/>
    <w:rsid w:val="77249325"/>
    <w:rsid w:val="775F6441"/>
    <w:rsid w:val="77728EAC"/>
    <w:rsid w:val="778A5041"/>
    <w:rsid w:val="77C0EEC6"/>
    <w:rsid w:val="78697304"/>
    <w:rsid w:val="78732CE6"/>
    <w:rsid w:val="7923F6FF"/>
    <w:rsid w:val="79485CB8"/>
    <w:rsid w:val="794D9827"/>
    <w:rsid w:val="79BA8E5A"/>
    <w:rsid w:val="79C611E8"/>
    <w:rsid w:val="79E45526"/>
    <w:rsid w:val="79E4F0CB"/>
    <w:rsid w:val="79FDF541"/>
    <w:rsid w:val="7A0929D5"/>
    <w:rsid w:val="7A0D28F0"/>
    <w:rsid w:val="7A0EFD47"/>
    <w:rsid w:val="7A475091"/>
    <w:rsid w:val="7A5AD960"/>
    <w:rsid w:val="7A6527F3"/>
    <w:rsid w:val="7A6E8115"/>
    <w:rsid w:val="7A8D69F3"/>
    <w:rsid w:val="7AA6B9D7"/>
    <w:rsid w:val="7ABF4E4F"/>
    <w:rsid w:val="7ADCB454"/>
    <w:rsid w:val="7B10910B"/>
    <w:rsid w:val="7B4C9902"/>
    <w:rsid w:val="7B7382DC"/>
    <w:rsid w:val="7B7B39B3"/>
    <w:rsid w:val="7B99C5A2"/>
    <w:rsid w:val="7BA7D02D"/>
    <w:rsid w:val="7BA9262E"/>
    <w:rsid w:val="7BBAD64C"/>
    <w:rsid w:val="7BE391A3"/>
    <w:rsid w:val="7BF72699"/>
    <w:rsid w:val="7C2AF160"/>
    <w:rsid w:val="7C512EF0"/>
    <w:rsid w:val="7CA8FB92"/>
    <w:rsid w:val="7CF0BDDD"/>
    <w:rsid w:val="7D09B7A2"/>
    <w:rsid w:val="7D26F0FE"/>
    <w:rsid w:val="7D2CD063"/>
    <w:rsid w:val="7D753859"/>
    <w:rsid w:val="7DAEF7F9"/>
    <w:rsid w:val="7DEDDF07"/>
    <w:rsid w:val="7E153B7D"/>
    <w:rsid w:val="7E9DB05C"/>
    <w:rsid w:val="7EECCC5D"/>
    <w:rsid w:val="7EF64F4D"/>
    <w:rsid w:val="7F0815E1"/>
    <w:rsid w:val="7F830F10"/>
    <w:rsid w:val="7F885169"/>
    <w:rsid w:val="7FEC70A3"/>
    <w:rsid w:val="7FEFBA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3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locked="0"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B55E8"/>
    <w:pPr>
      <w:suppressAutoHyphens/>
      <w:spacing w:before="120" w:after="60" w:line="260" w:lineRule="atLeast"/>
    </w:pPr>
    <w:rPr>
      <w:color w:val="495965" w:themeColor="text2"/>
      <w:lang w:val="en-GB"/>
    </w:rPr>
  </w:style>
  <w:style w:type="paragraph" w:styleId="Heading1">
    <w:name w:val="heading 1"/>
    <w:basedOn w:val="Normal"/>
    <w:next w:val="Normal"/>
    <w:link w:val="Heading1Char"/>
    <w:uiPriority w:val="9"/>
    <w:qFormat/>
    <w:rsid w:val="007706B8"/>
    <w:pPr>
      <w:keepNext/>
      <w:keepLines/>
      <w:spacing w:before="0" w:after="180" w:line="380" w:lineRule="exact"/>
      <w:contextualSpacing/>
      <w:outlineLvl w:val="0"/>
    </w:pPr>
    <w:rPr>
      <w:rFonts w:asciiTheme="majorHAnsi" w:eastAsiaTheme="majorEastAsia" w:hAnsiTheme="majorHAnsi" w:cstheme="majorBidi"/>
      <w:b/>
      <w:bCs/>
      <w:caps/>
      <w:sz w:val="38"/>
      <w:szCs w:val="28"/>
    </w:rPr>
  </w:style>
  <w:style w:type="paragraph" w:styleId="Heading2">
    <w:name w:val="heading 2"/>
    <w:basedOn w:val="Heading1"/>
    <w:next w:val="Normal"/>
    <w:link w:val="Heading2Char"/>
    <w:uiPriority w:val="9"/>
    <w:unhideWhenUsed/>
    <w:qFormat/>
    <w:rsid w:val="00983AED"/>
    <w:pPr>
      <w:spacing w:before="480" w:after="120"/>
      <w:outlineLvl w:val="1"/>
    </w:pPr>
    <w:rPr>
      <w:b w:val="0"/>
      <w:bCs w:val="0"/>
      <w:szCs w:val="26"/>
    </w:rPr>
  </w:style>
  <w:style w:type="paragraph" w:styleId="Heading3">
    <w:name w:val="heading 3"/>
    <w:basedOn w:val="Heading2"/>
    <w:next w:val="Normal"/>
    <w:link w:val="Heading3Char"/>
    <w:uiPriority w:val="9"/>
    <w:unhideWhenUsed/>
    <w:qFormat/>
    <w:rsid w:val="00ED2831"/>
    <w:pPr>
      <w:spacing w:line="360" w:lineRule="atLeast"/>
      <w:outlineLvl w:val="2"/>
    </w:pPr>
    <w:rPr>
      <w:bCs/>
      <w:caps w:val="0"/>
      <w:sz w:val="30"/>
    </w:rPr>
  </w:style>
  <w:style w:type="paragraph" w:styleId="Heading4">
    <w:name w:val="heading 4"/>
    <w:basedOn w:val="Heading3"/>
    <w:next w:val="Normal"/>
    <w:link w:val="Heading4Char"/>
    <w:uiPriority w:val="9"/>
    <w:unhideWhenUsed/>
    <w:qFormat/>
    <w:rsid w:val="00A4144F"/>
    <w:pPr>
      <w:spacing w:before="240" w:line="280" w:lineRule="atLeast"/>
      <w:outlineLvl w:val="3"/>
    </w:pPr>
    <w:rPr>
      <w:iCs/>
      <w:sz w:val="24"/>
    </w:rPr>
  </w:style>
  <w:style w:type="paragraph" w:styleId="Heading5">
    <w:name w:val="heading 5"/>
    <w:basedOn w:val="Heading4"/>
    <w:next w:val="Normal"/>
    <w:link w:val="Heading5Char"/>
    <w:uiPriority w:val="9"/>
    <w:unhideWhenUsed/>
    <w:qFormat/>
    <w:rsid w:val="007706B8"/>
    <w:pPr>
      <w:spacing w:line="200" w:lineRule="atLeast"/>
      <w:outlineLvl w:val="4"/>
    </w:pPr>
    <w:rPr>
      <w:b/>
      <w:sz w:val="22"/>
    </w:rPr>
  </w:style>
  <w:style w:type="paragraph" w:styleId="Heading6">
    <w:name w:val="heading 6"/>
    <w:basedOn w:val="Heading5"/>
    <w:next w:val="Normal"/>
    <w:link w:val="Heading6Char"/>
    <w:uiPriority w:val="9"/>
    <w:semiHidden/>
    <w:unhideWhenUsed/>
    <w:qFormat/>
    <w:rsid w:val="00486804"/>
    <w:pPr>
      <w:spacing w:before="40"/>
      <w:outlineLvl w:val="5"/>
    </w:pPr>
    <w:rPr>
      <w:color w:val="286B5F" w:themeColor="accent1" w:themeShade="7F"/>
    </w:rPr>
  </w:style>
  <w:style w:type="paragraph" w:styleId="Heading7">
    <w:name w:val="heading 7"/>
    <w:basedOn w:val="Heading6"/>
    <w:next w:val="Normal"/>
    <w:link w:val="Heading7Char"/>
    <w:uiPriority w:val="9"/>
    <w:semiHidden/>
    <w:unhideWhenUsed/>
    <w:qFormat/>
    <w:locked/>
    <w:rsid w:val="00486804"/>
    <w:pPr>
      <w:outlineLvl w:val="6"/>
    </w:pPr>
    <w:rPr>
      <w:i/>
      <w:iCs w:val="0"/>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6B8"/>
    <w:rPr>
      <w:rFonts w:asciiTheme="majorHAnsi" w:eastAsiaTheme="majorEastAsia" w:hAnsiTheme="majorHAnsi" w:cstheme="majorBidi"/>
      <w:b/>
      <w:bCs/>
      <w:caps/>
      <w:color w:val="495965" w:themeColor="text2"/>
      <w:sz w:val="38"/>
      <w:szCs w:val="28"/>
      <w:lang w:val="en-GB"/>
    </w:rPr>
  </w:style>
  <w:style w:type="character" w:customStyle="1" w:styleId="Heading2Char">
    <w:name w:val="Heading 2 Char"/>
    <w:basedOn w:val="DefaultParagraphFont"/>
    <w:link w:val="Heading2"/>
    <w:uiPriority w:val="9"/>
    <w:rsid w:val="00983AED"/>
    <w:rPr>
      <w:rFonts w:asciiTheme="majorHAnsi" w:eastAsiaTheme="majorEastAsia" w:hAnsiTheme="majorHAnsi" w:cstheme="majorBidi"/>
      <w:caps/>
      <w:color w:val="495965" w:themeColor="text2"/>
      <w:sz w:val="38"/>
      <w:szCs w:val="26"/>
      <w:lang w:val="en-GB"/>
    </w:rPr>
  </w:style>
  <w:style w:type="character" w:customStyle="1" w:styleId="Heading3Char">
    <w:name w:val="Heading 3 Char"/>
    <w:basedOn w:val="DefaultParagraphFont"/>
    <w:link w:val="Heading3"/>
    <w:uiPriority w:val="9"/>
    <w:rsid w:val="00ED2831"/>
    <w:rPr>
      <w:rFonts w:asciiTheme="majorHAnsi" w:eastAsiaTheme="majorEastAsia" w:hAnsiTheme="majorHAnsi" w:cstheme="majorBidi"/>
      <w:bCs/>
      <w:color w:val="495965" w:themeColor="text2"/>
      <w:sz w:val="30"/>
      <w:szCs w:val="26"/>
      <w:lang w:val="en-GB"/>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qFormat/>
    <w:rsid w:val="00D64BD1"/>
    <w:pPr>
      <w:spacing w:after="0"/>
    </w:pPr>
    <w:rPr>
      <w:spacing w:val="-10"/>
      <w:kern w:val="28"/>
      <w:szCs w:val="52"/>
    </w:r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paragraph" w:styleId="Subtitle">
    <w:name w:val="Subtitle"/>
    <w:basedOn w:val="Title"/>
    <w:next w:val="Normal"/>
    <w:link w:val="SubtitleChar"/>
    <w:uiPriority w:val="11"/>
    <w:qFormat/>
    <w:rsid w:val="00D64BD1"/>
    <w:pPr>
      <w:numPr>
        <w:ilvl w:val="1"/>
      </w:numPr>
      <w:spacing w:before="60" w:after="300"/>
    </w:pPr>
    <w:rPr>
      <w:rFonts w:asciiTheme="minorHAnsi" w:hAnsiTheme="minorHAnsi"/>
      <w:b w:val="0"/>
      <w:iCs/>
      <w:szCs w:val="24"/>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Normal"/>
    <w:qFormat/>
    <w:rsid w:val="007706B8"/>
    <w:pPr>
      <w:spacing w:before="0"/>
      <w:ind w:left="284" w:hanging="284"/>
    </w:pPr>
  </w:style>
  <w:style w:type="paragraph" w:customStyle="1" w:styleId="Bullet2">
    <w:name w:val="Bullet 2"/>
    <w:basedOn w:val="Bullet1"/>
    <w:qFormat/>
    <w:rsid w:val="00F2684E"/>
    <w:pPr>
      <w:ind w:left="568"/>
    </w:pPr>
  </w:style>
  <w:style w:type="paragraph" w:customStyle="1" w:styleId="Bullet3">
    <w:name w:val="Bullet 3"/>
    <w:basedOn w:val="Bullet2"/>
    <w:qFormat/>
    <w:rsid w:val="00F2684E"/>
    <w:pPr>
      <w:ind w:left="852"/>
    </w:pPr>
  </w:style>
  <w:style w:type="paragraph" w:customStyle="1" w:styleId="NumberedList1">
    <w:name w:val="Numbered List 1"/>
    <w:basedOn w:val="Normal"/>
    <w:qFormat/>
    <w:rsid w:val="00F2684E"/>
    <w:pPr>
      <w:numPr>
        <w:numId w:val="2"/>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3"/>
      </w:numPr>
    </w:pPr>
  </w:style>
  <w:style w:type="paragraph" w:customStyle="1" w:styleId="Heading2Numbered">
    <w:name w:val="Heading 2 Numbered"/>
    <w:basedOn w:val="Heading2"/>
    <w:next w:val="Normal"/>
    <w:qFormat/>
    <w:rsid w:val="00ED2831"/>
    <w:pPr>
      <w:numPr>
        <w:ilvl w:val="1"/>
        <w:numId w:val="3"/>
      </w:numPr>
      <w:spacing w:after="60"/>
    </w:pPr>
    <w:rPr>
      <w:bCs/>
    </w:rPr>
  </w:style>
  <w:style w:type="paragraph" w:customStyle="1" w:styleId="Heading3Numbered">
    <w:name w:val="Heading 3 Numbered"/>
    <w:basedOn w:val="Heading3"/>
    <w:next w:val="Normal"/>
    <w:qFormat/>
    <w:rsid w:val="00ED2831"/>
    <w:pPr>
      <w:numPr>
        <w:ilvl w:val="2"/>
        <w:numId w:val="3"/>
      </w:numPr>
      <w:spacing w:before="300" w:after="60"/>
    </w:pPr>
    <w:rPr>
      <w:szCs w:val="22"/>
    </w:rPr>
  </w:style>
  <w:style w:type="numbering" w:customStyle="1" w:styleId="BulletsList">
    <w:name w:val="Bullets List"/>
    <w:uiPriority w:val="99"/>
    <w:rsid w:val="007706B8"/>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customStyle="1" w:styleId="PlainTable21">
    <w:name w:val="Plain Table 21"/>
    <w:basedOn w:val="TableNormal"/>
    <w:uiPriority w:val="42"/>
    <w:locked/>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ED2831"/>
    <w:pPr>
      <w:suppressAutoHyphens w:val="0"/>
      <w:spacing w:after="600"/>
      <w:contextualSpacing w:val="0"/>
      <w:outlineLvl w:val="9"/>
    </w:pPr>
    <w:rPr>
      <w:bCs w:val="0"/>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iPriority w:val="99"/>
    <w:unhideWhenUsed/>
    <w:rsid w:val="00FC322F"/>
    <w:pPr>
      <w:tabs>
        <w:tab w:val="center" w:pos="4513"/>
        <w:tab w:val="right" w:pos="9026"/>
      </w:tabs>
      <w:spacing w:before="0" w:after="0"/>
      <w:ind w:left="227"/>
    </w:pPr>
    <w:rPr>
      <w:b/>
      <w:caps/>
      <w:color w:val="FFFFFF" w:themeColor="background1"/>
      <w:sz w:val="20"/>
    </w:rPr>
  </w:style>
  <w:style w:type="paragraph" w:styleId="TOC4">
    <w:name w:val="toc 4"/>
    <w:basedOn w:val="Normal"/>
    <w:next w:val="Normal"/>
    <w:autoRedefine/>
    <w:uiPriority w:val="39"/>
    <w:unhideWhenUsed/>
    <w:lock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pPr>
      <w:numPr>
        <w:numId w:val="4"/>
      </w:numPr>
    </w:pPr>
  </w:style>
  <w:style w:type="paragraph" w:styleId="TOC8">
    <w:name w:val="toc 8"/>
    <w:basedOn w:val="Normal"/>
    <w:next w:val="Normal"/>
    <w:autoRedefine/>
    <w:uiPriority w:val="39"/>
    <w:unhideWhenUsed/>
    <w:lock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qFormat/>
    <w:rsid w:val="007706B8"/>
    <w:pPr>
      <w:spacing w:before="400" w:after="400" w:line="280" w:lineRule="exact"/>
    </w:pPr>
    <w:rPr>
      <w:b/>
      <w:color w:val="ACD08C" w:themeColor="accent2"/>
      <w:sz w:val="28"/>
    </w:rPr>
  </w:style>
  <w:style w:type="table" w:styleId="TableGrid">
    <w:name w:val="Table Grid"/>
    <w:basedOn w:val="TableNormal"/>
    <w:uiPriority w:val="39"/>
    <w:locked/>
    <w:rsid w:val="00ED2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C322F"/>
    <w:rPr>
      <w:b/>
      <w:caps/>
      <w:color w:val="FFFFFF" w:themeColor="background1"/>
      <w:sz w:val="20"/>
      <w:lang w:val="en-GB"/>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qFormat/>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qFormat/>
    <w:rsid w:val="009D7407"/>
    <w:rPr>
      <w:i/>
      <w:iCs/>
    </w:rPr>
  </w:style>
  <w:style w:type="character" w:customStyle="1" w:styleId="Heading5Char">
    <w:name w:val="Heading 5 Char"/>
    <w:basedOn w:val="DefaultParagraphFont"/>
    <w:link w:val="Heading5"/>
    <w:uiPriority w:val="9"/>
    <w:rsid w:val="007706B8"/>
    <w:rPr>
      <w:rFonts w:asciiTheme="majorHAnsi" w:eastAsiaTheme="majorEastAsia" w:hAnsiTheme="majorHAnsi" w:cstheme="majorBidi"/>
      <w:b/>
      <w:bCs/>
      <w:iCs/>
      <w:color w:val="495965" w:themeColor="text2"/>
      <w:szCs w:val="26"/>
      <w:lang w:val="en-GB"/>
    </w:rPr>
  </w:style>
  <w:style w:type="paragraph" w:styleId="Caption">
    <w:name w:val="caption"/>
    <w:basedOn w:val="Normal"/>
    <w:next w:val="Normal"/>
    <w:uiPriority w:val="35"/>
    <w:unhideWhenUsed/>
    <w:qFormat/>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FC322F"/>
    <w:pPr>
      <w:spacing w:before="0" w:after="0" w:line="240" w:lineRule="exact"/>
      <w:ind w:left="284" w:right="284"/>
    </w:pPr>
    <w:rPr>
      <w:color w:val="FFFFFF" w:themeColor="background1"/>
    </w:rPr>
  </w:style>
  <w:style w:type="character" w:customStyle="1" w:styleId="FooterChar">
    <w:name w:val="Footer Char"/>
    <w:basedOn w:val="DefaultParagraphFont"/>
    <w:link w:val="Footer"/>
    <w:uiPriority w:val="99"/>
    <w:rsid w:val="00FC322F"/>
    <w:rPr>
      <w:color w:val="FFFFFF" w:themeColor="background1"/>
      <w:lang w:val="en-GB"/>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qFormat/>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qFormat/>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qFormat/>
    <w:locked/>
    <w:rsid w:val="00C5182A"/>
    <w:rPr>
      <w:b/>
      <w:sz w:val="20"/>
    </w:rPr>
  </w:style>
  <w:style w:type="paragraph" w:styleId="FootnoteText">
    <w:name w:val="footnote text"/>
    <w:aliases w:val="ft,ADB,single space,FOOTNOTES,fn,Footnote Text Char Char,(NECG) Footnote Text,Footnote Text Char Char Char Char Char,Footnote Text Char Char Char Char Char Char,(NECG) Footnote Text Char Char Char Char Char,Footnote Text Char Char Ch,f,ft1"/>
    <w:basedOn w:val="Normal"/>
    <w:link w:val="FootnoteTextChar"/>
    <w:uiPriority w:val="99"/>
    <w:unhideWhenUsed/>
    <w:qFormat/>
    <w:rsid w:val="008C5A0E"/>
    <w:pPr>
      <w:spacing w:before="60" w:after="0" w:line="140" w:lineRule="atLeast"/>
      <w:ind w:left="170" w:hanging="170"/>
    </w:pPr>
    <w:rPr>
      <w:sz w:val="12"/>
      <w:szCs w:val="20"/>
    </w:rPr>
  </w:style>
  <w:style w:type="character" w:customStyle="1" w:styleId="FootnoteTextChar">
    <w:name w:val="Footnote Text Char"/>
    <w:aliases w:val="ft Char,ADB Char,single space Char,FOOTNOTES Char,fn Char,Footnote Text Char Char Char,(NECG) Footnote Text Char,Footnote Text Char Char Char Char Char Char1,Footnote Text Char Char Char Char Char Char Char,f Char,ft1 Char"/>
    <w:basedOn w:val="DefaultParagraphFont"/>
    <w:link w:val="FootnoteText"/>
    <w:uiPriority w:val="99"/>
    <w:qFormat/>
    <w:rsid w:val="008C5A0E"/>
    <w:rPr>
      <w:color w:val="495965" w:themeColor="text2"/>
      <w:sz w:val="12"/>
      <w:szCs w:val="20"/>
    </w:rPr>
  </w:style>
  <w:style w:type="character" w:styleId="FootnoteReference">
    <w:name w:val="footnote reference"/>
    <w:aliases w:val="Normal + Font:9 Point,Superscript 3 Point Times,Liste à puces Car,Car Char Car Char Char Car Char Char Car Char Car Char Car Car Car Char Char Car Car Char Char Car,ftref,BVI fn,4_G,BVI fnr,BVI fnr Car Car,BVI fnr Car,Ref"/>
    <w:basedOn w:val="DefaultParagraphFont"/>
    <w:link w:val="BVIfnr1"/>
    <w:uiPriority w:val="99"/>
    <w:unhideWhenUsed/>
    <w:qFormat/>
    <w:rsid w:val="003002C0"/>
    <w:rPr>
      <w:vertAlign w:val="superscript"/>
    </w:rPr>
  </w:style>
  <w:style w:type="paragraph" w:customStyle="1" w:styleId="GreyRoundBoxText">
    <w:name w:val="Grey Round Box Text"/>
    <w:basedOn w:val="Normal"/>
    <w:qFormat/>
    <w:rsid w:val="000D66D6"/>
    <w:pPr>
      <w:spacing w:before="0"/>
    </w:pPr>
    <w:rPr>
      <w:b/>
      <w:caps/>
      <w:color w:val="FFFFFF" w:themeColor="background1"/>
      <w:sz w:val="18"/>
    </w:rPr>
  </w:style>
  <w:style w:type="character" w:customStyle="1" w:styleId="Green">
    <w:name w:val="Green"/>
    <w:basedOn w:val="DefaultParagraphFont"/>
    <w:uiPriority w:val="1"/>
    <w:qFormat/>
    <w:rsid w:val="00961E72"/>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qFormat/>
    <w:rsid w:val="00F82271"/>
    <w:pPr>
      <w:ind w:left="-851"/>
    </w:pPr>
  </w:style>
  <w:style w:type="paragraph" w:customStyle="1" w:styleId="PhotoRight">
    <w:name w:val="Photo Right"/>
    <w:basedOn w:val="PhotoMargins"/>
    <w:qFormat/>
    <w:rsid w:val="00F82271"/>
    <w:pPr>
      <w:ind w:right="-851"/>
      <w:jc w:val="right"/>
    </w:pPr>
  </w:style>
  <w:style w:type="paragraph" w:customStyle="1" w:styleId="PhotoCaption">
    <w:name w:val="Photo Caption"/>
    <w:basedOn w:val="Normal"/>
    <w:qFormat/>
    <w:rsid w:val="00897FA2"/>
    <w:pPr>
      <w:spacing w:after="200" w:line="200" w:lineRule="atLeast"/>
      <w:jc w:val="right"/>
    </w:pPr>
    <w:rPr>
      <w:sz w:val="16"/>
    </w:rPr>
  </w:style>
  <w:style w:type="table" w:customStyle="1" w:styleId="DFATTable1">
    <w:name w:val="DFAT Table 1"/>
    <w:basedOn w:val="TableNormal"/>
    <w:uiPriority w:val="99"/>
    <w:rsid w:val="00C06B13"/>
    <w:pPr>
      <w:spacing w:before="60" w:after="60" w:line="260" w:lineRule="atLeast"/>
    </w:pPr>
    <w:rPr>
      <w:rFonts w:ascii="Calibri" w:hAnsi="Calibri"/>
    </w:r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pPr>
    <w:rPr>
      <w:color w:val="495965" w:themeColor="text2"/>
      <w:sz w:val="14"/>
    </w:rPr>
  </w:style>
  <w:style w:type="paragraph" w:customStyle="1" w:styleId="Heading1smallspaceafter">
    <w:name w:val="Heading 1 small space after"/>
    <w:basedOn w:val="Heading1"/>
    <w:qFormat/>
    <w:rsid w:val="00F25A93"/>
    <w:pPr>
      <w:spacing w:after="600"/>
      <w:contextualSpacing w:val="0"/>
    </w:pPr>
  </w:style>
  <w:style w:type="paragraph" w:customStyle="1" w:styleId="TableBullet1">
    <w:name w:val="Table Bullet 1"/>
    <w:basedOn w:val="Bullet1"/>
    <w:qFormat/>
    <w:rsid w:val="00ED2831"/>
    <w:pPr>
      <w:spacing w:before="60" w:line="220" w:lineRule="atLeast"/>
    </w:pPr>
    <w:rPr>
      <w:rFonts w:ascii="Calibri" w:hAnsi="Calibri"/>
      <w:sz w:val="18"/>
    </w:rPr>
  </w:style>
  <w:style w:type="paragraph" w:customStyle="1" w:styleId="TableBullet2">
    <w:name w:val="Table Bullet 2"/>
    <w:basedOn w:val="Bullet2"/>
    <w:qFormat/>
    <w:rsid w:val="00ED2831"/>
    <w:pPr>
      <w:spacing w:before="60" w:line="220" w:lineRule="atLeast"/>
    </w:pPr>
    <w:rPr>
      <w:rFonts w:ascii="Calibri" w:hAnsi="Calibri"/>
      <w:sz w:val="18"/>
    </w:rPr>
  </w:style>
  <w:style w:type="paragraph" w:customStyle="1" w:styleId="TableBullet3">
    <w:name w:val="Table Bullet 3"/>
    <w:basedOn w:val="Bullet3"/>
    <w:qFormat/>
    <w:rsid w:val="00ED2831"/>
    <w:pPr>
      <w:spacing w:before="60" w:line="220" w:lineRule="atLeast"/>
    </w:pPr>
    <w:rPr>
      <w:rFonts w:ascii="Calibri" w:hAnsi="Calibri"/>
      <w:sz w:val="18"/>
    </w:rPr>
  </w:style>
  <w:style w:type="paragraph" w:customStyle="1" w:styleId="TableHeaderRow">
    <w:name w:val="Table Header Row"/>
    <w:basedOn w:val="Normal"/>
    <w:qFormat/>
    <w:rsid w:val="00C06B13"/>
    <w:pPr>
      <w:framePr w:hSpace="180" w:wrap="around" w:vAnchor="page" w:hAnchor="margin" w:y="5061"/>
      <w:spacing w:before="60"/>
    </w:pPr>
    <w:rPr>
      <w:rFonts w:ascii="Calibri" w:hAnsi="Calibri"/>
      <w:b/>
      <w:szCs w:val="21"/>
    </w:rPr>
  </w:style>
  <w:style w:type="paragraph" w:customStyle="1" w:styleId="TableNumberedList1">
    <w:name w:val="Table Numbered List 1"/>
    <w:basedOn w:val="NumberedList1"/>
    <w:qFormat/>
    <w:rsid w:val="00ED2831"/>
    <w:pPr>
      <w:spacing w:before="60" w:line="220" w:lineRule="atLeast"/>
    </w:pPr>
    <w:rPr>
      <w:rFonts w:ascii="Calibri" w:hAnsi="Calibri"/>
      <w:sz w:val="18"/>
    </w:rPr>
  </w:style>
  <w:style w:type="paragraph" w:customStyle="1" w:styleId="TableNumberedList2">
    <w:name w:val="Table Numbered List 2"/>
    <w:basedOn w:val="NumberedList2"/>
    <w:qFormat/>
    <w:rsid w:val="00ED2831"/>
    <w:pPr>
      <w:spacing w:before="60" w:line="220" w:lineRule="atLeast"/>
    </w:pPr>
    <w:rPr>
      <w:rFonts w:ascii="Calibri" w:hAnsi="Calibri"/>
      <w:sz w:val="18"/>
    </w:rPr>
  </w:style>
  <w:style w:type="paragraph" w:customStyle="1" w:styleId="TableNumberedList3">
    <w:name w:val="Table Numbered List 3"/>
    <w:basedOn w:val="NumberedList3"/>
    <w:qFormat/>
    <w:rsid w:val="00ED2831"/>
    <w:pPr>
      <w:spacing w:before="60" w:line="220" w:lineRule="atLeast"/>
    </w:pPr>
    <w:rPr>
      <w:rFonts w:ascii="Calibri" w:hAnsi="Calibri"/>
      <w:sz w:val="18"/>
    </w:rPr>
  </w:style>
  <w:style w:type="paragraph" w:customStyle="1" w:styleId="TableSourceNotes">
    <w:name w:val="Table Source Notes"/>
    <w:basedOn w:val="Normal"/>
    <w:qFormat/>
    <w:rsid w:val="00ED2831"/>
    <w:pPr>
      <w:tabs>
        <w:tab w:val="left" w:pos="284"/>
      </w:tabs>
      <w:spacing w:line="160" w:lineRule="atLeast"/>
      <w:ind w:left="284" w:hanging="284"/>
      <w:contextualSpacing/>
    </w:pPr>
    <w:rPr>
      <w:sz w:val="12"/>
    </w:rPr>
  </w:style>
  <w:style w:type="paragraph" w:customStyle="1" w:styleId="TableTotalRow">
    <w:name w:val="Table Total Row"/>
    <w:basedOn w:val="Normal"/>
    <w:qFormat/>
    <w:rsid w:val="00CF07BA"/>
    <w:pPr>
      <w:spacing w:before="60"/>
    </w:pPr>
    <w:rPr>
      <w:rFonts w:ascii="Calibri" w:hAnsi="Calibri"/>
      <w:b/>
      <w:color w:val="FFFFFF" w:themeColor="background1"/>
    </w:rPr>
  </w:style>
  <w:style w:type="paragraph" w:customStyle="1" w:styleId="BoxHeading">
    <w:name w:val="Box Heading"/>
    <w:basedOn w:val="Heading3"/>
    <w:qFormat/>
    <w:locked/>
    <w:rsid w:val="00ED2831"/>
    <w:pPr>
      <w:spacing w:before="60"/>
    </w:pPr>
  </w:style>
  <w:style w:type="paragraph" w:customStyle="1" w:styleId="QuoteAuthor">
    <w:name w:val="Quote Author"/>
    <w:basedOn w:val="Quote"/>
    <w:qFormat/>
    <w:rsid w:val="00D64BD1"/>
    <w:pPr>
      <w:spacing w:after="60" w:line="200" w:lineRule="atLeast"/>
    </w:pPr>
    <w:rPr>
      <w:sz w:val="16"/>
    </w:rPr>
  </w:style>
  <w:style w:type="paragraph" w:customStyle="1" w:styleId="TableText">
    <w:name w:val="Table Text"/>
    <w:basedOn w:val="Normal"/>
    <w:qFormat/>
    <w:rsid w:val="0080204D"/>
    <w:pPr>
      <w:framePr w:hSpace="180" w:wrap="around" w:vAnchor="page" w:hAnchor="margin" w:y="5061"/>
      <w:spacing w:before="60"/>
    </w:pPr>
    <w:rPr>
      <w:rFonts w:ascii="Calibri" w:hAnsi="Calibri"/>
      <w:szCs w:val="21"/>
    </w:rPr>
  </w:style>
  <w:style w:type="paragraph" w:customStyle="1" w:styleId="PhotoCredit">
    <w:name w:val="Photo Credit"/>
    <w:basedOn w:val="Normal"/>
    <w:qFormat/>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qFormat/>
    <w:rsid w:val="00B33C0A"/>
    <w:pPr>
      <w:spacing w:after="900"/>
    </w:pPr>
  </w:style>
  <w:style w:type="paragraph" w:customStyle="1" w:styleId="Box1Text">
    <w:name w:val="Box 1 Text"/>
    <w:basedOn w:val="Normal"/>
    <w:qFormat/>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lang w:val="en-AU"/>
    </w:rPr>
  </w:style>
  <w:style w:type="paragraph" w:customStyle="1" w:styleId="Box1Heading">
    <w:name w:val="Box 1 Heading"/>
    <w:basedOn w:val="Box1Text"/>
    <w:qFormat/>
    <w:rsid w:val="00E8296D"/>
    <w:pPr>
      <w:keepNext/>
      <w:spacing w:line="300" w:lineRule="atLeast"/>
    </w:pPr>
    <w:rPr>
      <w:b/>
      <w:sz w:val="26"/>
    </w:rPr>
  </w:style>
  <w:style w:type="paragraph" w:customStyle="1" w:styleId="Box2Text">
    <w:name w:val="Box 2 Text"/>
    <w:basedOn w:val="Box1Text"/>
    <w:qForma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qFormat/>
    <w:rsid w:val="00E8296D"/>
    <w:pPr>
      <w:keepNext/>
      <w:spacing w:line="300" w:lineRule="atLeast"/>
    </w:pPr>
    <w:rPr>
      <w:b/>
      <w:sz w:val="26"/>
    </w:rPr>
  </w:style>
  <w:style w:type="paragraph" w:customStyle="1" w:styleId="Box1Bullet">
    <w:name w:val="Box 1 Bullet"/>
    <w:basedOn w:val="Box1Text"/>
    <w:qFormat/>
    <w:rsid w:val="00C42541"/>
    <w:pPr>
      <w:numPr>
        <w:numId w:val="6"/>
      </w:numPr>
      <w:ind w:left="454" w:hanging="170"/>
    </w:pPr>
  </w:style>
  <w:style w:type="paragraph" w:customStyle="1" w:styleId="Box2Bullet">
    <w:name w:val="Box 2 Bullet"/>
    <w:basedOn w:val="Box2Text"/>
    <w:qFormat/>
    <w:rsid w:val="00C42541"/>
    <w:pPr>
      <w:numPr>
        <w:numId w:val="7"/>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rFonts w:ascii="Calibri" w:hAnsi="Calibri"/>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unhideWhenUsed/>
    <w:rsid w:val="005204D2"/>
    <w:pPr>
      <w:spacing w:line="240" w:lineRule="auto"/>
    </w:pPr>
    <w:rPr>
      <w:sz w:val="20"/>
      <w:szCs w:val="20"/>
    </w:rPr>
  </w:style>
  <w:style w:type="character" w:customStyle="1" w:styleId="CommentTextChar">
    <w:name w:val="Comment Text Char"/>
    <w:basedOn w:val="DefaultParagraphFont"/>
    <w:link w:val="CommentText"/>
    <w:uiPriority w:val="99"/>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qFormat/>
    <w:locked/>
    <w:rsid w:val="001214BE"/>
    <w:rPr>
      <w:color w:val="65C5B4" w:themeColor="accent1"/>
    </w:rPr>
  </w:style>
  <w:style w:type="paragraph" w:styleId="ListParagraph">
    <w:name w:val="List Paragraph"/>
    <w:aliases w:val="Bullets,List Paragraph1,Recommendation,List Paragraph11,Table/Figure Heading,Akapit z listą BS,List Paragraph (numbered (a)),Lists or bullet,ADB List Paragraph,Bulleted List Paragraph,ADB paragraph numbering,Resume Title,Citation List,L,H"/>
    <w:basedOn w:val="Normal"/>
    <w:link w:val="ListParagraphChar"/>
    <w:uiPriority w:val="34"/>
    <w:qFormat/>
    <w:locked/>
    <w:rsid w:val="00A32858"/>
    <w:pPr>
      <w:ind w:left="720"/>
      <w:contextualSpacing/>
    </w:pPr>
  </w:style>
  <w:style w:type="paragraph" w:styleId="ListBullet">
    <w:name w:val="List Bullet"/>
    <w:basedOn w:val="BodyText"/>
    <w:qFormat/>
    <w:locked/>
    <w:rsid w:val="00A32858"/>
    <w:pPr>
      <w:numPr>
        <w:numId w:val="9"/>
      </w:numPr>
      <w:tabs>
        <w:tab w:val="left" w:pos="284"/>
      </w:tabs>
      <w:suppressAutoHyphens w:val="0"/>
      <w:spacing w:before="0" w:after="120" w:line="280" w:lineRule="exact"/>
    </w:pPr>
    <w:rPr>
      <w:rFonts w:ascii="Franklin Gothic Book" w:eastAsia="Times New Roman" w:hAnsi="Franklin Gothic Book" w:cs="Times New Roman"/>
      <w:sz w:val="21"/>
      <w:szCs w:val="24"/>
      <w:lang w:val="en-AU" w:eastAsia="en-AU"/>
    </w:rPr>
  </w:style>
  <w:style w:type="character" w:styleId="FollowedHyperlink">
    <w:name w:val="FollowedHyperlink"/>
    <w:basedOn w:val="DefaultParagraphFont"/>
    <w:uiPriority w:val="99"/>
    <w:semiHidden/>
    <w:unhideWhenUsed/>
    <w:rsid w:val="001F439D"/>
    <w:rPr>
      <w:color w:val="800080" w:themeColor="followedHyperlink"/>
      <w:u w:val="single"/>
    </w:rPr>
  </w:style>
  <w:style w:type="paragraph" w:styleId="Revision">
    <w:name w:val="Revision"/>
    <w:hidden/>
    <w:uiPriority w:val="99"/>
    <w:semiHidden/>
    <w:rsid w:val="00A179C8"/>
    <w:pPr>
      <w:spacing w:after="0" w:line="240" w:lineRule="auto"/>
    </w:pPr>
    <w:rPr>
      <w:color w:val="495965" w:themeColor="text2"/>
      <w:lang w:val="en-GB"/>
    </w:rPr>
  </w:style>
  <w:style w:type="character" w:styleId="UnresolvedMention">
    <w:name w:val="Unresolved Mention"/>
    <w:basedOn w:val="DefaultParagraphFont"/>
    <w:uiPriority w:val="99"/>
    <w:semiHidden/>
    <w:unhideWhenUsed/>
    <w:rsid w:val="00435EA0"/>
    <w:rPr>
      <w:color w:val="605E5C"/>
      <w:shd w:val="clear" w:color="auto" w:fill="E1DFDD"/>
    </w:rPr>
  </w:style>
  <w:style w:type="character" w:customStyle="1" w:styleId="ListParagraphChar">
    <w:name w:val="List Paragraph Char"/>
    <w:aliases w:val="Bullets Char,List Paragraph1 Char,Recommendation Char,List Paragraph11 Char,Table/Figure Heading Char,Akapit z listą BS Char,List Paragraph (numbered (a)) Char,Lists or bullet Char,ADB List Paragraph Char,Bulleted List Paragraph Char"/>
    <w:basedOn w:val="DefaultParagraphFont"/>
    <w:link w:val="ListParagraph"/>
    <w:uiPriority w:val="34"/>
    <w:qFormat/>
    <w:locked/>
    <w:rsid w:val="00842C82"/>
    <w:rPr>
      <w:color w:val="495965" w:themeColor="text2"/>
      <w:lang w:val="en-GB"/>
    </w:rPr>
  </w:style>
  <w:style w:type="paragraph" w:customStyle="1" w:styleId="StyleguidetextHDMES">
    <w:name w:val="Styleguide text HDMES"/>
    <w:basedOn w:val="Normal"/>
    <w:link w:val="StyleguidetextHDMESChar"/>
    <w:uiPriority w:val="1"/>
    <w:qFormat/>
    <w:rsid w:val="00905A68"/>
    <w:pPr>
      <w:suppressAutoHyphens w:val="0"/>
      <w:spacing w:before="160" w:after="160" w:line="276" w:lineRule="auto"/>
      <w:jc w:val="both"/>
    </w:pPr>
    <w:rPr>
      <w:rFonts w:ascii="Calibri" w:eastAsia="Calibri" w:hAnsi="Calibri" w:cs="Times New Roman"/>
      <w:color w:val="auto"/>
      <w:lang w:val="en-AU"/>
    </w:rPr>
  </w:style>
  <w:style w:type="character" w:customStyle="1" w:styleId="StyleguidetextHDMESChar">
    <w:name w:val="Styleguide text HDMES Char"/>
    <w:link w:val="StyleguidetextHDMES"/>
    <w:uiPriority w:val="1"/>
    <w:rsid w:val="00905A68"/>
    <w:rPr>
      <w:rFonts w:ascii="Calibri" w:eastAsia="Calibri" w:hAnsi="Calibri" w:cs="Times New Roman"/>
    </w:rPr>
  </w:style>
  <w:style w:type="paragraph" w:customStyle="1" w:styleId="Default">
    <w:name w:val="Default"/>
    <w:rsid w:val="00393DCA"/>
    <w:pPr>
      <w:autoSpaceDE w:val="0"/>
      <w:autoSpaceDN w:val="0"/>
      <w:adjustRightInd w:val="0"/>
      <w:spacing w:after="0" w:line="240" w:lineRule="auto"/>
    </w:pPr>
    <w:rPr>
      <w:rFonts w:ascii="Calibri" w:hAnsi="Calibri" w:cs="Calibri"/>
      <w:color w:val="000000"/>
      <w:sz w:val="24"/>
      <w:szCs w:val="24"/>
    </w:rPr>
  </w:style>
  <w:style w:type="paragraph" w:styleId="Bibliography">
    <w:name w:val="Bibliography"/>
    <w:basedOn w:val="Normal"/>
    <w:next w:val="Normal"/>
    <w:uiPriority w:val="37"/>
    <w:unhideWhenUsed/>
    <w:locked/>
    <w:rsid w:val="0006105E"/>
  </w:style>
  <w:style w:type="paragraph" w:styleId="NormalWeb">
    <w:name w:val="Normal (Web)"/>
    <w:basedOn w:val="Normal"/>
    <w:uiPriority w:val="99"/>
    <w:semiHidden/>
    <w:unhideWhenUsed/>
    <w:rsid w:val="00FF38E0"/>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customStyle="1" w:styleId="ui-provider">
    <w:name w:val="ui-provider"/>
    <w:basedOn w:val="DefaultParagraphFont"/>
    <w:rsid w:val="00FF38E0"/>
  </w:style>
  <w:style w:type="paragraph" w:customStyle="1" w:styleId="paragraph">
    <w:name w:val="paragraph"/>
    <w:basedOn w:val="Normal"/>
    <w:rsid w:val="00AD5B87"/>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customStyle="1" w:styleId="normaltextrun">
    <w:name w:val="normaltextrun"/>
    <w:basedOn w:val="DefaultParagraphFont"/>
    <w:rsid w:val="00AD5B87"/>
  </w:style>
  <w:style w:type="character" w:customStyle="1" w:styleId="eop">
    <w:name w:val="eop"/>
    <w:basedOn w:val="DefaultParagraphFont"/>
    <w:rsid w:val="00AD5B87"/>
  </w:style>
  <w:style w:type="paragraph" w:styleId="NoSpacing">
    <w:name w:val="No Spacing"/>
    <w:uiPriority w:val="1"/>
    <w:qFormat/>
    <w:rsid w:val="00AD5B87"/>
    <w:pPr>
      <w:spacing w:after="0" w:line="240" w:lineRule="auto"/>
    </w:pPr>
  </w:style>
  <w:style w:type="character" w:styleId="Mention">
    <w:name w:val="Mention"/>
    <w:basedOn w:val="DefaultParagraphFont"/>
    <w:uiPriority w:val="99"/>
    <w:unhideWhenUsed/>
    <w:rsid w:val="00AD5B87"/>
    <w:rPr>
      <w:color w:val="2B579A"/>
      <w:shd w:val="clear" w:color="auto" w:fill="E1DFDD"/>
    </w:rPr>
  </w:style>
  <w:style w:type="paragraph" w:customStyle="1" w:styleId="TableHeading">
    <w:name w:val="Table Heading"/>
    <w:basedOn w:val="Normal"/>
    <w:qFormat/>
    <w:rsid w:val="00AD5B87"/>
    <w:pPr>
      <w:suppressAutoHyphens w:val="0"/>
      <w:spacing w:before="40" w:after="40" w:line="240" w:lineRule="auto"/>
    </w:pPr>
    <w:rPr>
      <w:rFonts w:eastAsia="Calibri" w:cstheme="minorHAnsi"/>
      <w:b/>
      <w:bCs/>
      <w:color w:val="313E48"/>
      <w:szCs w:val="21"/>
      <w:lang w:val="en-AU"/>
    </w:rPr>
  </w:style>
  <w:style w:type="character" w:styleId="EndnoteReference">
    <w:name w:val="endnote reference"/>
    <w:basedOn w:val="DefaultParagraphFont"/>
    <w:uiPriority w:val="99"/>
    <w:semiHidden/>
    <w:unhideWhenUsed/>
    <w:rsid w:val="00AD5B87"/>
    <w:rPr>
      <w:vertAlign w:val="superscript"/>
    </w:rPr>
  </w:style>
  <w:style w:type="paragraph" w:customStyle="1" w:styleId="pf0">
    <w:name w:val="pf0"/>
    <w:basedOn w:val="Normal"/>
    <w:rsid w:val="00AD5B87"/>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customStyle="1" w:styleId="BVIfnr1">
    <w:name w:val="BVI fnr1"/>
    <w:aliases w:val="BVI fnr Car Car1,BVI fnr Car1,BVI fnr Car Car Car Car1,BVI fnr Car Car Car Car Char"/>
    <w:basedOn w:val="Normal"/>
    <w:link w:val="FootnoteReference"/>
    <w:uiPriority w:val="99"/>
    <w:qFormat/>
    <w:rsid w:val="00AD5B87"/>
    <w:pPr>
      <w:suppressAutoHyphens w:val="0"/>
      <w:spacing w:before="0" w:after="200" w:line="252" w:lineRule="auto"/>
    </w:pPr>
    <w:rPr>
      <w:color w:val="auto"/>
      <w:vertAlign w:val="superscript"/>
      <w:lang w:val="en-AU"/>
    </w:rPr>
  </w:style>
  <w:style w:type="character" w:customStyle="1" w:styleId="cf01">
    <w:name w:val="cf01"/>
    <w:basedOn w:val="DefaultParagraphFont"/>
    <w:rsid w:val="000E79C9"/>
    <w:rPr>
      <w:rFonts w:ascii="Segoe UI" w:hAnsi="Segoe UI" w:cs="Segoe UI" w:hint="default"/>
      <w:color w:val="495965"/>
      <w:sz w:val="18"/>
      <w:szCs w:val="18"/>
    </w:rPr>
  </w:style>
  <w:style w:type="paragraph" w:styleId="EndnoteText">
    <w:name w:val="endnote text"/>
    <w:basedOn w:val="Normal"/>
    <w:link w:val="EndnoteTextChar"/>
    <w:uiPriority w:val="99"/>
    <w:semiHidden/>
    <w:unhideWhenUsed/>
    <w:rsid w:val="00EB780C"/>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EB780C"/>
    <w:rPr>
      <w:color w:val="495965" w:themeColor="text2"/>
      <w:sz w:val="20"/>
      <w:szCs w:val="20"/>
      <w:lang w:val="en-GB"/>
    </w:rPr>
  </w:style>
  <w:style w:type="character" w:customStyle="1" w:styleId="cf11">
    <w:name w:val="cf11"/>
    <w:basedOn w:val="DefaultParagraphFont"/>
    <w:rsid w:val="00341719"/>
    <w:rPr>
      <w:rFonts w:ascii="Segoe UI" w:hAnsi="Segoe UI" w:cs="Segoe UI" w:hint="default"/>
      <w:color w:val="495965"/>
      <w:sz w:val="18"/>
      <w:szCs w:val="18"/>
      <w:shd w:val="clear" w:color="auto" w:fill="FFFFFF"/>
    </w:rPr>
  </w:style>
  <w:style w:type="character" w:customStyle="1" w:styleId="cf31">
    <w:name w:val="cf31"/>
    <w:basedOn w:val="DefaultParagraphFont"/>
    <w:rsid w:val="00341719"/>
    <w:rPr>
      <w:rFonts w:ascii="Segoe UI" w:hAnsi="Segoe UI" w:cs="Segoe UI" w:hint="default"/>
      <w:b/>
      <w:bCs/>
      <w:color w:val="495965"/>
      <w:sz w:val="18"/>
      <w:szCs w:val="18"/>
      <w:shd w:val="clear" w:color="auto" w:fill="FFFFFF"/>
    </w:rPr>
  </w:style>
  <w:style w:type="character" w:customStyle="1" w:styleId="cf41">
    <w:name w:val="cf41"/>
    <w:basedOn w:val="DefaultParagraphFont"/>
    <w:rsid w:val="00341719"/>
    <w:rPr>
      <w:rFonts w:ascii="Segoe UI" w:hAnsi="Segoe UI" w:cs="Segoe UI" w:hint="default"/>
      <w:i/>
      <w:iCs/>
      <w:color w:val="495965"/>
      <w:sz w:val="18"/>
      <w:szCs w:val="18"/>
      <w:shd w:val="clear" w:color="auto" w:fill="FFFFFF"/>
    </w:rPr>
  </w:style>
  <w:style w:type="paragraph" w:customStyle="1" w:styleId="NumberedTitle">
    <w:name w:val="Numbered Title"/>
    <w:basedOn w:val="Normal"/>
    <w:next w:val="Normal"/>
    <w:qFormat/>
    <w:rsid w:val="006056AD"/>
    <w:pPr>
      <w:numPr>
        <w:numId w:val="24"/>
      </w:numPr>
      <w:suppressAutoHyphens w:val="0"/>
      <w:spacing w:before="320" w:after="120" w:line="276" w:lineRule="auto"/>
      <w:ind w:left="720"/>
    </w:pPr>
    <w:rPr>
      <w:rFonts w:ascii="Calibri" w:eastAsia="Times New Roman" w:hAnsi="Calibri" w:cs="Arial"/>
      <w:b/>
      <w:color w:val="DA291C"/>
      <w:spacing w:val="-10"/>
      <w:sz w:val="32"/>
      <w:szCs w:val="32"/>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2208">
      <w:bodyDiv w:val="1"/>
      <w:marLeft w:val="0"/>
      <w:marRight w:val="0"/>
      <w:marTop w:val="0"/>
      <w:marBottom w:val="0"/>
      <w:divBdr>
        <w:top w:val="none" w:sz="0" w:space="0" w:color="auto"/>
        <w:left w:val="none" w:sz="0" w:space="0" w:color="auto"/>
        <w:bottom w:val="none" w:sz="0" w:space="0" w:color="auto"/>
        <w:right w:val="none" w:sz="0" w:space="0" w:color="auto"/>
      </w:divBdr>
    </w:div>
    <w:div w:id="216673226">
      <w:bodyDiv w:val="1"/>
      <w:marLeft w:val="0"/>
      <w:marRight w:val="0"/>
      <w:marTop w:val="0"/>
      <w:marBottom w:val="0"/>
      <w:divBdr>
        <w:top w:val="none" w:sz="0" w:space="0" w:color="auto"/>
        <w:left w:val="none" w:sz="0" w:space="0" w:color="auto"/>
        <w:bottom w:val="none" w:sz="0" w:space="0" w:color="auto"/>
        <w:right w:val="none" w:sz="0" w:space="0" w:color="auto"/>
      </w:divBdr>
    </w:div>
    <w:div w:id="289167982">
      <w:bodyDiv w:val="1"/>
      <w:marLeft w:val="0"/>
      <w:marRight w:val="0"/>
      <w:marTop w:val="0"/>
      <w:marBottom w:val="0"/>
      <w:divBdr>
        <w:top w:val="none" w:sz="0" w:space="0" w:color="auto"/>
        <w:left w:val="none" w:sz="0" w:space="0" w:color="auto"/>
        <w:bottom w:val="none" w:sz="0" w:space="0" w:color="auto"/>
        <w:right w:val="none" w:sz="0" w:space="0" w:color="auto"/>
      </w:divBdr>
    </w:div>
    <w:div w:id="327054455">
      <w:bodyDiv w:val="1"/>
      <w:marLeft w:val="0"/>
      <w:marRight w:val="0"/>
      <w:marTop w:val="0"/>
      <w:marBottom w:val="0"/>
      <w:divBdr>
        <w:top w:val="none" w:sz="0" w:space="0" w:color="auto"/>
        <w:left w:val="none" w:sz="0" w:space="0" w:color="auto"/>
        <w:bottom w:val="none" w:sz="0" w:space="0" w:color="auto"/>
        <w:right w:val="none" w:sz="0" w:space="0" w:color="auto"/>
      </w:divBdr>
    </w:div>
    <w:div w:id="345862370">
      <w:bodyDiv w:val="1"/>
      <w:marLeft w:val="0"/>
      <w:marRight w:val="0"/>
      <w:marTop w:val="0"/>
      <w:marBottom w:val="0"/>
      <w:divBdr>
        <w:top w:val="none" w:sz="0" w:space="0" w:color="auto"/>
        <w:left w:val="none" w:sz="0" w:space="0" w:color="auto"/>
        <w:bottom w:val="none" w:sz="0" w:space="0" w:color="auto"/>
        <w:right w:val="none" w:sz="0" w:space="0" w:color="auto"/>
      </w:divBdr>
    </w:div>
    <w:div w:id="384376667">
      <w:bodyDiv w:val="1"/>
      <w:marLeft w:val="0"/>
      <w:marRight w:val="0"/>
      <w:marTop w:val="0"/>
      <w:marBottom w:val="0"/>
      <w:divBdr>
        <w:top w:val="none" w:sz="0" w:space="0" w:color="auto"/>
        <w:left w:val="none" w:sz="0" w:space="0" w:color="auto"/>
        <w:bottom w:val="none" w:sz="0" w:space="0" w:color="auto"/>
        <w:right w:val="none" w:sz="0" w:space="0" w:color="auto"/>
      </w:divBdr>
    </w:div>
    <w:div w:id="478151964">
      <w:bodyDiv w:val="1"/>
      <w:marLeft w:val="0"/>
      <w:marRight w:val="0"/>
      <w:marTop w:val="0"/>
      <w:marBottom w:val="0"/>
      <w:divBdr>
        <w:top w:val="none" w:sz="0" w:space="0" w:color="auto"/>
        <w:left w:val="none" w:sz="0" w:space="0" w:color="auto"/>
        <w:bottom w:val="none" w:sz="0" w:space="0" w:color="auto"/>
        <w:right w:val="none" w:sz="0" w:space="0" w:color="auto"/>
      </w:divBdr>
    </w:div>
    <w:div w:id="594246302">
      <w:bodyDiv w:val="1"/>
      <w:marLeft w:val="0"/>
      <w:marRight w:val="0"/>
      <w:marTop w:val="0"/>
      <w:marBottom w:val="0"/>
      <w:divBdr>
        <w:top w:val="none" w:sz="0" w:space="0" w:color="auto"/>
        <w:left w:val="none" w:sz="0" w:space="0" w:color="auto"/>
        <w:bottom w:val="none" w:sz="0" w:space="0" w:color="auto"/>
        <w:right w:val="none" w:sz="0" w:space="0" w:color="auto"/>
      </w:divBdr>
    </w:div>
    <w:div w:id="690373569">
      <w:bodyDiv w:val="1"/>
      <w:marLeft w:val="0"/>
      <w:marRight w:val="0"/>
      <w:marTop w:val="0"/>
      <w:marBottom w:val="0"/>
      <w:divBdr>
        <w:top w:val="none" w:sz="0" w:space="0" w:color="auto"/>
        <w:left w:val="none" w:sz="0" w:space="0" w:color="auto"/>
        <w:bottom w:val="none" w:sz="0" w:space="0" w:color="auto"/>
        <w:right w:val="none" w:sz="0" w:space="0" w:color="auto"/>
      </w:divBdr>
    </w:div>
    <w:div w:id="792946107">
      <w:bodyDiv w:val="1"/>
      <w:marLeft w:val="0"/>
      <w:marRight w:val="0"/>
      <w:marTop w:val="0"/>
      <w:marBottom w:val="0"/>
      <w:divBdr>
        <w:top w:val="none" w:sz="0" w:space="0" w:color="auto"/>
        <w:left w:val="none" w:sz="0" w:space="0" w:color="auto"/>
        <w:bottom w:val="none" w:sz="0" w:space="0" w:color="auto"/>
        <w:right w:val="none" w:sz="0" w:space="0" w:color="auto"/>
      </w:divBdr>
    </w:div>
    <w:div w:id="876896638">
      <w:bodyDiv w:val="1"/>
      <w:marLeft w:val="0"/>
      <w:marRight w:val="0"/>
      <w:marTop w:val="0"/>
      <w:marBottom w:val="0"/>
      <w:divBdr>
        <w:top w:val="none" w:sz="0" w:space="0" w:color="auto"/>
        <w:left w:val="none" w:sz="0" w:space="0" w:color="auto"/>
        <w:bottom w:val="none" w:sz="0" w:space="0" w:color="auto"/>
        <w:right w:val="none" w:sz="0" w:space="0" w:color="auto"/>
      </w:divBdr>
    </w:div>
    <w:div w:id="900099349">
      <w:bodyDiv w:val="1"/>
      <w:marLeft w:val="0"/>
      <w:marRight w:val="0"/>
      <w:marTop w:val="0"/>
      <w:marBottom w:val="0"/>
      <w:divBdr>
        <w:top w:val="none" w:sz="0" w:space="0" w:color="auto"/>
        <w:left w:val="none" w:sz="0" w:space="0" w:color="auto"/>
        <w:bottom w:val="none" w:sz="0" w:space="0" w:color="auto"/>
        <w:right w:val="none" w:sz="0" w:space="0" w:color="auto"/>
      </w:divBdr>
    </w:div>
    <w:div w:id="926422033">
      <w:bodyDiv w:val="1"/>
      <w:marLeft w:val="0"/>
      <w:marRight w:val="0"/>
      <w:marTop w:val="0"/>
      <w:marBottom w:val="0"/>
      <w:divBdr>
        <w:top w:val="none" w:sz="0" w:space="0" w:color="auto"/>
        <w:left w:val="none" w:sz="0" w:space="0" w:color="auto"/>
        <w:bottom w:val="none" w:sz="0" w:space="0" w:color="auto"/>
        <w:right w:val="none" w:sz="0" w:space="0" w:color="auto"/>
      </w:divBdr>
    </w:div>
    <w:div w:id="964697677">
      <w:bodyDiv w:val="1"/>
      <w:marLeft w:val="0"/>
      <w:marRight w:val="0"/>
      <w:marTop w:val="0"/>
      <w:marBottom w:val="0"/>
      <w:divBdr>
        <w:top w:val="none" w:sz="0" w:space="0" w:color="auto"/>
        <w:left w:val="none" w:sz="0" w:space="0" w:color="auto"/>
        <w:bottom w:val="none" w:sz="0" w:space="0" w:color="auto"/>
        <w:right w:val="none" w:sz="0" w:space="0" w:color="auto"/>
      </w:divBdr>
    </w:div>
    <w:div w:id="965739730">
      <w:bodyDiv w:val="1"/>
      <w:marLeft w:val="0"/>
      <w:marRight w:val="0"/>
      <w:marTop w:val="0"/>
      <w:marBottom w:val="0"/>
      <w:divBdr>
        <w:top w:val="none" w:sz="0" w:space="0" w:color="auto"/>
        <w:left w:val="none" w:sz="0" w:space="0" w:color="auto"/>
        <w:bottom w:val="none" w:sz="0" w:space="0" w:color="auto"/>
        <w:right w:val="none" w:sz="0" w:space="0" w:color="auto"/>
      </w:divBdr>
    </w:div>
    <w:div w:id="976569586">
      <w:bodyDiv w:val="1"/>
      <w:marLeft w:val="0"/>
      <w:marRight w:val="0"/>
      <w:marTop w:val="0"/>
      <w:marBottom w:val="0"/>
      <w:divBdr>
        <w:top w:val="none" w:sz="0" w:space="0" w:color="auto"/>
        <w:left w:val="none" w:sz="0" w:space="0" w:color="auto"/>
        <w:bottom w:val="none" w:sz="0" w:space="0" w:color="auto"/>
        <w:right w:val="none" w:sz="0" w:space="0" w:color="auto"/>
      </w:divBdr>
    </w:div>
    <w:div w:id="980621731">
      <w:bodyDiv w:val="1"/>
      <w:marLeft w:val="0"/>
      <w:marRight w:val="0"/>
      <w:marTop w:val="0"/>
      <w:marBottom w:val="0"/>
      <w:divBdr>
        <w:top w:val="none" w:sz="0" w:space="0" w:color="auto"/>
        <w:left w:val="none" w:sz="0" w:space="0" w:color="auto"/>
        <w:bottom w:val="none" w:sz="0" w:space="0" w:color="auto"/>
        <w:right w:val="none" w:sz="0" w:space="0" w:color="auto"/>
      </w:divBdr>
    </w:div>
    <w:div w:id="1009138263">
      <w:bodyDiv w:val="1"/>
      <w:marLeft w:val="0"/>
      <w:marRight w:val="0"/>
      <w:marTop w:val="0"/>
      <w:marBottom w:val="0"/>
      <w:divBdr>
        <w:top w:val="none" w:sz="0" w:space="0" w:color="auto"/>
        <w:left w:val="none" w:sz="0" w:space="0" w:color="auto"/>
        <w:bottom w:val="none" w:sz="0" w:space="0" w:color="auto"/>
        <w:right w:val="none" w:sz="0" w:space="0" w:color="auto"/>
      </w:divBdr>
    </w:div>
    <w:div w:id="1082415725">
      <w:bodyDiv w:val="1"/>
      <w:marLeft w:val="0"/>
      <w:marRight w:val="0"/>
      <w:marTop w:val="0"/>
      <w:marBottom w:val="0"/>
      <w:divBdr>
        <w:top w:val="none" w:sz="0" w:space="0" w:color="auto"/>
        <w:left w:val="none" w:sz="0" w:space="0" w:color="auto"/>
        <w:bottom w:val="none" w:sz="0" w:space="0" w:color="auto"/>
        <w:right w:val="none" w:sz="0" w:space="0" w:color="auto"/>
      </w:divBdr>
    </w:div>
    <w:div w:id="1110861289">
      <w:bodyDiv w:val="1"/>
      <w:marLeft w:val="0"/>
      <w:marRight w:val="0"/>
      <w:marTop w:val="0"/>
      <w:marBottom w:val="0"/>
      <w:divBdr>
        <w:top w:val="none" w:sz="0" w:space="0" w:color="auto"/>
        <w:left w:val="none" w:sz="0" w:space="0" w:color="auto"/>
        <w:bottom w:val="none" w:sz="0" w:space="0" w:color="auto"/>
        <w:right w:val="none" w:sz="0" w:space="0" w:color="auto"/>
      </w:divBdr>
    </w:div>
    <w:div w:id="1155756951">
      <w:bodyDiv w:val="1"/>
      <w:marLeft w:val="0"/>
      <w:marRight w:val="0"/>
      <w:marTop w:val="0"/>
      <w:marBottom w:val="0"/>
      <w:divBdr>
        <w:top w:val="none" w:sz="0" w:space="0" w:color="auto"/>
        <w:left w:val="none" w:sz="0" w:space="0" w:color="auto"/>
        <w:bottom w:val="none" w:sz="0" w:space="0" w:color="auto"/>
        <w:right w:val="none" w:sz="0" w:space="0" w:color="auto"/>
      </w:divBdr>
    </w:div>
    <w:div w:id="1177692854">
      <w:bodyDiv w:val="1"/>
      <w:marLeft w:val="0"/>
      <w:marRight w:val="0"/>
      <w:marTop w:val="0"/>
      <w:marBottom w:val="0"/>
      <w:divBdr>
        <w:top w:val="none" w:sz="0" w:space="0" w:color="auto"/>
        <w:left w:val="none" w:sz="0" w:space="0" w:color="auto"/>
        <w:bottom w:val="none" w:sz="0" w:space="0" w:color="auto"/>
        <w:right w:val="none" w:sz="0" w:space="0" w:color="auto"/>
      </w:divBdr>
    </w:div>
    <w:div w:id="1272780873">
      <w:bodyDiv w:val="1"/>
      <w:marLeft w:val="0"/>
      <w:marRight w:val="0"/>
      <w:marTop w:val="0"/>
      <w:marBottom w:val="0"/>
      <w:divBdr>
        <w:top w:val="none" w:sz="0" w:space="0" w:color="auto"/>
        <w:left w:val="none" w:sz="0" w:space="0" w:color="auto"/>
        <w:bottom w:val="none" w:sz="0" w:space="0" w:color="auto"/>
        <w:right w:val="none" w:sz="0" w:space="0" w:color="auto"/>
      </w:divBdr>
    </w:div>
    <w:div w:id="1298098758">
      <w:bodyDiv w:val="1"/>
      <w:marLeft w:val="0"/>
      <w:marRight w:val="0"/>
      <w:marTop w:val="0"/>
      <w:marBottom w:val="0"/>
      <w:divBdr>
        <w:top w:val="none" w:sz="0" w:space="0" w:color="auto"/>
        <w:left w:val="none" w:sz="0" w:space="0" w:color="auto"/>
        <w:bottom w:val="none" w:sz="0" w:space="0" w:color="auto"/>
        <w:right w:val="none" w:sz="0" w:space="0" w:color="auto"/>
      </w:divBdr>
    </w:div>
    <w:div w:id="1369063044">
      <w:bodyDiv w:val="1"/>
      <w:marLeft w:val="0"/>
      <w:marRight w:val="0"/>
      <w:marTop w:val="0"/>
      <w:marBottom w:val="0"/>
      <w:divBdr>
        <w:top w:val="none" w:sz="0" w:space="0" w:color="auto"/>
        <w:left w:val="none" w:sz="0" w:space="0" w:color="auto"/>
        <w:bottom w:val="none" w:sz="0" w:space="0" w:color="auto"/>
        <w:right w:val="none" w:sz="0" w:space="0" w:color="auto"/>
      </w:divBdr>
    </w:div>
    <w:div w:id="1435513550">
      <w:bodyDiv w:val="1"/>
      <w:marLeft w:val="0"/>
      <w:marRight w:val="0"/>
      <w:marTop w:val="0"/>
      <w:marBottom w:val="0"/>
      <w:divBdr>
        <w:top w:val="none" w:sz="0" w:space="0" w:color="auto"/>
        <w:left w:val="none" w:sz="0" w:space="0" w:color="auto"/>
        <w:bottom w:val="none" w:sz="0" w:space="0" w:color="auto"/>
        <w:right w:val="none" w:sz="0" w:space="0" w:color="auto"/>
      </w:divBdr>
    </w:div>
    <w:div w:id="1619557622">
      <w:bodyDiv w:val="1"/>
      <w:marLeft w:val="0"/>
      <w:marRight w:val="0"/>
      <w:marTop w:val="0"/>
      <w:marBottom w:val="0"/>
      <w:divBdr>
        <w:top w:val="none" w:sz="0" w:space="0" w:color="auto"/>
        <w:left w:val="none" w:sz="0" w:space="0" w:color="auto"/>
        <w:bottom w:val="none" w:sz="0" w:space="0" w:color="auto"/>
        <w:right w:val="none" w:sz="0" w:space="0" w:color="auto"/>
      </w:divBdr>
    </w:div>
    <w:div w:id="1639141552">
      <w:bodyDiv w:val="1"/>
      <w:marLeft w:val="0"/>
      <w:marRight w:val="0"/>
      <w:marTop w:val="0"/>
      <w:marBottom w:val="0"/>
      <w:divBdr>
        <w:top w:val="none" w:sz="0" w:space="0" w:color="auto"/>
        <w:left w:val="none" w:sz="0" w:space="0" w:color="auto"/>
        <w:bottom w:val="none" w:sz="0" w:space="0" w:color="auto"/>
        <w:right w:val="none" w:sz="0" w:space="0" w:color="auto"/>
      </w:divBdr>
    </w:div>
    <w:div w:id="1655185155">
      <w:bodyDiv w:val="1"/>
      <w:marLeft w:val="0"/>
      <w:marRight w:val="0"/>
      <w:marTop w:val="0"/>
      <w:marBottom w:val="0"/>
      <w:divBdr>
        <w:top w:val="none" w:sz="0" w:space="0" w:color="auto"/>
        <w:left w:val="none" w:sz="0" w:space="0" w:color="auto"/>
        <w:bottom w:val="none" w:sz="0" w:space="0" w:color="auto"/>
        <w:right w:val="none" w:sz="0" w:space="0" w:color="auto"/>
      </w:divBdr>
    </w:div>
    <w:div w:id="1701079428">
      <w:bodyDiv w:val="1"/>
      <w:marLeft w:val="0"/>
      <w:marRight w:val="0"/>
      <w:marTop w:val="0"/>
      <w:marBottom w:val="0"/>
      <w:divBdr>
        <w:top w:val="none" w:sz="0" w:space="0" w:color="auto"/>
        <w:left w:val="none" w:sz="0" w:space="0" w:color="auto"/>
        <w:bottom w:val="none" w:sz="0" w:space="0" w:color="auto"/>
        <w:right w:val="none" w:sz="0" w:space="0" w:color="auto"/>
      </w:divBdr>
    </w:div>
    <w:div w:id="1704208130">
      <w:bodyDiv w:val="1"/>
      <w:marLeft w:val="0"/>
      <w:marRight w:val="0"/>
      <w:marTop w:val="0"/>
      <w:marBottom w:val="0"/>
      <w:divBdr>
        <w:top w:val="none" w:sz="0" w:space="0" w:color="auto"/>
        <w:left w:val="none" w:sz="0" w:space="0" w:color="auto"/>
        <w:bottom w:val="none" w:sz="0" w:space="0" w:color="auto"/>
        <w:right w:val="none" w:sz="0" w:space="0" w:color="auto"/>
      </w:divBdr>
    </w:div>
    <w:div w:id="1735666056">
      <w:bodyDiv w:val="1"/>
      <w:marLeft w:val="0"/>
      <w:marRight w:val="0"/>
      <w:marTop w:val="0"/>
      <w:marBottom w:val="0"/>
      <w:divBdr>
        <w:top w:val="none" w:sz="0" w:space="0" w:color="auto"/>
        <w:left w:val="none" w:sz="0" w:space="0" w:color="auto"/>
        <w:bottom w:val="none" w:sz="0" w:space="0" w:color="auto"/>
        <w:right w:val="none" w:sz="0" w:space="0" w:color="auto"/>
      </w:divBdr>
    </w:div>
    <w:div w:id="1754081468">
      <w:bodyDiv w:val="1"/>
      <w:marLeft w:val="0"/>
      <w:marRight w:val="0"/>
      <w:marTop w:val="0"/>
      <w:marBottom w:val="0"/>
      <w:divBdr>
        <w:top w:val="none" w:sz="0" w:space="0" w:color="auto"/>
        <w:left w:val="none" w:sz="0" w:space="0" w:color="auto"/>
        <w:bottom w:val="none" w:sz="0" w:space="0" w:color="auto"/>
        <w:right w:val="none" w:sz="0" w:space="0" w:color="auto"/>
      </w:divBdr>
    </w:div>
    <w:div w:id="1758869315">
      <w:bodyDiv w:val="1"/>
      <w:marLeft w:val="0"/>
      <w:marRight w:val="0"/>
      <w:marTop w:val="0"/>
      <w:marBottom w:val="0"/>
      <w:divBdr>
        <w:top w:val="none" w:sz="0" w:space="0" w:color="auto"/>
        <w:left w:val="none" w:sz="0" w:space="0" w:color="auto"/>
        <w:bottom w:val="none" w:sz="0" w:space="0" w:color="auto"/>
        <w:right w:val="none" w:sz="0" w:space="0" w:color="auto"/>
      </w:divBdr>
    </w:div>
    <w:div w:id="1761179448">
      <w:bodyDiv w:val="1"/>
      <w:marLeft w:val="0"/>
      <w:marRight w:val="0"/>
      <w:marTop w:val="0"/>
      <w:marBottom w:val="0"/>
      <w:divBdr>
        <w:top w:val="none" w:sz="0" w:space="0" w:color="auto"/>
        <w:left w:val="none" w:sz="0" w:space="0" w:color="auto"/>
        <w:bottom w:val="none" w:sz="0" w:space="0" w:color="auto"/>
        <w:right w:val="none" w:sz="0" w:space="0" w:color="auto"/>
      </w:divBdr>
    </w:div>
    <w:div w:id="1798990163">
      <w:bodyDiv w:val="1"/>
      <w:marLeft w:val="0"/>
      <w:marRight w:val="0"/>
      <w:marTop w:val="0"/>
      <w:marBottom w:val="0"/>
      <w:divBdr>
        <w:top w:val="none" w:sz="0" w:space="0" w:color="auto"/>
        <w:left w:val="none" w:sz="0" w:space="0" w:color="auto"/>
        <w:bottom w:val="none" w:sz="0" w:space="0" w:color="auto"/>
        <w:right w:val="none" w:sz="0" w:space="0" w:color="auto"/>
      </w:divBdr>
    </w:div>
    <w:div w:id="1803382131">
      <w:bodyDiv w:val="1"/>
      <w:marLeft w:val="0"/>
      <w:marRight w:val="0"/>
      <w:marTop w:val="0"/>
      <w:marBottom w:val="0"/>
      <w:divBdr>
        <w:top w:val="none" w:sz="0" w:space="0" w:color="auto"/>
        <w:left w:val="none" w:sz="0" w:space="0" w:color="auto"/>
        <w:bottom w:val="none" w:sz="0" w:space="0" w:color="auto"/>
        <w:right w:val="none" w:sz="0" w:space="0" w:color="auto"/>
      </w:divBdr>
    </w:div>
    <w:div w:id="1846746900">
      <w:bodyDiv w:val="1"/>
      <w:marLeft w:val="0"/>
      <w:marRight w:val="0"/>
      <w:marTop w:val="0"/>
      <w:marBottom w:val="0"/>
      <w:divBdr>
        <w:top w:val="none" w:sz="0" w:space="0" w:color="auto"/>
        <w:left w:val="none" w:sz="0" w:space="0" w:color="auto"/>
        <w:bottom w:val="none" w:sz="0" w:space="0" w:color="auto"/>
        <w:right w:val="none" w:sz="0" w:space="0" w:color="auto"/>
      </w:divBdr>
    </w:div>
    <w:div w:id="1914118881">
      <w:bodyDiv w:val="1"/>
      <w:marLeft w:val="0"/>
      <w:marRight w:val="0"/>
      <w:marTop w:val="0"/>
      <w:marBottom w:val="0"/>
      <w:divBdr>
        <w:top w:val="none" w:sz="0" w:space="0" w:color="auto"/>
        <w:left w:val="none" w:sz="0" w:space="0" w:color="auto"/>
        <w:bottom w:val="none" w:sz="0" w:space="0" w:color="auto"/>
        <w:right w:val="none" w:sz="0" w:space="0" w:color="auto"/>
      </w:divBdr>
    </w:div>
    <w:div w:id="1929338976">
      <w:bodyDiv w:val="1"/>
      <w:marLeft w:val="0"/>
      <w:marRight w:val="0"/>
      <w:marTop w:val="0"/>
      <w:marBottom w:val="0"/>
      <w:divBdr>
        <w:top w:val="none" w:sz="0" w:space="0" w:color="auto"/>
        <w:left w:val="none" w:sz="0" w:space="0" w:color="auto"/>
        <w:bottom w:val="none" w:sz="0" w:space="0" w:color="auto"/>
        <w:right w:val="none" w:sz="0" w:space="0" w:color="auto"/>
      </w:divBdr>
    </w:div>
    <w:div w:id="2033650140">
      <w:bodyDiv w:val="1"/>
      <w:marLeft w:val="0"/>
      <w:marRight w:val="0"/>
      <w:marTop w:val="0"/>
      <w:marBottom w:val="0"/>
      <w:divBdr>
        <w:top w:val="none" w:sz="0" w:space="0" w:color="auto"/>
        <w:left w:val="none" w:sz="0" w:space="0" w:color="auto"/>
        <w:bottom w:val="none" w:sz="0" w:space="0" w:color="auto"/>
        <w:right w:val="none" w:sz="0" w:space="0" w:color="auto"/>
      </w:divBdr>
    </w:div>
    <w:div w:id="2033725309">
      <w:bodyDiv w:val="1"/>
      <w:marLeft w:val="0"/>
      <w:marRight w:val="0"/>
      <w:marTop w:val="0"/>
      <w:marBottom w:val="0"/>
      <w:divBdr>
        <w:top w:val="none" w:sz="0" w:space="0" w:color="auto"/>
        <w:left w:val="none" w:sz="0" w:space="0" w:color="auto"/>
        <w:bottom w:val="none" w:sz="0" w:space="0" w:color="auto"/>
        <w:right w:val="none" w:sz="0" w:space="0" w:color="auto"/>
      </w:divBdr>
    </w:div>
    <w:div w:id="2043632342">
      <w:bodyDiv w:val="1"/>
      <w:marLeft w:val="0"/>
      <w:marRight w:val="0"/>
      <w:marTop w:val="0"/>
      <w:marBottom w:val="0"/>
      <w:divBdr>
        <w:top w:val="none" w:sz="0" w:space="0" w:color="auto"/>
        <w:left w:val="none" w:sz="0" w:space="0" w:color="auto"/>
        <w:bottom w:val="none" w:sz="0" w:space="0" w:color="auto"/>
        <w:right w:val="none" w:sz="0" w:space="0" w:color="auto"/>
      </w:divBdr>
    </w:div>
    <w:div w:id="2071658860">
      <w:bodyDiv w:val="1"/>
      <w:marLeft w:val="0"/>
      <w:marRight w:val="0"/>
      <w:marTop w:val="0"/>
      <w:marBottom w:val="0"/>
      <w:divBdr>
        <w:top w:val="none" w:sz="0" w:space="0" w:color="auto"/>
        <w:left w:val="none" w:sz="0" w:space="0" w:color="auto"/>
        <w:bottom w:val="none" w:sz="0" w:space="0" w:color="auto"/>
        <w:right w:val="none" w:sz="0" w:space="0" w:color="auto"/>
      </w:divBdr>
    </w:div>
    <w:div w:id="2094157358">
      <w:bodyDiv w:val="1"/>
      <w:marLeft w:val="0"/>
      <w:marRight w:val="0"/>
      <w:marTop w:val="0"/>
      <w:marBottom w:val="0"/>
      <w:divBdr>
        <w:top w:val="none" w:sz="0" w:space="0" w:color="auto"/>
        <w:left w:val="none" w:sz="0" w:space="0" w:color="auto"/>
        <w:bottom w:val="none" w:sz="0" w:space="0" w:color="auto"/>
        <w:right w:val="none" w:sz="0" w:space="0" w:color="auto"/>
      </w:divBdr>
    </w:div>
    <w:div w:id="2102558384">
      <w:bodyDiv w:val="1"/>
      <w:marLeft w:val="0"/>
      <w:marRight w:val="0"/>
      <w:marTop w:val="0"/>
      <w:marBottom w:val="0"/>
      <w:divBdr>
        <w:top w:val="none" w:sz="0" w:space="0" w:color="auto"/>
        <w:left w:val="none" w:sz="0" w:space="0" w:color="auto"/>
        <w:bottom w:val="none" w:sz="0" w:space="0" w:color="auto"/>
        <w:right w:val="none" w:sz="0" w:space="0" w:color="auto"/>
      </w:divBdr>
    </w:div>
    <w:div w:id="213282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ata.worldbank.org/indicator/SH.DYN.MORT" TargetMode="External"/><Relationship Id="rId3" Type="http://schemas.openxmlformats.org/officeDocument/2006/relationships/hyperlink" Target="https://hdr.undp.org/data-center/specific-country-data" TargetMode="External"/><Relationship Id="rId7" Type="http://schemas.openxmlformats.org/officeDocument/2006/relationships/hyperlink" Target="https://data.worldbank.org/indicator/SH.STA.MMRT" TargetMode="External"/><Relationship Id="rId2" Type="http://schemas.openxmlformats.org/officeDocument/2006/relationships/hyperlink" Target="https://dashboards.sdgindex.org/profiles/papua-new-guinea/indicators/" TargetMode="External"/><Relationship Id="rId1" Type="http://schemas.openxmlformats.org/officeDocument/2006/relationships/hyperlink" Target="https://hdr.undp.org/data-center/specific-country-data" TargetMode="External"/><Relationship Id="rId6" Type="http://schemas.openxmlformats.org/officeDocument/2006/relationships/hyperlink" Target="https://papuanewguinea.un.org/sites/default/files/2024-12/052UN%20PNG%20COUNTRY%20ANALYSIS%202024.pdf" TargetMode="External"/><Relationship Id="rId5" Type="http://schemas.openxmlformats.org/officeDocument/2006/relationships/hyperlink" Target="https://www.worldbank.org/en/country/png/brief/papua-new-guinea-economic-update-june-2025" TargetMode="External"/><Relationship Id="rId4" Type="http://schemas.openxmlformats.org/officeDocument/2006/relationships/hyperlink" Target="https://www.pmnec.gov.pg/prime-minister-marape-hails-passage-of-historic-disability-services-bill-as-a-50th-anniversary-gift-to-over-1-5-million-papua-new-guineans/" TargetMode="External"/><Relationship Id="rId9" Type="http://schemas.openxmlformats.org/officeDocument/2006/relationships/hyperlink" Target="https://data.worldbank.org/indicator/SP.DYN.LE00.IN" TargetMode="External"/></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UND23</b:Tag>
    <b:SourceType>Report</b:SourceType>
    <b:Guid>{63E0931B-F8BE-40E8-AB63-AA6CD5DEE4DB}</b:Guid>
    <b:Title>Sustainable Development Report </b:Title>
    <b:Year>2023</b:Year>
    <b:Author>
      <b:Author>
        <b:NameList>
          <b:Person>
            <b:Last>UNDP</b:Last>
          </b:Person>
        </b:NameList>
      </b:Author>
    </b:Author>
    <b:RefOrder>23</b:RefOrder>
  </b:Source>
  <b:Source>
    <b:Tag>UND231</b:Tag>
    <b:SourceType>InternetSite</b:SourceType>
    <b:Guid>{61AE9DA6-AF0F-46D3-AE8E-FB41FA3D84B6}</b:Guid>
    <b:Author>
      <b:Author>
        <b:NameList>
          <b:Person>
            <b:Last>UNDP</b:Last>
          </b:Person>
        </b:NameList>
      </b:Author>
    </b:Author>
    <b:Title>Human Development Index</b:Title>
    <b:Year>2023</b:Year>
    <b:YearAccessed>2023</b:YearAccessed>
    <b:MonthAccessed>September</b:MonthAccessed>
    <b:DayAccessed>30</b:DayAccessed>
    <b:URL>https://hdr.undp.org/data-center/human-development-index#/indicies/HDI</b:URL>
    <b:RefOrder>1</b:RefOrder>
  </b:Source>
  <b:Source>
    <b:Tag>ADB</b:Tag>
    <b:SourceType>InternetSite</b:SourceType>
    <b:Guid>{CD0D60DF-353D-4F92-B602-F8768158BF2F}</b:Guid>
    <b:Author>
      <b:Author>
        <b:NameList>
          <b:Person>
            <b:Last>ADB</b:Last>
          </b:Person>
        </b:NameList>
      </b:Author>
    </b:Author>
    <b:Title>Papua New Guinea Poverty</b:Title>
    <b:URL>https://www.adb.org/countries/papua-new-guinea/poverty</b:URL>
    <b:RefOrder>2</b:RefOrder>
  </b:Source>
  <b:Source>
    <b:Tag>Uni22</b:Tag>
    <b:SourceType>Report</b:SourceType>
    <b:Guid>{344B9A7B-6AC2-44AB-A91D-D295062931F9}</b:Guid>
    <b:Author>
      <b:Author>
        <b:Corporate>United Nations Development Programme</b:Corporate>
      </b:Author>
    </b:Author>
    <b:Title>Papua New Guinea Gender Equality Program, 2023-2025</b:Title>
    <b:Year>2022</b:Year>
    <b:Publisher>UNDP</b:Publisher>
    <b:YearAccessed>2023</b:YearAccessed>
    <b:MonthAccessed>September</b:MonthAccessed>
    <b:DayAccessed>12</b:DayAccessed>
    <b:URL>https://www.undp.org/sites/g/files/zskgke326/files/2023-03/undp_png_genderstrategy_2023.pdf</b:URL>
    <b:RefOrder>3</b:RefOrder>
  </b:Source>
  <b:Source>
    <b:Tag>Hum20</b:Tag>
    <b:SourceType>Report</b:SourceType>
    <b:Guid>{560BE8A0-6988-41BF-B87E-542A513A2DC1}</b:Guid>
    <b:Title>Human Rights Across the Pacific</b:Title>
    <b:Year>2020</b:Year>
    <b:YearAccessed>2023</b:YearAccessed>
    <b:MonthAccessed>September</b:MonthAccessed>
    <b:DayAccessed>13</b:DayAccessed>
    <b:URL>https://humanrightsmeasurement.org/wp-content/uploads/2020/06/HRMI-Pacific-Report.pdf</b:URL>
    <b:Author>
      <b:Author>
        <b:Corporate>Human Rights Measurement Initiative</b:Corporate>
      </b:Author>
    </b:Author>
    <b:RefOrder>4</b:RefOrder>
  </b:Source>
  <b:Source>
    <b:Tag>Ban21</b:Tag>
    <b:SourceType>Report</b:SourceType>
    <b:Guid>{B5CA9924-4380-4FC5-AFDB-C09265DE152C}</b:Guid>
    <b:Author>
      <b:Author>
        <b:NameList>
          <b:Person>
            <b:Last>World Bank.</b:Last>
          </b:Person>
        </b:NameList>
      </b:Author>
    </b:Author>
    <b:Title>Papua Nw Guinea Economic Update</b:Title>
    <b:Year>2021</b:Year>
    <b:Publisher>World Bank Group</b:Publisher>
    <b:City>Washington</b:City>
    <b:RefOrder>13</b:RefOrder>
  </b:Source>
  <b:Source>
    <b:Tag>eta21</b:Tag>
    <b:SourceType>Report</b:SourceType>
    <b:Guid>{88266391-CAC8-4677-989A-147E8559B7F1}</b:Guid>
    <b:Author>
      <b:Author>
        <b:NameList>
          <b:Person>
            <b:Last>Teskey G.</b:Last>
            <b:First>et</b:First>
            <b:Middle>al.,</b:Middle>
          </b:Person>
        </b:NameList>
      </b:Author>
    </b:Author>
    <b:Title>Papua New Guinea Governance Update 2021: Steady as she goes?</b:Title>
    <b:Year>2021</b:Year>
    <b:Publisher>National Research Institute</b:Publisher>
    <b:City>Port Moresby</b:City>
    <b:RefOrder>24</b:RefOrder>
  </b:Source>
  <b:Source>
    <b:Tag>Ins23</b:Tag>
    <b:SourceType>InternetSite</b:SourceType>
    <b:Guid>{ED2C829F-5258-42AF-A9EC-7A9C016A715D}</b:Guid>
    <b:Title> Results Tool</b:Title>
    <b:Author>
      <b:Author>
        <b:Corporate>Institute of Health Metrics and Evaluation</b:Corporate>
      </b:Author>
    </b:Author>
    <b:InternetSiteTitle>Global Burden of Disease</b:InternetSiteTitle>
    <b:YearAccessed>2023</b:YearAccessed>
    <b:MonthAccessed>September</b:MonthAccessed>
    <b:DayAccessed>15</b:DayAccessed>
    <b:RefOrder>5</b:RefOrder>
  </b:Source>
  <b:Source>
    <b:Tag>Wor234</b:Tag>
    <b:SourceType>InternetSite</b:SourceType>
    <b:Guid>{003346CD-E0DE-49D0-B69D-C4E5274B42B5}</b:Guid>
    <b:Author>
      <b:Author>
        <b:Corporate>World Bank</b:Corporate>
      </b:Author>
    </b:Author>
    <b:Title>Indicators: Under five-years mortality rate</b:Title>
    <b:InternetSiteTitle>World Bank Open Data</b:InternetSiteTitle>
    <b:YearAccessed>2023</b:YearAccessed>
    <b:MonthAccessed>September</b:MonthAccessed>
    <b:DayAccessed>12</b:DayAccessed>
    <b:URL>https://data.worldbank.org/indicator/SH.DYN.MORT.MA?locations=PG</b:URL>
    <b:RefOrder>6</b:RefOrder>
  </b:Source>
  <b:Source>
    <b:Tag>WHO231</b:Tag>
    <b:SourceType>InternetSite</b:SourceType>
    <b:Guid>{2D3E9D0B-B2CF-4AA7-88AF-6447AB9AACEC}</b:Guid>
    <b:Author>
      <b:Author>
        <b:NameList>
          <b:Person>
            <b:Last>WHO</b:Last>
          </b:Person>
        </b:NameList>
      </b:Author>
    </b:Author>
    <b:Title>Global Health Observatory</b:Title>
    <b:InternetSiteTitle>Universal Healt Index Coverage</b:InternetSiteTitle>
    <b:Year>2023</b:Year>
    <b:YearAccessed>2023</b:YearAccessed>
    <b:MonthAccessed>September</b:MonthAccessed>
    <b:DayAccessed>30</b:DayAccessed>
    <b:URL>https://www.who.int/data/gho/data/indicators/indicator-details/GHO/uhc-index-of-service-coverage</b:URL>
    <b:RefOrder>7</b:RefOrder>
  </b:Source>
  <b:Source>
    <b:Tag>And23</b:Tag>
    <b:SourceType>Report</b:SourceType>
    <b:Guid>{B022053C-3542-4C2C-9AD5-9BE114DF5413}</b:Guid>
    <b:Author>
      <b:Author>
        <b:NameList>
          <b:Person>
            <b:Last>I</b:Last>
            <b:First>Anderson</b:First>
          </b:Person>
        </b:NameList>
      </b:Author>
    </b:Author>
    <b:Title>Obesity Preparedness in the Asia and Paciific</b:Title>
    <b:Year>2023</b:Year>
    <b:Publisher>ANU Devpolicy Blog</b:Publisher>
    <b:RefOrder>9</b:RefOrder>
  </b:Source>
  <b:Source>
    <b:Tag>Bannd</b:Tag>
    <b:SourceType>Report</b:SourceType>
    <b:Guid>{C25092F0-4E3F-4784-88E8-F870B13FCDA8}</b:Guid>
    <b:Author>
      <b:Author>
        <b:NameList>
          <b:Person>
            <b:Last>World Bank.</b:Last>
          </b:Person>
        </b:NameList>
      </b:Author>
    </b:Author>
    <b:Title>Success Stories with Reducing Stunting: Lessons from PNG</b:Title>
    <b:Year>n.d</b:Year>
    <b:Publisher>World Bank Group</b:Publisher>
    <b:City>Washington</b:City>
    <b:RefOrder>8</b:RefOrder>
  </b:Source>
  <b:Source>
    <b:Tag>Wor235</b:Tag>
    <b:SourceType>InternetSite</b:SourceType>
    <b:Guid>{45CC9531-DDFF-4528-95CD-F571478DA161}</b:Guid>
    <b:Title>Indicators: Total Fertility Rate</b:Title>
    <b:Author>
      <b:Author>
        <b:Corporate>World Bank</b:Corporate>
      </b:Author>
    </b:Author>
    <b:InternetSiteTitle>World Bank Open Data</b:InternetSiteTitle>
    <b:YearAccessed>2023</b:YearAccessed>
    <b:MonthAccessed>September</b:MonthAccessed>
    <b:DayAccessed>12</b:DayAccessed>
    <b:URL>https://data.worldbank.org/indicator/SP.DYN.TFRT.IN?locations=XN</b:URL>
    <b:RefOrder>10</b:RefOrder>
  </b:Source>
  <b:Source>
    <b:Tag>NOH21</b:Tag>
    <b:SourceType>Report</b:SourceType>
    <b:Guid>{96D397C2-48A2-42A6-B1BF-63EF0ACA99EA}</b:Guid>
    <b:Author>
      <b:Author>
        <b:NameList>
          <b:Person>
            <b:Last>NDOH</b:Last>
          </b:Person>
        </b:NameList>
      </b:Author>
    </b:Author>
    <b:Title>Sector Performance Annual Review</b:Title>
    <b:Year>2000-2021</b:Year>
    <b:RefOrder>11</b:RefOrder>
  </b:Source>
  <b:Source>
    <b:Tag>Hou22</b:Tag>
    <b:SourceType>JournalArticle</b:SourceType>
    <b:Guid>{EF7A32B4-83DF-41F4-93ED-5E33959E048A}</b:Guid>
    <b:Title>Readiness of health facilities to provide emergency obsetric care in PNG: Evidence from a cross sectional survery.</b:Title>
    <b:Year>2022</b:Year>
    <b:Publisher>BMJ Open</b:Publisher>
    <b:Author>
      <b:Author>
        <b:NameList>
          <b:Person>
            <b:Last>Hou X.</b:Last>
            <b:First>et</b:First>
            <b:Middle>al.,</b:Middle>
          </b:Person>
        </b:NameList>
      </b:Author>
    </b:Author>
    <b:Volume>12</b:Volume>
    <b:Issue>e050150</b:Issue>
    <b:RefOrder>12</b:RefOrder>
  </b:Source>
  <b:Source>
    <b:Tag>Ass11</b:Tag>
    <b:SourceType>Report</b:SourceType>
    <b:Guid>{6DB9EBB8-7394-4AE7-94A9-4D96370FD767}</b:Guid>
    <b:Title>A Review of Health Leadership and Management In PNG</b:Title>
    <b:Year>2011</b:Year>
    <b:Author>
      <b:Author>
        <b:NameList>
          <b:Person>
            <b:Last>Assante A.</b:Last>
            <b:First>and</b:First>
            <b:Middle>Hall J.,</b:Middle>
          </b:Person>
        </b:NameList>
      </b:Author>
    </b:Author>
    <b:Publisher>University of New South Wales</b:Publisher>
    <b:RefOrder>14</b:RefOrder>
  </b:Source>
  <b:Source>
    <b:Tag>eta14</b:Tag>
    <b:SourceType>Report</b:SourceType>
    <b:Guid>{34E28F99-D444-4C59-B667-47A034FBCA85}</b:Guid>
    <b:Author>
      <b:Author>
        <b:NameList>
          <b:Person>
            <b:Last>Howes S.</b:Last>
            <b:First>et</b:First>
            <b:Middle>al.,</b:Middle>
          </b:Person>
        </b:NameList>
      </b:Author>
    </b:Author>
    <b:Title>A lost decade? Service delivery and reforms in PNG 2002-12</b:Title>
    <b:Year>2014</b:Year>
    <b:Publisher>National Research Institute</b:Publisher>
    <b:City>Port Moresby</b:City>
    <b:RefOrder>15</b:RefOrder>
  </b:Source>
  <b:Source>
    <b:Tag>Ban18</b:Tag>
    <b:SourceType>Report</b:SourceType>
    <b:Guid>{5373056A-A02B-4145-9097-55C9418EC990}</b:Guid>
    <b:Author>
      <b:Author>
        <b:NameList>
          <b:Person>
            <b:Last>World Bank.</b:Last>
          </b:Person>
        </b:NameList>
      </b:Author>
    </b:Author>
    <b:Title>Service Delivery by Health Facilities</b:Title>
    <b:Year>2018</b:Year>
    <b:Publisher>Wold Bank Group</b:Publisher>
    <b:City>Washington</b:City>
    <b:RefOrder>16</b:RefOrder>
  </b:Source>
  <b:Source>
    <b:Tag>WHO19</b:Tag>
    <b:SourceType>Report</b:SourceType>
    <b:Guid>{C68506FB-5B44-4C1B-A4B0-B09DF5BC5AAB}</b:Guid>
    <b:Author>
      <b:Author>
        <b:NameList>
          <b:Person>
            <b:Last>WHO</b:Last>
          </b:Person>
        </b:NameList>
      </b:Author>
    </b:Author>
    <b:Title>Papua New Guinea Heath System Review</b:Title>
    <b:Year>2019</b:Year>
    <b:Publisher>WHO SEARO</b:Publisher>
    <b:City>New Delhi</b:City>
    <b:RefOrder>17</b:RefOrder>
  </b:Source>
  <b:Source>
    <b:Tag>Wor20</b:Tag>
    <b:SourceType>Report</b:SourceType>
    <b:Guid>{6F6806A9-0A24-4FEE-8DCA-01C26FE92CC6}</b:Guid>
    <b:Author>
      <b:Author>
        <b:Corporate>World Health Organization and the United Nations Children's Fund (UNICEF)</b:Corporate>
      </b:Author>
    </b:Author>
    <b:Title>Operational Framework for Primary Health Care: Transforming Vision into Action</b:Title>
    <b:Year>2020</b:Year>
    <b:City>Geneva</b:City>
    <b:StandardNumber>978-92-4-001783-2</b:StandardNumber>
    <b:RefOrder>18</b:RefOrder>
  </b:Source>
  <b:Source>
    <b:Tag>WHO15</b:Tag>
    <b:SourceType>Report</b:SourceType>
    <b:Guid>{D2CFB51E-9F1F-4EC2-8A93-F7A07335D58C}</b:Guid>
    <b:Author>
      <b:Author>
        <b:NameList>
          <b:Person>
            <b:Last>WHO</b:Last>
          </b:Person>
        </b:NameList>
      </b:Author>
    </b:Author>
    <b:Title>People-centerd and Integrated Health Services: An overview of the evidence: An interim report</b:Title>
    <b:Year>2015</b:Year>
    <b:Publisher>WHO </b:Publisher>
    <b:City>Geneva</b:City>
    <b:RefOrder>19</b:RefOrder>
  </b:Source>
  <b:Source>
    <b:Tag>Wit19</b:Tag>
    <b:SourceType>JournalArticle</b:SourceType>
    <b:Guid>{9B1E9CF9-4052-4ECF-9018-FA8ECFCA817E}</b:Guid>
    <b:Author>
      <b:Author>
        <b:NameList>
          <b:Person>
            <b:Last>Witter S</b:Last>
            <b:First>,</b:First>
            <b:Middle>et al</b:Middle>
          </b:Person>
        </b:NameList>
      </b:Author>
    </b:Author>
    <b:Title>Health systems strengthening: Reflections on its meaning, assessment and our state of knowledge</b:Title>
    <b:Year>2019</b:Year>
    <b:Publisher>International Journal of Health Planning and Management</b:Publisher>
    <b:Volume>34</b:Volume>
    <b:Issue>4</b:Issue>
    <b:RefOrder>20</b:RefOrder>
  </b:Source>
  <b:Source>
    <b:Tag>HDM22</b:Tag>
    <b:SourceType>Report</b:SourceType>
    <b:Guid>{A1A09B17-D368-489B-A532-583B138D4393}</b:Guid>
    <b:Title>Health Portfolio Plan Mid-Term Review</b:Title>
    <b:Year>2022</b:Year>
    <b:Author>
      <b:Author>
        <b:NameList>
          <b:Person>
            <b:Last>HDMES</b:Last>
          </b:Person>
        </b:NameList>
      </b:Author>
    </b:Author>
    <b:RefOrder>21</b:RefOrder>
  </b:Source>
  <b:Source>
    <b:Tag>HDM23</b:Tag>
    <b:SourceType>Report</b:SourceType>
    <b:Guid>{3A48B61A-577A-43E9-93DA-2BEC103C7D96}</b:Guid>
    <b:Author>
      <b:Author>
        <b:NameList>
          <b:Person>
            <b:Last>HDMES</b:Last>
          </b:Person>
        </b:NameList>
      </b:Author>
    </b:Author>
    <b:Title>Review of DFATs Sexual, Reproductive, Maternal, Newborn and CHild Health Inivestments</b:Title>
    <b:Year>2023</b:Year>
    <b:RefOrder>22</b:RefOrder>
  </b:Source>
</b:Sources>
</file>

<file path=customXml/itemProps1.xml><?xml version="1.0" encoding="utf-8"?>
<ds:datastoreItem xmlns:ds="http://schemas.openxmlformats.org/officeDocument/2006/customXml" ds:itemID="{2B8F5100-9592-440A-8C0B-3D7CE319B129}">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6749</Words>
  <Characters>39887</Characters>
  <Application>Microsoft Office Word</Application>
  <DocSecurity>0</DocSecurity>
  <Lines>539</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ENABLE (Enhanced National Advice, Bilateral partnership, and Learning and Evidence)</dc:title>
  <dc:subject/>
  <dc:creator/>
  <cp:keywords/>
  <cp:lastModifiedBy/>
  <cp:revision>1</cp:revision>
  <dcterms:created xsi:type="dcterms:W3CDTF">2026-09-23T00:29:00Z</dcterms:created>
  <dcterms:modified xsi:type="dcterms:W3CDTF">2026-09-23T00:29:00Z</dcterms:modified>
  <cp:category/>
</cp:coreProperties>
</file>