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10F91" w14:textId="77777777" w:rsidR="00141598" w:rsidRDefault="00141598" w:rsidP="00141598">
      <w:pPr>
        <w:pStyle w:val="DocName"/>
        <w:pBdr>
          <w:top w:val="single" w:sz="4" w:space="12" w:color="FF9900"/>
          <w:bottom w:val="single" w:sz="4" w:space="5" w:color="FF9900"/>
        </w:pBdr>
        <w:shd w:val="clear" w:color="auto" w:fill="FFFFCC"/>
        <w:spacing w:line="360" w:lineRule="auto"/>
        <w:rPr>
          <w:sz w:val="24"/>
          <w:lang w:eastAsia="en-AU"/>
        </w:rPr>
      </w:pPr>
      <w:bookmarkStart w:id="0" w:name="_GoBack"/>
      <w:bookmarkEnd w:id="0"/>
      <w:r>
        <w:rPr>
          <w:sz w:val="24"/>
          <w:lang w:eastAsia="en-AU"/>
        </w:rPr>
        <w:t>Evaluation of Electoral Support to PNG</w:t>
      </w:r>
    </w:p>
    <w:p w14:paraId="43310F92" w14:textId="77777777" w:rsidR="00141598" w:rsidRDefault="00141598" w:rsidP="00141598">
      <w:pPr>
        <w:pStyle w:val="DocName"/>
        <w:pBdr>
          <w:top w:val="single" w:sz="4" w:space="12" w:color="FF9900"/>
          <w:bottom w:val="single" w:sz="4" w:space="5" w:color="FF9900"/>
        </w:pBdr>
        <w:shd w:val="clear" w:color="auto" w:fill="FFFFCC"/>
        <w:spacing w:line="360" w:lineRule="auto"/>
        <w:rPr>
          <w:sz w:val="24"/>
          <w:lang w:eastAsia="en-AU"/>
        </w:rPr>
      </w:pPr>
      <w:r>
        <w:rPr>
          <w:sz w:val="24"/>
          <w:lang w:eastAsia="en-AU"/>
        </w:rPr>
        <w:t>MANAGEMENT RESPONSE</w:t>
      </w:r>
    </w:p>
    <w:p w14:paraId="43310F93" w14:textId="77777777" w:rsidR="00141598" w:rsidRDefault="00141598" w:rsidP="00141598">
      <w:pPr>
        <w:pStyle w:val="Heading2"/>
      </w:pPr>
      <w:r>
        <w:t>Initiative Summary</w:t>
      </w: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660"/>
        <w:gridCol w:w="2693"/>
        <w:gridCol w:w="1843"/>
        <w:gridCol w:w="2693"/>
      </w:tblGrid>
      <w:tr w:rsidR="00141598" w:rsidRPr="00F43CEC" w14:paraId="43310F96" w14:textId="77777777" w:rsidTr="008E02EF">
        <w:trPr>
          <w:cantSplit/>
          <w:tblHeader/>
        </w:trPr>
        <w:tc>
          <w:tcPr>
            <w:tcW w:w="2660" w:type="dxa"/>
            <w:shd w:val="clear" w:color="auto" w:fill="E0E0E0"/>
            <w:vAlign w:val="center"/>
          </w:tcPr>
          <w:p w14:paraId="43310F94" w14:textId="77777777" w:rsidR="00141598" w:rsidRPr="00F43CEC" w:rsidRDefault="00141598" w:rsidP="008E02EF">
            <w:pPr>
              <w:pStyle w:val="Table-normal-text"/>
              <w:spacing w:before="120" w:after="120"/>
              <w:rPr>
                <w:b/>
              </w:rPr>
            </w:pPr>
            <w:r>
              <w:rPr>
                <w:b/>
              </w:rPr>
              <w:t>Initiative</w:t>
            </w:r>
            <w:r w:rsidRPr="00F43CEC">
              <w:rPr>
                <w:b/>
              </w:rPr>
              <w:t xml:space="preserve"> Name</w:t>
            </w:r>
          </w:p>
        </w:tc>
        <w:tc>
          <w:tcPr>
            <w:tcW w:w="7229" w:type="dxa"/>
            <w:gridSpan w:val="3"/>
            <w:shd w:val="clear" w:color="auto" w:fill="E0E0E0"/>
            <w:vAlign w:val="center"/>
          </w:tcPr>
          <w:p w14:paraId="43310F95" w14:textId="77777777" w:rsidR="00141598" w:rsidRPr="00F43CEC" w:rsidRDefault="00141598" w:rsidP="008E02EF">
            <w:pPr>
              <w:pStyle w:val="Table-normal-text"/>
              <w:spacing w:before="120" w:after="120"/>
              <w:rPr>
                <w:b/>
              </w:rPr>
            </w:pPr>
            <w:r>
              <w:rPr>
                <w:b/>
              </w:rPr>
              <w:t xml:space="preserve">PNG Electoral Support </w:t>
            </w:r>
          </w:p>
        </w:tc>
      </w:tr>
      <w:tr w:rsidR="00141598" w:rsidRPr="00F43CEC" w14:paraId="43310F99" w14:textId="77777777" w:rsidTr="008E02EF">
        <w:trPr>
          <w:cantSplit/>
        </w:trPr>
        <w:tc>
          <w:tcPr>
            <w:tcW w:w="2660" w:type="dxa"/>
            <w:shd w:val="clear" w:color="auto" w:fill="auto"/>
          </w:tcPr>
          <w:p w14:paraId="43310F97" w14:textId="77777777" w:rsidR="00141598" w:rsidRPr="00F2320B" w:rsidRDefault="00141598" w:rsidP="008E02EF">
            <w:pPr>
              <w:pStyle w:val="Table-normal-text"/>
            </w:pPr>
            <w:r w:rsidRPr="00F2320B">
              <w:t>AidWorks initiative number</w:t>
            </w:r>
          </w:p>
        </w:tc>
        <w:tc>
          <w:tcPr>
            <w:tcW w:w="7229" w:type="dxa"/>
            <w:gridSpan w:val="3"/>
            <w:shd w:val="clear" w:color="auto" w:fill="auto"/>
          </w:tcPr>
          <w:p w14:paraId="43310F98" w14:textId="77777777" w:rsidR="00141598" w:rsidRPr="00F2320B" w:rsidRDefault="00141598" w:rsidP="008E02EF">
            <w:pPr>
              <w:pStyle w:val="Table-normal-text"/>
            </w:pPr>
            <w:r>
              <w:t>INE213, ING202, INJ466, INK477</w:t>
            </w:r>
          </w:p>
        </w:tc>
      </w:tr>
      <w:tr w:rsidR="00141598" w:rsidRPr="00F43CEC" w14:paraId="43310F9E" w14:textId="77777777" w:rsidTr="008E02EF">
        <w:trPr>
          <w:cantSplit/>
        </w:trPr>
        <w:tc>
          <w:tcPr>
            <w:tcW w:w="2660" w:type="dxa"/>
            <w:shd w:val="clear" w:color="auto" w:fill="auto"/>
          </w:tcPr>
          <w:p w14:paraId="43310F9A" w14:textId="77777777" w:rsidR="00141598" w:rsidRPr="00F2320B" w:rsidRDefault="00141598" w:rsidP="008E02EF">
            <w:pPr>
              <w:pStyle w:val="Table-normal-text"/>
            </w:pPr>
            <w:r w:rsidRPr="00F2320B">
              <w:t xml:space="preserve">Commencement </w:t>
            </w:r>
            <w:r>
              <w:t>d</w:t>
            </w:r>
            <w:r w:rsidRPr="00F2320B">
              <w:t>ate</w:t>
            </w:r>
          </w:p>
        </w:tc>
        <w:tc>
          <w:tcPr>
            <w:tcW w:w="2693" w:type="dxa"/>
            <w:shd w:val="clear" w:color="auto" w:fill="auto"/>
          </w:tcPr>
          <w:p w14:paraId="43310F9B" w14:textId="77777777" w:rsidR="00141598" w:rsidRPr="00F2320B" w:rsidRDefault="00141598" w:rsidP="008E02EF">
            <w:pPr>
              <w:pStyle w:val="Table-normal-text"/>
            </w:pPr>
            <w:r>
              <w:t>2000</w:t>
            </w:r>
          </w:p>
        </w:tc>
        <w:tc>
          <w:tcPr>
            <w:tcW w:w="1843" w:type="dxa"/>
            <w:shd w:val="clear" w:color="auto" w:fill="auto"/>
          </w:tcPr>
          <w:p w14:paraId="43310F9C" w14:textId="77777777" w:rsidR="00141598" w:rsidRPr="00F2320B" w:rsidRDefault="00141598" w:rsidP="008E02EF">
            <w:pPr>
              <w:pStyle w:val="Table-normal-text"/>
            </w:pPr>
            <w:r w:rsidRPr="00F2320B">
              <w:t xml:space="preserve">Completion </w:t>
            </w:r>
            <w:r>
              <w:t>d</w:t>
            </w:r>
            <w:r w:rsidRPr="00F2320B">
              <w:t>ate</w:t>
            </w:r>
          </w:p>
        </w:tc>
        <w:tc>
          <w:tcPr>
            <w:tcW w:w="2693" w:type="dxa"/>
            <w:shd w:val="clear" w:color="auto" w:fill="auto"/>
          </w:tcPr>
          <w:p w14:paraId="43310F9D" w14:textId="77777777" w:rsidR="00141598" w:rsidRPr="00F2320B" w:rsidRDefault="00141598" w:rsidP="008E02EF">
            <w:pPr>
              <w:pStyle w:val="Table-normal-text"/>
            </w:pPr>
            <w:r>
              <w:t>2013</w:t>
            </w:r>
          </w:p>
        </w:tc>
      </w:tr>
      <w:tr w:rsidR="00141598" w:rsidRPr="00F43CEC" w14:paraId="43310FA1" w14:textId="77777777" w:rsidTr="008E02EF">
        <w:trPr>
          <w:cantSplit/>
        </w:trPr>
        <w:tc>
          <w:tcPr>
            <w:tcW w:w="2660" w:type="dxa"/>
            <w:shd w:val="clear" w:color="auto" w:fill="auto"/>
          </w:tcPr>
          <w:p w14:paraId="43310F9F" w14:textId="77777777" w:rsidR="00141598" w:rsidRPr="00F2320B" w:rsidRDefault="00141598" w:rsidP="008E02EF">
            <w:pPr>
              <w:pStyle w:val="Table-normal-text"/>
            </w:pPr>
            <w:r>
              <w:t>Total Australian $</w:t>
            </w:r>
          </w:p>
        </w:tc>
        <w:tc>
          <w:tcPr>
            <w:tcW w:w="7229" w:type="dxa"/>
            <w:gridSpan w:val="3"/>
            <w:shd w:val="clear" w:color="auto" w:fill="auto"/>
          </w:tcPr>
          <w:p w14:paraId="43310FA0" w14:textId="77777777" w:rsidR="00141598" w:rsidRPr="00F2320B" w:rsidRDefault="008A227E" w:rsidP="008E02EF">
            <w:pPr>
              <w:pStyle w:val="Table-normal-text"/>
            </w:pPr>
            <w:r>
              <w:t>$56.8 million</w:t>
            </w:r>
          </w:p>
        </w:tc>
      </w:tr>
      <w:tr w:rsidR="00141598" w:rsidRPr="00F43CEC" w14:paraId="43310FA4" w14:textId="77777777" w:rsidTr="008E02EF">
        <w:trPr>
          <w:cantSplit/>
        </w:trPr>
        <w:tc>
          <w:tcPr>
            <w:tcW w:w="2660" w:type="dxa"/>
            <w:shd w:val="clear" w:color="auto" w:fill="auto"/>
          </w:tcPr>
          <w:p w14:paraId="43310FA2" w14:textId="77777777" w:rsidR="00141598" w:rsidRPr="00F2320B" w:rsidRDefault="00141598" w:rsidP="008E02EF">
            <w:pPr>
              <w:pStyle w:val="Table-normal-text"/>
            </w:pPr>
            <w:r w:rsidRPr="00F2320B">
              <w:t>Delivery organisation(s)</w:t>
            </w:r>
          </w:p>
        </w:tc>
        <w:tc>
          <w:tcPr>
            <w:tcW w:w="7229" w:type="dxa"/>
            <w:gridSpan w:val="3"/>
            <w:shd w:val="clear" w:color="auto" w:fill="auto"/>
          </w:tcPr>
          <w:p w14:paraId="43310FA3" w14:textId="77777777" w:rsidR="00141598" w:rsidRPr="00F2320B" w:rsidRDefault="006F09F8" w:rsidP="008E02EF">
            <w:pPr>
              <w:pStyle w:val="Table-normal-text"/>
            </w:pPr>
            <w:r>
              <w:t>DFAT</w:t>
            </w:r>
            <w:r w:rsidR="00141598">
              <w:t xml:space="preserve"> (supported by Cardno Emerging Markets), in partnership with the Australian Electoral Commission </w:t>
            </w:r>
          </w:p>
        </w:tc>
      </w:tr>
      <w:tr w:rsidR="00141598" w:rsidRPr="00F43CEC" w14:paraId="43310FA7" w14:textId="77777777" w:rsidTr="008E02EF">
        <w:trPr>
          <w:cantSplit/>
        </w:trPr>
        <w:tc>
          <w:tcPr>
            <w:tcW w:w="2660" w:type="dxa"/>
            <w:shd w:val="clear" w:color="auto" w:fill="auto"/>
          </w:tcPr>
          <w:p w14:paraId="43310FA5" w14:textId="77777777" w:rsidR="00141598" w:rsidRPr="00F2320B" w:rsidRDefault="00141598" w:rsidP="008E02EF">
            <w:pPr>
              <w:pStyle w:val="Table-normal-text"/>
            </w:pPr>
            <w:r w:rsidRPr="00F2320B">
              <w:t xml:space="preserve">Implementing </w:t>
            </w:r>
            <w:r>
              <w:t>p</w:t>
            </w:r>
            <w:r w:rsidRPr="00F2320B">
              <w:t>artner(s)</w:t>
            </w:r>
          </w:p>
        </w:tc>
        <w:tc>
          <w:tcPr>
            <w:tcW w:w="7229" w:type="dxa"/>
            <w:gridSpan w:val="3"/>
            <w:shd w:val="clear" w:color="auto" w:fill="auto"/>
          </w:tcPr>
          <w:p w14:paraId="43310FA6" w14:textId="77777777" w:rsidR="00141598" w:rsidRPr="00F2320B" w:rsidRDefault="00141598" w:rsidP="008E02EF">
            <w:pPr>
              <w:pStyle w:val="Table-normal-text"/>
            </w:pPr>
            <w:r>
              <w:t>Papua New Guinea Electoral Commission (PNGEC)</w:t>
            </w:r>
          </w:p>
        </w:tc>
      </w:tr>
      <w:tr w:rsidR="00141598" w:rsidRPr="00F43CEC" w14:paraId="43310FAA" w14:textId="77777777" w:rsidTr="008E02EF">
        <w:trPr>
          <w:cantSplit/>
        </w:trPr>
        <w:tc>
          <w:tcPr>
            <w:tcW w:w="2660" w:type="dxa"/>
            <w:shd w:val="clear" w:color="auto" w:fill="auto"/>
          </w:tcPr>
          <w:p w14:paraId="43310FA8" w14:textId="77777777" w:rsidR="00141598" w:rsidRPr="00F2320B" w:rsidRDefault="00141598" w:rsidP="008E02EF">
            <w:pPr>
              <w:pStyle w:val="Table-normal-text"/>
            </w:pPr>
            <w:r w:rsidRPr="00F2320B">
              <w:t>Country/Region</w:t>
            </w:r>
          </w:p>
        </w:tc>
        <w:tc>
          <w:tcPr>
            <w:tcW w:w="7229" w:type="dxa"/>
            <w:gridSpan w:val="3"/>
            <w:shd w:val="clear" w:color="auto" w:fill="auto"/>
          </w:tcPr>
          <w:p w14:paraId="43310FA9" w14:textId="77777777" w:rsidR="00141598" w:rsidRPr="00F2320B" w:rsidRDefault="00141598" w:rsidP="008E02EF">
            <w:pPr>
              <w:pStyle w:val="Table-normal-text"/>
            </w:pPr>
            <w:r>
              <w:t>Papua New Guinea (PNG)</w:t>
            </w:r>
          </w:p>
        </w:tc>
      </w:tr>
      <w:tr w:rsidR="00141598" w:rsidRPr="00F43CEC" w14:paraId="43310FAD" w14:textId="77777777" w:rsidTr="008E02EF">
        <w:trPr>
          <w:cantSplit/>
        </w:trPr>
        <w:tc>
          <w:tcPr>
            <w:tcW w:w="2660" w:type="dxa"/>
            <w:shd w:val="clear" w:color="auto" w:fill="auto"/>
          </w:tcPr>
          <w:p w14:paraId="43310FAB" w14:textId="77777777" w:rsidR="00141598" w:rsidRPr="00F2320B" w:rsidRDefault="00141598" w:rsidP="008E02EF">
            <w:pPr>
              <w:pStyle w:val="Table-normal-text"/>
            </w:pPr>
            <w:r w:rsidRPr="00F2320B">
              <w:t xml:space="preserve">Primary </w:t>
            </w:r>
            <w:r>
              <w:t>s</w:t>
            </w:r>
            <w:r w:rsidRPr="00F2320B">
              <w:t>ector</w:t>
            </w:r>
          </w:p>
        </w:tc>
        <w:tc>
          <w:tcPr>
            <w:tcW w:w="7229" w:type="dxa"/>
            <w:gridSpan w:val="3"/>
            <w:shd w:val="clear" w:color="auto" w:fill="auto"/>
          </w:tcPr>
          <w:p w14:paraId="43310FAC" w14:textId="77777777" w:rsidR="00141598" w:rsidRPr="00F2320B" w:rsidRDefault="00141598" w:rsidP="008E02EF">
            <w:pPr>
              <w:pStyle w:val="Table-normal-text"/>
            </w:pPr>
            <w:r>
              <w:t xml:space="preserve">Democratic Governance </w:t>
            </w:r>
          </w:p>
        </w:tc>
      </w:tr>
      <w:tr w:rsidR="00141598" w:rsidRPr="00F43CEC" w14:paraId="43310FB0" w14:textId="77777777" w:rsidTr="008E02EF">
        <w:trPr>
          <w:cantSplit/>
        </w:trPr>
        <w:tc>
          <w:tcPr>
            <w:tcW w:w="2660" w:type="dxa"/>
            <w:shd w:val="clear" w:color="auto" w:fill="auto"/>
          </w:tcPr>
          <w:p w14:paraId="43310FAE" w14:textId="77777777" w:rsidR="00141598" w:rsidRPr="00444D45" w:rsidRDefault="00141598" w:rsidP="008E02EF">
            <w:pPr>
              <w:pStyle w:val="Table-normal-text"/>
            </w:pPr>
            <w:r w:rsidRPr="00444D45">
              <w:t>Initiative objective/s</w:t>
            </w:r>
          </w:p>
        </w:tc>
        <w:tc>
          <w:tcPr>
            <w:tcW w:w="7229" w:type="dxa"/>
            <w:gridSpan w:val="3"/>
            <w:shd w:val="clear" w:color="auto" w:fill="auto"/>
          </w:tcPr>
          <w:p w14:paraId="43310FAF" w14:textId="77777777" w:rsidR="00141598" w:rsidRPr="00F2320B" w:rsidRDefault="00141598" w:rsidP="008E02EF">
            <w:pPr>
              <w:pStyle w:val="Table-normal-text"/>
            </w:pPr>
            <w:r>
              <w:t xml:space="preserve">To support improvements to the electoral system in PNG. </w:t>
            </w:r>
          </w:p>
        </w:tc>
      </w:tr>
    </w:tbl>
    <w:p w14:paraId="43310FB1" w14:textId="77777777" w:rsidR="00141598" w:rsidRPr="002164F5" w:rsidRDefault="00141598" w:rsidP="00141598">
      <w:pPr>
        <w:rPr>
          <w:rFonts w:cs="Arial"/>
          <w:b/>
        </w:rPr>
      </w:pPr>
    </w:p>
    <w:p w14:paraId="43310FB2" w14:textId="77777777" w:rsidR="00141598" w:rsidRPr="002612A8" w:rsidRDefault="00141598" w:rsidP="00141598">
      <w:pPr>
        <w:rPr>
          <w:rFonts w:cs="Arial"/>
          <w:sz w:val="22"/>
          <w:szCs w:val="22"/>
        </w:rPr>
      </w:pPr>
      <w:r w:rsidRPr="002612A8">
        <w:rPr>
          <w:rFonts w:cs="Arial"/>
          <w:b/>
          <w:sz w:val="22"/>
          <w:szCs w:val="22"/>
        </w:rPr>
        <w:t xml:space="preserve">Evaluation Objective: </w:t>
      </w:r>
      <w:r w:rsidRPr="002612A8">
        <w:rPr>
          <w:rFonts w:cs="Arial"/>
          <w:sz w:val="22"/>
          <w:szCs w:val="22"/>
        </w:rPr>
        <w:t xml:space="preserve">Assess the effectiveness of Australian government electoral assistance </w:t>
      </w:r>
      <w:r w:rsidR="002612A8">
        <w:rPr>
          <w:rFonts w:cs="Arial"/>
          <w:sz w:val="22"/>
          <w:szCs w:val="22"/>
        </w:rPr>
        <w:t>to</w:t>
      </w:r>
      <w:r w:rsidRPr="002612A8">
        <w:rPr>
          <w:rFonts w:cs="Arial"/>
          <w:sz w:val="22"/>
          <w:szCs w:val="22"/>
        </w:rPr>
        <w:t xml:space="preserve"> PNG between 2000 and 2012 and consider the implications for future assistance that Australia might provide to PNG elections. </w:t>
      </w:r>
    </w:p>
    <w:p w14:paraId="43310FB3" w14:textId="77777777" w:rsidR="00141598" w:rsidRPr="002612A8" w:rsidRDefault="00141598" w:rsidP="00BB5D7F">
      <w:pPr>
        <w:spacing w:after="120"/>
        <w:rPr>
          <w:rFonts w:cs="Arial"/>
          <w:sz w:val="22"/>
          <w:szCs w:val="22"/>
        </w:rPr>
      </w:pPr>
      <w:r w:rsidRPr="002612A8">
        <w:rPr>
          <w:rFonts w:cs="Arial"/>
          <w:b/>
          <w:sz w:val="22"/>
          <w:szCs w:val="22"/>
        </w:rPr>
        <w:t xml:space="preserve">Evaluation Completion Date: </w:t>
      </w:r>
      <w:r w:rsidRPr="002612A8">
        <w:rPr>
          <w:rFonts w:cs="Arial"/>
          <w:sz w:val="22"/>
          <w:szCs w:val="22"/>
        </w:rPr>
        <w:t>March 2013</w:t>
      </w:r>
    </w:p>
    <w:p w14:paraId="43310FB4" w14:textId="77777777" w:rsidR="00141598" w:rsidRPr="002612A8" w:rsidRDefault="00141598" w:rsidP="00141598">
      <w:pPr>
        <w:rPr>
          <w:rFonts w:cs="Arial"/>
          <w:sz w:val="22"/>
          <w:szCs w:val="22"/>
        </w:rPr>
      </w:pPr>
      <w:r w:rsidRPr="002612A8">
        <w:rPr>
          <w:rFonts w:cs="Arial"/>
          <w:b/>
          <w:sz w:val="22"/>
          <w:szCs w:val="22"/>
        </w:rPr>
        <w:t xml:space="preserve">Evaluation Team: </w:t>
      </w:r>
      <w:r w:rsidRPr="002612A8">
        <w:rPr>
          <w:rFonts w:cs="Arial"/>
          <w:sz w:val="22"/>
          <w:szCs w:val="22"/>
        </w:rPr>
        <w:t>Simon Henderson (Team Leader), Horacio Boneo (International electoral specialist), supported by Michael Clancy (A</w:t>
      </w:r>
      <w:r w:rsidR="002612A8">
        <w:rPr>
          <w:rFonts w:cs="Arial"/>
          <w:sz w:val="22"/>
          <w:szCs w:val="22"/>
        </w:rPr>
        <w:t>ustralian electoral specialist) and</w:t>
      </w:r>
      <w:r w:rsidRPr="002612A8">
        <w:rPr>
          <w:rFonts w:cs="Arial"/>
          <w:sz w:val="22"/>
          <w:szCs w:val="22"/>
        </w:rPr>
        <w:t xml:space="preserve"> Margaret Vagi (PNGEC</w:t>
      </w:r>
      <w:r w:rsidR="009330F2" w:rsidRPr="002612A8">
        <w:rPr>
          <w:rFonts w:cs="Arial"/>
          <w:sz w:val="22"/>
          <w:szCs w:val="22"/>
        </w:rPr>
        <w:t>), w</w:t>
      </w:r>
      <w:r w:rsidRPr="002612A8">
        <w:rPr>
          <w:rFonts w:cs="Arial"/>
          <w:sz w:val="22"/>
          <w:szCs w:val="22"/>
        </w:rPr>
        <w:t>ith input from Kevin Kitson (AEC), Robert Pugsley (AEC) and Sarah Thomas (</w:t>
      </w:r>
      <w:r w:rsidR="006F09F8">
        <w:rPr>
          <w:rFonts w:cs="Arial"/>
          <w:sz w:val="22"/>
          <w:szCs w:val="22"/>
        </w:rPr>
        <w:t>DFAT</w:t>
      </w:r>
      <w:r w:rsidRPr="002612A8">
        <w:rPr>
          <w:rFonts w:cs="Arial"/>
          <w:sz w:val="22"/>
          <w:szCs w:val="22"/>
        </w:rPr>
        <w:t xml:space="preserve"> Evaluation Manager). </w:t>
      </w:r>
    </w:p>
    <w:p w14:paraId="43310FB5" w14:textId="77777777" w:rsidR="00141598" w:rsidRPr="002612A8" w:rsidRDefault="006F09F8" w:rsidP="00141598">
      <w:pPr>
        <w:rPr>
          <w:rFonts w:cs="Arial"/>
          <w:b/>
          <w:sz w:val="22"/>
          <w:szCs w:val="22"/>
          <w:lang w:eastAsia="en-AU"/>
        </w:rPr>
      </w:pPr>
      <w:r>
        <w:rPr>
          <w:rFonts w:cs="Arial"/>
          <w:b/>
          <w:sz w:val="22"/>
          <w:szCs w:val="22"/>
          <w:lang w:eastAsia="en-AU"/>
        </w:rPr>
        <w:t>DFAT</w:t>
      </w:r>
      <w:r w:rsidR="00141598" w:rsidRPr="002612A8">
        <w:rPr>
          <w:rFonts w:cs="Arial"/>
          <w:b/>
          <w:sz w:val="22"/>
          <w:szCs w:val="22"/>
          <w:lang w:eastAsia="en-AU"/>
        </w:rPr>
        <w:t>’s response to the evaluation report</w:t>
      </w:r>
    </w:p>
    <w:p w14:paraId="43310FB6" w14:textId="77777777" w:rsidR="000D3583" w:rsidRPr="002612A8" w:rsidRDefault="006F09F8" w:rsidP="00141598">
      <w:pPr>
        <w:rPr>
          <w:rFonts w:cs="Arial"/>
          <w:sz w:val="22"/>
          <w:szCs w:val="22"/>
        </w:rPr>
      </w:pPr>
      <w:r>
        <w:rPr>
          <w:rFonts w:cs="Arial"/>
          <w:sz w:val="22"/>
          <w:szCs w:val="22"/>
        </w:rPr>
        <w:t>DFAT</w:t>
      </w:r>
      <w:r w:rsidR="00141598" w:rsidRPr="002612A8">
        <w:rPr>
          <w:rFonts w:cs="Arial"/>
          <w:sz w:val="22"/>
          <w:szCs w:val="22"/>
        </w:rPr>
        <w:t xml:space="preserve"> welcomes the report of the independent review of 12 years of Australian Government electoral support </w:t>
      </w:r>
      <w:r w:rsidR="0020234A" w:rsidRPr="002612A8">
        <w:rPr>
          <w:rFonts w:cs="Arial"/>
          <w:sz w:val="22"/>
          <w:szCs w:val="22"/>
        </w:rPr>
        <w:t>to</w:t>
      </w:r>
      <w:r w:rsidR="00141598" w:rsidRPr="002612A8">
        <w:rPr>
          <w:rFonts w:cs="Arial"/>
          <w:sz w:val="22"/>
          <w:szCs w:val="22"/>
        </w:rPr>
        <w:t xml:space="preserve"> Papua New Guinea (PNG). The report is of high quality and provides valuable insights into the relevance, effectiveness and sustainability of the elector</w:t>
      </w:r>
      <w:r w:rsidR="00C418C5" w:rsidRPr="002612A8">
        <w:rPr>
          <w:rFonts w:cs="Arial"/>
          <w:sz w:val="22"/>
          <w:szCs w:val="22"/>
        </w:rPr>
        <w:t xml:space="preserve">al support provided. </w:t>
      </w:r>
      <w:r>
        <w:rPr>
          <w:rFonts w:cs="Arial"/>
          <w:sz w:val="22"/>
          <w:szCs w:val="22"/>
        </w:rPr>
        <w:t>DFAT</w:t>
      </w:r>
      <w:r w:rsidR="000D3583" w:rsidRPr="002612A8">
        <w:rPr>
          <w:rFonts w:cs="Arial"/>
          <w:sz w:val="22"/>
          <w:szCs w:val="22"/>
        </w:rPr>
        <w:t xml:space="preserve"> </w:t>
      </w:r>
      <w:r w:rsidR="00D14C3C">
        <w:rPr>
          <w:rFonts w:cs="Arial"/>
          <w:sz w:val="22"/>
          <w:szCs w:val="22"/>
        </w:rPr>
        <w:t>accepts the majority</w:t>
      </w:r>
      <w:r w:rsidR="000D3583" w:rsidRPr="002612A8">
        <w:rPr>
          <w:rFonts w:cs="Arial"/>
          <w:sz w:val="22"/>
          <w:szCs w:val="22"/>
        </w:rPr>
        <w:t xml:space="preserve"> of the findings and</w:t>
      </w:r>
      <w:r w:rsidR="00D14C3C">
        <w:rPr>
          <w:rFonts w:cs="Arial"/>
          <w:sz w:val="22"/>
          <w:szCs w:val="22"/>
        </w:rPr>
        <w:t xml:space="preserve"> </w:t>
      </w:r>
      <w:r w:rsidR="00D14C3C" w:rsidRPr="002612A8">
        <w:rPr>
          <w:rFonts w:cs="Arial"/>
          <w:sz w:val="22"/>
          <w:szCs w:val="22"/>
        </w:rPr>
        <w:t>agrees in-principle with</w:t>
      </w:r>
      <w:r w:rsidR="00D14C3C">
        <w:rPr>
          <w:rFonts w:cs="Arial"/>
          <w:sz w:val="22"/>
          <w:szCs w:val="22"/>
        </w:rPr>
        <w:t xml:space="preserve"> all</w:t>
      </w:r>
      <w:r w:rsidR="000D3583" w:rsidRPr="002612A8">
        <w:rPr>
          <w:rFonts w:cs="Arial"/>
          <w:sz w:val="22"/>
          <w:szCs w:val="22"/>
        </w:rPr>
        <w:t xml:space="preserve"> </w:t>
      </w:r>
      <w:r w:rsidR="00D14C3C">
        <w:rPr>
          <w:rFonts w:cs="Arial"/>
          <w:sz w:val="22"/>
          <w:szCs w:val="22"/>
        </w:rPr>
        <w:t xml:space="preserve">the </w:t>
      </w:r>
      <w:r w:rsidR="000D3583" w:rsidRPr="002612A8">
        <w:rPr>
          <w:rFonts w:cs="Arial"/>
          <w:sz w:val="22"/>
          <w:szCs w:val="22"/>
        </w:rPr>
        <w:t>recommendations.</w:t>
      </w:r>
    </w:p>
    <w:p w14:paraId="43310FB7" w14:textId="77777777" w:rsidR="000D3583" w:rsidRPr="002612A8" w:rsidRDefault="00C418C5" w:rsidP="000D3583">
      <w:pPr>
        <w:rPr>
          <w:rFonts w:cs="Arial"/>
          <w:sz w:val="22"/>
          <w:szCs w:val="22"/>
        </w:rPr>
      </w:pPr>
      <w:r w:rsidRPr="002612A8">
        <w:rPr>
          <w:rFonts w:cs="Arial"/>
          <w:sz w:val="22"/>
          <w:szCs w:val="22"/>
        </w:rPr>
        <w:t>The</w:t>
      </w:r>
      <w:r w:rsidR="00141598" w:rsidRPr="002612A8">
        <w:rPr>
          <w:rFonts w:cs="Arial"/>
          <w:sz w:val="22"/>
          <w:szCs w:val="22"/>
        </w:rPr>
        <w:t xml:space="preserve"> </w:t>
      </w:r>
      <w:r w:rsidR="000D3583" w:rsidRPr="002612A8">
        <w:rPr>
          <w:rFonts w:cs="Arial"/>
          <w:sz w:val="22"/>
          <w:szCs w:val="22"/>
        </w:rPr>
        <w:t xml:space="preserve">independent </w:t>
      </w:r>
      <w:r w:rsidR="00141598" w:rsidRPr="002612A8">
        <w:rPr>
          <w:rFonts w:cs="Arial"/>
          <w:sz w:val="22"/>
          <w:szCs w:val="22"/>
        </w:rPr>
        <w:t>review found that Australian support had made important contributions to electoral processes in PNG</w:t>
      </w:r>
      <w:r w:rsidR="000D3583" w:rsidRPr="002612A8">
        <w:rPr>
          <w:rFonts w:cs="Arial"/>
          <w:sz w:val="22"/>
          <w:szCs w:val="22"/>
        </w:rPr>
        <w:t>,</w:t>
      </w:r>
      <w:r w:rsidR="00141598" w:rsidRPr="002612A8">
        <w:rPr>
          <w:rFonts w:cs="Arial"/>
          <w:sz w:val="22"/>
          <w:szCs w:val="22"/>
        </w:rPr>
        <w:t xml:space="preserve"> but that overall results have been mixed.</w:t>
      </w:r>
      <w:r w:rsidR="000D3583" w:rsidRPr="002612A8">
        <w:rPr>
          <w:rFonts w:cs="Arial"/>
          <w:sz w:val="22"/>
          <w:szCs w:val="22"/>
        </w:rPr>
        <w:t xml:space="preserve"> The review identified a number of specific achievements supported by the Australian Government. For example, it found that Australian support had improved the quality and timeliness of the 2012 General Election, built capacity within the PNGEC, contributed to greater coordination between PNG Government agencies, and successfully integrated gender, disability and HIV/AIDS policy issues into support. </w:t>
      </w:r>
    </w:p>
    <w:p w14:paraId="43310FB8" w14:textId="77777777" w:rsidR="000D3583" w:rsidRPr="002612A8" w:rsidRDefault="000D3583" w:rsidP="000D3583">
      <w:pPr>
        <w:rPr>
          <w:rFonts w:cs="Arial"/>
          <w:sz w:val="22"/>
          <w:szCs w:val="22"/>
        </w:rPr>
      </w:pPr>
      <w:r w:rsidRPr="002612A8">
        <w:rPr>
          <w:rFonts w:cs="Arial"/>
          <w:sz w:val="22"/>
          <w:szCs w:val="22"/>
        </w:rPr>
        <w:t xml:space="preserve">The review also identified areas where the impact of Australian support has been limited. It found that the impact of long-term capacity building support was not always sustained, that support was not distributed across the electoral cycle in a way which best addressed changing needs, and that engagement with actors and systems outside the PNGEC was too limited. </w:t>
      </w:r>
    </w:p>
    <w:p w14:paraId="43310FB9" w14:textId="77777777" w:rsidR="009330F2" w:rsidRPr="002612A8" w:rsidRDefault="009330F2" w:rsidP="000D3583">
      <w:pPr>
        <w:rPr>
          <w:rFonts w:cs="Arial"/>
          <w:sz w:val="22"/>
          <w:szCs w:val="22"/>
        </w:rPr>
      </w:pPr>
      <w:r w:rsidRPr="002612A8">
        <w:rPr>
          <w:rFonts w:cs="Arial"/>
          <w:sz w:val="22"/>
          <w:szCs w:val="22"/>
        </w:rPr>
        <w:t>The review noted the impact of the period of political instability in PNG preceding the 2012 General Election. The political impasse heightened community pressure on the PNGEC to deliver a timely and credible election. It also increased the scrutiny of election preparedness.</w:t>
      </w:r>
    </w:p>
    <w:p w14:paraId="43310FBA" w14:textId="77777777" w:rsidR="000D3583" w:rsidRPr="002612A8" w:rsidRDefault="000D3583" w:rsidP="00141598">
      <w:pPr>
        <w:rPr>
          <w:rFonts w:cs="Arial"/>
          <w:sz w:val="22"/>
          <w:szCs w:val="22"/>
        </w:rPr>
      </w:pPr>
      <w:r w:rsidRPr="002612A8">
        <w:rPr>
          <w:rFonts w:cs="Arial"/>
          <w:sz w:val="22"/>
          <w:szCs w:val="22"/>
        </w:rPr>
        <w:lastRenderedPageBreak/>
        <w:t xml:space="preserve">The report provides important insights for future Australian support. </w:t>
      </w:r>
      <w:r w:rsidR="006F09F8">
        <w:rPr>
          <w:rFonts w:cs="Arial"/>
          <w:sz w:val="22"/>
          <w:szCs w:val="22"/>
        </w:rPr>
        <w:t>DFAT</w:t>
      </w:r>
      <w:r w:rsidR="00D17BBE" w:rsidRPr="002612A8">
        <w:rPr>
          <w:rFonts w:cs="Arial"/>
          <w:sz w:val="22"/>
          <w:szCs w:val="22"/>
        </w:rPr>
        <w:t xml:space="preserve"> </w:t>
      </w:r>
      <w:r w:rsidRPr="002612A8">
        <w:rPr>
          <w:rFonts w:cs="Arial"/>
          <w:sz w:val="22"/>
          <w:szCs w:val="22"/>
        </w:rPr>
        <w:t>plans to respond</w:t>
      </w:r>
      <w:r w:rsidR="00D17BBE" w:rsidRPr="002612A8">
        <w:rPr>
          <w:rFonts w:cs="Arial"/>
          <w:sz w:val="22"/>
          <w:szCs w:val="22"/>
        </w:rPr>
        <w:t xml:space="preserve"> to recommendations</w:t>
      </w:r>
      <w:r w:rsidRPr="002612A8">
        <w:rPr>
          <w:rFonts w:cs="Arial"/>
          <w:sz w:val="22"/>
          <w:szCs w:val="22"/>
        </w:rPr>
        <w:t xml:space="preserve"> through design of a new program of </w:t>
      </w:r>
      <w:r w:rsidR="00D17BBE" w:rsidRPr="002612A8">
        <w:rPr>
          <w:rFonts w:cs="Arial"/>
          <w:sz w:val="22"/>
          <w:szCs w:val="22"/>
        </w:rPr>
        <w:t xml:space="preserve">electoral </w:t>
      </w:r>
      <w:r w:rsidRPr="002612A8">
        <w:rPr>
          <w:rFonts w:cs="Arial"/>
          <w:sz w:val="22"/>
          <w:szCs w:val="22"/>
        </w:rPr>
        <w:t>support</w:t>
      </w:r>
      <w:r w:rsidR="00D17BBE" w:rsidRPr="002612A8">
        <w:rPr>
          <w:rFonts w:cs="Arial"/>
          <w:sz w:val="22"/>
          <w:szCs w:val="22"/>
        </w:rPr>
        <w:t xml:space="preserve"> to PNG</w:t>
      </w:r>
      <w:r w:rsidRPr="002612A8">
        <w:rPr>
          <w:rFonts w:cs="Arial"/>
          <w:sz w:val="22"/>
          <w:szCs w:val="22"/>
        </w:rPr>
        <w:t xml:space="preserve">. </w:t>
      </w:r>
      <w:r w:rsidR="00D17BBE" w:rsidRPr="002612A8">
        <w:rPr>
          <w:rFonts w:cs="Arial"/>
          <w:sz w:val="22"/>
          <w:szCs w:val="22"/>
        </w:rPr>
        <w:t xml:space="preserve">The new program of electoral support will be designed with delivery and management of the 2017 General Election, 2018 LLG Election and any by-elections in mind. This includes consideration of support for the Government of PNG’s longer-term reform efforts which may assist with election delivery.  </w:t>
      </w:r>
    </w:p>
    <w:p w14:paraId="43310FBB" w14:textId="77777777" w:rsidR="00D17BBE" w:rsidRPr="002612A8" w:rsidRDefault="009330F2" w:rsidP="000D3583">
      <w:pPr>
        <w:rPr>
          <w:rFonts w:cs="Arial"/>
          <w:sz w:val="22"/>
          <w:szCs w:val="22"/>
        </w:rPr>
      </w:pPr>
      <w:r w:rsidRPr="002612A8">
        <w:rPr>
          <w:rFonts w:cs="Arial"/>
          <w:sz w:val="22"/>
          <w:szCs w:val="22"/>
        </w:rPr>
        <w:t xml:space="preserve">The review noted the difficult circumstances in which Australian support for elections is delivered.  PNG faces obstacles of difficult geography, dispersed and remote communities, and in some areas, influence of money politics and </w:t>
      </w:r>
      <w:r w:rsidR="002612A8">
        <w:rPr>
          <w:rFonts w:cs="Arial"/>
          <w:sz w:val="22"/>
          <w:szCs w:val="22"/>
        </w:rPr>
        <w:t>in</w:t>
      </w:r>
      <w:r w:rsidRPr="002612A8">
        <w:rPr>
          <w:rFonts w:cs="Arial"/>
          <w:sz w:val="22"/>
          <w:szCs w:val="22"/>
        </w:rPr>
        <w:t xml:space="preserve">security, when delivering elections. These </w:t>
      </w:r>
      <w:r w:rsidR="002612A8">
        <w:rPr>
          <w:rFonts w:cs="Arial"/>
          <w:sz w:val="22"/>
          <w:szCs w:val="22"/>
        </w:rPr>
        <w:t>factors</w:t>
      </w:r>
      <w:r w:rsidRPr="002612A8">
        <w:rPr>
          <w:rFonts w:cs="Arial"/>
          <w:sz w:val="22"/>
          <w:szCs w:val="22"/>
        </w:rPr>
        <w:t xml:space="preserve"> impact on Australian support. </w:t>
      </w:r>
      <w:r w:rsidR="00141598" w:rsidRPr="002612A8">
        <w:rPr>
          <w:rFonts w:cs="Arial"/>
          <w:sz w:val="22"/>
          <w:szCs w:val="22"/>
        </w:rPr>
        <w:t xml:space="preserve">Ongoing analysis and dialogue will help </w:t>
      </w:r>
      <w:r w:rsidR="006F09F8">
        <w:rPr>
          <w:rFonts w:cs="Arial"/>
          <w:sz w:val="22"/>
          <w:szCs w:val="22"/>
        </w:rPr>
        <w:t>DFAT</w:t>
      </w:r>
      <w:r w:rsidR="00141598" w:rsidRPr="002612A8">
        <w:rPr>
          <w:rFonts w:cs="Arial"/>
          <w:sz w:val="22"/>
          <w:szCs w:val="22"/>
        </w:rPr>
        <w:t xml:space="preserve"> identify where it can influence positive change, and where it cannot. </w:t>
      </w:r>
      <w:r w:rsidR="00C418C5" w:rsidRPr="002612A8">
        <w:rPr>
          <w:rFonts w:cs="Arial"/>
          <w:sz w:val="22"/>
          <w:szCs w:val="22"/>
        </w:rPr>
        <w:t>In</w:t>
      </w:r>
      <w:r w:rsidR="00141598" w:rsidRPr="002612A8">
        <w:rPr>
          <w:rFonts w:cs="Arial"/>
          <w:sz w:val="22"/>
          <w:szCs w:val="22"/>
        </w:rPr>
        <w:t xml:space="preserve"> particular</w:t>
      </w:r>
      <w:r w:rsidR="00C418C5" w:rsidRPr="002612A8">
        <w:rPr>
          <w:rFonts w:cs="Arial"/>
          <w:sz w:val="22"/>
          <w:szCs w:val="22"/>
        </w:rPr>
        <w:t xml:space="preserve">, we note </w:t>
      </w:r>
      <w:r w:rsidR="00141598" w:rsidRPr="002612A8">
        <w:rPr>
          <w:rFonts w:cs="Arial"/>
          <w:sz w:val="22"/>
          <w:szCs w:val="22"/>
        </w:rPr>
        <w:t xml:space="preserve">that the Australian Government can only provide </w:t>
      </w:r>
      <w:r w:rsidR="005E28CA">
        <w:rPr>
          <w:rFonts w:cs="Arial"/>
          <w:sz w:val="22"/>
          <w:szCs w:val="22"/>
        </w:rPr>
        <w:t>technical</w:t>
      </w:r>
      <w:r w:rsidR="005E28CA" w:rsidRPr="002612A8">
        <w:rPr>
          <w:rFonts w:cs="Arial"/>
          <w:sz w:val="22"/>
          <w:szCs w:val="22"/>
        </w:rPr>
        <w:t xml:space="preserve"> </w:t>
      </w:r>
      <w:r w:rsidR="00141598" w:rsidRPr="002612A8">
        <w:rPr>
          <w:rFonts w:cs="Arial"/>
          <w:sz w:val="22"/>
          <w:szCs w:val="22"/>
        </w:rPr>
        <w:t>support</w:t>
      </w:r>
      <w:r w:rsidR="00C418C5" w:rsidRPr="002612A8">
        <w:rPr>
          <w:rFonts w:cs="Arial"/>
          <w:sz w:val="22"/>
          <w:szCs w:val="22"/>
        </w:rPr>
        <w:t xml:space="preserve"> for improving the quality of the electoral roll</w:t>
      </w:r>
      <w:r w:rsidR="00141598" w:rsidRPr="002612A8">
        <w:rPr>
          <w:rFonts w:cs="Arial"/>
          <w:sz w:val="22"/>
          <w:szCs w:val="22"/>
        </w:rPr>
        <w:t xml:space="preserve">. Voter registration data is highly sensitive, and all decisions on electoral roll reform and processes </w:t>
      </w:r>
      <w:r w:rsidR="00C418C5" w:rsidRPr="002612A8">
        <w:rPr>
          <w:rFonts w:cs="Arial"/>
          <w:sz w:val="22"/>
          <w:szCs w:val="22"/>
        </w:rPr>
        <w:t xml:space="preserve">should </w:t>
      </w:r>
      <w:r w:rsidR="00141598" w:rsidRPr="002612A8">
        <w:rPr>
          <w:rFonts w:cs="Arial"/>
          <w:sz w:val="22"/>
          <w:szCs w:val="22"/>
        </w:rPr>
        <w:t>be made by the PNG Govern</w:t>
      </w:r>
      <w:r w:rsidR="00D17BBE" w:rsidRPr="002612A8">
        <w:rPr>
          <w:rFonts w:cs="Arial"/>
          <w:sz w:val="22"/>
          <w:szCs w:val="22"/>
        </w:rPr>
        <w:t>ment</w:t>
      </w:r>
      <w:r w:rsidR="008A227E" w:rsidRPr="002612A8">
        <w:rPr>
          <w:rFonts w:cs="Arial"/>
          <w:sz w:val="22"/>
          <w:szCs w:val="22"/>
        </w:rPr>
        <w:t>.</w:t>
      </w:r>
    </w:p>
    <w:p w14:paraId="43310FBC" w14:textId="77777777" w:rsidR="00141598" w:rsidRPr="002612A8" w:rsidRDefault="00141598" w:rsidP="00BB5D7F">
      <w:pPr>
        <w:spacing w:after="240"/>
        <w:rPr>
          <w:b/>
          <w:sz w:val="22"/>
          <w:szCs w:val="22"/>
          <w:lang w:eastAsia="en-AU"/>
        </w:rPr>
      </w:pPr>
      <w:r w:rsidRPr="002612A8">
        <w:rPr>
          <w:rFonts w:cs="Arial"/>
          <w:sz w:val="22"/>
          <w:szCs w:val="22"/>
        </w:rPr>
        <w:t xml:space="preserve">Support will continue to be provided through partnership between </w:t>
      </w:r>
      <w:r w:rsidR="005E28CA">
        <w:rPr>
          <w:rFonts w:cs="Arial"/>
          <w:sz w:val="22"/>
          <w:szCs w:val="22"/>
        </w:rPr>
        <w:t xml:space="preserve">the </w:t>
      </w:r>
      <w:r w:rsidRPr="002612A8">
        <w:rPr>
          <w:rFonts w:cs="Arial"/>
          <w:sz w:val="22"/>
          <w:szCs w:val="22"/>
        </w:rPr>
        <w:t xml:space="preserve">Australian and PNG </w:t>
      </w:r>
      <w:r w:rsidR="005E28CA">
        <w:rPr>
          <w:rFonts w:cs="Arial"/>
          <w:sz w:val="22"/>
          <w:szCs w:val="22"/>
        </w:rPr>
        <w:t>G</w:t>
      </w:r>
      <w:r w:rsidR="005E28CA" w:rsidRPr="002612A8">
        <w:rPr>
          <w:rFonts w:cs="Arial"/>
          <w:sz w:val="22"/>
          <w:szCs w:val="22"/>
        </w:rPr>
        <w:t>overnments</w:t>
      </w:r>
      <w:r w:rsidRPr="002612A8">
        <w:rPr>
          <w:rFonts w:cs="Arial"/>
          <w:sz w:val="22"/>
          <w:szCs w:val="22"/>
        </w:rPr>
        <w:t xml:space="preserve">. Any further support provided will be subject to the request and approval of </w:t>
      </w:r>
      <w:r w:rsidR="002612A8">
        <w:rPr>
          <w:rFonts w:cs="Arial"/>
          <w:sz w:val="22"/>
          <w:szCs w:val="22"/>
        </w:rPr>
        <w:t>the PNG Government. W</w:t>
      </w:r>
      <w:r w:rsidRPr="002612A8">
        <w:rPr>
          <w:rFonts w:cs="Arial"/>
          <w:sz w:val="22"/>
          <w:szCs w:val="22"/>
        </w:rPr>
        <w:t xml:space="preserve">e recognise that the delivery of elections is the responsibility of the Government and citizens of PNG, and Australia can only play a supporting role. </w:t>
      </w:r>
    </w:p>
    <w:p w14:paraId="43310FBD" w14:textId="77777777" w:rsidR="00141598" w:rsidRPr="008B3156" w:rsidRDefault="006F09F8" w:rsidP="00BB5D7F">
      <w:pPr>
        <w:spacing w:after="120"/>
        <w:rPr>
          <w:b/>
          <w:sz w:val="22"/>
          <w:szCs w:val="22"/>
          <w:lang w:eastAsia="en-AU"/>
        </w:rPr>
      </w:pPr>
      <w:r>
        <w:rPr>
          <w:b/>
          <w:sz w:val="22"/>
          <w:szCs w:val="22"/>
          <w:lang w:eastAsia="en-AU"/>
        </w:rPr>
        <w:t>DFAT</w:t>
      </w:r>
      <w:r w:rsidR="00141598" w:rsidRPr="008B3156">
        <w:rPr>
          <w:b/>
          <w:sz w:val="22"/>
          <w:szCs w:val="22"/>
          <w:lang w:eastAsia="en-AU"/>
        </w:rPr>
        <w:t>’s response to the specific recommendations made in the report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bottom w:w="57" w:type="dxa"/>
        </w:tblCellMar>
        <w:tblLook w:val="04A0" w:firstRow="1" w:lastRow="0" w:firstColumn="1" w:lastColumn="0" w:noHBand="0" w:noVBand="1"/>
      </w:tblPr>
      <w:tblGrid>
        <w:gridCol w:w="4219"/>
        <w:gridCol w:w="3969"/>
        <w:gridCol w:w="1666"/>
      </w:tblGrid>
      <w:tr w:rsidR="00141598" w:rsidRPr="00E6298A" w14:paraId="43310FC1" w14:textId="77777777" w:rsidTr="008E02EF">
        <w:trPr>
          <w:cantSplit/>
        </w:trPr>
        <w:tc>
          <w:tcPr>
            <w:tcW w:w="4219" w:type="dxa"/>
            <w:tcBorders>
              <w:right w:val="single" w:sz="4" w:space="0" w:color="auto"/>
            </w:tcBorders>
            <w:shd w:val="clear" w:color="auto" w:fill="FFEC9B"/>
            <w:vAlign w:val="center"/>
          </w:tcPr>
          <w:p w14:paraId="43310FBE" w14:textId="77777777" w:rsidR="00141598" w:rsidRPr="00E6298A" w:rsidRDefault="00141598" w:rsidP="008E02EF">
            <w:pPr>
              <w:spacing w:after="120"/>
              <w:jc w:val="center"/>
              <w:rPr>
                <w:rFonts w:cs="Arial"/>
                <w:b/>
                <w:szCs w:val="20"/>
              </w:rPr>
            </w:pPr>
            <w:r w:rsidRPr="00E6298A">
              <w:rPr>
                <w:rFonts w:cs="Arial"/>
                <w:b/>
                <w:szCs w:val="20"/>
              </w:rPr>
              <w:t>Response</w:t>
            </w:r>
          </w:p>
        </w:tc>
        <w:tc>
          <w:tcPr>
            <w:tcW w:w="3969" w:type="dxa"/>
            <w:tcBorders>
              <w:left w:val="single" w:sz="4" w:space="0" w:color="auto"/>
            </w:tcBorders>
            <w:shd w:val="clear" w:color="auto" w:fill="FFEC9B"/>
            <w:vAlign w:val="center"/>
          </w:tcPr>
          <w:p w14:paraId="43310FBF" w14:textId="77777777" w:rsidR="00141598" w:rsidRPr="00E6298A" w:rsidRDefault="00141598" w:rsidP="008E02EF">
            <w:pPr>
              <w:spacing w:after="120"/>
              <w:jc w:val="center"/>
              <w:rPr>
                <w:rFonts w:cs="Arial"/>
                <w:b/>
                <w:szCs w:val="20"/>
              </w:rPr>
            </w:pPr>
            <w:r w:rsidRPr="00E6298A">
              <w:rPr>
                <w:rFonts w:cs="Arial"/>
                <w:b/>
                <w:szCs w:val="20"/>
              </w:rPr>
              <w:t>Actions</w:t>
            </w:r>
          </w:p>
        </w:tc>
        <w:tc>
          <w:tcPr>
            <w:tcW w:w="1666" w:type="dxa"/>
            <w:tcBorders>
              <w:left w:val="single" w:sz="4" w:space="0" w:color="auto"/>
            </w:tcBorders>
            <w:shd w:val="clear" w:color="auto" w:fill="FFEC9B"/>
            <w:vAlign w:val="center"/>
          </w:tcPr>
          <w:p w14:paraId="43310FC0" w14:textId="77777777" w:rsidR="00141598" w:rsidRPr="00E6298A" w:rsidRDefault="00141598" w:rsidP="008E02EF">
            <w:pPr>
              <w:spacing w:after="120"/>
              <w:jc w:val="center"/>
              <w:rPr>
                <w:rFonts w:cs="Arial"/>
                <w:szCs w:val="20"/>
              </w:rPr>
            </w:pPr>
            <w:r w:rsidRPr="00E6298A">
              <w:rPr>
                <w:b/>
                <w:szCs w:val="20"/>
              </w:rPr>
              <w:t>Responsibility</w:t>
            </w:r>
          </w:p>
        </w:tc>
      </w:tr>
      <w:tr w:rsidR="00141598" w:rsidRPr="00205358" w14:paraId="43310FC4" w14:textId="77777777" w:rsidTr="008E02EF">
        <w:trPr>
          <w:cantSplit/>
          <w:trHeight w:val="885"/>
        </w:trPr>
        <w:tc>
          <w:tcPr>
            <w:tcW w:w="9854" w:type="dxa"/>
            <w:gridSpan w:val="3"/>
            <w:shd w:val="clear" w:color="auto" w:fill="F2F2F2" w:themeFill="background1" w:themeFillShade="F2"/>
          </w:tcPr>
          <w:p w14:paraId="43310FC2" w14:textId="77777777" w:rsidR="00141598" w:rsidRPr="00872E98" w:rsidRDefault="00141598" w:rsidP="008E02EF">
            <w:pPr>
              <w:spacing w:after="120"/>
              <w:rPr>
                <w:b/>
              </w:rPr>
            </w:pPr>
            <w:r w:rsidRPr="00872E98">
              <w:rPr>
                <w:b/>
              </w:rPr>
              <w:t>Recommendation 1</w:t>
            </w:r>
          </w:p>
          <w:p w14:paraId="43310FC3" w14:textId="77777777" w:rsidR="00141598" w:rsidRPr="00605884" w:rsidRDefault="00141598" w:rsidP="008E02EF">
            <w:pPr>
              <w:spacing w:after="120"/>
            </w:pPr>
            <w:r w:rsidRPr="00605884">
              <w:t xml:space="preserve">Australia’s strategy for electoral assistance in PNG should be informed by deeper and broader analysis of the opportunities and constraints to supporting electoral processes in PNG.  </w:t>
            </w:r>
          </w:p>
        </w:tc>
      </w:tr>
      <w:tr w:rsidR="00141598" w:rsidRPr="00205358" w14:paraId="43310FCD" w14:textId="77777777" w:rsidTr="008E02EF">
        <w:trPr>
          <w:cantSplit/>
          <w:trHeight w:val="885"/>
        </w:trPr>
        <w:tc>
          <w:tcPr>
            <w:tcW w:w="4219" w:type="dxa"/>
            <w:tcBorders>
              <w:right w:val="single" w:sz="4" w:space="0" w:color="auto"/>
            </w:tcBorders>
            <w:shd w:val="clear" w:color="auto" w:fill="auto"/>
          </w:tcPr>
          <w:p w14:paraId="43310FC5" w14:textId="77777777" w:rsidR="00141598" w:rsidRPr="002527D6" w:rsidRDefault="00141598" w:rsidP="008E02EF">
            <w:pPr>
              <w:spacing w:after="120"/>
              <w:rPr>
                <w:b/>
              </w:rPr>
            </w:pPr>
            <w:r w:rsidRPr="002527D6">
              <w:rPr>
                <w:b/>
              </w:rPr>
              <w:t>Agree</w:t>
            </w:r>
            <w:r>
              <w:rPr>
                <w:b/>
              </w:rPr>
              <w:t>d</w:t>
            </w:r>
            <w:r w:rsidRPr="002527D6">
              <w:rPr>
                <w:b/>
              </w:rPr>
              <w:t xml:space="preserve"> </w:t>
            </w:r>
          </w:p>
          <w:p w14:paraId="43310FC6" w14:textId="77777777" w:rsidR="00141598" w:rsidRPr="00F4660F" w:rsidRDefault="00141598" w:rsidP="002612A8">
            <w:pPr>
              <w:spacing w:after="120"/>
            </w:pPr>
            <w:r>
              <w:t xml:space="preserve">We agree that any </w:t>
            </w:r>
            <w:r w:rsidR="002612A8">
              <w:t xml:space="preserve">future </w:t>
            </w:r>
            <w:r w:rsidRPr="00F4660F">
              <w:t xml:space="preserve">support </w:t>
            </w:r>
            <w:r w:rsidR="002612A8">
              <w:t>should be</w:t>
            </w:r>
            <w:r w:rsidRPr="00F4660F">
              <w:t xml:space="preserve"> based on understanding the opportunities and constraints</w:t>
            </w:r>
            <w:r>
              <w:t xml:space="preserve"> to supporting electoral processes in PNG if it is to be effective</w:t>
            </w:r>
            <w:r w:rsidRPr="00F4660F">
              <w:t>.</w:t>
            </w:r>
            <w:r>
              <w:t xml:space="preserve"> </w:t>
            </w:r>
            <w:r w:rsidRPr="00F4660F">
              <w:t xml:space="preserve">  </w:t>
            </w:r>
          </w:p>
        </w:tc>
        <w:tc>
          <w:tcPr>
            <w:tcW w:w="3969" w:type="dxa"/>
            <w:tcBorders>
              <w:left w:val="single" w:sz="4" w:space="0" w:color="auto"/>
            </w:tcBorders>
            <w:shd w:val="clear" w:color="auto" w:fill="auto"/>
          </w:tcPr>
          <w:p w14:paraId="43310FC7" w14:textId="77777777" w:rsidR="00141598" w:rsidRDefault="00141598" w:rsidP="008E02EF">
            <w:pPr>
              <w:spacing w:after="120"/>
            </w:pPr>
            <w:r>
              <w:t xml:space="preserve">As recommended, </w:t>
            </w:r>
            <w:r w:rsidR="006F09F8">
              <w:t>DFAT</w:t>
            </w:r>
            <w:r w:rsidRPr="00980B21">
              <w:t xml:space="preserve"> will continue to </w:t>
            </w:r>
            <w:r w:rsidR="005E28CA">
              <w:t>work closely</w:t>
            </w:r>
            <w:r w:rsidR="005E28CA" w:rsidRPr="00980B21">
              <w:t xml:space="preserve"> </w:t>
            </w:r>
            <w:r w:rsidRPr="00980B21">
              <w:t xml:space="preserve">with </w:t>
            </w:r>
            <w:r>
              <w:t xml:space="preserve">its whole-of-government partners, particularly </w:t>
            </w:r>
            <w:r w:rsidRPr="008968A1">
              <w:t>the Australian Electoral Commission</w:t>
            </w:r>
            <w:r>
              <w:t xml:space="preserve"> (AEC)</w:t>
            </w:r>
            <w:r w:rsidRPr="008968A1">
              <w:t>, to develop a shared understanding of the political economy and drivers of change relating to electoral processes in PNG</w:t>
            </w:r>
            <w:r w:rsidR="00C42B78">
              <w:t>. This will</w:t>
            </w:r>
            <w:r w:rsidRPr="008968A1">
              <w:t xml:space="preserve"> help ensure future support is relevant to the political environment in which it is being developed. This analysis and policy dialogue will be ongoing.</w:t>
            </w:r>
          </w:p>
          <w:p w14:paraId="43310FC8" w14:textId="77777777" w:rsidR="00141598" w:rsidRPr="00F4660F" w:rsidRDefault="006F09F8" w:rsidP="008E02EF">
            <w:pPr>
              <w:spacing w:after="120"/>
            </w:pPr>
            <w:r>
              <w:t>DFAT</w:t>
            </w:r>
            <w:r w:rsidR="00141598">
              <w:t xml:space="preserve"> will also move to strengthen engagement with local actors (including PNG academics) to inform this analysis.  </w:t>
            </w:r>
          </w:p>
        </w:tc>
        <w:tc>
          <w:tcPr>
            <w:tcW w:w="1666" w:type="dxa"/>
            <w:tcBorders>
              <w:left w:val="single" w:sz="4" w:space="0" w:color="auto"/>
            </w:tcBorders>
            <w:shd w:val="clear" w:color="auto" w:fill="auto"/>
          </w:tcPr>
          <w:p w14:paraId="43310FC9" w14:textId="77777777" w:rsidR="00141598" w:rsidRDefault="006F09F8" w:rsidP="008E02EF">
            <w:pPr>
              <w:spacing w:after="120"/>
            </w:pPr>
            <w:r>
              <w:t>DFAT</w:t>
            </w:r>
            <w:r w:rsidR="00141598">
              <w:t xml:space="preserve"> </w:t>
            </w:r>
            <w:r w:rsidR="00141598" w:rsidRPr="00980B21">
              <w:t xml:space="preserve">in </w:t>
            </w:r>
            <w:r w:rsidR="00776E15">
              <w:t>consultation</w:t>
            </w:r>
            <w:r w:rsidR="00141598" w:rsidRPr="00980B21">
              <w:t xml:space="preserve"> with </w:t>
            </w:r>
            <w:r w:rsidR="00141598">
              <w:t xml:space="preserve">AEC </w:t>
            </w:r>
          </w:p>
          <w:p w14:paraId="43310FCA" w14:textId="77777777" w:rsidR="00141598" w:rsidRDefault="00141598" w:rsidP="008E02EF">
            <w:pPr>
              <w:spacing w:after="120"/>
            </w:pPr>
          </w:p>
          <w:p w14:paraId="43310FCB" w14:textId="77777777" w:rsidR="00141598" w:rsidRDefault="00141598" w:rsidP="008E02EF">
            <w:pPr>
              <w:spacing w:after="120"/>
            </w:pPr>
          </w:p>
          <w:p w14:paraId="43310FCC" w14:textId="77777777" w:rsidR="00141598" w:rsidRPr="00980B21" w:rsidRDefault="006F09F8" w:rsidP="008E02EF">
            <w:pPr>
              <w:spacing w:after="120"/>
            </w:pPr>
            <w:r>
              <w:t>DFAT</w:t>
            </w:r>
            <w:r w:rsidR="00776E15">
              <w:t xml:space="preserve"> in consultation with </w:t>
            </w:r>
            <w:r w:rsidR="00141598">
              <w:t>PNG local actors, including academics and civil society</w:t>
            </w:r>
          </w:p>
        </w:tc>
      </w:tr>
      <w:tr w:rsidR="00141598" w:rsidRPr="00205358" w14:paraId="43310FD0" w14:textId="77777777" w:rsidTr="008E02EF">
        <w:trPr>
          <w:cantSplit/>
          <w:trHeight w:val="484"/>
        </w:trPr>
        <w:tc>
          <w:tcPr>
            <w:tcW w:w="9854" w:type="dxa"/>
            <w:gridSpan w:val="3"/>
            <w:shd w:val="clear" w:color="auto" w:fill="F2F2F2" w:themeFill="background1" w:themeFillShade="F2"/>
          </w:tcPr>
          <w:p w14:paraId="43310FCE" w14:textId="77777777" w:rsidR="00141598" w:rsidRPr="00980B21" w:rsidRDefault="00141598" w:rsidP="008E02EF">
            <w:pPr>
              <w:spacing w:after="120"/>
              <w:rPr>
                <w:b/>
              </w:rPr>
            </w:pPr>
            <w:r w:rsidRPr="00980B21">
              <w:rPr>
                <w:b/>
              </w:rPr>
              <w:t>Recommendation 2</w:t>
            </w:r>
          </w:p>
          <w:p w14:paraId="43310FCF" w14:textId="77777777" w:rsidR="00141598" w:rsidRPr="00605884" w:rsidRDefault="00141598" w:rsidP="008E02EF">
            <w:pPr>
              <w:spacing w:after="120"/>
            </w:pPr>
            <w:r w:rsidRPr="00605884">
              <w:t xml:space="preserve">Future electoral assistance would benefit </w:t>
            </w:r>
            <w:r w:rsidR="002612A8">
              <w:t xml:space="preserve">from a more holistic approach.  </w:t>
            </w:r>
            <w:r w:rsidR="002612A8" w:rsidRPr="00D351DB">
              <w:t xml:space="preserve">Future assistance should not be limited predominantly to the Electoral Commission. </w:t>
            </w:r>
            <w:r w:rsidR="006F09F8">
              <w:t>DFAT</w:t>
            </w:r>
            <w:r w:rsidR="002612A8" w:rsidRPr="00D351DB">
              <w:t xml:space="preserve"> should also continue to foster greater coordination across donors to spread the risks for Australia associated with providing electoral assistance.</w:t>
            </w:r>
          </w:p>
        </w:tc>
      </w:tr>
      <w:tr w:rsidR="00141598" w:rsidRPr="00205358" w14:paraId="43310FDF" w14:textId="77777777" w:rsidTr="008E02EF">
        <w:trPr>
          <w:cantSplit/>
          <w:trHeight w:val="885"/>
        </w:trPr>
        <w:tc>
          <w:tcPr>
            <w:tcW w:w="4219" w:type="dxa"/>
            <w:tcBorders>
              <w:right w:val="single" w:sz="4" w:space="0" w:color="auto"/>
            </w:tcBorders>
            <w:shd w:val="clear" w:color="auto" w:fill="auto"/>
          </w:tcPr>
          <w:p w14:paraId="43310FD1" w14:textId="77777777" w:rsidR="00141598" w:rsidRPr="005E0718" w:rsidRDefault="00141598" w:rsidP="008E02EF">
            <w:pPr>
              <w:spacing w:after="120"/>
              <w:rPr>
                <w:rFonts w:cs="Arial"/>
                <w:b/>
                <w:szCs w:val="20"/>
              </w:rPr>
            </w:pPr>
            <w:r w:rsidRPr="005E0718">
              <w:rPr>
                <w:rFonts w:cs="Arial"/>
                <w:b/>
                <w:szCs w:val="20"/>
              </w:rPr>
              <w:lastRenderedPageBreak/>
              <w:t>Agreed</w:t>
            </w:r>
            <w:r w:rsidR="00522BA0">
              <w:rPr>
                <w:rFonts w:cs="Arial"/>
                <w:b/>
                <w:szCs w:val="20"/>
              </w:rPr>
              <w:t xml:space="preserve"> in-principle</w:t>
            </w:r>
            <w:r w:rsidRPr="005E0718">
              <w:rPr>
                <w:rFonts w:cs="Arial"/>
                <w:b/>
                <w:szCs w:val="20"/>
              </w:rPr>
              <w:t xml:space="preserve"> </w:t>
            </w:r>
          </w:p>
          <w:p w14:paraId="43310FD2" w14:textId="77777777" w:rsidR="00141598" w:rsidRDefault="00141598" w:rsidP="008E02EF">
            <w:pPr>
              <w:spacing w:after="120"/>
            </w:pPr>
            <w:r w:rsidRPr="005E0718">
              <w:rPr>
                <w:rFonts w:cs="Arial"/>
                <w:szCs w:val="20"/>
              </w:rPr>
              <w:t xml:space="preserve">We agree that many of the factors impacting on election delivery and credibility </w:t>
            </w:r>
            <w:r w:rsidRPr="009872CA">
              <w:rPr>
                <w:rFonts w:cs="Arial"/>
                <w:szCs w:val="20"/>
              </w:rPr>
              <w:t>are not limited to technical issues</w:t>
            </w:r>
            <w:r w:rsidR="00D351DB">
              <w:rPr>
                <w:rFonts w:cs="Arial"/>
                <w:szCs w:val="20"/>
              </w:rPr>
              <w:t xml:space="preserve"> within the PNGEC</w:t>
            </w:r>
            <w:r w:rsidR="00C42B78">
              <w:rPr>
                <w:rFonts w:cs="Arial"/>
                <w:szCs w:val="20"/>
              </w:rPr>
              <w:t xml:space="preserve">. </w:t>
            </w:r>
          </w:p>
          <w:p w14:paraId="43310FD3" w14:textId="77777777" w:rsidR="00141598" w:rsidRPr="005E0718" w:rsidRDefault="00141598" w:rsidP="008E02EF">
            <w:pPr>
              <w:spacing w:after="120"/>
              <w:rPr>
                <w:rFonts w:cs="Arial"/>
                <w:szCs w:val="20"/>
              </w:rPr>
            </w:pPr>
            <w:r>
              <w:rPr>
                <w:rFonts w:cs="Arial"/>
                <w:szCs w:val="20"/>
              </w:rPr>
              <w:t>Australian</w:t>
            </w:r>
            <w:r w:rsidRPr="009872CA">
              <w:rPr>
                <w:rFonts w:cs="Arial"/>
                <w:szCs w:val="20"/>
              </w:rPr>
              <w:t xml:space="preserve"> support </w:t>
            </w:r>
            <w:r w:rsidR="00D351DB">
              <w:rPr>
                <w:rFonts w:cs="Arial"/>
                <w:szCs w:val="20"/>
              </w:rPr>
              <w:t xml:space="preserve">extends beyond assisting with </w:t>
            </w:r>
            <w:r w:rsidRPr="009872CA">
              <w:rPr>
                <w:rFonts w:cs="Arial"/>
                <w:szCs w:val="20"/>
              </w:rPr>
              <w:t xml:space="preserve">the technical aspects </w:t>
            </w:r>
            <w:r w:rsidRPr="005E0718">
              <w:rPr>
                <w:rFonts w:cs="Arial"/>
                <w:szCs w:val="20"/>
              </w:rPr>
              <w:t xml:space="preserve">of election delivery. </w:t>
            </w:r>
            <w:r>
              <w:rPr>
                <w:rFonts w:cs="Arial"/>
                <w:szCs w:val="20"/>
              </w:rPr>
              <w:t>It has included</w:t>
            </w:r>
            <w:r w:rsidRPr="005E0718">
              <w:rPr>
                <w:rFonts w:cs="Arial"/>
                <w:szCs w:val="20"/>
              </w:rPr>
              <w:t xml:space="preserve"> support for </w:t>
            </w:r>
            <w:r>
              <w:rPr>
                <w:rFonts w:cs="Arial"/>
                <w:szCs w:val="20"/>
              </w:rPr>
              <w:t xml:space="preserve">civic awareness, </w:t>
            </w:r>
            <w:r w:rsidRPr="005E0718">
              <w:rPr>
                <w:rFonts w:cs="Arial"/>
                <w:szCs w:val="20"/>
              </w:rPr>
              <w:t>training for women candidates</w:t>
            </w:r>
            <w:r>
              <w:rPr>
                <w:rFonts w:cs="Arial"/>
                <w:szCs w:val="20"/>
              </w:rPr>
              <w:t xml:space="preserve"> and </w:t>
            </w:r>
            <w:r w:rsidRPr="0012599F">
              <w:rPr>
                <w:rFonts w:cs="Arial"/>
                <w:szCs w:val="20"/>
              </w:rPr>
              <w:t xml:space="preserve">supporting the function of PNG’s Inter-departmental Elections Committee.  </w:t>
            </w:r>
            <w:r w:rsidR="008E02EF" w:rsidRPr="0012599F">
              <w:rPr>
                <w:rFonts w:cs="Arial"/>
                <w:szCs w:val="20"/>
              </w:rPr>
              <w:t>We</w:t>
            </w:r>
            <w:r w:rsidRPr="0012599F">
              <w:rPr>
                <w:rFonts w:cs="Arial"/>
                <w:szCs w:val="20"/>
              </w:rPr>
              <w:t xml:space="preserve"> </w:t>
            </w:r>
            <w:r w:rsidR="0012599F" w:rsidRPr="0012599F">
              <w:rPr>
                <w:rFonts w:cs="Arial"/>
                <w:szCs w:val="20"/>
              </w:rPr>
              <w:t xml:space="preserve">acknowledge that </w:t>
            </w:r>
            <w:r w:rsidRPr="0012599F">
              <w:rPr>
                <w:rFonts w:cs="Arial"/>
                <w:szCs w:val="20"/>
              </w:rPr>
              <w:t xml:space="preserve">these </w:t>
            </w:r>
            <w:r w:rsidR="0012599F" w:rsidRPr="0012599F">
              <w:rPr>
                <w:rFonts w:cs="Arial"/>
                <w:szCs w:val="20"/>
              </w:rPr>
              <w:t xml:space="preserve">areas of support could be </w:t>
            </w:r>
            <w:r w:rsidR="00D351DB">
              <w:rPr>
                <w:rFonts w:cs="Arial"/>
                <w:szCs w:val="20"/>
              </w:rPr>
              <w:t>better</w:t>
            </w:r>
            <w:r w:rsidR="0012599F" w:rsidRPr="0012599F">
              <w:rPr>
                <w:rFonts w:cs="Arial"/>
                <w:szCs w:val="20"/>
              </w:rPr>
              <w:t xml:space="preserve"> linked to</w:t>
            </w:r>
            <w:r w:rsidRPr="0012599F">
              <w:rPr>
                <w:rFonts w:cs="Arial"/>
                <w:szCs w:val="20"/>
              </w:rPr>
              <w:t xml:space="preserve"> </w:t>
            </w:r>
            <w:r w:rsidR="0012599F" w:rsidRPr="0012599F">
              <w:rPr>
                <w:rFonts w:cs="Arial"/>
                <w:szCs w:val="20"/>
              </w:rPr>
              <w:t>election delivery</w:t>
            </w:r>
            <w:r w:rsidRPr="0012599F">
              <w:rPr>
                <w:rFonts w:cs="Arial"/>
                <w:szCs w:val="20"/>
              </w:rPr>
              <w:t xml:space="preserve">. Australian support will need to be targeted for maximum </w:t>
            </w:r>
            <w:r w:rsidR="0012599F">
              <w:rPr>
                <w:rFonts w:cs="Arial"/>
                <w:szCs w:val="20"/>
              </w:rPr>
              <w:t xml:space="preserve">impact, as </w:t>
            </w:r>
            <w:r>
              <w:rPr>
                <w:rFonts w:cs="Arial"/>
                <w:szCs w:val="20"/>
              </w:rPr>
              <w:t xml:space="preserve">the institutional environment is very broad and donor support has limited influence. </w:t>
            </w:r>
          </w:p>
          <w:p w14:paraId="43310FD4" w14:textId="77777777" w:rsidR="00141598" w:rsidRPr="005E0718" w:rsidRDefault="00141598" w:rsidP="008D7998">
            <w:pPr>
              <w:spacing w:after="120"/>
              <w:rPr>
                <w:rFonts w:cs="Arial"/>
                <w:szCs w:val="20"/>
              </w:rPr>
            </w:pPr>
            <w:r>
              <w:rPr>
                <w:rFonts w:cs="Arial"/>
                <w:szCs w:val="20"/>
              </w:rPr>
              <w:t xml:space="preserve">We agree that Australia should foster greater coordination between donors in support of elections. We note that </w:t>
            </w:r>
            <w:r w:rsidR="006F09F8">
              <w:rPr>
                <w:rFonts w:cs="Arial"/>
                <w:szCs w:val="20"/>
              </w:rPr>
              <w:t>DFAT</w:t>
            </w:r>
            <w:r>
              <w:rPr>
                <w:rFonts w:cs="Arial"/>
                <w:szCs w:val="20"/>
              </w:rPr>
              <w:t xml:space="preserve"> is the primary provider of electoral support in PNG. Effective donor coordinatio</w:t>
            </w:r>
            <w:r w:rsidR="00332CA2">
              <w:rPr>
                <w:rFonts w:cs="Arial"/>
                <w:szCs w:val="20"/>
              </w:rPr>
              <w:t>n has occurred during elections.</w:t>
            </w:r>
            <w:r>
              <w:rPr>
                <w:rFonts w:cs="Arial"/>
                <w:szCs w:val="20"/>
              </w:rPr>
              <w:t xml:space="preserve"> </w:t>
            </w:r>
            <w:r w:rsidR="006F09F8">
              <w:rPr>
                <w:rFonts w:cs="Arial"/>
                <w:szCs w:val="20"/>
              </w:rPr>
              <w:t>DFAT</w:t>
            </w:r>
            <w:r>
              <w:rPr>
                <w:rFonts w:cs="Arial"/>
                <w:szCs w:val="20"/>
              </w:rPr>
              <w:t xml:space="preserve"> will seek to build on this, </w:t>
            </w:r>
            <w:r w:rsidR="00C42B78">
              <w:rPr>
                <w:rFonts w:cs="Arial"/>
                <w:szCs w:val="20"/>
              </w:rPr>
              <w:t>and</w:t>
            </w:r>
            <w:r>
              <w:rPr>
                <w:rFonts w:cs="Arial"/>
                <w:szCs w:val="20"/>
              </w:rPr>
              <w:t xml:space="preserve"> engage donors to work together across the electoral cycle, not just in election years. </w:t>
            </w:r>
          </w:p>
        </w:tc>
        <w:tc>
          <w:tcPr>
            <w:tcW w:w="3969" w:type="dxa"/>
            <w:tcBorders>
              <w:left w:val="single" w:sz="4" w:space="0" w:color="auto"/>
            </w:tcBorders>
            <w:shd w:val="clear" w:color="auto" w:fill="auto"/>
          </w:tcPr>
          <w:p w14:paraId="43310FD5" w14:textId="77777777" w:rsidR="00141598" w:rsidRDefault="00141598" w:rsidP="008E02EF">
            <w:pPr>
              <w:spacing w:after="120"/>
            </w:pPr>
          </w:p>
          <w:p w14:paraId="43310FD6" w14:textId="77777777" w:rsidR="00141598" w:rsidRPr="00980B21" w:rsidRDefault="006F09F8" w:rsidP="008E02EF">
            <w:pPr>
              <w:spacing w:after="120"/>
            </w:pPr>
            <w:r>
              <w:t>DFAT</w:t>
            </w:r>
            <w:r w:rsidR="00141598" w:rsidRPr="00980B21">
              <w:t xml:space="preserve"> will </w:t>
            </w:r>
            <w:r w:rsidR="00141598">
              <w:t>consider where we</w:t>
            </w:r>
            <w:r w:rsidR="00141598" w:rsidRPr="00980B21">
              <w:t xml:space="preserve"> can effectively provide support in areas outside the PNGEC. </w:t>
            </w:r>
            <w:r w:rsidR="00141598">
              <w:t xml:space="preserve">The process for designing future support will include examination of which stakeholders </w:t>
            </w:r>
            <w:r>
              <w:t>DFAT</w:t>
            </w:r>
            <w:r w:rsidR="00141598">
              <w:t xml:space="preserve"> could effectively target in support of well managed elections.  </w:t>
            </w:r>
          </w:p>
          <w:p w14:paraId="43310FD7" w14:textId="77777777" w:rsidR="00141598" w:rsidRPr="00980B21" w:rsidRDefault="00141598" w:rsidP="008E02EF">
            <w:pPr>
              <w:spacing w:after="120"/>
            </w:pPr>
            <w:r w:rsidRPr="00980B21">
              <w:t xml:space="preserve">Any future support will align with </w:t>
            </w:r>
            <w:r w:rsidR="006F09F8">
              <w:t>DFAT</w:t>
            </w:r>
            <w:r w:rsidRPr="00980B21">
              <w:t xml:space="preserve">’s broader governance objectives and methods for delivering support, and with other </w:t>
            </w:r>
            <w:r w:rsidR="006F09F8">
              <w:t>DFAT</w:t>
            </w:r>
            <w:r w:rsidRPr="00980B21">
              <w:t xml:space="preserve"> program areas. </w:t>
            </w:r>
          </w:p>
          <w:p w14:paraId="43310FD8" w14:textId="77777777" w:rsidR="00141598" w:rsidRDefault="00141598" w:rsidP="008E02EF">
            <w:pPr>
              <w:spacing w:after="120"/>
            </w:pPr>
          </w:p>
          <w:p w14:paraId="43310FD9" w14:textId="77777777" w:rsidR="00141598" w:rsidRDefault="00141598" w:rsidP="008E02EF">
            <w:pPr>
              <w:spacing w:after="120"/>
            </w:pPr>
          </w:p>
          <w:p w14:paraId="43310FDA" w14:textId="77777777" w:rsidR="00141598" w:rsidRDefault="00141598" w:rsidP="008E02EF">
            <w:pPr>
              <w:spacing w:after="120"/>
            </w:pPr>
          </w:p>
          <w:p w14:paraId="43310FDB" w14:textId="77777777" w:rsidR="00141598" w:rsidRPr="00980B21" w:rsidRDefault="006F09F8" w:rsidP="008E02EF">
            <w:pPr>
              <w:spacing w:after="120"/>
            </w:pPr>
            <w:r>
              <w:t>DFAT</w:t>
            </w:r>
            <w:r w:rsidR="00141598" w:rsidRPr="00980B21">
              <w:t xml:space="preserve"> will continue to work with other development partners and will encourage other donors to contribute to coordinated electoral support in PNG. </w:t>
            </w:r>
          </w:p>
          <w:p w14:paraId="43310FDC" w14:textId="77777777" w:rsidR="00141598" w:rsidRPr="00980B21" w:rsidRDefault="00141598" w:rsidP="008E02EF">
            <w:pPr>
              <w:spacing w:before="0"/>
            </w:pPr>
          </w:p>
        </w:tc>
        <w:tc>
          <w:tcPr>
            <w:tcW w:w="1666" w:type="dxa"/>
            <w:tcBorders>
              <w:left w:val="single" w:sz="4" w:space="0" w:color="auto"/>
            </w:tcBorders>
            <w:shd w:val="clear" w:color="auto" w:fill="auto"/>
          </w:tcPr>
          <w:p w14:paraId="43310FDD" w14:textId="77777777" w:rsidR="00141598" w:rsidRDefault="00141598" w:rsidP="008E02EF">
            <w:pPr>
              <w:spacing w:after="120"/>
            </w:pPr>
          </w:p>
          <w:p w14:paraId="43310FDE" w14:textId="77777777" w:rsidR="00141598" w:rsidRPr="00980B21" w:rsidRDefault="006F09F8" w:rsidP="002D3A98">
            <w:pPr>
              <w:spacing w:after="120"/>
            </w:pPr>
            <w:r>
              <w:t>DFAT</w:t>
            </w:r>
            <w:r w:rsidR="00AF1317">
              <w:t xml:space="preserve"> with </w:t>
            </w:r>
            <w:r w:rsidR="002D3A98">
              <w:t>PNG Government partners and other development partners</w:t>
            </w:r>
          </w:p>
        </w:tc>
      </w:tr>
      <w:tr w:rsidR="00141598" w:rsidRPr="00205358" w14:paraId="43310FE2" w14:textId="77777777" w:rsidTr="008E02EF">
        <w:trPr>
          <w:cantSplit/>
          <w:trHeight w:val="885"/>
        </w:trPr>
        <w:tc>
          <w:tcPr>
            <w:tcW w:w="9854" w:type="dxa"/>
            <w:gridSpan w:val="3"/>
            <w:shd w:val="clear" w:color="auto" w:fill="F2F2F2" w:themeFill="background1" w:themeFillShade="F2"/>
          </w:tcPr>
          <w:p w14:paraId="43310FE0" w14:textId="77777777" w:rsidR="00141598" w:rsidRPr="00980B21" w:rsidRDefault="00141598" w:rsidP="008E02EF">
            <w:pPr>
              <w:spacing w:after="120"/>
              <w:rPr>
                <w:b/>
              </w:rPr>
            </w:pPr>
            <w:r>
              <w:rPr>
                <w:b/>
              </w:rPr>
              <w:t>Recommendation 3</w:t>
            </w:r>
          </w:p>
          <w:p w14:paraId="43310FE1" w14:textId="77777777" w:rsidR="00141598" w:rsidRPr="00980B21" w:rsidRDefault="00141598" w:rsidP="008E02EF">
            <w:pPr>
              <w:spacing w:after="120"/>
            </w:pPr>
            <w:r w:rsidRPr="00980B21">
              <w:t>Any future electoral assistance should explicitly address the issue of ‘surge’ assistance for national elections and actively manage the moral hazard associated with such support.</w:t>
            </w:r>
          </w:p>
        </w:tc>
      </w:tr>
      <w:tr w:rsidR="00141598" w:rsidRPr="00205358" w14:paraId="43310FEB" w14:textId="77777777" w:rsidTr="008E02EF">
        <w:trPr>
          <w:cantSplit/>
          <w:trHeight w:val="885"/>
        </w:trPr>
        <w:tc>
          <w:tcPr>
            <w:tcW w:w="4219" w:type="dxa"/>
            <w:tcBorders>
              <w:right w:val="single" w:sz="4" w:space="0" w:color="auto"/>
            </w:tcBorders>
            <w:shd w:val="clear" w:color="auto" w:fill="auto"/>
          </w:tcPr>
          <w:p w14:paraId="43310FE3" w14:textId="77777777" w:rsidR="00141598" w:rsidRPr="005E0718" w:rsidRDefault="00141598" w:rsidP="008E02EF">
            <w:pPr>
              <w:spacing w:after="120"/>
              <w:rPr>
                <w:rFonts w:cs="Arial"/>
                <w:b/>
                <w:szCs w:val="20"/>
              </w:rPr>
            </w:pPr>
            <w:r w:rsidRPr="005E0718">
              <w:rPr>
                <w:rFonts w:cs="Arial"/>
                <w:b/>
                <w:szCs w:val="20"/>
              </w:rPr>
              <w:t>Agreed</w:t>
            </w:r>
          </w:p>
          <w:p w14:paraId="43310FE4" w14:textId="77777777" w:rsidR="00141598" w:rsidRPr="005E0718" w:rsidRDefault="00141598" w:rsidP="008E02EF">
            <w:pPr>
              <w:spacing w:after="120"/>
              <w:rPr>
                <w:rFonts w:cs="Arial"/>
                <w:szCs w:val="20"/>
              </w:rPr>
            </w:pPr>
            <w:r w:rsidRPr="005E0718">
              <w:rPr>
                <w:rFonts w:cs="Arial"/>
                <w:szCs w:val="20"/>
              </w:rPr>
              <w:t xml:space="preserve">Surge assistance has been provided to complement longer term capacity building efforts. This surge </w:t>
            </w:r>
            <w:r>
              <w:rPr>
                <w:rFonts w:cs="Arial"/>
                <w:szCs w:val="20"/>
              </w:rPr>
              <w:t>assistance</w:t>
            </w:r>
            <w:r w:rsidRPr="005E0718">
              <w:rPr>
                <w:rFonts w:cs="Arial"/>
                <w:szCs w:val="20"/>
              </w:rPr>
              <w:t xml:space="preserve"> played a key role in </w:t>
            </w:r>
            <w:r>
              <w:rPr>
                <w:rFonts w:cs="Arial"/>
                <w:szCs w:val="20"/>
              </w:rPr>
              <w:t xml:space="preserve">the 2012 General Election. </w:t>
            </w:r>
          </w:p>
          <w:p w14:paraId="43310FE5" w14:textId="77777777" w:rsidR="00141598" w:rsidRPr="005E0718" w:rsidRDefault="00141598" w:rsidP="008E02EF">
            <w:pPr>
              <w:spacing w:after="120"/>
              <w:rPr>
                <w:rFonts w:cs="Arial"/>
                <w:szCs w:val="20"/>
              </w:rPr>
            </w:pPr>
            <w:r w:rsidRPr="005E0718">
              <w:rPr>
                <w:rFonts w:cs="Arial"/>
                <w:szCs w:val="20"/>
              </w:rPr>
              <w:t>We acknowledge that providing surge assistance brings risks</w:t>
            </w:r>
            <w:r>
              <w:rPr>
                <w:rFonts w:cs="Arial"/>
                <w:szCs w:val="20"/>
              </w:rPr>
              <w:t xml:space="preserve">, including moral hazard risks, which must be carefully managed. </w:t>
            </w:r>
          </w:p>
        </w:tc>
        <w:tc>
          <w:tcPr>
            <w:tcW w:w="3969" w:type="dxa"/>
            <w:tcBorders>
              <w:left w:val="single" w:sz="4" w:space="0" w:color="auto"/>
            </w:tcBorders>
            <w:shd w:val="clear" w:color="auto" w:fill="auto"/>
          </w:tcPr>
          <w:p w14:paraId="43310FE6" w14:textId="77777777" w:rsidR="00141598" w:rsidRPr="00980B21" w:rsidRDefault="00141598" w:rsidP="008E02EF">
            <w:pPr>
              <w:spacing w:after="120"/>
            </w:pPr>
          </w:p>
          <w:p w14:paraId="43310FE7" w14:textId="77777777" w:rsidR="00141598" w:rsidRDefault="00141598" w:rsidP="008E02EF">
            <w:pPr>
              <w:spacing w:after="120"/>
            </w:pPr>
            <w:r w:rsidRPr="00980B21">
              <w:t xml:space="preserve">Australian </w:t>
            </w:r>
            <w:r w:rsidR="00434032">
              <w:t>G</w:t>
            </w:r>
            <w:r w:rsidRPr="00980B21">
              <w:t xml:space="preserve">overnment agencies will work together to gain agreement </w:t>
            </w:r>
            <w:r w:rsidR="009D7D3C">
              <w:t xml:space="preserve">well ahead of elections </w:t>
            </w:r>
            <w:r w:rsidRPr="00980B21">
              <w:t>on what level of surge assistance should be provided, and for which objective</w:t>
            </w:r>
            <w:r w:rsidR="00C42B78">
              <w:t>s</w:t>
            </w:r>
            <w:r w:rsidRPr="00980B21">
              <w:t xml:space="preserve">. </w:t>
            </w:r>
          </w:p>
          <w:p w14:paraId="43310FE8" w14:textId="77777777" w:rsidR="00141598" w:rsidRPr="00980B21" w:rsidRDefault="005E28CA" w:rsidP="005E28CA">
            <w:pPr>
              <w:spacing w:after="120"/>
            </w:pPr>
            <w:r>
              <w:t>T</w:t>
            </w:r>
            <w:r w:rsidR="00141598">
              <w:t xml:space="preserve">he design process will </w:t>
            </w:r>
            <w:r>
              <w:t xml:space="preserve">consider </w:t>
            </w:r>
            <w:r w:rsidR="00141598">
              <w:t xml:space="preserve">how best </w:t>
            </w:r>
            <w:r>
              <w:t xml:space="preserve">to </w:t>
            </w:r>
            <w:r w:rsidR="00141598">
              <w:t>integrate surge support into other forms of assistance, to e</w:t>
            </w:r>
            <w:r w:rsidR="00C42B78">
              <w:t>nsure early planning and management of</w:t>
            </w:r>
            <w:r w:rsidR="00141598">
              <w:t xml:space="preserve"> moral hazard risks. </w:t>
            </w:r>
          </w:p>
        </w:tc>
        <w:tc>
          <w:tcPr>
            <w:tcW w:w="1666" w:type="dxa"/>
            <w:tcBorders>
              <w:left w:val="single" w:sz="4" w:space="0" w:color="auto"/>
            </w:tcBorders>
            <w:shd w:val="clear" w:color="auto" w:fill="auto"/>
          </w:tcPr>
          <w:p w14:paraId="43310FE9" w14:textId="77777777" w:rsidR="009D7D3C" w:rsidRDefault="009D7D3C" w:rsidP="00C42B78">
            <w:pPr>
              <w:spacing w:after="120"/>
            </w:pPr>
          </w:p>
          <w:p w14:paraId="43310FEA" w14:textId="77777777" w:rsidR="00141598" w:rsidRPr="00980B21" w:rsidRDefault="00141598" w:rsidP="00C42B78">
            <w:pPr>
              <w:spacing w:after="120"/>
            </w:pPr>
            <w:r w:rsidRPr="00980B21">
              <w:t>Australia</w:t>
            </w:r>
            <w:r>
              <w:t xml:space="preserve">n Government </w:t>
            </w:r>
            <w:r w:rsidR="00C42B78">
              <w:t>agencies</w:t>
            </w:r>
            <w:r>
              <w:t xml:space="preserve">, working with </w:t>
            </w:r>
            <w:r w:rsidR="00FE4E15">
              <w:t xml:space="preserve">the </w:t>
            </w:r>
            <w:r>
              <w:t>Government of PNG.</w:t>
            </w:r>
          </w:p>
        </w:tc>
      </w:tr>
      <w:tr w:rsidR="00141598" w:rsidRPr="00205358" w14:paraId="43310FEE" w14:textId="77777777" w:rsidTr="008E02EF">
        <w:trPr>
          <w:cantSplit/>
          <w:trHeight w:val="885"/>
        </w:trPr>
        <w:tc>
          <w:tcPr>
            <w:tcW w:w="9854" w:type="dxa"/>
            <w:gridSpan w:val="3"/>
            <w:shd w:val="clear" w:color="auto" w:fill="F2F2F2" w:themeFill="background1" w:themeFillShade="F2"/>
          </w:tcPr>
          <w:p w14:paraId="43310FEC" w14:textId="77777777" w:rsidR="00141598" w:rsidRPr="00980B21" w:rsidRDefault="00141598" w:rsidP="008E02EF">
            <w:pPr>
              <w:spacing w:after="120"/>
              <w:rPr>
                <w:b/>
              </w:rPr>
            </w:pPr>
            <w:r w:rsidRPr="00980B21">
              <w:rPr>
                <w:b/>
              </w:rPr>
              <w:t>Recommendation 4</w:t>
            </w:r>
          </w:p>
          <w:p w14:paraId="43310FED" w14:textId="77777777" w:rsidR="00141598" w:rsidRPr="00980B21" w:rsidRDefault="00141598" w:rsidP="008E02EF">
            <w:pPr>
              <w:spacing w:after="120"/>
            </w:pPr>
            <w:r w:rsidRPr="00980B21">
              <w:t>The nature of any future Australian assistance to PNGEC should be premised on more of a partnership model and part of the broader strategy for electoral assistance.</w:t>
            </w:r>
          </w:p>
        </w:tc>
      </w:tr>
      <w:tr w:rsidR="00141598" w:rsidRPr="00205358" w14:paraId="43310FF8" w14:textId="77777777" w:rsidTr="008E02EF">
        <w:trPr>
          <w:cantSplit/>
          <w:trHeight w:val="885"/>
        </w:trPr>
        <w:tc>
          <w:tcPr>
            <w:tcW w:w="4219" w:type="dxa"/>
            <w:tcBorders>
              <w:right w:val="single" w:sz="4" w:space="0" w:color="auto"/>
            </w:tcBorders>
            <w:shd w:val="clear" w:color="auto" w:fill="auto"/>
          </w:tcPr>
          <w:p w14:paraId="43310FEF" w14:textId="77777777" w:rsidR="00141598" w:rsidRPr="005E0718" w:rsidRDefault="00141598" w:rsidP="008E02EF">
            <w:pPr>
              <w:spacing w:after="120"/>
              <w:rPr>
                <w:rFonts w:cs="Arial"/>
                <w:b/>
                <w:szCs w:val="20"/>
              </w:rPr>
            </w:pPr>
            <w:r w:rsidRPr="005E0718">
              <w:rPr>
                <w:rFonts w:cs="Arial"/>
                <w:b/>
                <w:szCs w:val="20"/>
              </w:rPr>
              <w:lastRenderedPageBreak/>
              <w:t>Agree</w:t>
            </w:r>
            <w:r>
              <w:rPr>
                <w:rFonts w:cs="Arial"/>
                <w:b/>
                <w:szCs w:val="20"/>
              </w:rPr>
              <w:t>d</w:t>
            </w:r>
          </w:p>
          <w:p w14:paraId="43310FF0" w14:textId="77777777" w:rsidR="00141598" w:rsidRDefault="00332CA2" w:rsidP="008E02EF">
            <w:pPr>
              <w:spacing w:after="120"/>
              <w:rPr>
                <w:rFonts w:cs="Arial"/>
                <w:szCs w:val="20"/>
              </w:rPr>
            </w:pPr>
            <w:r>
              <w:rPr>
                <w:rFonts w:cs="Arial"/>
                <w:szCs w:val="20"/>
              </w:rPr>
              <w:t>Australia</w:t>
            </w:r>
            <w:r w:rsidR="00141598" w:rsidRPr="00F64CEF">
              <w:rPr>
                <w:rFonts w:cs="Arial"/>
                <w:szCs w:val="20"/>
              </w:rPr>
              <w:t xml:space="preserve"> has always provided electoral support in partners</w:t>
            </w:r>
            <w:r w:rsidR="00141598">
              <w:rPr>
                <w:rFonts w:cs="Arial"/>
                <w:szCs w:val="20"/>
              </w:rPr>
              <w:t>hip with the Government of PNG.</w:t>
            </w:r>
            <w:r w:rsidR="00141598" w:rsidRPr="00F64CEF">
              <w:rPr>
                <w:rFonts w:cs="Arial"/>
                <w:szCs w:val="20"/>
              </w:rPr>
              <w:t xml:space="preserve"> </w:t>
            </w:r>
            <w:r w:rsidR="006F09F8">
              <w:rPr>
                <w:rFonts w:cs="Arial"/>
                <w:szCs w:val="20"/>
              </w:rPr>
              <w:t>DFAT</w:t>
            </w:r>
            <w:r w:rsidR="00141598" w:rsidRPr="00F64CEF">
              <w:rPr>
                <w:rFonts w:cs="Arial"/>
                <w:szCs w:val="20"/>
              </w:rPr>
              <w:t xml:space="preserve"> and PNGEC work together to agree shared priorities. </w:t>
            </w:r>
          </w:p>
          <w:p w14:paraId="43310FF1" w14:textId="77777777" w:rsidR="00141598" w:rsidRPr="00F64CEF" w:rsidRDefault="00141598" w:rsidP="005E28CA">
            <w:pPr>
              <w:spacing w:after="120"/>
              <w:rPr>
                <w:rFonts w:cs="Arial"/>
                <w:szCs w:val="20"/>
              </w:rPr>
            </w:pPr>
            <w:r>
              <w:rPr>
                <w:rFonts w:cs="Arial"/>
                <w:szCs w:val="20"/>
              </w:rPr>
              <w:t xml:space="preserve">We do agree that </w:t>
            </w:r>
            <w:r w:rsidRPr="00775AAF">
              <w:rPr>
                <w:rFonts w:cstheme="minorHAnsi"/>
                <w:szCs w:val="21"/>
              </w:rPr>
              <w:t xml:space="preserve">ownership by local stakeholders </w:t>
            </w:r>
            <w:r w:rsidR="005E28CA">
              <w:rPr>
                <w:rFonts w:cstheme="minorHAnsi"/>
                <w:szCs w:val="21"/>
              </w:rPr>
              <w:t>is</w:t>
            </w:r>
            <w:r w:rsidR="005E28CA" w:rsidRPr="00775AAF">
              <w:rPr>
                <w:rFonts w:cstheme="minorHAnsi"/>
                <w:szCs w:val="21"/>
              </w:rPr>
              <w:t xml:space="preserve"> </w:t>
            </w:r>
            <w:r w:rsidRPr="00775AAF">
              <w:rPr>
                <w:rFonts w:cstheme="minorHAnsi"/>
                <w:szCs w:val="21"/>
              </w:rPr>
              <w:t>crucial in effective capacity development</w:t>
            </w:r>
            <w:r>
              <w:rPr>
                <w:rFonts w:cstheme="minorHAnsi"/>
                <w:szCs w:val="21"/>
              </w:rPr>
              <w:t xml:space="preserve">, and therefore even greater partnership with </w:t>
            </w:r>
            <w:r w:rsidR="005E28CA">
              <w:rPr>
                <w:rFonts w:cstheme="minorHAnsi"/>
                <w:szCs w:val="21"/>
              </w:rPr>
              <w:t xml:space="preserve">GoPNG and other PNG organisations </w:t>
            </w:r>
            <w:r>
              <w:rPr>
                <w:rFonts w:cstheme="minorHAnsi"/>
                <w:szCs w:val="21"/>
              </w:rPr>
              <w:t xml:space="preserve">would be beneficial. </w:t>
            </w:r>
          </w:p>
        </w:tc>
        <w:tc>
          <w:tcPr>
            <w:tcW w:w="3969" w:type="dxa"/>
            <w:tcBorders>
              <w:left w:val="single" w:sz="4" w:space="0" w:color="auto"/>
            </w:tcBorders>
            <w:shd w:val="clear" w:color="auto" w:fill="auto"/>
          </w:tcPr>
          <w:p w14:paraId="43310FF2" w14:textId="77777777" w:rsidR="00141598" w:rsidRDefault="00141598" w:rsidP="008E02EF">
            <w:pPr>
              <w:spacing w:after="120"/>
            </w:pPr>
          </w:p>
          <w:p w14:paraId="43310FF3" w14:textId="77777777" w:rsidR="00141598" w:rsidRDefault="00141598" w:rsidP="008E02EF">
            <w:pPr>
              <w:spacing w:after="120"/>
            </w:pPr>
            <w:r w:rsidRPr="00F64CEF">
              <w:t>Aust</w:t>
            </w:r>
            <w:r>
              <w:t>ralia will continue to work in p</w:t>
            </w:r>
            <w:r w:rsidRPr="00F64CEF">
              <w:t xml:space="preserve">artnership with PNG in developing shared priorities and strategies for tackling difficult issues.  </w:t>
            </w:r>
          </w:p>
          <w:p w14:paraId="43310FF4" w14:textId="77777777" w:rsidR="00141598" w:rsidRDefault="00141598" w:rsidP="008E02EF">
            <w:pPr>
              <w:spacing w:after="120"/>
            </w:pPr>
          </w:p>
          <w:p w14:paraId="43310FF5" w14:textId="77777777" w:rsidR="00141598" w:rsidRPr="00F64CEF" w:rsidRDefault="00141598" w:rsidP="008E02EF">
            <w:pPr>
              <w:spacing w:after="120"/>
            </w:pPr>
          </w:p>
        </w:tc>
        <w:tc>
          <w:tcPr>
            <w:tcW w:w="1666" w:type="dxa"/>
            <w:tcBorders>
              <w:left w:val="single" w:sz="4" w:space="0" w:color="auto"/>
            </w:tcBorders>
            <w:shd w:val="clear" w:color="auto" w:fill="auto"/>
          </w:tcPr>
          <w:p w14:paraId="43310FF6" w14:textId="77777777" w:rsidR="00141598" w:rsidRDefault="00141598" w:rsidP="008E02EF">
            <w:pPr>
              <w:spacing w:after="120"/>
            </w:pPr>
          </w:p>
          <w:p w14:paraId="43310FF7" w14:textId="77777777" w:rsidR="00141598" w:rsidRPr="00980B21" w:rsidRDefault="00434032" w:rsidP="00C42B78">
            <w:pPr>
              <w:spacing w:after="120"/>
            </w:pPr>
            <w:r w:rsidRPr="00980B21">
              <w:t>Australia</w:t>
            </w:r>
            <w:r>
              <w:t>n Government agencies, working with the Government of PNG.</w:t>
            </w:r>
          </w:p>
        </w:tc>
      </w:tr>
      <w:tr w:rsidR="00141598" w:rsidRPr="00205358" w14:paraId="43310FFB" w14:textId="77777777" w:rsidTr="008E02EF">
        <w:trPr>
          <w:cantSplit/>
          <w:trHeight w:val="885"/>
        </w:trPr>
        <w:tc>
          <w:tcPr>
            <w:tcW w:w="9854" w:type="dxa"/>
            <w:gridSpan w:val="3"/>
            <w:shd w:val="clear" w:color="auto" w:fill="F2F2F2" w:themeFill="background1" w:themeFillShade="F2"/>
          </w:tcPr>
          <w:p w14:paraId="43310FF9" w14:textId="77777777" w:rsidR="00141598" w:rsidRPr="00980B21" w:rsidRDefault="00141598" w:rsidP="008E02EF">
            <w:pPr>
              <w:spacing w:after="120"/>
              <w:rPr>
                <w:b/>
              </w:rPr>
            </w:pPr>
            <w:r w:rsidRPr="00980B21">
              <w:rPr>
                <w:b/>
              </w:rPr>
              <w:t>Recommendation 5</w:t>
            </w:r>
          </w:p>
          <w:p w14:paraId="43310FFA" w14:textId="77777777" w:rsidR="00141598" w:rsidRPr="00980B21" w:rsidRDefault="00141598" w:rsidP="008E02EF">
            <w:pPr>
              <w:spacing w:after="120"/>
            </w:pPr>
            <w:r w:rsidRPr="00980B21">
              <w:t>Any future Australian assistance to PNGEC should focus mainly on strengthening election delivery capacity.</w:t>
            </w:r>
          </w:p>
        </w:tc>
      </w:tr>
      <w:tr w:rsidR="00141598" w:rsidRPr="00205358" w14:paraId="43311007" w14:textId="77777777" w:rsidTr="008E02EF">
        <w:trPr>
          <w:cantSplit/>
          <w:trHeight w:val="885"/>
        </w:trPr>
        <w:tc>
          <w:tcPr>
            <w:tcW w:w="4219" w:type="dxa"/>
            <w:tcBorders>
              <w:right w:val="single" w:sz="4" w:space="0" w:color="auto"/>
            </w:tcBorders>
            <w:shd w:val="clear" w:color="auto" w:fill="auto"/>
          </w:tcPr>
          <w:p w14:paraId="43310FFC" w14:textId="77777777" w:rsidR="00141598" w:rsidRPr="005E0718" w:rsidRDefault="00141598" w:rsidP="008E02EF">
            <w:pPr>
              <w:spacing w:after="120"/>
              <w:rPr>
                <w:rFonts w:cs="Arial"/>
                <w:b/>
                <w:szCs w:val="20"/>
              </w:rPr>
            </w:pPr>
            <w:r w:rsidRPr="005E0718">
              <w:rPr>
                <w:rFonts w:cs="Arial"/>
                <w:b/>
                <w:szCs w:val="20"/>
              </w:rPr>
              <w:t>Agree</w:t>
            </w:r>
            <w:r>
              <w:rPr>
                <w:rFonts w:cs="Arial"/>
                <w:b/>
                <w:szCs w:val="20"/>
              </w:rPr>
              <w:t>d</w:t>
            </w:r>
            <w:r w:rsidRPr="005E0718">
              <w:rPr>
                <w:rFonts w:cs="Arial"/>
                <w:b/>
                <w:szCs w:val="20"/>
              </w:rPr>
              <w:t xml:space="preserve"> in-principle</w:t>
            </w:r>
          </w:p>
          <w:p w14:paraId="43310FFD" w14:textId="77777777" w:rsidR="00141598" w:rsidRPr="00F64CEF" w:rsidRDefault="00141598" w:rsidP="008E02EF">
            <w:pPr>
              <w:spacing w:after="120"/>
              <w:rPr>
                <w:rFonts w:cs="Arial"/>
                <w:szCs w:val="20"/>
              </w:rPr>
            </w:pPr>
            <w:r>
              <w:rPr>
                <w:rFonts w:cs="Arial"/>
                <w:szCs w:val="20"/>
              </w:rPr>
              <w:t>We a</w:t>
            </w:r>
            <w:r w:rsidRPr="00F64CEF">
              <w:rPr>
                <w:rFonts w:cs="Arial"/>
                <w:szCs w:val="20"/>
              </w:rPr>
              <w:t xml:space="preserve">gree that </w:t>
            </w:r>
            <w:r w:rsidR="009D7D3C">
              <w:rPr>
                <w:rFonts w:cs="Arial"/>
                <w:szCs w:val="20"/>
              </w:rPr>
              <w:t>it is important that PNGEC has adequate election delivery capacity.</w:t>
            </w:r>
          </w:p>
          <w:p w14:paraId="43310FFE" w14:textId="77777777" w:rsidR="00141598" w:rsidRDefault="00141598" w:rsidP="008E02EF">
            <w:pPr>
              <w:spacing w:after="120"/>
              <w:rPr>
                <w:rFonts w:cs="Arial"/>
                <w:szCs w:val="20"/>
              </w:rPr>
            </w:pPr>
            <w:r>
              <w:rPr>
                <w:rFonts w:cs="Arial"/>
                <w:szCs w:val="20"/>
              </w:rPr>
              <w:t>We understand</w:t>
            </w:r>
            <w:r w:rsidRPr="00F64CEF">
              <w:rPr>
                <w:rFonts w:cs="Arial"/>
                <w:szCs w:val="20"/>
              </w:rPr>
              <w:t xml:space="preserve"> that much of election planning and delivery is managed at the provincial level. </w:t>
            </w:r>
            <w:r w:rsidR="006F09F8">
              <w:rPr>
                <w:rFonts w:cs="Arial"/>
                <w:szCs w:val="20"/>
              </w:rPr>
              <w:t>DFAT</w:t>
            </w:r>
            <w:r w:rsidRPr="00F64CEF">
              <w:rPr>
                <w:rFonts w:cs="Arial"/>
                <w:szCs w:val="20"/>
              </w:rPr>
              <w:t xml:space="preserve">’s support </w:t>
            </w:r>
            <w:r>
              <w:rPr>
                <w:rFonts w:cs="Arial"/>
                <w:szCs w:val="20"/>
              </w:rPr>
              <w:t xml:space="preserve">at this level of government, including for </w:t>
            </w:r>
            <w:r w:rsidRPr="00F64CEF">
              <w:rPr>
                <w:rFonts w:cs="Arial"/>
                <w:szCs w:val="20"/>
              </w:rPr>
              <w:t>Assistant Election Managers and regional accountants</w:t>
            </w:r>
            <w:r>
              <w:rPr>
                <w:rFonts w:cs="Arial"/>
                <w:szCs w:val="20"/>
              </w:rPr>
              <w:t>,</w:t>
            </w:r>
            <w:r w:rsidRPr="00F64CEF">
              <w:rPr>
                <w:rFonts w:cs="Arial"/>
                <w:szCs w:val="20"/>
              </w:rPr>
              <w:t xml:space="preserve"> reflects this understanding. However, we note that there are challenges and</w:t>
            </w:r>
            <w:r>
              <w:rPr>
                <w:rFonts w:cs="Arial"/>
                <w:szCs w:val="20"/>
              </w:rPr>
              <w:t xml:space="preserve"> limitations in working at the provincial level. For example, </w:t>
            </w:r>
            <w:r w:rsidRPr="00F64CEF">
              <w:rPr>
                <w:rFonts w:cs="Arial"/>
                <w:szCs w:val="20"/>
              </w:rPr>
              <w:t xml:space="preserve">provincial </w:t>
            </w:r>
            <w:r>
              <w:rPr>
                <w:rFonts w:cs="Arial"/>
                <w:szCs w:val="20"/>
              </w:rPr>
              <w:t xml:space="preserve">election </w:t>
            </w:r>
            <w:r w:rsidRPr="00F64CEF">
              <w:rPr>
                <w:rFonts w:cs="Arial"/>
                <w:szCs w:val="20"/>
              </w:rPr>
              <w:t>offices have very f</w:t>
            </w:r>
            <w:r>
              <w:rPr>
                <w:rFonts w:cs="Arial"/>
                <w:szCs w:val="20"/>
              </w:rPr>
              <w:t xml:space="preserve">ew staff in non-election years, leading to obvious challenges in areas such as capacity building. </w:t>
            </w:r>
            <w:r w:rsidRPr="00F64CEF">
              <w:rPr>
                <w:rFonts w:cs="Arial"/>
                <w:szCs w:val="20"/>
              </w:rPr>
              <w:t xml:space="preserve"> </w:t>
            </w:r>
          </w:p>
          <w:p w14:paraId="43310FFF" w14:textId="77777777" w:rsidR="00141598" w:rsidRPr="00F64CEF" w:rsidRDefault="00141598" w:rsidP="008E02EF">
            <w:pPr>
              <w:spacing w:after="120"/>
              <w:rPr>
                <w:rFonts w:cs="Arial"/>
                <w:szCs w:val="20"/>
              </w:rPr>
            </w:pPr>
            <w:r>
              <w:rPr>
                <w:rFonts w:cs="Arial"/>
                <w:szCs w:val="20"/>
              </w:rPr>
              <w:t xml:space="preserve">We agree that there would be value in drawing </w:t>
            </w:r>
            <w:r w:rsidRPr="00775AAF">
              <w:rPr>
                <w:rFonts w:cstheme="minorHAnsi"/>
                <w:color w:val="000000" w:themeColor="text1"/>
                <w:szCs w:val="21"/>
              </w:rPr>
              <w:t xml:space="preserve">on regional and international </w:t>
            </w:r>
            <w:r>
              <w:rPr>
                <w:rFonts w:cstheme="minorHAnsi"/>
                <w:color w:val="000000" w:themeColor="text1"/>
                <w:szCs w:val="21"/>
              </w:rPr>
              <w:t xml:space="preserve">best </w:t>
            </w:r>
            <w:r w:rsidRPr="00775AAF">
              <w:rPr>
                <w:rFonts w:cstheme="minorHAnsi"/>
                <w:color w:val="000000" w:themeColor="text1"/>
                <w:szCs w:val="21"/>
              </w:rPr>
              <w:t>practice</w:t>
            </w:r>
            <w:r>
              <w:rPr>
                <w:rFonts w:cstheme="minorHAnsi"/>
                <w:color w:val="000000" w:themeColor="text1"/>
                <w:szCs w:val="21"/>
              </w:rPr>
              <w:t xml:space="preserve"> models and expertise. </w:t>
            </w:r>
          </w:p>
        </w:tc>
        <w:tc>
          <w:tcPr>
            <w:tcW w:w="3969" w:type="dxa"/>
            <w:tcBorders>
              <w:left w:val="single" w:sz="4" w:space="0" w:color="auto"/>
            </w:tcBorders>
            <w:shd w:val="clear" w:color="auto" w:fill="auto"/>
          </w:tcPr>
          <w:p w14:paraId="43311000" w14:textId="77777777" w:rsidR="00141598" w:rsidRPr="00F64CEF" w:rsidRDefault="00141598" w:rsidP="008E02EF">
            <w:pPr>
              <w:spacing w:after="120"/>
            </w:pPr>
            <w:r w:rsidRPr="00F64CEF">
              <w:t>Analysis conducted through the design proce</w:t>
            </w:r>
            <w:r w:rsidR="009D7D3C">
              <w:t xml:space="preserve">ss will examine how to most effectively </w:t>
            </w:r>
            <w:r w:rsidRPr="00F64CEF">
              <w:t>strengthen PNGEC’s election</w:t>
            </w:r>
            <w:r w:rsidR="009D7D3C">
              <w:t xml:space="preserve"> delivery capacity</w:t>
            </w:r>
            <w:r w:rsidRPr="00F64CEF">
              <w:t xml:space="preserve">. Any </w:t>
            </w:r>
            <w:r w:rsidR="009D7D3C">
              <w:t xml:space="preserve">future </w:t>
            </w:r>
            <w:r w:rsidRPr="00F64CEF">
              <w:t xml:space="preserve">support provided to the PNGEC will have improved election delivery as </w:t>
            </w:r>
            <w:r w:rsidR="00632E9D">
              <w:t>a</w:t>
            </w:r>
            <w:r w:rsidRPr="00F64CEF">
              <w:t xml:space="preserve"> primary objective. </w:t>
            </w:r>
          </w:p>
          <w:p w14:paraId="43311001" w14:textId="77777777" w:rsidR="00141598" w:rsidRPr="002B26D3" w:rsidRDefault="006F09F8" w:rsidP="008E02EF">
            <w:pPr>
              <w:spacing w:after="120"/>
            </w:pPr>
            <w:r>
              <w:t>DFAT</w:t>
            </w:r>
            <w:r w:rsidR="00141598" w:rsidRPr="00F64CEF">
              <w:t xml:space="preserve"> will consider what support can realistically be provided at the provincial </w:t>
            </w:r>
            <w:r w:rsidR="00141598" w:rsidRPr="002B26D3">
              <w:t xml:space="preserve">level through the process of design of future support. </w:t>
            </w:r>
          </w:p>
          <w:p w14:paraId="43311002" w14:textId="77777777" w:rsidR="00632E9D" w:rsidRDefault="00632E9D" w:rsidP="008E02EF">
            <w:pPr>
              <w:spacing w:before="0"/>
            </w:pPr>
          </w:p>
          <w:p w14:paraId="43311003" w14:textId="77777777" w:rsidR="00632E9D" w:rsidRDefault="00632E9D" w:rsidP="008E02EF">
            <w:pPr>
              <w:spacing w:before="0"/>
            </w:pPr>
            <w:r>
              <w:t xml:space="preserve">Consistent with Recommendation </w:t>
            </w:r>
            <w:r w:rsidR="00332CA2">
              <w:t>2</w:t>
            </w:r>
            <w:r>
              <w:t>, future support will also look at areas outside PNGEC crucial for election delivery.</w:t>
            </w:r>
          </w:p>
          <w:p w14:paraId="43311004" w14:textId="77777777" w:rsidR="00632E9D" w:rsidRDefault="00632E9D" w:rsidP="008E02EF">
            <w:pPr>
              <w:spacing w:before="0"/>
            </w:pPr>
          </w:p>
          <w:p w14:paraId="43311005" w14:textId="77777777" w:rsidR="00141598" w:rsidRPr="002B26D3" w:rsidRDefault="00141598" w:rsidP="00632E9D">
            <w:pPr>
              <w:spacing w:before="0"/>
              <w:rPr>
                <w:i/>
              </w:rPr>
            </w:pPr>
            <w:r w:rsidRPr="002B26D3">
              <w:t xml:space="preserve">Through the process, </w:t>
            </w:r>
            <w:r w:rsidR="006F09F8">
              <w:t>DFAT</w:t>
            </w:r>
            <w:r w:rsidRPr="002B26D3">
              <w:t xml:space="preserve"> will also consider working with additional partners outside of PNG, including exploring the possibility of drawing on c</w:t>
            </w:r>
            <w:r w:rsidR="00632E9D">
              <w:t>redible international expertise.</w:t>
            </w:r>
          </w:p>
        </w:tc>
        <w:tc>
          <w:tcPr>
            <w:tcW w:w="1666" w:type="dxa"/>
            <w:tcBorders>
              <w:left w:val="single" w:sz="4" w:space="0" w:color="auto"/>
            </w:tcBorders>
            <w:shd w:val="clear" w:color="auto" w:fill="auto"/>
          </w:tcPr>
          <w:p w14:paraId="43311006" w14:textId="77777777" w:rsidR="00141598" w:rsidRPr="00980B21" w:rsidRDefault="006F09F8" w:rsidP="00776E15">
            <w:pPr>
              <w:spacing w:after="120"/>
            </w:pPr>
            <w:r>
              <w:t>DFAT</w:t>
            </w:r>
            <w:r w:rsidR="00141598" w:rsidRPr="00980B21">
              <w:t xml:space="preserve"> </w:t>
            </w:r>
            <w:r w:rsidR="00776E15">
              <w:t>in consultation with</w:t>
            </w:r>
            <w:r w:rsidR="00141598" w:rsidRPr="00980B21">
              <w:t xml:space="preserve"> AEC</w:t>
            </w:r>
          </w:p>
        </w:tc>
      </w:tr>
      <w:tr w:rsidR="00141598" w:rsidRPr="00205358" w14:paraId="4331100A" w14:textId="77777777" w:rsidTr="008E02EF">
        <w:trPr>
          <w:cantSplit/>
          <w:trHeight w:val="885"/>
        </w:trPr>
        <w:tc>
          <w:tcPr>
            <w:tcW w:w="9854" w:type="dxa"/>
            <w:gridSpan w:val="3"/>
            <w:shd w:val="clear" w:color="auto" w:fill="F2F2F2" w:themeFill="background1" w:themeFillShade="F2"/>
          </w:tcPr>
          <w:p w14:paraId="43311008" w14:textId="77777777" w:rsidR="00141598" w:rsidRPr="00980B21" w:rsidRDefault="00141598" w:rsidP="008E02EF">
            <w:pPr>
              <w:spacing w:after="120"/>
              <w:rPr>
                <w:b/>
              </w:rPr>
            </w:pPr>
            <w:r w:rsidRPr="00980B21">
              <w:rPr>
                <w:b/>
              </w:rPr>
              <w:t>Recommendation 6</w:t>
            </w:r>
          </w:p>
          <w:p w14:paraId="43311009" w14:textId="77777777" w:rsidR="00141598" w:rsidRPr="00980B21" w:rsidRDefault="00141598" w:rsidP="008E02EF">
            <w:pPr>
              <w:spacing w:after="120"/>
            </w:pPr>
            <w:r w:rsidRPr="00980B21">
              <w:t xml:space="preserve">PNGEC’s proposed diagnostic review of capacity provides </w:t>
            </w:r>
            <w:r w:rsidR="006F09F8">
              <w:t>DFAT</w:t>
            </w:r>
            <w:r w:rsidRPr="00980B21">
              <w:t xml:space="preserve"> with an opportunity to discuss options for capacity development</w:t>
            </w:r>
          </w:p>
        </w:tc>
      </w:tr>
      <w:tr w:rsidR="00141598" w:rsidRPr="00205358" w14:paraId="43311010" w14:textId="77777777" w:rsidTr="008E02EF">
        <w:trPr>
          <w:cantSplit/>
          <w:trHeight w:val="885"/>
        </w:trPr>
        <w:tc>
          <w:tcPr>
            <w:tcW w:w="4219" w:type="dxa"/>
            <w:tcBorders>
              <w:right w:val="single" w:sz="4" w:space="0" w:color="auto"/>
            </w:tcBorders>
            <w:shd w:val="clear" w:color="auto" w:fill="auto"/>
          </w:tcPr>
          <w:p w14:paraId="4331100B" w14:textId="77777777" w:rsidR="00141598" w:rsidRPr="005E0718" w:rsidRDefault="00141598" w:rsidP="008E02EF">
            <w:pPr>
              <w:spacing w:after="120"/>
              <w:rPr>
                <w:rFonts w:cs="Arial"/>
                <w:b/>
                <w:szCs w:val="20"/>
                <w:lang w:eastAsia="en-AU"/>
              </w:rPr>
            </w:pPr>
            <w:r w:rsidRPr="005E0718">
              <w:rPr>
                <w:rFonts w:cs="Arial"/>
                <w:b/>
                <w:szCs w:val="20"/>
                <w:lang w:eastAsia="en-AU"/>
              </w:rPr>
              <w:t>Agree</w:t>
            </w:r>
            <w:r>
              <w:rPr>
                <w:rFonts w:cs="Arial"/>
                <w:b/>
                <w:szCs w:val="20"/>
                <w:lang w:eastAsia="en-AU"/>
              </w:rPr>
              <w:t>d</w:t>
            </w:r>
          </w:p>
          <w:p w14:paraId="4331100C" w14:textId="77777777" w:rsidR="00141598" w:rsidRPr="002B26D3" w:rsidRDefault="00141598" w:rsidP="008E02EF">
            <w:pPr>
              <w:spacing w:after="120"/>
              <w:rPr>
                <w:rFonts w:cs="Arial"/>
                <w:szCs w:val="20"/>
              </w:rPr>
            </w:pPr>
            <w:r>
              <w:rPr>
                <w:rFonts w:cs="Arial"/>
                <w:szCs w:val="20"/>
              </w:rPr>
              <w:t>It is agreed that a</w:t>
            </w:r>
            <w:r w:rsidRPr="002B26D3">
              <w:rPr>
                <w:rFonts w:cs="Arial"/>
                <w:szCs w:val="20"/>
              </w:rPr>
              <w:t xml:space="preserve"> diagnostic review of capacity </w:t>
            </w:r>
            <w:r>
              <w:rPr>
                <w:rFonts w:cs="Arial"/>
                <w:szCs w:val="20"/>
              </w:rPr>
              <w:t>will be useful in ensuring</w:t>
            </w:r>
            <w:r w:rsidRPr="002B26D3">
              <w:rPr>
                <w:rFonts w:cs="Arial"/>
                <w:szCs w:val="20"/>
              </w:rPr>
              <w:t xml:space="preserve"> support to the PNGEC is best targeted to achieve results. </w:t>
            </w:r>
          </w:p>
        </w:tc>
        <w:tc>
          <w:tcPr>
            <w:tcW w:w="3969" w:type="dxa"/>
            <w:tcBorders>
              <w:left w:val="single" w:sz="4" w:space="0" w:color="auto"/>
            </w:tcBorders>
            <w:shd w:val="clear" w:color="auto" w:fill="auto"/>
          </w:tcPr>
          <w:p w14:paraId="4331100D" w14:textId="77777777" w:rsidR="00141598" w:rsidRDefault="005E28CA" w:rsidP="00627FC4">
            <w:pPr>
              <w:spacing w:after="120"/>
              <w:rPr>
                <w:rFonts w:cs="Arial"/>
                <w:szCs w:val="20"/>
              </w:rPr>
            </w:pPr>
            <w:r>
              <w:rPr>
                <w:rFonts w:cs="Arial"/>
                <w:szCs w:val="20"/>
              </w:rPr>
              <w:t>E</w:t>
            </w:r>
            <w:r w:rsidRPr="005E0718">
              <w:rPr>
                <w:rFonts w:cs="Arial"/>
                <w:szCs w:val="20"/>
              </w:rPr>
              <w:t xml:space="preserve">lectoral </w:t>
            </w:r>
            <w:r w:rsidR="008E02EF" w:rsidRPr="005E0718">
              <w:rPr>
                <w:rFonts w:cs="Arial"/>
                <w:szCs w:val="20"/>
              </w:rPr>
              <w:t xml:space="preserve">management specialists </w:t>
            </w:r>
            <w:r w:rsidR="00FE4E15">
              <w:rPr>
                <w:rFonts w:cs="Arial"/>
                <w:szCs w:val="20"/>
              </w:rPr>
              <w:t xml:space="preserve">have </w:t>
            </w:r>
            <w:r>
              <w:rPr>
                <w:rFonts w:cs="Arial"/>
                <w:szCs w:val="20"/>
              </w:rPr>
              <w:t xml:space="preserve">already </w:t>
            </w:r>
            <w:r w:rsidR="00FE4E15">
              <w:rPr>
                <w:rFonts w:cs="Arial"/>
                <w:szCs w:val="20"/>
              </w:rPr>
              <w:t>been engaged</w:t>
            </w:r>
            <w:r w:rsidR="008E02EF" w:rsidRPr="005E0718">
              <w:rPr>
                <w:rFonts w:cs="Arial"/>
                <w:szCs w:val="20"/>
              </w:rPr>
              <w:t xml:space="preserve"> to assist with a diagnostic review of PNGEC capacity.</w:t>
            </w:r>
          </w:p>
          <w:p w14:paraId="4331100E" w14:textId="77777777" w:rsidR="00627FC4" w:rsidRPr="007F27E9" w:rsidRDefault="00627FC4" w:rsidP="00627FC4">
            <w:pPr>
              <w:spacing w:after="120"/>
              <w:rPr>
                <w:rFonts w:cs="Arial"/>
                <w:szCs w:val="20"/>
              </w:rPr>
            </w:pPr>
            <w:r>
              <w:rPr>
                <w:rFonts w:cs="Arial"/>
                <w:szCs w:val="20"/>
              </w:rPr>
              <w:t xml:space="preserve">These findings will help PNGEC and </w:t>
            </w:r>
            <w:r w:rsidR="006F09F8">
              <w:rPr>
                <w:rFonts w:cs="Arial"/>
                <w:szCs w:val="20"/>
              </w:rPr>
              <w:t>DFAT</w:t>
            </w:r>
            <w:r>
              <w:rPr>
                <w:rFonts w:cs="Arial"/>
                <w:szCs w:val="20"/>
              </w:rPr>
              <w:t xml:space="preserve"> shape future support to PNG elections.</w:t>
            </w:r>
          </w:p>
        </w:tc>
        <w:tc>
          <w:tcPr>
            <w:tcW w:w="1666" w:type="dxa"/>
            <w:tcBorders>
              <w:left w:val="single" w:sz="4" w:space="0" w:color="auto"/>
            </w:tcBorders>
            <w:shd w:val="clear" w:color="auto" w:fill="auto"/>
          </w:tcPr>
          <w:p w14:paraId="4331100F" w14:textId="77777777" w:rsidR="00141598" w:rsidRPr="005E0718" w:rsidRDefault="006F09F8" w:rsidP="008E02EF">
            <w:pPr>
              <w:spacing w:after="120"/>
              <w:rPr>
                <w:rFonts w:cs="Arial"/>
                <w:szCs w:val="20"/>
              </w:rPr>
            </w:pPr>
            <w:r>
              <w:rPr>
                <w:rFonts w:cs="Arial"/>
                <w:szCs w:val="20"/>
              </w:rPr>
              <w:t>DFAT</w:t>
            </w:r>
            <w:r w:rsidR="00AF1317">
              <w:rPr>
                <w:rFonts w:cs="Arial"/>
                <w:szCs w:val="20"/>
              </w:rPr>
              <w:t>, in partnership with the PNGEC</w:t>
            </w:r>
          </w:p>
        </w:tc>
      </w:tr>
    </w:tbl>
    <w:p w14:paraId="43311011" w14:textId="77777777" w:rsidR="00141598" w:rsidRDefault="00141598" w:rsidP="00141598">
      <w:pPr>
        <w:rPr>
          <w:rFonts w:cs="Arial"/>
        </w:rPr>
      </w:pPr>
    </w:p>
    <w:sectPr w:rsidR="00141598" w:rsidSect="008E02EF">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567" w:footer="6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11014" w14:textId="77777777" w:rsidR="00582087" w:rsidRDefault="00582087">
      <w:pPr>
        <w:spacing w:before="0"/>
      </w:pPr>
      <w:r>
        <w:separator/>
      </w:r>
    </w:p>
  </w:endnote>
  <w:endnote w:type="continuationSeparator" w:id="0">
    <w:p w14:paraId="43311015" w14:textId="77777777" w:rsidR="00582087" w:rsidRDefault="0058208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58182" w14:textId="77777777" w:rsidR="009D65B6" w:rsidRDefault="009D65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11017" w14:textId="77777777" w:rsidR="00BB5D7F" w:rsidRPr="00AE52D5" w:rsidRDefault="00BB5D7F" w:rsidP="008E02EF">
    <w:pPr>
      <w:pStyle w:val="Footer"/>
      <w:pBdr>
        <w:top w:val="single" w:sz="4" w:space="7" w:color="333333"/>
      </w:pBdr>
      <w:tabs>
        <w:tab w:val="clear" w:pos="4153"/>
        <w:tab w:val="clear" w:pos="8306"/>
        <w:tab w:val="right" w:pos="9639"/>
      </w:tabs>
      <w:rPr>
        <w:rStyle w:val="PageNumber"/>
      </w:rPr>
    </w:pPr>
    <w:r w:rsidRPr="00AE52D5">
      <w:tab/>
      <w:t xml:space="preserve">page </w:t>
    </w:r>
    <w:r w:rsidRPr="00AE52D5">
      <w:rPr>
        <w:rStyle w:val="PageNumber"/>
      </w:rPr>
      <w:fldChar w:fldCharType="begin"/>
    </w:r>
    <w:r w:rsidRPr="00AE52D5">
      <w:rPr>
        <w:rStyle w:val="PageNumber"/>
      </w:rPr>
      <w:instrText xml:space="preserve"> PAGE </w:instrText>
    </w:r>
    <w:r w:rsidRPr="00AE52D5">
      <w:rPr>
        <w:rStyle w:val="PageNumber"/>
      </w:rPr>
      <w:fldChar w:fldCharType="separate"/>
    </w:r>
    <w:r w:rsidR="009D65B6">
      <w:rPr>
        <w:rStyle w:val="PageNumber"/>
        <w:noProof/>
      </w:rPr>
      <w:t>2</w:t>
    </w:r>
    <w:r w:rsidRPr="00AE52D5">
      <w:rPr>
        <w:rStyle w:val="PageNumber"/>
      </w:rPr>
      <w:fldChar w:fldCharType="end"/>
    </w:r>
    <w:r w:rsidRPr="00AE52D5">
      <w:rPr>
        <w:rStyle w:val="PageNumber"/>
      </w:rPr>
      <w:t xml:space="preserve"> of </w:t>
    </w:r>
    <w:r w:rsidRPr="00AE52D5">
      <w:rPr>
        <w:rStyle w:val="PageNumber"/>
      </w:rPr>
      <w:fldChar w:fldCharType="begin"/>
    </w:r>
    <w:r w:rsidRPr="00AE52D5">
      <w:rPr>
        <w:rStyle w:val="PageNumber"/>
      </w:rPr>
      <w:instrText xml:space="preserve"> NUMPAGES </w:instrText>
    </w:r>
    <w:r w:rsidRPr="00AE52D5">
      <w:rPr>
        <w:rStyle w:val="PageNumber"/>
      </w:rPr>
      <w:fldChar w:fldCharType="separate"/>
    </w:r>
    <w:r w:rsidR="009D65B6">
      <w:rPr>
        <w:rStyle w:val="PageNumber"/>
        <w:noProof/>
      </w:rPr>
      <w:t>4</w:t>
    </w:r>
    <w:r w:rsidRPr="00AE52D5">
      <w:rPr>
        <w:rStyle w:val="PageNumber"/>
      </w:rPr>
      <w:fldChar w:fldCharType="end"/>
    </w:r>
  </w:p>
  <w:p w14:paraId="43311018" w14:textId="77777777" w:rsidR="00BB5D7F" w:rsidRPr="00AE52D5" w:rsidRDefault="00BB5D7F" w:rsidP="008E02EF">
    <w:pPr>
      <w:pStyle w:val="Footer"/>
      <w:pBdr>
        <w:top w:val="single" w:sz="4" w:space="7" w:color="333333"/>
      </w:pBdr>
      <w:tabs>
        <w:tab w:val="clear" w:pos="4153"/>
        <w:tab w:val="clear" w:pos="8306"/>
        <w:tab w:val="right" w:pos="9639"/>
      </w:tabs>
    </w:pPr>
    <w:r w:rsidRPr="00AE52D5">
      <w:tab/>
    </w:r>
    <w:r w:rsidRPr="00AE52D5">
      <w:rPr>
        <w:rStyle w:val="PageNumber"/>
      </w:rPr>
      <w:t>UNCLASSIFIED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5C610" w14:textId="77777777" w:rsidR="009D65B6" w:rsidRDefault="009D6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11012" w14:textId="77777777" w:rsidR="00582087" w:rsidRDefault="00582087">
      <w:pPr>
        <w:spacing w:before="0"/>
      </w:pPr>
      <w:r>
        <w:separator/>
      </w:r>
    </w:p>
  </w:footnote>
  <w:footnote w:type="continuationSeparator" w:id="0">
    <w:p w14:paraId="43311013" w14:textId="77777777" w:rsidR="00582087" w:rsidRDefault="0058208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0702F" w14:textId="77777777" w:rsidR="009D65B6" w:rsidRDefault="009D65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11016" w14:textId="77777777" w:rsidR="00BB5D7F" w:rsidRPr="00077243" w:rsidRDefault="00BB5D7F" w:rsidP="008E02EF">
    <w:pPr>
      <w:pStyle w:val="Header"/>
      <w:jc w:val="center"/>
      <w:rPr>
        <w:caps/>
      </w:rPr>
    </w:pPr>
    <w:r w:rsidRPr="00077243">
      <w:rPr>
        <w:caps/>
      </w:rPr>
      <w:t>Unclassified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19874" w14:textId="77777777" w:rsidR="009D65B6" w:rsidRDefault="009D65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14729"/>
    <w:multiLevelType w:val="hybridMultilevel"/>
    <w:tmpl w:val="8C52CB1E"/>
    <w:lvl w:ilvl="0" w:tplc="8280D3A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598"/>
    <w:rsid w:val="00044D90"/>
    <w:rsid w:val="000705CC"/>
    <w:rsid w:val="000D3583"/>
    <w:rsid w:val="0012599F"/>
    <w:rsid w:val="00141598"/>
    <w:rsid w:val="00201622"/>
    <w:rsid w:val="0020234A"/>
    <w:rsid w:val="00231386"/>
    <w:rsid w:val="002612A8"/>
    <w:rsid w:val="002801A2"/>
    <w:rsid w:val="0029385F"/>
    <w:rsid w:val="002D3A98"/>
    <w:rsid w:val="00332CA2"/>
    <w:rsid w:val="00434032"/>
    <w:rsid w:val="004A783D"/>
    <w:rsid w:val="004B62D2"/>
    <w:rsid w:val="004B63DA"/>
    <w:rsid w:val="00522BA0"/>
    <w:rsid w:val="00577392"/>
    <w:rsid w:val="00582087"/>
    <w:rsid w:val="005E28CA"/>
    <w:rsid w:val="0061646D"/>
    <w:rsid w:val="00627FC4"/>
    <w:rsid w:val="00632E9D"/>
    <w:rsid w:val="006F09F8"/>
    <w:rsid w:val="00742DBB"/>
    <w:rsid w:val="00776E15"/>
    <w:rsid w:val="008A227E"/>
    <w:rsid w:val="008D7998"/>
    <w:rsid w:val="008E02EF"/>
    <w:rsid w:val="009330F2"/>
    <w:rsid w:val="00990B00"/>
    <w:rsid w:val="009D65B6"/>
    <w:rsid w:val="009D7D3C"/>
    <w:rsid w:val="00A6716B"/>
    <w:rsid w:val="00AC660C"/>
    <w:rsid w:val="00AF1317"/>
    <w:rsid w:val="00BB5D7F"/>
    <w:rsid w:val="00BF1993"/>
    <w:rsid w:val="00C11D14"/>
    <w:rsid w:val="00C418C5"/>
    <w:rsid w:val="00C42B78"/>
    <w:rsid w:val="00D14C3C"/>
    <w:rsid w:val="00D17BBE"/>
    <w:rsid w:val="00D351DB"/>
    <w:rsid w:val="00D721AB"/>
    <w:rsid w:val="00E561FE"/>
    <w:rsid w:val="00ED0B3C"/>
    <w:rsid w:val="00EF7784"/>
    <w:rsid w:val="00F017CA"/>
    <w:rsid w:val="00F02338"/>
    <w:rsid w:val="00F22293"/>
    <w:rsid w:val="00FC41EC"/>
    <w:rsid w:val="00FE4E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1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598"/>
    <w:pPr>
      <w:spacing w:before="120"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1415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141598"/>
    <w:pPr>
      <w:keepLines w:val="0"/>
      <w:spacing w:before="240" w:after="60"/>
      <w:outlineLvl w:val="1"/>
    </w:pPr>
    <w:rPr>
      <w:rFonts w:ascii="Arial" w:eastAsia="Times New Roman" w:hAnsi="Arial" w:cs="Arial"/>
      <w:bCs w:val="0"/>
      <w:iCs/>
      <w:color w:val="auto"/>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1598"/>
    <w:rPr>
      <w:rFonts w:ascii="Arial" w:eastAsia="Times New Roman" w:hAnsi="Arial" w:cs="Arial"/>
      <w:b/>
      <w:iCs/>
      <w:sz w:val="24"/>
      <w:lang w:eastAsia="en-AU"/>
    </w:rPr>
  </w:style>
  <w:style w:type="paragraph" w:customStyle="1" w:styleId="DocName">
    <w:name w:val="DocName"/>
    <w:basedOn w:val="Normal"/>
    <w:link w:val="DocNameChar"/>
    <w:rsid w:val="00141598"/>
    <w:pPr>
      <w:spacing w:before="0"/>
      <w:jc w:val="center"/>
    </w:pPr>
    <w:rPr>
      <w:b/>
      <w:bCs/>
      <w:sz w:val="28"/>
    </w:rPr>
  </w:style>
  <w:style w:type="paragraph" w:customStyle="1" w:styleId="Table-normal-text">
    <w:name w:val="Table-normal-text"/>
    <w:basedOn w:val="Normal"/>
    <w:rsid w:val="00141598"/>
    <w:pPr>
      <w:spacing w:before="60"/>
    </w:pPr>
  </w:style>
  <w:style w:type="paragraph" w:styleId="Header">
    <w:name w:val="header"/>
    <w:basedOn w:val="Normal"/>
    <w:link w:val="HeaderChar"/>
    <w:rsid w:val="00141598"/>
    <w:pPr>
      <w:tabs>
        <w:tab w:val="center" w:pos="4153"/>
        <w:tab w:val="right" w:pos="8306"/>
      </w:tabs>
    </w:pPr>
    <w:rPr>
      <w:sz w:val="16"/>
    </w:rPr>
  </w:style>
  <w:style w:type="character" w:customStyle="1" w:styleId="HeaderChar">
    <w:name w:val="Header Char"/>
    <w:basedOn w:val="DefaultParagraphFont"/>
    <w:link w:val="Header"/>
    <w:rsid w:val="00141598"/>
    <w:rPr>
      <w:rFonts w:ascii="Arial" w:eastAsia="Times New Roman" w:hAnsi="Arial" w:cs="Times New Roman"/>
      <w:sz w:val="16"/>
      <w:szCs w:val="24"/>
    </w:rPr>
  </w:style>
  <w:style w:type="paragraph" w:styleId="Footer">
    <w:name w:val="footer"/>
    <w:basedOn w:val="Normal"/>
    <w:link w:val="FooterChar"/>
    <w:rsid w:val="00141598"/>
    <w:pPr>
      <w:tabs>
        <w:tab w:val="center" w:pos="4153"/>
        <w:tab w:val="right" w:pos="8306"/>
      </w:tabs>
    </w:pPr>
    <w:rPr>
      <w:sz w:val="16"/>
    </w:rPr>
  </w:style>
  <w:style w:type="character" w:customStyle="1" w:styleId="FooterChar">
    <w:name w:val="Footer Char"/>
    <w:basedOn w:val="DefaultParagraphFont"/>
    <w:link w:val="Footer"/>
    <w:rsid w:val="00141598"/>
    <w:rPr>
      <w:rFonts w:ascii="Arial" w:eastAsia="Times New Roman" w:hAnsi="Arial" w:cs="Times New Roman"/>
      <w:sz w:val="16"/>
      <w:szCs w:val="24"/>
    </w:rPr>
  </w:style>
  <w:style w:type="character" w:styleId="PageNumber">
    <w:name w:val="page number"/>
    <w:rsid w:val="00141598"/>
    <w:rPr>
      <w:rFonts w:ascii="Arial" w:hAnsi="Arial"/>
      <w:sz w:val="16"/>
    </w:rPr>
  </w:style>
  <w:style w:type="character" w:customStyle="1" w:styleId="DocNameChar">
    <w:name w:val="DocName Char"/>
    <w:link w:val="DocName"/>
    <w:rsid w:val="00141598"/>
    <w:rPr>
      <w:rFonts w:ascii="Arial" w:eastAsia="Times New Roman" w:hAnsi="Arial" w:cs="Times New Roman"/>
      <w:b/>
      <w:bCs/>
      <w:sz w:val="28"/>
      <w:szCs w:val="24"/>
    </w:rPr>
  </w:style>
  <w:style w:type="character" w:customStyle="1" w:styleId="Heading1Char">
    <w:name w:val="Heading 1 Char"/>
    <w:basedOn w:val="DefaultParagraphFont"/>
    <w:link w:val="Heading1"/>
    <w:uiPriority w:val="9"/>
    <w:rsid w:val="00141598"/>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20234A"/>
    <w:rPr>
      <w:sz w:val="16"/>
      <w:szCs w:val="16"/>
    </w:rPr>
  </w:style>
  <w:style w:type="paragraph" w:styleId="CommentText">
    <w:name w:val="annotation text"/>
    <w:basedOn w:val="Normal"/>
    <w:link w:val="CommentTextChar"/>
    <w:uiPriority w:val="99"/>
    <w:semiHidden/>
    <w:unhideWhenUsed/>
    <w:rsid w:val="0020234A"/>
    <w:rPr>
      <w:szCs w:val="20"/>
    </w:rPr>
  </w:style>
  <w:style w:type="character" w:customStyle="1" w:styleId="CommentTextChar">
    <w:name w:val="Comment Text Char"/>
    <w:basedOn w:val="DefaultParagraphFont"/>
    <w:link w:val="CommentText"/>
    <w:uiPriority w:val="99"/>
    <w:semiHidden/>
    <w:rsid w:val="0020234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0234A"/>
    <w:rPr>
      <w:b/>
      <w:bCs/>
    </w:rPr>
  </w:style>
  <w:style w:type="character" w:customStyle="1" w:styleId="CommentSubjectChar">
    <w:name w:val="Comment Subject Char"/>
    <w:basedOn w:val="CommentTextChar"/>
    <w:link w:val="CommentSubject"/>
    <w:uiPriority w:val="99"/>
    <w:semiHidden/>
    <w:rsid w:val="0020234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0234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34A"/>
    <w:rPr>
      <w:rFonts w:ascii="Tahoma" w:eastAsia="Times New Roman" w:hAnsi="Tahoma" w:cs="Tahoma"/>
      <w:sz w:val="16"/>
      <w:szCs w:val="16"/>
    </w:rPr>
  </w:style>
  <w:style w:type="paragraph" w:styleId="ListParagraph">
    <w:name w:val="List Paragraph"/>
    <w:basedOn w:val="Normal"/>
    <w:uiPriority w:val="34"/>
    <w:qFormat/>
    <w:rsid w:val="002612A8"/>
    <w:pPr>
      <w:spacing w:before="0" w:after="180" w:line="192" w:lineRule="auto"/>
      <w:ind w:left="720"/>
      <w:contextualSpacing/>
    </w:pPr>
    <w:rPr>
      <w:rFonts w:asciiTheme="minorHAnsi" w:eastAsiaTheme="minorHAnsi" w:hAnsiTheme="minorHAnsi" w:cstheme="minorBid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598"/>
    <w:pPr>
      <w:spacing w:before="120"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1415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141598"/>
    <w:pPr>
      <w:keepLines w:val="0"/>
      <w:spacing w:before="240" w:after="60"/>
      <w:outlineLvl w:val="1"/>
    </w:pPr>
    <w:rPr>
      <w:rFonts w:ascii="Arial" w:eastAsia="Times New Roman" w:hAnsi="Arial" w:cs="Arial"/>
      <w:bCs w:val="0"/>
      <w:iCs/>
      <w:color w:val="auto"/>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1598"/>
    <w:rPr>
      <w:rFonts w:ascii="Arial" w:eastAsia="Times New Roman" w:hAnsi="Arial" w:cs="Arial"/>
      <w:b/>
      <w:iCs/>
      <w:sz w:val="24"/>
      <w:lang w:eastAsia="en-AU"/>
    </w:rPr>
  </w:style>
  <w:style w:type="paragraph" w:customStyle="1" w:styleId="DocName">
    <w:name w:val="DocName"/>
    <w:basedOn w:val="Normal"/>
    <w:link w:val="DocNameChar"/>
    <w:rsid w:val="00141598"/>
    <w:pPr>
      <w:spacing w:before="0"/>
      <w:jc w:val="center"/>
    </w:pPr>
    <w:rPr>
      <w:b/>
      <w:bCs/>
      <w:sz w:val="28"/>
    </w:rPr>
  </w:style>
  <w:style w:type="paragraph" w:customStyle="1" w:styleId="Table-normal-text">
    <w:name w:val="Table-normal-text"/>
    <w:basedOn w:val="Normal"/>
    <w:rsid w:val="00141598"/>
    <w:pPr>
      <w:spacing w:before="60"/>
    </w:pPr>
  </w:style>
  <w:style w:type="paragraph" w:styleId="Header">
    <w:name w:val="header"/>
    <w:basedOn w:val="Normal"/>
    <w:link w:val="HeaderChar"/>
    <w:rsid w:val="00141598"/>
    <w:pPr>
      <w:tabs>
        <w:tab w:val="center" w:pos="4153"/>
        <w:tab w:val="right" w:pos="8306"/>
      </w:tabs>
    </w:pPr>
    <w:rPr>
      <w:sz w:val="16"/>
    </w:rPr>
  </w:style>
  <w:style w:type="character" w:customStyle="1" w:styleId="HeaderChar">
    <w:name w:val="Header Char"/>
    <w:basedOn w:val="DefaultParagraphFont"/>
    <w:link w:val="Header"/>
    <w:rsid w:val="00141598"/>
    <w:rPr>
      <w:rFonts w:ascii="Arial" w:eastAsia="Times New Roman" w:hAnsi="Arial" w:cs="Times New Roman"/>
      <w:sz w:val="16"/>
      <w:szCs w:val="24"/>
    </w:rPr>
  </w:style>
  <w:style w:type="paragraph" w:styleId="Footer">
    <w:name w:val="footer"/>
    <w:basedOn w:val="Normal"/>
    <w:link w:val="FooterChar"/>
    <w:rsid w:val="00141598"/>
    <w:pPr>
      <w:tabs>
        <w:tab w:val="center" w:pos="4153"/>
        <w:tab w:val="right" w:pos="8306"/>
      </w:tabs>
    </w:pPr>
    <w:rPr>
      <w:sz w:val="16"/>
    </w:rPr>
  </w:style>
  <w:style w:type="character" w:customStyle="1" w:styleId="FooterChar">
    <w:name w:val="Footer Char"/>
    <w:basedOn w:val="DefaultParagraphFont"/>
    <w:link w:val="Footer"/>
    <w:rsid w:val="00141598"/>
    <w:rPr>
      <w:rFonts w:ascii="Arial" w:eastAsia="Times New Roman" w:hAnsi="Arial" w:cs="Times New Roman"/>
      <w:sz w:val="16"/>
      <w:szCs w:val="24"/>
    </w:rPr>
  </w:style>
  <w:style w:type="character" w:styleId="PageNumber">
    <w:name w:val="page number"/>
    <w:rsid w:val="00141598"/>
    <w:rPr>
      <w:rFonts w:ascii="Arial" w:hAnsi="Arial"/>
      <w:sz w:val="16"/>
    </w:rPr>
  </w:style>
  <w:style w:type="character" w:customStyle="1" w:styleId="DocNameChar">
    <w:name w:val="DocName Char"/>
    <w:link w:val="DocName"/>
    <w:rsid w:val="00141598"/>
    <w:rPr>
      <w:rFonts w:ascii="Arial" w:eastAsia="Times New Roman" w:hAnsi="Arial" w:cs="Times New Roman"/>
      <w:b/>
      <w:bCs/>
      <w:sz w:val="28"/>
      <w:szCs w:val="24"/>
    </w:rPr>
  </w:style>
  <w:style w:type="character" w:customStyle="1" w:styleId="Heading1Char">
    <w:name w:val="Heading 1 Char"/>
    <w:basedOn w:val="DefaultParagraphFont"/>
    <w:link w:val="Heading1"/>
    <w:uiPriority w:val="9"/>
    <w:rsid w:val="00141598"/>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20234A"/>
    <w:rPr>
      <w:sz w:val="16"/>
      <w:szCs w:val="16"/>
    </w:rPr>
  </w:style>
  <w:style w:type="paragraph" w:styleId="CommentText">
    <w:name w:val="annotation text"/>
    <w:basedOn w:val="Normal"/>
    <w:link w:val="CommentTextChar"/>
    <w:uiPriority w:val="99"/>
    <w:semiHidden/>
    <w:unhideWhenUsed/>
    <w:rsid w:val="0020234A"/>
    <w:rPr>
      <w:szCs w:val="20"/>
    </w:rPr>
  </w:style>
  <w:style w:type="character" w:customStyle="1" w:styleId="CommentTextChar">
    <w:name w:val="Comment Text Char"/>
    <w:basedOn w:val="DefaultParagraphFont"/>
    <w:link w:val="CommentText"/>
    <w:uiPriority w:val="99"/>
    <w:semiHidden/>
    <w:rsid w:val="0020234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0234A"/>
    <w:rPr>
      <w:b/>
      <w:bCs/>
    </w:rPr>
  </w:style>
  <w:style w:type="character" w:customStyle="1" w:styleId="CommentSubjectChar">
    <w:name w:val="Comment Subject Char"/>
    <w:basedOn w:val="CommentTextChar"/>
    <w:link w:val="CommentSubject"/>
    <w:uiPriority w:val="99"/>
    <w:semiHidden/>
    <w:rsid w:val="0020234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0234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34A"/>
    <w:rPr>
      <w:rFonts w:ascii="Tahoma" w:eastAsia="Times New Roman" w:hAnsi="Tahoma" w:cs="Tahoma"/>
      <w:sz w:val="16"/>
      <w:szCs w:val="16"/>
    </w:rPr>
  </w:style>
  <w:style w:type="paragraph" w:styleId="ListParagraph">
    <w:name w:val="List Paragraph"/>
    <w:basedOn w:val="Normal"/>
    <w:uiPriority w:val="34"/>
    <w:qFormat/>
    <w:rsid w:val="002612A8"/>
    <w:pPr>
      <w:spacing w:before="0" w:after="180" w:line="192"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B50C3-BD87-489D-95FC-1C53B7B7142E}"/>
</file>

<file path=customXml/itemProps2.xml><?xml version="1.0" encoding="utf-8"?>
<ds:datastoreItem xmlns:ds="http://schemas.openxmlformats.org/officeDocument/2006/customXml" ds:itemID="{BAE6EDBB-A800-4616-8D60-EE17052063B8}"/>
</file>

<file path=customXml/itemProps3.xml><?xml version="1.0" encoding="utf-8"?>
<ds:datastoreItem xmlns:ds="http://schemas.openxmlformats.org/officeDocument/2006/customXml" ds:itemID="{C3AB59A1-D830-410E-B305-29F2C28F0941}"/>
</file>

<file path=customXml/itemProps4.xml><?xml version="1.0" encoding="utf-8"?>
<ds:datastoreItem xmlns:ds="http://schemas.openxmlformats.org/officeDocument/2006/customXml" ds:itemID="{C3D4779A-5A53-429E-8FF3-EE1B9FC2D637}"/>
</file>

<file path=docProps/app.xml><?xml version="1.0" encoding="utf-8"?>
<Properties xmlns="http://schemas.openxmlformats.org/officeDocument/2006/extended-properties" xmlns:vt="http://schemas.openxmlformats.org/officeDocument/2006/docPropsVTypes">
  <Template>Normal.dotm</Template>
  <TotalTime>0</TotalTime>
  <Pages>4</Pages>
  <Words>1672</Words>
  <Characters>9398</Characters>
  <Application>Microsoft Office Word</Application>
  <DocSecurity>0</DocSecurity>
  <Lines>154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2013-12-12T00:12:00Z</dcterms:created>
  <dcterms:modified xsi:type="dcterms:W3CDTF">2013-12-12T00:12:00Z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16800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