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9201BE" w:rsidRDefault="0048616B">
      <w:pPr>
        <w:pStyle w:val="Title"/>
        <w:ind w:right="-702"/>
        <w:rPr>
          <w:color w:val="AD495D"/>
        </w:rPr>
      </w:pPr>
      <w:r>
        <w:rPr>
          <w:noProof/>
          <w:color w:val="AD495D"/>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198" name="Picture 1198"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ountry-region">
          <w:r w:rsidR="00D35AB3">
            <w:rPr>
              <w:color w:val="AD495D"/>
            </w:rPr>
            <w:t>Papua New Guinea</w:t>
          </w:r>
        </w:smartTag>
      </w:smartTag>
      <w:r w:rsidR="0035177E">
        <w:rPr>
          <w:color w:val="AD495D"/>
        </w:rPr>
        <w:t xml:space="preserve"> Development Cooperation Report 2010</w:t>
      </w:r>
    </w:p>
    <w:p w:rsidR="0094365B" w:rsidRPr="009201BE" w:rsidRDefault="005461FF">
      <w:pPr>
        <w:pStyle w:val="Date"/>
        <w:rPr>
          <w:color w:val="AD495D"/>
        </w:rPr>
      </w:pPr>
      <w:r>
        <w:rPr>
          <w:color w:val="AD495D"/>
        </w:rPr>
        <w:t xml:space="preserve">November </w:t>
      </w:r>
      <w:r w:rsidR="0035177E">
        <w:rPr>
          <w:color w:val="AD495D"/>
        </w:rPr>
        <w:t>2011</w:t>
      </w:r>
    </w:p>
    <w:p w:rsidR="00A31FD5" w:rsidRDefault="0048616B" w:rsidP="0048616B">
      <w:pPr>
        <w:pStyle w:val="TOCHeading"/>
        <w:spacing w:before="360"/>
      </w:pPr>
      <w:r>
        <w:br w:type="page"/>
      </w:r>
      <w:r w:rsidR="00A31FD5">
        <w:lastRenderedPageBreak/>
        <w:t>Table of Contents</w:t>
      </w:r>
    </w:p>
    <w:p w:rsidR="00A31FD5" w:rsidRDefault="00A31FD5">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1584105" w:history="1">
        <w:r w:rsidRPr="00997D6B">
          <w:rPr>
            <w:rStyle w:val="Hyperlink"/>
            <w:noProof/>
          </w:rPr>
          <w:t>Context</w:t>
        </w:r>
        <w:r>
          <w:rPr>
            <w:noProof/>
            <w:webHidden/>
          </w:rPr>
          <w:tab/>
        </w:r>
        <w:r>
          <w:rPr>
            <w:rStyle w:val="Hyperlink"/>
            <w:noProof/>
            <w:rtl/>
          </w:rPr>
          <w:fldChar w:fldCharType="begin"/>
        </w:r>
        <w:r>
          <w:rPr>
            <w:noProof/>
            <w:webHidden/>
          </w:rPr>
          <w:instrText xml:space="preserve"> PAGEREF _Toc361584105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A31FD5" w:rsidRDefault="009653BC">
      <w:pPr>
        <w:pStyle w:val="TOC1"/>
        <w:rPr>
          <w:rFonts w:ascii="Calibri" w:hAnsi="Calibri" w:cs="Arial"/>
          <w:noProof/>
          <w:color w:val="auto"/>
          <w:sz w:val="22"/>
          <w:szCs w:val="22"/>
          <w:lang w:val="en-US" w:eastAsia="en-US"/>
        </w:rPr>
      </w:pPr>
      <w:hyperlink w:anchor="_Toc361584106" w:history="1">
        <w:r w:rsidR="00A31FD5" w:rsidRPr="00997D6B">
          <w:rPr>
            <w:rStyle w:val="Hyperlink"/>
            <w:noProof/>
          </w:rPr>
          <w:t>Progress against objectives</w:t>
        </w:r>
        <w:r w:rsidR="00A31FD5">
          <w:rPr>
            <w:noProof/>
            <w:webHidden/>
          </w:rPr>
          <w:tab/>
        </w:r>
        <w:r w:rsidR="00A31FD5">
          <w:rPr>
            <w:rStyle w:val="Hyperlink"/>
            <w:noProof/>
            <w:rtl/>
          </w:rPr>
          <w:fldChar w:fldCharType="begin"/>
        </w:r>
        <w:r w:rsidR="00A31FD5">
          <w:rPr>
            <w:noProof/>
            <w:webHidden/>
          </w:rPr>
          <w:instrText xml:space="preserve"> PAGEREF _Toc361584106 \h </w:instrText>
        </w:r>
        <w:r w:rsidR="00A31FD5">
          <w:rPr>
            <w:rStyle w:val="Hyperlink"/>
            <w:noProof/>
            <w:rtl/>
          </w:rPr>
        </w:r>
        <w:r w:rsidR="00A31FD5">
          <w:rPr>
            <w:rStyle w:val="Hyperlink"/>
            <w:noProof/>
            <w:rtl/>
          </w:rPr>
          <w:fldChar w:fldCharType="separate"/>
        </w:r>
        <w:r w:rsidR="00A31FD5">
          <w:rPr>
            <w:noProof/>
            <w:webHidden/>
          </w:rPr>
          <w:t>2</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07" w:history="1">
        <w:r w:rsidR="00A31FD5" w:rsidRPr="00997D6B">
          <w:rPr>
            <w:rStyle w:val="Hyperlink"/>
            <w:noProof/>
          </w:rPr>
          <w:t>Objective 1: Key national roads, ports and airports providing access to markets and services</w:t>
        </w:r>
        <w:r w:rsidR="00A31FD5">
          <w:rPr>
            <w:noProof/>
            <w:webHidden/>
          </w:rPr>
          <w:tab/>
        </w:r>
        <w:r w:rsidR="00A31FD5">
          <w:rPr>
            <w:rStyle w:val="Hyperlink"/>
            <w:noProof/>
            <w:rtl/>
          </w:rPr>
          <w:fldChar w:fldCharType="begin"/>
        </w:r>
        <w:r w:rsidR="00A31FD5">
          <w:rPr>
            <w:noProof/>
            <w:webHidden/>
          </w:rPr>
          <w:instrText xml:space="preserve"> PAGEREF _Toc361584107 \h </w:instrText>
        </w:r>
        <w:r w:rsidR="00A31FD5">
          <w:rPr>
            <w:rStyle w:val="Hyperlink"/>
            <w:noProof/>
            <w:rtl/>
          </w:rPr>
        </w:r>
        <w:r w:rsidR="00A31FD5">
          <w:rPr>
            <w:rStyle w:val="Hyperlink"/>
            <w:noProof/>
            <w:rtl/>
          </w:rPr>
          <w:fldChar w:fldCharType="separate"/>
        </w:r>
        <w:r w:rsidR="00A31FD5">
          <w:rPr>
            <w:noProof/>
            <w:webHidden/>
          </w:rPr>
          <w:t>2</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08" w:history="1">
        <w:r w:rsidR="00A31FD5" w:rsidRPr="00997D6B">
          <w:rPr>
            <w:rStyle w:val="Hyperlink"/>
            <w:noProof/>
          </w:rPr>
          <w:t>Objective 2: Significant, measurable progress towards the achievement of universal basic education by 2015</w:t>
        </w:r>
        <w:r w:rsidR="00A31FD5">
          <w:rPr>
            <w:noProof/>
            <w:webHidden/>
          </w:rPr>
          <w:tab/>
        </w:r>
        <w:r w:rsidR="00A31FD5">
          <w:rPr>
            <w:rStyle w:val="Hyperlink"/>
            <w:noProof/>
            <w:rtl/>
          </w:rPr>
          <w:fldChar w:fldCharType="begin"/>
        </w:r>
        <w:r w:rsidR="00A31FD5">
          <w:rPr>
            <w:noProof/>
            <w:webHidden/>
          </w:rPr>
          <w:instrText xml:space="preserve"> PAGEREF _Toc361584108 \h </w:instrText>
        </w:r>
        <w:r w:rsidR="00A31FD5">
          <w:rPr>
            <w:rStyle w:val="Hyperlink"/>
            <w:noProof/>
            <w:rtl/>
          </w:rPr>
        </w:r>
        <w:r w:rsidR="00A31FD5">
          <w:rPr>
            <w:rStyle w:val="Hyperlink"/>
            <w:noProof/>
            <w:rtl/>
          </w:rPr>
          <w:fldChar w:fldCharType="separate"/>
        </w:r>
        <w:r w:rsidR="00A31FD5">
          <w:rPr>
            <w:noProof/>
            <w:webHidden/>
          </w:rPr>
          <w:t>3</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09" w:history="1">
        <w:r w:rsidR="00A31FD5" w:rsidRPr="00997D6B">
          <w:rPr>
            <w:rStyle w:val="Hyperlink"/>
            <w:noProof/>
          </w:rPr>
          <w:t>Objective 3: Improved health outcomes</w:t>
        </w:r>
        <w:r w:rsidR="00A31FD5">
          <w:rPr>
            <w:noProof/>
            <w:webHidden/>
          </w:rPr>
          <w:tab/>
        </w:r>
        <w:r w:rsidR="00A31FD5">
          <w:rPr>
            <w:rStyle w:val="Hyperlink"/>
            <w:noProof/>
            <w:rtl/>
          </w:rPr>
          <w:fldChar w:fldCharType="begin"/>
        </w:r>
        <w:r w:rsidR="00A31FD5">
          <w:rPr>
            <w:noProof/>
            <w:webHidden/>
          </w:rPr>
          <w:instrText xml:space="preserve"> PAGEREF _Toc361584109 \h </w:instrText>
        </w:r>
        <w:r w:rsidR="00A31FD5">
          <w:rPr>
            <w:rStyle w:val="Hyperlink"/>
            <w:noProof/>
            <w:rtl/>
          </w:rPr>
        </w:r>
        <w:r w:rsidR="00A31FD5">
          <w:rPr>
            <w:rStyle w:val="Hyperlink"/>
            <w:noProof/>
            <w:rtl/>
          </w:rPr>
          <w:fldChar w:fldCharType="separate"/>
        </w:r>
        <w:r w:rsidR="00A31FD5">
          <w:rPr>
            <w:noProof/>
            <w:webHidden/>
          </w:rPr>
          <w:t>4</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10" w:history="1">
        <w:r w:rsidR="00A31FD5" w:rsidRPr="00997D6B">
          <w:rPr>
            <w:rStyle w:val="Hyperlink"/>
            <w:noProof/>
          </w:rPr>
          <w:t>Objective 4: An efficient and effective public service</w:t>
        </w:r>
        <w:r w:rsidR="00A31FD5">
          <w:rPr>
            <w:noProof/>
            <w:webHidden/>
          </w:rPr>
          <w:tab/>
        </w:r>
        <w:r w:rsidR="00A31FD5">
          <w:rPr>
            <w:rStyle w:val="Hyperlink"/>
            <w:noProof/>
            <w:rtl/>
          </w:rPr>
          <w:fldChar w:fldCharType="begin"/>
        </w:r>
        <w:r w:rsidR="00A31FD5">
          <w:rPr>
            <w:noProof/>
            <w:webHidden/>
          </w:rPr>
          <w:instrText xml:space="preserve"> PAGEREF _Toc361584110 \h </w:instrText>
        </w:r>
        <w:r w:rsidR="00A31FD5">
          <w:rPr>
            <w:rStyle w:val="Hyperlink"/>
            <w:noProof/>
            <w:rtl/>
          </w:rPr>
        </w:r>
        <w:r w:rsidR="00A31FD5">
          <w:rPr>
            <w:rStyle w:val="Hyperlink"/>
            <w:noProof/>
            <w:rtl/>
          </w:rPr>
          <w:fldChar w:fldCharType="separate"/>
        </w:r>
        <w:r w:rsidR="00A31FD5">
          <w:rPr>
            <w:noProof/>
            <w:webHidden/>
          </w:rPr>
          <w:t>6</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11" w:history="1">
        <w:r w:rsidR="00A31FD5" w:rsidRPr="00997D6B">
          <w:rPr>
            <w:rStyle w:val="Hyperlink"/>
            <w:noProof/>
          </w:rPr>
          <w:t>Public sector capacity development and performance</w:t>
        </w:r>
        <w:r w:rsidR="00A31FD5">
          <w:rPr>
            <w:noProof/>
            <w:webHidden/>
          </w:rPr>
          <w:tab/>
        </w:r>
        <w:r w:rsidR="00A31FD5">
          <w:rPr>
            <w:rStyle w:val="Hyperlink"/>
            <w:noProof/>
            <w:rtl/>
          </w:rPr>
          <w:fldChar w:fldCharType="begin"/>
        </w:r>
        <w:r w:rsidR="00A31FD5">
          <w:rPr>
            <w:noProof/>
            <w:webHidden/>
          </w:rPr>
          <w:instrText xml:space="preserve"> PAGEREF _Toc361584111 \h </w:instrText>
        </w:r>
        <w:r w:rsidR="00A31FD5">
          <w:rPr>
            <w:rStyle w:val="Hyperlink"/>
            <w:noProof/>
            <w:rtl/>
          </w:rPr>
        </w:r>
        <w:r w:rsidR="00A31FD5">
          <w:rPr>
            <w:rStyle w:val="Hyperlink"/>
            <w:noProof/>
            <w:rtl/>
          </w:rPr>
          <w:fldChar w:fldCharType="separate"/>
        </w:r>
        <w:r w:rsidR="00A31FD5">
          <w:rPr>
            <w:noProof/>
            <w:webHidden/>
          </w:rPr>
          <w:t>7</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12" w:history="1">
        <w:r w:rsidR="00A31FD5" w:rsidRPr="00997D6B">
          <w:rPr>
            <w:rStyle w:val="Hyperlink"/>
            <w:noProof/>
          </w:rPr>
          <w:t>Budgeting and financial management for service delivery</w:t>
        </w:r>
        <w:r w:rsidR="00A31FD5">
          <w:rPr>
            <w:noProof/>
            <w:webHidden/>
          </w:rPr>
          <w:tab/>
        </w:r>
        <w:r w:rsidR="00A31FD5">
          <w:rPr>
            <w:rStyle w:val="Hyperlink"/>
            <w:noProof/>
            <w:rtl/>
          </w:rPr>
          <w:fldChar w:fldCharType="begin"/>
        </w:r>
        <w:r w:rsidR="00A31FD5">
          <w:rPr>
            <w:noProof/>
            <w:webHidden/>
          </w:rPr>
          <w:instrText xml:space="preserve"> PAGEREF _Toc361584112 \h </w:instrText>
        </w:r>
        <w:r w:rsidR="00A31FD5">
          <w:rPr>
            <w:rStyle w:val="Hyperlink"/>
            <w:noProof/>
            <w:rtl/>
          </w:rPr>
        </w:r>
        <w:r w:rsidR="00A31FD5">
          <w:rPr>
            <w:rStyle w:val="Hyperlink"/>
            <w:noProof/>
            <w:rtl/>
          </w:rPr>
          <w:fldChar w:fldCharType="separate"/>
        </w:r>
        <w:r w:rsidR="00A31FD5">
          <w:rPr>
            <w:noProof/>
            <w:webHidden/>
          </w:rPr>
          <w:t>7</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13" w:history="1">
        <w:r w:rsidR="00A31FD5" w:rsidRPr="00997D6B">
          <w:rPr>
            <w:rStyle w:val="Hyperlink"/>
            <w:noProof/>
          </w:rPr>
          <w:t>Service delivery and the decentralised system of government</w:t>
        </w:r>
        <w:r w:rsidR="00A31FD5">
          <w:rPr>
            <w:noProof/>
            <w:webHidden/>
          </w:rPr>
          <w:tab/>
        </w:r>
        <w:r w:rsidR="00A31FD5">
          <w:rPr>
            <w:rStyle w:val="Hyperlink"/>
            <w:noProof/>
            <w:rtl/>
          </w:rPr>
          <w:fldChar w:fldCharType="begin"/>
        </w:r>
        <w:r w:rsidR="00A31FD5">
          <w:rPr>
            <w:noProof/>
            <w:webHidden/>
          </w:rPr>
          <w:instrText xml:space="preserve"> PAGEREF _Toc361584113 \h </w:instrText>
        </w:r>
        <w:r w:rsidR="00A31FD5">
          <w:rPr>
            <w:rStyle w:val="Hyperlink"/>
            <w:noProof/>
            <w:rtl/>
          </w:rPr>
        </w:r>
        <w:r w:rsidR="00A31FD5">
          <w:rPr>
            <w:rStyle w:val="Hyperlink"/>
            <w:noProof/>
            <w:rtl/>
          </w:rPr>
          <w:fldChar w:fldCharType="separate"/>
        </w:r>
        <w:r w:rsidR="00A31FD5">
          <w:rPr>
            <w:noProof/>
            <w:webHidden/>
          </w:rPr>
          <w:t>8</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14" w:history="1">
        <w:r w:rsidR="00A31FD5" w:rsidRPr="00997D6B">
          <w:rPr>
            <w:rStyle w:val="Hyperlink"/>
            <w:noProof/>
          </w:rPr>
          <w:t>Objective 5: Development policy and program formulation based on sound statistics and performance reporting</w:t>
        </w:r>
        <w:r w:rsidR="00A31FD5">
          <w:rPr>
            <w:noProof/>
            <w:webHidden/>
          </w:rPr>
          <w:tab/>
        </w:r>
        <w:r w:rsidR="00A31FD5">
          <w:rPr>
            <w:rStyle w:val="Hyperlink"/>
            <w:noProof/>
            <w:rtl/>
          </w:rPr>
          <w:fldChar w:fldCharType="begin"/>
        </w:r>
        <w:r w:rsidR="00A31FD5">
          <w:rPr>
            <w:noProof/>
            <w:webHidden/>
          </w:rPr>
          <w:instrText xml:space="preserve"> PAGEREF _Toc361584114 \h </w:instrText>
        </w:r>
        <w:r w:rsidR="00A31FD5">
          <w:rPr>
            <w:rStyle w:val="Hyperlink"/>
            <w:noProof/>
            <w:rtl/>
          </w:rPr>
        </w:r>
        <w:r w:rsidR="00A31FD5">
          <w:rPr>
            <w:rStyle w:val="Hyperlink"/>
            <w:noProof/>
            <w:rtl/>
          </w:rPr>
          <w:fldChar w:fldCharType="separate"/>
        </w:r>
        <w:r w:rsidR="00A31FD5">
          <w:rPr>
            <w:noProof/>
            <w:webHidden/>
          </w:rPr>
          <w:t>9</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15" w:history="1">
        <w:r w:rsidR="00A31FD5" w:rsidRPr="00997D6B">
          <w:rPr>
            <w:rStyle w:val="Hyperlink"/>
            <w:noProof/>
          </w:rPr>
          <w:t>Objective 6: (a) Stabilise spread of new HIV infections by 2020 and provide effective care and treatment of those infected and (b) Strengthened national capacity to lead, coordinate and implement the HIV response</w:t>
        </w:r>
        <w:r w:rsidR="00A31FD5">
          <w:rPr>
            <w:noProof/>
            <w:webHidden/>
          </w:rPr>
          <w:tab/>
        </w:r>
        <w:r w:rsidR="00A31FD5">
          <w:rPr>
            <w:rStyle w:val="Hyperlink"/>
            <w:noProof/>
            <w:rtl/>
          </w:rPr>
          <w:fldChar w:fldCharType="begin"/>
        </w:r>
        <w:r w:rsidR="00A31FD5">
          <w:rPr>
            <w:noProof/>
            <w:webHidden/>
          </w:rPr>
          <w:instrText xml:space="preserve"> PAGEREF _Toc361584115 \h </w:instrText>
        </w:r>
        <w:r w:rsidR="00A31FD5">
          <w:rPr>
            <w:rStyle w:val="Hyperlink"/>
            <w:noProof/>
            <w:rtl/>
          </w:rPr>
        </w:r>
        <w:r w:rsidR="00A31FD5">
          <w:rPr>
            <w:rStyle w:val="Hyperlink"/>
            <w:noProof/>
            <w:rtl/>
          </w:rPr>
          <w:fldChar w:fldCharType="separate"/>
        </w:r>
        <w:r w:rsidR="00A31FD5">
          <w:rPr>
            <w:noProof/>
            <w:webHidden/>
          </w:rPr>
          <w:t>9</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16" w:history="1">
        <w:r w:rsidR="00A31FD5" w:rsidRPr="00997D6B">
          <w:rPr>
            <w:rStyle w:val="Hyperlink"/>
            <w:noProof/>
          </w:rPr>
          <w:t>Testing and treatment</w:t>
        </w:r>
        <w:r w:rsidR="00A31FD5">
          <w:rPr>
            <w:noProof/>
            <w:webHidden/>
          </w:rPr>
          <w:tab/>
        </w:r>
        <w:r w:rsidR="00A31FD5">
          <w:rPr>
            <w:rStyle w:val="Hyperlink"/>
            <w:noProof/>
            <w:rtl/>
          </w:rPr>
          <w:fldChar w:fldCharType="begin"/>
        </w:r>
        <w:r w:rsidR="00A31FD5">
          <w:rPr>
            <w:noProof/>
            <w:webHidden/>
          </w:rPr>
          <w:instrText xml:space="preserve"> PAGEREF _Toc361584116 \h </w:instrText>
        </w:r>
        <w:r w:rsidR="00A31FD5">
          <w:rPr>
            <w:rStyle w:val="Hyperlink"/>
            <w:noProof/>
            <w:rtl/>
          </w:rPr>
        </w:r>
        <w:r w:rsidR="00A31FD5">
          <w:rPr>
            <w:rStyle w:val="Hyperlink"/>
            <w:noProof/>
            <w:rtl/>
          </w:rPr>
          <w:fldChar w:fldCharType="separate"/>
        </w:r>
        <w:r w:rsidR="00A31FD5">
          <w:rPr>
            <w:noProof/>
            <w:webHidden/>
          </w:rPr>
          <w:t>10</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17" w:history="1">
        <w:r w:rsidR="00A31FD5" w:rsidRPr="00997D6B">
          <w:rPr>
            <w:rStyle w:val="Hyperlink"/>
            <w:noProof/>
          </w:rPr>
          <w:t>Targeted prevention</w:t>
        </w:r>
        <w:r w:rsidR="00A31FD5">
          <w:rPr>
            <w:noProof/>
            <w:webHidden/>
          </w:rPr>
          <w:tab/>
        </w:r>
        <w:r w:rsidR="00A31FD5">
          <w:rPr>
            <w:rStyle w:val="Hyperlink"/>
            <w:noProof/>
            <w:rtl/>
          </w:rPr>
          <w:fldChar w:fldCharType="begin"/>
        </w:r>
        <w:r w:rsidR="00A31FD5">
          <w:rPr>
            <w:noProof/>
            <w:webHidden/>
          </w:rPr>
          <w:instrText xml:space="preserve"> PAGEREF _Toc361584117 \h </w:instrText>
        </w:r>
        <w:r w:rsidR="00A31FD5">
          <w:rPr>
            <w:rStyle w:val="Hyperlink"/>
            <w:noProof/>
            <w:rtl/>
          </w:rPr>
        </w:r>
        <w:r w:rsidR="00A31FD5">
          <w:rPr>
            <w:rStyle w:val="Hyperlink"/>
            <w:noProof/>
            <w:rtl/>
          </w:rPr>
          <w:fldChar w:fldCharType="separate"/>
        </w:r>
        <w:r w:rsidR="00A31FD5">
          <w:rPr>
            <w:noProof/>
            <w:webHidden/>
          </w:rPr>
          <w:t>10</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18" w:history="1">
        <w:r w:rsidR="00A31FD5" w:rsidRPr="00997D6B">
          <w:rPr>
            <w:rStyle w:val="Hyperlink"/>
            <w:noProof/>
          </w:rPr>
          <w:t>Quality of, and Access to, Services</w:t>
        </w:r>
        <w:r w:rsidR="00A31FD5">
          <w:rPr>
            <w:noProof/>
            <w:webHidden/>
          </w:rPr>
          <w:tab/>
        </w:r>
        <w:r w:rsidR="00A31FD5">
          <w:rPr>
            <w:rStyle w:val="Hyperlink"/>
            <w:noProof/>
            <w:rtl/>
          </w:rPr>
          <w:fldChar w:fldCharType="begin"/>
        </w:r>
        <w:r w:rsidR="00A31FD5">
          <w:rPr>
            <w:noProof/>
            <w:webHidden/>
          </w:rPr>
          <w:instrText xml:space="preserve"> PAGEREF _Toc361584118 \h </w:instrText>
        </w:r>
        <w:r w:rsidR="00A31FD5">
          <w:rPr>
            <w:rStyle w:val="Hyperlink"/>
            <w:noProof/>
            <w:rtl/>
          </w:rPr>
        </w:r>
        <w:r w:rsidR="00A31FD5">
          <w:rPr>
            <w:rStyle w:val="Hyperlink"/>
            <w:noProof/>
            <w:rtl/>
          </w:rPr>
          <w:fldChar w:fldCharType="separate"/>
        </w:r>
        <w:r w:rsidR="00A31FD5">
          <w:rPr>
            <w:noProof/>
            <w:webHidden/>
          </w:rPr>
          <w:t>10</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19" w:history="1">
        <w:r w:rsidR="00A31FD5" w:rsidRPr="00997D6B">
          <w:rPr>
            <w:rStyle w:val="Hyperlink"/>
            <w:noProof/>
          </w:rPr>
          <w:t>Behaviour change and condom use</w:t>
        </w:r>
        <w:r w:rsidR="00A31FD5">
          <w:rPr>
            <w:noProof/>
            <w:webHidden/>
          </w:rPr>
          <w:tab/>
        </w:r>
        <w:r w:rsidR="00A31FD5">
          <w:rPr>
            <w:rStyle w:val="Hyperlink"/>
            <w:noProof/>
            <w:rtl/>
          </w:rPr>
          <w:fldChar w:fldCharType="begin"/>
        </w:r>
        <w:r w:rsidR="00A31FD5">
          <w:rPr>
            <w:noProof/>
            <w:webHidden/>
          </w:rPr>
          <w:instrText xml:space="preserve"> PAGEREF _Toc361584119 \h </w:instrText>
        </w:r>
        <w:r w:rsidR="00A31FD5">
          <w:rPr>
            <w:rStyle w:val="Hyperlink"/>
            <w:noProof/>
            <w:rtl/>
          </w:rPr>
        </w:r>
        <w:r w:rsidR="00A31FD5">
          <w:rPr>
            <w:rStyle w:val="Hyperlink"/>
            <w:noProof/>
            <w:rtl/>
          </w:rPr>
          <w:fldChar w:fldCharType="separate"/>
        </w:r>
        <w:r w:rsidR="00A31FD5">
          <w:rPr>
            <w:noProof/>
            <w:webHidden/>
          </w:rPr>
          <w:t>10</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20" w:history="1">
        <w:r w:rsidR="00A31FD5" w:rsidRPr="00997D6B">
          <w:rPr>
            <w:rStyle w:val="Hyperlink"/>
            <w:noProof/>
          </w:rPr>
          <w:t>Strengthening the national capacity to respond to the epidemic</w:t>
        </w:r>
        <w:r w:rsidR="00A31FD5">
          <w:rPr>
            <w:noProof/>
            <w:webHidden/>
          </w:rPr>
          <w:tab/>
        </w:r>
        <w:r w:rsidR="00A31FD5">
          <w:rPr>
            <w:rStyle w:val="Hyperlink"/>
            <w:noProof/>
            <w:rtl/>
          </w:rPr>
          <w:fldChar w:fldCharType="begin"/>
        </w:r>
        <w:r w:rsidR="00A31FD5">
          <w:rPr>
            <w:noProof/>
            <w:webHidden/>
          </w:rPr>
          <w:instrText xml:space="preserve"> PAGEREF _Toc361584120 \h </w:instrText>
        </w:r>
        <w:r w:rsidR="00A31FD5">
          <w:rPr>
            <w:rStyle w:val="Hyperlink"/>
            <w:noProof/>
            <w:rtl/>
          </w:rPr>
        </w:r>
        <w:r w:rsidR="00A31FD5">
          <w:rPr>
            <w:rStyle w:val="Hyperlink"/>
            <w:noProof/>
            <w:rtl/>
          </w:rPr>
          <w:fldChar w:fldCharType="separate"/>
        </w:r>
        <w:r w:rsidR="00A31FD5">
          <w:rPr>
            <w:noProof/>
            <w:webHidden/>
          </w:rPr>
          <w:t>11</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21" w:history="1">
        <w:r w:rsidR="00A31FD5" w:rsidRPr="00997D6B">
          <w:rPr>
            <w:rStyle w:val="Hyperlink"/>
            <w:noProof/>
          </w:rPr>
          <w:t>Objective 7: Improved ability to provide law and justice services</w:t>
        </w:r>
        <w:r w:rsidR="00A31FD5">
          <w:rPr>
            <w:noProof/>
            <w:webHidden/>
          </w:rPr>
          <w:tab/>
        </w:r>
        <w:r w:rsidR="00A31FD5">
          <w:rPr>
            <w:rStyle w:val="Hyperlink"/>
            <w:noProof/>
            <w:rtl/>
          </w:rPr>
          <w:fldChar w:fldCharType="begin"/>
        </w:r>
        <w:r w:rsidR="00A31FD5">
          <w:rPr>
            <w:noProof/>
            <w:webHidden/>
          </w:rPr>
          <w:instrText xml:space="preserve"> PAGEREF _Toc361584121 \h </w:instrText>
        </w:r>
        <w:r w:rsidR="00A31FD5">
          <w:rPr>
            <w:rStyle w:val="Hyperlink"/>
            <w:noProof/>
            <w:rtl/>
          </w:rPr>
        </w:r>
        <w:r w:rsidR="00A31FD5">
          <w:rPr>
            <w:rStyle w:val="Hyperlink"/>
            <w:noProof/>
            <w:rtl/>
          </w:rPr>
          <w:fldChar w:fldCharType="separate"/>
        </w:r>
        <w:r w:rsidR="00A31FD5">
          <w:rPr>
            <w:noProof/>
            <w:webHidden/>
          </w:rPr>
          <w:t>11</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22" w:history="1">
        <w:r w:rsidR="00A31FD5" w:rsidRPr="00997D6B">
          <w:rPr>
            <w:rStyle w:val="Hyperlink"/>
            <w:noProof/>
          </w:rPr>
          <w:t>Objective 8: Increased workforce skills</w:t>
        </w:r>
        <w:r w:rsidR="00A31FD5">
          <w:rPr>
            <w:noProof/>
            <w:webHidden/>
          </w:rPr>
          <w:tab/>
        </w:r>
        <w:r w:rsidR="00A31FD5">
          <w:rPr>
            <w:rStyle w:val="Hyperlink"/>
            <w:noProof/>
            <w:rtl/>
          </w:rPr>
          <w:fldChar w:fldCharType="begin"/>
        </w:r>
        <w:r w:rsidR="00A31FD5">
          <w:rPr>
            <w:noProof/>
            <w:webHidden/>
          </w:rPr>
          <w:instrText xml:space="preserve"> PAGEREF _Toc361584122 \h </w:instrText>
        </w:r>
        <w:r w:rsidR="00A31FD5">
          <w:rPr>
            <w:rStyle w:val="Hyperlink"/>
            <w:noProof/>
            <w:rtl/>
          </w:rPr>
        </w:r>
        <w:r w:rsidR="00A31FD5">
          <w:rPr>
            <w:rStyle w:val="Hyperlink"/>
            <w:noProof/>
            <w:rtl/>
          </w:rPr>
          <w:fldChar w:fldCharType="separate"/>
        </w:r>
        <w:r w:rsidR="00A31FD5">
          <w:rPr>
            <w:noProof/>
            <w:webHidden/>
          </w:rPr>
          <w:t>13</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23" w:history="1">
        <w:r w:rsidR="00A31FD5" w:rsidRPr="00997D6B">
          <w:rPr>
            <w:rStyle w:val="Hyperlink"/>
            <w:noProof/>
          </w:rPr>
          <w:t>Objective 9: Men and women, civil society, and the state working together to meet communities’ needs</w:t>
        </w:r>
        <w:r w:rsidR="00A31FD5">
          <w:rPr>
            <w:noProof/>
            <w:webHidden/>
          </w:rPr>
          <w:tab/>
        </w:r>
        <w:r w:rsidR="00A31FD5">
          <w:rPr>
            <w:rStyle w:val="Hyperlink"/>
            <w:noProof/>
            <w:rtl/>
          </w:rPr>
          <w:fldChar w:fldCharType="begin"/>
        </w:r>
        <w:r w:rsidR="00A31FD5">
          <w:rPr>
            <w:noProof/>
            <w:webHidden/>
          </w:rPr>
          <w:instrText xml:space="preserve"> PAGEREF _Toc361584123 \h </w:instrText>
        </w:r>
        <w:r w:rsidR="00A31FD5">
          <w:rPr>
            <w:rStyle w:val="Hyperlink"/>
            <w:noProof/>
            <w:rtl/>
          </w:rPr>
        </w:r>
        <w:r w:rsidR="00A31FD5">
          <w:rPr>
            <w:rStyle w:val="Hyperlink"/>
            <w:noProof/>
            <w:rtl/>
          </w:rPr>
          <w:fldChar w:fldCharType="separate"/>
        </w:r>
        <w:r w:rsidR="00A31FD5">
          <w:rPr>
            <w:noProof/>
            <w:webHidden/>
          </w:rPr>
          <w:t>14</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24" w:history="1">
        <w:r w:rsidR="00A31FD5" w:rsidRPr="00997D6B">
          <w:rPr>
            <w:rStyle w:val="Hyperlink"/>
            <w:noProof/>
          </w:rPr>
          <w:t>Media for Development initiative</w:t>
        </w:r>
        <w:r w:rsidR="00A31FD5">
          <w:rPr>
            <w:noProof/>
            <w:webHidden/>
          </w:rPr>
          <w:tab/>
        </w:r>
        <w:r w:rsidR="00A31FD5">
          <w:rPr>
            <w:rStyle w:val="Hyperlink"/>
            <w:noProof/>
            <w:rtl/>
          </w:rPr>
          <w:fldChar w:fldCharType="begin"/>
        </w:r>
        <w:r w:rsidR="00A31FD5">
          <w:rPr>
            <w:noProof/>
            <w:webHidden/>
          </w:rPr>
          <w:instrText xml:space="preserve"> PAGEREF _Toc361584124 \h </w:instrText>
        </w:r>
        <w:r w:rsidR="00A31FD5">
          <w:rPr>
            <w:rStyle w:val="Hyperlink"/>
            <w:noProof/>
            <w:rtl/>
          </w:rPr>
        </w:r>
        <w:r w:rsidR="00A31FD5">
          <w:rPr>
            <w:rStyle w:val="Hyperlink"/>
            <w:noProof/>
            <w:rtl/>
          </w:rPr>
          <w:fldChar w:fldCharType="separate"/>
        </w:r>
        <w:r w:rsidR="00A31FD5">
          <w:rPr>
            <w:noProof/>
            <w:webHidden/>
          </w:rPr>
          <w:t>15</w:t>
        </w:r>
        <w:r w:rsidR="00A31FD5">
          <w:rPr>
            <w:rStyle w:val="Hyperlink"/>
            <w:noProof/>
            <w:rtl/>
          </w:rPr>
          <w:fldChar w:fldCharType="end"/>
        </w:r>
      </w:hyperlink>
    </w:p>
    <w:p w:rsidR="00A31FD5" w:rsidRDefault="009653BC">
      <w:pPr>
        <w:pStyle w:val="TOC3"/>
        <w:rPr>
          <w:rFonts w:ascii="Calibri" w:hAnsi="Calibri" w:cs="Arial"/>
          <w:noProof/>
          <w:sz w:val="22"/>
          <w:szCs w:val="22"/>
          <w:lang w:val="en-US" w:eastAsia="en-US"/>
        </w:rPr>
      </w:pPr>
      <w:hyperlink w:anchor="_Toc361584125" w:history="1">
        <w:r w:rsidR="00A31FD5" w:rsidRPr="00997D6B">
          <w:rPr>
            <w:rStyle w:val="Hyperlink"/>
            <w:noProof/>
          </w:rPr>
          <w:t>Electoral Support Program</w:t>
        </w:r>
        <w:r w:rsidR="00A31FD5">
          <w:rPr>
            <w:noProof/>
            <w:webHidden/>
          </w:rPr>
          <w:tab/>
        </w:r>
        <w:r w:rsidR="00A31FD5">
          <w:rPr>
            <w:rStyle w:val="Hyperlink"/>
            <w:noProof/>
            <w:rtl/>
          </w:rPr>
          <w:fldChar w:fldCharType="begin"/>
        </w:r>
        <w:r w:rsidR="00A31FD5">
          <w:rPr>
            <w:noProof/>
            <w:webHidden/>
          </w:rPr>
          <w:instrText xml:space="preserve"> PAGEREF _Toc361584125 \h </w:instrText>
        </w:r>
        <w:r w:rsidR="00A31FD5">
          <w:rPr>
            <w:rStyle w:val="Hyperlink"/>
            <w:noProof/>
            <w:rtl/>
          </w:rPr>
        </w:r>
        <w:r w:rsidR="00A31FD5">
          <w:rPr>
            <w:rStyle w:val="Hyperlink"/>
            <w:noProof/>
            <w:rtl/>
          </w:rPr>
          <w:fldChar w:fldCharType="separate"/>
        </w:r>
        <w:r w:rsidR="00A31FD5">
          <w:rPr>
            <w:noProof/>
            <w:webHidden/>
          </w:rPr>
          <w:t>16</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26" w:history="1">
        <w:r w:rsidR="00A31FD5" w:rsidRPr="00997D6B">
          <w:rPr>
            <w:rStyle w:val="Hyperlink"/>
            <w:noProof/>
          </w:rPr>
          <w:t>Objective 10: Sustainable and secure improvements in food supply and incomes for smallholders</w:t>
        </w:r>
        <w:r w:rsidR="00A31FD5">
          <w:rPr>
            <w:noProof/>
            <w:webHidden/>
          </w:rPr>
          <w:tab/>
        </w:r>
        <w:r w:rsidR="00A31FD5">
          <w:rPr>
            <w:rStyle w:val="Hyperlink"/>
            <w:noProof/>
            <w:rtl/>
          </w:rPr>
          <w:fldChar w:fldCharType="begin"/>
        </w:r>
        <w:r w:rsidR="00A31FD5">
          <w:rPr>
            <w:noProof/>
            <w:webHidden/>
          </w:rPr>
          <w:instrText xml:space="preserve"> PAGEREF _Toc361584126 \h </w:instrText>
        </w:r>
        <w:r w:rsidR="00A31FD5">
          <w:rPr>
            <w:rStyle w:val="Hyperlink"/>
            <w:noProof/>
            <w:rtl/>
          </w:rPr>
        </w:r>
        <w:r w:rsidR="00A31FD5">
          <w:rPr>
            <w:rStyle w:val="Hyperlink"/>
            <w:noProof/>
            <w:rtl/>
          </w:rPr>
          <w:fldChar w:fldCharType="separate"/>
        </w:r>
        <w:r w:rsidR="00A31FD5">
          <w:rPr>
            <w:noProof/>
            <w:webHidden/>
          </w:rPr>
          <w:t>16</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27" w:history="1">
        <w:r w:rsidR="00A31FD5" w:rsidRPr="00997D6B">
          <w:rPr>
            <w:rStyle w:val="Hyperlink"/>
            <w:noProof/>
          </w:rPr>
          <w:t>Objective 11: A conducive environment for enhanced private sector development</w:t>
        </w:r>
        <w:r w:rsidR="00A31FD5">
          <w:rPr>
            <w:noProof/>
            <w:webHidden/>
          </w:rPr>
          <w:tab/>
        </w:r>
        <w:r w:rsidR="00A31FD5">
          <w:rPr>
            <w:rStyle w:val="Hyperlink"/>
            <w:noProof/>
            <w:rtl/>
          </w:rPr>
          <w:fldChar w:fldCharType="begin"/>
        </w:r>
        <w:r w:rsidR="00A31FD5">
          <w:rPr>
            <w:noProof/>
            <w:webHidden/>
          </w:rPr>
          <w:instrText xml:space="preserve"> PAGEREF _Toc361584127 \h </w:instrText>
        </w:r>
        <w:r w:rsidR="00A31FD5">
          <w:rPr>
            <w:rStyle w:val="Hyperlink"/>
            <w:noProof/>
            <w:rtl/>
          </w:rPr>
        </w:r>
        <w:r w:rsidR="00A31FD5">
          <w:rPr>
            <w:rStyle w:val="Hyperlink"/>
            <w:noProof/>
            <w:rtl/>
          </w:rPr>
          <w:fldChar w:fldCharType="separate"/>
        </w:r>
        <w:r w:rsidR="00A31FD5">
          <w:rPr>
            <w:noProof/>
            <w:webHidden/>
          </w:rPr>
          <w:t>17</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28" w:history="1">
        <w:r w:rsidR="00A31FD5" w:rsidRPr="00997D6B">
          <w:rPr>
            <w:rStyle w:val="Hyperlink"/>
            <w:noProof/>
          </w:rPr>
          <w:t>Objective 12: Addressing the causes and mitigating the impacts of climate change</w:t>
        </w:r>
        <w:r w:rsidR="00A31FD5">
          <w:rPr>
            <w:noProof/>
            <w:webHidden/>
          </w:rPr>
          <w:tab/>
        </w:r>
        <w:r w:rsidR="00A31FD5">
          <w:rPr>
            <w:rStyle w:val="Hyperlink"/>
            <w:noProof/>
            <w:rtl/>
          </w:rPr>
          <w:fldChar w:fldCharType="begin"/>
        </w:r>
        <w:r w:rsidR="00A31FD5">
          <w:rPr>
            <w:noProof/>
            <w:webHidden/>
          </w:rPr>
          <w:instrText xml:space="preserve"> PAGEREF _Toc361584128 \h </w:instrText>
        </w:r>
        <w:r w:rsidR="00A31FD5">
          <w:rPr>
            <w:rStyle w:val="Hyperlink"/>
            <w:noProof/>
            <w:rtl/>
          </w:rPr>
        </w:r>
        <w:r w:rsidR="00A31FD5">
          <w:rPr>
            <w:rStyle w:val="Hyperlink"/>
            <w:noProof/>
            <w:rtl/>
          </w:rPr>
          <w:fldChar w:fldCharType="separate"/>
        </w:r>
        <w:r w:rsidR="00A31FD5">
          <w:rPr>
            <w:noProof/>
            <w:webHidden/>
          </w:rPr>
          <w:t>17</w:t>
        </w:r>
        <w:r w:rsidR="00A31FD5">
          <w:rPr>
            <w:rStyle w:val="Hyperlink"/>
            <w:noProof/>
            <w:rtl/>
          </w:rPr>
          <w:fldChar w:fldCharType="end"/>
        </w:r>
      </w:hyperlink>
    </w:p>
    <w:p w:rsidR="00A31FD5" w:rsidRDefault="009653BC">
      <w:pPr>
        <w:pStyle w:val="TOC2"/>
        <w:rPr>
          <w:rFonts w:ascii="Calibri" w:hAnsi="Calibri" w:cs="Arial"/>
          <w:noProof/>
          <w:color w:val="auto"/>
          <w:sz w:val="22"/>
          <w:szCs w:val="22"/>
          <w:lang w:val="en-US" w:eastAsia="en-US"/>
        </w:rPr>
      </w:pPr>
      <w:hyperlink w:anchor="_Toc361584129" w:history="1">
        <w:r w:rsidR="00A31FD5" w:rsidRPr="00997D6B">
          <w:rPr>
            <w:rStyle w:val="Hyperlink"/>
            <w:noProof/>
          </w:rPr>
          <w:t>Expenditure</w:t>
        </w:r>
        <w:r w:rsidR="00A31FD5">
          <w:rPr>
            <w:noProof/>
            <w:webHidden/>
          </w:rPr>
          <w:tab/>
        </w:r>
        <w:r w:rsidR="00A31FD5">
          <w:rPr>
            <w:rStyle w:val="Hyperlink"/>
            <w:noProof/>
            <w:rtl/>
          </w:rPr>
          <w:fldChar w:fldCharType="begin"/>
        </w:r>
        <w:r w:rsidR="00A31FD5">
          <w:rPr>
            <w:noProof/>
            <w:webHidden/>
          </w:rPr>
          <w:instrText xml:space="preserve"> PAGEREF _Toc361584129 \h </w:instrText>
        </w:r>
        <w:r w:rsidR="00A31FD5">
          <w:rPr>
            <w:rStyle w:val="Hyperlink"/>
            <w:noProof/>
            <w:rtl/>
          </w:rPr>
        </w:r>
        <w:r w:rsidR="00A31FD5">
          <w:rPr>
            <w:rStyle w:val="Hyperlink"/>
            <w:noProof/>
            <w:rtl/>
          </w:rPr>
          <w:fldChar w:fldCharType="separate"/>
        </w:r>
        <w:r w:rsidR="00A31FD5">
          <w:rPr>
            <w:noProof/>
            <w:webHidden/>
          </w:rPr>
          <w:t>18</w:t>
        </w:r>
        <w:r w:rsidR="00A31FD5">
          <w:rPr>
            <w:rStyle w:val="Hyperlink"/>
            <w:noProof/>
            <w:rtl/>
          </w:rPr>
          <w:fldChar w:fldCharType="end"/>
        </w:r>
      </w:hyperlink>
    </w:p>
    <w:p w:rsidR="00A31FD5" w:rsidRDefault="009653BC">
      <w:pPr>
        <w:pStyle w:val="TOC1"/>
        <w:rPr>
          <w:rFonts w:ascii="Calibri" w:hAnsi="Calibri" w:cs="Arial"/>
          <w:noProof/>
          <w:color w:val="auto"/>
          <w:sz w:val="22"/>
          <w:szCs w:val="22"/>
          <w:lang w:val="en-US" w:eastAsia="en-US"/>
        </w:rPr>
      </w:pPr>
      <w:hyperlink w:anchor="_Toc361584130" w:history="1">
        <w:r w:rsidR="00A31FD5" w:rsidRPr="00997D6B">
          <w:rPr>
            <w:rStyle w:val="Hyperlink"/>
            <w:noProof/>
          </w:rPr>
          <w:t>Next steps</w:t>
        </w:r>
        <w:r w:rsidR="00A31FD5">
          <w:rPr>
            <w:noProof/>
            <w:webHidden/>
          </w:rPr>
          <w:tab/>
        </w:r>
        <w:r w:rsidR="00A31FD5">
          <w:rPr>
            <w:rStyle w:val="Hyperlink"/>
            <w:noProof/>
            <w:rtl/>
          </w:rPr>
          <w:fldChar w:fldCharType="begin"/>
        </w:r>
        <w:r w:rsidR="00A31FD5">
          <w:rPr>
            <w:noProof/>
            <w:webHidden/>
          </w:rPr>
          <w:instrText xml:space="preserve"> PAGEREF _Toc361584130 \h </w:instrText>
        </w:r>
        <w:r w:rsidR="00A31FD5">
          <w:rPr>
            <w:rStyle w:val="Hyperlink"/>
            <w:noProof/>
            <w:rtl/>
          </w:rPr>
        </w:r>
        <w:r w:rsidR="00A31FD5">
          <w:rPr>
            <w:rStyle w:val="Hyperlink"/>
            <w:noProof/>
            <w:rtl/>
          </w:rPr>
          <w:fldChar w:fldCharType="separate"/>
        </w:r>
        <w:r w:rsidR="00A31FD5">
          <w:rPr>
            <w:noProof/>
            <w:webHidden/>
          </w:rPr>
          <w:t>18</w:t>
        </w:r>
        <w:r w:rsidR="00A31FD5">
          <w:rPr>
            <w:rStyle w:val="Hyperlink"/>
            <w:noProof/>
            <w:rtl/>
          </w:rPr>
          <w:fldChar w:fldCharType="end"/>
        </w:r>
      </w:hyperlink>
    </w:p>
    <w:p w:rsidR="00A31FD5" w:rsidRPr="00A31FD5" w:rsidRDefault="00A31FD5" w:rsidP="00A31FD5">
      <w:pPr>
        <w:rPr>
          <w:lang w:val="en-US"/>
        </w:rPr>
      </w:pPr>
      <w:r>
        <w:fldChar w:fldCharType="end"/>
      </w:r>
    </w:p>
    <w:p w:rsidR="0035177E" w:rsidRDefault="0048616B" w:rsidP="008F6A8E">
      <w:pPr>
        <w:pStyle w:val="BodyText"/>
        <w:spacing w:before="0" w:after="0"/>
      </w:pPr>
      <w:r>
        <w:br w:type="page"/>
      </w:r>
      <w:r w:rsidR="005461FF" w:rsidRPr="005461FF">
        <w:lastRenderedPageBreak/>
        <w:t xml:space="preserve">This report summarises Australia’s aid program’s progress in 2010 towards the objectives of the </w:t>
      </w:r>
      <w:r w:rsidR="005461FF">
        <w:t>Papua New Guinea (PNG)</w:t>
      </w:r>
      <w:r w:rsidR="005461FF" w:rsidRPr="005461FF">
        <w:t xml:space="preserve"> program. Reports on the program’s performance in previous years are available on the Australian Agency for International Development’s (</w:t>
      </w:r>
      <w:proofErr w:type="spellStart"/>
      <w:r w:rsidR="005461FF" w:rsidRPr="005461FF">
        <w:t>AusAID</w:t>
      </w:r>
      <w:proofErr w:type="spellEnd"/>
      <w:r w:rsidR="005461FF" w:rsidRPr="005461FF">
        <w:t xml:space="preserve">) website. </w:t>
      </w:r>
    </w:p>
    <w:p w:rsidR="00E02AF8" w:rsidRPr="0048616B" w:rsidRDefault="004F32A0" w:rsidP="0048616B">
      <w:pPr>
        <w:pStyle w:val="Heading1"/>
      </w:pPr>
      <w:bookmarkStart w:id="0" w:name="_Toc361584105"/>
      <w:r w:rsidRPr="0048616B">
        <w:t>C</w:t>
      </w:r>
      <w:r w:rsidR="00BC36DE" w:rsidRPr="0048616B">
        <w:t>ontext</w:t>
      </w:r>
      <w:bookmarkEnd w:id="0"/>
      <w:r w:rsidR="00E02AF8" w:rsidRPr="0048616B">
        <w:t xml:space="preserve"> </w:t>
      </w:r>
    </w:p>
    <w:p w:rsidR="00F17A8C" w:rsidRPr="0088294C" w:rsidRDefault="00F17A8C" w:rsidP="00F17A8C">
      <w:pPr>
        <w:pStyle w:val="BodyText"/>
      </w:pPr>
      <w:r w:rsidRPr="0088294C">
        <w:t xml:space="preserve">The </w:t>
      </w:r>
      <w:r w:rsidR="00F1708E">
        <w:t>start</w:t>
      </w:r>
      <w:r w:rsidR="00F1708E" w:rsidRPr="0088294C">
        <w:t xml:space="preserve"> </w:t>
      </w:r>
      <w:r w:rsidRPr="0088294C">
        <w:t xml:space="preserve">of the liquefied natural gas </w:t>
      </w:r>
      <w:r>
        <w:t>(</w:t>
      </w:r>
      <w:r w:rsidRPr="000C31B7">
        <w:t>LNG</w:t>
      </w:r>
      <w:r>
        <w:t xml:space="preserve">) </w:t>
      </w:r>
      <w:r w:rsidRPr="0088294C">
        <w:t>project and recovery of global commodity prices benefited</w:t>
      </w:r>
      <w:r w:rsidR="002B2530">
        <w:t xml:space="preserve"> </w:t>
      </w:r>
      <w:r w:rsidRPr="000C31B7">
        <w:t>PNG’</w:t>
      </w:r>
      <w:r w:rsidRPr="0088294C">
        <w:t xml:space="preserve">s resource rich economy in 2010. </w:t>
      </w:r>
      <w:r w:rsidR="00F77E49">
        <w:t xml:space="preserve">Gross </w:t>
      </w:r>
      <w:r w:rsidR="000C31B7">
        <w:t>d</w:t>
      </w:r>
      <w:r w:rsidR="00F77E49">
        <w:t xml:space="preserve">omestic </w:t>
      </w:r>
      <w:r w:rsidR="000C31B7">
        <w:t>p</w:t>
      </w:r>
      <w:r w:rsidR="00F77E49">
        <w:t xml:space="preserve">roduct </w:t>
      </w:r>
      <w:r w:rsidRPr="0088294C">
        <w:t>growth was estimated at 7.1</w:t>
      </w:r>
      <w:r w:rsidR="00844A3F">
        <w:t xml:space="preserve"> per cent</w:t>
      </w:r>
      <w:r w:rsidRPr="0088294C">
        <w:t>, marking almost a decade of uninterrupted expansion averaging 4.4</w:t>
      </w:r>
      <w:r w:rsidR="006035A4">
        <w:t> </w:t>
      </w:r>
      <w:r w:rsidR="00844A3F">
        <w:t>per cent</w:t>
      </w:r>
      <w:r>
        <w:t>.</w:t>
      </w:r>
      <w:r w:rsidRPr="0088294C">
        <w:t xml:space="preserve"> However, the boom in commodity prices and the positive trend in macroeconomic indicators did not result in a </w:t>
      </w:r>
      <w:r>
        <w:t>corresponding</w:t>
      </w:r>
      <w:r w:rsidRPr="0088294C">
        <w:t xml:space="preserve"> improvement in the delivery of public services</w:t>
      </w:r>
      <w:r w:rsidR="00F1708E">
        <w:t xml:space="preserve"> in PNG</w:t>
      </w:r>
      <w:r w:rsidRPr="0088294C">
        <w:t>. The economy remains dualistic</w:t>
      </w:r>
      <w:r>
        <w:t>,</w:t>
      </w:r>
      <w:r w:rsidRPr="0088294C">
        <w:t xml:space="preserve"> with much growth limited to the formal sectors, especial</w:t>
      </w:r>
      <w:r w:rsidR="004A4474">
        <w:t>ly in urban areas where only 15</w:t>
      </w:r>
      <w:r w:rsidR="00844A3F">
        <w:t xml:space="preserve"> per cent</w:t>
      </w:r>
      <w:r w:rsidR="004A4474">
        <w:t xml:space="preserve"> </w:t>
      </w:r>
      <w:r w:rsidRPr="0088294C">
        <w:t>of the population lives</w:t>
      </w:r>
      <w:r>
        <w:t>,</w:t>
      </w:r>
      <w:r w:rsidRPr="0088294C">
        <w:t xml:space="preserve"> and </w:t>
      </w:r>
      <w:r>
        <w:t xml:space="preserve">to </w:t>
      </w:r>
      <w:r w:rsidRPr="0088294C">
        <w:t>enclav</w:t>
      </w:r>
      <w:r>
        <w:t>e mining and petroleum projects</w:t>
      </w:r>
      <w:r w:rsidRPr="0088294C">
        <w:t xml:space="preserve">. </w:t>
      </w:r>
    </w:p>
    <w:p w:rsidR="00F17A8C" w:rsidRDefault="00F17A8C" w:rsidP="00F17A8C">
      <w:pPr>
        <w:pStyle w:val="BodyText"/>
      </w:pPr>
      <w:r>
        <w:t>Last year was characterised by a period of political instability, beginning with the Chief</w:t>
      </w:r>
      <w:r w:rsidR="006035A4">
        <w:t> </w:t>
      </w:r>
      <w:r>
        <w:t>Ombudsman recovering from a near fatal shooting just before Christmas, and ending with the Prime Minister standing down to face a leadership tribunal and the Supreme Court ruling that the re-election of the country's Governor-General was invalid. The year also saw</w:t>
      </w:r>
      <w:r w:rsidRPr="00C720EC">
        <w:t xml:space="preserve"> PNG </w:t>
      </w:r>
      <w:r w:rsidR="00F1708E">
        <w:t>m</w:t>
      </w:r>
      <w:r w:rsidRPr="00C720EC">
        <w:t xml:space="preserve">inisters and the </w:t>
      </w:r>
      <w:r w:rsidR="00F230FB" w:rsidRPr="00C720EC">
        <w:t xml:space="preserve">bureaucracy </w:t>
      </w:r>
      <w:r w:rsidR="00F230FB">
        <w:t>highly focused on</w:t>
      </w:r>
      <w:r w:rsidR="00F230FB" w:rsidRPr="00C720EC">
        <w:t xml:space="preserve"> </w:t>
      </w:r>
      <w:r w:rsidR="00F230FB">
        <w:t>the LNG project</w:t>
      </w:r>
      <w:r>
        <w:t xml:space="preserve"> and</w:t>
      </w:r>
      <w:r w:rsidR="00F230FB">
        <w:t>,</w:t>
      </w:r>
      <w:r w:rsidRPr="00C720EC">
        <w:t xml:space="preserve"> </w:t>
      </w:r>
      <w:r>
        <w:t>towards the end of the year</w:t>
      </w:r>
      <w:r w:rsidR="00F230FB">
        <w:t>, begin to be diverted by</w:t>
      </w:r>
      <w:r w:rsidRPr="00C720EC">
        <w:t xml:space="preserve"> the 2012 election</w:t>
      </w:r>
      <w:r w:rsidR="00844A3F">
        <w:t xml:space="preserve">. </w:t>
      </w:r>
    </w:p>
    <w:p w:rsidR="00F17A8C" w:rsidRPr="0088294C" w:rsidRDefault="00F17A8C" w:rsidP="00F17A8C">
      <w:pPr>
        <w:pStyle w:val="BodyText"/>
      </w:pPr>
      <w:r>
        <w:t xml:space="preserve">During 2010 the bureaucracy continued to move forward, including with some of its own positive reform agenda concerning the implementation of PNG’s decentralised system of government. </w:t>
      </w:r>
      <w:r w:rsidRPr="0088294C">
        <w:t xml:space="preserve">Overall, </w:t>
      </w:r>
      <w:r>
        <w:t xml:space="preserve">however, </w:t>
      </w:r>
      <w:r w:rsidRPr="0088294C">
        <w:t>the</w:t>
      </w:r>
      <w:r>
        <w:t>re is little evidence of improvement in the</w:t>
      </w:r>
      <w:r w:rsidRPr="0088294C">
        <w:t xml:space="preserve"> public service’s ability to deliver basic services. At the political level there appears to be insufficient commitment to genuine public service reform and improvement, and a lack of engagement by senior politicians and bureaucrats continues to undermine gains in specific areas. PNG is significantly off-track in meeting its commitments against the Millennium Development Goals</w:t>
      </w:r>
      <w:r w:rsidR="008C799F">
        <w:t xml:space="preserve"> </w:t>
      </w:r>
      <w:r w:rsidR="006035A4">
        <w:t>(</w:t>
      </w:r>
      <w:r w:rsidR="008C799F">
        <w:t>MDG</w:t>
      </w:r>
      <w:r w:rsidR="00F1708E">
        <w:t>s</w:t>
      </w:r>
      <w:r w:rsidR="008C799F">
        <w:t>)</w:t>
      </w:r>
      <w:r w:rsidRPr="0088294C">
        <w:t>, with social indicators among the worst in the Pacific region. In the United Nations Development Program</w:t>
      </w:r>
      <w:r>
        <w:t>’s</w:t>
      </w:r>
      <w:r w:rsidRPr="0088294C">
        <w:t xml:space="preserve"> </w:t>
      </w:r>
      <w:r w:rsidRPr="00C002D8">
        <w:rPr>
          <w:i/>
        </w:rPr>
        <w:t>Human Development Report 2010</w:t>
      </w:r>
      <w:r w:rsidRPr="0088294C">
        <w:t xml:space="preserve">, PNG is grouped among those countries with low human development, ranking 137 out of 169 countries. </w:t>
      </w:r>
    </w:p>
    <w:p w:rsidR="00A31FD5" w:rsidRDefault="00F17A8C" w:rsidP="00F17A8C">
      <w:pPr>
        <w:pStyle w:val="BodyText"/>
      </w:pPr>
      <w:r w:rsidRPr="0088294C">
        <w:t xml:space="preserve">PNG </w:t>
      </w:r>
      <w:r>
        <w:t xml:space="preserve">continues to </w:t>
      </w:r>
      <w:r w:rsidRPr="0088294C">
        <w:t>face significant law and order problems. Crime and violence are features of everyday life, particularly in urban areas, where theft and sexual and other physical assaults are commonplace. Economic</w:t>
      </w:r>
      <w:r>
        <w:t>,</w:t>
      </w:r>
      <w:r w:rsidRPr="0088294C">
        <w:t xml:space="preserve"> social </w:t>
      </w:r>
      <w:r>
        <w:t xml:space="preserve">and health </w:t>
      </w:r>
      <w:r w:rsidRPr="0088294C">
        <w:t xml:space="preserve">indicators clearly indicate that life for women continues to be characterised by disadvantage and discrimination. </w:t>
      </w:r>
    </w:p>
    <w:p w:rsidR="00F17A8C" w:rsidRPr="0088294C" w:rsidRDefault="00A31FD5" w:rsidP="00F17A8C">
      <w:pPr>
        <w:pStyle w:val="BodyText"/>
      </w:pPr>
      <w:r>
        <w:br w:type="page"/>
      </w:r>
    </w:p>
    <w:p w:rsidR="00130109" w:rsidRPr="00E470AB" w:rsidRDefault="00130109" w:rsidP="0048616B">
      <w:pPr>
        <w:pStyle w:val="Heading1"/>
      </w:pPr>
      <w:bookmarkStart w:id="1" w:name="_Toc361584106"/>
      <w:r w:rsidRPr="00E470AB">
        <w:lastRenderedPageBreak/>
        <w:t>Progress against objectives</w:t>
      </w:r>
      <w:bookmarkEnd w:id="1"/>
    </w:p>
    <w:p w:rsidR="004323E1" w:rsidRDefault="006207C0" w:rsidP="004323E1">
      <w:pPr>
        <w:pStyle w:val="Caption"/>
      </w:pPr>
      <w:r>
        <w:t>Table 2</w:t>
      </w:r>
      <w:r w:rsidR="004323E1">
        <w:t xml:space="preserve">: Ratings of the program’s progress in 2010 towards the objectives </w:t>
      </w:r>
    </w:p>
    <w:tbl>
      <w:tblPr>
        <w:tblW w:w="0" w:type="auto"/>
        <w:tblInd w:w="57" w:type="dxa"/>
        <w:tblLook w:val="01E0" w:firstRow="1" w:lastRow="1" w:firstColumn="1" w:lastColumn="1" w:noHBand="0" w:noVBand="0"/>
      </w:tblPr>
      <w:tblGrid>
        <w:gridCol w:w="5725"/>
        <w:gridCol w:w="896"/>
        <w:gridCol w:w="1316"/>
      </w:tblGrid>
      <w:tr w:rsidR="004323E1" w:rsidRPr="00D81B5B" w:rsidTr="00E470AB">
        <w:trPr>
          <w:cantSplit/>
          <w:tblHeader/>
        </w:trPr>
        <w:tc>
          <w:tcPr>
            <w:tcW w:w="5725" w:type="dxa"/>
            <w:tcBorders>
              <w:top w:val="single" w:sz="12" w:space="0" w:color="auto"/>
              <w:bottom w:val="single" w:sz="2" w:space="0" w:color="auto"/>
            </w:tcBorders>
            <w:shd w:val="clear" w:color="auto" w:fill="auto"/>
            <w:tcMar>
              <w:left w:w="57" w:type="dxa"/>
              <w:right w:w="57" w:type="dxa"/>
            </w:tcMar>
          </w:tcPr>
          <w:p w:rsidR="004323E1" w:rsidRPr="00936B2C" w:rsidRDefault="004323E1" w:rsidP="00D03639">
            <w:pPr>
              <w:pStyle w:val="TableTextColumnHeading"/>
              <w:rPr>
                <w:b/>
              </w:rPr>
            </w:pPr>
            <w:r w:rsidRPr="00936B2C">
              <w:rPr>
                <w:b/>
              </w:rPr>
              <w:t>Objective</w:t>
            </w:r>
          </w:p>
        </w:tc>
        <w:tc>
          <w:tcPr>
            <w:tcW w:w="896" w:type="dxa"/>
            <w:tcBorders>
              <w:top w:val="single" w:sz="12" w:space="0" w:color="auto"/>
              <w:bottom w:val="single" w:sz="2" w:space="0" w:color="auto"/>
            </w:tcBorders>
            <w:shd w:val="clear" w:color="auto" w:fill="auto"/>
            <w:tcMar>
              <w:left w:w="57" w:type="dxa"/>
              <w:right w:w="57" w:type="dxa"/>
            </w:tcMar>
          </w:tcPr>
          <w:p w:rsidR="004323E1" w:rsidRDefault="004323E1" w:rsidP="00D03639">
            <w:pPr>
              <w:pStyle w:val="TableTextColumnHeading"/>
              <w:jc w:val="center"/>
            </w:pPr>
            <w:r w:rsidRPr="00D81B5B">
              <w:t>Rating</w:t>
            </w:r>
            <w:r>
              <w:t xml:space="preserve"> in 2010</w:t>
            </w:r>
          </w:p>
        </w:tc>
        <w:tc>
          <w:tcPr>
            <w:tcW w:w="1316" w:type="dxa"/>
            <w:tcBorders>
              <w:top w:val="single" w:sz="12" w:space="0" w:color="auto"/>
              <w:bottom w:val="single" w:sz="2" w:space="0" w:color="auto"/>
            </w:tcBorders>
            <w:shd w:val="clear" w:color="auto" w:fill="auto"/>
            <w:tcMar>
              <w:left w:w="57" w:type="dxa"/>
              <w:right w:w="57" w:type="dxa"/>
            </w:tcMar>
          </w:tcPr>
          <w:p w:rsidR="004323E1" w:rsidRDefault="004323E1" w:rsidP="00D03639">
            <w:pPr>
              <w:pStyle w:val="TableTextColumnHeading"/>
              <w:jc w:val="center"/>
            </w:pPr>
            <w:r>
              <w:t>Relative to</w:t>
            </w:r>
            <w:r w:rsidRPr="00D81B5B">
              <w:t xml:space="preserve"> </w:t>
            </w:r>
            <w:r>
              <w:br/>
            </w:r>
            <w:r w:rsidRPr="00D81B5B">
              <w:t>previous rating</w:t>
            </w:r>
          </w:p>
        </w:tc>
      </w:tr>
      <w:tr w:rsidR="00F17A8C" w:rsidRPr="00D81B5B" w:rsidTr="0082169D">
        <w:trPr>
          <w:cantSplit/>
        </w:trPr>
        <w:tc>
          <w:tcPr>
            <w:tcW w:w="5725" w:type="dxa"/>
            <w:tcMar>
              <w:left w:w="57" w:type="dxa"/>
              <w:right w:w="57" w:type="dxa"/>
            </w:tcMar>
            <w:vAlign w:val="center"/>
          </w:tcPr>
          <w:p w:rsidR="00F17A8C" w:rsidRPr="0058729F" w:rsidRDefault="00F17A8C" w:rsidP="004B1640">
            <w:pPr>
              <w:pStyle w:val="TableTextEntries"/>
              <w:keepNext/>
            </w:pPr>
            <w:r>
              <w:t xml:space="preserve">1. </w:t>
            </w:r>
            <w:r w:rsidRPr="008370DC">
              <w:t xml:space="preserve">Key </w:t>
            </w:r>
            <w:r w:rsidR="004B1640">
              <w:t>n</w:t>
            </w:r>
            <w:r w:rsidRPr="008370DC">
              <w:t xml:space="preserve">ational </w:t>
            </w:r>
            <w:r w:rsidR="004B1640">
              <w:t>r</w:t>
            </w:r>
            <w:r w:rsidRPr="008370DC">
              <w:t xml:space="preserve">oads, </w:t>
            </w:r>
            <w:r w:rsidR="004B1640">
              <w:t>p</w:t>
            </w:r>
            <w:r w:rsidRPr="008370DC">
              <w:t xml:space="preserve">orts and </w:t>
            </w:r>
            <w:r w:rsidR="004B1640">
              <w:t>a</w:t>
            </w:r>
            <w:r w:rsidRPr="008370DC">
              <w:t>irports providing access to markets and services</w:t>
            </w:r>
          </w:p>
        </w:tc>
        <w:tc>
          <w:tcPr>
            <w:tcW w:w="896" w:type="dxa"/>
            <w:shd w:val="clear" w:color="auto" w:fill="auto"/>
            <w:tcMar>
              <w:left w:w="57" w:type="dxa"/>
              <w:right w:w="57" w:type="dxa"/>
            </w:tcMar>
            <w:vAlign w:val="center"/>
          </w:tcPr>
          <w:p w:rsidR="00F17A8C" w:rsidRPr="0058729F" w:rsidRDefault="0048616B" w:rsidP="0048616B">
            <w:pPr>
              <w:pStyle w:val="Ratingbullet"/>
              <w:keepNext/>
            </w:pPr>
            <w:r>
              <w:rPr>
                <w:noProof/>
                <w:color w:val="99CC00"/>
                <w:sz w:val="18"/>
                <w:szCs w:val="18"/>
                <w:lang w:val="en-US"/>
              </w:rPr>
              <mc:AlternateContent>
                <mc:Choice Requires="wps">
                  <w:drawing>
                    <wp:inline distT="0" distB="0" distL="0" distR="0">
                      <wp:extent cx="176530" cy="184150"/>
                      <wp:effectExtent l="1905" t="2540" r="2540" b="3810"/>
                      <wp:docPr id="258" name="Rectangle 1226"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41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6" o:spid="_x0000_s1026" alt="Green" style="width:1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" fillcolor="#92d050"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sz w:val="22"/>
                <w:szCs w:val="22"/>
              </w:rPr>
            </w:pPr>
            <w:r>
              <w:rPr>
                <w:noProof/>
                <w:color w:val="99CC00"/>
                <w:sz w:val="18"/>
                <w:szCs w:val="18"/>
                <w:lang w:val="en-US"/>
              </w:rPr>
              <mc:AlternateContent>
                <mc:Choice Requires="wps">
                  <w:drawing>
                    <wp:inline distT="0" distB="0" distL="0" distR="0">
                      <wp:extent cx="182880" cy="182880"/>
                      <wp:effectExtent l="0" t="2540" r="1905" b="0"/>
                      <wp:docPr id="257" name="Rectangle 1208"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8"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" fillcolor="#f79646"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82169D">
            <w:pPr>
              <w:pStyle w:val="TableTextEntries"/>
              <w:keepNext/>
            </w:pPr>
            <w:r>
              <w:t xml:space="preserve">2. </w:t>
            </w:r>
            <w:r w:rsidRPr="008370DC">
              <w:t>Significant, measurable progress towards the achievement of universal basic education by 2015</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76530" cy="184150"/>
                      <wp:effectExtent l="1905" t="2540" r="2540" b="3810"/>
                      <wp:docPr id="31" name="Rectangle 1225"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41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5" o:spid="_x0000_s1026" alt="Green" style="width:1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" fillcolor="#92d050"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76530" cy="184150"/>
                      <wp:effectExtent l="0" t="2540" r="0" b="3810"/>
                      <wp:docPr id="30" name="Rectangle 122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41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7" o:spid="_x0000_s1026" alt="Green" style="width:1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" fillcolor="#92d050"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82169D">
            <w:pPr>
              <w:pStyle w:val="TableTextEntries"/>
              <w:keepNext/>
            </w:pPr>
            <w:r>
              <w:t xml:space="preserve">3. </w:t>
            </w:r>
            <w:r w:rsidRPr="008370DC">
              <w:t>Improved health outcomes</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60655" cy="157480"/>
                      <wp:effectExtent l="0" t="3175" r="1270" b="1270"/>
                      <wp:docPr id="29" name="Rectangle 1202"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7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2" o:spid="_x0000_s1026" alt="Red" style="width:12.6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" fillcolor="red"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60655" cy="157480"/>
                      <wp:effectExtent l="0" t="3175" r="3810" b="1270"/>
                      <wp:docPr id="28" name="Rectangle 1203"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7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3" o:spid="_x0000_s1026" alt="Red" style="width:12.6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" fillcolor="red"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4B1640">
            <w:pPr>
              <w:pStyle w:val="TableTextEntries"/>
              <w:keepNext/>
            </w:pPr>
            <w:r>
              <w:t xml:space="preserve">4. </w:t>
            </w:r>
            <w:r w:rsidRPr="008370DC">
              <w:t>An efficient and effective public service</w:t>
            </w:r>
            <w:r>
              <w:t xml:space="preserve"> (</w:t>
            </w:r>
            <w:r w:rsidR="004B1640">
              <w:t>n</w:t>
            </w:r>
            <w:r>
              <w:t>ational level)</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82880" cy="182880"/>
                      <wp:effectExtent l="0" t="0" r="0" b="1905"/>
                      <wp:docPr id="27" name="Rectangle 1209"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9"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BLQitfhgIA&#10;AAwFAAAOAAAAAAAAAAAAAAAAAC4CAABkcnMvZTJvRG9jLnhtbFBLAQItABQABgAIAAAAIQAvDyc5&#10;1wAAAAMBAAAPAAAAAAAAAAAAAAAAAOAEAABkcnMvZG93bnJldi54bWxQSwUGAAAAAAQABADzAAAA&#10;5AUAAAAA&#10;" fillcolor="#f79646"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60655" cy="157480"/>
                      <wp:effectExtent l="0" t="0" r="3810" b="0"/>
                      <wp:docPr id="26" name="Rectangle 1204"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7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4" o:spid="_x0000_s1026" alt="Red" style="width:12.6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" fillcolor="red"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4B1640">
            <w:pPr>
              <w:pStyle w:val="TableTextEntries"/>
              <w:keepNext/>
            </w:pPr>
            <w:r>
              <w:t xml:space="preserve">4. </w:t>
            </w:r>
            <w:r w:rsidRPr="008370DC">
              <w:t>An efficient and effective public service</w:t>
            </w:r>
            <w:r>
              <w:t xml:space="preserve"> (</w:t>
            </w:r>
            <w:r w:rsidR="004B1640">
              <w:t>s</w:t>
            </w:r>
            <w:r>
              <w:t>ub-national level)</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82880" cy="182880"/>
                      <wp:effectExtent l="0" t="3175" r="0" b="4445"/>
                      <wp:docPr id="25" name="Rectangle 1210"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0"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DN1i0ohgIA&#10;AAwFAAAOAAAAAAAAAAAAAAAAAC4CAABkcnMvZTJvRG9jLnhtbFBLAQItABQABgAIAAAAIQAvDyc5&#10;1wAAAAMBAAAPAAAAAAAAAAAAAAAAAOAEAABkcnMvZG93bnJldi54bWxQSwUGAAAAAAQABADzAAAA&#10;5AUAAAAA&#10;" fillcolor="#f79646"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82880" cy="182880"/>
                      <wp:effectExtent l="0" t="3175" r="1905" b="4445"/>
                      <wp:docPr id="24" name="Rectangle 1216"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6"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A4JHdWhgIA&#10;AAwFAAAOAAAAAAAAAAAAAAAAAC4CAABkcnMvZTJvRG9jLnhtbFBLAQItABQABgAIAAAAIQAvDyc5&#10;1wAAAAMBAAAPAAAAAAAAAAAAAAAAAOAEAABkcnMvZG93bnJldi54bWxQSwUGAAAAAAQABADzAAAA&#10;5AUAAAAA&#10;" fillcolor="#f79646" stroked="f">
                      <w10:anchorlock/>
                    </v:rect>
                  </w:pict>
                </mc:Fallback>
              </mc:AlternateContent>
            </w:r>
            <w:r w:rsidR="00F17A8C" w:rsidRPr="005A303A">
              <w:rPr>
                <w:bCs/>
                <w:sz w:val="22"/>
                <w:szCs w:val="22"/>
              </w:rPr>
              <w:fldChar w:fldCharType="begin"/>
            </w:r>
            <w:r w:rsidR="00F17A8C" w:rsidRPr="005A303A">
              <w:rPr>
                <w:bCs/>
                <w:sz w:val="22"/>
                <w:szCs w:val="22"/>
              </w:rPr>
              <w:instrText xml:space="preserve"> AUTOTEXTLIST  \s "Table Text Entries"\t "Right click to choose a response" \* MERGEFORMAT </w:instrText>
            </w:r>
            <w:r w:rsidR="00F17A8C" w:rsidRPr="005A303A">
              <w:rPr>
                <w:bCs/>
                <w:sz w:val="22"/>
                <w:szCs w:val="22"/>
              </w:rPr>
              <w:fldChar w:fldCharType="end"/>
            </w:r>
          </w:p>
        </w:tc>
      </w:tr>
      <w:tr w:rsidR="00F17A8C" w:rsidRPr="00D81B5B" w:rsidTr="0082169D">
        <w:trPr>
          <w:cantSplit/>
        </w:trPr>
        <w:tc>
          <w:tcPr>
            <w:tcW w:w="5725" w:type="dxa"/>
            <w:tcMar>
              <w:left w:w="57" w:type="dxa"/>
              <w:right w:w="57" w:type="dxa"/>
            </w:tcMar>
            <w:vAlign w:val="center"/>
          </w:tcPr>
          <w:p w:rsidR="00F17A8C" w:rsidRDefault="00F17A8C" w:rsidP="0082169D">
            <w:pPr>
              <w:pStyle w:val="TableTextEntries"/>
              <w:keepNext/>
            </w:pPr>
            <w:r>
              <w:t xml:space="preserve">5. </w:t>
            </w:r>
            <w:r w:rsidRPr="008370DC">
              <w:t>Development policy and program formulation based on sound statistics and performance reporting</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82880" cy="182880"/>
                      <wp:effectExtent l="0" t="635" r="0" b="0"/>
                      <wp:docPr id="23" name="Rectangle 1211"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1"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" fillcolor="#f79646"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82880" cy="182880"/>
                      <wp:effectExtent l="0" t="635" r="1905" b="0"/>
                      <wp:docPr id="22" name="Rectangle 1217"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7"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CPN8kWhgIA&#10;AAwFAAAOAAAAAAAAAAAAAAAAAC4CAABkcnMvZTJvRG9jLnhtbFBLAQItABQABgAIAAAAIQAvDyc5&#10;1wAAAAMBAAAPAAAAAAAAAAAAAAAAAOAEAABkcnMvZG93bnJldi54bWxQSwUGAAAAAAQABADzAAAA&#10;5AUAAAAA&#10;" fillcolor="#f79646"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82169D">
            <w:pPr>
              <w:pStyle w:val="TableTextEntries"/>
              <w:keepNext/>
            </w:pPr>
            <w:r>
              <w:t xml:space="preserve">6a. </w:t>
            </w:r>
            <w:r w:rsidRPr="008370DC">
              <w:t xml:space="preserve">Stabilise spread of new </w:t>
            </w:r>
            <w:r>
              <w:t>HIV i</w:t>
            </w:r>
            <w:r w:rsidRPr="008370DC">
              <w:t>nfections by 2020 and provide effective care and treatment of those infected</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82880" cy="182880"/>
                      <wp:effectExtent l="0" t="635" r="0" b="0"/>
                      <wp:docPr id="21" name="Rectangle 1212"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2"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BNwSzhhgIA&#10;AAwFAAAOAAAAAAAAAAAAAAAAAC4CAABkcnMvZTJvRG9jLnhtbFBLAQItABQABgAIAAAAIQAvDyc5&#10;1wAAAAMBAAAPAAAAAAAAAAAAAAAAAOAEAABkcnMvZG93bnJldi54bWxQSwUGAAAAAAQABADzAAAA&#10;5AUAAAAA&#10;" fillcolor="#f79646"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82880" cy="182880"/>
                      <wp:effectExtent l="0" t="635" r="1905" b="0"/>
                      <wp:docPr id="20" name="Rectangle 1218"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8"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" fillcolor="#f79646"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4B1640">
            <w:pPr>
              <w:pStyle w:val="TableTextEntries"/>
              <w:keepNext/>
            </w:pPr>
            <w:r>
              <w:t xml:space="preserve">6b. </w:t>
            </w:r>
            <w:r w:rsidRPr="008370DC">
              <w:t>Strengthened national capacity to lead, coordinate and implement the HIV response</w:t>
            </w:r>
            <w:r>
              <w:t xml:space="preserve"> (</w:t>
            </w:r>
            <w:r w:rsidR="004B1640">
              <w:t>g</w:t>
            </w:r>
            <w:r>
              <w:t>overnment)</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82880" cy="182880"/>
                      <wp:effectExtent l="0" t="635" r="0" b="0"/>
                      <wp:docPr id="19" name="Rectangle 121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3"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BqbxkQhgIA&#10;AAwFAAAOAAAAAAAAAAAAAAAAAC4CAABkcnMvZTJvRG9jLnhtbFBLAQItABQABgAIAAAAIQAvDyc5&#10;1wAAAAMBAAAPAAAAAAAAAAAAAAAAAOAEAABkcnMvZG93bnJldi54bWxQSwUGAAAAAAQABADzAAAA&#10;5AUAAAAA&#10;" fillcolor="#f79646"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82880" cy="182880"/>
                      <wp:effectExtent l="0" t="635" r="1905" b="0"/>
                      <wp:docPr id="18" name="Rectangle 1219"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9"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But1FthgIA&#10;AAwFAAAOAAAAAAAAAAAAAAAAAC4CAABkcnMvZTJvRG9jLnhtbFBLAQItABQABgAIAAAAIQAvDyc5&#10;1wAAAAMBAAAPAAAAAAAAAAAAAAAAAOAEAABkcnMvZG93bnJldi54bWxQSwUGAAAAAAQABADzAAAA&#10;5AUAAAAA&#10;" fillcolor="#f79646"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4B1640">
            <w:pPr>
              <w:pStyle w:val="TableTextEntries"/>
              <w:keepNext/>
            </w:pPr>
            <w:r>
              <w:t xml:space="preserve">6b. </w:t>
            </w:r>
            <w:r w:rsidRPr="008370DC">
              <w:t>Strengthened national capacity to lead, coordinate and implement the HIV response</w:t>
            </w:r>
            <w:r>
              <w:t xml:space="preserve"> (</w:t>
            </w:r>
            <w:r w:rsidR="004B1640">
              <w:t>c</w:t>
            </w:r>
            <w:r>
              <w:t xml:space="preserve">ivil </w:t>
            </w:r>
            <w:r w:rsidR="004B1640">
              <w:t>s</w:t>
            </w:r>
            <w:r>
              <w:t>ociety)</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82880" cy="182880"/>
                      <wp:effectExtent l="0" t="635" r="0" b="0"/>
                      <wp:docPr id="17" name="Rectangle 1214"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4"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Br2uv0hgIA&#10;AAwFAAAOAAAAAAAAAAAAAAAAAC4CAABkcnMvZTJvRG9jLnhtbFBLAQItABQABgAIAAAAIQAvDyc5&#10;1wAAAAMBAAAPAAAAAAAAAAAAAAAAAOAEAABkcnMvZG93bnJldi54bWxQSwUGAAAAAAQABADzAAAA&#10;5AUAAAAA&#10;" fillcolor="#f79646"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76530" cy="184150"/>
                      <wp:effectExtent l="0" t="635" r="0" b="0"/>
                      <wp:docPr id="16" name="Rectangle 122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41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9" o:spid="_x0000_s1026" alt="Green" style="width:1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" fillcolor="#92d050"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844A3F">
            <w:pPr>
              <w:pStyle w:val="TableTextEntries"/>
              <w:keepNext/>
            </w:pPr>
            <w:r>
              <w:t xml:space="preserve">7. </w:t>
            </w:r>
            <w:r w:rsidRPr="008370DC">
              <w:t>I</w:t>
            </w:r>
            <w:r>
              <w:t xml:space="preserve">mproved ability to provide </w:t>
            </w:r>
            <w:r w:rsidR="004B1640">
              <w:t>l</w:t>
            </w:r>
            <w:r>
              <w:t xml:space="preserve">aw </w:t>
            </w:r>
            <w:r w:rsidR="00844A3F">
              <w:t>and</w:t>
            </w:r>
            <w:r w:rsidRPr="008370DC">
              <w:t xml:space="preserve"> </w:t>
            </w:r>
            <w:r w:rsidR="004B1640">
              <w:t>j</w:t>
            </w:r>
            <w:r w:rsidRPr="008370DC">
              <w:t>ustice services</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76530" cy="184150"/>
                      <wp:effectExtent l="1905" t="635" r="2540" b="0"/>
                      <wp:docPr id="15" name="Rectangle 1228"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41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8" o:spid="_x0000_s1026" alt="Green" style="width:1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" fillcolor="#92d050"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82880" cy="182880"/>
                      <wp:effectExtent l="0" t="635" r="1905" b="0"/>
                      <wp:docPr id="14" name="Rectangle 1220"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0"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" fillcolor="#f79646"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82169D">
            <w:pPr>
              <w:pStyle w:val="TableTextEntries"/>
              <w:keepNext/>
            </w:pPr>
            <w:r>
              <w:t xml:space="preserve">8. </w:t>
            </w:r>
            <w:r w:rsidRPr="00647358">
              <w:t>Increased workforce skills</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82880" cy="182880"/>
                      <wp:effectExtent l="0" t="3810" r="0" b="3810"/>
                      <wp:docPr id="13" name="Rectangle 12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5"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DHBvJLhgIA&#10;AAwFAAAOAAAAAAAAAAAAAAAAAC4CAABkcnMvZTJvRG9jLnhtbFBLAQItABQABgAIAAAAIQAvDyc5&#10;1wAAAAMBAAAPAAAAAAAAAAAAAAAAAOAEAABkcnMvZG93bnJldi54bWxQSwUGAAAAAAQABADzAAAA&#10;5AUAAAAA&#10;" fillcolor="#f79646"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82880" cy="182880"/>
                      <wp:effectExtent l="0" t="3810" r="1905" b="3810"/>
                      <wp:docPr id="12" name="Rectangle 1221"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1"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DtDznqhgIA&#10;AAwFAAAOAAAAAAAAAAAAAAAAAC4CAABkcnMvZTJvRG9jLnhtbFBLAQItABQABgAIAAAAIQAvDyc5&#10;1wAAAAMBAAAPAAAAAAAAAAAAAAAAAOAEAABkcnMvZG93bnJldi54bWxQSwUGAAAAAAQABADzAAAA&#10;5AUAAAAA&#10;" fillcolor="#f79646"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82169D">
            <w:pPr>
              <w:pStyle w:val="TableTextEntries"/>
              <w:keepNext/>
            </w:pPr>
            <w:r>
              <w:t xml:space="preserve">9. </w:t>
            </w:r>
            <w:r w:rsidRPr="00647358">
              <w:t xml:space="preserve">Men and women, civil society, and the state working together </w:t>
            </w:r>
            <w:r>
              <w:t>to meet communities’ needs</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76530" cy="184150"/>
                      <wp:effectExtent l="1905" t="1270" r="2540" b="0"/>
                      <wp:docPr id="11" name="Rectangle 123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41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30" o:spid="_x0000_s1026" alt="Green" style="width:1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" fillcolor="#92d050"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82880" cy="182880"/>
                      <wp:effectExtent l="0" t="1270" r="1905" b="0"/>
                      <wp:docPr id="10" name="Rectangle 1222"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2"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" fillcolor="#f79646"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82169D">
            <w:pPr>
              <w:pStyle w:val="TableTextEntries"/>
              <w:keepNext/>
            </w:pPr>
            <w:r>
              <w:t xml:space="preserve">10. </w:t>
            </w:r>
            <w:r w:rsidRPr="00647358">
              <w:t>Sustainable and secure improvements in food supply and incomes for smallholders</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76530" cy="184150"/>
                      <wp:effectExtent l="1905" t="1270" r="2540" b="0"/>
                      <wp:docPr id="9" name="Rectangle 1231"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41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31" o:spid="_x0000_s1026" alt="Green" style="width:1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" fillcolor="#92d050" stroked="f">
                      <w10:anchorlock/>
                    </v:rect>
                  </w:pict>
                </mc:Fallback>
              </mc:AlternateContent>
            </w:r>
          </w:p>
        </w:tc>
        <w:tc>
          <w:tcPr>
            <w:tcW w:w="1316" w:type="dxa"/>
            <w:tcMar>
              <w:left w:w="57" w:type="dxa"/>
              <w:right w:w="57" w:type="dxa"/>
            </w:tcMar>
            <w:vAlign w:val="center"/>
          </w:tcPr>
          <w:p w:rsidR="00F17A8C" w:rsidRPr="005A303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82880" cy="182880"/>
                      <wp:effectExtent l="0" t="1270" r="1905" b="0"/>
                      <wp:docPr id="8" name="Rectangle 122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3" o:spid="_x0000_s1026" alt="Amber"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" fillcolor="#f79646" stroked="f">
                      <w10:anchorlock/>
                    </v:rect>
                  </w:pict>
                </mc:Fallback>
              </mc:AlternateContent>
            </w:r>
          </w:p>
        </w:tc>
      </w:tr>
      <w:tr w:rsidR="00F17A8C" w:rsidRPr="00D81B5B" w:rsidTr="0082169D">
        <w:trPr>
          <w:cantSplit/>
        </w:trPr>
        <w:tc>
          <w:tcPr>
            <w:tcW w:w="5725" w:type="dxa"/>
            <w:tcMar>
              <w:left w:w="57" w:type="dxa"/>
              <w:right w:w="57" w:type="dxa"/>
            </w:tcMar>
            <w:vAlign w:val="center"/>
          </w:tcPr>
          <w:p w:rsidR="00F17A8C" w:rsidRDefault="00F17A8C" w:rsidP="0082169D">
            <w:pPr>
              <w:pStyle w:val="TableTextEntries"/>
              <w:keepNext/>
            </w:pPr>
            <w:r w:rsidRPr="00DE27CF">
              <w:t>11. A conducive environment for enhanced private sector development</w:t>
            </w:r>
          </w:p>
        </w:tc>
        <w:tc>
          <w:tcPr>
            <w:tcW w:w="896" w:type="dxa"/>
            <w:shd w:val="clear" w:color="auto" w:fill="auto"/>
            <w:tcMar>
              <w:left w:w="57" w:type="dxa"/>
              <w:right w:w="57" w:type="dxa"/>
            </w:tcMar>
            <w:vAlign w:val="center"/>
          </w:tcPr>
          <w:p w:rsidR="00F17A8C" w:rsidRDefault="0048616B" w:rsidP="0082169D">
            <w:pPr>
              <w:pStyle w:val="Ratingbullet"/>
              <w:keepNext/>
            </w:pPr>
            <w:r>
              <w:rPr>
                <w:noProof/>
                <w:color w:val="99CC00"/>
                <w:sz w:val="18"/>
                <w:szCs w:val="18"/>
                <w:lang w:val="en-US"/>
              </w:rPr>
              <mc:AlternateContent>
                <mc:Choice Requires="wps">
                  <w:drawing>
                    <wp:inline distT="0" distB="0" distL="0" distR="0">
                      <wp:extent cx="160655" cy="157480"/>
                      <wp:effectExtent l="0" t="1905" r="1270" b="2540"/>
                      <wp:docPr id="7" name="Rectangle 1205"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7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5" o:spid="_x0000_s1026" alt="Red" style="width:12.6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" fillcolor="red" stroked="f">
                      <w10:anchorlock/>
                    </v:rect>
                  </w:pict>
                </mc:Fallback>
              </mc:AlternateContent>
            </w:r>
          </w:p>
        </w:tc>
        <w:tc>
          <w:tcPr>
            <w:tcW w:w="1316" w:type="dxa"/>
            <w:tcMar>
              <w:left w:w="57" w:type="dxa"/>
              <w:right w:w="57" w:type="dxa"/>
            </w:tcMar>
            <w:vAlign w:val="center"/>
          </w:tcPr>
          <w:p w:rsidR="00F17A8C" w:rsidRPr="009058AA" w:rsidRDefault="0048616B" w:rsidP="0082169D">
            <w:pPr>
              <w:pStyle w:val="TableTextEntries"/>
              <w:keepNext/>
              <w:jc w:val="center"/>
              <w:rPr>
                <w:bCs/>
                <w:sz w:val="22"/>
                <w:szCs w:val="22"/>
              </w:rPr>
            </w:pPr>
            <w:r>
              <w:rPr>
                <w:noProof/>
                <w:color w:val="99CC00"/>
                <w:sz w:val="18"/>
                <w:szCs w:val="18"/>
                <w:lang w:val="en-US"/>
              </w:rPr>
              <mc:AlternateContent>
                <mc:Choice Requires="wps">
                  <w:drawing>
                    <wp:inline distT="0" distB="0" distL="0" distR="0">
                      <wp:extent cx="176530" cy="184150"/>
                      <wp:effectExtent l="0" t="1270" r="0" b="0"/>
                      <wp:docPr id="6" name="Rectangle 1232"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41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32" o:spid="_x0000_s1026" alt="Green" style="width:13.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" fillcolor="#92d050" stroked="f">
                      <w10:anchorlock/>
                    </v:rect>
                  </w:pict>
                </mc:Fallback>
              </mc:AlternateContent>
            </w:r>
          </w:p>
        </w:tc>
      </w:tr>
      <w:tr w:rsidR="00F17A8C" w:rsidRPr="00D81B5B" w:rsidTr="0082169D">
        <w:trPr>
          <w:cantSplit/>
        </w:trPr>
        <w:tc>
          <w:tcPr>
            <w:tcW w:w="5725" w:type="dxa"/>
            <w:tcBorders>
              <w:bottom w:val="single" w:sz="12" w:space="0" w:color="auto"/>
            </w:tcBorders>
            <w:shd w:val="clear" w:color="auto" w:fill="auto"/>
            <w:tcMar>
              <w:left w:w="57" w:type="dxa"/>
              <w:right w:w="57" w:type="dxa"/>
            </w:tcMar>
            <w:vAlign w:val="center"/>
          </w:tcPr>
          <w:p w:rsidR="00F17A8C" w:rsidRPr="00D81B5B" w:rsidRDefault="00F17A8C" w:rsidP="0082169D">
            <w:pPr>
              <w:pStyle w:val="TableTextEntries"/>
              <w:keepNext/>
            </w:pPr>
            <w:r>
              <w:t xml:space="preserve">12. </w:t>
            </w:r>
            <w:r w:rsidRPr="00647358">
              <w:t>Addressing the causes and mitigating the impacts of climate change</w:t>
            </w:r>
          </w:p>
        </w:tc>
        <w:tc>
          <w:tcPr>
            <w:tcW w:w="896" w:type="dxa"/>
            <w:tcBorders>
              <w:bottom w:val="single" w:sz="12" w:space="0" w:color="auto"/>
            </w:tcBorders>
            <w:shd w:val="clear" w:color="auto" w:fill="auto"/>
            <w:tcMar>
              <w:left w:w="57" w:type="dxa"/>
              <w:right w:w="57" w:type="dxa"/>
            </w:tcMar>
            <w:vAlign w:val="center"/>
          </w:tcPr>
          <w:p w:rsidR="00F17A8C" w:rsidRPr="0058729F" w:rsidRDefault="0048616B" w:rsidP="0082169D">
            <w:pPr>
              <w:pStyle w:val="Ratingbullet"/>
              <w:keepNext/>
            </w:pPr>
            <w:r>
              <w:rPr>
                <w:noProof/>
                <w:color w:val="99CC00"/>
                <w:sz w:val="18"/>
                <w:szCs w:val="18"/>
                <w:lang w:val="en-US"/>
              </w:rPr>
              <mc:AlternateContent>
                <mc:Choice Requires="wps">
                  <w:drawing>
                    <wp:inline distT="0" distB="0" distL="0" distR="0">
                      <wp:extent cx="160655" cy="157480"/>
                      <wp:effectExtent l="0" t="0" r="1270" b="0"/>
                      <wp:docPr id="5" name="Rectangle 1206"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7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6" o:spid="_x0000_s1026" alt="Red" style="width:12.6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" fillcolor="red" stroked="f">
                      <w10:anchorlock/>
                    </v:rect>
                  </w:pict>
                </mc:Fallback>
              </mc:AlternateContent>
            </w:r>
          </w:p>
        </w:tc>
        <w:tc>
          <w:tcPr>
            <w:tcW w:w="1316" w:type="dxa"/>
            <w:tcBorders>
              <w:bottom w:val="single" w:sz="12" w:space="0" w:color="auto"/>
            </w:tcBorders>
            <w:shd w:val="clear" w:color="auto" w:fill="auto"/>
            <w:tcMar>
              <w:left w:w="57" w:type="dxa"/>
              <w:right w:w="57" w:type="dxa"/>
            </w:tcMar>
            <w:vAlign w:val="center"/>
          </w:tcPr>
          <w:p w:rsidR="00F17A8C" w:rsidRPr="005A303A" w:rsidRDefault="0048616B" w:rsidP="0082169D">
            <w:pPr>
              <w:pStyle w:val="TableTextEntries"/>
              <w:keepNext/>
              <w:jc w:val="center"/>
              <w:rPr>
                <w:sz w:val="22"/>
                <w:szCs w:val="22"/>
              </w:rPr>
            </w:pPr>
            <w:r>
              <w:rPr>
                <w:noProof/>
                <w:color w:val="99CC00"/>
                <w:sz w:val="18"/>
                <w:szCs w:val="18"/>
                <w:lang w:val="en-US"/>
              </w:rPr>
              <mc:AlternateContent>
                <mc:Choice Requires="wps">
                  <w:drawing>
                    <wp:inline distT="0" distB="0" distL="0" distR="0">
                      <wp:extent cx="160655" cy="157480"/>
                      <wp:effectExtent l="0" t="0" r="3810" b="0"/>
                      <wp:docPr id="4" name="Rectangle 1207"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7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7" o:spid="_x0000_s1026" alt="Red" style="width:12.6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" fillcolor="red" stroked="f">
                      <w10:anchorlock/>
                    </v:rect>
                  </w:pict>
                </mc:Fallback>
              </mc:AlternateContent>
            </w:r>
          </w:p>
        </w:tc>
      </w:tr>
    </w:tbl>
    <w:p w:rsidR="004323E1" w:rsidRDefault="004323E1" w:rsidP="004323E1">
      <w:pPr>
        <w:pStyle w:val="Note"/>
        <w:keepNext/>
      </w:pPr>
      <w:r w:rsidRPr="00D33DDE">
        <w:t xml:space="preserve">Note: </w:t>
      </w:r>
    </w:p>
    <w:p w:rsidR="004323E1" w:rsidRPr="006D2818" w:rsidRDefault="0048616B" w:rsidP="0048616B">
      <w:pPr>
        <w:pStyle w:val="Note"/>
        <w:keepNext/>
        <w:spacing w:before="0"/>
      </w:pPr>
      <w:r>
        <w:rPr>
          <w:noProof/>
          <w:color w:val="99CC00"/>
          <w:sz w:val="18"/>
          <w:szCs w:val="18"/>
          <w:lang w:val="en-US"/>
        </w:rPr>
        <mc:AlternateContent>
          <mc:Choice Requires="wps">
            <w:drawing>
              <wp:inline distT="0" distB="0" distL="0" distR="0">
                <wp:extent cx="109220" cy="112395"/>
                <wp:effectExtent l="0" t="0" r="0" b="0"/>
                <wp:docPr id="3" name="Rectangle 119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1239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99" o:spid="_x0000_s1026" alt="Green" style="width:8.6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" fillcolor="#92d050" stroked="f">
                <w10:anchorlock/>
              </v:rect>
            </w:pict>
          </mc:Fallback>
        </mc:AlternateContent>
      </w:r>
      <w:r w:rsidR="004323E1">
        <w:rPr>
          <w:rFonts w:ascii="Arial Unicode MS" w:eastAsia="Arial Unicode MS" w:hAnsi="Arial Unicode MS" w:cs="Arial Unicode MS"/>
        </w:rPr>
        <w:t> </w:t>
      </w:r>
      <w:r w:rsidR="004323E1" w:rsidRPr="006D2818">
        <w:t>The objective will be fully achieved within the timeframe of the strategy.</w:t>
      </w:r>
    </w:p>
    <w:p w:rsidR="004323E1" w:rsidRPr="006D2818" w:rsidRDefault="0048616B" w:rsidP="004323E1">
      <w:pPr>
        <w:pStyle w:val="Note"/>
        <w:keepNext/>
        <w:spacing w:before="0"/>
      </w:pPr>
      <w:r>
        <w:rPr>
          <w:noProof/>
          <w:color w:val="99CC00"/>
          <w:sz w:val="18"/>
          <w:szCs w:val="18"/>
          <w:lang w:val="en-US"/>
        </w:rPr>
        <mc:AlternateContent>
          <mc:Choice Requires="wps">
            <w:drawing>
              <wp:inline distT="0" distB="0" distL="0" distR="0">
                <wp:extent cx="109220" cy="112395"/>
                <wp:effectExtent l="0" t="0" r="0" b="4445"/>
                <wp:docPr id="2" name="Rectangle 1200"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1239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0" o:spid="_x0000_s1026" alt="Amber" style="width:8.6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" fillcolor="#f79646 [3209]" stroked="f">
                <w10:anchorlock/>
              </v:rect>
            </w:pict>
          </mc:Fallback>
        </mc:AlternateContent>
      </w:r>
      <w:r w:rsidR="004323E1">
        <w:rPr>
          <w:rFonts w:ascii="Arial Unicode MS" w:eastAsia="Arial Unicode MS" w:hAnsi="Arial Unicode MS" w:cs="Arial Unicode MS"/>
        </w:rPr>
        <w:t> </w:t>
      </w:r>
      <w:r w:rsidR="004323E1" w:rsidRPr="006D2818">
        <w:t>The objective will be partly achieved within the timeframe of the strategy.</w:t>
      </w:r>
    </w:p>
    <w:p w:rsidR="004323E1" w:rsidRDefault="0048616B" w:rsidP="004323E1">
      <w:pPr>
        <w:pStyle w:val="Note"/>
        <w:spacing w:before="0"/>
      </w:pPr>
      <w:r>
        <w:rPr>
          <w:noProof/>
          <w:color w:val="99CC00"/>
          <w:sz w:val="18"/>
          <w:szCs w:val="18"/>
          <w:lang w:val="en-US"/>
        </w:rPr>
        <mc:AlternateContent>
          <mc:Choice Requires="wps">
            <w:drawing>
              <wp:inline distT="0" distB="0" distL="0" distR="0">
                <wp:extent cx="109220" cy="112395"/>
                <wp:effectExtent l="0" t="0" r="0" b="3175"/>
                <wp:docPr id="1" name="Rectangle 1201"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123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1" o:spid="_x0000_s1026" alt="Red" style="width:8.6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" fillcolor="red" stroked="f">
                <w10:anchorlock/>
              </v:rect>
            </w:pict>
          </mc:Fallback>
        </mc:AlternateContent>
      </w:r>
      <w:r w:rsidR="004323E1">
        <w:rPr>
          <w:rFonts w:ascii="Arial Unicode MS" w:eastAsia="Arial Unicode MS" w:hAnsi="Arial Unicode MS" w:cs="Arial Unicode MS"/>
        </w:rPr>
        <w:t> </w:t>
      </w:r>
      <w:r w:rsidR="004323E1" w:rsidRPr="006D2818">
        <w:t>The objective is unlikely to be achieved within the timeframe of the strategy.</w:t>
      </w:r>
    </w:p>
    <w:p w:rsidR="009E16A6" w:rsidRDefault="009E16A6" w:rsidP="009653BC">
      <w:pPr>
        <w:pStyle w:val="Heading2"/>
        <w:spacing w:before="600"/>
      </w:pPr>
      <w:bookmarkStart w:id="2" w:name="_Toc295144865"/>
      <w:bookmarkStart w:id="3" w:name="_Toc296695408"/>
      <w:bookmarkStart w:id="4" w:name="_Toc361584107"/>
      <w:r w:rsidRPr="00B521F2">
        <w:t>Objective 1</w:t>
      </w:r>
      <w:r>
        <w:t>:</w:t>
      </w:r>
      <w:r w:rsidRPr="00B521F2">
        <w:t xml:space="preserve"> Key national roads, ports and airports providing access to markets and services</w:t>
      </w:r>
      <w:bookmarkEnd w:id="2"/>
      <w:bookmarkEnd w:id="3"/>
      <w:bookmarkEnd w:id="4"/>
    </w:p>
    <w:p w:rsidR="00B543F6" w:rsidRPr="000F3873" w:rsidRDefault="00B543F6" w:rsidP="00B543F6">
      <w:pPr>
        <w:pStyle w:val="BodyText"/>
      </w:pPr>
      <w:r w:rsidRPr="000F3873">
        <w:t>Australia’s support is heavily focused on roads, and achievements in this sub-sector are consi</w:t>
      </w:r>
      <w:r>
        <w:t xml:space="preserve">dered to be the most critical. </w:t>
      </w:r>
      <w:r w:rsidRPr="000F3873">
        <w:t>Under the Transpor</w:t>
      </w:r>
      <w:r>
        <w:t xml:space="preserve">t Sector Support Program </w:t>
      </w:r>
      <w:r w:rsidRPr="000F3873">
        <w:t>Australia funded maintenance activities in 2010 on 2153 km of national roads, including the entire trunk</w:t>
      </w:r>
      <w:r w:rsidR="006035A4">
        <w:t> </w:t>
      </w:r>
      <w:r>
        <w:t xml:space="preserve"> road network in Bougainville. </w:t>
      </w:r>
      <w:r w:rsidRPr="000F3873">
        <w:t>This contributed to the higher number of roads in good condition</w:t>
      </w:r>
      <w:r>
        <w:t xml:space="preserve"> (</w:t>
      </w:r>
      <w:r w:rsidRPr="000F3873">
        <w:t xml:space="preserve">national priority roads are assessed as </w:t>
      </w:r>
      <w:r>
        <w:t>good, average or poor condition). T</w:t>
      </w:r>
      <w:r w:rsidRPr="000F3873">
        <w:t>he</w:t>
      </w:r>
      <w:r w:rsidR="006035A4">
        <w:t> </w:t>
      </w:r>
      <w:r w:rsidRPr="000F3873">
        <w:t>percentage of national priority roads in good condition st</w:t>
      </w:r>
      <w:r>
        <w:t>ands at 48</w:t>
      </w:r>
      <w:r w:rsidR="00844A3F">
        <w:t xml:space="preserve"> per cent</w:t>
      </w:r>
      <w:r>
        <w:t xml:space="preserve"> in 2010 compared with 39</w:t>
      </w:r>
      <w:r w:rsidR="00844A3F">
        <w:t xml:space="preserve"> per cent</w:t>
      </w:r>
      <w:r>
        <w:t xml:space="preserve"> in 2009. </w:t>
      </w:r>
      <w:r w:rsidRPr="000F3873">
        <w:t>The percentage of roads in poor conditi</w:t>
      </w:r>
      <w:r>
        <w:t>on decreased from 21</w:t>
      </w:r>
      <w:r w:rsidR="00844A3F">
        <w:t xml:space="preserve"> per cent</w:t>
      </w:r>
      <w:r w:rsidRPr="000F3873">
        <w:t xml:space="preserve"> in 2009 to 11</w:t>
      </w:r>
      <w:r w:rsidR="00844A3F">
        <w:t xml:space="preserve"> per cent</w:t>
      </w:r>
      <w:r>
        <w:t xml:space="preserve"> in 2010. </w:t>
      </w:r>
      <w:r w:rsidRPr="000F3873">
        <w:t>This represents a substantial improvement in the condition of priority roads, and surpasses expected results</w:t>
      </w:r>
      <w:r>
        <w:t xml:space="preserve">. However, there are questions around the quality of the data in </w:t>
      </w:r>
      <w:r w:rsidR="004B1640">
        <w:t>the report</w:t>
      </w:r>
      <w:r>
        <w:t xml:space="preserve"> and t</w:t>
      </w:r>
      <w:r w:rsidRPr="000F3873">
        <w:t>he findings will be verified by an</w:t>
      </w:r>
      <w:r w:rsidR="00F77E49">
        <w:t xml:space="preserve"> Australian Agency for International Development (</w:t>
      </w:r>
      <w:proofErr w:type="spellStart"/>
      <w:r w:rsidRPr="000C31B7">
        <w:t>AusAID</w:t>
      </w:r>
      <w:proofErr w:type="spellEnd"/>
      <w:r w:rsidR="00F77E49">
        <w:t>)</w:t>
      </w:r>
      <w:r w:rsidRPr="000F3873">
        <w:t>-funded visual road condition survey in 2011.</w:t>
      </w:r>
    </w:p>
    <w:p w:rsidR="00B543F6" w:rsidRPr="000F3873" w:rsidRDefault="00B543F6" w:rsidP="00B543F6">
      <w:pPr>
        <w:pStyle w:val="BodyText"/>
      </w:pPr>
      <w:r w:rsidRPr="000F3873">
        <w:lastRenderedPageBreak/>
        <w:t>A socio-economic impact study of communities with access to priority roads maintained with Australian funding was undert</w:t>
      </w:r>
      <w:r>
        <w:t xml:space="preserve">aken in 2010 in </w:t>
      </w:r>
      <w:r w:rsidR="004721D2">
        <w:t xml:space="preserve">10 </w:t>
      </w:r>
      <w:r>
        <w:t xml:space="preserve">provinces. </w:t>
      </w:r>
      <w:r w:rsidRPr="000F3873">
        <w:t>The s</w:t>
      </w:r>
      <w:r>
        <w:t xml:space="preserve">tudy built on a 2008 baseline. </w:t>
      </w:r>
      <w:r w:rsidRPr="000F3873">
        <w:t>S</w:t>
      </w:r>
      <w:r>
        <w:t>tore-bought food prices were 10</w:t>
      </w:r>
      <w:r w:rsidR="00844A3F">
        <w:t xml:space="preserve"> per cent</w:t>
      </w:r>
      <w:r w:rsidRPr="000F3873">
        <w:t xml:space="preserve"> lower than in control villages that did not live close to roads maintained under </w:t>
      </w:r>
      <w:smartTag w:uri="urn:schemas-microsoft-com:office:smarttags" w:element="place">
        <w:smartTag w:uri="urn:schemas-microsoft-com:office:smarttags" w:element="country-region">
          <w:r w:rsidRPr="000F3873">
            <w:t>Australia</w:t>
          </w:r>
        </w:smartTag>
      </w:smartTag>
      <w:r>
        <w:t xml:space="preserve">’s program. </w:t>
      </w:r>
      <w:r w:rsidRPr="000F3873">
        <w:t>This suggested that road maintenance (or proximity to a priority road) increased th</w:t>
      </w:r>
      <w:r>
        <w:t xml:space="preserve">e spending power of villagers. </w:t>
      </w:r>
      <w:r w:rsidRPr="000F3873">
        <w:t>Household</w:t>
      </w:r>
      <w:r w:rsidR="004721D2">
        <w:t>er</w:t>
      </w:r>
      <w:r w:rsidRPr="000F3873">
        <w:t>s in eight of the provinces were taking more trips, and travel times were reduced, but the study was not clear on the impact this was</w:t>
      </w:r>
      <w:r>
        <w:t xml:space="preserve"> having on access to services. </w:t>
      </w:r>
      <w:r w:rsidRPr="000F3873">
        <w:t>It did, however, ascertain that the cost of a trip to a health centre had decreased in</w:t>
      </w:r>
      <w:r>
        <w:t xml:space="preserve"> seven of the provinces. </w:t>
      </w:r>
      <w:r w:rsidRPr="000F3873">
        <w:t>This effort highlights the challenge of making direct causal connections between investments in road maintenance and observ</w:t>
      </w:r>
      <w:r>
        <w:t>able trends in social sectors.</w:t>
      </w:r>
    </w:p>
    <w:p w:rsidR="00B543F6" w:rsidRPr="000F3873" w:rsidRDefault="00B543F6" w:rsidP="00B543F6">
      <w:pPr>
        <w:pStyle w:val="BodyText"/>
      </w:pPr>
      <w:r>
        <w:t>Sixteen</w:t>
      </w:r>
      <w:r w:rsidRPr="000F3873">
        <w:t xml:space="preserve"> national airports </w:t>
      </w:r>
      <w:r>
        <w:t>were</w:t>
      </w:r>
      <w:r w:rsidRPr="000F3873">
        <w:t xml:space="preserve"> certified to international safety and security standards by 2010</w:t>
      </w:r>
      <w:r>
        <w:t xml:space="preserve">, </w:t>
      </w:r>
      <w:r w:rsidRPr="000F3873">
        <w:t>up</w:t>
      </w:r>
      <w:r>
        <w:t xml:space="preserve"> from 13 the previous year. </w:t>
      </w:r>
      <w:r w:rsidRPr="000F3873">
        <w:t>This represents a solid improvement, although it falls short of the target of 17 certifications.</w:t>
      </w:r>
    </w:p>
    <w:p w:rsidR="00B543F6" w:rsidRPr="000F3873" w:rsidRDefault="00B543F6" w:rsidP="00B543F6">
      <w:pPr>
        <w:pStyle w:val="BodyText"/>
      </w:pPr>
      <w:r w:rsidRPr="000F3873">
        <w:t>Ship turnaround times ran at 2.8 days, representing a modest improvement on the 3</w:t>
      </w:r>
      <w:r w:rsidR="004721D2">
        <w:t>-</w:t>
      </w:r>
      <w:r w:rsidRPr="000F3873">
        <w:t>day turnaround at project commencement, although overall cargo th</w:t>
      </w:r>
      <w:r>
        <w:t>roughput increased by 14</w:t>
      </w:r>
      <w:r w:rsidR="00844A3F">
        <w:t xml:space="preserve"> per cent</w:t>
      </w:r>
      <w:r w:rsidRPr="000F3873">
        <w:t xml:space="preserve"> in 2010 (lar</w:t>
      </w:r>
      <w:r>
        <w:t xml:space="preserve">gely resulting from </w:t>
      </w:r>
      <w:proofErr w:type="spellStart"/>
      <w:r>
        <w:t>Lae</w:t>
      </w:r>
      <w:proofErr w:type="spellEnd"/>
      <w:r>
        <w:t xml:space="preserve"> Port). </w:t>
      </w:r>
      <w:r w:rsidRPr="000F3873">
        <w:t>This positive result can be partially attributed to operational efficiencies gained through adviser support and is probably near the limit of productivity</w:t>
      </w:r>
      <w:r>
        <w:t xml:space="preserve"> given the current asset base. </w:t>
      </w:r>
      <w:r w:rsidRPr="000F3873">
        <w:t xml:space="preserve">Turnaround times are expected to improve once critical new crane installations (funded by </w:t>
      </w:r>
      <w:r w:rsidR="006035A4">
        <w:t xml:space="preserve">the </w:t>
      </w:r>
      <w:r w:rsidR="000C31B7" w:rsidRPr="000C31B7">
        <w:t xml:space="preserve">Government of Papua New Guinea </w:t>
      </w:r>
      <w:r w:rsidR="000C31B7">
        <w:t>[</w:t>
      </w:r>
      <w:proofErr w:type="spellStart"/>
      <w:r w:rsidRPr="000C31B7">
        <w:t>GoPNG</w:t>
      </w:r>
      <w:proofErr w:type="spellEnd"/>
      <w:r w:rsidR="000C31B7">
        <w:t>]</w:t>
      </w:r>
      <w:r w:rsidRPr="000F3873">
        <w:t xml:space="preserve">) are completed and operational at Port Moresby and </w:t>
      </w:r>
      <w:proofErr w:type="spellStart"/>
      <w:r w:rsidRPr="000F3873">
        <w:t>Lae</w:t>
      </w:r>
      <w:proofErr w:type="spellEnd"/>
      <w:r w:rsidRPr="000F3873">
        <w:t xml:space="preserve"> ports.</w:t>
      </w:r>
    </w:p>
    <w:p w:rsidR="00EE4B94" w:rsidRDefault="00B543F6" w:rsidP="004A4474">
      <w:pPr>
        <w:pStyle w:val="BodyText"/>
      </w:pPr>
      <w:r w:rsidRPr="000F3873">
        <w:t>Australia supports safety and security in the PNG aviation and marit</w:t>
      </w:r>
      <w:r>
        <w:t>ime sectors under the Australia</w:t>
      </w:r>
      <w:r w:rsidR="004721D2">
        <w:t xml:space="preserve"> </w:t>
      </w:r>
      <w:r>
        <w:t>–</w:t>
      </w:r>
      <w:r w:rsidR="004721D2">
        <w:t xml:space="preserve"> </w:t>
      </w:r>
      <w:r w:rsidRPr="000F3873">
        <w:t>PNG Memorandum of Understanding on Transport</w:t>
      </w:r>
      <w:r>
        <w:t>,</w:t>
      </w:r>
      <w:r w:rsidRPr="000F3873">
        <w:t xml:space="preserve"> and through adviser inputs under the </w:t>
      </w:r>
      <w:proofErr w:type="spellStart"/>
      <w:r>
        <w:t>Strongim</w:t>
      </w:r>
      <w:proofErr w:type="spellEnd"/>
      <w:r>
        <w:t xml:space="preserve"> </w:t>
      </w:r>
      <w:proofErr w:type="spellStart"/>
      <w:r>
        <w:t>Gavman</w:t>
      </w:r>
      <w:proofErr w:type="spellEnd"/>
      <w:r>
        <w:t xml:space="preserve"> Program. </w:t>
      </w:r>
      <w:r w:rsidRPr="000F3873">
        <w:t>Considerable energy was devoted to identifying gaps and needs in the aviation sector in 2010. Implementation of training programs, management systems and information collection and dissemination to sup</w:t>
      </w:r>
      <w:r>
        <w:t xml:space="preserve">port this process is underway. Through the </w:t>
      </w:r>
      <w:r w:rsidR="004721D2">
        <w:t>m</w:t>
      </w:r>
      <w:r w:rsidR="000C31B7" w:rsidRPr="000C31B7">
        <w:t xml:space="preserve">emorandum of </w:t>
      </w:r>
      <w:r w:rsidR="004721D2">
        <w:t>u</w:t>
      </w:r>
      <w:r w:rsidR="000C31B7" w:rsidRPr="000C31B7">
        <w:t>nderstan</w:t>
      </w:r>
      <w:r w:rsidR="000C31B7">
        <w:t>ding</w:t>
      </w:r>
      <w:r>
        <w:t xml:space="preserve">, </w:t>
      </w:r>
      <w:proofErr w:type="spellStart"/>
      <w:r>
        <w:t>AusAID</w:t>
      </w:r>
      <w:proofErr w:type="spellEnd"/>
      <w:r>
        <w:t xml:space="preserve"> is also supporting the major upgrade of PNG’s air traffic management system under the </w:t>
      </w:r>
      <w:r w:rsidR="00F77E49">
        <w:t>Asian Development Bank (</w:t>
      </w:r>
      <w:r w:rsidRPr="000C31B7">
        <w:t>ADB</w:t>
      </w:r>
      <w:r w:rsidR="00F77E49">
        <w:t>)</w:t>
      </w:r>
      <w:r>
        <w:t xml:space="preserve"> loan program</w:t>
      </w:r>
      <w:r w:rsidR="004A4474">
        <w:t>.</w:t>
      </w:r>
    </w:p>
    <w:p w:rsidR="009E16A6" w:rsidRDefault="009E16A6" w:rsidP="0048616B">
      <w:pPr>
        <w:pStyle w:val="Heading2"/>
      </w:pPr>
      <w:bookmarkStart w:id="5" w:name="_Toc295144866"/>
      <w:bookmarkStart w:id="6" w:name="_Toc296695409"/>
      <w:bookmarkStart w:id="7" w:name="_Toc361584108"/>
      <w:r w:rsidRPr="00B521F2">
        <w:t xml:space="preserve">Objective </w:t>
      </w:r>
      <w:r>
        <w:t>2:</w:t>
      </w:r>
      <w:r w:rsidRPr="00B521F2">
        <w:t xml:space="preserve"> </w:t>
      </w:r>
      <w:r w:rsidRPr="00A5424A">
        <w:t>Significant, measurable progress towards the achievement of universal basic education by 2015</w:t>
      </w:r>
      <w:bookmarkEnd w:id="5"/>
      <w:bookmarkEnd w:id="6"/>
      <w:bookmarkEnd w:id="7"/>
    </w:p>
    <w:p w:rsidR="00B543F6" w:rsidRPr="00FD15AB" w:rsidRDefault="00B543F6" w:rsidP="00B543F6">
      <w:pPr>
        <w:spacing w:before="80" w:after="80" w:line="280" w:lineRule="atLeast"/>
        <w:rPr>
          <w:rFonts w:ascii="Georgia" w:hAnsi="Georgia"/>
          <w:sz w:val="19"/>
          <w:szCs w:val="19"/>
        </w:rPr>
      </w:pPr>
      <w:r w:rsidRPr="00FD15AB">
        <w:rPr>
          <w:rFonts w:ascii="Georgia" w:hAnsi="Georgia"/>
          <w:sz w:val="19"/>
          <w:szCs w:val="19"/>
        </w:rPr>
        <w:t xml:space="preserve">The Basic Education </w:t>
      </w:r>
      <w:r>
        <w:rPr>
          <w:rFonts w:ascii="Georgia" w:hAnsi="Georgia"/>
          <w:sz w:val="19"/>
          <w:szCs w:val="19"/>
        </w:rPr>
        <w:t>Development Program focu</w:t>
      </w:r>
      <w:r w:rsidRPr="00FD15AB">
        <w:rPr>
          <w:rFonts w:ascii="Georgia" w:hAnsi="Georgia"/>
          <w:sz w:val="19"/>
          <w:szCs w:val="19"/>
        </w:rPr>
        <w:t>sed on construction of school infrastructure, distribution of primary school books and stren</w:t>
      </w:r>
      <w:r>
        <w:rPr>
          <w:rFonts w:ascii="Georgia" w:hAnsi="Georgia"/>
          <w:sz w:val="19"/>
          <w:szCs w:val="19"/>
        </w:rPr>
        <w:t>gthening of school management.</w:t>
      </w:r>
      <w:r w:rsidR="004721D2">
        <w:rPr>
          <w:rFonts w:ascii="Georgia" w:hAnsi="Georgia"/>
          <w:sz w:val="19"/>
          <w:szCs w:val="19"/>
        </w:rPr>
        <w:t xml:space="preserve"> A total of 539</w:t>
      </w:r>
      <w:r w:rsidR="006035A4">
        <w:rPr>
          <w:rFonts w:ascii="Georgia" w:hAnsi="Georgia"/>
          <w:sz w:val="19"/>
          <w:szCs w:val="19"/>
        </w:rPr>
        <w:t> </w:t>
      </w:r>
      <w:r w:rsidR="004721D2">
        <w:rPr>
          <w:rFonts w:ascii="Georgia" w:hAnsi="Georgia"/>
          <w:sz w:val="19"/>
          <w:szCs w:val="19"/>
        </w:rPr>
        <w:t>000</w:t>
      </w:r>
      <w:r w:rsidRPr="00FD15AB">
        <w:rPr>
          <w:rFonts w:ascii="Georgia" w:hAnsi="Georgia"/>
          <w:sz w:val="19"/>
          <w:szCs w:val="19"/>
        </w:rPr>
        <w:t xml:space="preserve"> core primary level textbooks, selected by the </w:t>
      </w:r>
      <w:r w:rsidR="00F77E49">
        <w:rPr>
          <w:rFonts w:ascii="Georgia" w:hAnsi="Georgia"/>
          <w:sz w:val="19"/>
          <w:szCs w:val="19"/>
        </w:rPr>
        <w:t>Department of Education</w:t>
      </w:r>
      <w:r w:rsidRPr="00FD15AB">
        <w:rPr>
          <w:rFonts w:ascii="Georgia" w:hAnsi="Georgia"/>
          <w:sz w:val="19"/>
          <w:szCs w:val="19"/>
        </w:rPr>
        <w:t>, were distributed to all 3500 primary and</w:t>
      </w:r>
      <w:r>
        <w:rPr>
          <w:rFonts w:ascii="Georgia" w:hAnsi="Georgia"/>
          <w:sz w:val="19"/>
          <w:szCs w:val="19"/>
        </w:rPr>
        <w:t xml:space="preserve"> community schools across PNG. </w:t>
      </w:r>
      <w:r w:rsidR="000C31B7">
        <w:rPr>
          <w:rFonts w:ascii="Georgia" w:hAnsi="Georgia"/>
          <w:sz w:val="19"/>
          <w:szCs w:val="19"/>
        </w:rPr>
        <w:t>More than</w:t>
      </w:r>
      <w:r>
        <w:rPr>
          <w:rFonts w:ascii="Georgia" w:hAnsi="Georgia"/>
          <w:sz w:val="19"/>
          <w:szCs w:val="19"/>
        </w:rPr>
        <w:t xml:space="preserve"> </w:t>
      </w:r>
      <w:r w:rsidRPr="00FD15AB">
        <w:rPr>
          <w:rFonts w:ascii="Georgia" w:hAnsi="Georgia"/>
          <w:sz w:val="19"/>
          <w:szCs w:val="19"/>
        </w:rPr>
        <w:t>328</w:t>
      </w:r>
      <w:r w:rsidR="00A12684">
        <w:rPr>
          <w:rFonts w:ascii="Georgia" w:hAnsi="Georgia"/>
          <w:sz w:val="19"/>
          <w:szCs w:val="19"/>
        </w:rPr>
        <w:t> </w:t>
      </w:r>
      <w:r w:rsidRPr="00FD15AB">
        <w:rPr>
          <w:rFonts w:ascii="Georgia" w:hAnsi="Georgia"/>
          <w:sz w:val="19"/>
          <w:szCs w:val="19"/>
        </w:rPr>
        <w:t>475 core secondary</w:t>
      </w:r>
      <w:r w:rsidR="004721D2">
        <w:rPr>
          <w:rFonts w:ascii="Georgia" w:hAnsi="Georgia"/>
          <w:sz w:val="19"/>
          <w:szCs w:val="19"/>
        </w:rPr>
        <w:t>-</w:t>
      </w:r>
      <w:r w:rsidRPr="00FD15AB">
        <w:rPr>
          <w:rFonts w:ascii="Georgia" w:hAnsi="Georgia"/>
          <w:sz w:val="19"/>
          <w:szCs w:val="19"/>
        </w:rPr>
        <w:t xml:space="preserve">level textbooks were procured </w:t>
      </w:r>
      <w:r w:rsidR="004721D2">
        <w:rPr>
          <w:rFonts w:ascii="Georgia" w:hAnsi="Georgia"/>
          <w:sz w:val="19"/>
          <w:szCs w:val="19"/>
        </w:rPr>
        <w:t>to</w:t>
      </w:r>
      <w:r w:rsidR="004721D2" w:rsidRPr="00FD15AB">
        <w:rPr>
          <w:rFonts w:ascii="Georgia" w:hAnsi="Georgia"/>
          <w:sz w:val="19"/>
          <w:szCs w:val="19"/>
        </w:rPr>
        <w:t xml:space="preserve"> </w:t>
      </w:r>
      <w:r w:rsidRPr="00FD15AB">
        <w:rPr>
          <w:rFonts w:ascii="Georgia" w:hAnsi="Georgia"/>
          <w:sz w:val="19"/>
          <w:szCs w:val="19"/>
        </w:rPr>
        <w:t>distribut</w:t>
      </w:r>
      <w:r w:rsidR="004721D2">
        <w:rPr>
          <w:rFonts w:ascii="Georgia" w:hAnsi="Georgia"/>
          <w:sz w:val="19"/>
          <w:szCs w:val="19"/>
        </w:rPr>
        <w:t>e</w:t>
      </w:r>
      <w:r w:rsidRPr="00FD15AB">
        <w:rPr>
          <w:rFonts w:ascii="Georgia" w:hAnsi="Georgia"/>
          <w:sz w:val="19"/>
          <w:szCs w:val="19"/>
        </w:rPr>
        <w:t xml:space="preserve"> to</w:t>
      </w:r>
      <w:r>
        <w:rPr>
          <w:rFonts w:ascii="Georgia" w:hAnsi="Georgia"/>
          <w:sz w:val="19"/>
          <w:szCs w:val="19"/>
        </w:rPr>
        <w:t xml:space="preserve"> all 204 secondary schools and seven</w:t>
      </w:r>
      <w:r w:rsidRPr="00FD15AB">
        <w:rPr>
          <w:rFonts w:ascii="Georgia" w:hAnsi="Georgia"/>
          <w:sz w:val="19"/>
          <w:szCs w:val="19"/>
        </w:rPr>
        <w:t xml:space="preserve"> </w:t>
      </w:r>
      <w:r>
        <w:rPr>
          <w:rFonts w:ascii="Georgia" w:hAnsi="Georgia"/>
          <w:sz w:val="19"/>
          <w:szCs w:val="19"/>
        </w:rPr>
        <w:t xml:space="preserve">national high schools in 2011. </w:t>
      </w:r>
      <w:r w:rsidRPr="00FD15AB">
        <w:rPr>
          <w:rFonts w:ascii="Georgia" w:hAnsi="Georgia"/>
          <w:sz w:val="19"/>
          <w:szCs w:val="19"/>
        </w:rPr>
        <w:t>This is a key step towards bringing the necessary resources to schools, wh</w:t>
      </w:r>
      <w:r>
        <w:rPr>
          <w:rFonts w:ascii="Georgia" w:hAnsi="Georgia"/>
          <w:sz w:val="19"/>
          <w:szCs w:val="19"/>
        </w:rPr>
        <w:t>ich have few up-to-date books. In addition, seven</w:t>
      </w:r>
      <w:r w:rsidRPr="00FD15AB">
        <w:rPr>
          <w:rFonts w:ascii="Georgia" w:hAnsi="Georgia"/>
          <w:sz w:val="19"/>
          <w:szCs w:val="19"/>
        </w:rPr>
        <w:t xml:space="preserve"> large science kits were procured for distribution </w:t>
      </w:r>
      <w:r>
        <w:rPr>
          <w:rFonts w:ascii="Georgia" w:hAnsi="Georgia"/>
          <w:sz w:val="19"/>
          <w:szCs w:val="19"/>
        </w:rPr>
        <w:t>in 2011 to the seven</w:t>
      </w:r>
      <w:r w:rsidRPr="00FD15AB">
        <w:rPr>
          <w:rFonts w:ascii="Georgia" w:hAnsi="Georgia"/>
          <w:sz w:val="19"/>
          <w:szCs w:val="19"/>
        </w:rPr>
        <w:t xml:space="preserve"> </w:t>
      </w:r>
      <w:r w:rsidR="004721D2">
        <w:rPr>
          <w:rFonts w:ascii="Georgia" w:hAnsi="Georgia"/>
          <w:sz w:val="19"/>
          <w:szCs w:val="19"/>
        </w:rPr>
        <w:t>n</w:t>
      </w:r>
      <w:r w:rsidRPr="00FD15AB">
        <w:rPr>
          <w:rFonts w:ascii="Georgia" w:hAnsi="Georgia"/>
          <w:sz w:val="19"/>
          <w:szCs w:val="19"/>
        </w:rPr>
        <w:t xml:space="preserve">ational </w:t>
      </w:r>
      <w:r w:rsidR="004721D2">
        <w:rPr>
          <w:rFonts w:ascii="Georgia" w:hAnsi="Georgia"/>
          <w:sz w:val="19"/>
          <w:szCs w:val="19"/>
        </w:rPr>
        <w:t>h</w:t>
      </w:r>
      <w:r w:rsidRPr="00FD15AB">
        <w:rPr>
          <w:rFonts w:ascii="Georgia" w:hAnsi="Georgia"/>
          <w:sz w:val="19"/>
          <w:szCs w:val="19"/>
        </w:rPr>
        <w:t xml:space="preserve">igh </w:t>
      </w:r>
      <w:r w:rsidR="004721D2">
        <w:rPr>
          <w:rFonts w:ascii="Georgia" w:hAnsi="Georgia"/>
          <w:sz w:val="19"/>
          <w:szCs w:val="19"/>
        </w:rPr>
        <w:t>s</w:t>
      </w:r>
      <w:r w:rsidRPr="00FD15AB">
        <w:rPr>
          <w:rFonts w:ascii="Georgia" w:hAnsi="Georgia"/>
          <w:sz w:val="19"/>
          <w:szCs w:val="19"/>
        </w:rPr>
        <w:t xml:space="preserve">chools to help improve the PNG ‘schools of excellence’ and respond to the findings of the 2009 </w:t>
      </w:r>
      <w:proofErr w:type="spellStart"/>
      <w:r w:rsidRPr="00FD15AB">
        <w:rPr>
          <w:rFonts w:ascii="Georgia" w:hAnsi="Georgia"/>
          <w:sz w:val="19"/>
          <w:szCs w:val="19"/>
        </w:rPr>
        <w:t>Garnaut-Namaliu</w:t>
      </w:r>
      <w:proofErr w:type="spellEnd"/>
      <w:r w:rsidRPr="00FD15AB">
        <w:rPr>
          <w:rFonts w:ascii="Georgia" w:hAnsi="Georgia"/>
          <w:sz w:val="19"/>
          <w:szCs w:val="19"/>
        </w:rPr>
        <w:t xml:space="preserve"> Universities Review.</w:t>
      </w:r>
    </w:p>
    <w:p w:rsidR="00B543F6" w:rsidRPr="00FD15AB" w:rsidRDefault="00B543F6" w:rsidP="00B543F6">
      <w:pPr>
        <w:spacing w:before="80" w:after="80" w:line="280" w:lineRule="atLeast"/>
        <w:rPr>
          <w:rFonts w:ascii="Georgia" w:hAnsi="Georgia"/>
          <w:sz w:val="19"/>
          <w:szCs w:val="19"/>
        </w:rPr>
      </w:pPr>
      <w:r>
        <w:rPr>
          <w:rFonts w:ascii="Georgia" w:hAnsi="Georgia"/>
          <w:sz w:val="19"/>
          <w:szCs w:val="19"/>
        </w:rPr>
        <w:t>While i</w:t>
      </w:r>
      <w:r w:rsidRPr="00FD15AB">
        <w:rPr>
          <w:rFonts w:ascii="Georgia" w:hAnsi="Georgia"/>
          <w:sz w:val="19"/>
          <w:szCs w:val="19"/>
        </w:rPr>
        <w:t xml:space="preserve">nternational studies show a direct link between access to books and quality of learning, it is too early to judge the impact of this </w:t>
      </w:r>
      <w:r>
        <w:rPr>
          <w:rFonts w:ascii="Georgia" w:hAnsi="Georgia"/>
          <w:sz w:val="19"/>
          <w:szCs w:val="19"/>
        </w:rPr>
        <w:t xml:space="preserve">activity on learning outcomes. </w:t>
      </w:r>
      <w:r w:rsidRPr="00FD15AB">
        <w:rPr>
          <w:rFonts w:ascii="Georgia" w:hAnsi="Georgia"/>
          <w:sz w:val="19"/>
          <w:szCs w:val="19"/>
        </w:rPr>
        <w:t xml:space="preserve">While the need remains great, </w:t>
      </w:r>
      <w:r>
        <w:rPr>
          <w:rFonts w:ascii="Georgia" w:hAnsi="Georgia"/>
          <w:sz w:val="19"/>
          <w:szCs w:val="19"/>
        </w:rPr>
        <w:t>the</w:t>
      </w:r>
      <w:r w:rsidRPr="00FD15AB">
        <w:rPr>
          <w:rFonts w:ascii="Georgia" w:hAnsi="Georgia"/>
          <w:sz w:val="19"/>
          <w:szCs w:val="19"/>
        </w:rPr>
        <w:t xml:space="preserve"> primary</w:t>
      </w:r>
      <w:r>
        <w:rPr>
          <w:rFonts w:ascii="Georgia" w:hAnsi="Georgia"/>
          <w:sz w:val="19"/>
          <w:szCs w:val="19"/>
        </w:rPr>
        <w:t xml:space="preserve"> level</w:t>
      </w:r>
      <w:r w:rsidRPr="00FD15AB">
        <w:rPr>
          <w:rFonts w:ascii="Georgia" w:hAnsi="Georgia"/>
          <w:sz w:val="19"/>
          <w:szCs w:val="19"/>
        </w:rPr>
        <w:t xml:space="preserve"> </w:t>
      </w:r>
      <w:r>
        <w:rPr>
          <w:rFonts w:ascii="Georgia" w:hAnsi="Georgia"/>
          <w:sz w:val="19"/>
          <w:szCs w:val="19"/>
        </w:rPr>
        <w:t>text</w:t>
      </w:r>
      <w:r w:rsidRPr="00FD15AB">
        <w:rPr>
          <w:rFonts w:ascii="Georgia" w:hAnsi="Georgia"/>
          <w:sz w:val="19"/>
          <w:szCs w:val="19"/>
        </w:rPr>
        <w:t>books</w:t>
      </w:r>
      <w:r>
        <w:rPr>
          <w:rFonts w:ascii="Georgia" w:hAnsi="Georgia"/>
          <w:sz w:val="19"/>
          <w:szCs w:val="19"/>
        </w:rPr>
        <w:t xml:space="preserve"> supplied</w:t>
      </w:r>
      <w:r w:rsidRPr="00FD15AB">
        <w:rPr>
          <w:rFonts w:ascii="Georgia" w:hAnsi="Georgia"/>
          <w:sz w:val="19"/>
          <w:szCs w:val="19"/>
        </w:rPr>
        <w:t xml:space="preserve"> are likely to benefit all 300</w:t>
      </w:r>
      <w:r w:rsidR="00A12684">
        <w:rPr>
          <w:rFonts w:ascii="Georgia" w:hAnsi="Georgia"/>
          <w:sz w:val="19"/>
          <w:szCs w:val="19"/>
        </w:rPr>
        <w:t> </w:t>
      </w:r>
      <w:r w:rsidRPr="00FD15AB">
        <w:rPr>
          <w:rFonts w:ascii="Georgia" w:hAnsi="Georgia"/>
          <w:sz w:val="19"/>
          <w:szCs w:val="19"/>
        </w:rPr>
        <w:t>600 students enrolled in</w:t>
      </w:r>
      <w:r>
        <w:rPr>
          <w:rFonts w:ascii="Georgia" w:hAnsi="Georgia"/>
          <w:sz w:val="19"/>
          <w:szCs w:val="19"/>
        </w:rPr>
        <w:t xml:space="preserve"> grades 6, 7 and 8 across PNG. </w:t>
      </w:r>
      <w:r w:rsidRPr="00FD15AB">
        <w:rPr>
          <w:rFonts w:ascii="Georgia" w:hAnsi="Georgia"/>
          <w:sz w:val="19"/>
          <w:szCs w:val="19"/>
        </w:rPr>
        <w:t>The secondary schools books, when delivered in 2011, will benefit the 110</w:t>
      </w:r>
      <w:r w:rsidR="00A12684">
        <w:rPr>
          <w:rFonts w:ascii="Georgia" w:hAnsi="Georgia"/>
          <w:sz w:val="19"/>
          <w:szCs w:val="19"/>
        </w:rPr>
        <w:t> </w:t>
      </w:r>
      <w:r w:rsidRPr="00FD15AB">
        <w:rPr>
          <w:rFonts w:ascii="Georgia" w:hAnsi="Georgia"/>
          <w:sz w:val="19"/>
          <w:szCs w:val="19"/>
        </w:rPr>
        <w:t>000 children enrolled at those levels.</w:t>
      </w:r>
    </w:p>
    <w:p w:rsidR="00B543F6" w:rsidRPr="00FD15AB" w:rsidRDefault="00B543F6" w:rsidP="00B543F6">
      <w:pPr>
        <w:spacing w:before="80" w:after="80" w:line="280" w:lineRule="atLeast"/>
        <w:rPr>
          <w:rFonts w:ascii="Georgia" w:hAnsi="Georgia"/>
          <w:sz w:val="19"/>
          <w:szCs w:val="19"/>
        </w:rPr>
      </w:pPr>
      <w:r w:rsidRPr="00FD15AB">
        <w:rPr>
          <w:rFonts w:ascii="Georgia" w:hAnsi="Georgia"/>
          <w:sz w:val="19"/>
          <w:szCs w:val="19"/>
        </w:rPr>
        <w:lastRenderedPageBreak/>
        <w:t>The provision of school infrastructure is an importan</w:t>
      </w:r>
      <w:r>
        <w:rPr>
          <w:rFonts w:ascii="Georgia" w:hAnsi="Georgia"/>
          <w:sz w:val="19"/>
          <w:szCs w:val="19"/>
        </w:rPr>
        <w:t xml:space="preserve">t contributor to school access. </w:t>
      </w:r>
      <w:r w:rsidR="004721D2">
        <w:rPr>
          <w:rFonts w:ascii="Georgia" w:hAnsi="Georgia"/>
          <w:sz w:val="19"/>
          <w:szCs w:val="19"/>
        </w:rPr>
        <w:t>A total of 322</w:t>
      </w:r>
      <w:r w:rsidR="00A12684">
        <w:rPr>
          <w:rFonts w:ascii="Georgia" w:hAnsi="Georgia"/>
          <w:sz w:val="19"/>
          <w:szCs w:val="19"/>
        </w:rPr>
        <w:t xml:space="preserve"> c</w:t>
      </w:r>
      <w:r w:rsidRPr="00FD15AB">
        <w:rPr>
          <w:rFonts w:ascii="Georgia" w:hAnsi="Georgia"/>
          <w:sz w:val="19"/>
          <w:szCs w:val="19"/>
        </w:rPr>
        <w:t xml:space="preserve">lassrooms and 253 other school buildings, which had </w:t>
      </w:r>
      <w:r w:rsidR="00701655">
        <w:rPr>
          <w:rFonts w:ascii="Georgia" w:hAnsi="Georgia"/>
          <w:sz w:val="19"/>
          <w:szCs w:val="19"/>
        </w:rPr>
        <w:t>started</w:t>
      </w:r>
      <w:r w:rsidR="00701655" w:rsidRPr="00FD15AB">
        <w:rPr>
          <w:rFonts w:ascii="Georgia" w:hAnsi="Georgia"/>
          <w:sz w:val="19"/>
          <w:szCs w:val="19"/>
        </w:rPr>
        <w:t xml:space="preserve"> </w:t>
      </w:r>
      <w:r w:rsidRPr="00FD15AB">
        <w:rPr>
          <w:rFonts w:ascii="Georgia" w:hAnsi="Georgia"/>
          <w:sz w:val="19"/>
          <w:szCs w:val="19"/>
        </w:rPr>
        <w:t xml:space="preserve">construction in 2008 and/or 2009 </w:t>
      </w:r>
      <w:r w:rsidR="00701655">
        <w:rPr>
          <w:rFonts w:ascii="Georgia" w:hAnsi="Georgia"/>
          <w:sz w:val="19"/>
          <w:szCs w:val="19"/>
        </w:rPr>
        <w:t>but</w:t>
      </w:r>
      <w:r w:rsidR="00701655" w:rsidRPr="00FD15AB">
        <w:rPr>
          <w:rFonts w:ascii="Georgia" w:hAnsi="Georgia"/>
          <w:sz w:val="19"/>
          <w:szCs w:val="19"/>
        </w:rPr>
        <w:t xml:space="preserve"> </w:t>
      </w:r>
      <w:r w:rsidRPr="00FD15AB">
        <w:rPr>
          <w:rFonts w:ascii="Georgia" w:hAnsi="Georgia"/>
          <w:sz w:val="19"/>
          <w:szCs w:val="19"/>
        </w:rPr>
        <w:t>had not been completed in 2009, were complet</w:t>
      </w:r>
      <w:r>
        <w:rPr>
          <w:rFonts w:ascii="Georgia" w:hAnsi="Georgia"/>
          <w:sz w:val="19"/>
          <w:szCs w:val="19"/>
        </w:rPr>
        <w:t xml:space="preserve">ed. </w:t>
      </w:r>
      <w:r w:rsidR="00A12684">
        <w:rPr>
          <w:rFonts w:ascii="Georgia" w:hAnsi="Georgia"/>
          <w:sz w:val="19"/>
          <w:szCs w:val="19"/>
        </w:rPr>
        <w:t>A total of 184</w:t>
      </w:r>
      <w:r w:rsidRPr="00FD15AB">
        <w:rPr>
          <w:rFonts w:ascii="Georgia" w:hAnsi="Georgia"/>
          <w:sz w:val="19"/>
          <w:szCs w:val="19"/>
        </w:rPr>
        <w:t xml:space="preserve"> additional classrooms, 92 additional school offices and 85 additional teachers’ houses</w:t>
      </w:r>
      <w:r>
        <w:rPr>
          <w:rFonts w:ascii="Georgia" w:hAnsi="Georgia"/>
          <w:sz w:val="19"/>
          <w:szCs w:val="19"/>
        </w:rPr>
        <w:t xml:space="preserve"> that </w:t>
      </w:r>
      <w:r w:rsidR="00701655">
        <w:rPr>
          <w:rFonts w:ascii="Georgia" w:hAnsi="Georgia"/>
          <w:sz w:val="19"/>
          <w:szCs w:val="19"/>
        </w:rPr>
        <w:t xml:space="preserve">started </w:t>
      </w:r>
      <w:r>
        <w:rPr>
          <w:rFonts w:ascii="Georgia" w:hAnsi="Georgia"/>
          <w:sz w:val="19"/>
          <w:szCs w:val="19"/>
        </w:rPr>
        <w:t>construction in 2010</w:t>
      </w:r>
      <w:r w:rsidRPr="00FD15AB">
        <w:rPr>
          <w:rFonts w:ascii="Georgia" w:hAnsi="Georgia"/>
          <w:sz w:val="19"/>
          <w:szCs w:val="19"/>
        </w:rPr>
        <w:t xml:space="preserve"> were co</w:t>
      </w:r>
      <w:r>
        <w:rPr>
          <w:rFonts w:ascii="Georgia" w:hAnsi="Georgia"/>
          <w:sz w:val="19"/>
          <w:szCs w:val="19"/>
        </w:rPr>
        <w:t xml:space="preserve">mpleted. </w:t>
      </w:r>
      <w:r w:rsidRPr="00FD15AB">
        <w:rPr>
          <w:rFonts w:ascii="Georgia" w:hAnsi="Georgia"/>
          <w:sz w:val="19"/>
          <w:szCs w:val="19"/>
        </w:rPr>
        <w:t xml:space="preserve">Although </w:t>
      </w:r>
      <w:proofErr w:type="spellStart"/>
      <w:r w:rsidR="00701655">
        <w:rPr>
          <w:rFonts w:ascii="Georgia" w:hAnsi="Georgia"/>
          <w:sz w:val="19"/>
          <w:szCs w:val="19"/>
        </w:rPr>
        <w:t>AusAID</w:t>
      </w:r>
      <w:proofErr w:type="spellEnd"/>
      <w:r w:rsidR="00701655" w:rsidRPr="00FD15AB">
        <w:rPr>
          <w:rFonts w:ascii="Georgia" w:hAnsi="Georgia"/>
          <w:sz w:val="19"/>
          <w:szCs w:val="19"/>
        </w:rPr>
        <w:t xml:space="preserve"> </w:t>
      </w:r>
      <w:r w:rsidRPr="00FD15AB">
        <w:rPr>
          <w:rFonts w:ascii="Georgia" w:hAnsi="Georgia"/>
          <w:sz w:val="19"/>
          <w:szCs w:val="19"/>
        </w:rPr>
        <w:t>do</w:t>
      </w:r>
      <w:r w:rsidR="00701655">
        <w:rPr>
          <w:rFonts w:ascii="Georgia" w:hAnsi="Georgia"/>
          <w:sz w:val="19"/>
          <w:szCs w:val="19"/>
        </w:rPr>
        <w:t>es</w:t>
      </w:r>
      <w:r w:rsidRPr="00FD15AB">
        <w:rPr>
          <w:rFonts w:ascii="Georgia" w:hAnsi="Georgia"/>
          <w:sz w:val="19"/>
          <w:szCs w:val="19"/>
        </w:rPr>
        <w:t xml:space="preserve"> not have enough disaggregated data to know </w:t>
      </w:r>
      <w:proofErr w:type="spellStart"/>
      <w:r w:rsidR="00701655">
        <w:rPr>
          <w:rFonts w:ascii="Georgia" w:hAnsi="Georgia"/>
          <w:sz w:val="19"/>
          <w:szCs w:val="19"/>
        </w:rPr>
        <w:t>iff</w:t>
      </w:r>
      <w:proofErr w:type="spellEnd"/>
      <w:r w:rsidR="00701655">
        <w:rPr>
          <w:rFonts w:ascii="Georgia" w:hAnsi="Georgia"/>
          <w:sz w:val="19"/>
          <w:szCs w:val="19"/>
        </w:rPr>
        <w:t xml:space="preserve"> a</w:t>
      </w:r>
      <w:r w:rsidRPr="00FD15AB">
        <w:rPr>
          <w:rFonts w:ascii="Georgia" w:hAnsi="Georgia"/>
          <w:sz w:val="19"/>
          <w:szCs w:val="19"/>
        </w:rPr>
        <w:t xml:space="preserve">ll </w:t>
      </w:r>
      <w:r w:rsidR="00701655">
        <w:rPr>
          <w:rFonts w:ascii="Georgia" w:hAnsi="Georgia"/>
          <w:sz w:val="19"/>
          <w:szCs w:val="19"/>
        </w:rPr>
        <w:t>infrastructure buil</w:t>
      </w:r>
      <w:r w:rsidR="005461FF">
        <w:rPr>
          <w:rFonts w:ascii="Georgia" w:hAnsi="Georgia"/>
          <w:sz w:val="19"/>
          <w:szCs w:val="19"/>
        </w:rPr>
        <w:t>t</w:t>
      </w:r>
      <w:r w:rsidR="00701655">
        <w:rPr>
          <w:rFonts w:ascii="Georgia" w:hAnsi="Georgia"/>
          <w:sz w:val="19"/>
          <w:szCs w:val="19"/>
        </w:rPr>
        <w:t xml:space="preserve"> with its funding</w:t>
      </w:r>
      <w:r w:rsidRPr="00FD15AB">
        <w:rPr>
          <w:rFonts w:ascii="Georgia" w:hAnsi="Georgia"/>
          <w:sz w:val="19"/>
          <w:szCs w:val="19"/>
        </w:rPr>
        <w:t xml:space="preserve"> is leading to more enrolments, the intention is that the 184 new classrooms built in 2010 would create 5520 new places for </w:t>
      </w:r>
      <w:r>
        <w:rPr>
          <w:rFonts w:ascii="Georgia" w:hAnsi="Georgia"/>
          <w:sz w:val="19"/>
          <w:szCs w:val="19"/>
        </w:rPr>
        <w:t xml:space="preserve">students. </w:t>
      </w:r>
      <w:r w:rsidRPr="00FD15AB">
        <w:rPr>
          <w:rFonts w:ascii="Georgia" w:hAnsi="Georgia"/>
          <w:sz w:val="19"/>
          <w:szCs w:val="19"/>
        </w:rPr>
        <w:t xml:space="preserve">Nonetheless, some new classrooms may also be replacing </w:t>
      </w:r>
      <w:r>
        <w:rPr>
          <w:rFonts w:ascii="Georgia" w:hAnsi="Georgia"/>
          <w:sz w:val="19"/>
          <w:szCs w:val="19"/>
        </w:rPr>
        <w:t xml:space="preserve">existing, rundown classrooms. </w:t>
      </w:r>
      <w:proofErr w:type="spellStart"/>
      <w:r w:rsidRPr="00FD15AB">
        <w:rPr>
          <w:rFonts w:ascii="Georgia" w:hAnsi="Georgia"/>
          <w:sz w:val="19"/>
          <w:szCs w:val="19"/>
        </w:rPr>
        <w:t>AusAID</w:t>
      </w:r>
      <w:proofErr w:type="spellEnd"/>
      <w:r w:rsidRPr="00FD15AB">
        <w:rPr>
          <w:rFonts w:ascii="Georgia" w:hAnsi="Georgia"/>
          <w:sz w:val="19"/>
          <w:szCs w:val="19"/>
        </w:rPr>
        <w:t xml:space="preserve"> monitoring visits to </w:t>
      </w:r>
      <w:r w:rsidR="00701655">
        <w:rPr>
          <w:rFonts w:ascii="Georgia" w:hAnsi="Georgia"/>
          <w:sz w:val="19"/>
          <w:szCs w:val="19"/>
        </w:rPr>
        <w:t xml:space="preserve">PNG’s </w:t>
      </w:r>
      <w:r w:rsidRPr="00FD15AB">
        <w:rPr>
          <w:rFonts w:ascii="Georgia" w:hAnsi="Georgia"/>
          <w:sz w:val="19"/>
          <w:szCs w:val="19"/>
        </w:rPr>
        <w:t xml:space="preserve">provinces suggested that </w:t>
      </w:r>
      <w:r w:rsidR="00701655">
        <w:rPr>
          <w:rFonts w:ascii="Georgia" w:hAnsi="Georgia"/>
          <w:sz w:val="19"/>
          <w:szCs w:val="19"/>
        </w:rPr>
        <w:t>the</w:t>
      </w:r>
      <w:r w:rsidR="00701655" w:rsidRPr="00FD15AB">
        <w:rPr>
          <w:rFonts w:ascii="Georgia" w:hAnsi="Georgia"/>
          <w:sz w:val="19"/>
          <w:szCs w:val="19"/>
        </w:rPr>
        <w:t xml:space="preserve"> </w:t>
      </w:r>
      <w:r w:rsidRPr="00FD15AB">
        <w:rPr>
          <w:rFonts w:ascii="Georgia" w:hAnsi="Georgia"/>
          <w:sz w:val="19"/>
          <w:szCs w:val="19"/>
        </w:rPr>
        <w:t xml:space="preserve">infrastructure </w:t>
      </w:r>
      <w:r w:rsidR="00701655">
        <w:rPr>
          <w:rFonts w:ascii="Georgia" w:hAnsi="Georgia"/>
          <w:sz w:val="19"/>
          <w:szCs w:val="19"/>
        </w:rPr>
        <w:t xml:space="preserve">is </w:t>
      </w:r>
      <w:r w:rsidRPr="00FD15AB">
        <w:rPr>
          <w:rFonts w:ascii="Georgia" w:hAnsi="Georgia"/>
          <w:sz w:val="19"/>
          <w:szCs w:val="19"/>
        </w:rPr>
        <w:t>generally le</w:t>
      </w:r>
      <w:r w:rsidR="00701655">
        <w:rPr>
          <w:rFonts w:ascii="Georgia" w:hAnsi="Georgia"/>
          <w:sz w:val="19"/>
          <w:szCs w:val="19"/>
        </w:rPr>
        <w:t>a</w:t>
      </w:r>
      <w:r w:rsidRPr="00FD15AB">
        <w:rPr>
          <w:rFonts w:ascii="Georgia" w:hAnsi="Georgia"/>
          <w:sz w:val="19"/>
          <w:szCs w:val="19"/>
        </w:rPr>
        <w:t>d</w:t>
      </w:r>
      <w:r w:rsidR="00701655">
        <w:rPr>
          <w:rFonts w:ascii="Georgia" w:hAnsi="Georgia"/>
          <w:sz w:val="19"/>
          <w:szCs w:val="19"/>
        </w:rPr>
        <w:t>ing</w:t>
      </w:r>
      <w:r w:rsidRPr="00FD15AB">
        <w:rPr>
          <w:rFonts w:ascii="Georgia" w:hAnsi="Georgia"/>
          <w:sz w:val="19"/>
          <w:szCs w:val="19"/>
        </w:rPr>
        <w:t xml:space="preserve"> to increased enrolments, yet a random selection of 12</w:t>
      </w:r>
      <w:r w:rsidR="00701655">
        <w:rPr>
          <w:rFonts w:ascii="Georgia" w:hAnsi="Georgia"/>
          <w:sz w:val="19"/>
          <w:szCs w:val="19"/>
        </w:rPr>
        <w:t> </w:t>
      </w:r>
      <w:r w:rsidRPr="00FD15AB">
        <w:rPr>
          <w:rFonts w:ascii="Georgia" w:hAnsi="Georgia"/>
          <w:sz w:val="19"/>
          <w:szCs w:val="19"/>
        </w:rPr>
        <w:t xml:space="preserve">schools where infrastructure was completed </w:t>
      </w:r>
      <w:r w:rsidR="00701655">
        <w:rPr>
          <w:rFonts w:ascii="Georgia" w:hAnsi="Georgia"/>
          <w:sz w:val="19"/>
          <w:szCs w:val="19"/>
        </w:rPr>
        <w:t>before</w:t>
      </w:r>
      <w:r w:rsidRPr="00FD15AB">
        <w:rPr>
          <w:rFonts w:ascii="Georgia" w:hAnsi="Georgia"/>
          <w:sz w:val="19"/>
          <w:szCs w:val="19"/>
        </w:rPr>
        <w:t xml:space="preserve"> 2010 shows mixed </w:t>
      </w:r>
      <w:r w:rsidR="00701655">
        <w:rPr>
          <w:rFonts w:ascii="Georgia" w:hAnsi="Georgia"/>
          <w:sz w:val="19"/>
          <w:szCs w:val="19"/>
        </w:rPr>
        <w:t>results</w:t>
      </w:r>
      <w:r w:rsidRPr="00FD15AB">
        <w:rPr>
          <w:rFonts w:ascii="Georgia" w:hAnsi="Georgia"/>
          <w:sz w:val="19"/>
          <w:szCs w:val="19"/>
        </w:rPr>
        <w:t>, with some schools expe</w:t>
      </w:r>
      <w:r>
        <w:rPr>
          <w:rFonts w:ascii="Georgia" w:hAnsi="Georgia"/>
          <w:sz w:val="19"/>
          <w:szCs w:val="19"/>
        </w:rPr>
        <w:t>riencing decreased enrolments. M</w:t>
      </w:r>
      <w:r w:rsidRPr="00FD15AB">
        <w:rPr>
          <w:rFonts w:ascii="Georgia" w:hAnsi="Georgia"/>
          <w:sz w:val="19"/>
          <w:szCs w:val="19"/>
        </w:rPr>
        <w:t xml:space="preserve">any other factors </w:t>
      </w:r>
      <w:r>
        <w:rPr>
          <w:rFonts w:ascii="Georgia" w:hAnsi="Georgia"/>
          <w:sz w:val="19"/>
          <w:szCs w:val="19"/>
        </w:rPr>
        <w:t>are likely affecting enrolment rates</w:t>
      </w:r>
      <w:r w:rsidRPr="00FD15AB">
        <w:rPr>
          <w:rFonts w:ascii="Georgia" w:hAnsi="Georgia"/>
          <w:sz w:val="19"/>
          <w:szCs w:val="19"/>
        </w:rPr>
        <w:t>, including the opening of new schools in the area, tribal fights or natural disasters</w:t>
      </w:r>
      <w:r w:rsidR="00701655">
        <w:rPr>
          <w:rFonts w:ascii="Georgia" w:hAnsi="Georgia"/>
          <w:sz w:val="19"/>
          <w:szCs w:val="19"/>
        </w:rPr>
        <w:t xml:space="preserve">. These factors </w:t>
      </w:r>
      <w:r w:rsidRPr="00FD15AB">
        <w:rPr>
          <w:rFonts w:ascii="Georgia" w:hAnsi="Georgia"/>
          <w:sz w:val="19"/>
          <w:szCs w:val="19"/>
        </w:rPr>
        <w:t xml:space="preserve">are not reflected in </w:t>
      </w:r>
      <w:proofErr w:type="spellStart"/>
      <w:r w:rsidR="00701655">
        <w:rPr>
          <w:rFonts w:ascii="Georgia" w:hAnsi="Georgia"/>
          <w:sz w:val="19"/>
          <w:szCs w:val="19"/>
        </w:rPr>
        <w:t>Go</w:t>
      </w:r>
      <w:r w:rsidR="00A73874">
        <w:rPr>
          <w:rFonts w:ascii="Georgia" w:hAnsi="Georgia"/>
          <w:sz w:val="19"/>
          <w:szCs w:val="19"/>
        </w:rPr>
        <w:t>PNG</w:t>
      </w:r>
      <w:r w:rsidR="00701655">
        <w:rPr>
          <w:rFonts w:ascii="Georgia" w:hAnsi="Georgia"/>
          <w:sz w:val="19"/>
          <w:szCs w:val="19"/>
        </w:rPr>
        <w:t>’s</w:t>
      </w:r>
      <w:proofErr w:type="spellEnd"/>
      <w:r w:rsidR="00A73874">
        <w:rPr>
          <w:rFonts w:ascii="Georgia" w:hAnsi="Georgia"/>
          <w:sz w:val="19"/>
          <w:szCs w:val="19"/>
        </w:rPr>
        <w:t xml:space="preserve"> education data</w:t>
      </w:r>
      <w:r w:rsidRPr="00FD15AB">
        <w:rPr>
          <w:rFonts w:ascii="Georgia" w:hAnsi="Georgia"/>
          <w:sz w:val="19"/>
          <w:szCs w:val="19"/>
        </w:rPr>
        <w:t>.</w:t>
      </w:r>
    </w:p>
    <w:p w:rsidR="004A4474" w:rsidRDefault="00B543F6" w:rsidP="00B543F6">
      <w:pPr>
        <w:spacing w:before="80" w:after="80" w:line="280" w:lineRule="atLeast"/>
        <w:rPr>
          <w:rFonts w:ascii="Georgia" w:hAnsi="Georgia"/>
          <w:sz w:val="19"/>
          <w:szCs w:val="19"/>
        </w:rPr>
      </w:pPr>
      <w:r w:rsidRPr="00FD15AB">
        <w:rPr>
          <w:rFonts w:ascii="Georgia" w:hAnsi="Georgia"/>
          <w:sz w:val="19"/>
          <w:szCs w:val="19"/>
        </w:rPr>
        <w:t>The PNG Education Institute was launched, allowing the provision of a new residential teaching course to the first intake of 90 elemen</w:t>
      </w:r>
      <w:r>
        <w:rPr>
          <w:rFonts w:ascii="Georgia" w:hAnsi="Georgia"/>
          <w:sz w:val="19"/>
          <w:szCs w:val="19"/>
        </w:rPr>
        <w:t xml:space="preserve">tary teachers from around PNG. </w:t>
      </w:r>
      <w:r w:rsidRPr="00FD15AB">
        <w:rPr>
          <w:rFonts w:ascii="Georgia" w:hAnsi="Georgia"/>
          <w:sz w:val="19"/>
          <w:szCs w:val="19"/>
        </w:rPr>
        <w:t>Self-instructional materials were provided to 372 elementa</w:t>
      </w:r>
      <w:r>
        <w:rPr>
          <w:rFonts w:ascii="Georgia" w:hAnsi="Georgia"/>
          <w:sz w:val="19"/>
          <w:szCs w:val="19"/>
        </w:rPr>
        <w:t xml:space="preserve">ry school teachers across </w:t>
      </w:r>
      <w:r w:rsidR="00701655">
        <w:rPr>
          <w:rFonts w:ascii="Georgia" w:hAnsi="Georgia"/>
          <w:sz w:val="19"/>
          <w:szCs w:val="19"/>
        </w:rPr>
        <w:t>the country</w:t>
      </w:r>
      <w:r>
        <w:rPr>
          <w:rFonts w:ascii="Georgia" w:hAnsi="Georgia"/>
          <w:sz w:val="19"/>
          <w:szCs w:val="19"/>
        </w:rPr>
        <w:t xml:space="preserve">. </w:t>
      </w:r>
      <w:r w:rsidRPr="00FD15AB">
        <w:rPr>
          <w:rFonts w:ascii="Georgia" w:hAnsi="Georgia"/>
          <w:sz w:val="19"/>
          <w:szCs w:val="19"/>
        </w:rPr>
        <w:t>Teacher in-service training was provided to approximately 4000 teachers, slightly under 10</w:t>
      </w:r>
      <w:r w:rsidR="006035A4">
        <w:rPr>
          <w:rFonts w:ascii="Georgia" w:hAnsi="Georgia"/>
          <w:sz w:val="19"/>
          <w:szCs w:val="19"/>
        </w:rPr>
        <w:t> </w:t>
      </w:r>
      <w:r w:rsidR="00844A3F">
        <w:rPr>
          <w:rFonts w:ascii="Georgia" w:hAnsi="Georgia"/>
          <w:sz w:val="19"/>
          <w:szCs w:val="19"/>
        </w:rPr>
        <w:t>per cent</w:t>
      </w:r>
      <w:r w:rsidRPr="00FD15AB">
        <w:rPr>
          <w:rFonts w:ascii="Georgia" w:hAnsi="Georgia"/>
          <w:sz w:val="19"/>
          <w:szCs w:val="19"/>
        </w:rPr>
        <w:t xml:space="preserve"> of all teachers</w:t>
      </w:r>
      <w:r>
        <w:rPr>
          <w:rFonts w:ascii="Georgia" w:hAnsi="Georgia"/>
          <w:sz w:val="19"/>
          <w:szCs w:val="19"/>
        </w:rPr>
        <w:t xml:space="preserve"> in PNG</w:t>
      </w:r>
      <w:r w:rsidRPr="00FD15AB">
        <w:rPr>
          <w:rFonts w:ascii="Georgia" w:hAnsi="Georgia"/>
          <w:sz w:val="19"/>
          <w:szCs w:val="19"/>
        </w:rPr>
        <w:t xml:space="preserve">. By providing funding to teacher education activities and results, </w:t>
      </w:r>
      <w:proofErr w:type="spellStart"/>
      <w:r w:rsidRPr="00FD15AB">
        <w:rPr>
          <w:rFonts w:ascii="Georgia" w:hAnsi="Georgia"/>
          <w:sz w:val="19"/>
          <w:szCs w:val="19"/>
        </w:rPr>
        <w:t>AusAID</w:t>
      </w:r>
      <w:proofErr w:type="spellEnd"/>
      <w:r w:rsidRPr="00FD15AB">
        <w:rPr>
          <w:rFonts w:ascii="Georgia" w:hAnsi="Georgia"/>
          <w:sz w:val="19"/>
          <w:szCs w:val="19"/>
        </w:rPr>
        <w:t xml:space="preserve"> has contributed to the sector objective of impr</w:t>
      </w:r>
      <w:r>
        <w:rPr>
          <w:rFonts w:ascii="Georgia" w:hAnsi="Georgia"/>
          <w:sz w:val="19"/>
          <w:szCs w:val="19"/>
        </w:rPr>
        <w:t xml:space="preserve">oving the quality of teaching. </w:t>
      </w:r>
    </w:p>
    <w:p w:rsidR="00B543F6" w:rsidRPr="00640101" w:rsidRDefault="00701655" w:rsidP="00B543F6">
      <w:pPr>
        <w:spacing w:before="80" w:after="80" w:line="280" w:lineRule="atLeast"/>
        <w:rPr>
          <w:rFonts w:ascii="Georgia" w:hAnsi="Georgia"/>
          <w:sz w:val="19"/>
          <w:szCs w:val="19"/>
        </w:rPr>
      </w:pPr>
      <w:r>
        <w:rPr>
          <w:rFonts w:ascii="Georgia" w:hAnsi="Georgia"/>
          <w:sz w:val="19"/>
          <w:szCs w:val="19"/>
        </w:rPr>
        <w:t xml:space="preserve">A total of </w:t>
      </w:r>
      <w:r w:rsidR="00B543F6" w:rsidRPr="00640101">
        <w:rPr>
          <w:rFonts w:ascii="Georgia" w:hAnsi="Georgia"/>
          <w:sz w:val="19"/>
          <w:szCs w:val="19"/>
        </w:rPr>
        <w:t>K2</w:t>
      </w:r>
      <w:r w:rsidR="00B543F6">
        <w:rPr>
          <w:rFonts w:ascii="Georgia" w:hAnsi="Georgia"/>
          <w:sz w:val="19"/>
          <w:szCs w:val="19"/>
        </w:rPr>
        <w:t>7.5</w:t>
      </w:r>
      <w:r w:rsidR="00B543F6" w:rsidRPr="00640101">
        <w:rPr>
          <w:rFonts w:ascii="Georgia" w:hAnsi="Georgia"/>
          <w:sz w:val="19"/>
          <w:szCs w:val="19"/>
        </w:rPr>
        <w:t xml:space="preserve"> million was provided to elementary schools in PNG to complement </w:t>
      </w:r>
      <w:proofErr w:type="spellStart"/>
      <w:r w:rsidR="00B543F6" w:rsidRPr="00640101">
        <w:rPr>
          <w:rFonts w:ascii="Georgia" w:hAnsi="Georgia"/>
          <w:sz w:val="19"/>
          <w:szCs w:val="19"/>
        </w:rPr>
        <w:t>GoPNG</w:t>
      </w:r>
      <w:proofErr w:type="spellEnd"/>
      <w:r w:rsidR="00B543F6" w:rsidRPr="00640101">
        <w:rPr>
          <w:rFonts w:ascii="Georgia" w:hAnsi="Georgia"/>
          <w:sz w:val="19"/>
          <w:szCs w:val="19"/>
        </w:rPr>
        <w:t xml:space="preserve"> school grants, using </w:t>
      </w:r>
      <w:proofErr w:type="spellStart"/>
      <w:r w:rsidR="00B543F6" w:rsidRPr="00640101">
        <w:rPr>
          <w:rFonts w:ascii="Georgia" w:hAnsi="Georgia"/>
          <w:sz w:val="19"/>
          <w:szCs w:val="19"/>
        </w:rPr>
        <w:t>GoPNG</w:t>
      </w:r>
      <w:proofErr w:type="spellEnd"/>
      <w:r w:rsidR="00B543F6" w:rsidRPr="00640101">
        <w:rPr>
          <w:rFonts w:ascii="Georgia" w:hAnsi="Georgia"/>
          <w:sz w:val="19"/>
          <w:szCs w:val="19"/>
        </w:rPr>
        <w:t xml:space="preserve"> systems for grant allocatio</w:t>
      </w:r>
      <w:r w:rsidR="00B543F6">
        <w:rPr>
          <w:rFonts w:ascii="Georgia" w:hAnsi="Georgia"/>
          <w:sz w:val="19"/>
          <w:szCs w:val="19"/>
        </w:rPr>
        <w:t xml:space="preserve">n, distribution and acquittal. </w:t>
      </w:r>
      <w:r w:rsidR="00B543F6" w:rsidRPr="00640101">
        <w:rPr>
          <w:rFonts w:ascii="Georgia" w:hAnsi="Georgia"/>
          <w:sz w:val="19"/>
          <w:szCs w:val="19"/>
        </w:rPr>
        <w:t xml:space="preserve">As a result, the </w:t>
      </w:r>
      <w:r w:rsidR="000C31B7" w:rsidRPr="000C31B7">
        <w:rPr>
          <w:rFonts w:ascii="Georgia" w:hAnsi="Georgia"/>
          <w:sz w:val="19"/>
          <w:szCs w:val="19"/>
        </w:rPr>
        <w:t xml:space="preserve">Department of Education </w:t>
      </w:r>
      <w:r w:rsidR="00B543F6" w:rsidRPr="00640101">
        <w:rPr>
          <w:rFonts w:ascii="Georgia" w:hAnsi="Georgia"/>
          <w:sz w:val="19"/>
          <w:szCs w:val="19"/>
        </w:rPr>
        <w:t>was able to make the first three years of basic education</w:t>
      </w:r>
      <w:r w:rsidR="00B543F6" w:rsidRPr="00FE3682">
        <w:rPr>
          <w:rFonts w:ascii="Georgia" w:hAnsi="Georgia"/>
          <w:sz w:val="19"/>
          <w:szCs w:val="19"/>
        </w:rPr>
        <w:t xml:space="preserve"> </w:t>
      </w:r>
      <w:r w:rsidR="00B543F6" w:rsidRPr="00640101">
        <w:rPr>
          <w:rFonts w:ascii="Georgia" w:hAnsi="Georgia"/>
          <w:sz w:val="19"/>
          <w:szCs w:val="19"/>
        </w:rPr>
        <w:t>free, removing a s</w:t>
      </w:r>
      <w:r w:rsidR="00B543F6">
        <w:rPr>
          <w:rFonts w:ascii="Georgia" w:hAnsi="Georgia"/>
          <w:sz w:val="19"/>
          <w:szCs w:val="19"/>
        </w:rPr>
        <w:t xml:space="preserve">ignificant barrier to accessing </w:t>
      </w:r>
      <w:r w:rsidR="00B543F6" w:rsidRPr="00640101">
        <w:rPr>
          <w:rFonts w:ascii="Georgia" w:hAnsi="Georgia"/>
          <w:sz w:val="19"/>
          <w:szCs w:val="19"/>
        </w:rPr>
        <w:t>education, especially</w:t>
      </w:r>
      <w:r>
        <w:rPr>
          <w:rFonts w:ascii="Georgia" w:hAnsi="Georgia"/>
          <w:sz w:val="19"/>
          <w:szCs w:val="19"/>
        </w:rPr>
        <w:t xml:space="preserve"> to those living</w:t>
      </w:r>
      <w:r w:rsidR="00B543F6" w:rsidRPr="00640101">
        <w:rPr>
          <w:rFonts w:ascii="Georgia" w:hAnsi="Georgia"/>
          <w:sz w:val="19"/>
          <w:szCs w:val="19"/>
        </w:rPr>
        <w:t xml:space="preserve"> in rural areas, and leading to increased admis</w:t>
      </w:r>
      <w:r w:rsidR="00B543F6">
        <w:rPr>
          <w:rFonts w:ascii="Georgia" w:hAnsi="Georgia"/>
          <w:sz w:val="19"/>
          <w:szCs w:val="19"/>
        </w:rPr>
        <w:t xml:space="preserve">sion, enrolment and retention. </w:t>
      </w:r>
      <w:proofErr w:type="spellStart"/>
      <w:r>
        <w:rPr>
          <w:rFonts w:ascii="Georgia" w:hAnsi="Georgia"/>
          <w:sz w:val="19"/>
          <w:szCs w:val="19"/>
        </w:rPr>
        <w:t>AusAID’s</w:t>
      </w:r>
      <w:proofErr w:type="spellEnd"/>
      <w:r w:rsidRPr="00640101">
        <w:rPr>
          <w:rFonts w:ascii="Georgia" w:hAnsi="Georgia"/>
          <w:sz w:val="19"/>
          <w:szCs w:val="19"/>
        </w:rPr>
        <w:t xml:space="preserve"> </w:t>
      </w:r>
      <w:r w:rsidR="00B543F6" w:rsidRPr="00640101">
        <w:rPr>
          <w:rFonts w:ascii="Georgia" w:hAnsi="Georgia"/>
          <w:sz w:val="19"/>
          <w:szCs w:val="19"/>
        </w:rPr>
        <w:t xml:space="preserve">field monitoring indicates that a </w:t>
      </w:r>
      <w:r w:rsidRPr="00640101">
        <w:rPr>
          <w:rFonts w:ascii="Georgia" w:hAnsi="Georgia"/>
          <w:sz w:val="19"/>
          <w:szCs w:val="19"/>
        </w:rPr>
        <w:t>number</w:t>
      </w:r>
      <w:r>
        <w:rPr>
          <w:rFonts w:ascii="Georgia" w:hAnsi="Georgia"/>
          <w:sz w:val="19"/>
          <w:szCs w:val="19"/>
        </w:rPr>
        <w:t xml:space="preserve"> of </w:t>
      </w:r>
      <w:r w:rsidR="00B543F6" w:rsidRPr="00640101">
        <w:rPr>
          <w:rFonts w:ascii="Georgia" w:hAnsi="Georgia"/>
          <w:sz w:val="19"/>
          <w:szCs w:val="19"/>
        </w:rPr>
        <w:t>elementary schools continue to charge some fees, at times called ‘project fees’, and further monitoring and awareness raising is needed.</w:t>
      </w:r>
    </w:p>
    <w:p w:rsidR="00EE4B94" w:rsidRPr="00AE0DF1" w:rsidRDefault="00701655" w:rsidP="00AE0DF1">
      <w:pPr>
        <w:spacing w:before="80" w:after="80" w:line="280" w:lineRule="atLeast"/>
        <w:rPr>
          <w:rFonts w:ascii="Georgia" w:hAnsi="Georgia"/>
          <w:sz w:val="19"/>
          <w:szCs w:val="19"/>
        </w:rPr>
      </w:pPr>
      <w:r>
        <w:rPr>
          <w:rFonts w:ascii="Georgia" w:hAnsi="Georgia"/>
          <w:sz w:val="19"/>
          <w:szCs w:val="19"/>
        </w:rPr>
        <w:t>A total of 119</w:t>
      </w:r>
      <w:r w:rsidR="00B543F6">
        <w:rPr>
          <w:rFonts w:ascii="Georgia" w:hAnsi="Georgia"/>
          <w:sz w:val="19"/>
          <w:szCs w:val="19"/>
        </w:rPr>
        <w:t xml:space="preserve"> </w:t>
      </w:r>
      <w:r w:rsidR="00B543F6" w:rsidRPr="00640101">
        <w:rPr>
          <w:rFonts w:ascii="Georgia" w:hAnsi="Georgia"/>
          <w:sz w:val="19"/>
          <w:szCs w:val="19"/>
        </w:rPr>
        <w:t>provincial and district School Learning Improvement Plan workshops were facilitated</w:t>
      </w:r>
      <w:r w:rsidR="00B543F6">
        <w:rPr>
          <w:rFonts w:ascii="Georgia" w:hAnsi="Georgia"/>
          <w:sz w:val="19"/>
          <w:szCs w:val="19"/>
        </w:rPr>
        <w:t>,</w:t>
      </w:r>
      <w:r w:rsidR="00A12684">
        <w:rPr>
          <w:rFonts w:ascii="Georgia" w:hAnsi="Georgia"/>
          <w:sz w:val="19"/>
          <w:szCs w:val="19"/>
        </w:rPr>
        <w:t xml:space="preserve"> with 6</w:t>
      </w:r>
      <w:r w:rsidR="00B543F6" w:rsidRPr="00640101">
        <w:rPr>
          <w:rFonts w:ascii="Georgia" w:hAnsi="Georgia"/>
          <w:sz w:val="19"/>
          <w:szCs w:val="19"/>
        </w:rPr>
        <w:t>454 participants attending to h</w:t>
      </w:r>
      <w:r w:rsidR="00B543F6">
        <w:rPr>
          <w:rFonts w:ascii="Georgia" w:hAnsi="Georgia"/>
          <w:sz w:val="19"/>
          <w:szCs w:val="19"/>
        </w:rPr>
        <w:t xml:space="preserve">elp improve school management. </w:t>
      </w:r>
      <w:r w:rsidR="000C31B7">
        <w:rPr>
          <w:rFonts w:ascii="Georgia" w:hAnsi="Georgia"/>
          <w:sz w:val="19"/>
          <w:szCs w:val="19"/>
        </w:rPr>
        <w:t>More than</w:t>
      </w:r>
      <w:r>
        <w:rPr>
          <w:rFonts w:ascii="Georgia" w:hAnsi="Georgia"/>
          <w:sz w:val="19"/>
          <w:szCs w:val="19"/>
        </w:rPr>
        <w:t xml:space="preserve"> </w:t>
      </w:r>
      <w:r w:rsidR="00A12684">
        <w:rPr>
          <w:rFonts w:ascii="Georgia" w:hAnsi="Georgia"/>
          <w:sz w:val="19"/>
          <w:szCs w:val="19"/>
        </w:rPr>
        <w:t>7</w:t>
      </w:r>
      <w:r w:rsidR="00B543F6" w:rsidRPr="00640101">
        <w:rPr>
          <w:rFonts w:ascii="Georgia" w:hAnsi="Georgia"/>
          <w:sz w:val="19"/>
          <w:szCs w:val="19"/>
        </w:rPr>
        <w:t xml:space="preserve">069 elementary and primary schools have operational </w:t>
      </w:r>
      <w:r w:rsidR="000F5E56">
        <w:rPr>
          <w:rFonts w:ascii="Georgia" w:hAnsi="Georgia"/>
          <w:sz w:val="19"/>
          <w:szCs w:val="19"/>
        </w:rPr>
        <w:t>plans</w:t>
      </w:r>
      <w:r w:rsidR="00B543F6" w:rsidRPr="00640101">
        <w:rPr>
          <w:rFonts w:ascii="Georgia" w:hAnsi="Georgia"/>
          <w:sz w:val="19"/>
          <w:szCs w:val="19"/>
        </w:rPr>
        <w:t>, an increase of 18</w:t>
      </w:r>
      <w:r w:rsidR="00844A3F">
        <w:rPr>
          <w:rFonts w:ascii="Georgia" w:hAnsi="Georgia"/>
          <w:sz w:val="19"/>
          <w:szCs w:val="19"/>
        </w:rPr>
        <w:t xml:space="preserve"> per cent</w:t>
      </w:r>
      <w:r w:rsidR="00B543F6" w:rsidRPr="00640101">
        <w:rPr>
          <w:rFonts w:ascii="Georgia" w:hAnsi="Georgia"/>
          <w:sz w:val="19"/>
          <w:szCs w:val="19"/>
        </w:rPr>
        <w:t xml:space="preserve"> from 2009 and representing about 75</w:t>
      </w:r>
      <w:r w:rsidR="00844A3F">
        <w:rPr>
          <w:rFonts w:ascii="Georgia" w:hAnsi="Georgia"/>
          <w:sz w:val="19"/>
          <w:szCs w:val="19"/>
        </w:rPr>
        <w:t xml:space="preserve"> per cent</w:t>
      </w:r>
      <w:r w:rsidR="00B543F6" w:rsidRPr="00640101">
        <w:rPr>
          <w:rFonts w:ascii="Georgia" w:hAnsi="Georgia"/>
          <w:sz w:val="19"/>
          <w:szCs w:val="19"/>
        </w:rPr>
        <w:t xml:space="preserve"> of all elementary and primary schools</w:t>
      </w:r>
      <w:r w:rsidR="00B543F6">
        <w:rPr>
          <w:rFonts w:ascii="Georgia" w:hAnsi="Georgia"/>
          <w:sz w:val="19"/>
          <w:szCs w:val="19"/>
        </w:rPr>
        <w:t>.</w:t>
      </w:r>
      <w:r w:rsidR="00B543F6" w:rsidRPr="00640101">
        <w:rPr>
          <w:rFonts w:ascii="Georgia" w:hAnsi="Georgia"/>
          <w:sz w:val="19"/>
          <w:szCs w:val="19"/>
        </w:rPr>
        <w:t xml:space="preserve"> </w:t>
      </w:r>
      <w:proofErr w:type="spellStart"/>
      <w:r w:rsidR="00B543F6" w:rsidRPr="00640101">
        <w:rPr>
          <w:rFonts w:ascii="Georgia" w:hAnsi="Georgia"/>
          <w:sz w:val="19"/>
          <w:szCs w:val="19"/>
        </w:rPr>
        <w:t>AusAID</w:t>
      </w:r>
      <w:proofErr w:type="spellEnd"/>
      <w:r w:rsidR="00B543F6" w:rsidRPr="00640101">
        <w:rPr>
          <w:rFonts w:ascii="Georgia" w:hAnsi="Georgia"/>
          <w:sz w:val="19"/>
          <w:szCs w:val="19"/>
        </w:rPr>
        <w:t xml:space="preserve"> monitoring missions have highlighted</w:t>
      </w:r>
      <w:r w:rsidR="00B543F6">
        <w:rPr>
          <w:rFonts w:ascii="Georgia" w:hAnsi="Georgia"/>
          <w:sz w:val="19"/>
          <w:szCs w:val="19"/>
        </w:rPr>
        <w:t>, however,</w:t>
      </w:r>
      <w:r w:rsidR="00B543F6" w:rsidRPr="00640101">
        <w:rPr>
          <w:rFonts w:ascii="Georgia" w:hAnsi="Georgia"/>
          <w:sz w:val="19"/>
          <w:szCs w:val="19"/>
        </w:rPr>
        <w:t xml:space="preserve"> that some schools are not clear how to use </w:t>
      </w:r>
      <w:r w:rsidR="000F5E56">
        <w:rPr>
          <w:rFonts w:ascii="Georgia" w:hAnsi="Georgia"/>
          <w:sz w:val="19"/>
          <w:szCs w:val="19"/>
        </w:rPr>
        <w:t>the School Learning Improvement Plans.</w:t>
      </w:r>
      <w:r w:rsidR="00B543F6" w:rsidRPr="00640101">
        <w:rPr>
          <w:rFonts w:ascii="Georgia" w:hAnsi="Georgia"/>
          <w:sz w:val="19"/>
          <w:szCs w:val="19"/>
        </w:rPr>
        <w:t xml:space="preserve"> or provide unreal</w:t>
      </w:r>
      <w:r w:rsidR="00B543F6">
        <w:rPr>
          <w:rFonts w:ascii="Georgia" w:hAnsi="Georgia"/>
          <w:sz w:val="19"/>
          <w:szCs w:val="19"/>
        </w:rPr>
        <w:t xml:space="preserve">istic annual budget estimates. </w:t>
      </w:r>
      <w:r w:rsidR="00B543F6" w:rsidRPr="00640101">
        <w:rPr>
          <w:rFonts w:ascii="Georgia" w:hAnsi="Georgia"/>
          <w:sz w:val="19"/>
          <w:szCs w:val="19"/>
        </w:rPr>
        <w:t xml:space="preserve">Nonetheless, the school access and retention rates have increased and it is </w:t>
      </w:r>
      <w:r w:rsidR="00B543F6">
        <w:rPr>
          <w:rFonts w:ascii="Georgia" w:hAnsi="Georgia"/>
          <w:sz w:val="19"/>
          <w:szCs w:val="19"/>
        </w:rPr>
        <w:t>believed</w:t>
      </w:r>
      <w:r w:rsidR="00B543F6" w:rsidRPr="00640101">
        <w:rPr>
          <w:rFonts w:ascii="Georgia" w:hAnsi="Georgia"/>
          <w:sz w:val="19"/>
          <w:szCs w:val="19"/>
        </w:rPr>
        <w:t xml:space="preserve"> that better school planning and management through the streamlined </w:t>
      </w:r>
      <w:r w:rsidR="000F5E56">
        <w:rPr>
          <w:rFonts w:ascii="Georgia" w:hAnsi="Georgia"/>
          <w:sz w:val="19"/>
          <w:szCs w:val="19"/>
        </w:rPr>
        <w:t>plan</w:t>
      </w:r>
      <w:r w:rsidR="000F5E56" w:rsidRPr="00640101">
        <w:rPr>
          <w:rFonts w:ascii="Georgia" w:hAnsi="Georgia"/>
          <w:sz w:val="19"/>
          <w:szCs w:val="19"/>
        </w:rPr>
        <w:t xml:space="preserve"> </w:t>
      </w:r>
      <w:r w:rsidR="00B543F6" w:rsidRPr="00640101">
        <w:rPr>
          <w:rFonts w:ascii="Georgia" w:hAnsi="Georgia"/>
          <w:sz w:val="19"/>
          <w:szCs w:val="19"/>
        </w:rPr>
        <w:t>tool is partially responsible.</w:t>
      </w:r>
    </w:p>
    <w:p w:rsidR="009E16A6" w:rsidRDefault="009E16A6" w:rsidP="0048616B">
      <w:pPr>
        <w:pStyle w:val="Heading2"/>
      </w:pPr>
      <w:bookmarkStart w:id="8" w:name="_Toc295144867"/>
      <w:bookmarkStart w:id="9" w:name="_Toc296695410"/>
      <w:bookmarkStart w:id="10" w:name="_Toc361584109"/>
      <w:r w:rsidRPr="0048616B">
        <w:t>Objective 3: Improved</w:t>
      </w:r>
      <w:r>
        <w:t xml:space="preserve"> health outcomes</w:t>
      </w:r>
      <w:bookmarkEnd w:id="8"/>
      <w:bookmarkEnd w:id="9"/>
      <w:bookmarkEnd w:id="10"/>
    </w:p>
    <w:p w:rsidR="004A4474" w:rsidRDefault="00B543F6" w:rsidP="00B543F6">
      <w:pPr>
        <w:pStyle w:val="BodyText"/>
      </w:pPr>
      <w:r w:rsidRPr="00A5424A">
        <w:t>Australia is the major</w:t>
      </w:r>
      <w:r>
        <w:t xml:space="preserve"> donor to PNG’s health sector. </w:t>
      </w:r>
      <w:r w:rsidRPr="00A5424A">
        <w:t>In 2010 it provided $43 million, as well as investments through global funding to agencies active in PNG’s health sector (Global Fund</w:t>
      </w:r>
      <w:r w:rsidR="000F5E56">
        <w:t xml:space="preserve"> to Fight AIDS, Tuberculosis and Malaria</w:t>
      </w:r>
      <w:r w:rsidR="00EA05AB">
        <w:t xml:space="preserve"> (Global Fund)</w:t>
      </w:r>
      <w:r w:rsidRPr="00A5424A">
        <w:t xml:space="preserve">, </w:t>
      </w:r>
      <w:r w:rsidR="005E2DC2">
        <w:t xml:space="preserve">the </w:t>
      </w:r>
      <w:r w:rsidRPr="00434D3A">
        <w:t>GAVI</w:t>
      </w:r>
      <w:r w:rsidR="005E2DC2">
        <w:t xml:space="preserve"> Alliance (formerly the Global </w:t>
      </w:r>
      <w:proofErr w:type="spellStart"/>
      <w:r w:rsidR="005E2DC2">
        <w:t>Aliance</w:t>
      </w:r>
      <w:proofErr w:type="spellEnd"/>
      <w:r w:rsidR="005E2DC2">
        <w:t xml:space="preserve"> for Vaccines and Immunisation)</w:t>
      </w:r>
      <w:r w:rsidRPr="00A5424A">
        <w:t xml:space="preserve"> </w:t>
      </w:r>
      <w:r w:rsidRPr="002F5650">
        <w:t>U</w:t>
      </w:r>
      <w:r w:rsidR="002F5650" w:rsidRPr="002F5650">
        <w:t xml:space="preserve">nited </w:t>
      </w:r>
      <w:r w:rsidRPr="002F5650">
        <w:t>N</w:t>
      </w:r>
      <w:r w:rsidR="002F5650" w:rsidRPr="002F5650">
        <w:t>ations</w:t>
      </w:r>
      <w:r w:rsidRPr="00A5424A">
        <w:t xml:space="preserve"> agencies, </w:t>
      </w:r>
      <w:r w:rsidR="000F5E56">
        <w:t xml:space="preserve">the </w:t>
      </w:r>
      <w:r>
        <w:t xml:space="preserve">World Bank and the ADB). </w:t>
      </w:r>
    </w:p>
    <w:p w:rsidR="00B543F6" w:rsidRPr="00A5424A" w:rsidRDefault="00B543F6" w:rsidP="00B543F6">
      <w:pPr>
        <w:pStyle w:val="BodyText"/>
      </w:pPr>
      <w:r w:rsidRPr="00A5424A">
        <w:t>In 2010 four areas demonstrate</w:t>
      </w:r>
      <w:r w:rsidR="000F5E56">
        <w:t>d</w:t>
      </w:r>
      <w:r w:rsidRPr="00A5424A">
        <w:t xml:space="preserve"> the key results of the health program:</w:t>
      </w:r>
    </w:p>
    <w:p w:rsidR="00B543F6" w:rsidRPr="00A5424A" w:rsidRDefault="00B543F6" w:rsidP="00B543F6">
      <w:pPr>
        <w:pStyle w:val="BodyText"/>
        <w:numPr>
          <w:ilvl w:val="0"/>
          <w:numId w:val="18"/>
        </w:numPr>
      </w:pPr>
      <w:r w:rsidRPr="00A5424A">
        <w:t xml:space="preserve">Increased </w:t>
      </w:r>
      <w:r>
        <w:t>health spending</w:t>
      </w:r>
      <w:r w:rsidRPr="00A5424A">
        <w:t xml:space="preserve"> on health minimum priority activities</w:t>
      </w:r>
    </w:p>
    <w:p w:rsidR="00B543F6" w:rsidRPr="00A5424A" w:rsidRDefault="00B543F6" w:rsidP="00B543F6">
      <w:pPr>
        <w:pStyle w:val="BodyText"/>
      </w:pPr>
      <w:r w:rsidRPr="00A5424A">
        <w:t xml:space="preserve">All provinces (except </w:t>
      </w:r>
      <w:proofErr w:type="spellStart"/>
      <w:r w:rsidRPr="00A5424A">
        <w:t>Morobe</w:t>
      </w:r>
      <w:proofErr w:type="spellEnd"/>
      <w:r w:rsidRPr="00A5424A">
        <w:t xml:space="preserve">) increased health spending of </w:t>
      </w:r>
      <w:proofErr w:type="spellStart"/>
      <w:r w:rsidRPr="00A5424A">
        <w:t>GoPNG</w:t>
      </w:r>
      <w:proofErr w:type="spellEnd"/>
      <w:r w:rsidRPr="00A5424A">
        <w:t xml:space="preserve"> resources in 2009, to an average 40</w:t>
      </w:r>
      <w:r w:rsidR="00844A3F">
        <w:t xml:space="preserve"> per cent</w:t>
      </w:r>
      <w:r w:rsidRPr="00A5424A">
        <w:t xml:space="preserve"> of the actual costs required (up from 25</w:t>
      </w:r>
      <w:r w:rsidR="00844A3F">
        <w:t xml:space="preserve"> per cent</w:t>
      </w:r>
      <w:r w:rsidRPr="00A5424A">
        <w:t xml:space="preserve"> in 2008)</w:t>
      </w:r>
      <w:r w:rsidR="00844A3F">
        <w:t xml:space="preserve">. </w:t>
      </w:r>
      <w:r>
        <w:t xml:space="preserve">Some </w:t>
      </w:r>
      <w:r>
        <w:lastRenderedPageBreak/>
        <w:t>provinces</w:t>
      </w:r>
      <w:r w:rsidR="000F5E56">
        <w:t>,</w:t>
      </w:r>
      <w:r>
        <w:t xml:space="preserve"> such as Central</w:t>
      </w:r>
      <w:r w:rsidR="000F5E56">
        <w:t>,</w:t>
      </w:r>
      <w:r w:rsidRPr="00A5424A">
        <w:t xml:space="preserve"> have received a 362.5</w:t>
      </w:r>
      <w:r w:rsidR="00844A3F">
        <w:t xml:space="preserve"> per cent</w:t>
      </w:r>
      <w:r>
        <w:t xml:space="preserve"> increase from 2008 to 2010. </w:t>
      </w:r>
      <w:r w:rsidRPr="00A5424A">
        <w:t>While much more is needed</w:t>
      </w:r>
      <w:r>
        <w:t>,</w:t>
      </w:r>
      <w:r w:rsidRPr="00A5424A">
        <w:t xml:space="preserve"> these are the first significant signs of progress in </w:t>
      </w:r>
      <w:proofErr w:type="spellStart"/>
      <w:r w:rsidRPr="00A5424A">
        <w:t>GoPNG</w:t>
      </w:r>
      <w:proofErr w:type="spellEnd"/>
      <w:r w:rsidRPr="00A5424A">
        <w:t xml:space="preserve"> health spending over the past five years.</w:t>
      </w:r>
    </w:p>
    <w:p w:rsidR="00B543F6" w:rsidRPr="00A5424A" w:rsidRDefault="00B543F6" w:rsidP="00B543F6">
      <w:pPr>
        <w:pStyle w:val="BodyText"/>
      </w:pPr>
      <w:r w:rsidRPr="00A5424A">
        <w:t>Australian</w:t>
      </w:r>
      <w:r w:rsidR="00D92422">
        <w:t>-</w:t>
      </w:r>
      <w:r w:rsidRPr="00A5424A">
        <w:t>funded technical assistance has been critical to achieving these fund</w:t>
      </w:r>
      <w:r>
        <w:t xml:space="preserve">ing and expenditure increases. </w:t>
      </w:r>
      <w:smartTag w:uri="urn:schemas-microsoft-com:office:smarttags" w:element="place">
        <w:smartTag w:uri="urn:schemas-microsoft-com:office:smarttags" w:element="country-region">
          <w:r w:rsidRPr="00A5424A">
            <w:t>Australia</w:t>
          </w:r>
        </w:smartTag>
      </w:smartTag>
      <w:r w:rsidRPr="00A5424A">
        <w:t>’s contribution to funding increases is through long-term advisory support to the National Economic and Fiscal Commission (</w:t>
      </w:r>
      <w:r w:rsidRPr="002F5650">
        <w:t>NEFC</w:t>
      </w:r>
      <w:r w:rsidRPr="00A5424A">
        <w:t>), which links the minimum cost of services to conditional health function grants provided and monito</w:t>
      </w:r>
      <w:r>
        <w:t xml:space="preserve">red by Department of Treasury. </w:t>
      </w:r>
      <w:smartTag w:uri="urn:schemas-microsoft-com:office:smarttags" w:element="place">
        <w:smartTag w:uri="urn:schemas-microsoft-com:office:smarttags" w:element="country-region">
          <w:r w:rsidRPr="00A5424A">
            <w:t>Australia</w:t>
          </w:r>
        </w:smartTag>
      </w:smartTag>
      <w:r w:rsidRPr="00A5424A">
        <w:t xml:space="preserve"> also provides technical advisors in most provinces to support core public financial management functions, which have played a significant role in spending the budget.</w:t>
      </w:r>
    </w:p>
    <w:p w:rsidR="00B543F6" w:rsidRPr="00A5424A" w:rsidRDefault="00B543F6" w:rsidP="00B543F6">
      <w:pPr>
        <w:pStyle w:val="BodyText"/>
      </w:pPr>
      <w:r w:rsidRPr="00A5424A">
        <w:t>Through the Health Sector Improvement Program (</w:t>
      </w:r>
      <w:r w:rsidRPr="002F5650">
        <w:t>HSIP</w:t>
      </w:r>
      <w:r w:rsidRPr="00A5424A">
        <w:t xml:space="preserve">) pooled fund, </w:t>
      </w:r>
      <w:smartTag w:uri="urn:schemas-microsoft-com:office:smarttags" w:element="country-region">
        <w:smartTag w:uri="urn:schemas-microsoft-com:office:smarttags" w:element="place">
          <w:r w:rsidRPr="00A5424A">
            <w:t>Australia</w:t>
          </w:r>
        </w:smartTag>
      </w:smartTag>
      <w:r w:rsidRPr="00A5424A">
        <w:t xml:space="preserve"> and other donor support accounted for approximately 36</w:t>
      </w:r>
      <w:r w:rsidR="00844A3F">
        <w:t xml:space="preserve"> per cent</w:t>
      </w:r>
      <w:r w:rsidRPr="00A5424A">
        <w:t xml:space="preserve"> of all provincial recurrent health spending in 2009</w:t>
      </w:r>
      <w:r w:rsidR="00844A3F">
        <w:t xml:space="preserve">. </w:t>
      </w:r>
      <w:r w:rsidRPr="00A5424A">
        <w:t>Despite early difficulties in disbursing funds, HSIP spending increased from K4</w:t>
      </w:r>
      <w:r>
        <w:t>.7</w:t>
      </w:r>
      <w:r w:rsidR="000F5E56">
        <w:t xml:space="preserve"> </w:t>
      </w:r>
      <w:r>
        <w:t>m</w:t>
      </w:r>
      <w:r w:rsidR="000F5E56">
        <w:t>illion</w:t>
      </w:r>
      <w:r>
        <w:t xml:space="preserve"> in 2005 to K17.4</w:t>
      </w:r>
      <w:r w:rsidR="000F5E56">
        <w:t xml:space="preserve"> </w:t>
      </w:r>
      <w:r>
        <w:t>m</w:t>
      </w:r>
      <w:r w:rsidR="000F5E56">
        <w:t>illion</w:t>
      </w:r>
      <w:r>
        <w:t xml:space="preserve"> in 2009. </w:t>
      </w:r>
      <w:r w:rsidRPr="00A5424A">
        <w:t xml:space="preserve">Taking into account the combined resources of </w:t>
      </w:r>
      <w:proofErr w:type="spellStart"/>
      <w:r w:rsidRPr="00A5424A">
        <w:t>GoPNG</w:t>
      </w:r>
      <w:proofErr w:type="spellEnd"/>
      <w:r w:rsidRPr="00A5424A">
        <w:t xml:space="preserve"> and HSIP, provinces on average spent 60</w:t>
      </w:r>
      <w:r w:rsidR="00844A3F">
        <w:t xml:space="preserve"> per cent</w:t>
      </w:r>
      <w:r w:rsidRPr="00A5424A">
        <w:t xml:space="preserve"> of actual costs required (up from an average of 46</w:t>
      </w:r>
      <w:r w:rsidR="00844A3F">
        <w:t xml:space="preserve"> per cent</w:t>
      </w:r>
      <w:r w:rsidRPr="00A5424A">
        <w:t xml:space="preserve"> in 2008).</w:t>
      </w:r>
    </w:p>
    <w:p w:rsidR="00B543F6" w:rsidRPr="00A5424A" w:rsidRDefault="00B543F6" w:rsidP="00B543F6">
      <w:pPr>
        <w:pStyle w:val="BodyText"/>
        <w:numPr>
          <w:ilvl w:val="0"/>
          <w:numId w:val="18"/>
        </w:numPr>
      </w:pPr>
      <w:r w:rsidRPr="00A5424A">
        <w:t xml:space="preserve">Medical supply improvements led to fewer </w:t>
      </w:r>
      <w:r w:rsidR="00F230FB">
        <w:t xml:space="preserve">incidents of </w:t>
      </w:r>
      <w:r w:rsidRPr="00A5424A">
        <w:t>health facilities</w:t>
      </w:r>
      <w:r w:rsidR="00AD4AC5">
        <w:t xml:space="preserve"> running out of essential drug supplies</w:t>
      </w:r>
    </w:p>
    <w:p w:rsidR="00B543F6" w:rsidRPr="00A5424A" w:rsidRDefault="00B543F6" w:rsidP="00B543F6">
      <w:pPr>
        <w:pStyle w:val="BodyText"/>
      </w:pPr>
      <w:r w:rsidRPr="00A5424A">
        <w:t>On average health facilities had essential medical supplies in stock for only 75</w:t>
      </w:r>
      <w:r w:rsidR="00844A3F">
        <w:t xml:space="preserve"> per cent</w:t>
      </w:r>
      <w:r w:rsidRPr="00A5424A">
        <w:t xml:space="preserve"> of </w:t>
      </w:r>
      <w:r w:rsidR="00434D3A">
        <w:t>the time</w:t>
      </w:r>
      <w:r w:rsidR="00434D3A" w:rsidRPr="00A5424A">
        <w:t xml:space="preserve"> </w:t>
      </w:r>
      <w:r w:rsidRPr="00A5424A">
        <w:t>in 2009</w:t>
      </w:r>
      <w:r w:rsidR="00844A3F">
        <w:t xml:space="preserve">. </w:t>
      </w:r>
      <w:r w:rsidRPr="00A5424A">
        <w:t>This situation has been gradually declining over the past five years and has been the subject of significant local media attention in 2011</w:t>
      </w:r>
      <w:r w:rsidR="00844A3F">
        <w:t xml:space="preserve">. </w:t>
      </w:r>
      <w:r w:rsidRPr="00A5424A">
        <w:t>This situation has come about because of poor quality procurement and contracting practices at national level, and lack of resourcing and logistical difficulties in distribution at national and provincial level</w:t>
      </w:r>
      <w:r w:rsidR="00EA05AB">
        <w:t>s</w:t>
      </w:r>
      <w:r w:rsidRPr="00A5424A">
        <w:t>.</w:t>
      </w:r>
    </w:p>
    <w:p w:rsidR="001A78E9" w:rsidRDefault="001A78E9" w:rsidP="001A78E9">
      <w:pPr>
        <w:pStyle w:val="BodyText"/>
      </w:pPr>
      <w:r w:rsidRPr="001A78E9">
        <w:t>In 2010 an Australian-funded procurement manager in the National Department of Health</w:t>
      </w:r>
      <w:r w:rsidR="002F5650">
        <w:t xml:space="preserve"> (</w:t>
      </w:r>
      <w:proofErr w:type="spellStart"/>
      <w:r w:rsidR="002F5650">
        <w:t>NDoH</w:t>
      </w:r>
      <w:proofErr w:type="spellEnd"/>
      <w:r w:rsidR="002F5650">
        <w:t>)</w:t>
      </w:r>
      <w:r w:rsidRPr="001A78E9">
        <w:t xml:space="preserve"> identified compromised processes for two large tenders for the procurement and distribution of essential medical supply kits in 2011 and 2012, which resulted in the Secretary of Health cancelling the contracts. This represented a unique entry point to break a culture of corruption </w:t>
      </w:r>
      <w:r w:rsidR="00EA05AB">
        <w:t>in</w:t>
      </w:r>
      <w:r w:rsidR="00EA05AB" w:rsidRPr="001A78E9">
        <w:t xml:space="preserve"> </w:t>
      </w:r>
      <w:r w:rsidRPr="001A78E9">
        <w:t xml:space="preserve">the medical supplies branch. Australia agreed to manage the distribution of medical supply kits to all health centres and aid posts as an emergency response in 2011, providing the space for both </w:t>
      </w:r>
      <w:r w:rsidR="00EA05AB">
        <w:t>g</w:t>
      </w:r>
      <w:r w:rsidRPr="001A78E9">
        <w:t xml:space="preserve">overnments to negotiate a new performance-based medical supply reform program to be implemented from 2012. </w:t>
      </w:r>
    </w:p>
    <w:p w:rsidR="00B543F6" w:rsidRPr="00A5424A" w:rsidRDefault="00B543F6" w:rsidP="001A78E9">
      <w:pPr>
        <w:pStyle w:val="BodyText"/>
        <w:numPr>
          <w:ilvl w:val="0"/>
          <w:numId w:val="18"/>
        </w:numPr>
      </w:pPr>
      <w:r w:rsidRPr="00A5424A">
        <w:t>Increased quantity and quality of PNG’s health workforce</w:t>
      </w:r>
    </w:p>
    <w:p w:rsidR="00B543F6" w:rsidRPr="00A5424A" w:rsidRDefault="004A4474" w:rsidP="00B543F6">
      <w:pPr>
        <w:pStyle w:val="BodyText"/>
      </w:pPr>
      <w:r w:rsidRPr="00A5424A">
        <w:t>Australia’s current contribution to health w</w:t>
      </w:r>
      <w:r>
        <w:t xml:space="preserve">orkforce needs is modest. </w:t>
      </w:r>
      <w:r w:rsidR="00B543F6" w:rsidRPr="00A5424A">
        <w:t xml:space="preserve">Australian support to the University of PNG’s School of Medical and Health Sciences allows </w:t>
      </w:r>
      <w:r w:rsidR="00EA05AB">
        <w:t>the university</w:t>
      </w:r>
      <w:r w:rsidR="00EA05AB" w:rsidRPr="00A5424A">
        <w:t xml:space="preserve"> </w:t>
      </w:r>
      <w:r w:rsidR="00B543F6" w:rsidRPr="00A5424A">
        <w:t>to sub-contract visiting specialist teams. In 2010, six international teams supported by PNG surgeons undertook 149 operations in the areas of oral and maxillofacial, paediatrics, orthopaedics, urology, ear, nose and thr</w:t>
      </w:r>
      <w:r w:rsidR="00B543F6">
        <w:t xml:space="preserve">oat and ophthalmology surgery. </w:t>
      </w:r>
      <w:r w:rsidR="00B543F6" w:rsidRPr="00A5424A">
        <w:t>In addition, operation ‘open heart’ involved 60 surgeries, with 32 being closed heart surgery performed by PNG surgeons</w:t>
      </w:r>
      <w:r w:rsidR="00844A3F">
        <w:t xml:space="preserve">. </w:t>
      </w:r>
      <w:r w:rsidR="00B543F6" w:rsidRPr="00A5424A">
        <w:t>Australia also provided improvements through expert advisory support to nursing and midwifery pr</w:t>
      </w:r>
      <w:r w:rsidR="00B543F6">
        <w:t xml:space="preserve">ograms and the introduction of </w:t>
      </w:r>
      <w:r w:rsidR="00B543F6" w:rsidRPr="00A5424A">
        <w:t>revised nursing and midwifery curriculums.</w:t>
      </w:r>
    </w:p>
    <w:p w:rsidR="00B543F6" w:rsidRPr="00A5424A" w:rsidRDefault="00B543F6" w:rsidP="00B543F6">
      <w:pPr>
        <w:pStyle w:val="BodyText"/>
        <w:numPr>
          <w:ilvl w:val="0"/>
          <w:numId w:val="18"/>
        </w:numPr>
      </w:pPr>
      <w:r w:rsidRPr="00A5424A">
        <w:t xml:space="preserve">An effective </w:t>
      </w:r>
      <w:proofErr w:type="spellStart"/>
      <w:r w:rsidRPr="00A5424A">
        <w:t>GoPNG</w:t>
      </w:r>
      <w:proofErr w:type="spellEnd"/>
      <w:r w:rsidRPr="00A5424A">
        <w:t xml:space="preserve">-led response to addressing public health issues and </w:t>
      </w:r>
      <w:r w:rsidR="006035A4">
        <w:br/>
      </w:r>
      <w:r w:rsidRPr="00A5424A">
        <w:t>disease outbreaks</w:t>
      </w:r>
    </w:p>
    <w:p w:rsidR="00B543F6" w:rsidRPr="00A5424A" w:rsidRDefault="00B543F6" w:rsidP="00B543F6">
      <w:pPr>
        <w:pStyle w:val="BodyText"/>
      </w:pPr>
      <w:r w:rsidRPr="00A5424A">
        <w:t>Malaria is one of the leading causes of illness and death in PNG, with the disease affecting nearly 90</w:t>
      </w:r>
      <w:r w:rsidR="00844A3F">
        <w:t xml:space="preserve"> per cent</w:t>
      </w:r>
      <w:r>
        <w:t xml:space="preserve"> of the population. </w:t>
      </w:r>
      <w:r w:rsidRPr="00A5424A">
        <w:t xml:space="preserve">In 2010 Australia provided $3 million to support the </w:t>
      </w:r>
      <w:proofErr w:type="spellStart"/>
      <w:r w:rsidRPr="002F5650">
        <w:t>NDoH</w:t>
      </w:r>
      <w:r w:rsidR="00EA05AB">
        <w:t>’</w:t>
      </w:r>
      <w:r w:rsidRPr="00A5424A">
        <w:t>s</w:t>
      </w:r>
      <w:proofErr w:type="spellEnd"/>
      <w:r w:rsidRPr="00A5424A">
        <w:t xml:space="preserve"> implementation of the National Malaria Con</w:t>
      </w:r>
      <w:r>
        <w:t>trol Strategic Plan 2009</w:t>
      </w:r>
      <w:r w:rsidR="00EA05AB">
        <w:t>–</w:t>
      </w:r>
      <w:r>
        <w:t xml:space="preserve">13. </w:t>
      </w:r>
      <w:r w:rsidRPr="00A5424A">
        <w:t xml:space="preserve">This included funding a study to </w:t>
      </w:r>
      <w:r w:rsidR="00434D3A">
        <w:t>inform</w:t>
      </w:r>
      <w:r w:rsidR="00434D3A" w:rsidRPr="00A5424A">
        <w:t xml:space="preserve"> </w:t>
      </w:r>
      <w:r w:rsidRPr="00A5424A">
        <w:t xml:space="preserve">the distribution of the </w:t>
      </w:r>
      <w:proofErr w:type="spellStart"/>
      <w:r w:rsidRPr="00A5424A">
        <w:t>artemisinin</w:t>
      </w:r>
      <w:proofErr w:type="spellEnd"/>
      <w:r w:rsidRPr="00A5424A">
        <w:t xml:space="preserve">-based combination </w:t>
      </w:r>
      <w:r w:rsidRPr="00A5424A">
        <w:lastRenderedPageBreak/>
        <w:t xml:space="preserve">therapies, promotion of new evidence-based treatment guidelines, and an indoor residual spraying program in the endemic areas of the </w:t>
      </w:r>
      <w:r>
        <w:t>H</w:t>
      </w:r>
      <w:r w:rsidRPr="00A5424A">
        <w:t>ighlands</w:t>
      </w:r>
      <w:r>
        <w:t xml:space="preserve">. </w:t>
      </w:r>
      <w:r w:rsidRPr="00A5424A">
        <w:t>This complements Global Fund resources used to combat malaria.</w:t>
      </w:r>
    </w:p>
    <w:p w:rsidR="00B543F6" w:rsidRPr="00A5424A" w:rsidRDefault="00B543F6" w:rsidP="00B543F6">
      <w:pPr>
        <w:pStyle w:val="BodyText"/>
      </w:pPr>
      <w:r w:rsidRPr="00A5424A">
        <w:t>Australian support to the Institute of Medical Research over 2007</w:t>
      </w:r>
      <w:r w:rsidR="00EA05AB">
        <w:t>–</w:t>
      </w:r>
      <w:r w:rsidRPr="00A5424A">
        <w:t>10 has led to important results</w:t>
      </w:r>
      <w:r>
        <w:t>, including:</w:t>
      </w:r>
      <w:r w:rsidRPr="00A5424A">
        <w:t xml:space="preserve"> malaria drug resistance results informing </w:t>
      </w:r>
      <w:proofErr w:type="spellStart"/>
      <w:r w:rsidRPr="00A5424A">
        <w:t>NDoH</w:t>
      </w:r>
      <w:proofErr w:type="spellEnd"/>
      <w:r w:rsidRPr="00A5424A">
        <w:t xml:space="preserve"> policy and revised treatment protocols; trials of improved malaria treatments for pregnant mothers and infants; maint</w:t>
      </w:r>
      <w:r w:rsidR="00B12AA5">
        <w:t>enance of</w:t>
      </w:r>
      <w:r w:rsidRPr="00A5424A">
        <w:t xml:space="preserve"> a world</w:t>
      </w:r>
      <w:r w:rsidR="00B12AA5">
        <w:t>-</w:t>
      </w:r>
      <w:r w:rsidRPr="00A5424A">
        <w:t>class malaria vaccine testing facility in PNG; and vector biology results demonstrating unique PNG malaria management needs.</w:t>
      </w:r>
    </w:p>
    <w:p w:rsidR="00B543F6" w:rsidRPr="00A5424A" w:rsidRDefault="00B543F6" w:rsidP="00B543F6">
      <w:pPr>
        <w:pStyle w:val="BodyText"/>
      </w:pPr>
      <w:r w:rsidRPr="00A5424A">
        <w:t>In 2010 Australia supported a rapid and effective response to an outbreak of cholera i</w:t>
      </w:r>
      <w:r>
        <w:t xml:space="preserve">n Western Province. </w:t>
      </w:r>
      <w:r w:rsidRPr="00A5424A">
        <w:t xml:space="preserve">This quickly stabilised the situation on </w:t>
      </w:r>
      <w:proofErr w:type="spellStart"/>
      <w:r w:rsidRPr="00A5424A">
        <w:t>Daru</w:t>
      </w:r>
      <w:proofErr w:type="spellEnd"/>
      <w:r w:rsidRPr="00A5424A">
        <w:t xml:space="preserve"> Island and improved </w:t>
      </w:r>
      <w:r w:rsidR="00B12AA5">
        <w:t xml:space="preserve">the condition of </w:t>
      </w:r>
      <w:r w:rsidRPr="00A5424A">
        <w:t>those</w:t>
      </w:r>
      <w:r w:rsidR="00B12AA5">
        <w:t xml:space="preserve"> living</w:t>
      </w:r>
      <w:r w:rsidRPr="00A5424A">
        <w:t xml:space="preserve"> in the middle and lower Fly River</w:t>
      </w:r>
      <w:r>
        <w:t xml:space="preserve"> regions. </w:t>
      </w:r>
      <w:r w:rsidR="00B12AA5">
        <w:t xml:space="preserve">Australia provided </w:t>
      </w:r>
      <w:r w:rsidRPr="00A5424A">
        <w:t>$1</w:t>
      </w:r>
      <w:r w:rsidR="006035A4">
        <w:t> </w:t>
      </w:r>
      <w:r w:rsidRPr="00A5424A">
        <w:t>million</w:t>
      </w:r>
      <w:r w:rsidR="00B12AA5">
        <w:t xml:space="preserve"> to support</w:t>
      </w:r>
      <w:r w:rsidR="006035A4">
        <w:t xml:space="preserve"> </w:t>
      </w:r>
      <w:r w:rsidRPr="00A5424A">
        <w:t xml:space="preserve">the provision and transportation of emergency response personnel and essential medical supplies to treat the sick; an emergency clean drinking water supply system for </w:t>
      </w:r>
      <w:proofErr w:type="spellStart"/>
      <w:r w:rsidRPr="00A5424A">
        <w:t>Daru</w:t>
      </w:r>
      <w:proofErr w:type="spellEnd"/>
      <w:r w:rsidRPr="00A5424A">
        <w:t xml:space="preserve"> Island; and community health promotion activities undertaken by the Red Cross.</w:t>
      </w:r>
    </w:p>
    <w:p w:rsidR="00B543F6" w:rsidRPr="00A5424A" w:rsidRDefault="00B543F6" w:rsidP="00B543F6">
      <w:pPr>
        <w:pStyle w:val="BodyText"/>
      </w:pPr>
      <w:r w:rsidRPr="00A5424A">
        <w:t xml:space="preserve">In 2010 </w:t>
      </w:r>
      <w:smartTag w:uri="urn:schemas-microsoft-com:office:smarttags" w:element="country-region">
        <w:smartTag w:uri="urn:schemas-microsoft-com:office:smarttags" w:element="place">
          <w:r w:rsidRPr="00A5424A">
            <w:t>Australia</w:t>
          </w:r>
        </w:smartTag>
      </w:smartTag>
      <w:r w:rsidRPr="00A5424A">
        <w:t xml:space="preserve"> continued to maintain an effective approach to advancing gender equality in the health sector</w:t>
      </w:r>
      <w:r w:rsidR="00844A3F">
        <w:t xml:space="preserve">. </w:t>
      </w:r>
      <w:r w:rsidRPr="00A5424A">
        <w:t>Important achievements include supporting:</w:t>
      </w:r>
    </w:p>
    <w:p w:rsidR="00B543F6" w:rsidRPr="00A5424A" w:rsidRDefault="00B12AA5" w:rsidP="00B543F6">
      <w:pPr>
        <w:pStyle w:val="BodyText"/>
        <w:numPr>
          <w:ilvl w:val="0"/>
          <w:numId w:val="19"/>
        </w:numPr>
      </w:pPr>
      <w:r>
        <w:t>t</w:t>
      </w:r>
      <w:r w:rsidR="00B543F6" w:rsidRPr="00A5424A">
        <w:t xml:space="preserve">he </w:t>
      </w:r>
      <w:proofErr w:type="spellStart"/>
      <w:r w:rsidR="00B543F6" w:rsidRPr="00A5424A">
        <w:t>NDoH</w:t>
      </w:r>
      <w:proofErr w:type="spellEnd"/>
      <w:r w:rsidR="00B543F6" w:rsidRPr="00A5424A">
        <w:t xml:space="preserve"> to include gender-based violence initiatives and operational costs for Stop</w:t>
      </w:r>
      <w:r w:rsidR="006035A4">
        <w:t> </w:t>
      </w:r>
      <w:r w:rsidR="00B543F6" w:rsidRPr="00A5424A">
        <w:t>Violence Centres and Family Support Centres in annual activity plans and budgets in Western a</w:t>
      </w:r>
      <w:r w:rsidR="00D92E23">
        <w:t>nd Southern Highlands provinces</w:t>
      </w:r>
    </w:p>
    <w:p w:rsidR="00B543F6" w:rsidRPr="00A5424A" w:rsidRDefault="00B12AA5" w:rsidP="00B543F6">
      <w:pPr>
        <w:pStyle w:val="BodyText"/>
        <w:numPr>
          <w:ilvl w:val="0"/>
          <w:numId w:val="19"/>
        </w:numPr>
      </w:pPr>
      <w:r>
        <w:t>a</w:t>
      </w:r>
      <w:r w:rsidR="00B543F6" w:rsidRPr="00A5424A">
        <w:t xml:space="preserve"> gender violence program officer in the family health unit of </w:t>
      </w:r>
      <w:proofErr w:type="spellStart"/>
      <w:r w:rsidR="00B543F6" w:rsidRPr="00A5424A">
        <w:t>NDoH</w:t>
      </w:r>
      <w:proofErr w:type="spellEnd"/>
      <w:r w:rsidR="00B543F6" w:rsidRPr="00A5424A">
        <w:t>, which contributed to a national directive for health fac</w:t>
      </w:r>
      <w:r w:rsidR="00D92E23">
        <w:t>ilities to remove user fees</w:t>
      </w:r>
    </w:p>
    <w:p w:rsidR="00B543F6" w:rsidRPr="00A5424A" w:rsidRDefault="00B12AA5" w:rsidP="00B543F6">
      <w:pPr>
        <w:pStyle w:val="BodyText"/>
        <w:numPr>
          <w:ilvl w:val="0"/>
          <w:numId w:val="19"/>
        </w:numPr>
      </w:pPr>
      <w:r>
        <w:t>p</w:t>
      </w:r>
      <w:r w:rsidR="00B543F6">
        <w:t>ost-</w:t>
      </w:r>
      <w:r w:rsidR="00B543F6" w:rsidRPr="00A5424A">
        <w:t>rape care services provided through Family Support Centres (50</w:t>
      </w:r>
      <w:r w:rsidR="00844A3F">
        <w:t xml:space="preserve"> per cent</w:t>
      </w:r>
      <w:r w:rsidR="00B543F6" w:rsidRPr="00A5424A">
        <w:t xml:space="preserve"> of cases relate to domestic violence), including pregnancy testing, post-exposure prophylaxis, treatment for sexually transmitted infections</w:t>
      </w:r>
      <w:r w:rsidR="00604AB5">
        <w:t xml:space="preserve"> (STI)</w:t>
      </w:r>
      <w:r w:rsidR="00B543F6" w:rsidRPr="00A5424A">
        <w:t>, and psychological counselling services.</w:t>
      </w:r>
    </w:p>
    <w:p w:rsidR="009E16A6" w:rsidRPr="00AB30AC" w:rsidRDefault="009E16A6" w:rsidP="0048616B">
      <w:pPr>
        <w:pStyle w:val="Heading2"/>
      </w:pPr>
      <w:bookmarkStart w:id="11" w:name="_Toc295144868"/>
      <w:bookmarkStart w:id="12" w:name="_Toc296695411"/>
      <w:bookmarkStart w:id="13" w:name="_Toc361584110"/>
      <w:r w:rsidRPr="00AB30AC">
        <w:t>Objective 4: An efficient and effective public service</w:t>
      </w:r>
      <w:bookmarkEnd w:id="11"/>
      <w:bookmarkEnd w:id="12"/>
      <w:bookmarkEnd w:id="13"/>
    </w:p>
    <w:p w:rsidR="00B543F6" w:rsidRDefault="00B543F6" w:rsidP="00B543F6">
      <w:pPr>
        <w:pStyle w:val="BodyText"/>
      </w:pPr>
      <w:r w:rsidRPr="00230A55">
        <w:t xml:space="preserve">In 2010 the program initiated a budget engagement strategy for the PNG 2011 National Budget, working with </w:t>
      </w:r>
      <w:proofErr w:type="spellStart"/>
      <w:r w:rsidR="00E8047E">
        <w:t>Go</w:t>
      </w:r>
      <w:r w:rsidRPr="00230A55">
        <w:t>PNG</w:t>
      </w:r>
      <w:proofErr w:type="spellEnd"/>
      <w:r w:rsidRPr="00230A55">
        <w:t xml:space="preserve"> to support allocation of funds towards </w:t>
      </w:r>
      <w:r w:rsidR="00157C54">
        <w:t>p</w:t>
      </w:r>
      <w:r w:rsidRPr="00230A55">
        <w:t>artnership priority areas of health, education and transpor</w:t>
      </w:r>
      <w:r>
        <w:t xml:space="preserve">t. </w:t>
      </w:r>
      <w:r w:rsidRPr="00230A55">
        <w:t xml:space="preserve">Based on consultations with PNG agencies, the program produced funding recommendations aligned to </w:t>
      </w:r>
      <w:proofErr w:type="spellStart"/>
      <w:r w:rsidRPr="00230A55">
        <w:t>GoPNG</w:t>
      </w:r>
      <w:proofErr w:type="spellEnd"/>
      <w:r w:rsidRPr="00230A55">
        <w:t xml:space="preserve"> sector strategies. The program engaged closely with PNG </w:t>
      </w:r>
      <w:r w:rsidR="00E8047E">
        <w:t>m</w:t>
      </w:r>
      <w:r w:rsidRPr="00230A55">
        <w:t>inisters and officials throughout the budget process to support strong allocation of funds towar</w:t>
      </w:r>
      <w:r>
        <w:t xml:space="preserve">ds the </w:t>
      </w:r>
      <w:r w:rsidR="00E8047E">
        <w:t>p</w:t>
      </w:r>
      <w:r>
        <w:t xml:space="preserve">artnership priorities. </w:t>
      </w:r>
      <w:r w:rsidR="00157C54">
        <w:t>A</w:t>
      </w:r>
      <w:r w:rsidRPr="00230A55">
        <w:t xml:space="preserve"> number of good funding outcomes targeted the </w:t>
      </w:r>
      <w:r w:rsidR="00E8047E">
        <w:t>p</w:t>
      </w:r>
      <w:r w:rsidRPr="00230A55">
        <w:t xml:space="preserve">artnership priorities and </w:t>
      </w:r>
      <w:r w:rsidR="008C799F">
        <w:t>MDG</w:t>
      </w:r>
      <w:r w:rsidR="00E8047E">
        <w:t>s</w:t>
      </w:r>
      <w:r w:rsidRPr="00230A55">
        <w:t>.</w:t>
      </w:r>
    </w:p>
    <w:p w:rsidR="00B543F6" w:rsidRPr="0044324A" w:rsidRDefault="00B543F6" w:rsidP="00B543F6">
      <w:pPr>
        <w:pStyle w:val="BodyText"/>
      </w:pPr>
      <w:r>
        <w:t xml:space="preserve">Australian support to the </w:t>
      </w:r>
      <w:r w:rsidRPr="0044324A">
        <w:t>Auditor General</w:t>
      </w:r>
      <w:r>
        <w:t xml:space="preserve">’s Office resulted in </w:t>
      </w:r>
      <w:r w:rsidRPr="0044324A">
        <w:t xml:space="preserve">several </w:t>
      </w:r>
      <w:r>
        <w:t xml:space="preserve">audit </w:t>
      </w:r>
      <w:r w:rsidRPr="0044324A">
        <w:t xml:space="preserve">reports </w:t>
      </w:r>
      <w:r>
        <w:t xml:space="preserve">tabled </w:t>
      </w:r>
      <w:r w:rsidRPr="0044324A">
        <w:t>in Parl</w:t>
      </w:r>
      <w:r>
        <w:t>iament</w:t>
      </w:r>
      <w:r w:rsidRPr="0044324A">
        <w:t xml:space="preserve"> and </w:t>
      </w:r>
      <w:r w:rsidR="00E8047E">
        <w:t xml:space="preserve">the </w:t>
      </w:r>
      <w:r w:rsidRPr="0044324A">
        <w:t>develop</w:t>
      </w:r>
      <w:r>
        <w:t xml:space="preserve">ment of </w:t>
      </w:r>
      <w:r w:rsidRPr="0044324A">
        <w:t>performance auditing capacity across national and sub-</w:t>
      </w:r>
      <w:r>
        <w:t xml:space="preserve">national tiers of government. </w:t>
      </w:r>
      <w:r w:rsidRPr="0044324A">
        <w:t>The Aud</w:t>
      </w:r>
      <w:r>
        <w:t>itor General’s Office is now up-to-</w:t>
      </w:r>
      <w:r w:rsidRPr="0044324A">
        <w:t xml:space="preserve">date with its constitutional requirements </w:t>
      </w:r>
      <w:r>
        <w:t xml:space="preserve">and will undertake </w:t>
      </w:r>
      <w:r w:rsidRPr="0044324A">
        <w:t>audits</w:t>
      </w:r>
      <w:r>
        <w:t xml:space="preserve"> of 2010 performance </w:t>
      </w:r>
      <w:r w:rsidRPr="0044324A">
        <w:t xml:space="preserve">in early 2011. </w:t>
      </w:r>
    </w:p>
    <w:p w:rsidR="00B543F6" w:rsidRPr="0044324A" w:rsidRDefault="00B543F6" w:rsidP="00B543F6">
      <w:pPr>
        <w:pStyle w:val="BodyText"/>
      </w:pPr>
      <w:r>
        <w:t>The aid program worked</w:t>
      </w:r>
      <w:r w:rsidRPr="0044324A">
        <w:t xml:space="preserve"> closely with the Australian Department of Foreign Affairs </w:t>
      </w:r>
      <w:r>
        <w:t xml:space="preserve">and Trade </w:t>
      </w:r>
      <w:r w:rsidRPr="0044324A">
        <w:t xml:space="preserve">and </w:t>
      </w:r>
      <w:r>
        <w:t xml:space="preserve">the </w:t>
      </w:r>
      <w:r w:rsidRPr="0044324A">
        <w:t xml:space="preserve">Department of Finance and Deregulation to </w:t>
      </w:r>
      <w:r w:rsidR="00E8047E">
        <w:t>help create</w:t>
      </w:r>
      <w:r w:rsidRPr="0044324A">
        <w:t xml:space="preserve"> PNG’s sovereign wealth funds. Many important steps to establishing transparent and accountable funds have been progressed, including legislative steps, process mapping, technical advice and macroeconomic </w:t>
      </w:r>
      <w:r>
        <w:t xml:space="preserve">modelling </w:t>
      </w:r>
      <w:r w:rsidRPr="0044324A">
        <w:t xml:space="preserve">to feed into legislative drafting in 2011. </w:t>
      </w:r>
    </w:p>
    <w:p w:rsidR="00B543F6" w:rsidRPr="0044324A" w:rsidRDefault="00B543F6" w:rsidP="00B543F6">
      <w:pPr>
        <w:pStyle w:val="BodyText"/>
      </w:pPr>
      <w:r w:rsidRPr="0044324A">
        <w:t xml:space="preserve">However some areas have been less than successful. There is continued poor visibility on </w:t>
      </w:r>
      <w:r>
        <w:t>expenditure from</w:t>
      </w:r>
      <w:r w:rsidR="00E8047E">
        <w:t xml:space="preserve"> </w:t>
      </w:r>
      <w:proofErr w:type="spellStart"/>
      <w:r w:rsidR="00E8047E">
        <w:t>G</w:t>
      </w:r>
      <w:r w:rsidR="00157C54">
        <w:t>o</w:t>
      </w:r>
      <w:r>
        <w:t>PNG</w:t>
      </w:r>
      <w:proofErr w:type="spellEnd"/>
      <w:r w:rsidRPr="0044324A">
        <w:t xml:space="preserve"> trust accounts, and further allocation of funds to trusts through the </w:t>
      </w:r>
      <w:r w:rsidRPr="0044324A">
        <w:lastRenderedPageBreak/>
        <w:t xml:space="preserve">2010 Supplementary Budget process. There has been little or no improvement in corruption indicators more broadly, despite achievements at the </w:t>
      </w:r>
      <w:r>
        <w:t xml:space="preserve">individual </w:t>
      </w:r>
      <w:r w:rsidRPr="0044324A">
        <w:t>agency level. Due to a change of leadership at the PNG Institute of Public Administration</w:t>
      </w:r>
      <w:r>
        <w:t>,</w:t>
      </w:r>
      <w:r w:rsidRPr="0044324A">
        <w:t xml:space="preserve"> the expected increase in the number of public servants receiving training has not been achieved. This compounds the lack of capacity in the workforce resulting from an ageing public service together with the effects of attrition</w:t>
      </w:r>
      <w:r>
        <w:t>,</w:t>
      </w:r>
      <w:r w:rsidRPr="0044324A">
        <w:t xml:space="preserve"> with workers taking up opportunities elsewhere in an </w:t>
      </w:r>
      <w:r w:rsidR="00E8047E">
        <w:t xml:space="preserve">economy buoyed by the </w:t>
      </w:r>
      <w:r w:rsidRPr="0044324A">
        <w:t>LNG</w:t>
      </w:r>
      <w:r w:rsidR="006035A4">
        <w:t> </w:t>
      </w:r>
      <w:r w:rsidR="00E8047E">
        <w:t>p</w:t>
      </w:r>
      <w:r w:rsidRPr="0044324A">
        <w:t>roject</w:t>
      </w:r>
      <w:r w:rsidR="00844A3F">
        <w:t>.</w:t>
      </w:r>
    </w:p>
    <w:p w:rsidR="00B543F6" w:rsidRPr="0044324A" w:rsidRDefault="00B543F6" w:rsidP="00B543F6">
      <w:pPr>
        <w:pStyle w:val="BodyText"/>
      </w:pPr>
      <w:r>
        <w:t xml:space="preserve">While </w:t>
      </w:r>
      <w:r w:rsidRPr="0044324A">
        <w:t xml:space="preserve">Australian assistance </w:t>
      </w:r>
      <w:r>
        <w:t>may be helping to prevent a</w:t>
      </w:r>
      <w:r w:rsidRPr="0044324A">
        <w:t xml:space="preserve"> faster decline in PNG governance, transformative improvement is highly unlikely in the current environment. </w:t>
      </w:r>
    </w:p>
    <w:p w:rsidR="00FA4105" w:rsidRPr="006E7E22" w:rsidRDefault="00B543F6" w:rsidP="00564F61">
      <w:pPr>
        <w:pStyle w:val="Heading3"/>
      </w:pPr>
      <w:bookmarkStart w:id="14" w:name="_Toc361584111"/>
      <w:r w:rsidRPr="006E7E22">
        <w:t>Public sector capacity development and performance</w:t>
      </w:r>
      <w:bookmarkEnd w:id="14"/>
    </w:p>
    <w:p w:rsidR="00B543F6" w:rsidRPr="0044324A" w:rsidRDefault="00B543F6" w:rsidP="00B543F6">
      <w:pPr>
        <w:pStyle w:val="BodyText"/>
      </w:pPr>
      <w:r w:rsidRPr="0044324A">
        <w:t>The Australian Public Service Commission is supporting efforts to fill the skills gap</w:t>
      </w:r>
      <w:r w:rsidR="00FA4105">
        <w:t>—</w:t>
      </w:r>
      <w:r w:rsidRPr="0044324A">
        <w:t>a major constraint</w:t>
      </w:r>
      <w:r w:rsidRPr="0044324A" w:rsidDel="00054664">
        <w:t xml:space="preserve"> </w:t>
      </w:r>
      <w:r w:rsidRPr="0044324A">
        <w:t>to devel</w:t>
      </w:r>
      <w:r>
        <w:t xml:space="preserve">opment acknowledged by </w:t>
      </w:r>
      <w:proofErr w:type="spellStart"/>
      <w:r w:rsidR="00FA4105">
        <w:t>Go</w:t>
      </w:r>
      <w:r>
        <w:t>PNG</w:t>
      </w:r>
      <w:proofErr w:type="spellEnd"/>
      <w:r w:rsidRPr="0044324A">
        <w:t xml:space="preserve">, donors and the private sector. Efforts are being directed to addressing workforce planning issues, particularly </w:t>
      </w:r>
      <w:r w:rsidR="00FA4105">
        <w:t>with replacing</w:t>
      </w:r>
      <w:r w:rsidRPr="0044324A">
        <w:t xml:space="preserve"> retiring public servants. Additionally, 779</w:t>
      </w:r>
      <w:r w:rsidR="00FA4105">
        <w:t> </w:t>
      </w:r>
      <w:r w:rsidRPr="0044324A">
        <w:t xml:space="preserve">public servants at national, provincial and district level undertook the new foundational training program in 2010 (down from 1228 in 2009), and 2860 new public servants undertook induction training (up from 1199 in 2009). </w:t>
      </w:r>
      <w:r>
        <w:t>Nineteen</w:t>
      </w:r>
      <w:r w:rsidRPr="0044324A">
        <w:t xml:space="preserve"> graduates completed the 2009 Graduate Program and were deployed across</w:t>
      </w:r>
      <w:r w:rsidR="00FA4105">
        <w:t xml:space="preserve"> public sector</w:t>
      </w:r>
      <w:r w:rsidRPr="0044324A">
        <w:t xml:space="preserve"> agencies in 2010. Reports from agencies on previous graduates (2009) were positive.</w:t>
      </w:r>
    </w:p>
    <w:p w:rsidR="00B543F6" w:rsidRPr="0044324A" w:rsidRDefault="00FA4105" w:rsidP="00B543F6">
      <w:pPr>
        <w:pStyle w:val="BodyText"/>
      </w:pPr>
      <w:proofErr w:type="spellStart"/>
      <w:r>
        <w:t>Strongim</w:t>
      </w:r>
      <w:proofErr w:type="spellEnd"/>
      <w:r>
        <w:t xml:space="preserve"> </w:t>
      </w:r>
      <w:proofErr w:type="spellStart"/>
      <w:r>
        <w:t>Gavman</w:t>
      </w:r>
      <w:proofErr w:type="spellEnd"/>
      <w:r>
        <w:t xml:space="preserve"> Program</w:t>
      </w:r>
      <w:r w:rsidRPr="0044324A">
        <w:t xml:space="preserve"> </w:t>
      </w:r>
      <w:r w:rsidR="00B543F6" w:rsidRPr="0044324A">
        <w:t>support has assisted central agencies to tackle staffing issues, although lack of staff and weak staff discipline continue to pose a major constraint t</w:t>
      </w:r>
      <w:r w:rsidR="00B543F6">
        <w:t>o effectiveness. Long-</w:t>
      </w:r>
      <w:r w:rsidR="00B543F6" w:rsidRPr="0044324A">
        <w:t xml:space="preserve">term staffing shortages and position vacancies in </w:t>
      </w:r>
      <w:r w:rsidR="00B543F6">
        <w:t xml:space="preserve">the </w:t>
      </w:r>
      <w:r w:rsidR="00B543F6" w:rsidRPr="0044324A">
        <w:t xml:space="preserve">Department of Finance were addressed during the second half of 2010 by </w:t>
      </w:r>
      <w:r w:rsidR="00A73874">
        <w:t>filling</w:t>
      </w:r>
      <w:r w:rsidR="00A73874" w:rsidRPr="0044324A">
        <w:t xml:space="preserve"> </w:t>
      </w:r>
      <w:r w:rsidR="00B543F6" w:rsidRPr="0044324A">
        <w:t xml:space="preserve">more than 134 </w:t>
      </w:r>
      <w:r w:rsidR="00A73874">
        <w:t xml:space="preserve">vacant </w:t>
      </w:r>
      <w:r w:rsidR="00B543F6" w:rsidRPr="0044324A">
        <w:t xml:space="preserve">positions in </w:t>
      </w:r>
      <w:proofErr w:type="spellStart"/>
      <w:r w:rsidR="00B543F6" w:rsidRPr="0044324A">
        <w:t>Waigani</w:t>
      </w:r>
      <w:proofErr w:type="spellEnd"/>
      <w:r w:rsidR="00B543F6" w:rsidRPr="0044324A">
        <w:t xml:space="preserve"> and 24 substantive positions in </w:t>
      </w:r>
      <w:r w:rsidR="00B543F6">
        <w:t>p</w:t>
      </w:r>
      <w:r w:rsidR="00B543F6" w:rsidRPr="0044324A">
        <w:t xml:space="preserve">rovincial offices. A compulsory retirement program was implemented, targeting 37 officers at retirement age. </w:t>
      </w:r>
      <w:r w:rsidR="00B543F6">
        <w:t>Program support has also contributed to</w:t>
      </w:r>
      <w:r w:rsidR="00B543F6" w:rsidRPr="0044324A">
        <w:t xml:space="preserve"> staffing level improvements in the Structural Policy and Investment Division of Treasury</w:t>
      </w:r>
      <w:r w:rsidR="00B543F6">
        <w:t>; b</w:t>
      </w:r>
      <w:r w:rsidR="00B543F6" w:rsidRPr="0044324A">
        <w:t xml:space="preserve">y June 2010, 16 of the 19 positions were filled, up from 14 at the start of </w:t>
      </w:r>
      <w:r>
        <w:t>2010</w:t>
      </w:r>
      <w:r w:rsidR="00B543F6" w:rsidRPr="0044324A">
        <w:t xml:space="preserve"> and only 10 staff at the start of 2009. </w:t>
      </w:r>
    </w:p>
    <w:p w:rsidR="004A4474" w:rsidRPr="009E16A6" w:rsidRDefault="004A4474" w:rsidP="00564F61">
      <w:pPr>
        <w:pStyle w:val="Heading3"/>
        <w:rPr>
          <w:i w:val="0"/>
          <w:u w:val="single"/>
        </w:rPr>
      </w:pPr>
      <w:bookmarkStart w:id="15" w:name="_Toc361584112"/>
      <w:r w:rsidRPr="009E16A6">
        <w:rPr>
          <w:i w:val="0"/>
          <w:u w:val="single"/>
        </w:rPr>
        <w:t>B</w:t>
      </w:r>
      <w:r w:rsidR="00B543F6" w:rsidRPr="009E16A6">
        <w:rPr>
          <w:i w:val="0"/>
          <w:u w:val="single"/>
        </w:rPr>
        <w:t>udgeting and financial management for service delivery</w:t>
      </w:r>
      <w:bookmarkEnd w:id="15"/>
      <w:r w:rsidRPr="009E16A6">
        <w:rPr>
          <w:i w:val="0"/>
          <w:u w:val="single"/>
        </w:rPr>
        <w:t xml:space="preserve"> </w:t>
      </w:r>
    </w:p>
    <w:p w:rsidR="00B543F6" w:rsidRPr="0044324A" w:rsidRDefault="004A4474" w:rsidP="00B543F6">
      <w:pPr>
        <w:pStyle w:val="BodyText"/>
      </w:pPr>
      <w:r>
        <w:t>Australia</w:t>
      </w:r>
      <w:r w:rsidR="00B543F6" w:rsidRPr="0044324A">
        <w:t xml:space="preserve"> supported the Budget Division of Treasury to shift the emphasis of the 2011 Budget papers from inputs to outcomes by creating visible linkages between recurrent funding and service delivery, supporting </w:t>
      </w:r>
      <w:r w:rsidR="00FA4105">
        <w:t>PNG’s</w:t>
      </w:r>
      <w:r w:rsidR="00FA4105" w:rsidRPr="0044324A">
        <w:t xml:space="preserve"> </w:t>
      </w:r>
      <w:r w:rsidR="00B543F6" w:rsidRPr="0044324A">
        <w:t xml:space="preserve">new Medium Term Development Plan. This helped stakeholders </w:t>
      </w:r>
      <w:r w:rsidR="00B543F6">
        <w:t xml:space="preserve">to </w:t>
      </w:r>
      <w:r w:rsidR="00B543F6" w:rsidRPr="0044324A">
        <w:t>understand the importance of funding the recurrent budget</w:t>
      </w:r>
      <w:r w:rsidR="00B543F6" w:rsidRPr="00DC50E9">
        <w:t xml:space="preserve"> </w:t>
      </w:r>
      <w:r w:rsidR="00B543F6" w:rsidRPr="0044324A">
        <w:t>appropriately, and allowed some key recurrent budge</w:t>
      </w:r>
      <w:r w:rsidR="00B543F6">
        <w:t xml:space="preserve">t initiatives to be supported. </w:t>
      </w:r>
      <w:r w:rsidR="00B543F6" w:rsidRPr="0044324A">
        <w:t>As a result the 2011 Budget saw some real improvements in allocations. Enhanced recurrent funding for educ</w:t>
      </w:r>
      <w:r w:rsidR="00844A3F">
        <w:t>ation will fund an additional 4</w:t>
      </w:r>
      <w:r w:rsidR="00B543F6" w:rsidRPr="0044324A">
        <w:t>000 teacher</w:t>
      </w:r>
      <w:r w:rsidR="00B543F6">
        <w:t xml:space="preserve">s to be deployed in provinces. </w:t>
      </w:r>
      <w:r w:rsidR="00B543F6" w:rsidRPr="0044324A">
        <w:t xml:space="preserve">Similarly, the increased allocation to law and order will enable an additional 630 police to be put on duty. Increased funding for the </w:t>
      </w:r>
      <w:r w:rsidR="00DD50A6">
        <w:t>e</w:t>
      </w:r>
      <w:r w:rsidR="00B543F6" w:rsidRPr="0044324A">
        <w:t xml:space="preserve">ducation </w:t>
      </w:r>
      <w:r w:rsidR="00DD50A6">
        <w:t>s</w:t>
      </w:r>
      <w:r w:rsidR="00B543F6" w:rsidRPr="0044324A">
        <w:t xml:space="preserve">ubsidy also triggered an </w:t>
      </w:r>
      <w:proofErr w:type="spellStart"/>
      <w:r w:rsidR="00B543F6" w:rsidRPr="0044324A">
        <w:t>AusAID</w:t>
      </w:r>
      <w:proofErr w:type="spellEnd"/>
      <w:r w:rsidR="00B543F6" w:rsidRPr="0044324A">
        <w:t xml:space="preserve"> performance payment.</w:t>
      </w:r>
    </w:p>
    <w:p w:rsidR="00B543F6" w:rsidRPr="0044324A" w:rsidRDefault="00B543F6" w:rsidP="00B543F6">
      <w:pPr>
        <w:pStyle w:val="BodyText"/>
      </w:pPr>
      <w:r w:rsidRPr="0044324A">
        <w:t xml:space="preserve">The first phase of the </w:t>
      </w:r>
      <w:r w:rsidR="00434D3A">
        <w:t>project to improve the GOPNG’s accounting system</w:t>
      </w:r>
      <w:r w:rsidR="00434D3A" w:rsidRPr="0044324A">
        <w:t xml:space="preserve"> </w:t>
      </w:r>
      <w:r w:rsidRPr="0044324A">
        <w:t xml:space="preserve">was delivered to </w:t>
      </w:r>
      <w:r w:rsidR="00FA4105">
        <w:t xml:space="preserve">the </w:t>
      </w:r>
      <w:r w:rsidRPr="0044324A">
        <w:t>Department of Finance in April 2010, providing a modern and improved operating platform for financial management across government. T</w:t>
      </w:r>
      <w:r>
        <w:t>he system now provides enhanced</w:t>
      </w:r>
      <w:r w:rsidRPr="0044324A">
        <w:t xml:space="preserve"> receipting and transaction capabilities</w:t>
      </w:r>
      <w:r w:rsidR="00817E9A">
        <w:t xml:space="preserve"> and m</w:t>
      </w:r>
      <w:r w:rsidRPr="0044324A">
        <w:t>ore flexible reporting provides better management tools for increased efficiency</w:t>
      </w:r>
      <w:r w:rsidR="00B30E1D">
        <w:t>. T</w:t>
      </w:r>
      <w:r w:rsidRPr="0044324A">
        <w:t>he system also has</w:t>
      </w:r>
      <w:r w:rsidR="00B30E1D">
        <w:t xml:space="preserve"> also</w:t>
      </w:r>
      <w:r w:rsidRPr="0044324A">
        <w:t xml:space="preserve"> strengthened system backup and user security.</w:t>
      </w:r>
    </w:p>
    <w:p w:rsidR="00B543F6" w:rsidRPr="0044324A" w:rsidRDefault="00B543F6" w:rsidP="00B543F6">
      <w:pPr>
        <w:pStyle w:val="BodyText"/>
      </w:pPr>
      <w:r w:rsidRPr="0044324A">
        <w:t>The Auditor General’s Office has cleared the 2007 and 2008 audit backlog and will complete 2009 and 2010 audits on</w:t>
      </w:r>
      <w:r>
        <w:t xml:space="preserve"> </w:t>
      </w:r>
      <w:r w:rsidRPr="0044324A">
        <w:t>time</w:t>
      </w:r>
      <w:r w:rsidR="00844A3F">
        <w:t xml:space="preserve">. </w:t>
      </w:r>
      <w:r w:rsidRPr="0044324A">
        <w:t>Staff can now complete a quality audit more efficiently</w:t>
      </w:r>
      <w:r w:rsidR="00B30E1D">
        <w:t>—</w:t>
      </w:r>
      <w:r w:rsidRPr="0044324A">
        <w:t xml:space="preserve">in 2007 the </w:t>
      </w:r>
      <w:r w:rsidR="00B30E1D">
        <w:t xml:space="preserve">Auditor General’s </w:t>
      </w:r>
      <w:r w:rsidRPr="0044324A">
        <w:t>Office required 30 staff days to audit provincial financial statements but in 2009 a more thorough financial audit required only 20 staff days</w:t>
      </w:r>
      <w:r w:rsidR="00844A3F">
        <w:t xml:space="preserve">. </w:t>
      </w:r>
    </w:p>
    <w:p w:rsidR="00B543F6" w:rsidRPr="0044324A" w:rsidRDefault="00B543F6" w:rsidP="00B543F6">
      <w:pPr>
        <w:pStyle w:val="BodyText"/>
      </w:pPr>
      <w:r w:rsidRPr="0044324A">
        <w:lastRenderedPageBreak/>
        <w:t>The Department of Finance</w:t>
      </w:r>
      <w:r w:rsidR="00B30E1D">
        <w:t>’s</w:t>
      </w:r>
      <w:r w:rsidRPr="0044324A">
        <w:t xml:space="preserve"> Provincial and District Finance Management Division started monitoring execution of the 2010 budget through monthly expenditure reports consolidated from </w:t>
      </w:r>
      <w:r w:rsidR="00141E52">
        <w:t>p</w:t>
      </w:r>
      <w:r w:rsidRPr="0044324A">
        <w:t xml:space="preserve">rovincial and </w:t>
      </w:r>
      <w:r w:rsidR="00141E52">
        <w:t>d</w:t>
      </w:r>
      <w:r w:rsidRPr="0044324A">
        <w:t xml:space="preserve">istrict </w:t>
      </w:r>
      <w:r w:rsidR="00141E52">
        <w:t>t</w:t>
      </w:r>
      <w:r w:rsidRPr="0044324A">
        <w:t xml:space="preserve">reasurer levels. This has resulted in better budget execution and responsiveness to emerging issues. </w:t>
      </w:r>
    </w:p>
    <w:p w:rsidR="00B543F6" w:rsidRPr="009E16A6" w:rsidRDefault="00B543F6" w:rsidP="00564F61">
      <w:pPr>
        <w:pStyle w:val="Heading3"/>
        <w:rPr>
          <w:i w:val="0"/>
          <w:u w:val="single"/>
        </w:rPr>
      </w:pPr>
      <w:bookmarkStart w:id="16" w:name="_Toc361584113"/>
      <w:r w:rsidRPr="009E16A6">
        <w:rPr>
          <w:i w:val="0"/>
          <w:u w:val="single"/>
        </w:rPr>
        <w:t>Service delivery and the decentralised system of government</w:t>
      </w:r>
      <w:bookmarkEnd w:id="16"/>
    </w:p>
    <w:p w:rsidR="00B543F6" w:rsidRPr="0044324A" w:rsidRDefault="00DD50A6" w:rsidP="00B543F6">
      <w:pPr>
        <w:pStyle w:val="BodyText"/>
      </w:pPr>
      <w:r>
        <w:t xml:space="preserve">There have </w:t>
      </w:r>
      <w:r w:rsidR="00B543F6" w:rsidRPr="0044324A">
        <w:t xml:space="preserve">been a range of positive developments in the operation of the decentralised system and capacity of some provincial administrations during 2010, often achieved through a combination of local leadership and Australian support. The national government has continued with the implementation of </w:t>
      </w:r>
      <w:r w:rsidR="00141E52">
        <w:t xml:space="preserve">the </w:t>
      </w:r>
      <w:r w:rsidR="00B543F6" w:rsidRPr="0044324A">
        <w:t>new intergovernmental financing arrangements legislated in 2009 and</w:t>
      </w:r>
      <w:r w:rsidR="00141E52">
        <w:t>,</w:t>
      </w:r>
      <w:r w:rsidR="00B543F6" w:rsidRPr="0044324A">
        <w:t xml:space="preserve"> for a second year, has increased payments for service delivery to under-resourced provinces.</w:t>
      </w:r>
    </w:p>
    <w:p w:rsidR="00B543F6" w:rsidRPr="0044324A" w:rsidRDefault="00B543F6" w:rsidP="00B543F6">
      <w:pPr>
        <w:pStyle w:val="BodyText"/>
      </w:pPr>
      <w:r w:rsidRPr="0044324A">
        <w:t xml:space="preserve">Evidence from the </w:t>
      </w:r>
      <w:r w:rsidRPr="002F5650">
        <w:t>NEFC suggests</w:t>
      </w:r>
      <w:r w:rsidRPr="0044324A">
        <w:t xml:space="preserve"> that in many under-resourced provinces, additional funds are being better allocated towards the service sectors, particularly health, education, infrastructure and agriculture</w:t>
      </w:r>
      <w:r w:rsidR="00844A3F">
        <w:t xml:space="preserve">. </w:t>
      </w:r>
      <w:r w:rsidRPr="0044324A">
        <w:t xml:space="preserve">The role of </w:t>
      </w:r>
      <w:r w:rsidR="00DD50A6">
        <w:t>Department of Planning and Local Government</w:t>
      </w:r>
      <w:r w:rsidR="00030485">
        <w:t xml:space="preserve"> Areas </w:t>
      </w:r>
      <w:r w:rsidRPr="0044324A">
        <w:t xml:space="preserve">and NEFC in supporting provinces and providing public analysis of expenditure through </w:t>
      </w:r>
      <w:r w:rsidR="00141E52">
        <w:t>a</w:t>
      </w:r>
      <w:r w:rsidRPr="0044324A">
        <w:t xml:space="preserve">nnual </w:t>
      </w:r>
      <w:r w:rsidR="00434D3A">
        <w:t>p</w:t>
      </w:r>
      <w:r w:rsidR="00434D3A" w:rsidRPr="00434D3A">
        <w:t xml:space="preserve">rovincial </w:t>
      </w:r>
      <w:r w:rsidR="00434D3A">
        <w:t>e</w:t>
      </w:r>
      <w:r w:rsidR="00434D3A" w:rsidRPr="00434D3A">
        <w:t xml:space="preserve">xpenditure </w:t>
      </w:r>
      <w:r w:rsidR="00434D3A">
        <w:t>r</w:t>
      </w:r>
      <w:r w:rsidR="00434D3A" w:rsidRPr="00434D3A">
        <w:t>eviews</w:t>
      </w:r>
      <w:r w:rsidR="00434D3A" w:rsidRPr="0044324A">
        <w:rPr>
          <w:i/>
        </w:rPr>
        <w:t xml:space="preserve"> </w:t>
      </w:r>
      <w:r w:rsidRPr="0044324A">
        <w:t>is becoming entrenched</w:t>
      </w:r>
      <w:r w:rsidR="00844A3F">
        <w:t xml:space="preserve">. </w:t>
      </w:r>
      <w:r w:rsidRPr="0044324A">
        <w:t>This is providing an incentive for increasing provincial expenditure on service delivery and improving the monitoring of service delivery outputs.</w:t>
      </w:r>
    </w:p>
    <w:p w:rsidR="00B543F6" w:rsidRPr="0044324A" w:rsidRDefault="00B543F6" w:rsidP="00B543F6">
      <w:pPr>
        <w:pStyle w:val="BodyText"/>
      </w:pPr>
      <w:smartTag w:uri="urn:schemas-microsoft-com:office:smarttags" w:element="country-region">
        <w:smartTag w:uri="urn:schemas-microsoft-com:office:smarttags" w:element="place">
          <w:r w:rsidRPr="0044324A">
            <w:t>Australia</w:t>
          </w:r>
        </w:smartTag>
      </w:smartTag>
      <w:r w:rsidRPr="0044324A">
        <w:t xml:space="preserve"> supports the Provincial Performance Improvement Initiative</w:t>
      </w:r>
      <w:r>
        <w:t xml:space="preserve"> </w:t>
      </w:r>
      <w:r w:rsidRPr="002F5650">
        <w:t>(PPII</w:t>
      </w:r>
      <w:r>
        <w:t>)</w:t>
      </w:r>
      <w:r w:rsidRPr="0044324A">
        <w:t>, an incentive-based program providing funds to better performing provinces. Under this initiati</w:t>
      </w:r>
      <w:r>
        <w:t>ve, a number of provinces have</w:t>
      </w:r>
      <w:r w:rsidRPr="0044324A">
        <w:t xml:space="preserve"> increased their ability to respond to their service delivery mandate.</w:t>
      </w:r>
    </w:p>
    <w:p w:rsidR="00B543F6" w:rsidRDefault="00B543F6" w:rsidP="00B543F6">
      <w:pPr>
        <w:pStyle w:val="BodyText"/>
      </w:pPr>
      <w:r w:rsidRPr="0044324A">
        <w:t xml:space="preserve">For 2011 all ‘phase two’ provinces </w:t>
      </w:r>
      <w:r>
        <w:t xml:space="preserve">under PPII </w:t>
      </w:r>
      <w:r w:rsidRPr="0044324A">
        <w:t>submitted their budgets on time and in accordance with Treasury requirements</w:t>
      </w:r>
      <w:r w:rsidR="00844A3F">
        <w:t xml:space="preserve">. </w:t>
      </w:r>
      <w:r w:rsidRPr="0044324A">
        <w:t xml:space="preserve">This facilitates an expedited release of funds to provinces, which are increasingly spending on service delivery priorities. Through PPII, provinces like </w:t>
      </w:r>
      <w:r w:rsidR="00817E9A" w:rsidRPr="0044324A">
        <w:t xml:space="preserve">East New Britain </w:t>
      </w:r>
      <w:r w:rsidRPr="0044324A">
        <w:t>have used NEFC-produced costing information to improve allocations to health facilities and remote districts.</w:t>
      </w:r>
    </w:p>
    <w:p w:rsidR="00B543F6" w:rsidRPr="0044324A" w:rsidRDefault="00B543F6" w:rsidP="00B543F6">
      <w:pPr>
        <w:pStyle w:val="BodyText"/>
      </w:pPr>
      <w:r w:rsidRPr="0044324A">
        <w:t xml:space="preserve">In </w:t>
      </w:r>
      <w:r w:rsidR="00817E9A" w:rsidRPr="0044324A">
        <w:t>E</w:t>
      </w:r>
      <w:r w:rsidR="00364E79">
        <w:t>ast New Britain</w:t>
      </w:r>
      <w:r w:rsidR="00817E9A" w:rsidRPr="0044324A">
        <w:t xml:space="preserve"> </w:t>
      </w:r>
      <w:r w:rsidRPr="0044324A">
        <w:t xml:space="preserve">and </w:t>
      </w:r>
      <w:proofErr w:type="spellStart"/>
      <w:r w:rsidRPr="0044324A">
        <w:t>Sandaun</w:t>
      </w:r>
      <w:proofErr w:type="spellEnd"/>
      <w:r w:rsidRPr="0044324A">
        <w:t>, restructuring of provincial administrations is facilitating a renewal of staff, an improved work ethic and location of more service delivery staff in remote areas. E</w:t>
      </w:r>
      <w:r w:rsidR="00364E79">
        <w:t>ast New Britain</w:t>
      </w:r>
      <w:r w:rsidRPr="0044324A">
        <w:t xml:space="preserve"> has been supported to implement a promising system of direct funding to health facilities</w:t>
      </w:r>
      <w:r>
        <w:t>;</w:t>
      </w:r>
      <w:r w:rsidRPr="0044324A">
        <w:t xml:space="preserve"> visits to select facilities has seen them privately </w:t>
      </w:r>
      <w:r w:rsidR="00364E79">
        <w:t>buy</w:t>
      </w:r>
      <w:r w:rsidR="00364E79" w:rsidRPr="0044324A">
        <w:t xml:space="preserve"> </w:t>
      </w:r>
      <w:r w:rsidRPr="0044324A">
        <w:t>more drugs and perform more healt</w:t>
      </w:r>
      <w:r>
        <w:t>h patrols than in the past</w:t>
      </w:r>
      <w:r w:rsidR="00844A3F">
        <w:t>.</w:t>
      </w:r>
    </w:p>
    <w:p w:rsidR="00B543F6" w:rsidRPr="0044324A" w:rsidRDefault="00B543F6" w:rsidP="00B543F6">
      <w:pPr>
        <w:pStyle w:val="BodyText"/>
      </w:pPr>
      <w:r w:rsidRPr="0044324A">
        <w:t xml:space="preserve">The aid program supports improved performance in provinces or regions of national interest to both governments, in particular, Bougainville. Australian support included funding for </w:t>
      </w:r>
      <w:r w:rsidR="00030485">
        <w:t xml:space="preserve">electricity </w:t>
      </w:r>
      <w:r w:rsidRPr="0044324A">
        <w:t xml:space="preserve">as well as staff housing and offices for education and health divisions in remote areas; assisting Bougainville to engage constructively with </w:t>
      </w:r>
      <w:proofErr w:type="spellStart"/>
      <w:r w:rsidR="00364E79">
        <w:t>Go</w:t>
      </w:r>
      <w:r w:rsidRPr="0044324A">
        <w:t>PNG</w:t>
      </w:r>
      <w:proofErr w:type="spellEnd"/>
      <w:r w:rsidRPr="0044324A">
        <w:t xml:space="preserve"> through the Joint Supervisory Board; assisting the </w:t>
      </w:r>
      <w:r w:rsidR="00AD3D17">
        <w:t xml:space="preserve">Bougainville </w:t>
      </w:r>
      <w:r w:rsidRPr="0044324A">
        <w:t>administration to recruit 149 positions to address critical staff shortages; and advisory support to prepare for the direct funding of health facilities.</w:t>
      </w:r>
    </w:p>
    <w:p w:rsidR="009E16A6" w:rsidRDefault="009E16A6" w:rsidP="0048616B">
      <w:pPr>
        <w:pStyle w:val="Heading2"/>
      </w:pPr>
      <w:bookmarkStart w:id="17" w:name="_Toc295144869"/>
      <w:bookmarkStart w:id="18" w:name="_Toc296695412"/>
      <w:bookmarkStart w:id="19" w:name="_Toc361584114"/>
      <w:r w:rsidRPr="00B521F2">
        <w:t xml:space="preserve">Objective </w:t>
      </w:r>
      <w:r>
        <w:t>5:</w:t>
      </w:r>
      <w:r w:rsidRPr="00B521F2">
        <w:t xml:space="preserve"> </w:t>
      </w:r>
      <w:r w:rsidRPr="006D4D5F">
        <w:t>Development policy and program formulation based on sound statistics and performance reporting</w:t>
      </w:r>
      <w:bookmarkEnd w:id="17"/>
      <w:bookmarkEnd w:id="18"/>
      <w:bookmarkEnd w:id="19"/>
    </w:p>
    <w:p w:rsidR="00CE6D82" w:rsidRPr="006D4D5F" w:rsidRDefault="00CE6D82" w:rsidP="00CE6D82">
      <w:pPr>
        <w:pStyle w:val="BodyText"/>
      </w:pPr>
      <w:r w:rsidRPr="006D4D5F">
        <w:t xml:space="preserve">In 2010 Australia provided funding, technical assistance and </w:t>
      </w:r>
      <w:r w:rsidRPr="00A73874">
        <w:t>procureme</w:t>
      </w:r>
      <w:r w:rsidRPr="006D4D5F">
        <w:t>nt</w:t>
      </w:r>
      <w:r w:rsidR="00A73874">
        <w:t xml:space="preserve"> advice</w:t>
      </w:r>
      <w:r w:rsidR="00030485" w:rsidRPr="006D4D5F">
        <w:t xml:space="preserve"> </w:t>
      </w:r>
      <w:r w:rsidRPr="006D4D5F">
        <w:t>to deliver the Household Income and Expenditure Survey (</w:t>
      </w:r>
      <w:r w:rsidRPr="002F5650">
        <w:t>HIES</w:t>
      </w:r>
      <w:r w:rsidRPr="006D4D5F">
        <w:t xml:space="preserve">); to assist </w:t>
      </w:r>
      <w:proofErr w:type="spellStart"/>
      <w:r w:rsidRPr="006D4D5F">
        <w:t>GoPNG</w:t>
      </w:r>
      <w:proofErr w:type="spellEnd"/>
      <w:r w:rsidRPr="006D4D5F">
        <w:t xml:space="preserve"> to undertake the 2011 National Population Census and to improve</w:t>
      </w:r>
      <w:r w:rsidR="00364E79">
        <w:t xml:space="preserve"> the</w:t>
      </w:r>
      <w:r w:rsidRPr="006D4D5F">
        <w:t xml:space="preserve"> collection, analys</w:t>
      </w:r>
      <w:r>
        <w:t>i</w:t>
      </w:r>
      <w:r w:rsidRPr="006D4D5F">
        <w:t>s and use of data in policy formulation through the design of a National Statistical Development Strategy.</w:t>
      </w:r>
    </w:p>
    <w:p w:rsidR="00817E9A" w:rsidRDefault="00CE6D82" w:rsidP="00CE6D82">
      <w:pPr>
        <w:pStyle w:val="BodyText"/>
      </w:pPr>
      <w:r w:rsidRPr="006D4D5F">
        <w:lastRenderedPageBreak/>
        <w:t>Steady progress was made in several areas under this initiative</w:t>
      </w:r>
      <w:r w:rsidR="00844A3F">
        <w:t xml:space="preserve">. </w:t>
      </w:r>
      <w:r w:rsidRPr="006D4D5F">
        <w:t xml:space="preserve">Even with numerous delays, inconsistent </w:t>
      </w:r>
      <w:proofErr w:type="spellStart"/>
      <w:r w:rsidRPr="006D4D5F">
        <w:t>GoPNG</w:t>
      </w:r>
      <w:proofErr w:type="spellEnd"/>
      <w:r w:rsidRPr="006D4D5F">
        <w:t xml:space="preserve"> funding, and hold-ups in payments from</w:t>
      </w:r>
      <w:r>
        <w:t xml:space="preserve"> the Department of Finance</w:t>
      </w:r>
      <w:r w:rsidRPr="006D4D5F">
        <w:t>, the final month of data collection for the HIES was conducted in December 2010</w:t>
      </w:r>
      <w:r w:rsidR="00844A3F">
        <w:t xml:space="preserve">. </w:t>
      </w:r>
      <w:r w:rsidRPr="006D4D5F">
        <w:t xml:space="preserve">The National Statistical Office has noted that without </w:t>
      </w:r>
      <w:proofErr w:type="spellStart"/>
      <w:r w:rsidRPr="006D4D5F">
        <w:t>AusAID</w:t>
      </w:r>
      <w:proofErr w:type="spellEnd"/>
      <w:r w:rsidRPr="006D4D5F">
        <w:t xml:space="preserve"> support, it is unlikely that the HIES would have been completed</w:t>
      </w:r>
      <w:r w:rsidR="00844A3F">
        <w:t xml:space="preserve">. </w:t>
      </w:r>
      <w:r w:rsidRPr="006D4D5F">
        <w:t xml:space="preserve">This data will now be used by </w:t>
      </w:r>
      <w:proofErr w:type="spellStart"/>
      <w:r w:rsidRPr="006D4D5F">
        <w:t>GoPNG</w:t>
      </w:r>
      <w:proofErr w:type="spellEnd"/>
      <w:r w:rsidRPr="006D4D5F">
        <w:t xml:space="preserve"> (with donor support) to analyse the poverty situation in PNG, rebase the Consumer Price Index and input into the national accounts</w:t>
      </w:r>
      <w:r w:rsidR="00844A3F">
        <w:t xml:space="preserve">. </w:t>
      </w:r>
      <w:r w:rsidRPr="006D4D5F">
        <w:t>In a rapidly changing national environment, these timely social and economic statistics will ensure the best quality information is available to decision makers</w:t>
      </w:r>
      <w:r w:rsidR="00844A3F">
        <w:t xml:space="preserve">. </w:t>
      </w:r>
    </w:p>
    <w:p w:rsidR="00CE6D82" w:rsidRPr="006D4D5F" w:rsidRDefault="00CE6D82" w:rsidP="00CE6D82">
      <w:pPr>
        <w:pStyle w:val="BodyText"/>
      </w:pPr>
      <w:r w:rsidRPr="006D4D5F">
        <w:t>The HIES has included a focus on gender equality at all stages of the project</w:t>
      </w:r>
      <w:r w:rsidR="00844A3F">
        <w:t xml:space="preserve">. </w:t>
      </w:r>
      <w:r w:rsidRPr="006D4D5F">
        <w:t>The survey has been designed to include collection of data on violence against women and children in the home and</w:t>
      </w:r>
      <w:r>
        <w:t xml:space="preserve"> to</w:t>
      </w:r>
      <w:r w:rsidRPr="006D4D5F">
        <w:t xml:space="preserve"> allow greater sex disaggregation of data</w:t>
      </w:r>
      <w:r w:rsidR="00844A3F">
        <w:t xml:space="preserve">. </w:t>
      </w:r>
      <w:r w:rsidRPr="006D4D5F">
        <w:t xml:space="preserve">The approach taken in the HIES demonstrates good practice in collection of disaggregated data, </w:t>
      </w:r>
      <w:r w:rsidR="00030485">
        <w:t>gender</w:t>
      </w:r>
      <w:r w:rsidR="005647FD">
        <w:t>-</w:t>
      </w:r>
      <w:r w:rsidRPr="006D4D5F">
        <w:t>targeted questions and training of enumerators that should be used in other surveys</w:t>
      </w:r>
      <w:r w:rsidR="00844A3F">
        <w:t xml:space="preserve">. </w:t>
      </w:r>
      <w:r w:rsidRPr="006D4D5F">
        <w:t>These efforts will allow for changes to be made to the way programs are designed and implemented to ensure that benefits are delivered to women and girls in addressing poverty as well as social and e</w:t>
      </w:r>
      <w:r>
        <w:t>conomic barriers facing women</w:t>
      </w:r>
      <w:r w:rsidRPr="006D4D5F">
        <w:t>.</w:t>
      </w:r>
    </w:p>
    <w:p w:rsidR="00CE6D82" w:rsidRPr="006D4D5F" w:rsidRDefault="00CE6D82" w:rsidP="00CE6D82">
      <w:pPr>
        <w:pStyle w:val="BodyText"/>
      </w:pPr>
      <w:r w:rsidRPr="006D4D5F">
        <w:t>Targeted Australian support to the N</w:t>
      </w:r>
      <w:r w:rsidR="00364E79">
        <w:t>ational Statistical Office</w:t>
      </w:r>
      <w:r w:rsidRPr="006D4D5F">
        <w:t xml:space="preserve"> has assisted with key phases of the 2011 National Census</w:t>
      </w:r>
      <w:r w:rsidR="00844A3F">
        <w:t xml:space="preserve">. </w:t>
      </w:r>
      <w:r w:rsidRPr="006D4D5F">
        <w:t>However despite this support</w:t>
      </w:r>
      <w:r>
        <w:t xml:space="preserve"> and a</w:t>
      </w:r>
      <w:r w:rsidRPr="006D4D5F">
        <w:t xml:space="preserve"> legislative and political imperative to complete the Census by 2011, the Census project is weak</w:t>
      </w:r>
      <w:r>
        <w:t>ly managed</w:t>
      </w:r>
      <w:r w:rsidRPr="006D4D5F">
        <w:t xml:space="preserve"> and off-track</w:t>
      </w:r>
      <w:r w:rsidR="00844A3F">
        <w:t xml:space="preserve">. </w:t>
      </w:r>
      <w:r w:rsidRPr="006D4D5F">
        <w:t>The Census has already been delayed from 2010 to 2011 due to unrealistic timelines and limited capacity within the N</w:t>
      </w:r>
      <w:r w:rsidR="00364E79">
        <w:t>ational Statistical Office</w:t>
      </w:r>
      <w:r w:rsidRPr="006D4D5F">
        <w:t xml:space="preserve"> to manage such a project</w:t>
      </w:r>
      <w:r w:rsidR="00844A3F">
        <w:t xml:space="preserve">. </w:t>
      </w:r>
      <w:r w:rsidRPr="006D4D5F">
        <w:t>The PNG Central Agency Coordinating Committee is attempting to exert control over the project through initiating a financial audit of spending, a new staffing structure and the appointment of a fund manager; however work on these matters remains slow, especially given the time constraints.</w:t>
      </w:r>
    </w:p>
    <w:p w:rsidR="009E16A6" w:rsidRDefault="009E16A6" w:rsidP="0048616B">
      <w:pPr>
        <w:pStyle w:val="Heading2"/>
      </w:pPr>
      <w:bookmarkStart w:id="20" w:name="_Toc295144870"/>
      <w:bookmarkStart w:id="21" w:name="_Toc296695413"/>
      <w:bookmarkStart w:id="22" w:name="_Toc361584115"/>
      <w:r w:rsidRPr="00B521F2">
        <w:t xml:space="preserve">Objective </w:t>
      </w:r>
      <w:r>
        <w:t>6:</w:t>
      </w:r>
      <w:r w:rsidRPr="00B521F2">
        <w:t xml:space="preserve"> </w:t>
      </w:r>
      <w:r w:rsidRPr="000A1E82">
        <w:t>(a) Stabilise spread of new HIV infections by 2020 and provide effective care and treatment of those infected and (b) Strengthened national capacity to lead, coordinate and implement the HIV response</w:t>
      </w:r>
      <w:bookmarkEnd w:id="20"/>
      <w:bookmarkEnd w:id="21"/>
      <w:bookmarkEnd w:id="22"/>
    </w:p>
    <w:p w:rsidR="00CE6D82" w:rsidRPr="006E2196" w:rsidRDefault="00CE6D82" w:rsidP="00CE6D82">
      <w:pPr>
        <w:pStyle w:val="BodyText"/>
      </w:pPr>
      <w:r w:rsidRPr="006E2196">
        <w:t>The PNG</w:t>
      </w:r>
      <w:r w:rsidR="005647FD">
        <w:t xml:space="preserve"> – </w:t>
      </w:r>
      <w:r w:rsidRPr="006E2196">
        <w:t>Australia HIV and AIDS Program is a flexible multi-year program designed to support the national HIV response and the National HIV and AIDS Strategic Plan 2006</w:t>
      </w:r>
      <w:r w:rsidR="005647FD">
        <w:t>–</w:t>
      </w:r>
      <w:r w:rsidRPr="006E2196">
        <w:t>10 in PNG</w:t>
      </w:r>
      <w:r w:rsidR="00844A3F">
        <w:t xml:space="preserve">. </w:t>
      </w:r>
      <w:r w:rsidRPr="006E2196">
        <w:t>In the HIV sector, improvements have been made in reporting, service provision and access to testing and antiretroviral treatment</w:t>
      </w:r>
      <w:r w:rsidR="00844A3F">
        <w:t xml:space="preserve">. </w:t>
      </w:r>
      <w:r w:rsidRPr="006E2196">
        <w:t xml:space="preserve">By the end of 2010, 7555 adults and children were on </w:t>
      </w:r>
      <w:r w:rsidR="00604AB5" w:rsidRPr="00604AB5">
        <w:t xml:space="preserve">antiretroviral </w:t>
      </w:r>
      <w:r w:rsidRPr="006E2196">
        <w:t>compared with 6751 people in 2009</w:t>
      </w:r>
      <w:r w:rsidR="00844A3F">
        <w:t xml:space="preserve">. </w:t>
      </w:r>
      <w:r w:rsidRPr="006E2196">
        <w:t xml:space="preserve">Services providing antiretroviral therapy increased to </w:t>
      </w:r>
      <w:r>
        <w:t>61</w:t>
      </w:r>
      <w:r w:rsidRPr="006E2196">
        <w:t xml:space="preserve"> sites in 2010</w:t>
      </w:r>
      <w:r w:rsidR="00707449">
        <w:t>,</w:t>
      </w:r>
      <w:r w:rsidRPr="006E2196">
        <w:t xml:space="preserve"> up from 55 in 2009</w:t>
      </w:r>
      <w:r w:rsidR="00844A3F">
        <w:t xml:space="preserve">. </w:t>
      </w:r>
      <w:r w:rsidRPr="006E2196">
        <w:t xml:space="preserve">Other sources show increases in access to testing and treatment services by sex workers and men who have sex with men in </w:t>
      </w:r>
      <w:smartTag w:uri="urn:schemas-microsoft-com:office:smarttags" w:element="City">
        <w:smartTag w:uri="urn:schemas-microsoft-com:office:smarttags" w:element="place">
          <w:r w:rsidR="00030485">
            <w:t>Port Moresby</w:t>
          </w:r>
        </w:smartTag>
      </w:smartTag>
      <w:r w:rsidR="00030485">
        <w:t xml:space="preserve"> </w:t>
      </w:r>
      <w:r w:rsidRPr="006E2196">
        <w:t>(66</w:t>
      </w:r>
      <w:r w:rsidR="00844A3F">
        <w:t xml:space="preserve"> per cent</w:t>
      </w:r>
      <w:r w:rsidRPr="006E2196">
        <w:t xml:space="preserve"> in 2010 compared to below 50</w:t>
      </w:r>
      <w:r w:rsidR="00844A3F">
        <w:t xml:space="preserve"> per cent</w:t>
      </w:r>
      <w:r w:rsidRPr="006E2196">
        <w:t xml:space="preserve"> in 2007)</w:t>
      </w:r>
      <w:r w:rsidR="00707449">
        <w:t>. T</w:t>
      </w:r>
      <w:r w:rsidRPr="006E2196">
        <w:t>his includes ongoing access to antiretroviral therapy which reduce</w:t>
      </w:r>
      <w:r>
        <w:t>s</w:t>
      </w:r>
      <w:r w:rsidRPr="006E2196">
        <w:t xml:space="preserve"> the likelihood of transmitting HIV to sex partners.</w:t>
      </w:r>
    </w:p>
    <w:p w:rsidR="00CE6D82" w:rsidRPr="006E2196" w:rsidRDefault="00CE6D82" w:rsidP="00CE6D82">
      <w:pPr>
        <w:pStyle w:val="BodyText"/>
      </w:pPr>
      <w:smartTag w:uri="urn:schemas-microsoft-com:office:smarttags" w:element="country-region">
        <w:smartTag w:uri="urn:schemas-microsoft-com:office:smarttags" w:element="place">
          <w:r w:rsidRPr="006E2196">
            <w:t>Australia</w:t>
          </w:r>
        </w:smartTag>
      </w:smartTag>
      <w:r w:rsidRPr="006E2196">
        <w:t>’s contribution is quantifiable in some key result areas:</w:t>
      </w:r>
    </w:p>
    <w:p w:rsidR="00707449" w:rsidRPr="009E16A6" w:rsidRDefault="00CE6D82" w:rsidP="00564F61">
      <w:pPr>
        <w:pStyle w:val="Heading3"/>
        <w:rPr>
          <w:i w:val="0"/>
          <w:u w:val="single"/>
        </w:rPr>
      </w:pPr>
      <w:bookmarkStart w:id="23" w:name="_Toc361584116"/>
      <w:r w:rsidRPr="009E16A6">
        <w:rPr>
          <w:i w:val="0"/>
          <w:u w:val="single"/>
        </w:rPr>
        <w:t xml:space="preserve">Testing and </w:t>
      </w:r>
      <w:r w:rsidR="00707449" w:rsidRPr="009E16A6">
        <w:rPr>
          <w:i w:val="0"/>
          <w:u w:val="single"/>
        </w:rPr>
        <w:t>t</w:t>
      </w:r>
      <w:r w:rsidRPr="009E16A6">
        <w:rPr>
          <w:i w:val="0"/>
          <w:u w:val="single"/>
        </w:rPr>
        <w:t>reatment</w:t>
      </w:r>
      <w:bookmarkEnd w:id="23"/>
    </w:p>
    <w:p w:rsidR="00817E9A" w:rsidRDefault="00CE6D82" w:rsidP="008B0DDD">
      <w:pPr>
        <w:pStyle w:val="BodyText"/>
      </w:pPr>
      <w:r w:rsidRPr="006E2196">
        <w:t xml:space="preserve">The Catholic Health Service and other civil </w:t>
      </w:r>
      <w:r>
        <w:t>society partners now operate 111</w:t>
      </w:r>
      <w:r w:rsidRPr="006E2196">
        <w:t xml:space="preserve"> HIV testing sites (42</w:t>
      </w:r>
      <w:r w:rsidR="00844A3F">
        <w:t xml:space="preserve"> per cent</w:t>
      </w:r>
      <w:r w:rsidRPr="006E2196">
        <w:t xml:space="preserve">) out of the national total of 266, and were responsible for </w:t>
      </w:r>
      <w:r w:rsidR="00325117">
        <w:t xml:space="preserve">testing </w:t>
      </w:r>
      <w:r>
        <w:t>75</w:t>
      </w:r>
      <w:r w:rsidR="00D92E23">
        <w:t> </w:t>
      </w:r>
      <w:r>
        <w:t>327</w:t>
      </w:r>
      <w:r w:rsidRPr="006E2196">
        <w:t xml:space="preserve"> people in 2010</w:t>
      </w:r>
      <w:r w:rsidR="00844A3F">
        <w:t xml:space="preserve">. </w:t>
      </w:r>
      <w:r w:rsidRPr="006E2196">
        <w:t xml:space="preserve">This represents </w:t>
      </w:r>
      <w:r>
        <w:t>56</w:t>
      </w:r>
      <w:r w:rsidR="00844A3F">
        <w:t xml:space="preserve"> per cent</w:t>
      </w:r>
      <w:r w:rsidRPr="006E2196">
        <w:t xml:space="preserve"> of the national total of 13</w:t>
      </w:r>
      <w:r w:rsidR="00D92E23">
        <w:t> </w:t>
      </w:r>
      <w:r w:rsidRPr="006E2196">
        <w:t>798 people</w:t>
      </w:r>
      <w:r w:rsidR="00325117">
        <w:t xml:space="preserve"> tested</w:t>
      </w:r>
      <w:r w:rsidRPr="006E2196">
        <w:t>, up from the national total of 123</w:t>
      </w:r>
      <w:r w:rsidR="00D92E23">
        <w:t> </w:t>
      </w:r>
      <w:r w:rsidRPr="006E2196">
        <w:t>000 in 2009</w:t>
      </w:r>
      <w:r w:rsidR="00844A3F">
        <w:t xml:space="preserve">. </w:t>
      </w:r>
      <w:r>
        <w:t>Twenty-three per</w:t>
      </w:r>
      <w:r w:rsidR="00604AB5">
        <w:t xml:space="preserve"> </w:t>
      </w:r>
      <w:r>
        <w:t xml:space="preserve">cent </w:t>
      </w:r>
      <w:r w:rsidRPr="006E2196">
        <w:t xml:space="preserve">of facilities providing antiretroviral treatment were run by </w:t>
      </w:r>
      <w:proofErr w:type="spellStart"/>
      <w:r w:rsidRPr="006E2196">
        <w:t>AusAID’s</w:t>
      </w:r>
      <w:proofErr w:type="spellEnd"/>
      <w:r w:rsidRPr="006E2196">
        <w:t xml:space="preserve"> partner non-government organisation</w:t>
      </w:r>
      <w:r w:rsidR="00157C54">
        <w:t>s</w:t>
      </w:r>
      <w:r w:rsidR="00844A3F">
        <w:t xml:space="preserve">. </w:t>
      </w:r>
      <w:r w:rsidRPr="006E2196">
        <w:t xml:space="preserve">The National </w:t>
      </w:r>
      <w:r w:rsidRPr="006E2196">
        <w:lastRenderedPageBreak/>
        <w:t xml:space="preserve">Catholic AIDS Office, funded by </w:t>
      </w:r>
      <w:proofErr w:type="spellStart"/>
      <w:r w:rsidRPr="006E2196">
        <w:t>AusAID</w:t>
      </w:r>
      <w:proofErr w:type="spellEnd"/>
      <w:r w:rsidRPr="006E2196">
        <w:t xml:space="preserve">, was directly responsible for </w:t>
      </w:r>
      <w:r w:rsidR="00356F76">
        <w:t xml:space="preserve">providing treatment to </w:t>
      </w:r>
      <w:r w:rsidRPr="006E2196">
        <w:t>23</w:t>
      </w:r>
      <w:r w:rsidR="00844A3F">
        <w:t xml:space="preserve"> per cent</w:t>
      </w:r>
      <w:r w:rsidRPr="006E2196">
        <w:t xml:space="preserve"> of </w:t>
      </w:r>
      <w:r w:rsidR="00356F76">
        <w:t xml:space="preserve">eligible </w:t>
      </w:r>
      <w:r w:rsidRPr="006E2196">
        <w:t xml:space="preserve">people </w:t>
      </w:r>
      <w:r w:rsidR="00D92E23">
        <w:t>(or 1</w:t>
      </w:r>
      <w:r>
        <w:t xml:space="preserve">774 people) </w:t>
      </w:r>
      <w:r w:rsidRPr="006E2196">
        <w:t>in 2010</w:t>
      </w:r>
      <w:r w:rsidR="00844A3F">
        <w:t xml:space="preserve">. </w:t>
      </w:r>
      <w:r w:rsidRPr="006E2196">
        <w:t xml:space="preserve">In supporting </w:t>
      </w:r>
      <w:r w:rsidR="00157C54">
        <w:t>non-government organisations</w:t>
      </w:r>
      <w:r w:rsidRPr="006E2196">
        <w:t xml:space="preserve"> to deliver these services, </w:t>
      </w:r>
      <w:proofErr w:type="spellStart"/>
      <w:r w:rsidRPr="006E2196">
        <w:t>AusAID</w:t>
      </w:r>
      <w:proofErr w:type="spellEnd"/>
      <w:r w:rsidRPr="006E2196">
        <w:t xml:space="preserve"> provided funds for building or refurbishing 19 new testing and treatment centres for HIV and </w:t>
      </w:r>
      <w:r w:rsidRPr="00604AB5">
        <w:t>STI</w:t>
      </w:r>
      <w:r w:rsidR="00157C54">
        <w:t>s</w:t>
      </w:r>
      <w:r w:rsidRPr="006E2196">
        <w:t>, for staff training and administration, for prevention, treatment and care activities, and for monitoring</w:t>
      </w:r>
      <w:r w:rsidR="00844A3F">
        <w:t xml:space="preserve">. </w:t>
      </w:r>
    </w:p>
    <w:p w:rsidR="00707449" w:rsidRPr="009E16A6" w:rsidRDefault="00CE6D82" w:rsidP="00564F61">
      <w:pPr>
        <w:pStyle w:val="Heading3"/>
        <w:rPr>
          <w:i w:val="0"/>
          <w:u w:val="single"/>
        </w:rPr>
      </w:pPr>
      <w:bookmarkStart w:id="24" w:name="_Toc361584117"/>
      <w:r w:rsidRPr="009E16A6">
        <w:rPr>
          <w:i w:val="0"/>
          <w:u w:val="single"/>
        </w:rPr>
        <w:t xml:space="preserve">Targeted </w:t>
      </w:r>
      <w:r w:rsidR="00707449" w:rsidRPr="009E16A6">
        <w:rPr>
          <w:i w:val="0"/>
          <w:u w:val="single"/>
        </w:rPr>
        <w:t>p</w:t>
      </w:r>
      <w:r w:rsidRPr="009E16A6">
        <w:rPr>
          <w:i w:val="0"/>
          <w:u w:val="single"/>
        </w:rPr>
        <w:t>revention</w:t>
      </w:r>
      <w:bookmarkEnd w:id="24"/>
    </w:p>
    <w:p w:rsidR="00CE6D82" w:rsidRPr="00AC257D" w:rsidRDefault="00CE6D82" w:rsidP="008B0DDD">
      <w:pPr>
        <w:pStyle w:val="BodyText"/>
      </w:pPr>
      <w:r w:rsidRPr="00AC257D">
        <w:t xml:space="preserve">Australia funds Save the Children’s </w:t>
      </w:r>
      <w:proofErr w:type="spellStart"/>
      <w:r w:rsidRPr="00AC257D">
        <w:t>Poro</w:t>
      </w:r>
      <w:proofErr w:type="spellEnd"/>
      <w:r w:rsidRPr="00AC257D">
        <w:t xml:space="preserve"> </w:t>
      </w:r>
      <w:proofErr w:type="spellStart"/>
      <w:r w:rsidRPr="00AC257D">
        <w:t>Sapot</w:t>
      </w:r>
      <w:proofErr w:type="spellEnd"/>
      <w:r w:rsidRPr="00AC257D">
        <w:t xml:space="preserve"> Program to deliver services to marginalised populations most at risk</w:t>
      </w:r>
      <w:r w:rsidR="00707449">
        <w:t xml:space="preserve"> of HIV</w:t>
      </w:r>
      <w:r w:rsidRPr="00AC257D">
        <w:t xml:space="preserve"> in Port Moresby, </w:t>
      </w:r>
      <w:proofErr w:type="spellStart"/>
      <w:r w:rsidRPr="00AC257D">
        <w:t>Lae</w:t>
      </w:r>
      <w:proofErr w:type="spellEnd"/>
      <w:r w:rsidRPr="00AC257D">
        <w:t xml:space="preserve"> and </w:t>
      </w:r>
      <w:proofErr w:type="spellStart"/>
      <w:r w:rsidRPr="00AC257D">
        <w:t>Goroka</w:t>
      </w:r>
      <w:proofErr w:type="spellEnd"/>
      <w:r w:rsidR="00844A3F">
        <w:t xml:space="preserve">. </w:t>
      </w:r>
      <w:r w:rsidRPr="00AC257D">
        <w:t>This has resulted in steady improvements in the numbers of most at risk populations accessing services</w:t>
      </w:r>
      <w:r w:rsidR="00844A3F">
        <w:t xml:space="preserve">. </w:t>
      </w:r>
      <w:r w:rsidRPr="00AC257D">
        <w:t>A recent independent survey from Port Moresby reports the percentage of female sex workers using condoms at last sex with a client at 37</w:t>
      </w:r>
      <w:r w:rsidR="00844A3F">
        <w:t xml:space="preserve"> per cent</w:t>
      </w:r>
      <w:r w:rsidRPr="00AC257D">
        <w:t xml:space="preserve"> and accessing health care services at 66</w:t>
      </w:r>
      <w:r w:rsidR="00844A3F">
        <w:t xml:space="preserve"> per cent</w:t>
      </w:r>
      <w:r w:rsidRPr="00AC257D">
        <w:t xml:space="preserve"> in 2010</w:t>
      </w:r>
      <w:r w:rsidR="00844A3F">
        <w:t xml:space="preserve">. </w:t>
      </w:r>
      <w:r w:rsidRPr="00AC257D">
        <w:t xml:space="preserve">Importantly, </w:t>
      </w:r>
      <w:r>
        <w:t>94</w:t>
      </w:r>
      <w:r w:rsidR="00844A3F">
        <w:t xml:space="preserve"> per cent</w:t>
      </w:r>
      <w:r>
        <w:t xml:space="preserve"> </w:t>
      </w:r>
      <w:r w:rsidRPr="00AC257D">
        <w:t xml:space="preserve">of </w:t>
      </w:r>
      <w:r>
        <w:t>those</w:t>
      </w:r>
      <w:r w:rsidRPr="00AC257D">
        <w:t xml:space="preserve"> who tested </w:t>
      </w:r>
      <w:r>
        <w:t xml:space="preserve">HIV </w:t>
      </w:r>
      <w:r w:rsidRPr="00AC257D">
        <w:t>positive were on antiretroviral treatment</w:t>
      </w:r>
      <w:r>
        <w:t xml:space="preserve">, making them </w:t>
      </w:r>
      <w:r w:rsidRPr="00AC257D">
        <w:t>much less likely to transmit HIV, even without a condom</w:t>
      </w:r>
      <w:r w:rsidR="00844A3F">
        <w:t xml:space="preserve">. </w:t>
      </w:r>
      <w:r w:rsidRPr="00AC257D">
        <w:t xml:space="preserve">In comparison, a 2007 evaluation of </w:t>
      </w:r>
      <w:proofErr w:type="spellStart"/>
      <w:r w:rsidRPr="00AC257D">
        <w:t>Poro</w:t>
      </w:r>
      <w:proofErr w:type="spellEnd"/>
      <w:r w:rsidRPr="00AC257D">
        <w:t xml:space="preserve"> </w:t>
      </w:r>
      <w:proofErr w:type="spellStart"/>
      <w:r w:rsidRPr="00AC257D">
        <w:t>Sapot</w:t>
      </w:r>
      <w:proofErr w:type="spellEnd"/>
      <w:r w:rsidRPr="00AC257D">
        <w:t xml:space="preserve"> showed below 50</w:t>
      </w:r>
      <w:r w:rsidR="00844A3F">
        <w:t xml:space="preserve"> per cent</w:t>
      </w:r>
      <w:r w:rsidRPr="00AC257D">
        <w:t xml:space="preserve"> of female sex workers had accessed a STI or HIV service in the last 12 months.</w:t>
      </w:r>
    </w:p>
    <w:p w:rsidR="00707449" w:rsidRPr="009E16A6" w:rsidRDefault="00CE6D82" w:rsidP="00564F61">
      <w:pPr>
        <w:pStyle w:val="Heading3"/>
        <w:rPr>
          <w:i w:val="0"/>
          <w:u w:val="single"/>
        </w:rPr>
      </w:pPr>
      <w:bookmarkStart w:id="25" w:name="_Toc361584118"/>
      <w:r w:rsidRPr="009E16A6">
        <w:rPr>
          <w:i w:val="0"/>
          <w:u w:val="single"/>
        </w:rPr>
        <w:t>Quality of, and Access to, Services</w:t>
      </w:r>
      <w:bookmarkEnd w:id="25"/>
    </w:p>
    <w:p w:rsidR="00CE6D82" w:rsidRDefault="00CE6D82" w:rsidP="008B0DDD">
      <w:pPr>
        <w:pStyle w:val="BodyText"/>
      </w:pPr>
      <w:r w:rsidRPr="006E2196">
        <w:t>Clinton Foundation’s Health Access Initiative helped increase the number of children on treatment and improved their follow</w:t>
      </w:r>
      <w:r w:rsidR="00157C54">
        <w:t xml:space="preserve"> </w:t>
      </w:r>
      <w:r w:rsidRPr="006E2196">
        <w:t>up through training and strengthening case management systems</w:t>
      </w:r>
      <w:r w:rsidR="00844A3F">
        <w:t xml:space="preserve">. </w:t>
      </w:r>
      <w:r w:rsidRPr="006E2196">
        <w:t xml:space="preserve">For example, coordinated efforts between Well Baby Centre and </w:t>
      </w:r>
      <w:proofErr w:type="spellStart"/>
      <w:r w:rsidRPr="006E2196">
        <w:t>Heduru</w:t>
      </w:r>
      <w:proofErr w:type="spellEnd"/>
      <w:r w:rsidRPr="006E2196">
        <w:t xml:space="preserve"> </w:t>
      </w:r>
      <w:r w:rsidR="00707449">
        <w:t>C</w:t>
      </w:r>
      <w:r w:rsidRPr="006E2196">
        <w:t xml:space="preserve">linic in Port Moresby General Hospital have placed </w:t>
      </w:r>
      <w:r w:rsidR="000C31B7">
        <w:t>more than</w:t>
      </w:r>
      <w:r w:rsidRPr="006E2196">
        <w:t xml:space="preserve"> 140 children on treatment since February 2010 and reduced those lost to follow</w:t>
      </w:r>
      <w:r w:rsidR="00157C54">
        <w:t xml:space="preserve"> </w:t>
      </w:r>
      <w:r w:rsidRPr="006E2196">
        <w:t>up to 7.4</w:t>
      </w:r>
      <w:r w:rsidR="00844A3F">
        <w:t xml:space="preserve"> per cent. </w:t>
      </w:r>
      <w:r w:rsidRPr="006E2196">
        <w:t>Their work to build district</w:t>
      </w:r>
      <w:r w:rsidR="00707449">
        <w:t>-</w:t>
      </w:r>
      <w:r>
        <w:t xml:space="preserve">level </w:t>
      </w:r>
      <w:r w:rsidRPr="006E2196">
        <w:t xml:space="preserve">health service </w:t>
      </w:r>
      <w:r>
        <w:t xml:space="preserve">capacity </w:t>
      </w:r>
      <w:r w:rsidRPr="006E2196">
        <w:t>resulted in 44</w:t>
      </w:r>
      <w:r w:rsidR="00844A3F">
        <w:t xml:space="preserve"> per cent</w:t>
      </w:r>
      <w:r w:rsidRPr="006E2196">
        <w:t xml:space="preserve"> of </w:t>
      </w:r>
      <w:r w:rsidR="00356F76">
        <w:t xml:space="preserve">all eligible </w:t>
      </w:r>
      <w:r w:rsidRPr="006E2196">
        <w:t xml:space="preserve">adults </w:t>
      </w:r>
      <w:r>
        <w:t xml:space="preserve">(616 people) </w:t>
      </w:r>
      <w:r w:rsidRPr="006E2196">
        <w:t>in Eastern Highlands Province being treated for HIV</w:t>
      </w:r>
      <w:r w:rsidR="00844A3F">
        <w:t xml:space="preserve">. </w:t>
      </w:r>
      <w:r w:rsidRPr="006E2196">
        <w:t>Similarly, some partners from the PNG</w:t>
      </w:r>
      <w:r w:rsidR="00707449">
        <w:t xml:space="preserve"> –</w:t>
      </w:r>
      <w:r w:rsidRPr="006E2196">
        <w:t xml:space="preserve"> Australia Sexual Health Improvement Program</w:t>
      </w:r>
      <w:r w:rsidR="00707449">
        <w:t>me</w:t>
      </w:r>
      <w:r w:rsidRPr="006E2196">
        <w:t xml:space="preserve"> work closely with provincial health divisions: in Eastern Highlands the </w:t>
      </w:r>
      <w:proofErr w:type="spellStart"/>
      <w:r w:rsidRPr="006E2196">
        <w:t>Lusa</w:t>
      </w:r>
      <w:proofErr w:type="spellEnd"/>
      <w:r w:rsidRPr="006E2196">
        <w:t xml:space="preserve"> </w:t>
      </w:r>
      <w:proofErr w:type="spellStart"/>
      <w:r w:rsidRPr="006E2196">
        <w:t>Numini</w:t>
      </w:r>
      <w:proofErr w:type="spellEnd"/>
      <w:r w:rsidRPr="006E2196">
        <w:t xml:space="preserve"> Project delivers STI services through government clinics and the government has committed to </w:t>
      </w:r>
      <w:r w:rsidR="00356F76">
        <w:t xml:space="preserve">begin funding </w:t>
      </w:r>
      <w:r w:rsidRPr="006E2196">
        <w:t>the extra staff positions after 2012</w:t>
      </w:r>
      <w:r w:rsidR="00844A3F">
        <w:t xml:space="preserve">. </w:t>
      </w:r>
      <w:r w:rsidR="00356F76">
        <w:t>C</w:t>
      </w:r>
      <w:r w:rsidR="00356F76" w:rsidRPr="006E2196">
        <w:t xml:space="preserve">lient </w:t>
      </w:r>
      <w:r w:rsidRPr="006E2196">
        <w:t>numbers have grown by 170</w:t>
      </w:r>
      <w:r w:rsidR="00844A3F">
        <w:t xml:space="preserve"> per cent</w:t>
      </w:r>
      <w:r w:rsidR="00356F76">
        <w:t xml:space="preserve"> since 2008</w:t>
      </w:r>
      <w:r w:rsidRPr="006E2196">
        <w:t>, from 2773</w:t>
      </w:r>
      <w:r w:rsidR="00325117">
        <w:t xml:space="preserve"> </w:t>
      </w:r>
      <w:r w:rsidRPr="006E2196">
        <w:t>to 7475 in 2010.</w:t>
      </w:r>
    </w:p>
    <w:p w:rsidR="00707449" w:rsidRPr="009E16A6" w:rsidRDefault="00CE6D82" w:rsidP="00564F61">
      <w:pPr>
        <w:pStyle w:val="Heading3"/>
        <w:rPr>
          <w:i w:val="0"/>
          <w:u w:val="single"/>
        </w:rPr>
      </w:pPr>
      <w:bookmarkStart w:id="26" w:name="_Toc361584119"/>
      <w:r w:rsidRPr="009E16A6">
        <w:rPr>
          <w:i w:val="0"/>
          <w:u w:val="single"/>
        </w:rPr>
        <w:t>Behaviour change and condom use</w:t>
      </w:r>
      <w:bookmarkEnd w:id="26"/>
    </w:p>
    <w:p w:rsidR="00CE6D82" w:rsidRPr="00B400AB" w:rsidRDefault="00CE6D82" w:rsidP="008B0DDD">
      <w:pPr>
        <w:pStyle w:val="BodyText"/>
      </w:pPr>
      <w:r w:rsidRPr="00B400AB">
        <w:t>While access to, and uptake of, condoms is a critical component in HIV prevention</w:t>
      </w:r>
      <w:r w:rsidR="00D92E23">
        <w:t xml:space="preserve"> </w:t>
      </w:r>
      <w:r w:rsidR="00325117">
        <w:t>programs</w:t>
      </w:r>
      <w:r w:rsidRPr="00B400AB">
        <w:t xml:space="preserve">, poor results to date will necessitate further investigation and innovative approaches. Despite the distribution of 17.9 million condoms by </w:t>
      </w:r>
      <w:r w:rsidR="00292348">
        <w:t xml:space="preserve">the </w:t>
      </w:r>
      <w:r w:rsidRPr="00B400AB">
        <w:t>National AIDS Council Secretariat</w:t>
      </w:r>
      <w:r w:rsidR="008C799F">
        <w:t xml:space="preserve"> (NACS)</w:t>
      </w:r>
      <w:r w:rsidRPr="00B400AB">
        <w:t xml:space="preserve"> and Provincial AIDS Councils in 2010, up from </w:t>
      </w:r>
      <w:r w:rsidR="003012DD">
        <w:t>8</w:t>
      </w:r>
      <w:r w:rsidR="003012DD" w:rsidRPr="00B400AB">
        <w:t xml:space="preserve"> </w:t>
      </w:r>
      <w:r w:rsidRPr="00B400AB">
        <w:t>million in 2007, condom use continues</w:t>
      </w:r>
      <w:r w:rsidR="002B2530">
        <w:t xml:space="preserve"> to be</w:t>
      </w:r>
      <w:r w:rsidRPr="00B400AB">
        <w:t xml:space="preserve"> low; only</w:t>
      </w:r>
      <w:r w:rsidR="00292348">
        <w:t xml:space="preserve"> </w:t>
      </w:r>
      <w:r w:rsidRPr="00B400AB">
        <w:t>17</w:t>
      </w:r>
      <w:r w:rsidR="00844A3F">
        <w:t xml:space="preserve"> per cent</w:t>
      </w:r>
      <w:r w:rsidRPr="00B400AB">
        <w:t xml:space="preserve"> of plantation workers in a recent study reported using a condom at </w:t>
      </w:r>
      <w:r w:rsidR="00356F76">
        <w:t xml:space="preserve">their </w:t>
      </w:r>
      <w:r w:rsidRPr="00B400AB">
        <w:t>last commercial sex</w:t>
      </w:r>
      <w:r w:rsidR="00356F76">
        <w:t xml:space="preserve"> transaction</w:t>
      </w:r>
      <w:r w:rsidRPr="00B400AB">
        <w:t xml:space="preserve">. </w:t>
      </w:r>
    </w:p>
    <w:p w:rsidR="003012DD" w:rsidRPr="009E16A6" w:rsidRDefault="00CE6D82" w:rsidP="00564F61">
      <w:pPr>
        <w:pStyle w:val="Heading3"/>
        <w:rPr>
          <w:i w:val="0"/>
          <w:u w:val="single"/>
        </w:rPr>
      </w:pPr>
      <w:bookmarkStart w:id="27" w:name="_Toc361584120"/>
      <w:r w:rsidRPr="009E16A6">
        <w:rPr>
          <w:i w:val="0"/>
          <w:u w:val="single"/>
        </w:rPr>
        <w:t>Strengthening the national capacity to respond to the epidemic</w:t>
      </w:r>
      <w:bookmarkEnd w:id="27"/>
    </w:p>
    <w:p w:rsidR="00CE6D82" w:rsidRPr="006E2196" w:rsidRDefault="00CE6D82" w:rsidP="008B0DDD">
      <w:pPr>
        <w:pStyle w:val="BodyText"/>
      </w:pPr>
      <w:r w:rsidRPr="006E0CBF">
        <w:t>This has been a less successful area for the PNG</w:t>
      </w:r>
      <w:r w:rsidR="00AF0F80">
        <w:t xml:space="preserve"> –</w:t>
      </w:r>
      <w:r w:rsidRPr="006E0CBF">
        <w:t xml:space="preserve"> Australia HIV and AIDS P</w:t>
      </w:r>
      <w:r w:rsidR="00817E9A">
        <w:t>rogram</w:t>
      </w:r>
      <w:r w:rsidR="00AF0F80">
        <w:t>me</w:t>
      </w:r>
      <w:r w:rsidR="008C799F">
        <w:t xml:space="preserve">. </w:t>
      </w:r>
      <w:r w:rsidRPr="008C799F">
        <w:t>NACS</w:t>
      </w:r>
      <w:r w:rsidR="00AF0F80">
        <w:t>,</w:t>
      </w:r>
      <w:r w:rsidRPr="008C799F">
        <w:t xml:space="preserve"> w</w:t>
      </w:r>
      <w:r w:rsidRPr="006E0CBF">
        <w:t xml:space="preserve">here much capacity building assistance has been directed, continues to be characterised by poor performance. Despite management issues, NACS have achieved some results in advocacy, policy development and research coordination, with support from their National AIDS Council and the </w:t>
      </w:r>
      <w:r w:rsidR="00AD3D17">
        <w:t xml:space="preserve">Australian </w:t>
      </w:r>
      <w:r w:rsidR="00292348">
        <w:t xml:space="preserve">aid </w:t>
      </w:r>
      <w:r w:rsidRPr="006E0CBF">
        <w:t xml:space="preserve">program. NACS successfully lobbied the Government for </w:t>
      </w:r>
      <w:r w:rsidR="00292348">
        <w:t xml:space="preserve">increased funding </w:t>
      </w:r>
      <w:r w:rsidRPr="006E0CBF">
        <w:t>to the Secretariat and for HIV</w:t>
      </w:r>
      <w:r w:rsidR="00292348">
        <w:t xml:space="preserve"> prevention</w:t>
      </w:r>
      <w:r w:rsidRPr="006E0CBF">
        <w:t xml:space="preserve">, including from recurrent funding. However, coordination with the Department of Health at </w:t>
      </w:r>
      <w:r w:rsidR="00AF0F80">
        <w:t>n</w:t>
      </w:r>
      <w:r w:rsidRPr="006E0CBF">
        <w:t xml:space="preserve">ational and </w:t>
      </w:r>
      <w:r w:rsidR="00AF0F80">
        <w:t>p</w:t>
      </w:r>
      <w:r w:rsidRPr="006E0CBF">
        <w:t>rovincial level</w:t>
      </w:r>
      <w:r w:rsidR="00AF0F80">
        <w:t>s</w:t>
      </w:r>
      <w:r w:rsidRPr="006E0CBF">
        <w:t xml:space="preserve"> and with </w:t>
      </w:r>
      <w:r w:rsidR="00AF0F80">
        <w:t>p</w:t>
      </w:r>
      <w:r w:rsidRPr="006E0CBF">
        <w:t>rovincial administration</w:t>
      </w:r>
      <w:r w:rsidR="00292348">
        <w:t>s</w:t>
      </w:r>
      <w:r w:rsidRPr="006E0CBF">
        <w:t xml:space="preserve"> has been weak. </w:t>
      </w:r>
    </w:p>
    <w:p w:rsidR="00CE6D82" w:rsidRPr="006E2196" w:rsidRDefault="00CE6D82" w:rsidP="00CE6D82">
      <w:pPr>
        <w:pStyle w:val="BodyText"/>
        <w:rPr>
          <w:bCs/>
        </w:rPr>
      </w:pPr>
      <w:r w:rsidRPr="006E2196">
        <w:t>The Global Fund has been another major contributor to the PNG response</w:t>
      </w:r>
      <w:r w:rsidR="00844A3F">
        <w:t xml:space="preserve">. </w:t>
      </w:r>
      <w:r w:rsidRPr="006E2196">
        <w:t>The Round Four grant</w:t>
      </w:r>
      <w:r>
        <w:t>,</w:t>
      </w:r>
      <w:r w:rsidRPr="006E2196">
        <w:t xml:space="preserve"> which w</w:t>
      </w:r>
      <w:r>
        <w:t>as instrumental in scaling up</w:t>
      </w:r>
      <w:r w:rsidRPr="006E2196">
        <w:t xml:space="preserve"> HIV treatment and testing</w:t>
      </w:r>
      <w:r>
        <w:t>,</w:t>
      </w:r>
      <w:r w:rsidRPr="006E2196">
        <w:t xml:space="preserve"> ended in September 2010</w:t>
      </w:r>
      <w:r w:rsidR="00844A3F">
        <w:t xml:space="preserve">. </w:t>
      </w:r>
      <w:r w:rsidRPr="006E2196">
        <w:t>The Round Ten proposal</w:t>
      </w:r>
      <w:r w:rsidR="00AF0F80">
        <w:t>,</w:t>
      </w:r>
      <w:r w:rsidRPr="006E2196">
        <w:t xml:space="preserve"> for US$49.8</w:t>
      </w:r>
      <w:r w:rsidR="00AF0F80">
        <w:t> </w:t>
      </w:r>
      <w:r w:rsidRPr="006E2196">
        <w:t>million over five years</w:t>
      </w:r>
      <w:r w:rsidR="00AF0F80">
        <w:t>,</w:t>
      </w:r>
      <w:r w:rsidRPr="006E2196">
        <w:t xml:space="preserve"> was approved in </w:t>
      </w:r>
      <w:r w:rsidRPr="006E2196">
        <w:lastRenderedPageBreak/>
        <w:t>November 2010 and will come on line in 2012</w:t>
      </w:r>
      <w:r w:rsidR="00844A3F">
        <w:t xml:space="preserve">. </w:t>
      </w:r>
      <w:r w:rsidRPr="006E2196">
        <w:rPr>
          <w:bCs/>
        </w:rPr>
        <w:t>The assistance from the Global Fund has been undermined by the poor financial management systems</w:t>
      </w:r>
      <w:r w:rsidR="00292348">
        <w:rPr>
          <w:bCs/>
        </w:rPr>
        <w:t xml:space="preserve"> at </w:t>
      </w:r>
      <w:r w:rsidRPr="006E2196">
        <w:rPr>
          <w:bCs/>
        </w:rPr>
        <w:t xml:space="preserve">the Department of Health, </w:t>
      </w:r>
      <w:r w:rsidR="00AF0F80">
        <w:rPr>
          <w:bCs/>
        </w:rPr>
        <w:t>which is no longer</w:t>
      </w:r>
      <w:r w:rsidRPr="006E2196">
        <w:rPr>
          <w:bCs/>
        </w:rPr>
        <w:t xml:space="preserve"> </w:t>
      </w:r>
      <w:r>
        <w:rPr>
          <w:bCs/>
        </w:rPr>
        <w:t>principal recipient</w:t>
      </w:r>
      <w:r w:rsidRPr="006E2196">
        <w:rPr>
          <w:bCs/>
        </w:rPr>
        <w:t xml:space="preserve"> for all grants because of ongoing concerns from Global Fund about its performance.</w:t>
      </w:r>
    </w:p>
    <w:p w:rsidR="00CE6D82" w:rsidRPr="006E2196" w:rsidRDefault="00CE6D82" w:rsidP="00CE6D82">
      <w:pPr>
        <w:pStyle w:val="BodyText"/>
      </w:pPr>
      <w:r w:rsidRPr="006E2196">
        <w:t>HIV in PNG is driven by gender inequalities</w:t>
      </w:r>
      <w:r w:rsidR="00AF0F80">
        <w:t xml:space="preserve"> and</w:t>
      </w:r>
      <w:r w:rsidRPr="006E2196">
        <w:t xml:space="preserve"> exacerbated by social and economic factors</w:t>
      </w:r>
      <w:r w:rsidR="00844A3F">
        <w:t xml:space="preserve">. </w:t>
      </w:r>
      <w:r w:rsidRPr="006E2196">
        <w:t>Violence against women in PNG is severe and is an important factor in HIV transmission, as sexual assault greatly increases the chance of transmission</w:t>
      </w:r>
      <w:r w:rsidR="00844A3F">
        <w:t xml:space="preserve">. </w:t>
      </w:r>
      <w:r w:rsidRPr="006E2196">
        <w:t>Antiretroviral</w:t>
      </w:r>
      <w:r w:rsidR="00AF0F80">
        <w:t xml:space="preserve"> treatment</w:t>
      </w:r>
      <w:r w:rsidRPr="006E2196">
        <w:t>s can be given to prevent HIV in the first 72 hours after an assault (</w:t>
      </w:r>
      <w:r>
        <w:t>post</w:t>
      </w:r>
      <w:r w:rsidR="00AF0F80">
        <w:t>-</w:t>
      </w:r>
      <w:r>
        <w:t>exposure prophylaxis</w:t>
      </w:r>
      <w:r w:rsidRPr="006E2196">
        <w:t xml:space="preserve">), however, this is not common practice in PNG and is an area </w:t>
      </w:r>
      <w:r w:rsidR="00AF0F80">
        <w:t>that</w:t>
      </w:r>
      <w:r w:rsidR="00AF0F80" w:rsidRPr="006E2196">
        <w:t xml:space="preserve"> </w:t>
      </w:r>
      <w:r w:rsidRPr="006E2196">
        <w:t>warrants more attention.</w:t>
      </w:r>
    </w:p>
    <w:p w:rsidR="00CE6D82" w:rsidRPr="006E2196" w:rsidRDefault="00CE6D82" w:rsidP="00CE6D82">
      <w:pPr>
        <w:pStyle w:val="BodyText"/>
      </w:pPr>
      <w:r w:rsidRPr="006E2196">
        <w:t>Violence is also a potential unintended consequence of a woman’s diagnosis or treatment which needs to be addressed in all HIV services</w:t>
      </w:r>
      <w:r w:rsidR="00844A3F">
        <w:t xml:space="preserve">. </w:t>
      </w:r>
      <w:r w:rsidRPr="006E2196">
        <w:t xml:space="preserve">Reducing domestic violence as a result of women testing positive at antenatal services has been addressed by </w:t>
      </w:r>
      <w:r w:rsidR="00356F76">
        <w:t>the Clinton Health Access Initiative</w:t>
      </w:r>
      <w:r w:rsidR="00D92E23">
        <w:t xml:space="preserve"> </w:t>
      </w:r>
      <w:r w:rsidRPr="006E2196">
        <w:t>and Catholic Health Services</w:t>
      </w:r>
      <w:r w:rsidR="00844A3F">
        <w:t xml:space="preserve">. </w:t>
      </w:r>
      <w:r w:rsidR="00B37AAE">
        <w:t xml:space="preserve">The </w:t>
      </w:r>
      <w:r w:rsidR="008C799F" w:rsidRPr="008C799F">
        <w:t xml:space="preserve">Clinton Health Access Initiative </w:t>
      </w:r>
      <w:r w:rsidRPr="006E2196">
        <w:t xml:space="preserve">has achieved increases in </w:t>
      </w:r>
      <w:r w:rsidR="00B37AAE">
        <w:t xml:space="preserve">the </w:t>
      </w:r>
      <w:r w:rsidRPr="006E2196">
        <w:t>numbers of couples counselled and increased rates of follow up</w:t>
      </w:r>
      <w:r w:rsidR="00844A3F">
        <w:t xml:space="preserve">. </w:t>
      </w:r>
      <w:r w:rsidRPr="006E2196">
        <w:t>In the Eastern Highlands Rural Initiative, of 54 positive mothers in 2010, half came back with their husbands for testing and care, and 20 negative coupl</w:t>
      </w:r>
      <w:r w:rsidR="00844A3F">
        <w:t>es have come for the new ‘</w:t>
      </w:r>
      <w:r w:rsidRPr="006E2196">
        <w:t xml:space="preserve">Staying Negative Couples </w:t>
      </w:r>
      <w:proofErr w:type="spellStart"/>
      <w:r w:rsidRPr="006E2196">
        <w:t>Counseling</w:t>
      </w:r>
      <w:proofErr w:type="spellEnd"/>
      <w:r w:rsidR="00844A3F">
        <w:t>’</w:t>
      </w:r>
      <w:r w:rsidRPr="006E2196">
        <w:t xml:space="preserve"> at the </w:t>
      </w:r>
      <w:proofErr w:type="spellStart"/>
      <w:r w:rsidRPr="006E2196">
        <w:t>Goroka</w:t>
      </w:r>
      <w:proofErr w:type="spellEnd"/>
      <w:r w:rsidRPr="006E2196">
        <w:t xml:space="preserve"> General Hospital Family Clinic</w:t>
      </w:r>
      <w:r w:rsidR="00844A3F">
        <w:t xml:space="preserve">. </w:t>
      </w:r>
      <w:r w:rsidRPr="006E2196">
        <w:t xml:space="preserve">At Port Moresby General Hospital, 134 parents registered for treatment in first </w:t>
      </w:r>
      <w:r w:rsidR="00B37AAE">
        <w:t>10</w:t>
      </w:r>
      <w:r w:rsidR="00B37AAE" w:rsidRPr="006E2196">
        <w:t xml:space="preserve"> </w:t>
      </w:r>
      <w:r w:rsidRPr="006E2196">
        <w:t xml:space="preserve">months of 2010, </w:t>
      </w:r>
      <w:r w:rsidR="00B37AAE">
        <w:t>20</w:t>
      </w:r>
      <w:r w:rsidR="00B37AAE" w:rsidRPr="006E2196">
        <w:t xml:space="preserve"> </w:t>
      </w:r>
      <w:r w:rsidRPr="006E2196">
        <w:t>of whom were fathers</w:t>
      </w:r>
      <w:r w:rsidR="00844A3F">
        <w:t xml:space="preserve">. </w:t>
      </w:r>
      <w:r w:rsidRPr="006E2196">
        <w:t>These results also attest to reductions in community stigma.</w:t>
      </w:r>
    </w:p>
    <w:p w:rsidR="00CE6D82" w:rsidRPr="006E2196" w:rsidRDefault="00CE6D82" w:rsidP="00CE6D82">
      <w:pPr>
        <w:pStyle w:val="BodyText"/>
      </w:pPr>
      <w:r w:rsidRPr="006E2196">
        <w:t>The Catholic Health Services also support men’s involvement in health, to make sure women are not at risk of violence as a result of testing or treatment</w:t>
      </w:r>
      <w:r w:rsidR="00B37AAE">
        <w:t>—</w:t>
      </w:r>
      <w:r w:rsidRPr="006E2196">
        <w:t>for instance, the National Catholic AIDS Office</w:t>
      </w:r>
      <w:r w:rsidR="00E22445">
        <w:t xml:space="preserve"> of PNG</w:t>
      </w:r>
      <w:r w:rsidRPr="006E2196">
        <w:t xml:space="preserve"> set up a men’s health clinic in </w:t>
      </w:r>
      <w:proofErr w:type="spellStart"/>
      <w:r w:rsidRPr="006E2196">
        <w:t>Mingende</w:t>
      </w:r>
      <w:proofErr w:type="spellEnd"/>
      <w:r w:rsidRPr="006E2196">
        <w:t xml:space="preserve"> in 2010</w:t>
      </w:r>
      <w:r w:rsidR="00844A3F">
        <w:t xml:space="preserve">. </w:t>
      </w:r>
      <w:r w:rsidRPr="006E2196">
        <w:t>It was attended by 455</w:t>
      </w:r>
      <w:r w:rsidR="006035A4">
        <w:t> </w:t>
      </w:r>
      <w:r w:rsidRPr="006E2196">
        <w:t xml:space="preserve">men in </w:t>
      </w:r>
      <w:r w:rsidR="00B37AAE">
        <w:t>eight</w:t>
      </w:r>
      <w:r w:rsidRPr="006E2196">
        <w:t xml:space="preserve"> months, with around a third opting for an HIV or STI test and 23 men bringing wives for testing</w:t>
      </w:r>
      <w:r w:rsidR="00844A3F">
        <w:t xml:space="preserve">. </w:t>
      </w:r>
      <w:r w:rsidRPr="006E2196">
        <w:t>The model will be extended to other sites.</w:t>
      </w:r>
    </w:p>
    <w:p w:rsidR="009E16A6" w:rsidRDefault="009E16A6" w:rsidP="0048616B">
      <w:pPr>
        <w:pStyle w:val="Heading2"/>
      </w:pPr>
      <w:bookmarkStart w:id="28" w:name="_Toc295144871"/>
      <w:bookmarkStart w:id="29" w:name="_Toc296695414"/>
      <w:bookmarkStart w:id="30" w:name="_Toc361584121"/>
      <w:r w:rsidRPr="00B521F2">
        <w:t xml:space="preserve">Objective </w:t>
      </w:r>
      <w:r>
        <w:t>7:</w:t>
      </w:r>
      <w:r w:rsidRPr="00B521F2">
        <w:t xml:space="preserve"> </w:t>
      </w:r>
      <w:r>
        <w:t>Improved ability to provide law and justice services</w:t>
      </w:r>
      <w:bookmarkEnd w:id="28"/>
      <w:bookmarkEnd w:id="29"/>
      <w:bookmarkEnd w:id="30"/>
    </w:p>
    <w:p w:rsidR="00817E9A" w:rsidRDefault="00CE6D82" w:rsidP="00CE6D82">
      <w:pPr>
        <w:pStyle w:val="BodyText"/>
      </w:pPr>
      <w:r w:rsidRPr="0086769C">
        <w:t xml:space="preserve">The strategic objective of Australia’s assistance to the law and justice sector is to support </w:t>
      </w:r>
      <w:r w:rsidR="006035A4">
        <w:br/>
      </w:r>
      <w:r w:rsidRPr="0086769C">
        <w:t>PNG to achieve significant</w:t>
      </w:r>
      <w:r>
        <w:t>,</w:t>
      </w:r>
      <w:r w:rsidRPr="0086769C">
        <w:t xml:space="preserve"> measurable progress towards achieving ‘a just and safe society for all in PNG’</w:t>
      </w:r>
      <w:r w:rsidR="00844A3F">
        <w:t xml:space="preserve">. </w:t>
      </w:r>
    </w:p>
    <w:p w:rsidR="00CE6D82" w:rsidRPr="0086769C" w:rsidRDefault="00CE6D82" w:rsidP="00CE6D82">
      <w:pPr>
        <w:pStyle w:val="BodyText"/>
      </w:pPr>
      <w:r>
        <w:t>In 2010 k</w:t>
      </w:r>
      <w:r w:rsidRPr="0086769C">
        <w:t xml:space="preserve">ey national and district courts were built or refurbished, including completion of the Bomana, </w:t>
      </w:r>
      <w:proofErr w:type="spellStart"/>
      <w:r w:rsidRPr="0086769C">
        <w:t>Kerevat</w:t>
      </w:r>
      <w:proofErr w:type="spellEnd"/>
      <w:r w:rsidRPr="0086769C">
        <w:t xml:space="preserve"> and </w:t>
      </w:r>
      <w:proofErr w:type="spellStart"/>
      <w:r w:rsidRPr="0086769C">
        <w:t>Kainantu</w:t>
      </w:r>
      <w:proofErr w:type="spellEnd"/>
      <w:r w:rsidRPr="0086769C">
        <w:t xml:space="preserve"> court house construction, </w:t>
      </w:r>
      <w:proofErr w:type="spellStart"/>
      <w:r w:rsidRPr="0086769C">
        <w:t>Daru</w:t>
      </w:r>
      <w:proofErr w:type="spellEnd"/>
      <w:r w:rsidRPr="0086769C">
        <w:t xml:space="preserve"> court house refurbishment, and plans completed for </w:t>
      </w:r>
      <w:proofErr w:type="spellStart"/>
      <w:r w:rsidRPr="0086769C">
        <w:t>Kavieng</w:t>
      </w:r>
      <w:proofErr w:type="spellEnd"/>
      <w:r w:rsidRPr="0086769C">
        <w:t xml:space="preserve"> and </w:t>
      </w:r>
      <w:proofErr w:type="spellStart"/>
      <w:r w:rsidRPr="0086769C">
        <w:t>Alotau</w:t>
      </w:r>
      <w:proofErr w:type="spellEnd"/>
      <w:r w:rsidRPr="0086769C">
        <w:t xml:space="preserve"> court complexes</w:t>
      </w:r>
      <w:r w:rsidR="00844A3F">
        <w:t xml:space="preserve">. </w:t>
      </w:r>
      <w:r w:rsidRPr="0086769C">
        <w:t>Improved infrastructure has resulted in extended and improved court services, allowing courts to process cases more efficiently and reduce backlogs</w:t>
      </w:r>
      <w:r w:rsidR="00844A3F">
        <w:t xml:space="preserve">. </w:t>
      </w:r>
      <w:r w:rsidRPr="0086769C">
        <w:t>Working directly with magistrates, Australian-funded advisers are increasing the professional standards of the magistracy, particularly in judgment writing and judicial leadership</w:t>
      </w:r>
      <w:r w:rsidR="00844A3F">
        <w:t xml:space="preserve">. </w:t>
      </w:r>
      <w:r w:rsidRPr="0086769C">
        <w:t xml:space="preserve">In the second half of 2010 the Magisterial Services </w:t>
      </w:r>
      <w:r w:rsidR="00031866">
        <w:t>L</w:t>
      </w:r>
      <w:r w:rsidRPr="0086769C">
        <w:t>ibrarian received twice the number of judgments received in 2009</w:t>
      </w:r>
      <w:r w:rsidR="00844A3F">
        <w:t xml:space="preserve">. </w:t>
      </w:r>
      <w:r w:rsidRPr="0086769C">
        <w:t>Courts have improved data collection, vital for decisions on resourcing, access to justice and improving service delivery</w:t>
      </w:r>
      <w:r w:rsidR="00844A3F">
        <w:t xml:space="preserve">. </w:t>
      </w:r>
      <w:r w:rsidR="00B37AAE">
        <w:t>T</w:t>
      </w:r>
      <w:r w:rsidRPr="0086769C">
        <w:t>hese improvements are increasing the capability and professionalism of the magistrates and the administrative staff to deliver judicial services according to sound practice.</w:t>
      </w:r>
    </w:p>
    <w:p w:rsidR="00CE6D82" w:rsidRDefault="00CE6D82" w:rsidP="00CE6D82">
      <w:pPr>
        <w:pStyle w:val="BodyText"/>
      </w:pPr>
      <w:r w:rsidRPr="0086769C">
        <w:t xml:space="preserve">Anti-corruption reforms have generally strengthened responses to fraud and corruption within </w:t>
      </w:r>
      <w:r>
        <w:t xml:space="preserve">law and justice </w:t>
      </w:r>
      <w:r w:rsidRPr="0086769C">
        <w:t>sector agencies</w:t>
      </w:r>
      <w:r w:rsidR="00844A3F">
        <w:t xml:space="preserve">. </w:t>
      </w:r>
      <w:r w:rsidRPr="0086769C">
        <w:t>Training for National Anti-Corruption Alliance investigators resulted in a five-year high in the number of arrests (29 in 2010 up from 16 in 2009)</w:t>
      </w:r>
      <w:r w:rsidR="00844A3F">
        <w:t xml:space="preserve">. </w:t>
      </w:r>
      <w:r w:rsidRPr="0086769C">
        <w:t>Australia supported systems improvement with a continued reduction in fraud across all agencies</w:t>
      </w:r>
      <w:r w:rsidR="00844A3F">
        <w:t xml:space="preserve">. </w:t>
      </w:r>
      <w:r w:rsidRPr="0086769C">
        <w:t xml:space="preserve">Support for audit and reform of pensions in Correctional Services and the Royal PNG </w:t>
      </w:r>
      <w:r w:rsidRPr="0086769C">
        <w:lastRenderedPageBreak/>
        <w:t>Constabulary (</w:t>
      </w:r>
      <w:r w:rsidRPr="008C799F">
        <w:t>RPNGC)</w:t>
      </w:r>
      <w:r w:rsidRPr="0086769C">
        <w:t xml:space="preserve"> achieved significant savings for the recurrent budget (K2.8 million projected for RPNGC in 2011).</w:t>
      </w:r>
    </w:p>
    <w:p w:rsidR="00CE6D82" w:rsidRPr="0086769C" w:rsidRDefault="00CE6D82" w:rsidP="00CE6D82">
      <w:pPr>
        <w:pStyle w:val="BodyText"/>
      </w:pPr>
      <w:r w:rsidRPr="0073231E">
        <w:t>The twinning program between the PNG Ombudsman Commission and the Commonwealth Ombudsman continues to promote improved practices in investigati</w:t>
      </w:r>
      <w:r w:rsidR="000D1137">
        <w:t>ng</w:t>
      </w:r>
      <w:r w:rsidRPr="0073231E">
        <w:t xml:space="preserve"> public complaints, administrative practices of government bodies,</w:t>
      </w:r>
      <w:r w:rsidR="006035A4">
        <w:t xml:space="preserve"> </w:t>
      </w:r>
      <w:r w:rsidRPr="0073231E">
        <w:t>and breaches of the leadership code. Changes in work practices have improved investigation completion rates: 35</w:t>
      </w:r>
      <w:r w:rsidR="00844A3F">
        <w:t xml:space="preserve"> per cent</w:t>
      </w:r>
      <w:r w:rsidRPr="0073231E">
        <w:t xml:space="preserve"> of cases outstanding at the beginning of 2010 are now well progressed and 6</w:t>
      </w:r>
      <w:r w:rsidR="00844A3F">
        <w:t xml:space="preserve"> per cent</w:t>
      </w:r>
      <w:r w:rsidRPr="0073231E">
        <w:t xml:space="preserve"> are near completion or complete. The referral of the Prime Minister to the Public Prosecutor for breach of the Leadership Code is a significant example of increased effectiveness and commitment.</w:t>
      </w:r>
    </w:p>
    <w:p w:rsidR="00CE6D82" w:rsidRPr="0086769C" w:rsidRDefault="00CE6D82" w:rsidP="00CE6D82">
      <w:pPr>
        <w:pStyle w:val="BodyText"/>
      </w:pPr>
      <w:r w:rsidRPr="0086769C">
        <w:t>The PNG</w:t>
      </w:r>
      <w:r w:rsidR="000D1137">
        <w:t xml:space="preserve"> – </w:t>
      </w:r>
      <w:r w:rsidRPr="0086769C">
        <w:t>Australia Policing Partnership has supported rehabilita</w:t>
      </w:r>
      <w:r>
        <w:t xml:space="preserve">tion and modernisation of seven </w:t>
      </w:r>
      <w:r w:rsidRPr="0086769C">
        <w:t>provincial police watch houses and cells to comply with international standards on human rights</w:t>
      </w:r>
      <w:r w:rsidR="00844A3F">
        <w:t xml:space="preserve">. </w:t>
      </w:r>
      <w:r w:rsidRPr="0086769C">
        <w:t>Further work is required on 184 police stations and watch houses.</w:t>
      </w:r>
    </w:p>
    <w:p w:rsidR="00CE6D82" w:rsidRPr="0086769C" w:rsidRDefault="00CE6D82" w:rsidP="00CE6D82">
      <w:pPr>
        <w:pStyle w:val="BodyText"/>
      </w:pPr>
      <w:r w:rsidRPr="0086769C">
        <w:t>Establishing a Proceeds of Crime Unit within the Office of the Public Prosecutor and strengthening the RPNGC’s Financial Intelligence Unit has seen the first seizures under the Proceeds of Crime Act</w:t>
      </w:r>
      <w:r w:rsidR="00844A3F">
        <w:t xml:space="preserve">. </w:t>
      </w:r>
      <w:r w:rsidRPr="0086769C">
        <w:t xml:space="preserve">The Proceeds of Crime Unit already has cases targeting </w:t>
      </w:r>
      <w:r w:rsidR="000C31B7">
        <w:t>more than</w:t>
      </w:r>
      <w:r w:rsidRPr="0086769C">
        <w:t xml:space="preserve"> K20</w:t>
      </w:r>
      <w:r w:rsidR="000D1137">
        <w:t> </w:t>
      </w:r>
      <w:r w:rsidRPr="0086769C">
        <w:t>million, has recovere</w:t>
      </w:r>
      <w:r w:rsidR="000C31B7">
        <w:t>d K1.2 million and restrained more than</w:t>
      </w:r>
      <w:r w:rsidRPr="0086769C">
        <w:t xml:space="preserve"> K5 </w:t>
      </w:r>
      <w:proofErr w:type="spellStart"/>
      <w:r w:rsidRPr="0086769C">
        <w:t>million</w:t>
      </w:r>
      <w:proofErr w:type="spellEnd"/>
      <w:r w:rsidRPr="0086769C">
        <w:t xml:space="preserve"> of property</w:t>
      </w:r>
      <w:r w:rsidR="00844A3F">
        <w:t xml:space="preserve">. </w:t>
      </w:r>
      <w:r w:rsidRPr="0086769C">
        <w:t>These achievements can be directly attributed to the support provided to RPNGC’s Financial Intelligence Unit through the PNG</w:t>
      </w:r>
      <w:r w:rsidR="000D1137">
        <w:t xml:space="preserve"> – </w:t>
      </w:r>
      <w:r w:rsidRPr="0086769C">
        <w:t xml:space="preserve">Australia Policing Partnership, and the </w:t>
      </w:r>
      <w:proofErr w:type="spellStart"/>
      <w:r w:rsidR="000D1137">
        <w:t>Strongim</w:t>
      </w:r>
      <w:proofErr w:type="spellEnd"/>
      <w:r w:rsidR="000D1137">
        <w:t xml:space="preserve"> </w:t>
      </w:r>
      <w:proofErr w:type="spellStart"/>
      <w:r w:rsidR="000D1137">
        <w:t>Gavman</w:t>
      </w:r>
      <w:proofErr w:type="spellEnd"/>
      <w:r w:rsidR="000D1137">
        <w:t xml:space="preserve"> Program’s</w:t>
      </w:r>
      <w:r w:rsidRPr="0086769C">
        <w:t xml:space="preserve"> activities in the Office of the Public Prosecutor.</w:t>
      </w:r>
    </w:p>
    <w:p w:rsidR="00CE6D82" w:rsidRPr="0086769C" w:rsidRDefault="00817E9A" w:rsidP="00CE6D82">
      <w:pPr>
        <w:pStyle w:val="BodyText"/>
      </w:pPr>
      <w:r>
        <w:t xml:space="preserve">Australia </w:t>
      </w:r>
      <w:r w:rsidR="00CE6D82" w:rsidRPr="0086769C">
        <w:t xml:space="preserve">funded major capital works programs to improve </w:t>
      </w:r>
      <w:r w:rsidR="000D1137">
        <w:t>c</w:t>
      </w:r>
      <w:r w:rsidR="00CE6D82" w:rsidRPr="0086769C">
        <w:t xml:space="preserve">orrections infrastructure, including seven new staff houses at </w:t>
      </w:r>
      <w:proofErr w:type="spellStart"/>
      <w:r w:rsidR="00CE6D82" w:rsidRPr="0086769C">
        <w:t>Lae</w:t>
      </w:r>
      <w:proofErr w:type="spellEnd"/>
      <w:r w:rsidR="00CE6D82" w:rsidRPr="0086769C">
        <w:t xml:space="preserve"> prison. Providing staff housing addresses a major impediment to deploying, retaining and motivating staff in correctional facilities, and therefore improves effective functioning of prisons and public safety more broadly.</w:t>
      </w:r>
    </w:p>
    <w:p w:rsidR="00817E9A" w:rsidRPr="0086769C" w:rsidRDefault="00CE6D82" w:rsidP="00CE6D82">
      <w:pPr>
        <w:pStyle w:val="BodyText"/>
      </w:pPr>
      <w:r w:rsidRPr="00523EDE">
        <w:t>Tribal fights in Eastern</w:t>
      </w:r>
      <w:r w:rsidR="002B2530">
        <w:t xml:space="preserve"> Highlands Province continue to</w:t>
      </w:r>
      <w:r w:rsidR="00031866">
        <w:t xml:space="preserve"> decline</w:t>
      </w:r>
      <w:r w:rsidR="00356F76">
        <w:t xml:space="preserve"> </w:t>
      </w:r>
      <w:r w:rsidRPr="00523EDE">
        <w:t>with support from the District Peace Management Teams</w:t>
      </w:r>
      <w:r w:rsidR="00844A3F">
        <w:t xml:space="preserve">. </w:t>
      </w:r>
      <w:r w:rsidRPr="00523EDE">
        <w:t xml:space="preserve">Of the 94 tribal fights recorded in the province since 2007, 48 have </w:t>
      </w:r>
      <w:r w:rsidR="00356F76">
        <w:t>been resolved with</w:t>
      </w:r>
      <w:r w:rsidRPr="00523EDE">
        <w:t xml:space="preserve"> peace agreements accompanied by supporting development activities, and 46 are negotiating peace agreements</w:t>
      </w:r>
      <w:r w:rsidR="00844A3F">
        <w:t xml:space="preserve">. </w:t>
      </w:r>
    </w:p>
    <w:p w:rsidR="00523EDE" w:rsidRDefault="00CE6D82" w:rsidP="00CE6D82">
      <w:pPr>
        <w:pStyle w:val="BodyText"/>
      </w:pPr>
      <w:r w:rsidRPr="0086769C">
        <w:t>Support for the high</w:t>
      </w:r>
      <w:r w:rsidR="00157C54">
        <w:t>-</w:t>
      </w:r>
      <w:r w:rsidRPr="0086769C">
        <w:t xml:space="preserve">profile </w:t>
      </w:r>
      <w:proofErr w:type="spellStart"/>
      <w:r w:rsidRPr="0086769C">
        <w:t>Yumi</w:t>
      </w:r>
      <w:proofErr w:type="spellEnd"/>
      <w:r w:rsidRPr="0086769C">
        <w:t xml:space="preserve"> </w:t>
      </w:r>
      <w:proofErr w:type="spellStart"/>
      <w:r w:rsidRPr="0086769C">
        <w:t>Lukautim</w:t>
      </w:r>
      <w:proofErr w:type="spellEnd"/>
      <w:r w:rsidRPr="0086769C">
        <w:t xml:space="preserve"> </w:t>
      </w:r>
      <w:proofErr w:type="spellStart"/>
      <w:r w:rsidRPr="0086769C">
        <w:t>Mosbi</w:t>
      </w:r>
      <w:proofErr w:type="spellEnd"/>
      <w:r w:rsidRPr="0086769C">
        <w:t xml:space="preserve"> program in Port Moresby is helping youths to find employment and other alternatives to crime, and bringing law and justice agencies together with the local government, businesses and communities to address law and order concerns</w:t>
      </w:r>
      <w:r w:rsidR="00844A3F">
        <w:t xml:space="preserve">. </w:t>
      </w:r>
      <w:r w:rsidRPr="0086769C">
        <w:t>In 2010</w:t>
      </w:r>
      <w:r w:rsidR="00340136">
        <w:t>,</w:t>
      </w:r>
      <w:r w:rsidRPr="0086769C">
        <w:t xml:space="preserve"> 800 participants graduated from skills development courses and 550 young people completed permanent on-the-job placements in </w:t>
      </w:r>
      <w:r w:rsidR="000C31B7">
        <w:t>more than</w:t>
      </w:r>
      <w:r w:rsidRPr="0086769C">
        <w:t xml:space="preserve"> 50 businesses</w:t>
      </w:r>
      <w:r w:rsidR="00844A3F">
        <w:t xml:space="preserve">. </w:t>
      </w:r>
    </w:p>
    <w:p w:rsidR="00CE6D82" w:rsidRPr="0086769C" w:rsidRDefault="00CE6D82" w:rsidP="00CE6D82">
      <w:pPr>
        <w:pStyle w:val="BodyText"/>
      </w:pPr>
      <w:r w:rsidRPr="0086769C">
        <w:t>Law and justice service delivery on Bougainville has improved and extended</w:t>
      </w:r>
      <w:r w:rsidR="00844A3F">
        <w:t xml:space="preserve">. </w:t>
      </w:r>
      <w:r w:rsidRPr="0086769C">
        <w:t>Recent housing projects have enticed a well</w:t>
      </w:r>
      <w:r w:rsidR="00157C54">
        <w:t>-</w:t>
      </w:r>
      <w:r w:rsidRPr="0086769C">
        <w:t xml:space="preserve">respected Assistant Police Commissioner and lawyers from the Public Solicitor’s Office to </w:t>
      </w:r>
      <w:proofErr w:type="spellStart"/>
      <w:r w:rsidRPr="0086769C">
        <w:t>Buka</w:t>
      </w:r>
      <w:proofErr w:type="spellEnd"/>
      <w:r w:rsidR="00844A3F">
        <w:t xml:space="preserve">. </w:t>
      </w:r>
      <w:r>
        <w:t>A temporary court house was also built in south Bougainville (</w:t>
      </w:r>
      <w:proofErr w:type="spellStart"/>
      <w:r>
        <w:t>Buin</w:t>
      </w:r>
      <w:proofErr w:type="spellEnd"/>
      <w:r>
        <w:t xml:space="preserve">), enabling the district magistrate to conduct circuits. </w:t>
      </w:r>
      <w:r w:rsidRPr="0086769C">
        <w:t>Three Community Justice Centres have strengthened informal justice systems and 960 new village court uniforms have increased the standing of the magistrates, clerks and peace officers</w:t>
      </w:r>
      <w:r w:rsidR="00844A3F">
        <w:t xml:space="preserve">. </w:t>
      </w:r>
      <w:r w:rsidRPr="0086769C">
        <w:t xml:space="preserve">Three police station upgrades, a quartermaster (supply) store and training centre </w:t>
      </w:r>
      <w:r w:rsidR="00157C54">
        <w:t>are</w:t>
      </w:r>
      <w:r w:rsidR="00157C54" w:rsidRPr="0086769C">
        <w:t xml:space="preserve"> </w:t>
      </w:r>
      <w:r w:rsidRPr="0086769C">
        <w:t>increas</w:t>
      </w:r>
      <w:r w:rsidR="00157C54">
        <w:t>ing</w:t>
      </w:r>
      <w:r w:rsidRPr="0086769C">
        <w:t xml:space="preserve"> the ability of the Bougainville Police Service to function across Bougainville</w:t>
      </w:r>
      <w:r w:rsidR="00844A3F">
        <w:t xml:space="preserve">. </w:t>
      </w:r>
      <w:r w:rsidRPr="0086769C">
        <w:t xml:space="preserve">Stage one of the correctional facility on </w:t>
      </w:r>
      <w:proofErr w:type="spellStart"/>
      <w:r w:rsidRPr="0086769C">
        <w:t>Buka</w:t>
      </w:r>
      <w:proofErr w:type="spellEnd"/>
      <w:r w:rsidRPr="0086769C">
        <w:t xml:space="preserve"> Island is complete, providing humane conditions for up to 40</w:t>
      </w:r>
      <w:r w:rsidR="00157C54">
        <w:t> </w:t>
      </w:r>
      <w:r w:rsidRPr="0086769C">
        <w:t>low</w:t>
      </w:r>
      <w:r w:rsidR="00157C54">
        <w:t>-</w:t>
      </w:r>
      <w:r w:rsidRPr="0086769C">
        <w:t xml:space="preserve">risk prisoners and </w:t>
      </w:r>
      <w:proofErr w:type="spellStart"/>
      <w:r w:rsidRPr="0086769C">
        <w:t>remandees</w:t>
      </w:r>
      <w:proofErr w:type="spellEnd"/>
      <w:r w:rsidRPr="0086769C">
        <w:t>, and alleviating the burden on police holding facilities</w:t>
      </w:r>
      <w:r w:rsidR="00844A3F">
        <w:t xml:space="preserve">. </w:t>
      </w:r>
      <w:r w:rsidRPr="0086769C">
        <w:t>Major work has been completed on a professional resource book to support good judgements in the courts</w:t>
      </w:r>
      <w:r w:rsidR="00844A3F">
        <w:t xml:space="preserve">. </w:t>
      </w:r>
      <w:r w:rsidRPr="0086769C">
        <w:t>Plans are underway to extend policing and judicial services to the Central and Southern regions as</w:t>
      </w:r>
      <w:r>
        <w:t xml:space="preserve"> a result of improved security.</w:t>
      </w:r>
    </w:p>
    <w:p w:rsidR="00CE6D82" w:rsidRPr="0086769C" w:rsidRDefault="00CE6D82" w:rsidP="00CE6D82">
      <w:pPr>
        <w:pStyle w:val="BodyText"/>
      </w:pPr>
      <w:r w:rsidRPr="0086769C">
        <w:lastRenderedPageBreak/>
        <w:t>Progress towards gender equality, equal participation in decision-making processes, equal rights within the justice system and equal access to justice services continues across the sector</w:t>
      </w:r>
      <w:r w:rsidR="00844A3F">
        <w:t xml:space="preserve">. </w:t>
      </w:r>
      <w:r w:rsidRPr="0086769C">
        <w:t>Specific contributions include:</w:t>
      </w:r>
    </w:p>
    <w:p w:rsidR="00CE6D82" w:rsidRPr="0086769C" w:rsidRDefault="00CE6D82" w:rsidP="00CE6D82">
      <w:pPr>
        <w:pStyle w:val="BodyText"/>
        <w:numPr>
          <w:ilvl w:val="0"/>
          <w:numId w:val="20"/>
        </w:numPr>
      </w:pPr>
      <w:r w:rsidRPr="0086769C">
        <w:t>Supporting an increase in the number of female magistrates in the Village Courts system from 40 in 2007 to 500 by the end of 2010, giving women a greater voice in decision making, and helping break down male dominance of the judicial system and customs that assert male control over women.</w:t>
      </w:r>
    </w:p>
    <w:p w:rsidR="00CE6D82" w:rsidRPr="0086769C" w:rsidRDefault="00CE6D82" w:rsidP="00CE6D82">
      <w:pPr>
        <w:pStyle w:val="BodyText"/>
        <w:numPr>
          <w:ilvl w:val="0"/>
          <w:numId w:val="20"/>
        </w:numPr>
      </w:pPr>
      <w:r w:rsidRPr="0086769C">
        <w:t>Improving policing services to victim</w:t>
      </w:r>
      <w:r w:rsidR="00523EDE">
        <w:t>s of family and sexual violence</w:t>
      </w:r>
      <w:r w:rsidRPr="0086769C">
        <w:t>.</w:t>
      </w:r>
    </w:p>
    <w:p w:rsidR="00CE6D82" w:rsidRPr="0086769C" w:rsidRDefault="00CE6D82" w:rsidP="00CE6D82">
      <w:pPr>
        <w:pStyle w:val="BodyText"/>
        <w:numPr>
          <w:ilvl w:val="0"/>
          <w:numId w:val="20"/>
        </w:numPr>
      </w:pPr>
      <w:r w:rsidRPr="0086769C">
        <w:t xml:space="preserve">RPNGC responding to </w:t>
      </w:r>
      <w:r w:rsidR="000C31B7">
        <w:t>more than</w:t>
      </w:r>
      <w:r w:rsidRPr="0086769C">
        <w:t xml:space="preserve"> 1050 family and sexual violence complaints </w:t>
      </w:r>
      <w:r w:rsidR="00157C54">
        <w:br/>
      </w:r>
      <w:r w:rsidRPr="0086769C">
        <w:t>(up from 384 in 2009) indicating increased RPNGC capacity to respond.</w:t>
      </w:r>
    </w:p>
    <w:p w:rsidR="00CE6D82" w:rsidRPr="0086769C" w:rsidRDefault="00CE6D82" w:rsidP="00CE6D82">
      <w:pPr>
        <w:pStyle w:val="BodyText"/>
        <w:numPr>
          <w:ilvl w:val="0"/>
          <w:numId w:val="20"/>
        </w:numPr>
      </w:pPr>
      <w:r w:rsidRPr="0086769C">
        <w:t>Interim Protection Orders (introduced in 2009) operating well through the District Courts, providing immediate protection from physical or sexual violence, and threats or actual damage to property.</w:t>
      </w:r>
    </w:p>
    <w:p w:rsidR="00564F61" w:rsidRDefault="00564F61" w:rsidP="0048616B">
      <w:pPr>
        <w:pStyle w:val="Heading2"/>
      </w:pPr>
      <w:bookmarkStart w:id="31" w:name="_Toc295144872"/>
      <w:bookmarkStart w:id="32" w:name="_Toc296695415"/>
      <w:bookmarkStart w:id="33" w:name="_Toc361584122"/>
      <w:r w:rsidRPr="00B521F2">
        <w:t xml:space="preserve">Objective </w:t>
      </w:r>
      <w:r>
        <w:t>8:</w:t>
      </w:r>
      <w:r w:rsidRPr="00B521F2">
        <w:t xml:space="preserve"> </w:t>
      </w:r>
      <w:r>
        <w:t>Increased workforce skills</w:t>
      </w:r>
      <w:bookmarkEnd w:id="31"/>
      <w:bookmarkEnd w:id="32"/>
      <w:bookmarkEnd w:id="33"/>
    </w:p>
    <w:p w:rsidR="00CE6D82" w:rsidRPr="004278C1" w:rsidRDefault="00CE6D82" w:rsidP="00CE6D82">
      <w:pPr>
        <w:pStyle w:val="BodyText"/>
      </w:pPr>
      <w:r w:rsidRPr="004278C1">
        <w:t>A review of PNG’s universities</w:t>
      </w:r>
      <w:r w:rsidR="00AE0DF1">
        <w:t xml:space="preserve"> </w:t>
      </w:r>
      <w:r w:rsidRPr="004278C1">
        <w:t xml:space="preserve">was finalised in May 2010, however findings have yet to be endorsed by </w:t>
      </w:r>
      <w:proofErr w:type="spellStart"/>
      <w:r w:rsidR="00157C54">
        <w:t>Go</w:t>
      </w:r>
      <w:r w:rsidRPr="004278C1">
        <w:t>PNG</w:t>
      </w:r>
      <w:proofErr w:type="spellEnd"/>
      <w:r w:rsidR="00844A3F">
        <w:t xml:space="preserve">. </w:t>
      </w:r>
      <w:r w:rsidRPr="004278C1">
        <w:t xml:space="preserve">In the interim, </w:t>
      </w:r>
      <w:r w:rsidR="00523EDE">
        <w:t>v</w:t>
      </w:r>
      <w:r w:rsidRPr="004278C1">
        <w:t>olunteers were provided through a U</w:t>
      </w:r>
      <w:r w:rsidR="00157C54">
        <w:t xml:space="preserve">niversity of </w:t>
      </w:r>
      <w:r w:rsidRPr="004278C1">
        <w:t>PNG pilot collaboration, making a modest but important contribution to academic capacity building</w:t>
      </w:r>
      <w:r w:rsidR="00844A3F">
        <w:t xml:space="preserve">. </w:t>
      </w:r>
      <w:r w:rsidRPr="004278C1">
        <w:t>A needs analysis for the</w:t>
      </w:r>
      <w:r w:rsidR="00157C54" w:rsidRPr="00157C54">
        <w:t xml:space="preserve"> TAFE-delivered Vocational Education and Training</w:t>
      </w:r>
      <w:r w:rsidRPr="004278C1">
        <w:t xml:space="preserve"> sector started in late 2010 and will be finalised in mid</w:t>
      </w:r>
      <w:r w:rsidR="00157C54">
        <w:t>-</w:t>
      </w:r>
      <w:r w:rsidRPr="004278C1">
        <w:t>2011</w:t>
      </w:r>
      <w:r w:rsidR="00844A3F">
        <w:t xml:space="preserve">. </w:t>
      </w:r>
      <w:r w:rsidRPr="004278C1">
        <w:t xml:space="preserve">It will inform future </w:t>
      </w:r>
      <w:proofErr w:type="spellStart"/>
      <w:r w:rsidRPr="004278C1">
        <w:t>AusAID</w:t>
      </w:r>
      <w:proofErr w:type="spellEnd"/>
      <w:r w:rsidRPr="004278C1">
        <w:t xml:space="preserve"> and </w:t>
      </w:r>
      <w:proofErr w:type="spellStart"/>
      <w:r w:rsidRPr="004278C1">
        <w:t>GoPNG</w:t>
      </w:r>
      <w:proofErr w:type="spellEnd"/>
      <w:r w:rsidR="006035A4">
        <w:t> </w:t>
      </w:r>
      <w:r w:rsidRPr="004278C1">
        <w:t xml:space="preserve"> programs and serve as a baseline to measure progress</w:t>
      </w:r>
      <w:r w:rsidR="00844A3F">
        <w:t xml:space="preserve">. </w:t>
      </w:r>
    </w:p>
    <w:p w:rsidR="00CE6D82" w:rsidRDefault="00CE6D82" w:rsidP="00CE6D82">
      <w:pPr>
        <w:pStyle w:val="BodyText"/>
      </w:pPr>
      <w:r w:rsidRPr="004278C1">
        <w:t xml:space="preserve">In 2010, </w:t>
      </w:r>
      <w:smartTag w:uri="urn:schemas-microsoft-com:office:smarttags" w:element="country-region">
        <w:smartTag w:uri="urn:schemas-microsoft-com:office:smarttags" w:element="place">
          <w:r w:rsidRPr="004278C1">
            <w:t>Australia</w:t>
          </w:r>
        </w:smartTag>
      </w:smartTag>
      <w:r w:rsidRPr="004278C1">
        <w:t xml:space="preserve"> awarded 130 Australian Development Scholarships and 143 graduates returned to PNG</w:t>
      </w:r>
      <w:r w:rsidR="00844A3F">
        <w:t xml:space="preserve">. </w:t>
      </w:r>
      <w:r w:rsidRPr="004278C1">
        <w:t>In addition, Australian Leaderships Awards Scholarships (Masters and PhD level) were awarded to 10 potential leaders, and nine of these graduates returned in 2010</w:t>
      </w:r>
      <w:r w:rsidR="00844A3F">
        <w:t xml:space="preserve">. </w:t>
      </w:r>
      <w:r w:rsidRPr="004278C1">
        <w:t>Five</w:t>
      </w:r>
      <w:r w:rsidR="006035A4">
        <w:t> </w:t>
      </w:r>
      <w:r w:rsidRPr="004278C1">
        <w:t>Papua New Guineans were provided Australian Leadership Award Fellowships for short</w:t>
      </w:r>
      <w:r w:rsidR="00157C54">
        <w:t>-</w:t>
      </w:r>
      <w:r w:rsidRPr="004278C1">
        <w:t>term professional development opportunities in Australia</w:t>
      </w:r>
      <w:r w:rsidR="00844A3F">
        <w:t xml:space="preserve">. </w:t>
      </w:r>
    </w:p>
    <w:p w:rsidR="00CE6D82" w:rsidRPr="004278C1" w:rsidRDefault="00CE6D82" w:rsidP="00CE6D82">
      <w:pPr>
        <w:pStyle w:val="BodyText"/>
      </w:pPr>
      <w:r w:rsidRPr="004278C1">
        <w:t>Since the establishment of the Australia Pacific Technical College in June 2007, 735 Papua New Guineans have graduated from the college (462 of these were from the Automotive, Construction, Electrical and Manufacturing School, 270 were from the School of Tourism and Hospitality and 3 were from the Health and Community Services School)</w:t>
      </w:r>
      <w:r w:rsidR="00844A3F">
        <w:t xml:space="preserve">. </w:t>
      </w:r>
      <w:r w:rsidRPr="004278C1">
        <w:t>In 2010 there were 129 PNG students on scholarships, and 327 enrolled students (including scholarships, self-sponsored and industry-sponsored).</w:t>
      </w:r>
    </w:p>
    <w:p w:rsidR="00CE6D82" w:rsidRDefault="00CE6D82" w:rsidP="00CE6D82">
      <w:pPr>
        <w:pStyle w:val="BodyText"/>
      </w:pPr>
      <w:r w:rsidRPr="004278C1">
        <w:t>The now redesigned scholarships program targets gender parity</w:t>
      </w:r>
      <w:r w:rsidR="00844A3F">
        <w:t xml:space="preserve">. </w:t>
      </w:r>
      <w:r w:rsidRPr="004278C1">
        <w:t xml:space="preserve">In 2010, of 124 </w:t>
      </w:r>
      <w:r w:rsidR="008C799F">
        <w:t>Australian Development Scholarship</w:t>
      </w:r>
      <w:r w:rsidRPr="004278C1">
        <w:t xml:space="preserve"> awardees, 61 (49</w:t>
      </w:r>
      <w:r w:rsidR="00844A3F">
        <w:t xml:space="preserve"> per cent</w:t>
      </w:r>
      <w:r w:rsidRPr="004278C1">
        <w:t xml:space="preserve">) were female, and of 11 </w:t>
      </w:r>
      <w:r w:rsidR="008C799F">
        <w:t>Australian Leadership Awards-Scholarship</w:t>
      </w:r>
      <w:r w:rsidRPr="004278C1">
        <w:t xml:space="preserve"> awardees, </w:t>
      </w:r>
      <w:r w:rsidR="00157C54">
        <w:t>7</w:t>
      </w:r>
      <w:r w:rsidR="00157C54" w:rsidRPr="004278C1">
        <w:t xml:space="preserve"> </w:t>
      </w:r>
      <w:r w:rsidRPr="004278C1">
        <w:t>(64</w:t>
      </w:r>
      <w:r w:rsidR="00844A3F">
        <w:t xml:space="preserve"> per cent</w:t>
      </w:r>
      <w:r w:rsidRPr="004278C1">
        <w:t>) were female</w:t>
      </w:r>
      <w:r w:rsidR="00844A3F">
        <w:t xml:space="preserve">. </w:t>
      </w:r>
      <w:r w:rsidRPr="004278C1">
        <w:t>In</w:t>
      </w:r>
      <w:r>
        <w:t xml:space="preserve"> the 2010 selection process, 50</w:t>
      </w:r>
      <w:r w:rsidR="00844A3F">
        <w:t xml:space="preserve"> per cent</w:t>
      </w:r>
      <w:r w:rsidRPr="004278C1">
        <w:t xml:space="preserve"> of the 2011 scholarships were awarded to women</w:t>
      </w:r>
      <w:r>
        <w:t>,</w:t>
      </w:r>
      <w:r w:rsidRPr="004278C1">
        <w:t xml:space="preserve"> </w:t>
      </w:r>
      <w:r>
        <w:t>though they represented only 39</w:t>
      </w:r>
      <w:r w:rsidR="00844A3F">
        <w:t xml:space="preserve"> per cent</w:t>
      </w:r>
      <w:r w:rsidRPr="004278C1">
        <w:t xml:space="preserve"> of total applications</w:t>
      </w:r>
      <w:r w:rsidR="00844A3F">
        <w:t xml:space="preserve">. </w:t>
      </w:r>
      <w:r w:rsidRPr="004278C1">
        <w:t>Strategies to address stresses faced by PNG women awardees were also introduced in 2010</w:t>
      </w:r>
      <w:r w:rsidR="00844A3F">
        <w:t xml:space="preserve">. </w:t>
      </w:r>
      <w:r w:rsidRPr="004278C1">
        <w:t>This includes pre-departure training for women on managing personal finances</w:t>
      </w:r>
      <w:r>
        <w:t>,</w:t>
      </w:r>
      <w:r w:rsidRPr="004278C1">
        <w:t xml:space="preserve"> and training for awardees and their spouse on likely pressures they will face when living in Australia</w:t>
      </w:r>
      <w:r w:rsidR="00844A3F">
        <w:t xml:space="preserve">. </w:t>
      </w:r>
      <w:r w:rsidRPr="004278C1">
        <w:t>When in Australia</w:t>
      </w:r>
      <w:r>
        <w:t>,</w:t>
      </w:r>
      <w:r w:rsidRPr="004278C1">
        <w:t xml:space="preserve"> it also includes case managers for awardees, with a specific mandate to support women</w:t>
      </w:r>
      <w:r w:rsidR="00157C54">
        <w:t>,</w:t>
      </w:r>
      <w:r w:rsidRPr="004278C1">
        <w:t xml:space="preserve"> including though the resolution of personal and domestic issues</w:t>
      </w:r>
      <w:r w:rsidR="00844A3F">
        <w:t xml:space="preserve">. </w:t>
      </w:r>
      <w:r w:rsidRPr="004278C1">
        <w:t>Lastly, women receive targeted support for reintegration into the PNG workforce, including support provided through the PNG</w:t>
      </w:r>
      <w:r w:rsidR="00157C54">
        <w:t xml:space="preserve"> – </w:t>
      </w:r>
      <w:r w:rsidRPr="004278C1">
        <w:t>Australia Alumni association.</w:t>
      </w:r>
    </w:p>
    <w:p w:rsidR="00564F61" w:rsidRDefault="00564F61" w:rsidP="0048616B">
      <w:pPr>
        <w:pStyle w:val="Heading2"/>
      </w:pPr>
      <w:bookmarkStart w:id="34" w:name="_Toc295144873"/>
      <w:bookmarkStart w:id="35" w:name="_Toc296695416"/>
      <w:bookmarkStart w:id="36" w:name="_Toc361584123"/>
      <w:r w:rsidRPr="00B521F2">
        <w:lastRenderedPageBreak/>
        <w:t xml:space="preserve">Objective </w:t>
      </w:r>
      <w:r>
        <w:t>9:</w:t>
      </w:r>
      <w:r w:rsidRPr="00B521F2">
        <w:t xml:space="preserve"> </w:t>
      </w:r>
      <w:r w:rsidRPr="00647358">
        <w:t xml:space="preserve">Men and women, civil society, and the state working together </w:t>
      </w:r>
      <w:r>
        <w:t>to meet communities’ needs</w:t>
      </w:r>
      <w:bookmarkEnd w:id="34"/>
      <w:bookmarkEnd w:id="35"/>
      <w:bookmarkEnd w:id="36"/>
    </w:p>
    <w:p w:rsidR="00CE6D82" w:rsidRPr="00AE75EF" w:rsidRDefault="00CE6D82" w:rsidP="00CE6D82">
      <w:pPr>
        <w:pStyle w:val="BodyText"/>
      </w:pPr>
      <w:r w:rsidRPr="00AE75EF">
        <w:t xml:space="preserve">In 2010 the </w:t>
      </w:r>
      <w:r w:rsidR="00157C54">
        <w:t>p</w:t>
      </w:r>
      <w:r w:rsidRPr="00AE75EF">
        <w:t xml:space="preserve">rogram supported </w:t>
      </w:r>
      <w:proofErr w:type="spellStart"/>
      <w:r w:rsidRPr="00AE75EF">
        <w:t>GoPNG</w:t>
      </w:r>
      <w:proofErr w:type="spellEnd"/>
      <w:r w:rsidRPr="00AE75EF">
        <w:t xml:space="preserve"> in stronger citizen-government engagement</w:t>
      </w:r>
      <w:r w:rsidR="00523EDE">
        <w:t xml:space="preserve">. Australia contributed to </w:t>
      </w:r>
      <w:r w:rsidRPr="00AE75EF">
        <w:t xml:space="preserve">strengthening civil society, promoting good governance and addressing small-scale immediate development needs in communities. </w:t>
      </w:r>
    </w:p>
    <w:p w:rsidR="00CE6D82" w:rsidRPr="00AE75EF" w:rsidRDefault="00CE6D82" w:rsidP="00CE6D82">
      <w:pPr>
        <w:pStyle w:val="BodyText"/>
      </w:pPr>
      <w:r w:rsidRPr="00AE75EF">
        <w:t xml:space="preserve">Evaluations of projects indicate they directly and indirectly benefited thousands of people living in communities around PNG over </w:t>
      </w:r>
      <w:r w:rsidR="00EA41E8">
        <w:t>their</w:t>
      </w:r>
      <w:r w:rsidR="00EA41E8" w:rsidRPr="00AE75EF">
        <w:t xml:space="preserve"> </w:t>
      </w:r>
      <w:r w:rsidRPr="00AE75EF">
        <w:t>life</w:t>
      </w:r>
      <w:r w:rsidR="00844A3F">
        <w:t xml:space="preserve">. </w:t>
      </w:r>
      <w:r w:rsidRPr="00AE75EF">
        <w:t xml:space="preserve">Projects resulted in new and strengthened networks, partnerships, stronger leaders and improved internal governance of citizen groups. For example, new committees created formal decision-making positions for women, and linked citizens to </w:t>
      </w:r>
      <w:r w:rsidR="00157C54">
        <w:t xml:space="preserve"> l</w:t>
      </w:r>
      <w:r w:rsidRPr="00AE75EF">
        <w:t xml:space="preserve">ocal </w:t>
      </w:r>
      <w:r w:rsidR="00157C54">
        <w:t>l</w:t>
      </w:r>
      <w:r w:rsidRPr="00AE75EF">
        <w:t xml:space="preserve">evel </w:t>
      </w:r>
      <w:r w:rsidR="00157C54">
        <w:t>g</w:t>
      </w:r>
      <w:r w:rsidRPr="00AE75EF">
        <w:t xml:space="preserve">overnment. </w:t>
      </w:r>
    </w:p>
    <w:p w:rsidR="00EA41E8" w:rsidRDefault="00523EDE" w:rsidP="00CE6D82">
      <w:pPr>
        <w:pStyle w:val="BodyText"/>
      </w:pPr>
      <w:r>
        <w:t>Australian</w:t>
      </w:r>
      <w:r w:rsidR="00CE6D82" w:rsidRPr="00AE75EF">
        <w:t xml:space="preserve"> programs contributed to improved access to elementary education, with </w:t>
      </w:r>
      <w:r w:rsidR="00CE6D82">
        <w:t xml:space="preserve">increased </w:t>
      </w:r>
      <w:r w:rsidR="00CE6D82" w:rsidRPr="00AE75EF">
        <w:t>enrolment and class participation achieved for children in participating villages</w:t>
      </w:r>
      <w:r w:rsidR="00CE6D82">
        <w:t>.</w:t>
      </w:r>
      <w:r w:rsidR="00CE6D82" w:rsidRPr="00AE75EF">
        <w:t xml:space="preserve"> </w:t>
      </w:r>
    </w:p>
    <w:p w:rsidR="00CE6D82" w:rsidRPr="00AE75EF" w:rsidRDefault="00CE6D82" w:rsidP="00CE6D82">
      <w:pPr>
        <w:pStyle w:val="BodyText"/>
      </w:pPr>
      <w:r w:rsidRPr="00AE75EF">
        <w:t xml:space="preserve">In </w:t>
      </w:r>
      <w:proofErr w:type="spellStart"/>
      <w:r w:rsidRPr="00AE75EF">
        <w:t>Sandaun</w:t>
      </w:r>
      <w:proofErr w:type="spellEnd"/>
      <w:r w:rsidR="00523EDE">
        <w:t xml:space="preserve"> province</w:t>
      </w:r>
      <w:r w:rsidRPr="00AE75EF">
        <w:t xml:space="preserve">, installation of media infrastructure, and provision of software and staff training, resulted in radio coverage </w:t>
      </w:r>
      <w:r>
        <w:t xml:space="preserve">increasing </w:t>
      </w:r>
      <w:r w:rsidRPr="00AE75EF">
        <w:t>from 25</w:t>
      </w:r>
      <w:r w:rsidR="00844A3F">
        <w:t xml:space="preserve"> per cent</w:t>
      </w:r>
      <w:r w:rsidRPr="00AE75EF">
        <w:t xml:space="preserve"> to 95</w:t>
      </w:r>
      <w:r w:rsidR="00844A3F">
        <w:t xml:space="preserve"> per cent</w:t>
      </w:r>
      <w:r w:rsidRPr="00AE75EF">
        <w:t xml:space="preserve"> for neighbouring sub-</w:t>
      </w:r>
      <w:r w:rsidR="00157C54">
        <w:t>d</w:t>
      </w:r>
      <w:r w:rsidRPr="00AE75EF">
        <w:t xml:space="preserve">istricts and </w:t>
      </w:r>
      <w:r w:rsidR="00157C54">
        <w:t>p</w:t>
      </w:r>
      <w:r w:rsidRPr="00AE75EF">
        <w:t xml:space="preserve">rovinces. </w:t>
      </w:r>
    </w:p>
    <w:p w:rsidR="00CE6D82" w:rsidRPr="00AE75EF" w:rsidRDefault="00CE6D82" w:rsidP="00CE6D82">
      <w:pPr>
        <w:pStyle w:val="BodyText"/>
      </w:pPr>
      <w:proofErr w:type="spellStart"/>
      <w:r w:rsidRPr="00AE75EF">
        <w:t>AusAID</w:t>
      </w:r>
      <w:proofErr w:type="spellEnd"/>
      <w:r w:rsidRPr="00AE75EF">
        <w:t xml:space="preserve"> supported CARE Australia to trial their Integrated Community Development Program in some very remote and impoverished districts. The program targets a population of up to 150</w:t>
      </w:r>
      <w:r w:rsidR="00340136">
        <w:t> </w:t>
      </w:r>
      <w:r w:rsidRPr="00AE75EF">
        <w:t>000, located in extremely challenging geographical environments that are conflict affected and</w:t>
      </w:r>
      <w:r w:rsidR="00157C54">
        <w:t>,</w:t>
      </w:r>
      <w:r w:rsidRPr="00AE75EF">
        <w:t xml:space="preserve"> as a result</w:t>
      </w:r>
      <w:r w:rsidR="00157C54">
        <w:t>, have</w:t>
      </w:r>
      <w:r w:rsidRPr="00AE75EF">
        <w:t xml:space="preserve"> no service delivery of any kind. To date, CARE</w:t>
      </w:r>
      <w:r w:rsidR="00157C54">
        <w:t xml:space="preserve"> Australia</w:t>
      </w:r>
      <w:r w:rsidRPr="00AE75EF">
        <w:t xml:space="preserve"> has: </w:t>
      </w:r>
    </w:p>
    <w:p w:rsidR="00CE6D82" w:rsidRPr="00AE75EF" w:rsidRDefault="00CE6D82" w:rsidP="00523EDE">
      <w:pPr>
        <w:pStyle w:val="BodyText"/>
        <w:numPr>
          <w:ilvl w:val="0"/>
          <w:numId w:val="21"/>
        </w:numPr>
        <w:spacing w:before="0"/>
        <w:ind w:left="714" w:hanging="357"/>
      </w:pPr>
      <w:r w:rsidRPr="00AE75EF">
        <w:t xml:space="preserve">supported food protection through crop diversification in anticipation of </w:t>
      </w:r>
      <w:r w:rsidR="002B2530">
        <w:t>a drought in</w:t>
      </w:r>
      <w:r w:rsidRPr="00AE75EF">
        <w:t xml:space="preserve"> 2012, establishment of aquaculture (fish farms to provide protein) and improvement to coffee yields and on-selling</w:t>
      </w:r>
    </w:p>
    <w:p w:rsidR="00CE6D82" w:rsidRPr="00AE75EF" w:rsidRDefault="00CE6D82" w:rsidP="00523EDE">
      <w:pPr>
        <w:pStyle w:val="BodyText"/>
        <w:numPr>
          <w:ilvl w:val="0"/>
          <w:numId w:val="21"/>
        </w:numPr>
        <w:spacing w:before="0"/>
        <w:ind w:left="714" w:hanging="357"/>
      </w:pPr>
      <w:r w:rsidRPr="00AE75EF">
        <w:t>delivered training programs in adult literacy, community health and hygiene, and law and order</w:t>
      </w:r>
    </w:p>
    <w:p w:rsidR="00CE6D82" w:rsidRPr="00AE75EF" w:rsidRDefault="00CE6D82" w:rsidP="00523EDE">
      <w:pPr>
        <w:pStyle w:val="BodyText"/>
        <w:numPr>
          <w:ilvl w:val="0"/>
          <w:numId w:val="21"/>
        </w:numPr>
        <w:spacing w:before="0"/>
        <w:ind w:left="714" w:hanging="357"/>
      </w:pPr>
      <w:r w:rsidRPr="00AE75EF">
        <w:t xml:space="preserve">supported the training of Ward Councillors in profiling their communities and constructing </w:t>
      </w:r>
      <w:r>
        <w:t xml:space="preserve">participatory </w:t>
      </w:r>
      <w:r w:rsidRPr="00AE75EF">
        <w:t xml:space="preserve">ward development </w:t>
      </w:r>
      <w:r>
        <w:t>plans</w:t>
      </w:r>
      <w:r w:rsidRPr="00AE75EF">
        <w:t xml:space="preserve"> which will feed into </w:t>
      </w:r>
      <w:r w:rsidR="00157C54">
        <w:t>l</w:t>
      </w:r>
      <w:r>
        <w:t xml:space="preserve">ocal </w:t>
      </w:r>
      <w:r w:rsidR="00157C54">
        <w:t>l</w:t>
      </w:r>
      <w:r>
        <w:t xml:space="preserve">evel </w:t>
      </w:r>
      <w:r w:rsidR="00157C54">
        <w:t>g</w:t>
      </w:r>
      <w:r>
        <w:t>overnment</w:t>
      </w:r>
      <w:r w:rsidRPr="00AE75EF">
        <w:t xml:space="preserve"> and </w:t>
      </w:r>
      <w:r w:rsidR="00157C54">
        <w:t>d</w:t>
      </w:r>
      <w:r w:rsidRPr="00AE75EF">
        <w:t xml:space="preserve">istrict </w:t>
      </w:r>
      <w:r w:rsidR="00157C54">
        <w:t>p</w:t>
      </w:r>
      <w:r w:rsidRPr="00AE75EF">
        <w:t xml:space="preserve">lanning with the intention for funding to flow from </w:t>
      </w:r>
      <w:proofErr w:type="spellStart"/>
      <w:r w:rsidRPr="00AE75EF">
        <w:t>GoPNG</w:t>
      </w:r>
      <w:proofErr w:type="spellEnd"/>
      <w:r w:rsidRPr="00AE75EF">
        <w:t xml:space="preserve"> budget allocations in 2012</w:t>
      </w:r>
    </w:p>
    <w:p w:rsidR="00CE6D82" w:rsidRPr="00AE75EF" w:rsidRDefault="00CE6D82" w:rsidP="00523EDE">
      <w:pPr>
        <w:pStyle w:val="BodyText"/>
        <w:numPr>
          <w:ilvl w:val="0"/>
          <w:numId w:val="21"/>
        </w:numPr>
        <w:spacing w:before="0"/>
        <w:ind w:left="714" w:hanging="357"/>
      </w:pPr>
      <w:r w:rsidRPr="00AE75EF">
        <w:t>trained village birth attendants to support women during and after pregnancy</w:t>
      </w:r>
    </w:p>
    <w:p w:rsidR="00CE6D82" w:rsidRPr="00AE75EF" w:rsidRDefault="00CE6D82" w:rsidP="00523EDE">
      <w:pPr>
        <w:pStyle w:val="BodyText"/>
        <w:numPr>
          <w:ilvl w:val="0"/>
          <w:numId w:val="21"/>
        </w:numPr>
        <w:spacing w:before="0"/>
        <w:ind w:left="714" w:hanging="357"/>
      </w:pPr>
      <w:r w:rsidRPr="00AE75EF">
        <w:t>strengthened organisational capacity of local partners, such as ‘Touch the Untouchables’ organisation working on improving maternal and child health</w:t>
      </w:r>
    </w:p>
    <w:p w:rsidR="00CE6D82" w:rsidRPr="00AE75EF" w:rsidRDefault="00CE6D82" w:rsidP="00523EDE">
      <w:pPr>
        <w:pStyle w:val="BodyText"/>
        <w:numPr>
          <w:ilvl w:val="0"/>
          <w:numId w:val="21"/>
        </w:numPr>
        <w:spacing w:before="0"/>
        <w:ind w:left="714" w:hanging="357"/>
      </w:pPr>
      <w:r w:rsidRPr="00AE75EF">
        <w:t>established ongoing distribution of a f</w:t>
      </w:r>
      <w:r w:rsidR="00844A3F">
        <w:t xml:space="preserve">ortnightly </w:t>
      </w:r>
      <w:proofErr w:type="spellStart"/>
      <w:r w:rsidR="00844A3F">
        <w:t>tok</w:t>
      </w:r>
      <w:proofErr w:type="spellEnd"/>
      <w:r w:rsidR="00844A3F">
        <w:t xml:space="preserve"> </w:t>
      </w:r>
      <w:proofErr w:type="spellStart"/>
      <w:r w:rsidR="00844A3F">
        <w:t>pisin</w:t>
      </w:r>
      <w:proofErr w:type="spellEnd"/>
      <w:r w:rsidR="00844A3F">
        <w:t xml:space="preserve"> newspaper </w:t>
      </w:r>
      <w:proofErr w:type="spellStart"/>
      <w:r w:rsidR="00844A3F" w:rsidRPr="000F4555">
        <w:rPr>
          <w:i/>
        </w:rPr>
        <w:t>Wantok</w:t>
      </w:r>
      <w:proofErr w:type="spellEnd"/>
      <w:r w:rsidRPr="00AE75EF">
        <w:t xml:space="preserve"> to increase people’s access to information.</w:t>
      </w:r>
    </w:p>
    <w:p w:rsidR="00CE6D82" w:rsidRPr="00AE75EF" w:rsidRDefault="00CE6D82" w:rsidP="00CE6D82">
      <w:pPr>
        <w:pStyle w:val="BodyText"/>
      </w:pPr>
      <w:r w:rsidRPr="00AE75EF">
        <w:t xml:space="preserve">Christian churches are an integral part of PNG life with established structures and networks, and moral and religious authority across cities, villages and remote </w:t>
      </w:r>
      <w:r>
        <w:t>parts of</w:t>
      </w:r>
      <w:r w:rsidRPr="00AE75EF">
        <w:t xml:space="preserve"> </w:t>
      </w:r>
      <w:r w:rsidR="00157C54">
        <w:t>the country</w:t>
      </w:r>
      <w:r w:rsidRPr="00AE75EF">
        <w:t>. The</w:t>
      </w:r>
      <w:r w:rsidR="00157C54">
        <w:t xml:space="preserve"> p</w:t>
      </w:r>
      <w:r w:rsidRPr="00AE75EF">
        <w:t>rogram leverages the experience and reach of churches to improve service provision, strengthen churches’ institutional capacity to deliver development outcomes and enhance the churches’ engagement in public sector governance. Mentoring and technical support to churches is provided through Australian faith-based</w:t>
      </w:r>
      <w:r w:rsidR="006035A4">
        <w:t xml:space="preserve"> non-government organisation</w:t>
      </w:r>
      <w:r w:rsidRPr="00AE75EF">
        <w:t xml:space="preserve"> partners. The 2010 </w:t>
      </w:r>
      <w:r w:rsidR="008C799F">
        <w:t xml:space="preserve">Office of Development Effectiveness </w:t>
      </w:r>
      <w:r w:rsidR="000F4555">
        <w:t>c</w:t>
      </w:r>
      <w:r w:rsidR="000F4555" w:rsidRPr="00AE75EF">
        <w:t xml:space="preserve">ase </w:t>
      </w:r>
      <w:r w:rsidR="000F4555">
        <w:t>s</w:t>
      </w:r>
      <w:r w:rsidR="000F4555" w:rsidRPr="00AE75EF">
        <w:t xml:space="preserve">tudy </w:t>
      </w:r>
      <w:r w:rsidR="000F4555">
        <w:t>r</w:t>
      </w:r>
      <w:r w:rsidR="000F4555" w:rsidRPr="00AE75EF">
        <w:t xml:space="preserve">eport </w:t>
      </w:r>
      <w:r w:rsidRPr="00AE75EF">
        <w:t>concluded</w:t>
      </w:r>
      <w:r w:rsidR="00157C54">
        <w:t xml:space="preserve"> that</w:t>
      </w:r>
      <w:r w:rsidRPr="00AE75EF">
        <w:t xml:space="preserve"> </w:t>
      </w:r>
      <w:r w:rsidR="00C633C6">
        <w:t xml:space="preserve">Church Partnership Program </w:t>
      </w:r>
      <w:r w:rsidRPr="00AE75EF">
        <w:t>is contributing to the quality and coverage of essential services d</w:t>
      </w:r>
      <w:r>
        <w:t>elivered by churches</w:t>
      </w:r>
      <w:r w:rsidR="00844A3F">
        <w:t xml:space="preserve">. </w:t>
      </w:r>
      <w:r w:rsidR="00523EDE">
        <w:t xml:space="preserve">The case study found the program </w:t>
      </w:r>
      <w:r w:rsidR="00DB72A4">
        <w:t>was</w:t>
      </w:r>
      <w:r w:rsidRPr="00AE75EF">
        <w:t xml:space="preserve"> effective </w:t>
      </w:r>
      <w:r w:rsidR="00DB72A4">
        <w:t>and facilitated</w:t>
      </w:r>
      <w:r w:rsidRPr="00AE75EF">
        <w:t xml:space="preserve"> partnerships between and within participating churches. In doing so it has improved the management capacity of those churches, leading to development outcomes such as improved health </w:t>
      </w:r>
      <w:r w:rsidRPr="00AE75EF">
        <w:lastRenderedPageBreak/>
        <w:t>facilities, increased HIV/AIDS awareness, resolution of community conflicts, effective emergency response and improved r</w:t>
      </w:r>
      <w:r>
        <w:t xml:space="preserve">ural livelihoods. For example, </w:t>
      </w:r>
      <w:r w:rsidR="00CE70B7">
        <w:t>the case study</w:t>
      </w:r>
      <w:r w:rsidRPr="00AE75EF">
        <w:t xml:space="preserve"> found that: </w:t>
      </w:r>
    </w:p>
    <w:p w:rsidR="00CE6D82" w:rsidRPr="00AE75EF" w:rsidRDefault="00CE70B7" w:rsidP="00DB72A4">
      <w:pPr>
        <w:pStyle w:val="BodyText"/>
        <w:numPr>
          <w:ilvl w:val="0"/>
          <w:numId w:val="21"/>
        </w:numPr>
        <w:spacing w:before="0"/>
        <w:ind w:left="714" w:hanging="357"/>
      </w:pPr>
      <w:r>
        <w:t xml:space="preserve">the program </w:t>
      </w:r>
      <w:r w:rsidR="00CE6D82" w:rsidRPr="00AE75EF">
        <w:t>is contributing to income generation and skills development in communities</w:t>
      </w:r>
    </w:p>
    <w:p w:rsidR="00CE6D82" w:rsidRPr="00AE75EF" w:rsidRDefault="00CE70B7" w:rsidP="00DB72A4">
      <w:pPr>
        <w:pStyle w:val="BodyText"/>
        <w:numPr>
          <w:ilvl w:val="0"/>
          <w:numId w:val="21"/>
        </w:numPr>
        <w:spacing w:before="0"/>
        <w:ind w:left="714" w:hanging="357"/>
      </w:pPr>
      <w:r>
        <w:t>program</w:t>
      </w:r>
      <w:r w:rsidR="00CE6D82" w:rsidRPr="00AE75EF">
        <w:t xml:space="preserve"> funds are, in some disadvantaged areas, being used to provide the only health and education services available to people </w:t>
      </w:r>
    </w:p>
    <w:p w:rsidR="00CE6D82" w:rsidRPr="00AE75EF" w:rsidRDefault="00CE6D82" w:rsidP="00DB72A4">
      <w:pPr>
        <w:pStyle w:val="BodyText"/>
        <w:numPr>
          <w:ilvl w:val="0"/>
          <w:numId w:val="21"/>
        </w:numPr>
        <w:spacing w:before="0"/>
        <w:ind w:left="714" w:hanging="357"/>
      </w:pPr>
      <w:r w:rsidRPr="00AE75EF">
        <w:t>churches are collaborating more, which is creating communities of practice for development</w:t>
      </w:r>
      <w:r w:rsidR="00157C54">
        <w:t xml:space="preserve"> and</w:t>
      </w:r>
      <w:r w:rsidRPr="00AE75EF">
        <w:t xml:space="preserve"> leading to more PNG churches using best practice development</w:t>
      </w:r>
    </w:p>
    <w:p w:rsidR="00CE6D82" w:rsidRPr="00AE75EF" w:rsidRDefault="00CE6D82" w:rsidP="00DB72A4">
      <w:pPr>
        <w:pStyle w:val="BodyText"/>
        <w:numPr>
          <w:ilvl w:val="0"/>
          <w:numId w:val="21"/>
        </w:numPr>
        <w:spacing w:before="0"/>
        <w:ind w:left="714" w:hanging="357"/>
      </w:pPr>
      <w:r w:rsidRPr="00AE75EF">
        <w:t>c</w:t>
      </w:r>
      <w:r>
        <w:t xml:space="preserve">hurches </w:t>
      </w:r>
      <w:r w:rsidR="00157C54">
        <w:t xml:space="preserve">are </w:t>
      </w:r>
      <w:r>
        <w:t>working together</w:t>
      </w:r>
      <w:r w:rsidR="00157C54">
        <w:t>, which</w:t>
      </w:r>
      <w:r>
        <w:t xml:space="preserve"> has le</w:t>
      </w:r>
      <w:r w:rsidRPr="00AE75EF">
        <w:t xml:space="preserve">d to more strategic approaches </w:t>
      </w:r>
      <w:r>
        <w:t>in</w:t>
      </w:r>
      <w:r w:rsidRPr="00AE75EF">
        <w:t xml:space="preserve"> the delivery of health and education services to communities. </w:t>
      </w:r>
    </w:p>
    <w:p w:rsidR="00DB72A4" w:rsidRPr="00564F61" w:rsidRDefault="00CE6D82" w:rsidP="00564F61">
      <w:pPr>
        <w:pStyle w:val="Heading3"/>
      </w:pPr>
      <w:bookmarkStart w:id="37" w:name="_Toc361584124"/>
      <w:r w:rsidRPr="00564F61">
        <w:t xml:space="preserve">Media for Development </w:t>
      </w:r>
      <w:r w:rsidR="00157C54" w:rsidRPr="00564F61">
        <w:t>initiative</w:t>
      </w:r>
      <w:bookmarkEnd w:id="37"/>
    </w:p>
    <w:p w:rsidR="00CE6D82" w:rsidRPr="00AE75EF" w:rsidRDefault="00CE6D82" w:rsidP="00CE6D82">
      <w:pPr>
        <w:pStyle w:val="BodyText"/>
      </w:pPr>
      <w:r w:rsidRPr="00AE75EF">
        <w:t xml:space="preserve">A strong and functioning media serves as a voice for civil society, informing the public, building demand for better governance and contributing to accountability. </w:t>
      </w:r>
      <w:r w:rsidR="00157C54">
        <w:t xml:space="preserve">The </w:t>
      </w:r>
      <w:r w:rsidR="00DB72A4" w:rsidRPr="000F4555">
        <w:t>Media for Development</w:t>
      </w:r>
      <w:r w:rsidRPr="00AE75EF">
        <w:t xml:space="preserve"> </w:t>
      </w:r>
      <w:r w:rsidR="00157C54">
        <w:t xml:space="preserve">initiative </w:t>
      </w:r>
      <w:r w:rsidRPr="00AE75EF">
        <w:t xml:space="preserve">managed a significant infrastructure program to develop PNG’s first satellite distribution system to </w:t>
      </w:r>
      <w:r w:rsidR="00DB72A4">
        <w:t>enhance</w:t>
      </w:r>
      <w:r w:rsidRPr="00AE75EF">
        <w:t xml:space="preserve"> broadcasting to remote</w:t>
      </w:r>
      <w:r w:rsidR="00DB72A4">
        <w:t xml:space="preserve">, </w:t>
      </w:r>
      <w:r w:rsidRPr="00AE75EF">
        <w:t xml:space="preserve">rural communities. </w:t>
      </w:r>
    </w:p>
    <w:p w:rsidR="00CE6D82" w:rsidRPr="00AE75EF" w:rsidRDefault="00CE6D82" w:rsidP="00CE6D82">
      <w:pPr>
        <w:pStyle w:val="BodyText"/>
      </w:pPr>
      <w:r>
        <w:t>The February 2010 i</w:t>
      </w:r>
      <w:r w:rsidRPr="00AE75EF">
        <w:t xml:space="preserve">ndependent </w:t>
      </w:r>
      <w:r>
        <w:t>e</w:t>
      </w:r>
      <w:r w:rsidRPr="00AE75EF">
        <w:t xml:space="preserve">valuation of </w:t>
      </w:r>
      <w:r w:rsidR="00C633C6">
        <w:t xml:space="preserve">the Media for Development Initiative Phase 2 </w:t>
      </w:r>
      <w:r w:rsidRPr="00AE75EF">
        <w:t xml:space="preserve"> found considerable positive change has occurred in </w:t>
      </w:r>
      <w:r w:rsidR="00157C54">
        <w:t xml:space="preserve">the </w:t>
      </w:r>
      <w:r w:rsidR="00C633C6">
        <w:t>National Broadcasting Commission</w:t>
      </w:r>
      <w:r w:rsidRPr="00AE75EF">
        <w:t>’s broadcasting voice, reach and content</w:t>
      </w:r>
      <w:r w:rsidR="00844A3F">
        <w:t xml:space="preserve">. </w:t>
      </w:r>
      <w:r w:rsidRPr="00AE75EF">
        <w:t xml:space="preserve">Rural people can now </w:t>
      </w:r>
      <w:r w:rsidR="00DB72A4">
        <w:t xml:space="preserve">express their views on air, </w:t>
      </w:r>
      <w:r w:rsidRPr="00AE75EF">
        <w:t>programming is providing informative programs on development issues and talkback radio is encouraging two</w:t>
      </w:r>
      <w:r w:rsidR="00157C54">
        <w:t>-</w:t>
      </w:r>
      <w:r w:rsidRPr="00AE75EF">
        <w:t xml:space="preserve">way interaction between broadcaster and audience. As a result of better </w:t>
      </w:r>
      <w:r w:rsidR="008C799F" w:rsidRPr="008C799F">
        <w:t xml:space="preserve">National Broadcasting Commission </w:t>
      </w:r>
      <w:r w:rsidRPr="00AE75EF">
        <w:t>program delivery, people in remote rural areas had greater access to information which has the potential to enhance citizen</w:t>
      </w:r>
      <w:r>
        <w:t xml:space="preserve"> participation in governance. A</w:t>
      </w:r>
      <w:r w:rsidR="006035A4">
        <w:t> </w:t>
      </w:r>
      <w:r w:rsidRPr="00AE75EF">
        <w:t xml:space="preserve"> 2009 </w:t>
      </w:r>
      <w:r w:rsidR="00C633C6">
        <w:t>a</w:t>
      </w:r>
      <w:r w:rsidRPr="00AE75EF">
        <w:t xml:space="preserve">udience </w:t>
      </w:r>
      <w:r w:rsidR="00C633C6">
        <w:t>s</w:t>
      </w:r>
      <w:r w:rsidRPr="00AE75EF">
        <w:t xml:space="preserve">urvey noted that signal quality and consistency is improving, the new infrastructure creates better sound quality and improvements have been made to </w:t>
      </w:r>
      <w:r w:rsidR="006035A4">
        <w:br/>
      </w:r>
      <w:r w:rsidRPr="00AE75EF">
        <w:t>presentation quality.</w:t>
      </w:r>
    </w:p>
    <w:p w:rsidR="00CE6D82" w:rsidRPr="00564F61" w:rsidRDefault="00CE6D82" w:rsidP="00564F61">
      <w:pPr>
        <w:pStyle w:val="Heading3"/>
      </w:pPr>
      <w:bookmarkStart w:id="38" w:name="_Toc361584125"/>
      <w:r w:rsidRPr="00564F61">
        <w:t>Electoral Support Program</w:t>
      </w:r>
      <w:bookmarkEnd w:id="38"/>
    </w:p>
    <w:p w:rsidR="00CE6D82" w:rsidRPr="00AE75EF" w:rsidRDefault="00CE6D82" w:rsidP="00CE6D82">
      <w:pPr>
        <w:pStyle w:val="BodyText"/>
      </w:pPr>
      <w:r w:rsidRPr="00AE75EF">
        <w:t>An independent evaluation in February 2010 of the Electoral Support Program</w:t>
      </w:r>
      <w:r w:rsidR="00385614">
        <w:t xml:space="preserve"> funded by Australia</w:t>
      </w:r>
      <w:r w:rsidRPr="00AE75EF">
        <w:t xml:space="preserve"> found </w:t>
      </w:r>
      <w:r w:rsidR="00157C54">
        <w:t xml:space="preserve">it </w:t>
      </w:r>
      <w:r w:rsidRPr="00AE75EF">
        <w:t>has:</w:t>
      </w:r>
    </w:p>
    <w:p w:rsidR="00CE6D82" w:rsidRPr="00AE75EF" w:rsidRDefault="00CE6D82" w:rsidP="000F4555">
      <w:pPr>
        <w:pStyle w:val="BodyText"/>
        <w:numPr>
          <w:ilvl w:val="0"/>
          <w:numId w:val="21"/>
        </w:numPr>
        <w:spacing w:before="0"/>
        <w:ind w:left="714" w:hanging="357"/>
      </w:pPr>
      <w:r w:rsidRPr="00AE75EF">
        <w:t>made a significant contribution t</w:t>
      </w:r>
      <w:r w:rsidR="002B2530">
        <w:t>o supporting improved awareness</w:t>
      </w:r>
      <w:r w:rsidRPr="00AE75EF">
        <w:t xml:space="preserve"> and understanding of voters and the community of the electoral system</w:t>
      </w:r>
    </w:p>
    <w:p w:rsidR="00CE6D82" w:rsidRPr="00AE75EF" w:rsidRDefault="00CE6D82" w:rsidP="000F4555">
      <w:pPr>
        <w:pStyle w:val="BodyText"/>
        <w:numPr>
          <w:ilvl w:val="0"/>
          <w:numId w:val="21"/>
        </w:numPr>
        <w:spacing w:before="0"/>
        <w:ind w:left="714" w:hanging="357"/>
      </w:pPr>
      <w:r w:rsidRPr="00AE75EF">
        <w:t xml:space="preserve">achieved tangible results, in particular organisational capacity, transparency, human resource management and </w:t>
      </w:r>
      <w:r>
        <w:t xml:space="preserve">the </w:t>
      </w:r>
      <w:r w:rsidRPr="00AE75EF">
        <w:t xml:space="preserve">confidence of the </w:t>
      </w:r>
      <w:r>
        <w:t>PNG Electoral Commission</w:t>
      </w:r>
      <w:r w:rsidRPr="00AE75EF">
        <w:t xml:space="preserve"> in relation to its central election responsibilities, but also its wider relationship </w:t>
      </w:r>
      <w:r w:rsidR="006035A4">
        <w:br/>
      </w:r>
      <w:r w:rsidRPr="00AE75EF">
        <w:t xml:space="preserve">with society </w:t>
      </w:r>
    </w:p>
    <w:p w:rsidR="00CE6D82" w:rsidRPr="00AE75EF" w:rsidRDefault="00CE6D82" w:rsidP="000F4555">
      <w:pPr>
        <w:pStyle w:val="BodyText"/>
        <w:numPr>
          <w:ilvl w:val="0"/>
          <w:numId w:val="21"/>
        </w:numPr>
        <w:spacing w:before="0"/>
        <w:ind w:left="714" w:hanging="357"/>
      </w:pPr>
      <w:r w:rsidRPr="00AE75EF">
        <w:t xml:space="preserve">led to the </w:t>
      </w:r>
      <w:r w:rsidR="00157C54">
        <w:t>Electoral Commission</w:t>
      </w:r>
      <w:r w:rsidR="00157C54" w:rsidRPr="00AE75EF">
        <w:t xml:space="preserve"> </w:t>
      </w:r>
      <w:r w:rsidRPr="00AE75EF">
        <w:t>having an improved capacity to plan, train, meet logistic demands and deliver a well</w:t>
      </w:r>
      <w:r w:rsidR="00157C54">
        <w:t>-</w:t>
      </w:r>
      <w:r w:rsidRPr="00AE75EF">
        <w:t>prepared election service to voters</w:t>
      </w:r>
      <w:r w:rsidR="00C633C6">
        <w:t>.</w:t>
      </w:r>
    </w:p>
    <w:p w:rsidR="00CE6D82" w:rsidRPr="00AE75EF" w:rsidRDefault="00157C54" w:rsidP="00CE6D82">
      <w:pPr>
        <w:pStyle w:val="BodyText"/>
      </w:pPr>
      <w:r>
        <w:t>Electoral Commission</w:t>
      </w:r>
      <w:r w:rsidRPr="00AE75EF">
        <w:t xml:space="preserve"> </w:t>
      </w:r>
      <w:r w:rsidR="00CE6D82" w:rsidRPr="00AE75EF">
        <w:t>leaders are showing real signs of professionalism and independence which mark</w:t>
      </w:r>
      <w:r>
        <w:t>s</w:t>
      </w:r>
      <w:r w:rsidR="00CE6D82" w:rsidRPr="00AE75EF">
        <w:t xml:space="preserve"> a credible election body</w:t>
      </w:r>
      <w:r>
        <w:t>. T</w:t>
      </w:r>
      <w:r w:rsidR="00CE6D82" w:rsidRPr="00AE75EF">
        <w:t>he Commission has adopt</w:t>
      </w:r>
      <w:r w:rsidR="00CE6D82">
        <w:t>ed</w:t>
      </w:r>
      <w:r w:rsidR="00CE6D82" w:rsidRPr="00AE75EF">
        <w:t xml:space="preserve"> increased openness to, and involvement with, civil society organisations.</w:t>
      </w:r>
    </w:p>
    <w:p w:rsidR="00564F61" w:rsidRDefault="00564F61" w:rsidP="0048616B">
      <w:pPr>
        <w:pStyle w:val="Heading2"/>
      </w:pPr>
      <w:bookmarkStart w:id="39" w:name="_Toc295144874"/>
      <w:bookmarkStart w:id="40" w:name="_Toc296695417"/>
      <w:bookmarkStart w:id="41" w:name="_Toc361584126"/>
      <w:r w:rsidRPr="00B521F2">
        <w:lastRenderedPageBreak/>
        <w:t xml:space="preserve">Objective </w:t>
      </w:r>
      <w:r>
        <w:t>10:</w:t>
      </w:r>
      <w:r w:rsidRPr="00B521F2">
        <w:t xml:space="preserve"> </w:t>
      </w:r>
      <w:r w:rsidRPr="00647358">
        <w:t>Sustainable and secure improvements in food supply and incomes for smallholders</w:t>
      </w:r>
      <w:bookmarkEnd w:id="39"/>
      <w:bookmarkEnd w:id="40"/>
      <w:bookmarkEnd w:id="41"/>
    </w:p>
    <w:p w:rsidR="00CE6D82" w:rsidRPr="00B71DFE" w:rsidRDefault="00CE6D82" w:rsidP="00CE6D82">
      <w:pPr>
        <w:pStyle w:val="BodyText"/>
      </w:pPr>
      <w:r w:rsidRPr="00B71DFE">
        <w:t>The focus of Australia’s agricultural program in PNG is support for institutional strengthening and targeted research through key research and commodity organisations to improve these organisations’ service delivery functions</w:t>
      </w:r>
      <w:r w:rsidR="00844A3F">
        <w:t xml:space="preserve">. </w:t>
      </w:r>
    </w:p>
    <w:p w:rsidR="00CE6D82" w:rsidRPr="00B71DFE" w:rsidRDefault="00CE6D82" w:rsidP="00CE6D82">
      <w:pPr>
        <w:pStyle w:val="BodyText"/>
        <w:rPr>
          <w:lang w:val="en-US"/>
        </w:rPr>
      </w:pPr>
      <w:r w:rsidRPr="00B71DFE">
        <w:t xml:space="preserve">One of the key initiatives providing support in the sector is the </w:t>
      </w:r>
      <w:r w:rsidR="00CE70B7">
        <w:t>Agricultural Research and Development Support Facility</w:t>
      </w:r>
      <w:r w:rsidR="00844A3F">
        <w:t xml:space="preserve">. </w:t>
      </w:r>
      <w:r w:rsidRPr="00B71DFE">
        <w:rPr>
          <w:lang w:val="en-US"/>
        </w:rPr>
        <w:t>Th</w:t>
      </w:r>
      <w:r w:rsidR="00157C54">
        <w:rPr>
          <w:lang w:val="en-US"/>
        </w:rPr>
        <w:t>is key</w:t>
      </w:r>
      <w:r w:rsidR="00CE70B7">
        <w:rPr>
          <w:lang w:val="en-US"/>
        </w:rPr>
        <w:t xml:space="preserve"> initiative</w:t>
      </w:r>
      <w:r w:rsidRPr="00B71DFE">
        <w:rPr>
          <w:lang w:val="en-US"/>
        </w:rPr>
        <w:t xml:space="preserve"> is to enable selected national agricultural research and development </w:t>
      </w:r>
      <w:proofErr w:type="spellStart"/>
      <w:r w:rsidRPr="00B71DFE">
        <w:rPr>
          <w:lang w:val="en-US"/>
        </w:rPr>
        <w:t>organisations</w:t>
      </w:r>
      <w:proofErr w:type="spellEnd"/>
      <w:r w:rsidRPr="00B71DFE">
        <w:rPr>
          <w:lang w:val="en-US"/>
        </w:rPr>
        <w:t xml:space="preserve"> to deliver improved services to their rural stakeholders</w:t>
      </w:r>
      <w:r w:rsidR="00844A3F">
        <w:rPr>
          <w:lang w:val="en-US"/>
        </w:rPr>
        <w:t xml:space="preserve">. </w:t>
      </w:r>
      <w:r w:rsidRPr="00B71DFE">
        <w:t>The second key initiative is delivered through the Australian Centre for International Agricultural Research</w:t>
      </w:r>
      <w:r w:rsidR="00844A3F">
        <w:t xml:space="preserve">. </w:t>
      </w:r>
      <w:r w:rsidRPr="00B71DFE">
        <w:rPr>
          <w:lang w:val="en-US"/>
        </w:rPr>
        <w:t xml:space="preserve">The </w:t>
      </w:r>
      <w:r w:rsidR="006035A4">
        <w:rPr>
          <w:lang w:val="en-US"/>
        </w:rPr>
        <w:t>partnership</w:t>
      </w:r>
      <w:r w:rsidR="00157C54">
        <w:rPr>
          <w:lang w:val="en-US"/>
        </w:rPr>
        <w:t xml:space="preserve"> between the </w:t>
      </w:r>
      <w:proofErr w:type="spellStart"/>
      <w:r w:rsidR="00157C54">
        <w:rPr>
          <w:lang w:val="en-US"/>
        </w:rPr>
        <w:t>centre</w:t>
      </w:r>
      <w:proofErr w:type="spellEnd"/>
      <w:r w:rsidR="00157C54">
        <w:rPr>
          <w:lang w:val="en-US"/>
        </w:rPr>
        <w:t xml:space="preserve"> and </w:t>
      </w:r>
      <w:proofErr w:type="spellStart"/>
      <w:r w:rsidRPr="00B71DFE">
        <w:rPr>
          <w:lang w:val="en-US"/>
        </w:rPr>
        <w:t>AusAID</w:t>
      </w:r>
      <w:proofErr w:type="spellEnd"/>
      <w:r w:rsidRPr="00B71DFE">
        <w:rPr>
          <w:lang w:val="en-US"/>
        </w:rPr>
        <w:t xml:space="preserve"> </w:t>
      </w:r>
      <w:r w:rsidR="00F348C8">
        <w:rPr>
          <w:lang w:val="en-US"/>
        </w:rPr>
        <w:t xml:space="preserve">aims </w:t>
      </w:r>
      <w:r w:rsidRPr="00B71DFE">
        <w:rPr>
          <w:lang w:val="en-US"/>
        </w:rPr>
        <w:t>to secure improvements in food supply and rural incomes for smallholders through increased productivity and enhanced access to markets and services</w:t>
      </w:r>
      <w:r w:rsidR="00CE70B7">
        <w:rPr>
          <w:lang w:val="en-US"/>
        </w:rPr>
        <w:t>, focusing on</w:t>
      </w:r>
      <w:r w:rsidRPr="00B71DFE">
        <w:rPr>
          <w:lang w:val="en-US"/>
        </w:rPr>
        <w:t xml:space="preserve"> major industries such as sweet potato, vegetables, coffee, oil palm, cocoa, forestry</w:t>
      </w:r>
      <w:r w:rsidR="000F4555">
        <w:rPr>
          <w:lang w:val="en-US"/>
        </w:rPr>
        <w:t xml:space="preserve">, </w:t>
      </w:r>
      <w:r w:rsidRPr="00B71DFE">
        <w:rPr>
          <w:lang w:val="en-US"/>
        </w:rPr>
        <w:t>agroforestry and aquaculture.</w:t>
      </w:r>
    </w:p>
    <w:p w:rsidR="00CE6D82" w:rsidRPr="00B71DFE" w:rsidRDefault="00CE6D82" w:rsidP="00CE6D82">
      <w:pPr>
        <w:pStyle w:val="BodyText"/>
      </w:pPr>
      <w:r w:rsidRPr="00B71DFE">
        <w:t>Projects which h</w:t>
      </w:r>
      <w:r>
        <w:t>ave achieved key results</w:t>
      </w:r>
      <w:r w:rsidRPr="00B71DFE">
        <w:t>:</w:t>
      </w:r>
    </w:p>
    <w:p w:rsidR="00CE6D82" w:rsidRPr="00157C54" w:rsidRDefault="00CE6D82" w:rsidP="000F4555">
      <w:pPr>
        <w:pStyle w:val="BodyText"/>
        <w:numPr>
          <w:ilvl w:val="0"/>
          <w:numId w:val="19"/>
        </w:numPr>
      </w:pPr>
      <w:r w:rsidRPr="00B71DFE">
        <w:t xml:space="preserve">The pyrethrum project in </w:t>
      </w:r>
      <w:proofErr w:type="spellStart"/>
      <w:r w:rsidRPr="00B71DFE">
        <w:t>Enga</w:t>
      </w:r>
      <w:proofErr w:type="spellEnd"/>
      <w:r w:rsidRPr="00B71DFE">
        <w:t xml:space="preserve"> province </w:t>
      </w:r>
      <w:r w:rsidR="00CE70B7">
        <w:t>supported c</w:t>
      </w:r>
      <w:r w:rsidR="002B2530">
        <w:t>ooperatives to</w:t>
      </w:r>
      <w:r w:rsidR="00F348C8">
        <w:t xml:space="preserve"> improve</w:t>
      </w:r>
      <w:r w:rsidRPr="00B71DFE">
        <w:t xml:space="preserve"> production, marketing and transportation of the</w:t>
      </w:r>
      <w:r w:rsidR="00CE70B7">
        <w:t xml:space="preserve"> cash </w:t>
      </w:r>
      <w:r w:rsidRPr="00B71DFE">
        <w:t>crop to the processing plant</w:t>
      </w:r>
      <w:r w:rsidR="00844A3F">
        <w:t xml:space="preserve">. </w:t>
      </w:r>
      <w:r w:rsidRPr="00B71DFE">
        <w:t xml:space="preserve">During the 2009 season, the quantity of </w:t>
      </w:r>
      <w:r w:rsidR="00CE70B7">
        <w:t>production</w:t>
      </w:r>
      <w:r w:rsidRPr="00B71DFE">
        <w:t xml:space="preserve"> increased by 36 per</w:t>
      </w:r>
      <w:r w:rsidR="00157C54">
        <w:t xml:space="preserve"> </w:t>
      </w:r>
      <w:r w:rsidRPr="00B71DFE">
        <w:t>cent compared to 2008</w:t>
      </w:r>
      <w:r w:rsidR="00844A3F">
        <w:t xml:space="preserve">. </w:t>
      </w:r>
      <w:r w:rsidRPr="00B71DFE">
        <w:t>The</w:t>
      </w:r>
      <w:r>
        <w:t xml:space="preserve"> number of smallholder families</w:t>
      </w:r>
      <w:r w:rsidRPr="00B71DFE">
        <w:t xml:space="preserve"> gro</w:t>
      </w:r>
      <w:r w:rsidR="00340136">
        <w:t>wing pyrethrum increased from 2000 in 2009 to more than 7</w:t>
      </w:r>
      <w:r w:rsidRPr="00B71DFE">
        <w:t>000 in 2010.</w:t>
      </w:r>
    </w:p>
    <w:p w:rsidR="00CE6D82" w:rsidRPr="00157C54" w:rsidRDefault="00CE6D82" w:rsidP="000F4555">
      <w:pPr>
        <w:pStyle w:val="BodyText"/>
        <w:numPr>
          <w:ilvl w:val="0"/>
          <w:numId w:val="19"/>
        </w:numPr>
      </w:pPr>
      <w:r w:rsidRPr="00B71DFE">
        <w:t xml:space="preserve">The mobile market information service provides market information to </w:t>
      </w:r>
      <w:r w:rsidR="000C31B7">
        <w:t>more than</w:t>
      </w:r>
      <w:r w:rsidRPr="00B71DFE">
        <w:t xml:space="preserve"> 300 farmers about price, quality and supply of produce to eight urban markets</w:t>
      </w:r>
      <w:r w:rsidR="00844A3F">
        <w:t xml:space="preserve">. </w:t>
      </w:r>
      <w:r w:rsidRPr="00B71DFE">
        <w:t xml:space="preserve">Initial indications </w:t>
      </w:r>
      <w:r w:rsidR="002045EA">
        <w:t xml:space="preserve">show an </w:t>
      </w:r>
      <w:r w:rsidR="00340136">
        <w:t>increased</w:t>
      </w:r>
      <w:r w:rsidRPr="00B71DFE">
        <w:t xml:space="preserve"> volume of vegetable transactions</w:t>
      </w:r>
      <w:r w:rsidR="00844A3F">
        <w:t xml:space="preserve">. </w:t>
      </w:r>
      <w:r w:rsidRPr="00B71DFE">
        <w:t xml:space="preserve">For example in the Western Highlands, the South </w:t>
      </w:r>
      <w:proofErr w:type="spellStart"/>
      <w:r w:rsidRPr="00B71DFE">
        <w:t>Wagi</w:t>
      </w:r>
      <w:proofErr w:type="spellEnd"/>
      <w:r w:rsidRPr="00B71DFE">
        <w:t xml:space="preserve"> Organic Fresh Produce Women’s Organisation increase</w:t>
      </w:r>
      <w:r w:rsidR="00340136">
        <w:t>d</w:t>
      </w:r>
      <w:r w:rsidRPr="00B71DFE">
        <w:t xml:space="preserve"> supply to retailers</w:t>
      </w:r>
      <w:r w:rsidR="002045EA">
        <w:t xml:space="preserve"> by 100</w:t>
      </w:r>
      <w:r w:rsidR="00844A3F">
        <w:t xml:space="preserve"> per cent</w:t>
      </w:r>
      <w:r w:rsidRPr="00B71DFE">
        <w:t xml:space="preserve"> since the project started.</w:t>
      </w:r>
    </w:p>
    <w:p w:rsidR="00CE6D82" w:rsidRPr="00157C54" w:rsidRDefault="00CE6D82" w:rsidP="000F4555">
      <w:pPr>
        <w:pStyle w:val="BodyText"/>
        <w:numPr>
          <w:ilvl w:val="0"/>
          <w:numId w:val="19"/>
        </w:numPr>
      </w:pPr>
      <w:r w:rsidRPr="00B71DFE">
        <w:t xml:space="preserve">Village broiler </w:t>
      </w:r>
      <w:r w:rsidR="009F5FAB">
        <w:t>(chicken)</w:t>
      </w:r>
      <w:r w:rsidR="00340136">
        <w:t xml:space="preserve"> </w:t>
      </w:r>
      <w:r w:rsidRPr="00B71DFE">
        <w:t>feeding trials using local ingredients (sweet</w:t>
      </w:r>
      <w:r>
        <w:t xml:space="preserve"> </w:t>
      </w:r>
      <w:r w:rsidRPr="00B71DFE">
        <w:t>potato and cassava) to supplement concentrates</w:t>
      </w:r>
      <w:r w:rsidR="00CE70B7">
        <w:t>,</w:t>
      </w:r>
      <w:r w:rsidRPr="00B71DFE">
        <w:t xml:space="preserve"> reducing the cost of feeding</w:t>
      </w:r>
      <w:r w:rsidR="00844A3F">
        <w:t xml:space="preserve">. </w:t>
      </w:r>
      <w:r w:rsidR="00CE70B7">
        <w:t>Performance has been excellent, and i</w:t>
      </w:r>
      <w:r w:rsidRPr="00B71DFE">
        <w:t xml:space="preserve">nformation about the new technologies is being disseminated </w:t>
      </w:r>
      <w:r w:rsidR="00CE70B7">
        <w:t>to other communities</w:t>
      </w:r>
      <w:r w:rsidRPr="00B71DFE">
        <w:t>.</w:t>
      </w:r>
    </w:p>
    <w:p w:rsidR="00564F61" w:rsidRDefault="00564F61" w:rsidP="0048616B">
      <w:pPr>
        <w:pStyle w:val="Heading2"/>
      </w:pPr>
      <w:bookmarkStart w:id="42" w:name="_Toc295144875"/>
      <w:bookmarkStart w:id="43" w:name="_Toc296695418"/>
      <w:bookmarkStart w:id="44" w:name="_Toc361584127"/>
      <w:r w:rsidRPr="00B521F2">
        <w:t xml:space="preserve">Objective </w:t>
      </w:r>
      <w:r>
        <w:t>11:</w:t>
      </w:r>
      <w:r w:rsidRPr="00B521F2">
        <w:t xml:space="preserve"> </w:t>
      </w:r>
      <w:r w:rsidRPr="00DE27CF">
        <w:t>A conducive environment for enhanced private sector development</w:t>
      </w:r>
      <w:bookmarkEnd w:id="42"/>
      <w:bookmarkEnd w:id="43"/>
      <w:bookmarkEnd w:id="44"/>
    </w:p>
    <w:p w:rsidR="00CE70B7" w:rsidRDefault="00CE6D82" w:rsidP="00CE6D82">
      <w:pPr>
        <w:pStyle w:val="BodyText"/>
      </w:pPr>
      <w:proofErr w:type="spellStart"/>
      <w:r w:rsidRPr="00042284">
        <w:t>AusAID</w:t>
      </w:r>
      <w:proofErr w:type="spellEnd"/>
      <w:r w:rsidRPr="00042284">
        <w:t xml:space="preserve"> is supporting reform of the business regulatory environment, the state</w:t>
      </w:r>
      <w:r w:rsidR="00157C54">
        <w:t>-</w:t>
      </w:r>
      <w:r w:rsidRPr="00042284">
        <w:t xml:space="preserve">owned enterprise sector and the financial sector. Australia co-finances the </w:t>
      </w:r>
      <w:r w:rsidR="000C31B7">
        <w:t>ADB</w:t>
      </w:r>
      <w:r w:rsidR="00157C54">
        <w:t>’</w:t>
      </w:r>
      <w:r w:rsidR="000C31B7">
        <w:t>s</w:t>
      </w:r>
      <w:r w:rsidRPr="00042284">
        <w:t xml:space="preserve"> Private Sector Development Initiative</w:t>
      </w:r>
      <w:r w:rsidR="00CE70B7">
        <w:t>, whose</w:t>
      </w:r>
      <w:r w:rsidRPr="00042284">
        <w:t xml:space="preserve"> support to the Independent Consumer and Competition Commission was crucial in establishing the parameters for private sector entry into PNG’s mobile telecommunications sector. This support led to a major expansion in service and reduction in calling costs, which has contributed to the dramatic growth in mobile coverage. </w:t>
      </w:r>
    </w:p>
    <w:p w:rsidR="00CE6D82" w:rsidRPr="00042284" w:rsidRDefault="00CE6D82" w:rsidP="00CE6D82">
      <w:pPr>
        <w:pStyle w:val="BodyText"/>
      </w:pPr>
      <w:r w:rsidRPr="00042284">
        <w:t xml:space="preserve">Improving people’s access to financial services supports enterprise development, increases economic activity and ultimately helps reduce poverty. </w:t>
      </w:r>
      <w:proofErr w:type="spellStart"/>
      <w:r w:rsidRPr="00042284">
        <w:t>AusAID</w:t>
      </w:r>
      <w:proofErr w:type="spellEnd"/>
      <w:r w:rsidRPr="00042284">
        <w:t xml:space="preserve"> assistance includes co-financing the ADB</w:t>
      </w:r>
      <w:r w:rsidR="00157C54">
        <w:t>’s</w:t>
      </w:r>
      <w:r w:rsidRPr="00042284">
        <w:t xml:space="preserve"> PNG Microfinance and Employment Project, which provides training and support to microfinance institutions. The project has reached around 140</w:t>
      </w:r>
      <w:r w:rsidR="00340136">
        <w:t> </w:t>
      </w:r>
      <w:r w:rsidRPr="00042284">
        <w:t>000 borrowers and 340</w:t>
      </w:r>
      <w:r w:rsidR="00340136">
        <w:t> </w:t>
      </w:r>
      <w:r w:rsidRPr="00042284">
        <w:t xml:space="preserve">000 savers. </w:t>
      </w:r>
      <w:proofErr w:type="spellStart"/>
      <w:r w:rsidRPr="00042284">
        <w:t>AusAID</w:t>
      </w:r>
      <w:proofErr w:type="spellEnd"/>
      <w:r w:rsidRPr="00042284">
        <w:t xml:space="preserve"> recogni</w:t>
      </w:r>
      <w:r w:rsidR="00157C54">
        <w:t>s</w:t>
      </w:r>
      <w:r w:rsidRPr="00042284">
        <w:t>es that economic growth is essential for reducing poverty and reali</w:t>
      </w:r>
      <w:r w:rsidR="00157C54">
        <w:t>s</w:t>
      </w:r>
      <w:r w:rsidRPr="00042284">
        <w:t xml:space="preserve">ing </w:t>
      </w:r>
      <w:r w:rsidRPr="008C799F">
        <w:t>the M</w:t>
      </w:r>
      <w:r w:rsidR="008C799F" w:rsidRPr="008C799F">
        <w:t>DG</w:t>
      </w:r>
      <w:r w:rsidR="000F4555">
        <w:t>s</w:t>
      </w:r>
      <w:r w:rsidRPr="008C799F">
        <w:t>, and</w:t>
      </w:r>
      <w:r w:rsidRPr="00042284">
        <w:t xml:space="preserve"> that effective land administration and land management are key drivers of economic </w:t>
      </w:r>
      <w:r>
        <w:t>growth and social development. However, a</w:t>
      </w:r>
      <w:r w:rsidRPr="00042284">
        <w:t xml:space="preserve">ny intervention seeking to address customary land issues is sensitive and difficult. </w:t>
      </w:r>
    </w:p>
    <w:p w:rsidR="00CE6D82" w:rsidRPr="00042284" w:rsidRDefault="00CE6D82" w:rsidP="00CE6D82">
      <w:pPr>
        <w:pStyle w:val="BodyText"/>
      </w:pPr>
      <w:r w:rsidRPr="00042284">
        <w:lastRenderedPageBreak/>
        <w:t>The support provided since</w:t>
      </w:r>
      <w:r w:rsidR="00397157">
        <w:t xml:space="preserve"> 2005, though small</w:t>
      </w:r>
      <w:r w:rsidRPr="00042284">
        <w:t xml:space="preserve">, has contributed to helping </w:t>
      </w:r>
      <w:proofErr w:type="spellStart"/>
      <w:r w:rsidRPr="00042284">
        <w:t>GoPNG</w:t>
      </w:r>
      <w:proofErr w:type="spellEnd"/>
      <w:r w:rsidRPr="00042284">
        <w:t xml:space="preserve"> build a program for land reform</w:t>
      </w:r>
      <w:r w:rsidR="00844A3F">
        <w:t xml:space="preserve">. </w:t>
      </w:r>
      <w:r w:rsidRPr="00042284">
        <w:t>Developments include endors</w:t>
      </w:r>
      <w:r w:rsidR="00157C54">
        <w:t>ing</w:t>
      </w:r>
      <w:r w:rsidRPr="00042284">
        <w:t xml:space="preserve"> the </w:t>
      </w:r>
      <w:proofErr w:type="spellStart"/>
      <w:r w:rsidRPr="00042284">
        <w:t>GoPNG</w:t>
      </w:r>
      <w:proofErr w:type="spellEnd"/>
      <w:r w:rsidRPr="00042284">
        <w:t xml:space="preserve"> National Land Development Program, finalis</w:t>
      </w:r>
      <w:r w:rsidR="00157C54">
        <w:t>ing</w:t>
      </w:r>
      <w:r w:rsidRPr="00042284">
        <w:t xml:space="preserve"> a five</w:t>
      </w:r>
      <w:r w:rsidR="00157C54">
        <w:t>-</w:t>
      </w:r>
      <w:r w:rsidRPr="00042284">
        <w:t>year implementation plan, finalis</w:t>
      </w:r>
      <w:r w:rsidR="00157C54">
        <w:t>ing</w:t>
      </w:r>
      <w:r w:rsidRPr="00042284">
        <w:t xml:space="preserve"> a National Urbanisation Plan and establish</w:t>
      </w:r>
      <w:r w:rsidR="00157C54">
        <w:t>ing</w:t>
      </w:r>
      <w:r w:rsidRPr="00042284">
        <w:t xml:space="preserve"> the Land Courts Division to oversee and fast track all land dispute cases.</w:t>
      </w:r>
    </w:p>
    <w:p w:rsidR="00CE6D82" w:rsidRPr="00042284" w:rsidRDefault="00CE6D82" w:rsidP="00CE6D82">
      <w:pPr>
        <w:pStyle w:val="BodyText"/>
      </w:pPr>
      <w:r w:rsidRPr="00042284">
        <w:t xml:space="preserve">Australia’s support to PNG on land issues will not continue in 2011, in line with </w:t>
      </w:r>
      <w:r>
        <w:t>the recommendations of the</w:t>
      </w:r>
      <w:r w:rsidR="000F4555">
        <w:t xml:space="preserve"> joint Australia-PNG</w:t>
      </w:r>
      <w:r>
        <w:t xml:space="preserve"> Development Cooperation Treaty Review</w:t>
      </w:r>
      <w:r w:rsidR="00844A3F">
        <w:t xml:space="preserve">. </w:t>
      </w:r>
    </w:p>
    <w:p w:rsidR="00564F61" w:rsidRDefault="00564F61" w:rsidP="0048616B">
      <w:pPr>
        <w:pStyle w:val="Heading2"/>
      </w:pPr>
      <w:bookmarkStart w:id="45" w:name="_Toc295144876"/>
      <w:bookmarkStart w:id="46" w:name="_Toc296695419"/>
      <w:bookmarkStart w:id="47" w:name="_Toc361584128"/>
      <w:r w:rsidRPr="00B521F2">
        <w:t xml:space="preserve">Objective </w:t>
      </w:r>
      <w:r>
        <w:t>12:</w:t>
      </w:r>
      <w:r w:rsidRPr="00B521F2">
        <w:t xml:space="preserve"> </w:t>
      </w:r>
      <w:r w:rsidRPr="00647358">
        <w:t>Addressing the causes and mitigating the impacts of climate change</w:t>
      </w:r>
      <w:bookmarkEnd w:id="45"/>
      <w:bookmarkEnd w:id="46"/>
      <w:bookmarkEnd w:id="47"/>
    </w:p>
    <w:p w:rsidR="00CE6D82" w:rsidRPr="00DD6CDF" w:rsidRDefault="00CE6D82" w:rsidP="00F03C28">
      <w:pPr>
        <w:spacing w:before="80" w:after="80" w:line="280" w:lineRule="atLeast"/>
        <w:rPr>
          <w:rFonts w:ascii="Georgia" w:hAnsi="Georgia"/>
          <w:sz w:val="19"/>
          <w:szCs w:val="19"/>
        </w:rPr>
      </w:pPr>
      <w:r w:rsidRPr="00EA40ED">
        <w:rPr>
          <w:rFonts w:ascii="Georgia" w:hAnsi="Georgia"/>
          <w:sz w:val="19"/>
          <w:szCs w:val="19"/>
        </w:rPr>
        <w:t xml:space="preserve">Under the </w:t>
      </w:r>
      <w:r w:rsidR="00F03C28" w:rsidRPr="00F03C28">
        <w:rPr>
          <w:rFonts w:ascii="Georgia" w:hAnsi="Georgia"/>
          <w:sz w:val="19"/>
          <w:szCs w:val="19"/>
        </w:rPr>
        <w:t>International Forest Carbon Initiative</w:t>
      </w:r>
      <w:r w:rsidR="00F03C28">
        <w:rPr>
          <w:rFonts w:ascii="Georgia" w:hAnsi="Georgia"/>
          <w:sz w:val="19"/>
          <w:szCs w:val="19"/>
        </w:rPr>
        <w:t>,</w:t>
      </w:r>
      <w:r w:rsidRPr="00EA40ED">
        <w:rPr>
          <w:rFonts w:ascii="Georgia" w:hAnsi="Georgia"/>
          <w:sz w:val="19"/>
          <w:szCs w:val="19"/>
        </w:rPr>
        <w:t xml:space="preserve"> PN</w:t>
      </w:r>
      <w:r w:rsidR="000C31B7">
        <w:rPr>
          <w:rFonts w:ascii="Georgia" w:hAnsi="Georgia"/>
          <w:sz w:val="19"/>
          <w:szCs w:val="19"/>
        </w:rPr>
        <w:t>G</w:t>
      </w:r>
      <w:r w:rsidRPr="00EA40ED">
        <w:rPr>
          <w:rFonts w:ascii="Georgia" w:hAnsi="Georgia"/>
          <w:sz w:val="19"/>
          <w:szCs w:val="19"/>
        </w:rPr>
        <w:t xml:space="preserve"> and Australia announced a long</w:t>
      </w:r>
      <w:r w:rsidR="00157C54">
        <w:rPr>
          <w:rFonts w:ascii="Georgia" w:hAnsi="Georgia"/>
          <w:sz w:val="19"/>
          <w:szCs w:val="19"/>
        </w:rPr>
        <w:t>-</w:t>
      </w:r>
      <w:r w:rsidRPr="00EA40ED">
        <w:rPr>
          <w:rFonts w:ascii="Georgia" w:hAnsi="Georgia"/>
          <w:sz w:val="19"/>
          <w:szCs w:val="19"/>
        </w:rPr>
        <w:t>term partnership to</w:t>
      </w:r>
      <w:r w:rsidR="009F5FAB">
        <w:rPr>
          <w:rFonts w:ascii="Georgia" w:hAnsi="Georgia"/>
          <w:sz w:val="19"/>
          <w:szCs w:val="19"/>
        </w:rPr>
        <w:t xml:space="preserve"> the </w:t>
      </w:r>
      <w:r w:rsidR="00F03C28">
        <w:rPr>
          <w:rFonts w:ascii="Georgia" w:hAnsi="Georgia"/>
          <w:sz w:val="19"/>
          <w:szCs w:val="19"/>
        </w:rPr>
        <w:t xml:space="preserve">United Nations Collaborative Programme on </w:t>
      </w:r>
      <w:r w:rsidR="006E61D8">
        <w:rPr>
          <w:rFonts w:ascii="Georgia" w:hAnsi="Georgia"/>
          <w:sz w:val="19"/>
          <w:szCs w:val="19"/>
        </w:rPr>
        <w:t>Reducing</w:t>
      </w:r>
      <w:r w:rsidR="00F03C28">
        <w:rPr>
          <w:rFonts w:ascii="Georgia" w:hAnsi="Georgia"/>
          <w:sz w:val="19"/>
          <w:szCs w:val="19"/>
        </w:rPr>
        <w:t xml:space="preserve"> </w:t>
      </w:r>
      <w:r w:rsidR="006E61D8">
        <w:rPr>
          <w:rFonts w:ascii="Georgia" w:hAnsi="Georgia"/>
          <w:sz w:val="19"/>
          <w:szCs w:val="19"/>
        </w:rPr>
        <w:t>Emissions</w:t>
      </w:r>
      <w:r w:rsidR="00F03C28">
        <w:rPr>
          <w:rFonts w:ascii="Georgia" w:hAnsi="Georgia"/>
          <w:sz w:val="19"/>
          <w:szCs w:val="19"/>
        </w:rPr>
        <w:t xml:space="preserve"> from Deforestation and Forest Degradation in Developing Countries </w:t>
      </w:r>
      <w:r w:rsidR="006E61D8">
        <w:rPr>
          <w:rFonts w:ascii="Georgia" w:hAnsi="Georgia"/>
          <w:sz w:val="19"/>
          <w:szCs w:val="19"/>
        </w:rPr>
        <w:t>(</w:t>
      </w:r>
      <w:r w:rsidRPr="008C799F">
        <w:rPr>
          <w:rFonts w:ascii="Georgia" w:hAnsi="Georgia"/>
          <w:sz w:val="19"/>
          <w:szCs w:val="19"/>
        </w:rPr>
        <w:t>REDD</w:t>
      </w:r>
      <w:r w:rsidR="006E61D8">
        <w:rPr>
          <w:rFonts w:ascii="Georgia" w:hAnsi="Georgia"/>
          <w:sz w:val="19"/>
          <w:szCs w:val="19"/>
        </w:rPr>
        <w:t>)</w:t>
      </w:r>
      <w:r>
        <w:rPr>
          <w:rFonts w:ascii="Georgia" w:hAnsi="Georgia"/>
          <w:sz w:val="19"/>
          <w:szCs w:val="19"/>
        </w:rPr>
        <w:t xml:space="preserve"> in </w:t>
      </w:r>
      <w:r w:rsidRPr="00DD6CDF">
        <w:rPr>
          <w:rFonts w:ascii="Georgia" w:hAnsi="Georgia"/>
          <w:sz w:val="19"/>
          <w:szCs w:val="19"/>
        </w:rPr>
        <w:t>March 2008</w:t>
      </w:r>
      <w:r w:rsidR="00844A3F">
        <w:rPr>
          <w:rFonts w:ascii="Georgia" w:hAnsi="Georgia"/>
          <w:sz w:val="19"/>
          <w:szCs w:val="19"/>
        </w:rPr>
        <w:t xml:space="preserve">. </w:t>
      </w:r>
      <w:r w:rsidRPr="00DD6CDF">
        <w:rPr>
          <w:rFonts w:ascii="Georgia" w:hAnsi="Georgia"/>
          <w:sz w:val="19"/>
          <w:szCs w:val="19"/>
        </w:rPr>
        <w:t>The PNG</w:t>
      </w:r>
      <w:r w:rsidR="000351D9">
        <w:rPr>
          <w:rFonts w:ascii="Georgia" w:hAnsi="Georgia"/>
          <w:sz w:val="19"/>
          <w:szCs w:val="19"/>
        </w:rPr>
        <w:t>-</w:t>
      </w:r>
      <w:r w:rsidRPr="00DD6CDF">
        <w:rPr>
          <w:rFonts w:ascii="Georgia" w:hAnsi="Georgia"/>
          <w:sz w:val="19"/>
          <w:szCs w:val="19"/>
        </w:rPr>
        <w:t>Australia Forest Carbo</w:t>
      </w:r>
      <w:r w:rsidR="00397157">
        <w:rPr>
          <w:rFonts w:ascii="Georgia" w:hAnsi="Georgia"/>
          <w:sz w:val="19"/>
          <w:szCs w:val="19"/>
        </w:rPr>
        <w:t>n Partnership is supporting PNG i</w:t>
      </w:r>
      <w:r w:rsidRPr="00DD6CDF">
        <w:rPr>
          <w:rFonts w:ascii="Georgia" w:hAnsi="Georgia"/>
          <w:sz w:val="19"/>
          <w:szCs w:val="19"/>
        </w:rPr>
        <w:t xml:space="preserve">n strategic policy </w:t>
      </w:r>
      <w:r w:rsidR="00157C54">
        <w:rPr>
          <w:rFonts w:ascii="Georgia" w:hAnsi="Georgia"/>
          <w:sz w:val="19"/>
          <w:szCs w:val="19"/>
        </w:rPr>
        <w:t>discussions</w:t>
      </w:r>
      <w:r w:rsidR="00157C54" w:rsidRPr="00DD6CDF">
        <w:rPr>
          <w:rFonts w:ascii="Georgia" w:hAnsi="Georgia"/>
          <w:sz w:val="19"/>
          <w:szCs w:val="19"/>
        </w:rPr>
        <w:t xml:space="preserve"> </w:t>
      </w:r>
      <w:r w:rsidRPr="00DD6CDF">
        <w:rPr>
          <w:rFonts w:ascii="Georgia" w:hAnsi="Georgia"/>
          <w:sz w:val="19"/>
          <w:szCs w:val="19"/>
        </w:rPr>
        <w:t xml:space="preserve">on </w:t>
      </w:r>
      <w:r w:rsidR="00397157">
        <w:rPr>
          <w:rFonts w:ascii="Georgia" w:hAnsi="Georgia"/>
          <w:sz w:val="19"/>
          <w:szCs w:val="19"/>
        </w:rPr>
        <w:t xml:space="preserve">REDD, to </w:t>
      </w:r>
      <w:r w:rsidRPr="00DD6CDF">
        <w:rPr>
          <w:rFonts w:ascii="Georgia" w:hAnsi="Georgia"/>
          <w:sz w:val="19"/>
          <w:szCs w:val="19"/>
        </w:rPr>
        <w:t>develop its own national carbon accounting system and</w:t>
      </w:r>
      <w:r w:rsidR="00397157">
        <w:rPr>
          <w:rFonts w:ascii="Georgia" w:hAnsi="Georgia"/>
          <w:sz w:val="19"/>
          <w:szCs w:val="19"/>
        </w:rPr>
        <w:t xml:space="preserve"> to d</w:t>
      </w:r>
      <w:r w:rsidRPr="00DD6CDF">
        <w:rPr>
          <w:rFonts w:ascii="Georgia" w:hAnsi="Georgia"/>
          <w:sz w:val="19"/>
          <w:szCs w:val="19"/>
        </w:rPr>
        <w:t>evelop incentive-base</w:t>
      </w:r>
      <w:r w:rsidR="00397157">
        <w:rPr>
          <w:rFonts w:ascii="Georgia" w:hAnsi="Georgia"/>
          <w:sz w:val="19"/>
          <w:szCs w:val="19"/>
        </w:rPr>
        <w:t>d</w:t>
      </w:r>
      <w:r w:rsidRPr="00DD6CDF">
        <w:rPr>
          <w:rFonts w:ascii="Georgia" w:hAnsi="Georgia"/>
          <w:sz w:val="19"/>
          <w:szCs w:val="19"/>
        </w:rPr>
        <w:t xml:space="preserve"> REDD activities.</w:t>
      </w:r>
      <w:r w:rsidR="00F03C28" w:rsidRPr="00F03C28">
        <w:t xml:space="preserve"> </w:t>
      </w:r>
    </w:p>
    <w:p w:rsidR="00CE6D82" w:rsidRPr="00DD6CDF" w:rsidRDefault="00157C54" w:rsidP="00CE6D82">
      <w:pPr>
        <w:spacing w:before="80" w:after="80" w:line="280" w:lineRule="atLeast"/>
        <w:rPr>
          <w:rFonts w:ascii="Georgia" w:hAnsi="Georgia"/>
          <w:sz w:val="19"/>
          <w:szCs w:val="19"/>
        </w:rPr>
      </w:pPr>
      <w:r>
        <w:rPr>
          <w:rFonts w:ascii="Georgia" w:hAnsi="Georgia"/>
          <w:sz w:val="19"/>
          <w:szCs w:val="19"/>
        </w:rPr>
        <w:t>T</w:t>
      </w:r>
      <w:r w:rsidR="00CE6D82" w:rsidRPr="00DD6CDF">
        <w:rPr>
          <w:rFonts w:ascii="Georgia" w:hAnsi="Georgia"/>
          <w:sz w:val="19"/>
          <w:szCs w:val="19"/>
        </w:rPr>
        <w:t xml:space="preserve">his has not translated into tangible </w:t>
      </w:r>
      <w:r w:rsidR="00CE6D82">
        <w:rPr>
          <w:rFonts w:ascii="Georgia" w:hAnsi="Georgia"/>
          <w:sz w:val="19"/>
          <w:szCs w:val="19"/>
        </w:rPr>
        <w:t>results</w:t>
      </w:r>
      <w:r>
        <w:rPr>
          <w:rFonts w:ascii="Georgia" w:hAnsi="Georgia"/>
          <w:sz w:val="19"/>
          <w:szCs w:val="19"/>
        </w:rPr>
        <w:t>, with</w:t>
      </w:r>
      <w:r w:rsidR="00CE6D82">
        <w:rPr>
          <w:rFonts w:ascii="Georgia" w:hAnsi="Georgia"/>
          <w:sz w:val="19"/>
          <w:szCs w:val="19"/>
        </w:rPr>
        <w:t xml:space="preserve"> projects </w:t>
      </w:r>
      <w:r w:rsidR="00CE6D82" w:rsidRPr="00DD6CDF">
        <w:rPr>
          <w:rFonts w:ascii="Georgia" w:hAnsi="Georgia"/>
          <w:sz w:val="19"/>
          <w:szCs w:val="19"/>
        </w:rPr>
        <w:t>still in development or draft</w:t>
      </w:r>
      <w:r w:rsidR="00844A3F">
        <w:rPr>
          <w:rFonts w:ascii="Georgia" w:hAnsi="Georgia"/>
          <w:sz w:val="19"/>
          <w:szCs w:val="19"/>
        </w:rPr>
        <w:t xml:space="preserve">. </w:t>
      </w:r>
      <w:r w:rsidR="00CE6D82" w:rsidRPr="00DD6CDF">
        <w:rPr>
          <w:rFonts w:ascii="Georgia" w:hAnsi="Georgia"/>
          <w:sz w:val="19"/>
          <w:szCs w:val="19"/>
        </w:rPr>
        <w:t>Suppo</w:t>
      </w:r>
      <w:r w:rsidR="00CE6D82">
        <w:rPr>
          <w:rFonts w:ascii="Georgia" w:hAnsi="Georgia"/>
          <w:sz w:val="19"/>
          <w:szCs w:val="19"/>
        </w:rPr>
        <w:t xml:space="preserve">rt provided through </w:t>
      </w:r>
      <w:r>
        <w:rPr>
          <w:rFonts w:ascii="Georgia" w:hAnsi="Georgia"/>
          <w:sz w:val="19"/>
          <w:szCs w:val="19"/>
        </w:rPr>
        <w:t xml:space="preserve">the </w:t>
      </w:r>
      <w:r w:rsidR="008C799F" w:rsidRPr="008C799F">
        <w:rPr>
          <w:rFonts w:ascii="Georgia" w:hAnsi="Georgia"/>
          <w:sz w:val="19"/>
          <w:szCs w:val="19"/>
        </w:rPr>
        <w:t xml:space="preserve">International Forest Carbon Initiative </w:t>
      </w:r>
      <w:r w:rsidR="00CE6D82">
        <w:rPr>
          <w:rFonts w:ascii="Georgia" w:hAnsi="Georgia"/>
          <w:sz w:val="19"/>
          <w:szCs w:val="19"/>
        </w:rPr>
        <w:t xml:space="preserve">to </w:t>
      </w:r>
      <w:r w:rsidR="006035A4">
        <w:rPr>
          <w:rFonts w:ascii="Georgia" w:hAnsi="Georgia"/>
          <w:sz w:val="19"/>
          <w:szCs w:val="19"/>
        </w:rPr>
        <w:t>non-government organisations</w:t>
      </w:r>
      <w:r w:rsidR="00CE6D82" w:rsidRPr="00DD6CDF">
        <w:rPr>
          <w:rFonts w:ascii="Georgia" w:hAnsi="Georgia"/>
          <w:sz w:val="19"/>
          <w:szCs w:val="19"/>
        </w:rPr>
        <w:t xml:space="preserve"> in PNG has produced valuable analytical work</w:t>
      </w:r>
      <w:r>
        <w:rPr>
          <w:rFonts w:ascii="Georgia" w:hAnsi="Georgia"/>
          <w:sz w:val="19"/>
          <w:szCs w:val="19"/>
        </w:rPr>
        <w:t>. This work</w:t>
      </w:r>
      <w:r w:rsidR="00CE6D82" w:rsidRPr="00DD6CDF">
        <w:rPr>
          <w:rFonts w:ascii="Georgia" w:hAnsi="Georgia"/>
          <w:sz w:val="19"/>
          <w:szCs w:val="19"/>
        </w:rPr>
        <w:t xml:space="preserve"> has directly contributed to </w:t>
      </w:r>
      <w:proofErr w:type="spellStart"/>
      <w:r w:rsidR="00CE6D82" w:rsidRPr="00DD6CDF">
        <w:rPr>
          <w:rFonts w:ascii="Georgia" w:hAnsi="Georgia"/>
          <w:sz w:val="19"/>
          <w:szCs w:val="19"/>
        </w:rPr>
        <w:t>GoPNG</w:t>
      </w:r>
      <w:proofErr w:type="spellEnd"/>
      <w:r w:rsidR="00CE6D82" w:rsidRPr="00DD6CDF">
        <w:rPr>
          <w:rFonts w:ascii="Georgia" w:hAnsi="Georgia"/>
          <w:sz w:val="19"/>
          <w:szCs w:val="19"/>
        </w:rPr>
        <w:t xml:space="preserve"> understanding of REDD issues and development of PNG’s REDD program</w:t>
      </w:r>
      <w:r w:rsidR="00844A3F">
        <w:rPr>
          <w:rFonts w:ascii="Georgia" w:hAnsi="Georgia"/>
          <w:sz w:val="19"/>
          <w:szCs w:val="19"/>
        </w:rPr>
        <w:t xml:space="preserve">. </w:t>
      </w:r>
      <w:r w:rsidR="00CE6D82" w:rsidRPr="00DD6CDF">
        <w:rPr>
          <w:rFonts w:ascii="Georgia" w:hAnsi="Georgia"/>
          <w:sz w:val="19"/>
          <w:szCs w:val="19"/>
        </w:rPr>
        <w:t xml:space="preserve">Despite consistent positive messages from within </w:t>
      </w:r>
      <w:proofErr w:type="spellStart"/>
      <w:r w:rsidR="00CE6D82" w:rsidRPr="00DD6CDF">
        <w:rPr>
          <w:rFonts w:ascii="Georgia" w:hAnsi="Georgia"/>
          <w:sz w:val="19"/>
          <w:szCs w:val="19"/>
        </w:rPr>
        <w:t>GoPNG</w:t>
      </w:r>
      <w:proofErr w:type="spellEnd"/>
      <w:r w:rsidR="00CE6D82" w:rsidRPr="00DD6CDF">
        <w:rPr>
          <w:rFonts w:ascii="Georgia" w:hAnsi="Georgia"/>
          <w:sz w:val="19"/>
          <w:szCs w:val="19"/>
        </w:rPr>
        <w:t xml:space="preserve"> </w:t>
      </w:r>
      <w:r>
        <w:rPr>
          <w:rFonts w:ascii="Georgia" w:hAnsi="Georgia"/>
          <w:sz w:val="19"/>
          <w:szCs w:val="19"/>
        </w:rPr>
        <w:t>on</w:t>
      </w:r>
      <w:r w:rsidRPr="00DD6CDF">
        <w:rPr>
          <w:rFonts w:ascii="Georgia" w:hAnsi="Georgia"/>
          <w:sz w:val="19"/>
          <w:szCs w:val="19"/>
        </w:rPr>
        <w:t xml:space="preserve"> </w:t>
      </w:r>
      <w:r w:rsidR="00CE6D82" w:rsidRPr="00DD6CDF">
        <w:rPr>
          <w:rFonts w:ascii="Georgia" w:hAnsi="Georgia"/>
          <w:sz w:val="19"/>
          <w:szCs w:val="19"/>
        </w:rPr>
        <w:t>offers of Australian support, progress on mobilising this initial assistance has been slow</w:t>
      </w:r>
      <w:r>
        <w:rPr>
          <w:rFonts w:ascii="Georgia" w:hAnsi="Georgia"/>
          <w:sz w:val="19"/>
          <w:szCs w:val="19"/>
        </w:rPr>
        <w:t>. I</w:t>
      </w:r>
      <w:r w:rsidR="00CE6D82" w:rsidRPr="00DD6CDF">
        <w:rPr>
          <w:rFonts w:ascii="Georgia" w:hAnsi="Georgia"/>
          <w:sz w:val="19"/>
          <w:szCs w:val="19"/>
        </w:rPr>
        <w:t>nroads have been made and relation</w:t>
      </w:r>
      <w:r w:rsidR="00CE6D82">
        <w:rPr>
          <w:rFonts w:ascii="Georgia" w:hAnsi="Georgia"/>
          <w:sz w:val="19"/>
          <w:szCs w:val="19"/>
        </w:rPr>
        <w:t xml:space="preserve">ships through </w:t>
      </w:r>
      <w:r>
        <w:rPr>
          <w:rFonts w:ascii="Georgia" w:hAnsi="Georgia"/>
          <w:sz w:val="19"/>
          <w:szCs w:val="19"/>
        </w:rPr>
        <w:t xml:space="preserve">Australian </w:t>
      </w:r>
      <w:r w:rsidR="00CE6D82">
        <w:rPr>
          <w:rFonts w:ascii="Georgia" w:hAnsi="Georgia"/>
          <w:sz w:val="19"/>
          <w:szCs w:val="19"/>
        </w:rPr>
        <w:t xml:space="preserve">engagement </w:t>
      </w:r>
      <w:r>
        <w:rPr>
          <w:rFonts w:ascii="Georgia" w:hAnsi="Georgia"/>
          <w:sz w:val="19"/>
          <w:szCs w:val="19"/>
        </w:rPr>
        <w:t>is</w:t>
      </w:r>
      <w:r w:rsidR="00CE6D82" w:rsidRPr="00DD6CDF">
        <w:rPr>
          <w:rFonts w:ascii="Georgia" w:hAnsi="Georgia"/>
          <w:sz w:val="19"/>
          <w:szCs w:val="19"/>
        </w:rPr>
        <w:t xml:space="preserve"> growing.</w:t>
      </w:r>
    </w:p>
    <w:p w:rsidR="00CE6D82" w:rsidRDefault="00CE6D82" w:rsidP="00CE6D82">
      <w:pPr>
        <w:spacing w:before="80" w:after="80" w:line="280" w:lineRule="atLeast"/>
        <w:rPr>
          <w:rFonts w:ascii="Georgia" w:hAnsi="Georgia"/>
          <w:sz w:val="19"/>
          <w:szCs w:val="19"/>
        </w:rPr>
      </w:pPr>
      <w:r w:rsidRPr="00DD6CDF">
        <w:rPr>
          <w:rFonts w:ascii="Georgia" w:hAnsi="Georgia"/>
          <w:sz w:val="19"/>
          <w:szCs w:val="19"/>
        </w:rPr>
        <w:t>To date</w:t>
      </w:r>
      <w:r>
        <w:rPr>
          <w:rFonts w:ascii="Georgia" w:hAnsi="Georgia"/>
          <w:sz w:val="19"/>
          <w:szCs w:val="19"/>
        </w:rPr>
        <w:t>,</w:t>
      </w:r>
      <w:r w:rsidRPr="00DD6CDF">
        <w:rPr>
          <w:rFonts w:ascii="Georgia" w:hAnsi="Georgia"/>
          <w:sz w:val="19"/>
          <w:szCs w:val="19"/>
        </w:rPr>
        <w:t xml:space="preserve"> Australia’s assistance has been effective in: increasing the capacity of</w:t>
      </w:r>
      <w:r w:rsidR="002045EA">
        <w:rPr>
          <w:rFonts w:ascii="Georgia" w:hAnsi="Georgia"/>
          <w:sz w:val="19"/>
          <w:szCs w:val="19"/>
        </w:rPr>
        <w:t xml:space="preserve"> </w:t>
      </w:r>
      <w:proofErr w:type="spellStart"/>
      <w:r w:rsidR="002045EA">
        <w:rPr>
          <w:rFonts w:ascii="Georgia" w:hAnsi="Georgia"/>
          <w:sz w:val="19"/>
          <w:szCs w:val="19"/>
        </w:rPr>
        <w:t>GoPNG</w:t>
      </w:r>
      <w:proofErr w:type="spellEnd"/>
      <w:r w:rsidR="002045EA">
        <w:rPr>
          <w:rFonts w:ascii="Georgia" w:hAnsi="Georgia"/>
          <w:sz w:val="19"/>
          <w:szCs w:val="19"/>
        </w:rPr>
        <w:t xml:space="preserve"> </w:t>
      </w:r>
      <w:r w:rsidRPr="00DD6CDF">
        <w:rPr>
          <w:rFonts w:ascii="Georgia" w:hAnsi="Georgia"/>
          <w:sz w:val="19"/>
          <w:szCs w:val="19"/>
        </w:rPr>
        <w:t xml:space="preserve">institutions to articulate and develop their REDD strategy; articulating requirements for a national carbon monitoring and accounting system; and engaging </w:t>
      </w:r>
      <w:r w:rsidR="00157C54">
        <w:rPr>
          <w:rFonts w:ascii="Georgia" w:hAnsi="Georgia"/>
          <w:sz w:val="19"/>
          <w:szCs w:val="19"/>
        </w:rPr>
        <w:t>in</w:t>
      </w:r>
      <w:r w:rsidR="00157C54" w:rsidRPr="00DD6CDF">
        <w:rPr>
          <w:rFonts w:ascii="Georgia" w:hAnsi="Georgia"/>
          <w:sz w:val="19"/>
          <w:szCs w:val="19"/>
        </w:rPr>
        <w:t xml:space="preserve"> </w:t>
      </w:r>
      <w:r w:rsidRPr="00DD6CDF">
        <w:rPr>
          <w:rFonts w:ascii="Georgia" w:hAnsi="Georgia"/>
          <w:sz w:val="19"/>
          <w:szCs w:val="19"/>
        </w:rPr>
        <w:t xml:space="preserve">international </w:t>
      </w:r>
      <w:r w:rsidR="00157C54">
        <w:rPr>
          <w:rFonts w:ascii="Georgia" w:hAnsi="Georgia"/>
          <w:sz w:val="19"/>
          <w:szCs w:val="19"/>
        </w:rPr>
        <w:t>discussions</w:t>
      </w:r>
      <w:r w:rsidR="00157C54" w:rsidRPr="00DD6CDF">
        <w:rPr>
          <w:rFonts w:ascii="Georgia" w:hAnsi="Georgia"/>
          <w:sz w:val="19"/>
          <w:szCs w:val="19"/>
        </w:rPr>
        <w:t xml:space="preserve"> </w:t>
      </w:r>
      <w:r w:rsidRPr="00DD6CDF">
        <w:rPr>
          <w:rFonts w:ascii="Georgia" w:hAnsi="Georgia"/>
          <w:sz w:val="19"/>
          <w:szCs w:val="19"/>
        </w:rPr>
        <w:t xml:space="preserve">on </w:t>
      </w:r>
      <w:r>
        <w:rPr>
          <w:rFonts w:ascii="Georgia" w:hAnsi="Georgia"/>
          <w:sz w:val="19"/>
          <w:szCs w:val="19"/>
        </w:rPr>
        <w:t>REDD.</w:t>
      </w:r>
    </w:p>
    <w:p w:rsidR="00A53380" w:rsidRDefault="00A53380" w:rsidP="0048616B">
      <w:pPr>
        <w:pStyle w:val="Heading2"/>
      </w:pPr>
      <w:bookmarkStart w:id="48" w:name="_Toc361584129"/>
      <w:r w:rsidRPr="00A6320C">
        <w:t>Expenditure</w:t>
      </w:r>
      <w:bookmarkEnd w:id="48"/>
      <w:r w:rsidR="00564F61" w:rsidRPr="00564F61">
        <w:t xml:space="preserve"> </w:t>
      </w:r>
    </w:p>
    <w:p w:rsidR="00A53380" w:rsidRPr="003E4C57" w:rsidRDefault="00A53380" w:rsidP="00A53380">
      <w:pPr>
        <w:pStyle w:val="Caption"/>
        <w:rPr>
          <w:highlight w:val="magenta"/>
        </w:rPr>
      </w:pPr>
      <w:r w:rsidRPr="00E271CD">
        <w:t xml:space="preserve">Table </w:t>
      </w:r>
      <w:r>
        <w:t>1</w:t>
      </w:r>
      <w:r w:rsidRPr="00E271CD">
        <w:t xml:space="preserve">: </w:t>
      </w:r>
      <w:r>
        <w:t>Estimated e</w:t>
      </w:r>
      <w:r w:rsidRPr="00E271CD">
        <w:t>xpenditure</w:t>
      </w:r>
      <w:r>
        <w:t xml:space="preserve"> in 2010</w:t>
      </w:r>
      <w:r w:rsidR="00157C54">
        <w:t>–</w:t>
      </w:r>
      <w:r>
        <w:t xml:space="preserve">11 as at </w:t>
      </w:r>
    </w:p>
    <w:tbl>
      <w:tblPr>
        <w:tblW w:w="7920" w:type="dxa"/>
        <w:tblInd w:w="57" w:type="dxa"/>
        <w:tblLayout w:type="fixed"/>
        <w:tblLook w:val="0000" w:firstRow="0" w:lastRow="0" w:firstColumn="0" w:lastColumn="0" w:noHBand="0" w:noVBand="0"/>
      </w:tblPr>
      <w:tblGrid>
        <w:gridCol w:w="4080"/>
        <w:gridCol w:w="1590"/>
        <w:gridCol w:w="1170"/>
        <w:gridCol w:w="1080"/>
      </w:tblGrid>
      <w:tr w:rsidR="00A53380" w:rsidRPr="003E4C57" w:rsidTr="0048616B">
        <w:trPr>
          <w:cantSplit/>
          <w:tblHeader/>
        </w:trPr>
        <w:tc>
          <w:tcPr>
            <w:tcW w:w="4080" w:type="dxa"/>
            <w:tcBorders>
              <w:top w:val="single" w:sz="12" w:space="0" w:color="auto"/>
              <w:bottom w:val="single" w:sz="2" w:space="0" w:color="auto"/>
            </w:tcBorders>
            <w:shd w:val="clear" w:color="auto" w:fill="auto"/>
            <w:tcMar>
              <w:left w:w="57" w:type="dxa"/>
              <w:right w:w="57" w:type="dxa"/>
            </w:tcMar>
          </w:tcPr>
          <w:p w:rsidR="00A53380" w:rsidRDefault="00A53380" w:rsidP="0082169D">
            <w:pPr>
              <w:pStyle w:val="TableDataColumnHeading"/>
              <w:jc w:val="left"/>
            </w:pPr>
          </w:p>
        </w:tc>
        <w:tc>
          <w:tcPr>
            <w:tcW w:w="1590" w:type="dxa"/>
            <w:tcBorders>
              <w:top w:val="single" w:sz="12" w:space="0" w:color="auto"/>
              <w:bottom w:val="single" w:sz="2" w:space="0" w:color="auto"/>
            </w:tcBorders>
            <w:tcMar>
              <w:left w:w="57" w:type="dxa"/>
              <w:right w:w="57" w:type="dxa"/>
            </w:tcMar>
          </w:tcPr>
          <w:p w:rsidR="00A53380" w:rsidRDefault="00A53380" w:rsidP="0082169D">
            <w:pPr>
              <w:pStyle w:val="TableDataColumnHeading"/>
            </w:pPr>
            <w:r>
              <w:t>Objective</w:t>
            </w:r>
          </w:p>
        </w:tc>
        <w:tc>
          <w:tcPr>
            <w:tcW w:w="1170" w:type="dxa"/>
            <w:tcBorders>
              <w:top w:val="single" w:sz="12" w:space="0" w:color="auto"/>
              <w:bottom w:val="single" w:sz="2" w:space="0" w:color="auto"/>
            </w:tcBorders>
            <w:shd w:val="clear" w:color="auto" w:fill="auto"/>
            <w:tcMar>
              <w:left w:w="57" w:type="dxa"/>
              <w:right w:w="57" w:type="dxa"/>
            </w:tcMar>
          </w:tcPr>
          <w:p w:rsidR="00A53380" w:rsidRDefault="00A53380" w:rsidP="0082169D">
            <w:pPr>
              <w:pStyle w:val="TableDataColumnHeading"/>
            </w:pPr>
            <w:r>
              <w:t>A$ million</w:t>
            </w:r>
          </w:p>
        </w:tc>
        <w:tc>
          <w:tcPr>
            <w:tcW w:w="1080" w:type="dxa"/>
            <w:tcBorders>
              <w:top w:val="single" w:sz="12" w:space="0" w:color="auto"/>
              <w:bottom w:val="single" w:sz="2" w:space="0" w:color="auto"/>
            </w:tcBorders>
            <w:shd w:val="clear" w:color="auto" w:fill="auto"/>
            <w:tcMar>
              <w:left w:w="57" w:type="dxa"/>
              <w:right w:w="57" w:type="dxa"/>
            </w:tcMar>
          </w:tcPr>
          <w:p w:rsidR="00A53380" w:rsidRDefault="00844A3F" w:rsidP="0082169D">
            <w:pPr>
              <w:pStyle w:val="TableDataColumnHeading"/>
            </w:pPr>
            <w:r>
              <w:t xml:space="preserve"> per cent</w:t>
            </w:r>
            <w:r w:rsidR="00A53380">
              <w:t xml:space="preserve"> of bilateral program</w:t>
            </w:r>
          </w:p>
        </w:tc>
      </w:tr>
      <w:tr w:rsidR="00A53380" w:rsidRPr="002452D0" w:rsidTr="0048616B">
        <w:trPr>
          <w:cantSplit/>
        </w:trPr>
        <w:tc>
          <w:tcPr>
            <w:tcW w:w="5670" w:type="dxa"/>
            <w:gridSpan w:val="2"/>
            <w:tcBorders>
              <w:top w:val="single" w:sz="4" w:space="0" w:color="auto"/>
              <w:bottom w:val="single" w:sz="4" w:space="0" w:color="auto"/>
            </w:tcBorders>
            <w:shd w:val="clear" w:color="auto" w:fill="auto"/>
            <w:tcMar>
              <w:left w:w="57" w:type="dxa"/>
              <w:right w:w="57" w:type="dxa"/>
            </w:tcMar>
          </w:tcPr>
          <w:p w:rsidR="00A53380" w:rsidRPr="00BF299F" w:rsidRDefault="00A53380" w:rsidP="00157C54">
            <w:pPr>
              <w:pStyle w:val="TableDataEntries"/>
              <w:jc w:val="left"/>
            </w:pPr>
            <w:r w:rsidRPr="00BF299F">
              <w:t xml:space="preserve">Key </w:t>
            </w:r>
            <w:r w:rsidR="00157C54">
              <w:t>n</w:t>
            </w:r>
            <w:r w:rsidRPr="00BF299F">
              <w:t xml:space="preserve">ational </w:t>
            </w:r>
            <w:r w:rsidR="00157C54">
              <w:t>r</w:t>
            </w:r>
            <w:r w:rsidRPr="00BF299F">
              <w:t xml:space="preserve">oads, </w:t>
            </w:r>
            <w:r w:rsidR="00157C54">
              <w:t>p</w:t>
            </w:r>
            <w:r w:rsidRPr="00BF299F">
              <w:t xml:space="preserve">orts and </w:t>
            </w:r>
            <w:r w:rsidR="00157C54">
              <w:t>a</w:t>
            </w:r>
            <w:r w:rsidRPr="00BF299F">
              <w:t>irports providing access to markets and services</w:t>
            </w:r>
          </w:p>
        </w:tc>
        <w:tc>
          <w:tcPr>
            <w:tcW w:w="117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58.6</w:t>
            </w:r>
          </w:p>
        </w:tc>
        <w:tc>
          <w:tcPr>
            <w:tcW w:w="108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15.5</w:t>
            </w:r>
          </w:p>
        </w:tc>
      </w:tr>
      <w:tr w:rsidR="00A53380" w:rsidRPr="002452D0" w:rsidTr="0048616B">
        <w:trPr>
          <w:cantSplit/>
        </w:trPr>
        <w:tc>
          <w:tcPr>
            <w:tcW w:w="5670" w:type="dxa"/>
            <w:gridSpan w:val="2"/>
            <w:tcBorders>
              <w:top w:val="single" w:sz="4" w:space="0" w:color="auto"/>
              <w:bottom w:val="single" w:sz="4" w:space="0" w:color="auto"/>
            </w:tcBorders>
            <w:shd w:val="clear" w:color="auto" w:fill="auto"/>
            <w:tcMar>
              <w:left w:w="57" w:type="dxa"/>
              <w:right w:w="57" w:type="dxa"/>
            </w:tcMar>
          </w:tcPr>
          <w:p w:rsidR="00A53380" w:rsidRPr="00BF299F" w:rsidRDefault="00A53380" w:rsidP="0082169D">
            <w:pPr>
              <w:pStyle w:val="TableDataEntries"/>
              <w:jc w:val="left"/>
            </w:pPr>
            <w:r w:rsidRPr="00BF299F">
              <w:t>Significant, measurable progress towards the achievement of universal basic education by 2015</w:t>
            </w:r>
          </w:p>
        </w:tc>
        <w:tc>
          <w:tcPr>
            <w:tcW w:w="117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40.6</w:t>
            </w:r>
          </w:p>
        </w:tc>
        <w:tc>
          <w:tcPr>
            <w:tcW w:w="108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10.8</w:t>
            </w:r>
          </w:p>
        </w:tc>
      </w:tr>
      <w:tr w:rsidR="00A53380" w:rsidRPr="002452D0" w:rsidTr="0048616B">
        <w:trPr>
          <w:cantSplit/>
        </w:trPr>
        <w:tc>
          <w:tcPr>
            <w:tcW w:w="5670" w:type="dxa"/>
            <w:gridSpan w:val="2"/>
            <w:tcBorders>
              <w:top w:val="single" w:sz="4" w:space="0" w:color="auto"/>
              <w:bottom w:val="single" w:sz="4" w:space="0" w:color="auto"/>
            </w:tcBorders>
            <w:shd w:val="clear" w:color="auto" w:fill="auto"/>
            <w:tcMar>
              <w:left w:w="57" w:type="dxa"/>
              <w:right w:w="57" w:type="dxa"/>
            </w:tcMar>
          </w:tcPr>
          <w:p w:rsidR="00A53380" w:rsidRPr="00BF299F" w:rsidRDefault="00A53380" w:rsidP="0082169D">
            <w:pPr>
              <w:pStyle w:val="TableDataEntries"/>
              <w:jc w:val="left"/>
            </w:pPr>
            <w:r w:rsidRPr="00BF299F">
              <w:t>Improved health outcomes</w:t>
            </w:r>
          </w:p>
        </w:tc>
        <w:tc>
          <w:tcPr>
            <w:tcW w:w="117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42.9</w:t>
            </w:r>
          </w:p>
        </w:tc>
        <w:tc>
          <w:tcPr>
            <w:tcW w:w="108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tabs>
                <w:tab w:val="center" w:pos="507"/>
                <w:tab w:val="right" w:pos="1014"/>
              </w:tabs>
              <w:jc w:val="left"/>
            </w:pPr>
            <w:r>
              <w:tab/>
              <w:t>11.4</w:t>
            </w:r>
          </w:p>
        </w:tc>
      </w:tr>
      <w:tr w:rsidR="00A53380" w:rsidRPr="002452D0" w:rsidTr="0048616B">
        <w:trPr>
          <w:cantSplit/>
        </w:trPr>
        <w:tc>
          <w:tcPr>
            <w:tcW w:w="5670" w:type="dxa"/>
            <w:gridSpan w:val="2"/>
            <w:tcBorders>
              <w:top w:val="single" w:sz="4" w:space="0" w:color="auto"/>
              <w:bottom w:val="single" w:sz="4" w:space="0" w:color="auto"/>
            </w:tcBorders>
            <w:shd w:val="clear" w:color="auto" w:fill="auto"/>
            <w:tcMar>
              <w:left w:w="57" w:type="dxa"/>
              <w:right w:w="57" w:type="dxa"/>
            </w:tcMar>
          </w:tcPr>
          <w:p w:rsidR="00A53380" w:rsidRPr="00BF299F" w:rsidRDefault="00A53380" w:rsidP="0082169D">
            <w:pPr>
              <w:pStyle w:val="TableDataEntries"/>
              <w:jc w:val="left"/>
            </w:pPr>
            <w:r w:rsidRPr="00BF299F">
              <w:t>An efficient and effective public service</w:t>
            </w:r>
          </w:p>
        </w:tc>
        <w:tc>
          <w:tcPr>
            <w:tcW w:w="117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69.7</w:t>
            </w:r>
          </w:p>
        </w:tc>
        <w:tc>
          <w:tcPr>
            <w:tcW w:w="108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18.5</w:t>
            </w:r>
          </w:p>
        </w:tc>
      </w:tr>
      <w:tr w:rsidR="00A53380" w:rsidRPr="002452D0" w:rsidTr="0048616B">
        <w:trPr>
          <w:cantSplit/>
        </w:trPr>
        <w:tc>
          <w:tcPr>
            <w:tcW w:w="5670" w:type="dxa"/>
            <w:gridSpan w:val="2"/>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left"/>
            </w:pPr>
            <w:r w:rsidRPr="00893FE0">
              <w:t>Development policy and program formulation based on sound statistics and performance reporting</w:t>
            </w:r>
          </w:p>
        </w:tc>
        <w:tc>
          <w:tcPr>
            <w:tcW w:w="117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1.2</w:t>
            </w:r>
          </w:p>
        </w:tc>
        <w:tc>
          <w:tcPr>
            <w:tcW w:w="108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0.3</w:t>
            </w:r>
          </w:p>
        </w:tc>
      </w:tr>
      <w:tr w:rsidR="00A53380" w:rsidRPr="002452D0" w:rsidTr="0048616B">
        <w:trPr>
          <w:cantSplit/>
        </w:trPr>
        <w:tc>
          <w:tcPr>
            <w:tcW w:w="5670" w:type="dxa"/>
            <w:gridSpan w:val="2"/>
            <w:tcBorders>
              <w:top w:val="single" w:sz="4" w:space="0" w:color="auto"/>
              <w:bottom w:val="single" w:sz="4" w:space="0" w:color="auto"/>
            </w:tcBorders>
            <w:shd w:val="clear" w:color="auto" w:fill="auto"/>
            <w:tcMar>
              <w:left w:w="57" w:type="dxa"/>
              <w:right w:w="57" w:type="dxa"/>
            </w:tcMar>
          </w:tcPr>
          <w:p w:rsidR="00157C54" w:rsidRDefault="00A53380" w:rsidP="000351D9">
            <w:pPr>
              <w:pStyle w:val="TableDataEntries"/>
              <w:numPr>
                <w:ilvl w:val="0"/>
                <w:numId w:val="23"/>
              </w:numPr>
              <w:jc w:val="left"/>
            </w:pPr>
            <w:r w:rsidRPr="00893FE0">
              <w:t>Stabilise spread of new HIV infections by 2020 and provide effective care and treatment of those infected</w:t>
            </w:r>
          </w:p>
          <w:p w:rsidR="00A53380" w:rsidRPr="002452D0" w:rsidRDefault="00A53380" w:rsidP="000351D9">
            <w:pPr>
              <w:pStyle w:val="TableDataEntries"/>
              <w:numPr>
                <w:ilvl w:val="0"/>
                <w:numId w:val="23"/>
              </w:numPr>
              <w:jc w:val="left"/>
            </w:pPr>
            <w:r w:rsidRPr="00893FE0">
              <w:t>Strengthened national capacity to lead, coordinate and implement the HIV response</w:t>
            </w:r>
          </w:p>
        </w:tc>
        <w:tc>
          <w:tcPr>
            <w:tcW w:w="117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33.7</w:t>
            </w:r>
          </w:p>
        </w:tc>
        <w:tc>
          <w:tcPr>
            <w:tcW w:w="108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8.9</w:t>
            </w:r>
          </w:p>
        </w:tc>
      </w:tr>
      <w:tr w:rsidR="00A53380" w:rsidRPr="002452D0" w:rsidTr="0048616B">
        <w:trPr>
          <w:cantSplit/>
        </w:trPr>
        <w:tc>
          <w:tcPr>
            <w:tcW w:w="5670" w:type="dxa"/>
            <w:gridSpan w:val="2"/>
            <w:tcBorders>
              <w:top w:val="single" w:sz="4" w:space="0" w:color="auto"/>
              <w:bottom w:val="single" w:sz="4" w:space="0" w:color="auto"/>
            </w:tcBorders>
            <w:shd w:val="clear" w:color="auto" w:fill="auto"/>
            <w:tcMar>
              <w:left w:w="57" w:type="dxa"/>
              <w:right w:w="57" w:type="dxa"/>
            </w:tcMar>
          </w:tcPr>
          <w:p w:rsidR="00A53380" w:rsidRPr="002452D0" w:rsidRDefault="00A53380" w:rsidP="00157C54">
            <w:pPr>
              <w:pStyle w:val="TableDataEntries"/>
              <w:jc w:val="left"/>
            </w:pPr>
            <w:r>
              <w:t xml:space="preserve">Improved ability to provide </w:t>
            </w:r>
            <w:r w:rsidR="00157C54">
              <w:t>l</w:t>
            </w:r>
            <w:r>
              <w:t xml:space="preserve">aw and </w:t>
            </w:r>
            <w:r w:rsidR="00157C54">
              <w:t>j</w:t>
            </w:r>
            <w:r>
              <w:t>ustice services</w:t>
            </w:r>
          </w:p>
        </w:tc>
        <w:tc>
          <w:tcPr>
            <w:tcW w:w="117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33.4</w:t>
            </w:r>
          </w:p>
        </w:tc>
        <w:tc>
          <w:tcPr>
            <w:tcW w:w="108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8.8</w:t>
            </w:r>
          </w:p>
        </w:tc>
      </w:tr>
      <w:tr w:rsidR="00A53380" w:rsidRPr="002452D0" w:rsidTr="0048616B">
        <w:trPr>
          <w:cantSplit/>
        </w:trPr>
        <w:tc>
          <w:tcPr>
            <w:tcW w:w="5670" w:type="dxa"/>
            <w:gridSpan w:val="2"/>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left"/>
            </w:pPr>
            <w:r w:rsidRPr="00647358">
              <w:lastRenderedPageBreak/>
              <w:t xml:space="preserve">Men and women, civil society, and the state working together </w:t>
            </w:r>
            <w:r>
              <w:t>to meet communities’ needs</w:t>
            </w:r>
          </w:p>
        </w:tc>
        <w:tc>
          <w:tcPr>
            <w:tcW w:w="117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26.9</w:t>
            </w:r>
          </w:p>
        </w:tc>
        <w:tc>
          <w:tcPr>
            <w:tcW w:w="1080" w:type="dxa"/>
            <w:tcBorders>
              <w:top w:val="single" w:sz="4" w:space="0" w:color="auto"/>
              <w:bottom w:val="single" w:sz="4" w:space="0" w:color="auto"/>
            </w:tcBorders>
            <w:shd w:val="clear" w:color="auto" w:fill="auto"/>
            <w:tcMar>
              <w:left w:w="57" w:type="dxa"/>
              <w:right w:w="57" w:type="dxa"/>
            </w:tcMar>
          </w:tcPr>
          <w:p w:rsidR="00A53380" w:rsidRPr="002452D0" w:rsidRDefault="00A53380" w:rsidP="0082169D">
            <w:pPr>
              <w:pStyle w:val="TableDataEntries"/>
              <w:jc w:val="center"/>
            </w:pPr>
            <w:r>
              <w:t>7.1</w:t>
            </w:r>
          </w:p>
        </w:tc>
      </w:tr>
      <w:tr w:rsidR="00A53380" w:rsidRPr="002452D0" w:rsidTr="0048616B">
        <w:trPr>
          <w:cantSplit/>
        </w:trPr>
        <w:tc>
          <w:tcPr>
            <w:tcW w:w="5670" w:type="dxa"/>
            <w:gridSpan w:val="2"/>
            <w:tcBorders>
              <w:top w:val="single" w:sz="4" w:space="0" w:color="auto"/>
              <w:bottom w:val="single" w:sz="12" w:space="0" w:color="auto"/>
            </w:tcBorders>
            <w:shd w:val="clear" w:color="auto" w:fill="auto"/>
            <w:tcMar>
              <w:left w:w="57" w:type="dxa"/>
              <w:right w:w="57" w:type="dxa"/>
            </w:tcMar>
          </w:tcPr>
          <w:p w:rsidR="00A53380" w:rsidRPr="002452D0" w:rsidRDefault="00A53380" w:rsidP="0082169D">
            <w:pPr>
              <w:pStyle w:val="TableDataEntries"/>
              <w:jc w:val="left"/>
            </w:pPr>
            <w:r w:rsidRPr="00647358">
              <w:t>Sustainable and secure improvements in food supply and incomes for smallholders</w:t>
            </w:r>
          </w:p>
        </w:tc>
        <w:tc>
          <w:tcPr>
            <w:tcW w:w="1170" w:type="dxa"/>
            <w:tcBorders>
              <w:top w:val="single" w:sz="4" w:space="0" w:color="auto"/>
              <w:bottom w:val="single" w:sz="12" w:space="0" w:color="auto"/>
            </w:tcBorders>
            <w:shd w:val="clear" w:color="auto" w:fill="auto"/>
            <w:tcMar>
              <w:left w:w="57" w:type="dxa"/>
              <w:right w:w="57" w:type="dxa"/>
            </w:tcMar>
          </w:tcPr>
          <w:p w:rsidR="00A53380" w:rsidRPr="002452D0" w:rsidRDefault="00A53380" w:rsidP="0082169D">
            <w:pPr>
              <w:pStyle w:val="TableDataEntries"/>
              <w:jc w:val="center"/>
            </w:pPr>
            <w:r>
              <w:t>11</w:t>
            </w:r>
          </w:p>
        </w:tc>
        <w:tc>
          <w:tcPr>
            <w:tcW w:w="1080" w:type="dxa"/>
            <w:tcBorders>
              <w:top w:val="single" w:sz="4" w:space="0" w:color="auto"/>
              <w:bottom w:val="single" w:sz="12" w:space="0" w:color="auto"/>
            </w:tcBorders>
            <w:shd w:val="clear" w:color="auto" w:fill="auto"/>
            <w:tcMar>
              <w:left w:w="57" w:type="dxa"/>
              <w:right w:w="57" w:type="dxa"/>
            </w:tcMar>
          </w:tcPr>
          <w:p w:rsidR="00A53380" w:rsidRPr="002452D0" w:rsidRDefault="00A53380" w:rsidP="0082169D">
            <w:pPr>
              <w:pStyle w:val="TableDataEntries"/>
              <w:jc w:val="center"/>
            </w:pPr>
            <w:r>
              <w:t>2.9</w:t>
            </w:r>
          </w:p>
        </w:tc>
      </w:tr>
    </w:tbl>
    <w:p w:rsidR="00210F50" w:rsidRPr="00564F61" w:rsidRDefault="009D3F08" w:rsidP="0048616B">
      <w:pPr>
        <w:pStyle w:val="Heading1"/>
        <w:spacing w:before="480"/>
      </w:pPr>
      <w:bookmarkStart w:id="49" w:name="_Toc361584130"/>
      <w:r w:rsidRPr="00564F61">
        <w:t xml:space="preserve">Next </w:t>
      </w:r>
      <w:r w:rsidR="00157C54" w:rsidRPr="00564F61">
        <w:t>s</w:t>
      </w:r>
      <w:r w:rsidRPr="00564F61">
        <w:t>teps</w:t>
      </w:r>
      <w:bookmarkEnd w:id="49"/>
    </w:p>
    <w:p w:rsidR="00D35AB3" w:rsidRPr="00F519AC" w:rsidRDefault="00D35AB3" w:rsidP="00D35AB3">
      <w:pPr>
        <w:pStyle w:val="BodyText"/>
      </w:pPr>
      <w:r w:rsidRPr="00F519AC">
        <w:t>The following five priorit</w:t>
      </w:r>
      <w:r>
        <w:t>ies will be implemented in 2011:</w:t>
      </w:r>
    </w:p>
    <w:p w:rsidR="00157C54" w:rsidRDefault="000F4555" w:rsidP="00564F61">
      <w:pPr>
        <w:pStyle w:val="BodyText"/>
        <w:numPr>
          <w:ilvl w:val="0"/>
          <w:numId w:val="25"/>
        </w:numPr>
      </w:pPr>
      <w:r>
        <w:rPr>
          <w:b/>
        </w:rPr>
        <w:t xml:space="preserve">Australia </w:t>
      </w:r>
      <w:r w:rsidR="00D35AB3" w:rsidRPr="0010530E">
        <w:rPr>
          <w:b/>
        </w:rPr>
        <w:t xml:space="preserve">will continue to </w:t>
      </w:r>
      <w:r w:rsidR="00F03C28">
        <w:rPr>
          <w:b/>
        </w:rPr>
        <w:t xml:space="preserve">strategically </w:t>
      </w:r>
      <w:r w:rsidR="00D35AB3" w:rsidRPr="0010530E">
        <w:rPr>
          <w:b/>
        </w:rPr>
        <w:t>reposition our aid program to PNG to focus on a few key areas, deliver better results and implement the program in a coherent manner.</w:t>
      </w:r>
      <w:r w:rsidR="00D35AB3" w:rsidRPr="00F519AC">
        <w:t xml:space="preserve"> </w:t>
      </w:r>
      <w:r w:rsidR="00D35AB3" w:rsidRPr="00A35842">
        <w:t>Responding to the Development Cooperation Treaty Report recommendations, the PNG program is repositioning itself to focus on improved service delivery in education and health, including HIV</w:t>
      </w:r>
      <w:r w:rsidR="00157C54">
        <w:t>/</w:t>
      </w:r>
      <w:r w:rsidR="00D35AB3" w:rsidRPr="00A35842">
        <w:t xml:space="preserve">AIDS. The program will engage selectively in the law and justice sector and maintain support for transport infrastructure. </w:t>
      </w:r>
      <w:r w:rsidR="00D35AB3">
        <w:t>I</w:t>
      </w:r>
      <w:r w:rsidR="00D35AB3" w:rsidRPr="00D46400">
        <w:t>nitiatives falling outside these sectors, such as support to land and aspects of agricultur</w:t>
      </w:r>
      <w:r w:rsidR="00D35AB3">
        <w:t>e, will be phased out or</w:t>
      </w:r>
      <w:r w:rsidR="00D35AB3" w:rsidRPr="00D46400">
        <w:t xml:space="preserve"> repositioned to contribute more directly to </w:t>
      </w:r>
      <w:r w:rsidR="00D35AB3">
        <w:t xml:space="preserve">improved outcomes in health and education </w:t>
      </w:r>
      <w:r w:rsidR="00D35AB3" w:rsidRPr="00D46400">
        <w:t xml:space="preserve">service delivery. </w:t>
      </w:r>
      <w:r w:rsidR="00D35AB3" w:rsidRPr="00A35842">
        <w:t>This will bring a new coherence</w:t>
      </w:r>
      <w:r w:rsidR="00D35AB3">
        <w:t xml:space="preserve"> to the program</w:t>
      </w:r>
      <w:r w:rsidR="00D35AB3" w:rsidRPr="00A35842">
        <w:t xml:space="preserve">, </w:t>
      </w:r>
      <w:r w:rsidR="00D35AB3">
        <w:t xml:space="preserve">enabling us to </w:t>
      </w:r>
      <w:r w:rsidR="00D35AB3" w:rsidRPr="00A35842">
        <w:t>monitor results in a few key sectors</w:t>
      </w:r>
      <w:r w:rsidR="00844A3F">
        <w:t xml:space="preserve">. </w:t>
      </w:r>
    </w:p>
    <w:p w:rsidR="00D35AB3" w:rsidRPr="00D46400" w:rsidRDefault="00D35AB3" w:rsidP="00564F61">
      <w:pPr>
        <w:pStyle w:val="BodyText"/>
        <w:keepNext/>
        <w:keepLines/>
        <w:numPr>
          <w:ilvl w:val="0"/>
          <w:numId w:val="25"/>
        </w:numPr>
      </w:pPr>
      <w:r w:rsidRPr="0010530E">
        <w:rPr>
          <w:b/>
        </w:rPr>
        <w:t>The program will manage the risks and impacts associated with the PNG national elections in 2012.</w:t>
      </w:r>
      <w:r>
        <w:t xml:space="preserve"> </w:t>
      </w:r>
      <w:r w:rsidRPr="00D46400">
        <w:t>A major challenge will be to continue to engage and deliver programs in the lead-up to the national election</w:t>
      </w:r>
      <w:r>
        <w:t>s</w:t>
      </w:r>
      <w:r w:rsidRPr="00D46400">
        <w:t xml:space="preserve">, predicted to be </w:t>
      </w:r>
      <w:r>
        <w:t xml:space="preserve">among </w:t>
      </w:r>
      <w:r w:rsidRPr="00D46400">
        <w:t>PNG’s most challenging. The program is analysing the risk</w:t>
      </w:r>
      <w:r>
        <w:t>s associated with the elections</w:t>
      </w:r>
      <w:r w:rsidRPr="00D46400">
        <w:t xml:space="preserve"> </w:t>
      </w:r>
      <w:r>
        <w:t>and is</w:t>
      </w:r>
      <w:r w:rsidRPr="00D46400">
        <w:t xml:space="preserve"> developing an integrated response to addressing these.</w:t>
      </w:r>
    </w:p>
    <w:p w:rsidR="00D35AB3" w:rsidRPr="00D46400" w:rsidRDefault="00D35AB3" w:rsidP="00564F61">
      <w:pPr>
        <w:pStyle w:val="BodyText"/>
        <w:numPr>
          <w:ilvl w:val="0"/>
          <w:numId w:val="25"/>
        </w:numPr>
      </w:pPr>
      <w:r w:rsidRPr="0010530E">
        <w:rPr>
          <w:b/>
        </w:rPr>
        <w:t xml:space="preserve">The enabling programs that include gender, the sub-national program, economic and public sector, </w:t>
      </w:r>
      <w:r w:rsidRPr="001326F9">
        <w:rPr>
          <w:b/>
        </w:rPr>
        <w:t xml:space="preserve">the </w:t>
      </w:r>
      <w:proofErr w:type="spellStart"/>
      <w:r w:rsidR="00FA4105" w:rsidRPr="000351D9">
        <w:rPr>
          <w:b/>
        </w:rPr>
        <w:t>Strongim</w:t>
      </w:r>
      <w:proofErr w:type="spellEnd"/>
      <w:r w:rsidR="00FA4105" w:rsidRPr="000351D9">
        <w:rPr>
          <w:b/>
        </w:rPr>
        <w:t xml:space="preserve"> </w:t>
      </w:r>
      <w:proofErr w:type="spellStart"/>
      <w:r w:rsidR="00FA4105" w:rsidRPr="000351D9">
        <w:rPr>
          <w:b/>
        </w:rPr>
        <w:t>Gavman</w:t>
      </w:r>
      <w:proofErr w:type="spellEnd"/>
      <w:r w:rsidR="00FA4105" w:rsidRPr="000351D9">
        <w:rPr>
          <w:b/>
        </w:rPr>
        <w:t xml:space="preserve"> Program</w:t>
      </w:r>
      <w:r>
        <w:rPr>
          <w:b/>
        </w:rPr>
        <w:t xml:space="preserve"> </w:t>
      </w:r>
      <w:r w:rsidRPr="0010530E">
        <w:rPr>
          <w:b/>
        </w:rPr>
        <w:t xml:space="preserve">and </w:t>
      </w:r>
      <w:proofErr w:type="spellStart"/>
      <w:r>
        <w:rPr>
          <w:b/>
        </w:rPr>
        <w:t>Strongim</w:t>
      </w:r>
      <w:proofErr w:type="spellEnd"/>
      <w:r>
        <w:rPr>
          <w:b/>
        </w:rPr>
        <w:t xml:space="preserve"> </w:t>
      </w:r>
      <w:proofErr w:type="spellStart"/>
      <w:r>
        <w:rPr>
          <w:b/>
        </w:rPr>
        <w:t>Pipol</w:t>
      </w:r>
      <w:proofErr w:type="spellEnd"/>
      <w:r>
        <w:rPr>
          <w:b/>
        </w:rPr>
        <w:t xml:space="preserve"> </w:t>
      </w:r>
      <w:proofErr w:type="spellStart"/>
      <w:r>
        <w:rPr>
          <w:b/>
        </w:rPr>
        <w:t>Strongim</w:t>
      </w:r>
      <w:proofErr w:type="spellEnd"/>
      <w:r>
        <w:rPr>
          <w:b/>
        </w:rPr>
        <w:t xml:space="preserve"> </w:t>
      </w:r>
      <w:proofErr w:type="spellStart"/>
      <w:r>
        <w:rPr>
          <w:b/>
        </w:rPr>
        <w:t>Nesen</w:t>
      </w:r>
      <w:proofErr w:type="spellEnd"/>
      <w:r>
        <w:rPr>
          <w:b/>
        </w:rPr>
        <w:t xml:space="preserve"> </w:t>
      </w:r>
      <w:r w:rsidRPr="0010530E">
        <w:rPr>
          <w:b/>
        </w:rPr>
        <w:t xml:space="preserve">will continue to improve their linkages to other </w:t>
      </w:r>
      <w:proofErr w:type="spellStart"/>
      <w:r w:rsidRPr="0010530E">
        <w:rPr>
          <w:b/>
        </w:rPr>
        <w:t>AusAID</w:t>
      </w:r>
      <w:proofErr w:type="spellEnd"/>
      <w:r w:rsidRPr="0010530E">
        <w:rPr>
          <w:b/>
        </w:rPr>
        <w:t xml:space="preserve"> sector programs.</w:t>
      </w:r>
      <w:r>
        <w:t xml:space="preserve"> </w:t>
      </w:r>
      <w:r w:rsidRPr="00D46400">
        <w:t>All en</w:t>
      </w:r>
      <w:bookmarkStart w:id="50" w:name="_GoBack"/>
      <w:bookmarkEnd w:id="50"/>
      <w:r w:rsidRPr="00D46400">
        <w:t xml:space="preserve">abling programs will be redefined to ensure they are best placed to support service delivery outcomes in the four priority sectors. </w:t>
      </w:r>
      <w:r w:rsidRPr="00FE34B7">
        <w:t>Gender equality will be at the centre</w:t>
      </w:r>
      <w:r w:rsidRPr="00D46400">
        <w:t xml:space="preserve"> of the program, with a </w:t>
      </w:r>
      <w:r>
        <w:t>strong</w:t>
      </w:r>
      <w:r w:rsidRPr="00D46400">
        <w:t xml:space="preserve"> focus on the economic and social benefits of participation for all. </w:t>
      </w:r>
    </w:p>
    <w:p w:rsidR="00D35AB3" w:rsidRPr="00D46400" w:rsidRDefault="00D35AB3" w:rsidP="00564F61">
      <w:pPr>
        <w:pStyle w:val="BodyText"/>
        <w:numPr>
          <w:ilvl w:val="0"/>
          <w:numId w:val="25"/>
        </w:numPr>
        <w:spacing w:before="120" w:after="120"/>
      </w:pPr>
      <w:r w:rsidRPr="0010530E">
        <w:rPr>
          <w:b/>
        </w:rPr>
        <w:t>The program will continue to implement the findings of the Joint Review of Technical Adviser Positions,</w:t>
      </w:r>
      <w:r w:rsidRPr="00D46400">
        <w:t xml:space="preserve"> including reduc</w:t>
      </w:r>
      <w:r>
        <w:t>i</w:t>
      </w:r>
      <w:r w:rsidRPr="00D46400">
        <w:t>n</w:t>
      </w:r>
      <w:r>
        <w:t>g</w:t>
      </w:r>
      <w:r w:rsidRPr="00D46400">
        <w:t xml:space="preserve"> </w:t>
      </w:r>
      <w:r>
        <w:t>the number of</w:t>
      </w:r>
      <w:r w:rsidRPr="00D46400">
        <w:t xml:space="preserve"> advisers by one third by </w:t>
      </w:r>
      <w:proofErr w:type="spellStart"/>
      <w:r w:rsidRPr="00D46400">
        <w:t>mid 2012</w:t>
      </w:r>
      <w:proofErr w:type="spellEnd"/>
      <w:r w:rsidRPr="00D46400">
        <w:t xml:space="preserve">. The reductions will occur </w:t>
      </w:r>
      <w:r>
        <w:t>mainly</w:t>
      </w:r>
      <w:r w:rsidRPr="00D46400">
        <w:t xml:space="preserve"> in the areas of rural development, education, and health and HIV</w:t>
      </w:r>
      <w:r w:rsidR="00157C54">
        <w:t>/AIDs</w:t>
      </w:r>
      <w:r w:rsidRPr="00D46400">
        <w:t xml:space="preserve">, reflecting a move to rebalance funding from advisory support to direct service delivery. </w:t>
      </w:r>
    </w:p>
    <w:p w:rsidR="00D35AB3" w:rsidRPr="00D46400" w:rsidRDefault="00D35AB3" w:rsidP="00564F61">
      <w:pPr>
        <w:pStyle w:val="BodyText"/>
        <w:numPr>
          <w:ilvl w:val="0"/>
          <w:numId w:val="25"/>
        </w:numPr>
      </w:pPr>
      <w:r w:rsidRPr="0010530E">
        <w:rPr>
          <w:b/>
        </w:rPr>
        <w:t xml:space="preserve">The program will adopt a much more effective and innovative approach to performance and contract management, </w:t>
      </w:r>
      <w:r w:rsidRPr="00027125">
        <w:t xml:space="preserve">with the ability to demonstrate the results we have achieved clearly. </w:t>
      </w:r>
      <w:r w:rsidRPr="00D46400">
        <w:t xml:space="preserve">The PNG senior management team will </w:t>
      </w:r>
      <w:r w:rsidR="000351D9">
        <w:t>meet</w:t>
      </w:r>
      <w:r w:rsidRPr="00D46400">
        <w:t xml:space="preserve"> regularly to manage program finances, human resources, performance and quality, and other key corporate responsibilities more proactively. We will undertake a performance audit and improve our approaches to monitoring. The program will continue its work to strengthen capacity to manage for results. In particular, it will manage for the achievement of results set out in the Australian 2011</w:t>
      </w:r>
      <w:r w:rsidR="00157C54">
        <w:t>–</w:t>
      </w:r>
      <w:r w:rsidRPr="00D46400">
        <w:t>12 Budget.</w:t>
      </w:r>
    </w:p>
    <w:sectPr w:rsidR="00D35AB3" w:rsidRPr="00D46400" w:rsidSect="00E77D0C">
      <w:headerReference w:type="even" r:id="rId14"/>
      <w:footerReference w:type="even" r:id="rId15"/>
      <w:footerReference w:type="default" r:id="rId16"/>
      <w:footerReference w:type="first" r:id="rId17"/>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ED" w:rsidRDefault="00B328ED">
      <w:r>
        <w:separator/>
      </w:r>
    </w:p>
    <w:p w:rsidR="00B328ED" w:rsidRDefault="00B328ED"/>
  </w:endnote>
  <w:endnote w:type="continuationSeparator" w:id="0">
    <w:p w:rsidR="00B328ED" w:rsidRDefault="00B328ED">
      <w:r>
        <w:continuationSeparator/>
      </w:r>
    </w:p>
    <w:p w:rsidR="00B328ED" w:rsidRDefault="00B32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C2" w:rsidRPr="00AD612A" w:rsidRDefault="0048616B">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DC2" w:rsidRPr="007C1ECE">
      <w:tab/>
    </w:r>
    <w:r w:rsidR="005E2DC2">
      <w:tab/>
    </w:r>
    <w:r w:rsidR="005E2DC2">
      <w:tab/>
    </w:r>
    <w:r w:rsidR="005E2DC2">
      <w:rPr>
        <w:rStyle w:val="PageNumber"/>
      </w:rPr>
      <w:fldChar w:fldCharType="begin"/>
    </w:r>
    <w:r w:rsidR="005E2DC2">
      <w:rPr>
        <w:rStyle w:val="PageNumber"/>
      </w:rPr>
      <w:instrText xml:space="preserve"> PAGE </w:instrText>
    </w:r>
    <w:r w:rsidR="005E2DC2">
      <w:rPr>
        <w:rStyle w:val="PageNumber"/>
      </w:rPr>
      <w:fldChar w:fldCharType="separate"/>
    </w:r>
    <w:r w:rsidR="005E2DC2">
      <w:rPr>
        <w:rStyle w:val="PageNumber"/>
        <w:noProof/>
      </w:rPr>
      <w:t>19</w:t>
    </w:r>
    <w:r w:rsidR="005E2DC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C2" w:rsidRPr="004A4B6B" w:rsidRDefault="0048616B"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DC2">
      <w:tab/>
    </w:r>
    <w:r w:rsidR="005E2DC2">
      <w:fldChar w:fldCharType="begin"/>
    </w:r>
    <w:r w:rsidR="005E2DC2">
      <w:instrText xml:space="preserve"> STYLEREF  Title </w:instrText>
    </w:r>
    <w:r w:rsidR="005E2DC2">
      <w:fldChar w:fldCharType="separate"/>
    </w:r>
    <w:r w:rsidR="009653BC">
      <w:rPr>
        <w:noProof/>
      </w:rPr>
      <w:t>Papua New Guinea Development Cooperation Report 2010</w:t>
    </w:r>
    <w:r w:rsidR="005E2DC2">
      <w:fldChar w:fldCharType="end"/>
    </w:r>
    <w:r w:rsidR="005E2DC2">
      <w:rPr>
        <w:rStyle w:val="PageNumber"/>
      </w:rPr>
      <w:tab/>
    </w:r>
    <w:r w:rsidR="005E2DC2">
      <w:rPr>
        <w:rStyle w:val="PageNumber"/>
      </w:rPr>
      <w:tab/>
    </w:r>
    <w:r w:rsidR="005E2DC2" w:rsidRPr="004A26C9">
      <w:rPr>
        <w:rStyle w:val="PageNumber"/>
      </w:rPr>
      <w:fldChar w:fldCharType="begin"/>
    </w:r>
    <w:r w:rsidR="005E2DC2" w:rsidRPr="004A26C9">
      <w:rPr>
        <w:rStyle w:val="PageNumber"/>
      </w:rPr>
      <w:instrText xml:space="preserve"> PAGE </w:instrText>
    </w:r>
    <w:r w:rsidR="005E2DC2" w:rsidRPr="004A26C9">
      <w:rPr>
        <w:rStyle w:val="PageNumber"/>
      </w:rPr>
      <w:fldChar w:fldCharType="separate"/>
    </w:r>
    <w:r w:rsidR="009653BC">
      <w:rPr>
        <w:rStyle w:val="PageNumber"/>
        <w:noProof/>
      </w:rPr>
      <w:t>20</w:t>
    </w:r>
    <w:r w:rsidR="005E2DC2"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C2" w:rsidRDefault="005E2DC2">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9653B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ED" w:rsidRDefault="00B328ED" w:rsidP="00D62AA4">
      <w:pPr>
        <w:spacing w:before="60" w:after="40" w:line="180" w:lineRule="exact"/>
      </w:pPr>
      <w:r>
        <w:continuationSeparator/>
      </w:r>
    </w:p>
  </w:footnote>
  <w:footnote w:type="continuationSeparator" w:id="0">
    <w:p w:rsidR="00B328ED" w:rsidRDefault="00B328ED">
      <w:r>
        <w:continuationSeparator/>
      </w:r>
    </w:p>
    <w:p w:rsidR="00B328ED" w:rsidRDefault="00B328ED"/>
  </w:footnote>
  <w:footnote w:type="continuationNotice" w:id="1">
    <w:p w:rsidR="00B328ED" w:rsidRDefault="00B328ED"/>
    <w:p w:rsidR="00B328ED" w:rsidRDefault="00B328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C2" w:rsidRDefault="0048616B"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FAD"/>
    <w:multiLevelType w:val="hybridMultilevel"/>
    <w:tmpl w:val="338256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A56FAF"/>
    <w:multiLevelType w:val="hybridMultilevel"/>
    <w:tmpl w:val="450C737E"/>
    <w:lvl w:ilvl="0" w:tplc="C550041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F23688E"/>
    <w:multiLevelType w:val="hybridMultilevel"/>
    <w:tmpl w:val="39CCD1BA"/>
    <w:lvl w:ilvl="0" w:tplc="E34670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914A61B4">
      <w:start w:val="1"/>
      <w:numFmt w:val="lowerLetter"/>
      <w:pStyle w:val="TableListNumber2"/>
      <w:lvlText w:val="%1."/>
      <w:lvlJc w:val="left"/>
      <w:pPr>
        <w:tabs>
          <w:tab w:val="num" w:pos="454"/>
        </w:tabs>
        <w:ind w:left="454" w:hanging="227"/>
      </w:pPr>
      <w:rPr>
        <w:rFonts w:hint="default"/>
      </w:rPr>
    </w:lvl>
    <w:lvl w:ilvl="1" w:tplc="9D4015CE" w:tentative="1">
      <w:start w:val="1"/>
      <w:numFmt w:val="lowerLetter"/>
      <w:lvlText w:val="%2."/>
      <w:lvlJc w:val="left"/>
      <w:pPr>
        <w:tabs>
          <w:tab w:val="num" w:pos="1440"/>
        </w:tabs>
        <w:ind w:left="1440" w:hanging="360"/>
      </w:pPr>
    </w:lvl>
    <w:lvl w:ilvl="2" w:tplc="028C2300" w:tentative="1">
      <w:start w:val="1"/>
      <w:numFmt w:val="lowerRoman"/>
      <w:lvlText w:val="%3."/>
      <w:lvlJc w:val="right"/>
      <w:pPr>
        <w:tabs>
          <w:tab w:val="num" w:pos="2160"/>
        </w:tabs>
        <w:ind w:left="2160" w:hanging="180"/>
      </w:pPr>
    </w:lvl>
    <w:lvl w:ilvl="3" w:tplc="26087B7E" w:tentative="1">
      <w:start w:val="1"/>
      <w:numFmt w:val="decimal"/>
      <w:lvlText w:val="%4."/>
      <w:lvlJc w:val="left"/>
      <w:pPr>
        <w:tabs>
          <w:tab w:val="num" w:pos="2880"/>
        </w:tabs>
        <w:ind w:left="2880" w:hanging="360"/>
      </w:pPr>
    </w:lvl>
    <w:lvl w:ilvl="4" w:tplc="169A8F88" w:tentative="1">
      <w:start w:val="1"/>
      <w:numFmt w:val="lowerLetter"/>
      <w:lvlText w:val="%5."/>
      <w:lvlJc w:val="left"/>
      <w:pPr>
        <w:tabs>
          <w:tab w:val="num" w:pos="3600"/>
        </w:tabs>
        <w:ind w:left="3600" w:hanging="360"/>
      </w:pPr>
    </w:lvl>
    <w:lvl w:ilvl="5" w:tplc="ED185436" w:tentative="1">
      <w:start w:val="1"/>
      <w:numFmt w:val="lowerRoman"/>
      <w:lvlText w:val="%6."/>
      <w:lvlJc w:val="right"/>
      <w:pPr>
        <w:tabs>
          <w:tab w:val="num" w:pos="4320"/>
        </w:tabs>
        <w:ind w:left="4320" w:hanging="180"/>
      </w:pPr>
    </w:lvl>
    <w:lvl w:ilvl="6" w:tplc="1222F1CA" w:tentative="1">
      <w:start w:val="1"/>
      <w:numFmt w:val="decimal"/>
      <w:lvlText w:val="%7."/>
      <w:lvlJc w:val="left"/>
      <w:pPr>
        <w:tabs>
          <w:tab w:val="num" w:pos="5040"/>
        </w:tabs>
        <w:ind w:left="5040" w:hanging="360"/>
      </w:pPr>
    </w:lvl>
    <w:lvl w:ilvl="7" w:tplc="8BC6CB04" w:tentative="1">
      <w:start w:val="1"/>
      <w:numFmt w:val="lowerLetter"/>
      <w:lvlText w:val="%8."/>
      <w:lvlJc w:val="left"/>
      <w:pPr>
        <w:tabs>
          <w:tab w:val="num" w:pos="5760"/>
        </w:tabs>
        <w:ind w:left="5760" w:hanging="360"/>
      </w:pPr>
    </w:lvl>
    <w:lvl w:ilvl="8" w:tplc="E50EF834" w:tentative="1">
      <w:start w:val="1"/>
      <w:numFmt w:val="lowerRoman"/>
      <w:lvlText w:val="%9."/>
      <w:lvlJc w:val="right"/>
      <w:pPr>
        <w:tabs>
          <w:tab w:val="num" w:pos="6480"/>
        </w:tabs>
        <w:ind w:left="6480" w:hanging="180"/>
      </w:pPr>
    </w:lvl>
  </w:abstractNum>
  <w:abstractNum w:abstractNumId="5">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2D03A24"/>
    <w:multiLevelType w:val="hybridMultilevel"/>
    <w:tmpl w:val="90360B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33F6B"/>
    <w:multiLevelType w:val="hybridMultilevel"/>
    <w:tmpl w:val="53929CB2"/>
    <w:lvl w:ilvl="0" w:tplc="EF9607E4">
      <w:start w:val="1"/>
      <w:numFmt w:val="lowerLetter"/>
      <w:pStyle w:val="BoxListNumber2"/>
      <w:lvlText w:val="%1."/>
      <w:lvlJc w:val="left"/>
      <w:pPr>
        <w:tabs>
          <w:tab w:val="num" w:pos="567"/>
        </w:tabs>
        <w:ind w:left="567" w:hanging="283"/>
      </w:pPr>
      <w:rPr>
        <w:rFonts w:hint="default"/>
      </w:rPr>
    </w:lvl>
    <w:lvl w:ilvl="1" w:tplc="FE0CD48C" w:tentative="1">
      <w:start w:val="1"/>
      <w:numFmt w:val="lowerLetter"/>
      <w:lvlText w:val="%2."/>
      <w:lvlJc w:val="left"/>
      <w:pPr>
        <w:tabs>
          <w:tab w:val="num" w:pos="1440"/>
        </w:tabs>
        <w:ind w:left="1440" w:hanging="360"/>
      </w:pPr>
    </w:lvl>
    <w:lvl w:ilvl="2" w:tplc="9EB2BEBC" w:tentative="1">
      <w:start w:val="1"/>
      <w:numFmt w:val="lowerRoman"/>
      <w:lvlText w:val="%3."/>
      <w:lvlJc w:val="right"/>
      <w:pPr>
        <w:tabs>
          <w:tab w:val="num" w:pos="2160"/>
        </w:tabs>
        <w:ind w:left="2160" w:hanging="180"/>
      </w:pPr>
    </w:lvl>
    <w:lvl w:ilvl="3" w:tplc="CF1286F4" w:tentative="1">
      <w:start w:val="1"/>
      <w:numFmt w:val="decimal"/>
      <w:lvlText w:val="%4."/>
      <w:lvlJc w:val="left"/>
      <w:pPr>
        <w:tabs>
          <w:tab w:val="num" w:pos="2880"/>
        </w:tabs>
        <w:ind w:left="2880" w:hanging="360"/>
      </w:pPr>
    </w:lvl>
    <w:lvl w:ilvl="4" w:tplc="BB30AD56" w:tentative="1">
      <w:start w:val="1"/>
      <w:numFmt w:val="lowerLetter"/>
      <w:lvlText w:val="%5."/>
      <w:lvlJc w:val="left"/>
      <w:pPr>
        <w:tabs>
          <w:tab w:val="num" w:pos="3600"/>
        </w:tabs>
        <w:ind w:left="3600" w:hanging="360"/>
      </w:pPr>
    </w:lvl>
    <w:lvl w:ilvl="5" w:tplc="345C05A6" w:tentative="1">
      <w:start w:val="1"/>
      <w:numFmt w:val="lowerRoman"/>
      <w:lvlText w:val="%6."/>
      <w:lvlJc w:val="right"/>
      <w:pPr>
        <w:tabs>
          <w:tab w:val="num" w:pos="4320"/>
        </w:tabs>
        <w:ind w:left="4320" w:hanging="180"/>
      </w:pPr>
    </w:lvl>
    <w:lvl w:ilvl="6" w:tplc="08C25DD6" w:tentative="1">
      <w:start w:val="1"/>
      <w:numFmt w:val="decimal"/>
      <w:lvlText w:val="%7."/>
      <w:lvlJc w:val="left"/>
      <w:pPr>
        <w:tabs>
          <w:tab w:val="num" w:pos="5040"/>
        </w:tabs>
        <w:ind w:left="5040" w:hanging="360"/>
      </w:pPr>
    </w:lvl>
    <w:lvl w:ilvl="7" w:tplc="76287ACA" w:tentative="1">
      <w:start w:val="1"/>
      <w:numFmt w:val="lowerLetter"/>
      <w:lvlText w:val="%8."/>
      <w:lvlJc w:val="left"/>
      <w:pPr>
        <w:tabs>
          <w:tab w:val="num" w:pos="5760"/>
        </w:tabs>
        <w:ind w:left="5760" w:hanging="360"/>
      </w:pPr>
    </w:lvl>
    <w:lvl w:ilvl="8" w:tplc="F9D60FEC" w:tentative="1">
      <w:start w:val="1"/>
      <w:numFmt w:val="lowerRoman"/>
      <w:lvlText w:val="%9."/>
      <w:lvlJc w:val="right"/>
      <w:pPr>
        <w:tabs>
          <w:tab w:val="num" w:pos="6480"/>
        </w:tabs>
        <w:ind w:left="6480" w:hanging="180"/>
      </w:pPr>
    </w:lvl>
  </w:abstractNum>
  <w:abstractNum w:abstractNumId="10">
    <w:nsid w:val="46CD579B"/>
    <w:multiLevelType w:val="hybridMultilevel"/>
    <w:tmpl w:val="36F2514A"/>
    <w:lvl w:ilvl="0" w:tplc="C966E454">
      <w:start w:val="1"/>
      <w:numFmt w:val="bullet"/>
      <w:pStyle w:val="BoxListBullet"/>
      <w:lvlText w:val="&gt;"/>
      <w:lvlJc w:val="left"/>
      <w:pPr>
        <w:tabs>
          <w:tab w:val="num" w:pos="284"/>
        </w:tabs>
        <w:ind w:left="284" w:hanging="284"/>
      </w:pPr>
      <w:rPr>
        <w:rFonts w:hint="default"/>
        <w:color w:val="auto"/>
      </w:rPr>
    </w:lvl>
    <w:lvl w:ilvl="1" w:tplc="1D0E0CD4" w:tentative="1">
      <w:start w:val="1"/>
      <w:numFmt w:val="bullet"/>
      <w:lvlText w:val="o"/>
      <w:lvlJc w:val="left"/>
      <w:pPr>
        <w:tabs>
          <w:tab w:val="num" w:pos="1440"/>
        </w:tabs>
        <w:ind w:left="1440" w:hanging="360"/>
      </w:pPr>
      <w:rPr>
        <w:rFonts w:ascii="Courier New" w:hAnsi="Courier New" w:cs="Courier New" w:hint="default"/>
      </w:rPr>
    </w:lvl>
    <w:lvl w:ilvl="2" w:tplc="929CEEDE" w:tentative="1">
      <w:start w:val="1"/>
      <w:numFmt w:val="bullet"/>
      <w:lvlText w:val=""/>
      <w:lvlJc w:val="left"/>
      <w:pPr>
        <w:tabs>
          <w:tab w:val="num" w:pos="2160"/>
        </w:tabs>
        <w:ind w:left="2160" w:hanging="360"/>
      </w:pPr>
      <w:rPr>
        <w:rFonts w:ascii="Wingdings" w:hAnsi="Wingdings" w:hint="default"/>
      </w:rPr>
    </w:lvl>
    <w:lvl w:ilvl="3" w:tplc="65DE8632" w:tentative="1">
      <w:start w:val="1"/>
      <w:numFmt w:val="bullet"/>
      <w:lvlText w:val=""/>
      <w:lvlJc w:val="left"/>
      <w:pPr>
        <w:tabs>
          <w:tab w:val="num" w:pos="2880"/>
        </w:tabs>
        <w:ind w:left="2880" w:hanging="360"/>
      </w:pPr>
      <w:rPr>
        <w:rFonts w:ascii="Symbol" w:hAnsi="Symbol" w:hint="default"/>
      </w:rPr>
    </w:lvl>
    <w:lvl w:ilvl="4" w:tplc="B36234D6" w:tentative="1">
      <w:start w:val="1"/>
      <w:numFmt w:val="bullet"/>
      <w:lvlText w:val="o"/>
      <w:lvlJc w:val="left"/>
      <w:pPr>
        <w:tabs>
          <w:tab w:val="num" w:pos="3600"/>
        </w:tabs>
        <w:ind w:left="3600" w:hanging="360"/>
      </w:pPr>
      <w:rPr>
        <w:rFonts w:ascii="Courier New" w:hAnsi="Courier New" w:cs="Courier New" w:hint="default"/>
      </w:rPr>
    </w:lvl>
    <w:lvl w:ilvl="5" w:tplc="5A50416E" w:tentative="1">
      <w:start w:val="1"/>
      <w:numFmt w:val="bullet"/>
      <w:lvlText w:val=""/>
      <w:lvlJc w:val="left"/>
      <w:pPr>
        <w:tabs>
          <w:tab w:val="num" w:pos="4320"/>
        </w:tabs>
        <w:ind w:left="4320" w:hanging="360"/>
      </w:pPr>
      <w:rPr>
        <w:rFonts w:ascii="Wingdings" w:hAnsi="Wingdings" w:hint="default"/>
      </w:rPr>
    </w:lvl>
    <w:lvl w:ilvl="6" w:tplc="84286EBA" w:tentative="1">
      <w:start w:val="1"/>
      <w:numFmt w:val="bullet"/>
      <w:lvlText w:val=""/>
      <w:lvlJc w:val="left"/>
      <w:pPr>
        <w:tabs>
          <w:tab w:val="num" w:pos="5040"/>
        </w:tabs>
        <w:ind w:left="5040" w:hanging="360"/>
      </w:pPr>
      <w:rPr>
        <w:rFonts w:ascii="Symbol" w:hAnsi="Symbol" w:hint="default"/>
      </w:rPr>
    </w:lvl>
    <w:lvl w:ilvl="7" w:tplc="6F28D3F4" w:tentative="1">
      <w:start w:val="1"/>
      <w:numFmt w:val="bullet"/>
      <w:lvlText w:val="o"/>
      <w:lvlJc w:val="left"/>
      <w:pPr>
        <w:tabs>
          <w:tab w:val="num" w:pos="5760"/>
        </w:tabs>
        <w:ind w:left="5760" w:hanging="360"/>
      </w:pPr>
      <w:rPr>
        <w:rFonts w:ascii="Courier New" w:hAnsi="Courier New" w:cs="Courier New" w:hint="default"/>
      </w:rPr>
    </w:lvl>
    <w:lvl w:ilvl="8" w:tplc="B65C559A" w:tentative="1">
      <w:start w:val="1"/>
      <w:numFmt w:val="bullet"/>
      <w:lvlText w:val=""/>
      <w:lvlJc w:val="left"/>
      <w:pPr>
        <w:tabs>
          <w:tab w:val="num" w:pos="6480"/>
        </w:tabs>
        <w:ind w:left="6480" w:hanging="360"/>
      </w:pPr>
      <w:rPr>
        <w:rFonts w:ascii="Wingdings" w:hAnsi="Wingdings" w:hint="default"/>
      </w:rPr>
    </w:lvl>
  </w:abstractNum>
  <w:abstractNum w:abstractNumId="11">
    <w:nsid w:val="4BF669CE"/>
    <w:multiLevelType w:val="hybridMultilevel"/>
    <w:tmpl w:val="8466B8FA"/>
    <w:lvl w:ilvl="0" w:tplc="A044BA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9620CFFA">
      <w:start w:val="1"/>
      <w:numFmt w:val="decimal"/>
      <w:pStyle w:val="TableListNumber"/>
      <w:lvlText w:val="%1."/>
      <w:lvlJc w:val="left"/>
      <w:pPr>
        <w:tabs>
          <w:tab w:val="num" w:pos="227"/>
        </w:tabs>
        <w:ind w:left="227" w:hanging="227"/>
      </w:pPr>
      <w:rPr>
        <w:rFonts w:hint="default"/>
      </w:rPr>
    </w:lvl>
    <w:lvl w:ilvl="1" w:tplc="3F003020">
      <w:start w:val="1"/>
      <w:numFmt w:val="lowerLetter"/>
      <w:lvlText w:val="%2."/>
      <w:lvlJc w:val="left"/>
      <w:pPr>
        <w:tabs>
          <w:tab w:val="num" w:pos="1440"/>
        </w:tabs>
        <w:ind w:left="1440" w:hanging="360"/>
      </w:pPr>
    </w:lvl>
    <w:lvl w:ilvl="2" w:tplc="A048715E" w:tentative="1">
      <w:start w:val="1"/>
      <w:numFmt w:val="lowerRoman"/>
      <w:lvlText w:val="%3."/>
      <w:lvlJc w:val="right"/>
      <w:pPr>
        <w:tabs>
          <w:tab w:val="num" w:pos="2160"/>
        </w:tabs>
        <w:ind w:left="2160" w:hanging="180"/>
      </w:pPr>
    </w:lvl>
    <w:lvl w:ilvl="3" w:tplc="B5DAEEBA" w:tentative="1">
      <w:start w:val="1"/>
      <w:numFmt w:val="decimal"/>
      <w:lvlText w:val="%4."/>
      <w:lvlJc w:val="left"/>
      <w:pPr>
        <w:tabs>
          <w:tab w:val="num" w:pos="2880"/>
        </w:tabs>
        <w:ind w:left="2880" w:hanging="360"/>
      </w:pPr>
    </w:lvl>
    <w:lvl w:ilvl="4" w:tplc="DBEA1AD0" w:tentative="1">
      <w:start w:val="1"/>
      <w:numFmt w:val="lowerLetter"/>
      <w:lvlText w:val="%5."/>
      <w:lvlJc w:val="left"/>
      <w:pPr>
        <w:tabs>
          <w:tab w:val="num" w:pos="3600"/>
        </w:tabs>
        <w:ind w:left="3600" w:hanging="360"/>
      </w:pPr>
    </w:lvl>
    <w:lvl w:ilvl="5" w:tplc="F9A259FE" w:tentative="1">
      <w:start w:val="1"/>
      <w:numFmt w:val="lowerRoman"/>
      <w:lvlText w:val="%6."/>
      <w:lvlJc w:val="right"/>
      <w:pPr>
        <w:tabs>
          <w:tab w:val="num" w:pos="4320"/>
        </w:tabs>
        <w:ind w:left="4320" w:hanging="180"/>
      </w:pPr>
    </w:lvl>
    <w:lvl w:ilvl="6" w:tplc="BCC2DA38" w:tentative="1">
      <w:start w:val="1"/>
      <w:numFmt w:val="decimal"/>
      <w:lvlText w:val="%7."/>
      <w:lvlJc w:val="left"/>
      <w:pPr>
        <w:tabs>
          <w:tab w:val="num" w:pos="5040"/>
        </w:tabs>
        <w:ind w:left="5040" w:hanging="360"/>
      </w:pPr>
    </w:lvl>
    <w:lvl w:ilvl="7" w:tplc="0F0ED2D8" w:tentative="1">
      <w:start w:val="1"/>
      <w:numFmt w:val="lowerLetter"/>
      <w:lvlText w:val="%8."/>
      <w:lvlJc w:val="left"/>
      <w:pPr>
        <w:tabs>
          <w:tab w:val="num" w:pos="5760"/>
        </w:tabs>
        <w:ind w:left="5760" w:hanging="360"/>
      </w:pPr>
    </w:lvl>
    <w:lvl w:ilvl="8" w:tplc="36F84EEA" w:tentative="1">
      <w:start w:val="1"/>
      <w:numFmt w:val="lowerRoman"/>
      <w:lvlText w:val="%9."/>
      <w:lvlJc w:val="right"/>
      <w:pPr>
        <w:tabs>
          <w:tab w:val="num" w:pos="6480"/>
        </w:tabs>
        <w:ind w:left="6480" w:hanging="180"/>
      </w:pPr>
    </w:lvl>
  </w:abstractNum>
  <w:abstractNum w:abstractNumId="15">
    <w:nsid w:val="5FD41BC2"/>
    <w:multiLevelType w:val="hybridMultilevel"/>
    <w:tmpl w:val="4DFAE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F264CF"/>
    <w:multiLevelType w:val="multilevel"/>
    <w:tmpl w:val="CFE4062A"/>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pStyle w:val="Heading2"/>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9F40B7D"/>
    <w:multiLevelType w:val="hybridMultilevel"/>
    <w:tmpl w:val="E86287BE"/>
    <w:lvl w:ilvl="0" w:tplc="766229DC">
      <w:start w:val="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1">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8F004E"/>
    <w:multiLevelType w:val="hybridMultilevel"/>
    <w:tmpl w:val="A62ED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9E1124E"/>
    <w:multiLevelType w:val="hybridMultilevel"/>
    <w:tmpl w:val="6D42E656"/>
    <w:lvl w:ilvl="0" w:tplc="49909A48">
      <w:start w:val="1"/>
      <w:numFmt w:val="lowerLetter"/>
      <w:pStyle w:val="ListNumber2"/>
      <w:lvlText w:val="%1."/>
      <w:lvlJc w:val="left"/>
      <w:pPr>
        <w:tabs>
          <w:tab w:val="num" w:pos="567"/>
        </w:tabs>
        <w:ind w:left="567" w:hanging="283"/>
      </w:pPr>
      <w:rPr>
        <w:rFonts w:hint="default"/>
      </w:rPr>
    </w:lvl>
    <w:lvl w:ilvl="1" w:tplc="4692A224" w:tentative="1">
      <w:start w:val="1"/>
      <w:numFmt w:val="lowerLetter"/>
      <w:lvlText w:val="%2."/>
      <w:lvlJc w:val="left"/>
      <w:pPr>
        <w:tabs>
          <w:tab w:val="num" w:pos="1440"/>
        </w:tabs>
        <w:ind w:left="1440" w:hanging="360"/>
      </w:pPr>
    </w:lvl>
    <w:lvl w:ilvl="2" w:tplc="C358B6A6" w:tentative="1">
      <w:start w:val="1"/>
      <w:numFmt w:val="lowerRoman"/>
      <w:lvlText w:val="%3."/>
      <w:lvlJc w:val="right"/>
      <w:pPr>
        <w:tabs>
          <w:tab w:val="num" w:pos="2160"/>
        </w:tabs>
        <w:ind w:left="2160" w:hanging="180"/>
      </w:pPr>
    </w:lvl>
    <w:lvl w:ilvl="3" w:tplc="848C848A" w:tentative="1">
      <w:start w:val="1"/>
      <w:numFmt w:val="decimal"/>
      <w:lvlText w:val="%4."/>
      <w:lvlJc w:val="left"/>
      <w:pPr>
        <w:tabs>
          <w:tab w:val="num" w:pos="2880"/>
        </w:tabs>
        <w:ind w:left="2880" w:hanging="360"/>
      </w:pPr>
    </w:lvl>
    <w:lvl w:ilvl="4" w:tplc="0E26337A" w:tentative="1">
      <w:start w:val="1"/>
      <w:numFmt w:val="lowerLetter"/>
      <w:lvlText w:val="%5."/>
      <w:lvlJc w:val="left"/>
      <w:pPr>
        <w:tabs>
          <w:tab w:val="num" w:pos="3600"/>
        </w:tabs>
        <w:ind w:left="3600" w:hanging="360"/>
      </w:pPr>
    </w:lvl>
    <w:lvl w:ilvl="5" w:tplc="30B26EBA" w:tentative="1">
      <w:start w:val="1"/>
      <w:numFmt w:val="lowerRoman"/>
      <w:lvlText w:val="%6."/>
      <w:lvlJc w:val="right"/>
      <w:pPr>
        <w:tabs>
          <w:tab w:val="num" w:pos="4320"/>
        </w:tabs>
        <w:ind w:left="4320" w:hanging="180"/>
      </w:pPr>
    </w:lvl>
    <w:lvl w:ilvl="6" w:tplc="410CD526" w:tentative="1">
      <w:start w:val="1"/>
      <w:numFmt w:val="decimal"/>
      <w:lvlText w:val="%7."/>
      <w:lvlJc w:val="left"/>
      <w:pPr>
        <w:tabs>
          <w:tab w:val="num" w:pos="5040"/>
        </w:tabs>
        <w:ind w:left="5040" w:hanging="360"/>
      </w:pPr>
    </w:lvl>
    <w:lvl w:ilvl="7" w:tplc="A184C44A" w:tentative="1">
      <w:start w:val="1"/>
      <w:numFmt w:val="lowerLetter"/>
      <w:lvlText w:val="%8."/>
      <w:lvlJc w:val="left"/>
      <w:pPr>
        <w:tabs>
          <w:tab w:val="num" w:pos="5760"/>
        </w:tabs>
        <w:ind w:left="5760" w:hanging="360"/>
      </w:pPr>
    </w:lvl>
    <w:lvl w:ilvl="8" w:tplc="DF124330" w:tentative="1">
      <w:start w:val="1"/>
      <w:numFmt w:val="lowerRoman"/>
      <w:lvlText w:val="%9."/>
      <w:lvlJc w:val="right"/>
      <w:pPr>
        <w:tabs>
          <w:tab w:val="num" w:pos="6480"/>
        </w:tabs>
        <w:ind w:left="6480" w:hanging="180"/>
      </w:pPr>
    </w:lvl>
  </w:abstractNum>
  <w:abstractNum w:abstractNumId="24">
    <w:nsid w:val="7F7A528B"/>
    <w:multiLevelType w:val="hybridMultilevel"/>
    <w:tmpl w:val="4ADC517C"/>
    <w:lvl w:ilvl="0" w:tplc="252C7178">
      <w:start w:val="1"/>
      <w:numFmt w:val="bullet"/>
      <w:pStyle w:val="ListBullet"/>
      <w:lvlText w:val="&gt;"/>
      <w:lvlJc w:val="left"/>
      <w:pPr>
        <w:tabs>
          <w:tab w:val="num" w:pos="284"/>
        </w:tabs>
        <w:ind w:left="284" w:hanging="284"/>
      </w:pPr>
      <w:rPr>
        <w:rFonts w:hint="default"/>
        <w:color w:val="auto"/>
        <w:position w:val="3"/>
      </w:rPr>
    </w:lvl>
    <w:lvl w:ilvl="1" w:tplc="A8C0664C" w:tentative="1">
      <w:start w:val="1"/>
      <w:numFmt w:val="bullet"/>
      <w:lvlText w:val="o"/>
      <w:lvlJc w:val="left"/>
      <w:pPr>
        <w:tabs>
          <w:tab w:val="num" w:pos="1440"/>
        </w:tabs>
        <w:ind w:left="1440" w:hanging="360"/>
      </w:pPr>
      <w:rPr>
        <w:rFonts w:ascii="Courier New" w:hAnsi="Courier New" w:cs="Courier New" w:hint="default"/>
      </w:rPr>
    </w:lvl>
    <w:lvl w:ilvl="2" w:tplc="D8908EE4" w:tentative="1">
      <w:start w:val="1"/>
      <w:numFmt w:val="bullet"/>
      <w:lvlText w:val=""/>
      <w:lvlJc w:val="left"/>
      <w:pPr>
        <w:tabs>
          <w:tab w:val="num" w:pos="2160"/>
        </w:tabs>
        <w:ind w:left="2160" w:hanging="360"/>
      </w:pPr>
      <w:rPr>
        <w:rFonts w:ascii="Wingdings" w:hAnsi="Wingdings" w:hint="default"/>
      </w:rPr>
    </w:lvl>
    <w:lvl w:ilvl="3" w:tplc="2666626A" w:tentative="1">
      <w:start w:val="1"/>
      <w:numFmt w:val="bullet"/>
      <w:lvlText w:val=""/>
      <w:lvlJc w:val="left"/>
      <w:pPr>
        <w:tabs>
          <w:tab w:val="num" w:pos="2880"/>
        </w:tabs>
        <w:ind w:left="2880" w:hanging="360"/>
      </w:pPr>
      <w:rPr>
        <w:rFonts w:ascii="Symbol" w:hAnsi="Symbol" w:hint="default"/>
      </w:rPr>
    </w:lvl>
    <w:lvl w:ilvl="4" w:tplc="FE546718" w:tentative="1">
      <w:start w:val="1"/>
      <w:numFmt w:val="bullet"/>
      <w:lvlText w:val="o"/>
      <w:lvlJc w:val="left"/>
      <w:pPr>
        <w:tabs>
          <w:tab w:val="num" w:pos="3600"/>
        </w:tabs>
        <w:ind w:left="3600" w:hanging="360"/>
      </w:pPr>
      <w:rPr>
        <w:rFonts w:ascii="Courier New" w:hAnsi="Courier New" w:cs="Courier New" w:hint="default"/>
      </w:rPr>
    </w:lvl>
    <w:lvl w:ilvl="5" w:tplc="8F6C9B72" w:tentative="1">
      <w:start w:val="1"/>
      <w:numFmt w:val="bullet"/>
      <w:lvlText w:val=""/>
      <w:lvlJc w:val="left"/>
      <w:pPr>
        <w:tabs>
          <w:tab w:val="num" w:pos="4320"/>
        </w:tabs>
        <w:ind w:left="4320" w:hanging="360"/>
      </w:pPr>
      <w:rPr>
        <w:rFonts w:ascii="Wingdings" w:hAnsi="Wingdings" w:hint="default"/>
      </w:rPr>
    </w:lvl>
    <w:lvl w:ilvl="6" w:tplc="DD72DC0A" w:tentative="1">
      <w:start w:val="1"/>
      <w:numFmt w:val="bullet"/>
      <w:lvlText w:val=""/>
      <w:lvlJc w:val="left"/>
      <w:pPr>
        <w:tabs>
          <w:tab w:val="num" w:pos="5040"/>
        </w:tabs>
        <w:ind w:left="5040" w:hanging="360"/>
      </w:pPr>
      <w:rPr>
        <w:rFonts w:ascii="Symbol" w:hAnsi="Symbol" w:hint="default"/>
      </w:rPr>
    </w:lvl>
    <w:lvl w:ilvl="7" w:tplc="2078DD2E" w:tentative="1">
      <w:start w:val="1"/>
      <w:numFmt w:val="bullet"/>
      <w:lvlText w:val="o"/>
      <w:lvlJc w:val="left"/>
      <w:pPr>
        <w:tabs>
          <w:tab w:val="num" w:pos="5760"/>
        </w:tabs>
        <w:ind w:left="5760" w:hanging="360"/>
      </w:pPr>
      <w:rPr>
        <w:rFonts w:ascii="Courier New" w:hAnsi="Courier New" w:cs="Courier New" w:hint="default"/>
      </w:rPr>
    </w:lvl>
    <w:lvl w:ilvl="8" w:tplc="C45E04CA"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9"/>
  </w:num>
  <w:num w:numId="4">
    <w:abstractNumId w:val="13"/>
  </w:num>
  <w:num w:numId="5">
    <w:abstractNumId w:val="10"/>
  </w:num>
  <w:num w:numId="6">
    <w:abstractNumId w:val="8"/>
  </w:num>
  <w:num w:numId="7">
    <w:abstractNumId w:val="17"/>
  </w:num>
  <w:num w:numId="8">
    <w:abstractNumId w:val="18"/>
  </w:num>
  <w:num w:numId="9">
    <w:abstractNumId w:val="3"/>
  </w:num>
  <w:num w:numId="10">
    <w:abstractNumId w:val="12"/>
  </w:num>
  <w:num w:numId="11">
    <w:abstractNumId w:val="21"/>
  </w:num>
  <w:num w:numId="12">
    <w:abstractNumId w:val="6"/>
  </w:num>
  <w:num w:numId="13">
    <w:abstractNumId w:val="5"/>
  </w:num>
  <w:num w:numId="14">
    <w:abstractNumId w:val="23"/>
  </w:num>
  <w:num w:numId="15">
    <w:abstractNumId w:val="24"/>
  </w:num>
  <w:num w:numId="16">
    <w:abstractNumId w:val="20"/>
  </w:num>
  <w:num w:numId="17">
    <w:abstractNumId w:val="16"/>
  </w:num>
  <w:num w:numId="18">
    <w:abstractNumId w:val="1"/>
  </w:num>
  <w:num w:numId="19">
    <w:abstractNumId w:val="0"/>
  </w:num>
  <w:num w:numId="20">
    <w:abstractNumId w:val="22"/>
  </w:num>
  <w:num w:numId="21">
    <w:abstractNumId w:val="19"/>
  </w:num>
  <w:num w:numId="22">
    <w:abstractNumId w:val="7"/>
  </w:num>
  <w:num w:numId="23">
    <w:abstractNumId w:val="2"/>
  </w:num>
  <w:num w:numId="24">
    <w:abstractNumId w:val="15"/>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4097">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11550"/>
    <w:rsid w:val="0001170C"/>
    <w:rsid w:val="000129D7"/>
    <w:rsid w:val="0001356A"/>
    <w:rsid w:val="00014038"/>
    <w:rsid w:val="0001508D"/>
    <w:rsid w:val="00015DBC"/>
    <w:rsid w:val="00016771"/>
    <w:rsid w:val="00016CBA"/>
    <w:rsid w:val="00017D33"/>
    <w:rsid w:val="00017E33"/>
    <w:rsid w:val="000204FB"/>
    <w:rsid w:val="000211DA"/>
    <w:rsid w:val="0002235F"/>
    <w:rsid w:val="00022D41"/>
    <w:rsid w:val="000257E7"/>
    <w:rsid w:val="00030485"/>
    <w:rsid w:val="00030588"/>
    <w:rsid w:val="00031866"/>
    <w:rsid w:val="0003385B"/>
    <w:rsid w:val="00034B41"/>
    <w:rsid w:val="00034E45"/>
    <w:rsid w:val="000351D9"/>
    <w:rsid w:val="00035E2A"/>
    <w:rsid w:val="00037673"/>
    <w:rsid w:val="000433AB"/>
    <w:rsid w:val="00044EDD"/>
    <w:rsid w:val="000452A6"/>
    <w:rsid w:val="0004636D"/>
    <w:rsid w:val="00046974"/>
    <w:rsid w:val="000513B2"/>
    <w:rsid w:val="00053BB3"/>
    <w:rsid w:val="00053D8A"/>
    <w:rsid w:val="00060A32"/>
    <w:rsid w:val="00061389"/>
    <w:rsid w:val="00063C90"/>
    <w:rsid w:val="000655EB"/>
    <w:rsid w:val="00065C12"/>
    <w:rsid w:val="00067F6E"/>
    <w:rsid w:val="00070B92"/>
    <w:rsid w:val="00070BAE"/>
    <w:rsid w:val="00070F05"/>
    <w:rsid w:val="000722A1"/>
    <w:rsid w:val="00074C9B"/>
    <w:rsid w:val="00075C1B"/>
    <w:rsid w:val="00075E37"/>
    <w:rsid w:val="00075F52"/>
    <w:rsid w:val="000765D3"/>
    <w:rsid w:val="000766F0"/>
    <w:rsid w:val="00076703"/>
    <w:rsid w:val="000805B2"/>
    <w:rsid w:val="00082E97"/>
    <w:rsid w:val="000833A0"/>
    <w:rsid w:val="00085585"/>
    <w:rsid w:val="00085E50"/>
    <w:rsid w:val="00086164"/>
    <w:rsid w:val="000863C3"/>
    <w:rsid w:val="00090C8C"/>
    <w:rsid w:val="00092F37"/>
    <w:rsid w:val="00097A76"/>
    <w:rsid w:val="000A0794"/>
    <w:rsid w:val="000A3437"/>
    <w:rsid w:val="000A4433"/>
    <w:rsid w:val="000A5BCC"/>
    <w:rsid w:val="000A7400"/>
    <w:rsid w:val="000A7708"/>
    <w:rsid w:val="000A7AD4"/>
    <w:rsid w:val="000B0232"/>
    <w:rsid w:val="000B108C"/>
    <w:rsid w:val="000B13AB"/>
    <w:rsid w:val="000B146D"/>
    <w:rsid w:val="000B4054"/>
    <w:rsid w:val="000B4271"/>
    <w:rsid w:val="000B56CF"/>
    <w:rsid w:val="000B5B55"/>
    <w:rsid w:val="000B6330"/>
    <w:rsid w:val="000B7FF7"/>
    <w:rsid w:val="000C0125"/>
    <w:rsid w:val="000C0807"/>
    <w:rsid w:val="000C0D83"/>
    <w:rsid w:val="000C31B7"/>
    <w:rsid w:val="000C45A2"/>
    <w:rsid w:val="000C6046"/>
    <w:rsid w:val="000D074E"/>
    <w:rsid w:val="000D1137"/>
    <w:rsid w:val="000D32D5"/>
    <w:rsid w:val="000D444F"/>
    <w:rsid w:val="000D47A5"/>
    <w:rsid w:val="000E0333"/>
    <w:rsid w:val="000E2E8A"/>
    <w:rsid w:val="000E4F29"/>
    <w:rsid w:val="000E595E"/>
    <w:rsid w:val="000E5C21"/>
    <w:rsid w:val="000F0FB0"/>
    <w:rsid w:val="000F4555"/>
    <w:rsid w:val="000F5E56"/>
    <w:rsid w:val="000F5F51"/>
    <w:rsid w:val="000F706A"/>
    <w:rsid w:val="000F7DB9"/>
    <w:rsid w:val="000F7EBB"/>
    <w:rsid w:val="0010001A"/>
    <w:rsid w:val="001020A5"/>
    <w:rsid w:val="00104CCC"/>
    <w:rsid w:val="001104EF"/>
    <w:rsid w:val="00115A8C"/>
    <w:rsid w:val="00115D91"/>
    <w:rsid w:val="001204E2"/>
    <w:rsid w:val="00124777"/>
    <w:rsid w:val="001250BF"/>
    <w:rsid w:val="001260C2"/>
    <w:rsid w:val="00127B7F"/>
    <w:rsid w:val="00130109"/>
    <w:rsid w:val="00132E41"/>
    <w:rsid w:val="00135A4C"/>
    <w:rsid w:val="001360A4"/>
    <w:rsid w:val="00136E47"/>
    <w:rsid w:val="00136FF9"/>
    <w:rsid w:val="00137BA1"/>
    <w:rsid w:val="0014049B"/>
    <w:rsid w:val="00141818"/>
    <w:rsid w:val="00141E52"/>
    <w:rsid w:val="0014252B"/>
    <w:rsid w:val="0014282B"/>
    <w:rsid w:val="00142A4D"/>
    <w:rsid w:val="00142E47"/>
    <w:rsid w:val="00143525"/>
    <w:rsid w:val="001436A7"/>
    <w:rsid w:val="00144611"/>
    <w:rsid w:val="00144B1B"/>
    <w:rsid w:val="0014787F"/>
    <w:rsid w:val="00152D98"/>
    <w:rsid w:val="00155D8F"/>
    <w:rsid w:val="001564B4"/>
    <w:rsid w:val="00156521"/>
    <w:rsid w:val="00156A18"/>
    <w:rsid w:val="00157C54"/>
    <w:rsid w:val="0016217F"/>
    <w:rsid w:val="001644AA"/>
    <w:rsid w:val="00165C4D"/>
    <w:rsid w:val="00166BE1"/>
    <w:rsid w:val="001674EB"/>
    <w:rsid w:val="001702D7"/>
    <w:rsid w:val="001707ED"/>
    <w:rsid w:val="00170B04"/>
    <w:rsid w:val="00172093"/>
    <w:rsid w:val="0017313D"/>
    <w:rsid w:val="00174585"/>
    <w:rsid w:val="001756DD"/>
    <w:rsid w:val="00175CFE"/>
    <w:rsid w:val="00176846"/>
    <w:rsid w:val="001772C7"/>
    <w:rsid w:val="00177AE1"/>
    <w:rsid w:val="00180E63"/>
    <w:rsid w:val="00180EC6"/>
    <w:rsid w:val="00182E7D"/>
    <w:rsid w:val="001840DC"/>
    <w:rsid w:val="00184C6E"/>
    <w:rsid w:val="00187D56"/>
    <w:rsid w:val="00190A25"/>
    <w:rsid w:val="00193384"/>
    <w:rsid w:val="001957F2"/>
    <w:rsid w:val="0019627A"/>
    <w:rsid w:val="00197485"/>
    <w:rsid w:val="001A0653"/>
    <w:rsid w:val="001A157D"/>
    <w:rsid w:val="001A4314"/>
    <w:rsid w:val="001A4CB0"/>
    <w:rsid w:val="001A4F3D"/>
    <w:rsid w:val="001A64D6"/>
    <w:rsid w:val="001A676A"/>
    <w:rsid w:val="001A76CD"/>
    <w:rsid w:val="001A78E9"/>
    <w:rsid w:val="001A7A00"/>
    <w:rsid w:val="001B0BC3"/>
    <w:rsid w:val="001B11EB"/>
    <w:rsid w:val="001B1559"/>
    <w:rsid w:val="001B1EF9"/>
    <w:rsid w:val="001B35CF"/>
    <w:rsid w:val="001B3A25"/>
    <w:rsid w:val="001B40B6"/>
    <w:rsid w:val="001B7441"/>
    <w:rsid w:val="001B7D36"/>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5233"/>
    <w:rsid w:val="001D5666"/>
    <w:rsid w:val="001D65A4"/>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8B6"/>
    <w:rsid w:val="00203160"/>
    <w:rsid w:val="0020410B"/>
    <w:rsid w:val="002045EA"/>
    <w:rsid w:val="00205552"/>
    <w:rsid w:val="00205AA6"/>
    <w:rsid w:val="0021017E"/>
    <w:rsid w:val="00210F50"/>
    <w:rsid w:val="00212975"/>
    <w:rsid w:val="00213176"/>
    <w:rsid w:val="00214C9D"/>
    <w:rsid w:val="002178C9"/>
    <w:rsid w:val="00222F3B"/>
    <w:rsid w:val="002235CA"/>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A89"/>
    <w:rsid w:val="00266B56"/>
    <w:rsid w:val="00266C05"/>
    <w:rsid w:val="002702DD"/>
    <w:rsid w:val="00272699"/>
    <w:rsid w:val="0027351E"/>
    <w:rsid w:val="0027441E"/>
    <w:rsid w:val="0027483C"/>
    <w:rsid w:val="00281D52"/>
    <w:rsid w:val="002820D7"/>
    <w:rsid w:val="00286E03"/>
    <w:rsid w:val="00287F57"/>
    <w:rsid w:val="00291B3A"/>
    <w:rsid w:val="00292348"/>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2530"/>
    <w:rsid w:val="002B3053"/>
    <w:rsid w:val="002B33AD"/>
    <w:rsid w:val="002B3E15"/>
    <w:rsid w:val="002B4651"/>
    <w:rsid w:val="002B7D4C"/>
    <w:rsid w:val="002C018F"/>
    <w:rsid w:val="002C0F44"/>
    <w:rsid w:val="002C159E"/>
    <w:rsid w:val="002C23D1"/>
    <w:rsid w:val="002C257C"/>
    <w:rsid w:val="002C37BD"/>
    <w:rsid w:val="002C5AF0"/>
    <w:rsid w:val="002C7822"/>
    <w:rsid w:val="002C79E4"/>
    <w:rsid w:val="002D0510"/>
    <w:rsid w:val="002D296E"/>
    <w:rsid w:val="002D468F"/>
    <w:rsid w:val="002D5DED"/>
    <w:rsid w:val="002D657C"/>
    <w:rsid w:val="002D6E19"/>
    <w:rsid w:val="002D7A0A"/>
    <w:rsid w:val="002E000E"/>
    <w:rsid w:val="002E0115"/>
    <w:rsid w:val="002E0FC6"/>
    <w:rsid w:val="002E1AC2"/>
    <w:rsid w:val="002E2CDD"/>
    <w:rsid w:val="002E499B"/>
    <w:rsid w:val="002E5DD8"/>
    <w:rsid w:val="002E626C"/>
    <w:rsid w:val="002E7F6A"/>
    <w:rsid w:val="002F056E"/>
    <w:rsid w:val="002F1AB4"/>
    <w:rsid w:val="002F3393"/>
    <w:rsid w:val="002F36D2"/>
    <w:rsid w:val="002F3C1A"/>
    <w:rsid w:val="002F3E97"/>
    <w:rsid w:val="002F4300"/>
    <w:rsid w:val="002F489A"/>
    <w:rsid w:val="002F5650"/>
    <w:rsid w:val="003012DD"/>
    <w:rsid w:val="003023FD"/>
    <w:rsid w:val="0030414F"/>
    <w:rsid w:val="00305213"/>
    <w:rsid w:val="00305565"/>
    <w:rsid w:val="003064B4"/>
    <w:rsid w:val="00310C02"/>
    <w:rsid w:val="0031131B"/>
    <w:rsid w:val="00312B95"/>
    <w:rsid w:val="00312E50"/>
    <w:rsid w:val="003147DD"/>
    <w:rsid w:val="00315D84"/>
    <w:rsid w:val="00316AAC"/>
    <w:rsid w:val="00321C81"/>
    <w:rsid w:val="00322444"/>
    <w:rsid w:val="003225AB"/>
    <w:rsid w:val="00323965"/>
    <w:rsid w:val="00325117"/>
    <w:rsid w:val="00330A76"/>
    <w:rsid w:val="00330D74"/>
    <w:rsid w:val="00332945"/>
    <w:rsid w:val="00333127"/>
    <w:rsid w:val="003341A9"/>
    <w:rsid w:val="00334B60"/>
    <w:rsid w:val="003360B5"/>
    <w:rsid w:val="003368B5"/>
    <w:rsid w:val="003369D5"/>
    <w:rsid w:val="00336FAC"/>
    <w:rsid w:val="003379F3"/>
    <w:rsid w:val="00337AAE"/>
    <w:rsid w:val="00340136"/>
    <w:rsid w:val="003405D1"/>
    <w:rsid w:val="00341566"/>
    <w:rsid w:val="00342A5A"/>
    <w:rsid w:val="00345C2F"/>
    <w:rsid w:val="0034794C"/>
    <w:rsid w:val="00347D10"/>
    <w:rsid w:val="00347E04"/>
    <w:rsid w:val="0035098F"/>
    <w:rsid w:val="0035177E"/>
    <w:rsid w:val="003522B0"/>
    <w:rsid w:val="00352A66"/>
    <w:rsid w:val="00353B7B"/>
    <w:rsid w:val="00354CF6"/>
    <w:rsid w:val="003557A9"/>
    <w:rsid w:val="0035655A"/>
    <w:rsid w:val="00356F76"/>
    <w:rsid w:val="00357879"/>
    <w:rsid w:val="00360C27"/>
    <w:rsid w:val="0036152B"/>
    <w:rsid w:val="00361A07"/>
    <w:rsid w:val="00362300"/>
    <w:rsid w:val="00362945"/>
    <w:rsid w:val="00363DA6"/>
    <w:rsid w:val="003643A3"/>
    <w:rsid w:val="00364555"/>
    <w:rsid w:val="0036493C"/>
    <w:rsid w:val="00364E79"/>
    <w:rsid w:val="00365BED"/>
    <w:rsid w:val="00365ECE"/>
    <w:rsid w:val="00366135"/>
    <w:rsid w:val="00366EAE"/>
    <w:rsid w:val="0037000D"/>
    <w:rsid w:val="00372980"/>
    <w:rsid w:val="00372C90"/>
    <w:rsid w:val="00373509"/>
    <w:rsid w:val="00373545"/>
    <w:rsid w:val="00373D61"/>
    <w:rsid w:val="003813B0"/>
    <w:rsid w:val="00381894"/>
    <w:rsid w:val="00382BC2"/>
    <w:rsid w:val="003852FD"/>
    <w:rsid w:val="00385614"/>
    <w:rsid w:val="003864C0"/>
    <w:rsid w:val="00386714"/>
    <w:rsid w:val="00386BBA"/>
    <w:rsid w:val="00386D59"/>
    <w:rsid w:val="003870E2"/>
    <w:rsid w:val="003908F2"/>
    <w:rsid w:val="0039171C"/>
    <w:rsid w:val="00393C49"/>
    <w:rsid w:val="00395037"/>
    <w:rsid w:val="003950F3"/>
    <w:rsid w:val="00396AAB"/>
    <w:rsid w:val="00396E51"/>
    <w:rsid w:val="00396FEE"/>
    <w:rsid w:val="00397157"/>
    <w:rsid w:val="00397842"/>
    <w:rsid w:val="003A12E4"/>
    <w:rsid w:val="003A1A4E"/>
    <w:rsid w:val="003A2AFB"/>
    <w:rsid w:val="003A3E3B"/>
    <w:rsid w:val="003A437D"/>
    <w:rsid w:val="003A5F6E"/>
    <w:rsid w:val="003B01D4"/>
    <w:rsid w:val="003B0602"/>
    <w:rsid w:val="003B3833"/>
    <w:rsid w:val="003B5B3A"/>
    <w:rsid w:val="003B669E"/>
    <w:rsid w:val="003B6AF8"/>
    <w:rsid w:val="003C4418"/>
    <w:rsid w:val="003D277A"/>
    <w:rsid w:val="003D3401"/>
    <w:rsid w:val="003D41D9"/>
    <w:rsid w:val="003D7C66"/>
    <w:rsid w:val="003E15BE"/>
    <w:rsid w:val="003E4703"/>
    <w:rsid w:val="003E4C57"/>
    <w:rsid w:val="003E4E42"/>
    <w:rsid w:val="003E6A24"/>
    <w:rsid w:val="003E74A4"/>
    <w:rsid w:val="003F0648"/>
    <w:rsid w:val="003F159A"/>
    <w:rsid w:val="003F23B0"/>
    <w:rsid w:val="003F291D"/>
    <w:rsid w:val="003F2F80"/>
    <w:rsid w:val="003F4406"/>
    <w:rsid w:val="003F4998"/>
    <w:rsid w:val="003F6535"/>
    <w:rsid w:val="003F7DFD"/>
    <w:rsid w:val="004030F5"/>
    <w:rsid w:val="00403EC1"/>
    <w:rsid w:val="00404378"/>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3018B"/>
    <w:rsid w:val="004323E1"/>
    <w:rsid w:val="00433FEB"/>
    <w:rsid w:val="00434D3A"/>
    <w:rsid w:val="0043622D"/>
    <w:rsid w:val="00441D9B"/>
    <w:rsid w:val="00442BE6"/>
    <w:rsid w:val="0044452B"/>
    <w:rsid w:val="00445908"/>
    <w:rsid w:val="00446BFE"/>
    <w:rsid w:val="00447F42"/>
    <w:rsid w:val="0045116A"/>
    <w:rsid w:val="00451E60"/>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194"/>
    <w:rsid w:val="00462797"/>
    <w:rsid w:val="00464228"/>
    <w:rsid w:val="00467537"/>
    <w:rsid w:val="0047058E"/>
    <w:rsid w:val="00471026"/>
    <w:rsid w:val="004721D2"/>
    <w:rsid w:val="004732C0"/>
    <w:rsid w:val="00473A93"/>
    <w:rsid w:val="00474394"/>
    <w:rsid w:val="004744D3"/>
    <w:rsid w:val="00475EFF"/>
    <w:rsid w:val="00476144"/>
    <w:rsid w:val="0047786B"/>
    <w:rsid w:val="004822A1"/>
    <w:rsid w:val="00482EF4"/>
    <w:rsid w:val="0048343C"/>
    <w:rsid w:val="00483A17"/>
    <w:rsid w:val="00483DD5"/>
    <w:rsid w:val="004845F1"/>
    <w:rsid w:val="00484BC2"/>
    <w:rsid w:val="0048616B"/>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2EFC"/>
    <w:rsid w:val="004A31C3"/>
    <w:rsid w:val="004A4474"/>
    <w:rsid w:val="004A472E"/>
    <w:rsid w:val="004A4B6B"/>
    <w:rsid w:val="004B0361"/>
    <w:rsid w:val="004B1640"/>
    <w:rsid w:val="004B3904"/>
    <w:rsid w:val="004B42F1"/>
    <w:rsid w:val="004B6157"/>
    <w:rsid w:val="004B7492"/>
    <w:rsid w:val="004B7C61"/>
    <w:rsid w:val="004C0E63"/>
    <w:rsid w:val="004C3546"/>
    <w:rsid w:val="004C3568"/>
    <w:rsid w:val="004C4638"/>
    <w:rsid w:val="004C60B8"/>
    <w:rsid w:val="004C7DD7"/>
    <w:rsid w:val="004D18D0"/>
    <w:rsid w:val="004D27D6"/>
    <w:rsid w:val="004D2F5D"/>
    <w:rsid w:val="004D5771"/>
    <w:rsid w:val="004D79AD"/>
    <w:rsid w:val="004E493E"/>
    <w:rsid w:val="004E6274"/>
    <w:rsid w:val="004E63CC"/>
    <w:rsid w:val="004F096E"/>
    <w:rsid w:val="004F0BE2"/>
    <w:rsid w:val="004F256B"/>
    <w:rsid w:val="004F32A0"/>
    <w:rsid w:val="004F72C7"/>
    <w:rsid w:val="004F75A1"/>
    <w:rsid w:val="004F79BD"/>
    <w:rsid w:val="00502E98"/>
    <w:rsid w:val="005031B6"/>
    <w:rsid w:val="00506BC4"/>
    <w:rsid w:val="00507A63"/>
    <w:rsid w:val="00507D05"/>
    <w:rsid w:val="00510FCB"/>
    <w:rsid w:val="00513602"/>
    <w:rsid w:val="00515116"/>
    <w:rsid w:val="005157A6"/>
    <w:rsid w:val="0052067C"/>
    <w:rsid w:val="00522F30"/>
    <w:rsid w:val="00523EDE"/>
    <w:rsid w:val="00531479"/>
    <w:rsid w:val="005335EE"/>
    <w:rsid w:val="005343DE"/>
    <w:rsid w:val="005348EF"/>
    <w:rsid w:val="005351E9"/>
    <w:rsid w:val="005353FE"/>
    <w:rsid w:val="005363D4"/>
    <w:rsid w:val="005374AC"/>
    <w:rsid w:val="005445D6"/>
    <w:rsid w:val="00545090"/>
    <w:rsid w:val="005461FF"/>
    <w:rsid w:val="00546C44"/>
    <w:rsid w:val="00550C83"/>
    <w:rsid w:val="005510FE"/>
    <w:rsid w:val="00556B35"/>
    <w:rsid w:val="00561EE2"/>
    <w:rsid w:val="005631AD"/>
    <w:rsid w:val="005639EA"/>
    <w:rsid w:val="005647FD"/>
    <w:rsid w:val="00564BCE"/>
    <w:rsid w:val="00564F61"/>
    <w:rsid w:val="005667D5"/>
    <w:rsid w:val="005722A1"/>
    <w:rsid w:val="00572319"/>
    <w:rsid w:val="00572841"/>
    <w:rsid w:val="00573B43"/>
    <w:rsid w:val="00574314"/>
    <w:rsid w:val="00575350"/>
    <w:rsid w:val="00575D08"/>
    <w:rsid w:val="00577298"/>
    <w:rsid w:val="00580DC4"/>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B2981"/>
    <w:rsid w:val="005B522F"/>
    <w:rsid w:val="005B7710"/>
    <w:rsid w:val="005C10C7"/>
    <w:rsid w:val="005C206D"/>
    <w:rsid w:val="005C2C17"/>
    <w:rsid w:val="005C349D"/>
    <w:rsid w:val="005C4005"/>
    <w:rsid w:val="005C4BD3"/>
    <w:rsid w:val="005C6FD6"/>
    <w:rsid w:val="005C7A9F"/>
    <w:rsid w:val="005D0AF9"/>
    <w:rsid w:val="005D1E18"/>
    <w:rsid w:val="005D244B"/>
    <w:rsid w:val="005D2B37"/>
    <w:rsid w:val="005D4715"/>
    <w:rsid w:val="005D6F2C"/>
    <w:rsid w:val="005E0A0B"/>
    <w:rsid w:val="005E1812"/>
    <w:rsid w:val="005E1AF2"/>
    <w:rsid w:val="005E1D7A"/>
    <w:rsid w:val="005E2411"/>
    <w:rsid w:val="005E2DC2"/>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35A4"/>
    <w:rsid w:val="00604147"/>
    <w:rsid w:val="00604AB5"/>
    <w:rsid w:val="00605815"/>
    <w:rsid w:val="00605C82"/>
    <w:rsid w:val="0060617B"/>
    <w:rsid w:val="00607978"/>
    <w:rsid w:val="00607E92"/>
    <w:rsid w:val="00614A27"/>
    <w:rsid w:val="00615247"/>
    <w:rsid w:val="006155FC"/>
    <w:rsid w:val="00615695"/>
    <w:rsid w:val="0061714E"/>
    <w:rsid w:val="006203BD"/>
    <w:rsid w:val="0062059B"/>
    <w:rsid w:val="006207C0"/>
    <w:rsid w:val="006247BA"/>
    <w:rsid w:val="00624C5C"/>
    <w:rsid w:val="00627E76"/>
    <w:rsid w:val="006323A6"/>
    <w:rsid w:val="00632B1F"/>
    <w:rsid w:val="00635A99"/>
    <w:rsid w:val="00636A86"/>
    <w:rsid w:val="006409FF"/>
    <w:rsid w:val="00644629"/>
    <w:rsid w:val="00645987"/>
    <w:rsid w:val="0065046E"/>
    <w:rsid w:val="006504EE"/>
    <w:rsid w:val="00650B00"/>
    <w:rsid w:val="0065259E"/>
    <w:rsid w:val="0065282A"/>
    <w:rsid w:val="00652F48"/>
    <w:rsid w:val="006536A9"/>
    <w:rsid w:val="00657C61"/>
    <w:rsid w:val="00657CB6"/>
    <w:rsid w:val="00657E00"/>
    <w:rsid w:val="00660628"/>
    <w:rsid w:val="006613A9"/>
    <w:rsid w:val="006625B4"/>
    <w:rsid w:val="006640FE"/>
    <w:rsid w:val="006650D3"/>
    <w:rsid w:val="006700C5"/>
    <w:rsid w:val="00671255"/>
    <w:rsid w:val="00672BEE"/>
    <w:rsid w:val="00674467"/>
    <w:rsid w:val="0067448D"/>
    <w:rsid w:val="006762E5"/>
    <w:rsid w:val="006764C8"/>
    <w:rsid w:val="0067772C"/>
    <w:rsid w:val="006777A0"/>
    <w:rsid w:val="006813C8"/>
    <w:rsid w:val="00681A3E"/>
    <w:rsid w:val="00682A07"/>
    <w:rsid w:val="00683B97"/>
    <w:rsid w:val="00683CCF"/>
    <w:rsid w:val="00683DC7"/>
    <w:rsid w:val="00683E06"/>
    <w:rsid w:val="006846ED"/>
    <w:rsid w:val="0068568E"/>
    <w:rsid w:val="00685B51"/>
    <w:rsid w:val="00685E07"/>
    <w:rsid w:val="0069068B"/>
    <w:rsid w:val="006931D5"/>
    <w:rsid w:val="00694103"/>
    <w:rsid w:val="006974FC"/>
    <w:rsid w:val="006A0482"/>
    <w:rsid w:val="006A13BF"/>
    <w:rsid w:val="006A4046"/>
    <w:rsid w:val="006A53F6"/>
    <w:rsid w:val="006A5585"/>
    <w:rsid w:val="006B432F"/>
    <w:rsid w:val="006B7C24"/>
    <w:rsid w:val="006B7CF9"/>
    <w:rsid w:val="006C0139"/>
    <w:rsid w:val="006C111C"/>
    <w:rsid w:val="006C1AEE"/>
    <w:rsid w:val="006C27E2"/>
    <w:rsid w:val="006C3927"/>
    <w:rsid w:val="006C51F7"/>
    <w:rsid w:val="006C5261"/>
    <w:rsid w:val="006C6452"/>
    <w:rsid w:val="006C6761"/>
    <w:rsid w:val="006D0368"/>
    <w:rsid w:val="006D2333"/>
    <w:rsid w:val="006D2DEC"/>
    <w:rsid w:val="006D3DBE"/>
    <w:rsid w:val="006D571E"/>
    <w:rsid w:val="006D6CC7"/>
    <w:rsid w:val="006D70CD"/>
    <w:rsid w:val="006D7C85"/>
    <w:rsid w:val="006E1CA2"/>
    <w:rsid w:val="006E2C81"/>
    <w:rsid w:val="006E343F"/>
    <w:rsid w:val="006E42F5"/>
    <w:rsid w:val="006E4AA9"/>
    <w:rsid w:val="006E53D1"/>
    <w:rsid w:val="006E61D8"/>
    <w:rsid w:val="006E6DB3"/>
    <w:rsid w:val="006E7CC1"/>
    <w:rsid w:val="006E7E22"/>
    <w:rsid w:val="006F0B6B"/>
    <w:rsid w:val="006F1E01"/>
    <w:rsid w:val="006F47C8"/>
    <w:rsid w:val="006F4AF5"/>
    <w:rsid w:val="006F51F9"/>
    <w:rsid w:val="006F715C"/>
    <w:rsid w:val="006F7A23"/>
    <w:rsid w:val="0070010D"/>
    <w:rsid w:val="007004DA"/>
    <w:rsid w:val="00701655"/>
    <w:rsid w:val="00701726"/>
    <w:rsid w:val="007031E2"/>
    <w:rsid w:val="00703733"/>
    <w:rsid w:val="00707449"/>
    <w:rsid w:val="00711B43"/>
    <w:rsid w:val="007122CC"/>
    <w:rsid w:val="00716799"/>
    <w:rsid w:val="0072229D"/>
    <w:rsid w:val="007339FC"/>
    <w:rsid w:val="00733A81"/>
    <w:rsid w:val="0073548A"/>
    <w:rsid w:val="007375CF"/>
    <w:rsid w:val="00737F14"/>
    <w:rsid w:val="00740BD4"/>
    <w:rsid w:val="00742F5B"/>
    <w:rsid w:val="0074328B"/>
    <w:rsid w:val="007500A2"/>
    <w:rsid w:val="00751A18"/>
    <w:rsid w:val="0075426C"/>
    <w:rsid w:val="00754B6C"/>
    <w:rsid w:val="007609DE"/>
    <w:rsid w:val="00760D7B"/>
    <w:rsid w:val="00762176"/>
    <w:rsid w:val="0076664B"/>
    <w:rsid w:val="00766D48"/>
    <w:rsid w:val="00773ADD"/>
    <w:rsid w:val="00774FA0"/>
    <w:rsid w:val="00777A11"/>
    <w:rsid w:val="00780026"/>
    <w:rsid w:val="0078013B"/>
    <w:rsid w:val="00780E9B"/>
    <w:rsid w:val="00784027"/>
    <w:rsid w:val="007848F3"/>
    <w:rsid w:val="00784C7B"/>
    <w:rsid w:val="007857B4"/>
    <w:rsid w:val="007864C1"/>
    <w:rsid w:val="00786718"/>
    <w:rsid w:val="00791CE4"/>
    <w:rsid w:val="00794312"/>
    <w:rsid w:val="0079518B"/>
    <w:rsid w:val="00797D46"/>
    <w:rsid w:val="007A01CC"/>
    <w:rsid w:val="007A0524"/>
    <w:rsid w:val="007A2365"/>
    <w:rsid w:val="007A2597"/>
    <w:rsid w:val="007A25C9"/>
    <w:rsid w:val="007A2CC5"/>
    <w:rsid w:val="007A2D4A"/>
    <w:rsid w:val="007A32BB"/>
    <w:rsid w:val="007A4679"/>
    <w:rsid w:val="007A4C9D"/>
    <w:rsid w:val="007A5DFF"/>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C574F"/>
    <w:rsid w:val="007C613A"/>
    <w:rsid w:val="007D1A32"/>
    <w:rsid w:val="007D3FA4"/>
    <w:rsid w:val="007D5153"/>
    <w:rsid w:val="007D620F"/>
    <w:rsid w:val="007E14BD"/>
    <w:rsid w:val="007E31EA"/>
    <w:rsid w:val="007E3B25"/>
    <w:rsid w:val="007E3B7D"/>
    <w:rsid w:val="007E5A22"/>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20AF"/>
    <w:rsid w:val="008125B6"/>
    <w:rsid w:val="00812625"/>
    <w:rsid w:val="00814DBF"/>
    <w:rsid w:val="008170B0"/>
    <w:rsid w:val="00817759"/>
    <w:rsid w:val="00817C8F"/>
    <w:rsid w:val="00817E9A"/>
    <w:rsid w:val="00820982"/>
    <w:rsid w:val="008213C2"/>
    <w:rsid w:val="0082169D"/>
    <w:rsid w:val="0082170D"/>
    <w:rsid w:val="0082187A"/>
    <w:rsid w:val="00822223"/>
    <w:rsid w:val="00822802"/>
    <w:rsid w:val="00825521"/>
    <w:rsid w:val="008266EB"/>
    <w:rsid w:val="00831989"/>
    <w:rsid w:val="00831EBD"/>
    <w:rsid w:val="00836BE4"/>
    <w:rsid w:val="008378B4"/>
    <w:rsid w:val="00840A1A"/>
    <w:rsid w:val="00840D02"/>
    <w:rsid w:val="00842196"/>
    <w:rsid w:val="008431E0"/>
    <w:rsid w:val="00843A16"/>
    <w:rsid w:val="00844665"/>
    <w:rsid w:val="00844A3F"/>
    <w:rsid w:val="00845E4B"/>
    <w:rsid w:val="00846735"/>
    <w:rsid w:val="00846837"/>
    <w:rsid w:val="00846E42"/>
    <w:rsid w:val="00850601"/>
    <w:rsid w:val="00852698"/>
    <w:rsid w:val="008527C1"/>
    <w:rsid w:val="00852948"/>
    <w:rsid w:val="00853065"/>
    <w:rsid w:val="00854598"/>
    <w:rsid w:val="00856BDC"/>
    <w:rsid w:val="00857CBA"/>
    <w:rsid w:val="00861C4F"/>
    <w:rsid w:val="00862D0B"/>
    <w:rsid w:val="00863D30"/>
    <w:rsid w:val="008642DF"/>
    <w:rsid w:val="0086434F"/>
    <w:rsid w:val="00864FC3"/>
    <w:rsid w:val="00865AD8"/>
    <w:rsid w:val="00866CE0"/>
    <w:rsid w:val="008721CC"/>
    <w:rsid w:val="00872226"/>
    <w:rsid w:val="0087239F"/>
    <w:rsid w:val="00872695"/>
    <w:rsid w:val="00872B47"/>
    <w:rsid w:val="00873208"/>
    <w:rsid w:val="00874730"/>
    <w:rsid w:val="008751CE"/>
    <w:rsid w:val="00875F84"/>
    <w:rsid w:val="008763FA"/>
    <w:rsid w:val="008773C3"/>
    <w:rsid w:val="00877623"/>
    <w:rsid w:val="008824EE"/>
    <w:rsid w:val="00882B7E"/>
    <w:rsid w:val="00882D96"/>
    <w:rsid w:val="00883EFA"/>
    <w:rsid w:val="00885A80"/>
    <w:rsid w:val="008867F6"/>
    <w:rsid w:val="00887818"/>
    <w:rsid w:val="008909B9"/>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0DDD"/>
    <w:rsid w:val="008B14A2"/>
    <w:rsid w:val="008B1A8D"/>
    <w:rsid w:val="008B1C28"/>
    <w:rsid w:val="008B31F8"/>
    <w:rsid w:val="008B7A52"/>
    <w:rsid w:val="008B7F12"/>
    <w:rsid w:val="008C00EC"/>
    <w:rsid w:val="008C0773"/>
    <w:rsid w:val="008C0CE5"/>
    <w:rsid w:val="008C1F78"/>
    <w:rsid w:val="008C435C"/>
    <w:rsid w:val="008C5ABC"/>
    <w:rsid w:val="008C5C88"/>
    <w:rsid w:val="008C799F"/>
    <w:rsid w:val="008D095A"/>
    <w:rsid w:val="008D1FCD"/>
    <w:rsid w:val="008D5CE0"/>
    <w:rsid w:val="008D75EB"/>
    <w:rsid w:val="008E0A3D"/>
    <w:rsid w:val="008E0A75"/>
    <w:rsid w:val="008E0EAF"/>
    <w:rsid w:val="008E1805"/>
    <w:rsid w:val="008E6453"/>
    <w:rsid w:val="008F5BCA"/>
    <w:rsid w:val="008F6A8E"/>
    <w:rsid w:val="009027ED"/>
    <w:rsid w:val="00903409"/>
    <w:rsid w:val="00903846"/>
    <w:rsid w:val="0090525F"/>
    <w:rsid w:val="00911B9C"/>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6625"/>
    <w:rsid w:val="00951733"/>
    <w:rsid w:val="009519FC"/>
    <w:rsid w:val="00952317"/>
    <w:rsid w:val="00953A8D"/>
    <w:rsid w:val="0095692A"/>
    <w:rsid w:val="00957D8E"/>
    <w:rsid w:val="0096040D"/>
    <w:rsid w:val="009606C6"/>
    <w:rsid w:val="00960AA9"/>
    <w:rsid w:val="00960D9D"/>
    <w:rsid w:val="00961811"/>
    <w:rsid w:val="009622C7"/>
    <w:rsid w:val="009653BC"/>
    <w:rsid w:val="009663D4"/>
    <w:rsid w:val="00970F6A"/>
    <w:rsid w:val="009712C8"/>
    <w:rsid w:val="0097190C"/>
    <w:rsid w:val="009765DD"/>
    <w:rsid w:val="009775E7"/>
    <w:rsid w:val="0098097B"/>
    <w:rsid w:val="00981906"/>
    <w:rsid w:val="00982E10"/>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5FEB"/>
    <w:rsid w:val="009A7A34"/>
    <w:rsid w:val="009B0288"/>
    <w:rsid w:val="009B077D"/>
    <w:rsid w:val="009B0FA0"/>
    <w:rsid w:val="009B5599"/>
    <w:rsid w:val="009B5BD8"/>
    <w:rsid w:val="009C0FD7"/>
    <w:rsid w:val="009C3C8C"/>
    <w:rsid w:val="009C4B4C"/>
    <w:rsid w:val="009C4C54"/>
    <w:rsid w:val="009C4FD2"/>
    <w:rsid w:val="009C7161"/>
    <w:rsid w:val="009C76C1"/>
    <w:rsid w:val="009D05EC"/>
    <w:rsid w:val="009D06A2"/>
    <w:rsid w:val="009D11D6"/>
    <w:rsid w:val="009D3AF6"/>
    <w:rsid w:val="009D3F08"/>
    <w:rsid w:val="009D4019"/>
    <w:rsid w:val="009D628C"/>
    <w:rsid w:val="009E11BA"/>
    <w:rsid w:val="009E141B"/>
    <w:rsid w:val="009E16A6"/>
    <w:rsid w:val="009E21C3"/>
    <w:rsid w:val="009E2D6C"/>
    <w:rsid w:val="009E660D"/>
    <w:rsid w:val="009F50D8"/>
    <w:rsid w:val="009F5FAB"/>
    <w:rsid w:val="009F7E80"/>
    <w:rsid w:val="00A03535"/>
    <w:rsid w:val="00A045A2"/>
    <w:rsid w:val="00A04B6D"/>
    <w:rsid w:val="00A06DD7"/>
    <w:rsid w:val="00A12684"/>
    <w:rsid w:val="00A12BCC"/>
    <w:rsid w:val="00A14318"/>
    <w:rsid w:val="00A14F4E"/>
    <w:rsid w:val="00A167FB"/>
    <w:rsid w:val="00A174F5"/>
    <w:rsid w:val="00A20E1D"/>
    <w:rsid w:val="00A241E3"/>
    <w:rsid w:val="00A31FD5"/>
    <w:rsid w:val="00A32095"/>
    <w:rsid w:val="00A32C7A"/>
    <w:rsid w:val="00A32E70"/>
    <w:rsid w:val="00A33E33"/>
    <w:rsid w:val="00A34D08"/>
    <w:rsid w:val="00A43557"/>
    <w:rsid w:val="00A44D85"/>
    <w:rsid w:val="00A45025"/>
    <w:rsid w:val="00A45844"/>
    <w:rsid w:val="00A51077"/>
    <w:rsid w:val="00A51224"/>
    <w:rsid w:val="00A53380"/>
    <w:rsid w:val="00A53A6B"/>
    <w:rsid w:val="00A5433B"/>
    <w:rsid w:val="00A54C60"/>
    <w:rsid w:val="00A54E1A"/>
    <w:rsid w:val="00A55441"/>
    <w:rsid w:val="00A56A48"/>
    <w:rsid w:val="00A56DEC"/>
    <w:rsid w:val="00A60B48"/>
    <w:rsid w:val="00A60DE4"/>
    <w:rsid w:val="00A612FF"/>
    <w:rsid w:val="00A614D0"/>
    <w:rsid w:val="00A62BFB"/>
    <w:rsid w:val="00A6462A"/>
    <w:rsid w:val="00A65FDE"/>
    <w:rsid w:val="00A6602B"/>
    <w:rsid w:val="00A66E8A"/>
    <w:rsid w:val="00A71943"/>
    <w:rsid w:val="00A730EF"/>
    <w:rsid w:val="00A7361D"/>
    <w:rsid w:val="00A73874"/>
    <w:rsid w:val="00A7456C"/>
    <w:rsid w:val="00A75588"/>
    <w:rsid w:val="00A772B5"/>
    <w:rsid w:val="00A778FF"/>
    <w:rsid w:val="00A77D5D"/>
    <w:rsid w:val="00A80635"/>
    <w:rsid w:val="00A82118"/>
    <w:rsid w:val="00A82EA9"/>
    <w:rsid w:val="00A87BD4"/>
    <w:rsid w:val="00A91E7F"/>
    <w:rsid w:val="00A95C14"/>
    <w:rsid w:val="00A95FAA"/>
    <w:rsid w:val="00A9666F"/>
    <w:rsid w:val="00A97BA6"/>
    <w:rsid w:val="00A97C92"/>
    <w:rsid w:val="00AA0797"/>
    <w:rsid w:val="00AA2F4F"/>
    <w:rsid w:val="00AA4BFF"/>
    <w:rsid w:val="00AB0069"/>
    <w:rsid w:val="00AB18A3"/>
    <w:rsid w:val="00AB1B5E"/>
    <w:rsid w:val="00AB24E1"/>
    <w:rsid w:val="00AB2AB3"/>
    <w:rsid w:val="00AB3D2F"/>
    <w:rsid w:val="00AB3D71"/>
    <w:rsid w:val="00AB6EAC"/>
    <w:rsid w:val="00AC07A4"/>
    <w:rsid w:val="00AC271E"/>
    <w:rsid w:val="00AC3A9E"/>
    <w:rsid w:val="00AC67A5"/>
    <w:rsid w:val="00AD0EF9"/>
    <w:rsid w:val="00AD1F3F"/>
    <w:rsid w:val="00AD2944"/>
    <w:rsid w:val="00AD35EF"/>
    <w:rsid w:val="00AD3D17"/>
    <w:rsid w:val="00AD4A4D"/>
    <w:rsid w:val="00AD4AC5"/>
    <w:rsid w:val="00AD57B1"/>
    <w:rsid w:val="00AD612A"/>
    <w:rsid w:val="00AD7A2D"/>
    <w:rsid w:val="00AE0DF1"/>
    <w:rsid w:val="00AE2F42"/>
    <w:rsid w:val="00AE33A9"/>
    <w:rsid w:val="00AE4335"/>
    <w:rsid w:val="00AE4666"/>
    <w:rsid w:val="00AE5255"/>
    <w:rsid w:val="00AF0C56"/>
    <w:rsid w:val="00AF0F80"/>
    <w:rsid w:val="00AF140A"/>
    <w:rsid w:val="00AF1F7E"/>
    <w:rsid w:val="00AF2CDB"/>
    <w:rsid w:val="00AF4251"/>
    <w:rsid w:val="00AF4AEB"/>
    <w:rsid w:val="00AF539D"/>
    <w:rsid w:val="00AF59B9"/>
    <w:rsid w:val="00AF5A5E"/>
    <w:rsid w:val="00AF7241"/>
    <w:rsid w:val="00AF7DA3"/>
    <w:rsid w:val="00B001E4"/>
    <w:rsid w:val="00B0153A"/>
    <w:rsid w:val="00B0169A"/>
    <w:rsid w:val="00B0288E"/>
    <w:rsid w:val="00B03CE1"/>
    <w:rsid w:val="00B045F0"/>
    <w:rsid w:val="00B04889"/>
    <w:rsid w:val="00B04DC4"/>
    <w:rsid w:val="00B05CA8"/>
    <w:rsid w:val="00B06013"/>
    <w:rsid w:val="00B06CAC"/>
    <w:rsid w:val="00B07049"/>
    <w:rsid w:val="00B12AA5"/>
    <w:rsid w:val="00B1380A"/>
    <w:rsid w:val="00B13902"/>
    <w:rsid w:val="00B13FA7"/>
    <w:rsid w:val="00B14244"/>
    <w:rsid w:val="00B1506B"/>
    <w:rsid w:val="00B238AA"/>
    <w:rsid w:val="00B24B2E"/>
    <w:rsid w:val="00B24DB2"/>
    <w:rsid w:val="00B251E2"/>
    <w:rsid w:val="00B25570"/>
    <w:rsid w:val="00B2579E"/>
    <w:rsid w:val="00B25DA5"/>
    <w:rsid w:val="00B260DF"/>
    <w:rsid w:val="00B30E1D"/>
    <w:rsid w:val="00B31660"/>
    <w:rsid w:val="00B328ED"/>
    <w:rsid w:val="00B3394C"/>
    <w:rsid w:val="00B33AC0"/>
    <w:rsid w:val="00B34081"/>
    <w:rsid w:val="00B35386"/>
    <w:rsid w:val="00B356C3"/>
    <w:rsid w:val="00B35BF4"/>
    <w:rsid w:val="00B362C6"/>
    <w:rsid w:val="00B37AAE"/>
    <w:rsid w:val="00B37E3B"/>
    <w:rsid w:val="00B40BE8"/>
    <w:rsid w:val="00B41994"/>
    <w:rsid w:val="00B42655"/>
    <w:rsid w:val="00B42B99"/>
    <w:rsid w:val="00B440B9"/>
    <w:rsid w:val="00B44BDA"/>
    <w:rsid w:val="00B4503B"/>
    <w:rsid w:val="00B453F2"/>
    <w:rsid w:val="00B462E6"/>
    <w:rsid w:val="00B46EBD"/>
    <w:rsid w:val="00B51489"/>
    <w:rsid w:val="00B5163B"/>
    <w:rsid w:val="00B51651"/>
    <w:rsid w:val="00B525EE"/>
    <w:rsid w:val="00B543F6"/>
    <w:rsid w:val="00B55021"/>
    <w:rsid w:val="00B562C4"/>
    <w:rsid w:val="00B571D5"/>
    <w:rsid w:val="00B57273"/>
    <w:rsid w:val="00B6012E"/>
    <w:rsid w:val="00B6112C"/>
    <w:rsid w:val="00B61C6C"/>
    <w:rsid w:val="00B622E7"/>
    <w:rsid w:val="00B62C96"/>
    <w:rsid w:val="00B6380C"/>
    <w:rsid w:val="00B63F64"/>
    <w:rsid w:val="00B641A3"/>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3B28"/>
    <w:rsid w:val="00B846D4"/>
    <w:rsid w:val="00B84A71"/>
    <w:rsid w:val="00B8544D"/>
    <w:rsid w:val="00B871A9"/>
    <w:rsid w:val="00B878CE"/>
    <w:rsid w:val="00B87B22"/>
    <w:rsid w:val="00B87F9C"/>
    <w:rsid w:val="00B906FF"/>
    <w:rsid w:val="00B9211C"/>
    <w:rsid w:val="00B92EEC"/>
    <w:rsid w:val="00B950A5"/>
    <w:rsid w:val="00B95C83"/>
    <w:rsid w:val="00B97541"/>
    <w:rsid w:val="00BA1CA0"/>
    <w:rsid w:val="00BA455A"/>
    <w:rsid w:val="00BA5528"/>
    <w:rsid w:val="00BA688E"/>
    <w:rsid w:val="00BB0742"/>
    <w:rsid w:val="00BB1B0D"/>
    <w:rsid w:val="00BB1DFD"/>
    <w:rsid w:val="00BB2826"/>
    <w:rsid w:val="00BB6818"/>
    <w:rsid w:val="00BC013C"/>
    <w:rsid w:val="00BC0541"/>
    <w:rsid w:val="00BC0C96"/>
    <w:rsid w:val="00BC328D"/>
    <w:rsid w:val="00BC36DE"/>
    <w:rsid w:val="00BC395B"/>
    <w:rsid w:val="00BC3F67"/>
    <w:rsid w:val="00BC45BA"/>
    <w:rsid w:val="00BC5F4E"/>
    <w:rsid w:val="00BC5FDE"/>
    <w:rsid w:val="00BC7297"/>
    <w:rsid w:val="00BC72EA"/>
    <w:rsid w:val="00BD0240"/>
    <w:rsid w:val="00BD0822"/>
    <w:rsid w:val="00BD199E"/>
    <w:rsid w:val="00BD1E79"/>
    <w:rsid w:val="00BD2C19"/>
    <w:rsid w:val="00BD5E01"/>
    <w:rsid w:val="00BD799F"/>
    <w:rsid w:val="00BE0125"/>
    <w:rsid w:val="00BE0A98"/>
    <w:rsid w:val="00BE13D4"/>
    <w:rsid w:val="00BE1867"/>
    <w:rsid w:val="00BE5A97"/>
    <w:rsid w:val="00BE5FB6"/>
    <w:rsid w:val="00BE79DB"/>
    <w:rsid w:val="00BF11D7"/>
    <w:rsid w:val="00BF330A"/>
    <w:rsid w:val="00BF467C"/>
    <w:rsid w:val="00BF59B0"/>
    <w:rsid w:val="00BF7D62"/>
    <w:rsid w:val="00C0130E"/>
    <w:rsid w:val="00C0272E"/>
    <w:rsid w:val="00C02B41"/>
    <w:rsid w:val="00C04D36"/>
    <w:rsid w:val="00C04DB4"/>
    <w:rsid w:val="00C05EB3"/>
    <w:rsid w:val="00C06FCE"/>
    <w:rsid w:val="00C07C03"/>
    <w:rsid w:val="00C10747"/>
    <w:rsid w:val="00C10EB5"/>
    <w:rsid w:val="00C12025"/>
    <w:rsid w:val="00C133C8"/>
    <w:rsid w:val="00C1447E"/>
    <w:rsid w:val="00C15F7E"/>
    <w:rsid w:val="00C21159"/>
    <w:rsid w:val="00C21650"/>
    <w:rsid w:val="00C265C0"/>
    <w:rsid w:val="00C27482"/>
    <w:rsid w:val="00C27872"/>
    <w:rsid w:val="00C30595"/>
    <w:rsid w:val="00C30AAD"/>
    <w:rsid w:val="00C311B3"/>
    <w:rsid w:val="00C33D9D"/>
    <w:rsid w:val="00C35637"/>
    <w:rsid w:val="00C3576B"/>
    <w:rsid w:val="00C36AC4"/>
    <w:rsid w:val="00C418FA"/>
    <w:rsid w:val="00C44424"/>
    <w:rsid w:val="00C44FA7"/>
    <w:rsid w:val="00C472A4"/>
    <w:rsid w:val="00C537EB"/>
    <w:rsid w:val="00C61A21"/>
    <w:rsid w:val="00C62EDF"/>
    <w:rsid w:val="00C630B4"/>
    <w:rsid w:val="00C633C6"/>
    <w:rsid w:val="00C654F4"/>
    <w:rsid w:val="00C66654"/>
    <w:rsid w:val="00C706EC"/>
    <w:rsid w:val="00C7185F"/>
    <w:rsid w:val="00C71F95"/>
    <w:rsid w:val="00C72C64"/>
    <w:rsid w:val="00C73585"/>
    <w:rsid w:val="00C73C0D"/>
    <w:rsid w:val="00C7436B"/>
    <w:rsid w:val="00C7586A"/>
    <w:rsid w:val="00C76480"/>
    <w:rsid w:val="00C77547"/>
    <w:rsid w:val="00C778E6"/>
    <w:rsid w:val="00C81B64"/>
    <w:rsid w:val="00C81E07"/>
    <w:rsid w:val="00C8388D"/>
    <w:rsid w:val="00C839A9"/>
    <w:rsid w:val="00C83FB4"/>
    <w:rsid w:val="00C849C6"/>
    <w:rsid w:val="00C85D6A"/>
    <w:rsid w:val="00C874E9"/>
    <w:rsid w:val="00C9040A"/>
    <w:rsid w:val="00C90AFC"/>
    <w:rsid w:val="00C94693"/>
    <w:rsid w:val="00C94898"/>
    <w:rsid w:val="00CA2D32"/>
    <w:rsid w:val="00CA3FE6"/>
    <w:rsid w:val="00CA6414"/>
    <w:rsid w:val="00CA70A4"/>
    <w:rsid w:val="00CA74DC"/>
    <w:rsid w:val="00CB2815"/>
    <w:rsid w:val="00CB299C"/>
    <w:rsid w:val="00CB2AB7"/>
    <w:rsid w:val="00CC0083"/>
    <w:rsid w:val="00CC2570"/>
    <w:rsid w:val="00CC27F3"/>
    <w:rsid w:val="00CC3194"/>
    <w:rsid w:val="00CC3562"/>
    <w:rsid w:val="00CC4D63"/>
    <w:rsid w:val="00CC5E5B"/>
    <w:rsid w:val="00CC61A5"/>
    <w:rsid w:val="00CC772A"/>
    <w:rsid w:val="00CC7E08"/>
    <w:rsid w:val="00CD14DB"/>
    <w:rsid w:val="00CD2217"/>
    <w:rsid w:val="00CD3D24"/>
    <w:rsid w:val="00CD6D72"/>
    <w:rsid w:val="00CD7B93"/>
    <w:rsid w:val="00CE0348"/>
    <w:rsid w:val="00CE2E0F"/>
    <w:rsid w:val="00CE2F09"/>
    <w:rsid w:val="00CE5FE4"/>
    <w:rsid w:val="00CE6283"/>
    <w:rsid w:val="00CE67AA"/>
    <w:rsid w:val="00CE6D82"/>
    <w:rsid w:val="00CE6F33"/>
    <w:rsid w:val="00CE70B7"/>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3639"/>
    <w:rsid w:val="00D04D5F"/>
    <w:rsid w:val="00D04DD6"/>
    <w:rsid w:val="00D04DFA"/>
    <w:rsid w:val="00D0597F"/>
    <w:rsid w:val="00D05A3C"/>
    <w:rsid w:val="00D05F35"/>
    <w:rsid w:val="00D06393"/>
    <w:rsid w:val="00D06E5E"/>
    <w:rsid w:val="00D06F79"/>
    <w:rsid w:val="00D07D1B"/>
    <w:rsid w:val="00D10597"/>
    <w:rsid w:val="00D120A3"/>
    <w:rsid w:val="00D13288"/>
    <w:rsid w:val="00D13AF8"/>
    <w:rsid w:val="00D1584B"/>
    <w:rsid w:val="00D20601"/>
    <w:rsid w:val="00D219E9"/>
    <w:rsid w:val="00D2205B"/>
    <w:rsid w:val="00D23418"/>
    <w:rsid w:val="00D23A1A"/>
    <w:rsid w:val="00D24606"/>
    <w:rsid w:val="00D2620A"/>
    <w:rsid w:val="00D3056A"/>
    <w:rsid w:val="00D3064D"/>
    <w:rsid w:val="00D30AED"/>
    <w:rsid w:val="00D30F84"/>
    <w:rsid w:val="00D31091"/>
    <w:rsid w:val="00D33CFE"/>
    <w:rsid w:val="00D33DDE"/>
    <w:rsid w:val="00D34DA4"/>
    <w:rsid w:val="00D35AB3"/>
    <w:rsid w:val="00D35C1D"/>
    <w:rsid w:val="00D3752F"/>
    <w:rsid w:val="00D40253"/>
    <w:rsid w:val="00D40DDE"/>
    <w:rsid w:val="00D42D78"/>
    <w:rsid w:val="00D43970"/>
    <w:rsid w:val="00D43CA5"/>
    <w:rsid w:val="00D44CA5"/>
    <w:rsid w:val="00D46E12"/>
    <w:rsid w:val="00D50734"/>
    <w:rsid w:val="00D507C0"/>
    <w:rsid w:val="00D513CC"/>
    <w:rsid w:val="00D5172A"/>
    <w:rsid w:val="00D56435"/>
    <w:rsid w:val="00D62755"/>
    <w:rsid w:val="00D62AA4"/>
    <w:rsid w:val="00D6318F"/>
    <w:rsid w:val="00D650BB"/>
    <w:rsid w:val="00D6540A"/>
    <w:rsid w:val="00D674AF"/>
    <w:rsid w:val="00D70107"/>
    <w:rsid w:val="00D70438"/>
    <w:rsid w:val="00D717AD"/>
    <w:rsid w:val="00D720AD"/>
    <w:rsid w:val="00D72D1D"/>
    <w:rsid w:val="00D74A18"/>
    <w:rsid w:val="00D74D3E"/>
    <w:rsid w:val="00D757C6"/>
    <w:rsid w:val="00D75C41"/>
    <w:rsid w:val="00D800C4"/>
    <w:rsid w:val="00D80529"/>
    <w:rsid w:val="00D80F78"/>
    <w:rsid w:val="00D81AC3"/>
    <w:rsid w:val="00D81C59"/>
    <w:rsid w:val="00D82A5B"/>
    <w:rsid w:val="00D84637"/>
    <w:rsid w:val="00D8473B"/>
    <w:rsid w:val="00D85780"/>
    <w:rsid w:val="00D92422"/>
    <w:rsid w:val="00D925AA"/>
    <w:rsid w:val="00D9283D"/>
    <w:rsid w:val="00D92E23"/>
    <w:rsid w:val="00D930DD"/>
    <w:rsid w:val="00D9341C"/>
    <w:rsid w:val="00D94B7D"/>
    <w:rsid w:val="00DA0B1A"/>
    <w:rsid w:val="00DA1560"/>
    <w:rsid w:val="00DA3176"/>
    <w:rsid w:val="00DA4C44"/>
    <w:rsid w:val="00DA4C48"/>
    <w:rsid w:val="00DA4E21"/>
    <w:rsid w:val="00DA71EF"/>
    <w:rsid w:val="00DA7A18"/>
    <w:rsid w:val="00DB1347"/>
    <w:rsid w:val="00DB28CE"/>
    <w:rsid w:val="00DB29BC"/>
    <w:rsid w:val="00DB2A2A"/>
    <w:rsid w:val="00DB3E06"/>
    <w:rsid w:val="00DB479F"/>
    <w:rsid w:val="00DB55B6"/>
    <w:rsid w:val="00DB5EA7"/>
    <w:rsid w:val="00DB5F21"/>
    <w:rsid w:val="00DB6D7C"/>
    <w:rsid w:val="00DB7183"/>
    <w:rsid w:val="00DB72A4"/>
    <w:rsid w:val="00DC090A"/>
    <w:rsid w:val="00DC0E7E"/>
    <w:rsid w:val="00DC2D72"/>
    <w:rsid w:val="00DC30EA"/>
    <w:rsid w:val="00DC4FE9"/>
    <w:rsid w:val="00DC5918"/>
    <w:rsid w:val="00DC6C8D"/>
    <w:rsid w:val="00DC73A5"/>
    <w:rsid w:val="00DD0236"/>
    <w:rsid w:val="00DD4100"/>
    <w:rsid w:val="00DD50A6"/>
    <w:rsid w:val="00DD76A4"/>
    <w:rsid w:val="00DD7C65"/>
    <w:rsid w:val="00DE03E4"/>
    <w:rsid w:val="00DE1134"/>
    <w:rsid w:val="00DE11C6"/>
    <w:rsid w:val="00DE1AEB"/>
    <w:rsid w:val="00DE2247"/>
    <w:rsid w:val="00DE2A34"/>
    <w:rsid w:val="00DE37AE"/>
    <w:rsid w:val="00DE4732"/>
    <w:rsid w:val="00DE6668"/>
    <w:rsid w:val="00DE6987"/>
    <w:rsid w:val="00DE7339"/>
    <w:rsid w:val="00DF1246"/>
    <w:rsid w:val="00DF30C0"/>
    <w:rsid w:val="00E0080A"/>
    <w:rsid w:val="00E00F31"/>
    <w:rsid w:val="00E02242"/>
    <w:rsid w:val="00E02AF8"/>
    <w:rsid w:val="00E0300E"/>
    <w:rsid w:val="00E04AE0"/>
    <w:rsid w:val="00E070D0"/>
    <w:rsid w:val="00E11517"/>
    <w:rsid w:val="00E12834"/>
    <w:rsid w:val="00E13727"/>
    <w:rsid w:val="00E15630"/>
    <w:rsid w:val="00E17AB3"/>
    <w:rsid w:val="00E20254"/>
    <w:rsid w:val="00E209F0"/>
    <w:rsid w:val="00E219EB"/>
    <w:rsid w:val="00E22445"/>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5F7D"/>
    <w:rsid w:val="00E37502"/>
    <w:rsid w:val="00E40127"/>
    <w:rsid w:val="00E43074"/>
    <w:rsid w:val="00E431C8"/>
    <w:rsid w:val="00E44926"/>
    <w:rsid w:val="00E44E09"/>
    <w:rsid w:val="00E45D53"/>
    <w:rsid w:val="00E46DBD"/>
    <w:rsid w:val="00E470AB"/>
    <w:rsid w:val="00E51708"/>
    <w:rsid w:val="00E51729"/>
    <w:rsid w:val="00E51D0A"/>
    <w:rsid w:val="00E53139"/>
    <w:rsid w:val="00E53A8F"/>
    <w:rsid w:val="00E5435E"/>
    <w:rsid w:val="00E55A81"/>
    <w:rsid w:val="00E56450"/>
    <w:rsid w:val="00E56DA8"/>
    <w:rsid w:val="00E60ACC"/>
    <w:rsid w:val="00E60C4B"/>
    <w:rsid w:val="00E60E21"/>
    <w:rsid w:val="00E6570E"/>
    <w:rsid w:val="00E66638"/>
    <w:rsid w:val="00E6706E"/>
    <w:rsid w:val="00E7211D"/>
    <w:rsid w:val="00E754C2"/>
    <w:rsid w:val="00E757CA"/>
    <w:rsid w:val="00E75D48"/>
    <w:rsid w:val="00E76750"/>
    <w:rsid w:val="00E773CD"/>
    <w:rsid w:val="00E774C9"/>
    <w:rsid w:val="00E77D0C"/>
    <w:rsid w:val="00E8047E"/>
    <w:rsid w:val="00E80964"/>
    <w:rsid w:val="00E83D43"/>
    <w:rsid w:val="00E84159"/>
    <w:rsid w:val="00E841A6"/>
    <w:rsid w:val="00E84BCB"/>
    <w:rsid w:val="00E85905"/>
    <w:rsid w:val="00E85D20"/>
    <w:rsid w:val="00E87C0D"/>
    <w:rsid w:val="00E90DC4"/>
    <w:rsid w:val="00E9163F"/>
    <w:rsid w:val="00E91CB7"/>
    <w:rsid w:val="00E955B0"/>
    <w:rsid w:val="00E956E8"/>
    <w:rsid w:val="00EA022D"/>
    <w:rsid w:val="00EA05AB"/>
    <w:rsid w:val="00EA0D10"/>
    <w:rsid w:val="00EA0F2C"/>
    <w:rsid w:val="00EA19CB"/>
    <w:rsid w:val="00EA2C8F"/>
    <w:rsid w:val="00EA41E8"/>
    <w:rsid w:val="00EA5045"/>
    <w:rsid w:val="00EA5D64"/>
    <w:rsid w:val="00EA613A"/>
    <w:rsid w:val="00EA6A8C"/>
    <w:rsid w:val="00EB2AD1"/>
    <w:rsid w:val="00EB2F9F"/>
    <w:rsid w:val="00EB3067"/>
    <w:rsid w:val="00EB353E"/>
    <w:rsid w:val="00EB3AA1"/>
    <w:rsid w:val="00EB56E0"/>
    <w:rsid w:val="00EB5DDF"/>
    <w:rsid w:val="00EB6E66"/>
    <w:rsid w:val="00EC0129"/>
    <w:rsid w:val="00EC3CEC"/>
    <w:rsid w:val="00EC4625"/>
    <w:rsid w:val="00ED139E"/>
    <w:rsid w:val="00ED1759"/>
    <w:rsid w:val="00ED27A5"/>
    <w:rsid w:val="00ED3ECB"/>
    <w:rsid w:val="00ED445D"/>
    <w:rsid w:val="00ED461C"/>
    <w:rsid w:val="00ED5659"/>
    <w:rsid w:val="00ED5E2B"/>
    <w:rsid w:val="00EE01C2"/>
    <w:rsid w:val="00EE2FEA"/>
    <w:rsid w:val="00EE37A2"/>
    <w:rsid w:val="00EE3B12"/>
    <w:rsid w:val="00EE4B94"/>
    <w:rsid w:val="00EE5AF3"/>
    <w:rsid w:val="00EE5E91"/>
    <w:rsid w:val="00EE5F8C"/>
    <w:rsid w:val="00EE73BC"/>
    <w:rsid w:val="00EE7AC8"/>
    <w:rsid w:val="00EF00AA"/>
    <w:rsid w:val="00EF3996"/>
    <w:rsid w:val="00F0026A"/>
    <w:rsid w:val="00F021E7"/>
    <w:rsid w:val="00F026C1"/>
    <w:rsid w:val="00F039D1"/>
    <w:rsid w:val="00F03C28"/>
    <w:rsid w:val="00F05BEC"/>
    <w:rsid w:val="00F05D0F"/>
    <w:rsid w:val="00F05DB4"/>
    <w:rsid w:val="00F13358"/>
    <w:rsid w:val="00F1456D"/>
    <w:rsid w:val="00F14DA0"/>
    <w:rsid w:val="00F15387"/>
    <w:rsid w:val="00F15D8B"/>
    <w:rsid w:val="00F15F46"/>
    <w:rsid w:val="00F1708E"/>
    <w:rsid w:val="00F17A8C"/>
    <w:rsid w:val="00F17D58"/>
    <w:rsid w:val="00F207C0"/>
    <w:rsid w:val="00F228F5"/>
    <w:rsid w:val="00F230FB"/>
    <w:rsid w:val="00F23FD4"/>
    <w:rsid w:val="00F24143"/>
    <w:rsid w:val="00F241BE"/>
    <w:rsid w:val="00F24962"/>
    <w:rsid w:val="00F25038"/>
    <w:rsid w:val="00F263D9"/>
    <w:rsid w:val="00F2735C"/>
    <w:rsid w:val="00F3124A"/>
    <w:rsid w:val="00F31D41"/>
    <w:rsid w:val="00F34539"/>
    <w:rsid w:val="00F348C8"/>
    <w:rsid w:val="00F35005"/>
    <w:rsid w:val="00F359FB"/>
    <w:rsid w:val="00F364CB"/>
    <w:rsid w:val="00F36E13"/>
    <w:rsid w:val="00F37601"/>
    <w:rsid w:val="00F4058E"/>
    <w:rsid w:val="00F4220F"/>
    <w:rsid w:val="00F423B8"/>
    <w:rsid w:val="00F43F58"/>
    <w:rsid w:val="00F45507"/>
    <w:rsid w:val="00F46014"/>
    <w:rsid w:val="00F47670"/>
    <w:rsid w:val="00F51371"/>
    <w:rsid w:val="00F51AF6"/>
    <w:rsid w:val="00F551E9"/>
    <w:rsid w:val="00F55A95"/>
    <w:rsid w:val="00F56113"/>
    <w:rsid w:val="00F5640F"/>
    <w:rsid w:val="00F56735"/>
    <w:rsid w:val="00F56B3A"/>
    <w:rsid w:val="00F60F94"/>
    <w:rsid w:val="00F61408"/>
    <w:rsid w:val="00F615F9"/>
    <w:rsid w:val="00F62055"/>
    <w:rsid w:val="00F620BE"/>
    <w:rsid w:val="00F64DC5"/>
    <w:rsid w:val="00F674A7"/>
    <w:rsid w:val="00F71B98"/>
    <w:rsid w:val="00F73938"/>
    <w:rsid w:val="00F73E87"/>
    <w:rsid w:val="00F74224"/>
    <w:rsid w:val="00F747A9"/>
    <w:rsid w:val="00F76696"/>
    <w:rsid w:val="00F77295"/>
    <w:rsid w:val="00F77A84"/>
    <w:rsid w:val="00F77E49"/>
    <w:rsid w:val="00F80438"/>
    <w:rsid w:val="00F87905"/>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105"/>
    <w:rsid w:val="00FA4FCD"/>
    <w:rsid w:val="00FB1DA4"/>
    <w:rsid w:val="00FB2973"/>
    <w:rsid w:val="00FB42CF"/>
    <w:rsid w:val="00FB511E"/>
    <w:rsid w:val="00FB7B5E"/>
    <w:rsid w:val="00FC07DD"/>
    <w:rsid w:val="00FC2B86"/>
    <w:rsid w:val="00FC48B5"/>
    <w:rsid w:val="00FC4CA2"/>
    <w:rsid w:val="00FC6FF3"/>
    <w:rsid w:val="00FC7629"/>
    <w:rsid w:val="00FC7B2A"/>
    <w:rsid w:val="00FD3D67"/>
    <w:rsid w:val="00FD4F56"/>
    <w:rsid w:val="00FD536A"/>
    <w:rsid w:val="00FD74FF"/>
    <w:rsid w:val="00FE3CEC"/>
    <w:rsid w:val="00FE4145"/>
    <w:rsid w:val="00FE5F2D"/>
    <w:rsid w:val="00FE607C"/>
    <w:rsid w:val="00FE6A1F"/>
    <w:rsid w:val="00FE743E"/>
    <w:rsid w:val="00FF04FB"/>
    <w:rsid w:val="00FF0810"/>
    <w:rsid w:val="00FF11E6"/>
    <w:rsid w:val="00FF32F3"/>
    <w:rsid w:val="00FF5B06"/>
    <w:rsid w:val="00FF7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
    <w:qFormat/>
    <w:rsid w:val="0048616B"/>
    <w:pPr>
      <w:keepNext/>
      <w:spacing w:before="24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link w:val="Heading2Char"/>
    <w:qFormat/>
    <w:rsid w:val="0048616B"/>
    <w:pPr>
      <w:numPr>
        <w:ilvl w:val="2"/>
        <w:numId w:val="7"/>
      </w:numPr>
      <w:spacing w:before="380" w:after="0"/>
      <w:outlineLvl w:val="1"/>
    </w:pPr>
    <w:rPr>
      <w:rFonts w:ascii="Franklin Gothic Medium" w:hAnsi="Franklin Gothic Medium"/>
      <w:color w:val="5A9A98"/>
      <w:kern w:val="0"/>
      <w:sz w:val="24"/>
      <w:szCs w:val="24"/>
    </w:rPr>
  </w:style>
  <w:style w:type="paragraph" w:styleId="Heading3">
    <w:name w:val="heading 3"/>
    <w:basedOn w:val="BodyText"/>
    <w:next w:val="BodyText"/>
    <w:qFormat/>
    <w:rsid w:val="00564F61"/>
    <w:pPr>
      <w:outlineLvl w:val="2"/>
    </w:pPr>
    <w:rPr>
      <w:i/>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Id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
    <w:semiHidden/>
    <w:rsid w:val="00FB1DA4"/>
    <w:rPr>
      <w:rFonts w:ascii="Franklin Gothic Book" w:hAnsi="Franklin Gothic Book"/>
      <w:w w:val="100"/>
      <w:position w:val="6"/>
      <w:sz w:val="12"/>
      <w:szCs w:val="12"/>
      <w:vertAlign w:val="baseline"/>
    </w:rPr>
  </w:style>
  <w:style w:type="paragraph" w:styleId="FootnoteText">
    <w:name w:val="footnote text"/>
    <w:aliases w:val="Char,Footnote Text Char1 Char,Footnote Text Char Char Char,Footnote Text Char1 Char1 Char Char,Footnote Text Char Char Char Char Char,Footnote Text Char1 Char Char Char Char,Footnote Text Char Char1 Char Char Char Char,fn,Footnote Text Ch"/>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1">
    <w:name w:val="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48616B"/>
    <w:rPr>
      <w:rFonts w:ascii="Franklin Gothic Demi" w:hAnsi="Franklin Gothic Demi"/>
      <w:color w:val="AD495D"/>
      <w:kern w:val="28"/>
      <w:sz w:val="28"/>
      <w:szCs w:val="28"/>
      <w:lang w:val="en-AU" w:eastAsia="en-AU"/>
    </w:rPr>
  </w:style>
  <w:style w:type="character" w:customStyle="1" w:styleId="Heading2Char">
    <w:name w:val="Heading 2 Char"/>
    <w:link w:val="Heading2"/>
    <w:rsid w:val="0048616B"/>
    <w:rPr>
      <w:rFonts w:ascii="Franklin Gothic Medium" w:hAnsi="Franklin Gothic Medium"/>
      <w:color w:val="5A9A98"/>
      <w:sz w:val="24"/>
      <w:szCs w:val="24"/>
      <w:lang w:val="en-AU" w:eastAsia="en-AU"/>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customStyle="1" w:styleId="CharChar0">
    <w:name w:val="Char Char"/>
    <w:basedOn w:val="Normal"/>
    <w:semiHidden/>
    <w:rsid w:val="00F1708E"/>
    <w:pPr>
      <w:spacing w:before="180" w:line="280" w:lineRule="atLeast"/>
    </w:pPr>
    <w:rPr>
      <w:rFonts w:ascii="Arial" w:hAnsi="Arial"/>
      <w:sz w:val="22"/>
      <w:szCs w:val="20"/>
      <w:lang w:eastAsia="en-US"/>
    </w:rPr>
  </w:style>
  <w:style w:type="character" w:customStyle="1" w:styleId="st1">
    <w:name w:val="st1"/>
    <w:rsid w:val="000F5E56"/>
  </w:style>
  <w:style w:type="paragraph" w:styleId="TOCHeading">
    <w:name w:val="TOC Heading"/>
    <w:basedOn w:val="Heading1"/>
    <w:next w:val="Normal"/>
    <w:uiPriority w:val="39"/>
    <w:unhideWhenUsed/>
    <w:qFormat/>
    <w:rsid w:val="00A31FD5"/>
    <w:pPr>
      <w:keepLines/>
      <w:spacing w:before="480" w:after="0" w:line="276" w:lineRule="auto"/>
      <w:outlineLvl w:val="9"/>
    </w:pPr>
    <w:rPr>
      <w:rFonts w:ascii="Cambria" w:hAnsi="Cambria"/>
      <w:b/>
      <w:bCs/>
      <w:color w:val="365F91"/>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link w:val="Heading1Char"/>
    <w:qFormat/>
    <w:rsid w:val="0048616B"/>
    <w:pPr>
      <w:keepNext/>
      <w:spacing w:before="24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link w:val="Heading2Char"/>
    <w:qFormat/>
    <w:rsid w:val="0048616B"/>
    <w:pPr>
      <w:numPr>
        <w:ilvl w:val="2"/>
        <w:numId w:val="7"/>
      </w:numPr>
      <w:spacing w:before="380" w:after="0"/>
      <w:outlineLvl w:val="1"/>
    </w:pPr>
    <w:rPr>
      <w:rFonts w:ascii="Franklin Gothic Medium" w:hAnsi="Franklin Gothic Medium"/>
      <w:color w:val="5A9A98"/>
      <w:kern w:val="0"/>
      <w:sz w:val="24"/>
      <w:szCs w:val="24"/>
    </w:rPr>
  </w:style>
  <w:style w:type="paragraph" w:styleId="Heading3">
    <w:name w:val="heading 3"/>
    <w:basedOn w:val="BodyText"/>
    <w:next w:val="BodyText"/>
    <w:qFormat/>
    <w:rsid w:val="00564F61"/>
    <w:pPr>
      <w:outlineLvl w:val="2"/>
    </w:pPr>
    <w:rPr>
      <w:i/>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Id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aliases w:val="ftref"/>
    <w:semiHidden/>
    <w:rsid w:val="00FB1DA4"/>
    <w:rPr>
      <w:rFonts w:ascii="Franklin Gothic Book" w:hAnsi="Franklin Gothic Book"/>
      <w:w w:val="100"/>
      <w:position w:val="6"/>
      <w:sz w:val="12"/>
      <w:szCs w:val="12"/>
      <w:vertAlign w:val="baseline"/>
    </w:rPr>
  </w:style>
  <w:style w:type="paragraph" w:styleId="FootnoteText">
    <w:name w:val="footnote text"/>
    <w:aliases w:val="Char,Footnote Text Char1 Char,Footnote Text Char Char Char,Footnote Text Char1 Char1 Char Char,Footnote Text Char Char Char Char Char,Footnote Text Char1 Char Char Char Char,Footnote Text Char Char1 Char Char Char Char,fn,Footnote Text Ch"/>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1">
    <w:name w:val="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48616B"/>
    <w:rPr>
      <w:rFonts w:ascii="Franklin Gothic Demi" w:hAnsi="Franklin Gothic Demi"/>
      <w:color w:val="AD495D"/>
      <w:kern w:val="28"/>
      <w:sz w:val="28"/>
      <w:szCs w:val="28"/>
      <w:lang w:val="en-AU" w:eastAsia="en-AU"/>
    </w:rPr>
  </w:style>
  <w:style w:type="character" w:customStyle="1" w:styleId="Heading2Char">
    <w:name w:val="Heading 2 Char"/>
    <w:link w:val="Heading2"/>
    <w:rsid w:val="0048616B"/>
    <w:rPr>
      <w:rFonts w:ascii="Franklin Gothic Medium" w:hAnsi="Franklin Gothic Medium"/>
      <w:color w:val="5A9A98"/>
      <w:sz w:val="24"/>
      <w:szCs w:val="24"/>
      <w:lang w:val="en-AU" w:eastAsia="en-AU"/>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customStyle="1" w:styleId="CharChar0">
    <w:name w:val="Char Char"/>
    <w:basedOn w:val="Normal"/>
    <w:semiHidden/>
    <w:rsid w:val="00F1708E"/>
    <w:pPr>
      <w:spacing w:before="180" w:line="280" w:lineRule="atLeast"/>
    </w:pPr>
    <w:rPr>
      <w:rFonts w:ascii="Arial" w:hAnsi="Arial"/>
      <w:sz w:val="22"/>
      <w:szCs w:val="20"/>
      <w:lang w:eastAsia="en-US"/>
    </w:rPr>
  </w:style>
  <w:style w:type="character" w:customStyle="1" w:styleId="st1">
    <w:name w:val="st1"/>
    <w:rsid w:val="000F5E56"/>
  </w:style>
  <w:style w:type="paragraph" w:styleId="TOCHeading">
    <w:name w:val="TOC Heading"/>
    <w:basedOn w:val="Heading1"/>
    <w:next w:val="Normal"/>
    <w:uiPriority w:val="39"/>
    <w:unhideWhenUsed/>
    <w:qFormat/>
    <w:rsid w:val="00A31FD5"/>
    <w:pPr>
      <w:keepLines/>
      <w:spacing w:before="480" w:after="0" w:line="276" w:lineRule="auto"/>
      <w:outlineLvl w:val="9"/>
    </w:pPr>
    <w:rPr>
      <w:rFonts w:ascii="Cambria" w:hAnsi="Cambria"/>
      <w:b/>
      <w:bCs/>
      <w:color w:val="365F91"/>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DECEA9-61C1-42EB-8A69-51DF88FACD89}"/>
</file>

<file path=customXml/itemProps2.xml><?xml version="1.0" encoding="utf-8"?>
<ds:datastoreItem xmlns:ds="http://schemas.openxmlformats.org/officeDocument/2006/customXml" ds:itemID="{EB42F561-3199-4B6C-A2CA-5F438FF12FF0}"/>
</file>

<file path=customXml/itemProps3.xml><?xml version="1.0" encoding="utf-8"?>
<ds:datastoreItem xmlns:ds="http://schemas.openxmlformats.org/officeDocument/2006/customXml" ds:itemID="{27E4F510-1D1D-4237-ACAD-DE4DB25F6AB9}"/>
</file>

<file path=customXml/itemProps4.xml><?xml version="1.0" encoding="utf-8"?>
<ds:datastoreItem xmlns:ds="http://schemas.openxmlformats.org/officeDocument/2006/customXml" ds:itemID="{E9964B16-CFD6-4A96-8A53-619F40553BA6}"/>
</file>

<file path=customXml/itemProps5.xml><?xml version="1.0" encoding="utf-8"?>
<ds:datastoreItem xmlns:ds="http://schemas.openxmlformats.org/officeDocument/2006/customXml" ds:itemID="{71DDF13F-D2F1-424A-8C69-108528E3B160}"/>
</file>

<file path=docProps/app.xml><?xml version="1.0" encoding="utf-8"?>
<Properties xmlns="http://schemas.openxmlformats.org/officeDocument/2006/extended-properties" xmlns:vt="http://schemas.openxmlformats.org/officeDocument/2006/docPropsVTypes">
  <Template>APPR Public Report Template-123.dot</Template>
  <TotalTime>4</TotalTime>
  <Pages>20</Pages>
  <Words>9333</Words>
  <Characters>55411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64615</CharactersWithSpaces>
  <SharedDoc>false</SharedDoc>
  <HLinks>
    <vt:vector size="156" baseType="variant">
      <vt:variant>
        <vt:i4>1245243</vt:i4>
      </vt:variant>
      <vt:variant>
        <vt:i4>152</vt:i4>
      </vt:variant>
      <vt:variant>
        <vt:i4>0</vt:i4>
      </vt:variant>
      <vt:variant>
        <vt:i4>5</vt:i4>
      </vt:variant>
      <vt:variant>
        <vt:lpwstr/>
      </vt:variant>
      <vt:variant>
        <vt:lpwstr>_Toc361584130</vt:lpwstr>
      </vt:variant>
      <vt:variant>
        <vt:i4>1179707</vt:i4>
      </vt:variant>
      <vt:variant>
        <vt:i4>146</vt:i4>
      </vt:variant>
      <vt:variant>
        <vt:i4>0</vt:i4>
      </vt:variant>
      <vt:variant>
        <vt:i4>5</vt:i4>
      </vt:variant>
      <vt:variant>
        <vt:lpwstr/>
      </vt:variant>
      <vt:variant>
        <vt:lpwstr>_Toc361584129</vt:lpwstr>
      </vt:variant>
      <vt:variant>
        <vt:i4>1179707</vt:i4>
      </vt:variant>
      <vt:variant>
        <vt:i4>140</vt:i4>
      </vt:variant>
      <vt:variant>
        <vt:i4>0</vt:i4>
      </vt:variant>
      <vt:variant>
        <vt:i4>5</vt:i4>
      </vt:variant>
      <vt:variant>
        <vt:lpwstr/>
      </vt:variant>
      <vt:variant>
        <vt:lpwstr>_Toc361584128</vt:lpwstr>
      </vt:variant>
      <vt:variant>
        <vt:i4>1179707</vt:i4>
      </vt:variant>
      <vt:variant>
        <vt:i4>134</vt:i4>
      </vt:variant>
      <vt:variant>
        <vt:i4>0</vt:i4>
      </vt:variant>
      <vt:variant>
        <vt:i4>5</vt:i4>
      </vt:variant>
      <vt:variant>
        <vt:lpwstr/>
      </vt:variant>
      <vt:variant>
        <vt:lpwstr>_Toc361584127</vt:lpwstr>
      </vt:variant>
      <vt:variant>
        <vt:i4>1179707</vt:i4>
      </vt:variant>
      <vt:variant>
        <vt:i4>128</vt:i4>
      </vt:variant>
      <vt:variant>
        <vt:i4>0</vt:i4>
      </vt:variant>
      <vt:variant>
        <vt:i4>5</vt:i4>
      </vt:variant>
      <vt:variant>
        <vt:lpwstr/>
      </vt:variant>
      <vt:variant>
        <vt:lpwstr>_Toc361584126</vt:lpwstr>
      </vt:variant>
      <vt:variant>
        <vt:i4>1179707</vt:i4>
      </vt:variant>
      <vt:variant>
        <vt:i4>122</vt:i4>
      </vt:variant>
      <vt:variant>
        <vt:i4>0</vt:i4>
      </vt:variant>
      <vt:variant>
        <vt:i4>5</vt:i4>
      </vt:variant>
      <vt:variant>
        <vt:lpwstr/>
      </vt:variant>
      <vt:variant>
        <vt:lpwstr>_Toc361584125</vt:lpwstr>
      </vt:variant>
      <vt:variant>
        <vt:i4>1179707</vt:i4>
      </vt:variant>
      <vt:variant>
        <vt:i4>116</vt:i4>
      </vt:variant>
      <vt:variant>
        <vt:i4>0</vt:i4>
      </vt:variant>
      <vt:variant>
        <vt:i4>5</vt:i4>
      </vt:variant>
      <vt:variant>
        <vt:lpwstr/>
      </vt:variant>
      <vt:variant>
        <vt:lpwstr>_Toc361584124</vt:lpwstr>
      </vt:variant>
      <vt:variant>
        <vt:i4>1179707</vt:i4>
      </vt:variant>
      <vt:variant>
        <vt:i4>110</vt:i4>
      </vt:variant>
      <vt:variant>
        <vt:i4>0</vt:i4>
      </vt:variant>
      <vt:variant>
        <vt:i4>5</vt:i4>
      </vt:variant>
      <vt:variant>
        <vt:lpwstr/>
      </vt:variant>
      <vt:variant>
        <vt:lpwstr>_Toc361584123</vt:lpwstr>
      </vt:variant>
      <vt:variant>
        <vt:i4>1179707</vt:i4>
      </vt:variant>
      <vt:variant>
        <vt:i4>104</vt:i4>
      </vt:variant>
      <vt:variant>
        <vt:i4>0</vt:i4>
      </vt:variant>
      <vt:variant>
        <vt:i4>5</vt:i4>
      </vt:variant>
      <vt:variant>
        <vt:lpwstr/>
      </vt:variant>
      <vt:variant>
        <vt:lpwstr>_Toc361584122</vt:lpwstr>
      </vt:variant>
      <vt:variant>
        <vt:i4>1179707</vt:i4>
      </vt:variant>
      <vt:variant>
        <vt:i4>98</vt:i4>
      </vt:variant>
      <vt:variant>
        <vt:i4>0</vt:i4>
      </vt:variant>
      <vt:variant>
        <vt:i4>5</vt:i4>
      </vt:variant>
      <vt:variant>
        <vt:lpwstr/>
      </vt:variant>
      <vt:variant>
        <vt:lpwstr>_Toc361584121</vt:lpwstr>
      </vt:variant>
      <vt:variant>
        <vt:i4>1179707</vt:i4>
      </vt:variant>
      <vt:variant>
        <vt:i4>92</vt:i4>
      </vt:variant>
      <vt:variant>
        <vt:i4>0</vt:i4>
      </vt:variant>
      <vt:variant>
        <vt:i4>5</vt:i4>
      </vt:variant>
      <vt:variant>
        <vt:lpwstr/>
      </vt:variant>
      <vt:variant>
        <vt:lpwstr>_Toc361584120</vt:lpwstr>
      </vt:variant>
      <vt:variant>
        <vt:i4>1114171</vt:i4>
      </vt:variant>
      <vt:variant>
        <vt:i4>86</vt:i4>
      </vt:variant>
      <vt:variant>
        <vt:i4>0</vt:i4>
      </vt:variant>
      <vt:variant>
        <vt:i4>5</vt:i4>
      </vt:variant>
      <vt:variant>
        <vt:lpwstr/>
      </vt:variant>
      <vt:variant>
        <vt:lpwstr>_Toc361584119</vt:lpwstr>
      </vt:variant>
      <vt:variant>
        <vt:i4>1114171</vt:i4>
      </vt:variant>
      <vt:variant>
        <vt:i4>80</vt:i4>
      </vt:variant>
      <vt:variant>
        <vt:i4>0</vt:i4>
      </vt:variant>
      <vt:variant>
        <vt:i4>5</vt:i4>
      </vt:variant>
      <vt:variant>
        <vt:lpwstr/>
      </vt:variant>
      <vt:variant>
        <vt:lpwstr>_Toc361584118</vt:lpwstr>
      </vt:variant>
      <vt:variant>
        <vt:i4>1114171</vt:i4>
      </vt:variant>
      <vt:variant>
        <vt:i4>74</vt:i4>
      </vt:variant>
      <vt:variant>
        <vt:i4>0</vt:i4>
      </vt:variant>
      <vt:variant>
        <vt:i4>5</vt:i4>
      </vt:variant>
      <vt:variant>
        <vt:lpwstr/>
      </vt:variant>
      <vt:variant>
        <vt:lpwstr>_Toc361584117</vt:lpwstr>
      </vt:variant>
      <vt:variant>
        <vt:i4>1114171</vt:i4>
      </vt:variant>
      <vt:variant>
        <vt:i4>68</vt:i4>
      </vt:variant>
      <vt:variant>
        <vt:i4>0</vt:i4>
      </vt:variant>
      <vt:variant>
        <vt:i4>5</vt:i4>
      </vt:variant>
      <vt:variant>
        <vt:lpwstr/>
      </vt:variant>
      <vt:variant>
        <vt:lpwstr>_Toc361584116</vt:lpwstr>
      </vt:variant>
      <vt:variant>
        <vt:i4>1114171</vt:i4>
      </vt:variant>
      <vt:variant>
        <vt:i4>62</vt:i4>
      </vt:variant>
      <vt:variant>
        <vt:i4>0</vt:i4>
      </vt:variant>
      <vt:variant>
        <vt:i4>5</vt:i4>
      </vt:variant>
      <vt:variant>
        <vt:lpwstr/>
      </vt:variant>
      <vt:variant>
        <vt:lpwstr>_Toc361584115</vt:lpwstr>
      </vt:variant>
      <vt:variant>
        <vt:i4>1114171</vt:i4>
      </vt:variant>
      <vt:variant>
        <vt:i4>56</vt:i4>
      </vt:variant>
      <vt:variant>
        <vt:i4>0</vt:i4>
      </vt:variant>
      <vt:variant>
        <vt:i4>5</vt:i4>
      </vt:variant>
      <vt:variant>
        <vt:lpwstr/>
      </vt:variant>
      <vt:variant>
        <vt:lpwstr>_Toc361584114</vt:lpwstr>
      </vt:variant>
      <vt:variant>
        <vt:i4>1114171</vt:i4>
      </vt:variant>
      <vt:variant>
        <vt:i4>50</vt:i4>
      </vt:variant>
      <vt:variant>
        <vt:i4>0</vt:i4>
      </vt:variant>
      <vt:variant>
        <vt:i4>5</vt:i4>
      </vt:variant>
      <vt:variant>
        <vt:lpwstr/>
      </vt:variant>
      <vt:variant>
        <vt:lpwstr>_Toc361584113</vt:lpwstr>
      </vt:variant>
      <vt:variant>
        <vt:i4>1114171</vt:i4>
      </vt:variant>
      <vt:variant>
        <vt:i4>44</vt:i4>
      </vt:variant>
      <vt:variant>
        <vt:i4>0</vt:i4>
      </vt:variant>
      <vt:variant>
        <vt:i4>5</vt:i4>
      </vt:variant>
      <vt:variant>
        <vt:lpwstr/>
      </vt:variant>
      <vt:variant>
        <vt:lpwstr>_Toc361584112</vt:lpwstr>
      </vt:variant>
      <vt:variant>
        <vt:i4>1114171</vt:i4>
      </vt:variant>
      <vt:variant>
        <vt:i4>38</vt:i4>
      </vt:variant>
      <vt:variant>
        <vt:i4>0</vt:i4>
      </vt:variant>
      <vt:variant>
        <vt:i4>5</vt:i4>
      </vt:variant>
      <vt:variant>
        <vt:lpwstr/>
      </vt:variant>
      <vt:variant>
        <vt:lpwstr>_Toc361584111</vt:lpwstr>
      </vt:variant>
      <vt:variant>
        <vt:i4>1114171</vt:i4>
      </vt:variant>
      <vt:variant>
        <vt:i4>32</vt:i4>
      </vt:variant>
      <vt:variant>
        <vt:i4>0</vt:i4>
      </vt:variant>
      <vt:variant>
        <vt:i4>5</vt:i4>
      </vt:variant>
      <vt:variant>
        <vt:lpwstr/>
      </vt:variant>
      <vt:variant>
        <vt:lpwstr>_Toc361584110</vt:lpwstr>
      </vt:variant>
      <vt:variant>
        <vt:i4>1048635</vt:i4>
      </vt:variant>
      <vt:variant>
        <vt:i4>26</vt:i4>
      </vt:variant>
      <vt:variant>
        <vt:i4>0</vt:i4>
      </vt:variant>
      <vt:variant>
        <vt:i4>5</vt:i4>
      </vt:variant>
      <vt:variant>
        <vt:lpwstr/>
      </vt:variant>
      <vt:variant>
        <vt:lpwstr>_Toc361584109</vt:lpwstr>
      </vt:variant>
      <vt:variant>
        <vt:i4>1048635</vt:i4>
      </vt:variant>
      <vt:variant>
        <vt:i4>20</vt:i4>
      </vt:variant>
      <vt:variant>
        <vt:i4>0</vt:i4>
      </vt:variant>
      <vt:variant>
        <vt:i4>5</vt:i4>
      </vt:variant>
      <vt:variant>
        <vt:lpwstr/>
      </vt:variant>
      <vt:variant>
        <vt:lpwstr>_Toc361584108</vt:lpwstr>
      </vt:variant>
      <vt:variant>
        <vt:i4>1048635</vt:i4>
      </vt:variant>
      <vt:variant>
        <vt:i4>14</vt:i4>
      </vt:variant>
      <vt:variant>
        <vt:i4>0</vt:i4>
      </vt:variant>
      <vt:variant>
        <vt:i4>5</vt:i4>
      </vt:variant>
      <vt:variant>
        <vt:lpwstr/>
      </vt:variant>
      <vt:variant>
        <vt:lpwstr>_Toc361584107</vt:lpwstr>
      </vt:variant>
      <vt:variant>
        <vt:i4>1048635</vt:i4>
      </vt:variant>
      <vt:variant>
        <vt:i4>8</vt:i4>
      </vt:variant>
      <vt:variant>
        <vt:i4>0</vt:i4>
      </vt:variant>
      <vt:variant>
        <vt:i4>5</vt:i4>
      </vt:variant>
      <vt:variant>
        <vt:lpwstr/>
      </vt:variant>
      <vt:variant>
        <vt:lpwstr>_Toc361584106</vt:lpwstr>
      </vt:variant>
      <vt:variant>
        <vt:i4>1048635</vt:i4>
      </vt:variant>
      <vt:variant>
        <vt:i4>2</vt:i4>
      </vt:variant>
      <vt:variant>
        <vt:i4>0</vt:i4>
      </vt:variant>
      <vt:variant>
        <vt:i4>5</vt:i4>
      </vt:variant>
      <vt:variant>
        <vt:lpwstr/>
      </vt:variant>
      <vt:variant>
        <vt:lpwstr>_Toc361584105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Catherine Herron</dc:creator>
  <cp:keywords>APPR</cp:keywords>
  <cp:lastModifiedBy>Muhammad Khattab</cp:lastModifiedBy>
  <cp:revision>3</cp:revision>
  <cp:lastPrinted>2011-10-27T09:41:00Z</cp:lastPrinted>
  <dcterms:created xsi:type="dcterms:W3CDTF">2013-07-17T14:50:00Z</dcterms:created>
  <dcterms:modified xsi:type="dcterms:W3CDTF">2013-07-18T10:58:00Z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136500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