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ADA72" w14:textId="77777777" w:rsidR="00E35D0C" w:rsidRPr="0006168B" w:rsidRDefault="00E35D0C" w:rsidP="00E35D0C">
      <w:pPr>
        <w:pStyle w:val="Heading1"/>
        <w:spacing w:after="300"/>
        <w:rPr>
          <w:color w:val="auto"/>
          <w:sz w:val="34"/>
          <w:szCs w:val="34"/>
        </w:rPr>
      </w:pPr>
      <w:bookmarkStart w:id="0" w:name="_Toc475348267"/>
      <w:bookmarkStart w:id="1" w:name="_GoBack"/>
      <w:bookmarkEnd w:id="1"/>
      <w:r w:rsidRPr="0006168B">
        <w:rPr>
          <w:color w:val="auto"/>
          <w:sz w:val="34"/>
          <w:szCs w:val="34"/>
        </w:rPr>
        <w:t>Management Response</w:t>
      </w:r>
      <w:r w:rsidR="00B812F8" w:rsidRPr="0006168B">
        <w:rPr>
          <w:color w:val="auto"/>
          <w:sz w:val="34"/>
          <w:szCs w:val="34"/>
        </w:rPr>
        <w:t xml:space="preserve">: bougainville </w:t>
      </w:r>
      <w:bookmarkEnd w:id="0"/>
      <w:r w:rsidR="00113680" w:rsidRPr="0006168B">
        <w:rPr>
          <w:color w:val="auto"/>
          <w:sz w:val="34"/>
          <w:szCs w:val="34"/>
        </w:rPr>
        <w:t>YOUTH INITIATIVE – INDEPENDENT REVIEW AND DESIGN</w:t>
      </w:r>
    </w:p>
    <w:p w14:paraId="4FE6D0F3" w14:textId="77777777" w:rsidR="00E35D0C" w:rsidRPr="000442FC" w:rsidRDefault="00E35D0C" w:rsidP="00E35D0C">
      <w:pPr>
        <w:pStyle w:val="Heading3"/>
        <w:rPr>
          <w:b/>
        </w:rPr>
      </w:pPr>
      <w:r w:rsidRPr="000442FC">
        <w:rPr>
          <w:b/>
        </w:rPr>
        <w:t xml:space="preserve">Summary of management response </w:t>
      </w:r>
    </w:p>
    <w:p w14:paraId="195BD0F9" w14:textId="07AA454F" w:rsidR="00E35D0C" w:rsidRDefault="00113680" w:rsidP="00E35D0C">
      <w:pPr>
        <w:pStyle w:val="BodyText"/>
      </w:pPr>
      <w:r>
        <w:t>The report provides a useful assessment of work c</w:t>
      </w:r>
      <w:r w:rsidR="000565DF">
        <w:t xml:space="preserve">onducted under the pilot </w:t>
      </w:r>
      <w:r w:rsidR="00A75AB2">
        <w:t>phase of the Bougainville Youth Initiative (BYI).</w:t>
      </w:r>
      <w:r w:rsidR="000565DF">
        <w:t xml:space="preserve"> Many of the elements identified </w:t>
      </w:r>
      <w:r w:rsidR="00A75AB2">
        <w:t>reflect the pilot nature of the intervention</w:t>
      </w:r>
      <w:r w:rsidR="001E1AF7">
        <w:t xml:space="preserve">, which will be addressed in consideration of future programming. While outside the scope of the review, its recommendations provide useful guidance to DFAT’s existing support to youth in Bougainville, specifically capacity building of the Bougainville Youth Federation and District Youth Associations, as well as engagement through the education sector and more broadly, activities funded under the Australian NGO Cooperation Program. </w:t>
      </w:r>
    </w:p>
    <w:p w14:paraId="52D952EB" w14:textId="614638D7" w:rsidR="0006168B" w:rsidRDefault="0006168B" w:rsidP="0006168B">
      <w:pPr>
        <w:pStyle w:val="BodyText"/>
      </w:pPr>
      <w:r>
        <w:t xml:space="preserve">Our response addresses the </w:t>
      </w:r>
      <w:r w:rsidR="00146637">
        <w:t xml:space="preserve">two </w:t>
      </w:r>
      <w:r>
        <w:t>primary review recommendation</w:t>
      </w:r>
      <w:r w:rsidR="00146637">
        <w:t>s</w:t>
      </w:r>
      <w:r w:rsidR="003F2284">
        <w:t>. T</w:t>
      </w:r>
      <w:r>
        <w:t>he programming recommendations, (B1-B16)</w:t>
      </w:r>
      <w:r w:rsidR="003F2284">
        <w:t>,</w:t>
      </w:r>
      <w:r>
        <w:t xml:space="preserve"> will be considered in the context of potential future programming.</w:t>
      </w:r>
    </w:p>
    <w:p w14:paraId="726CAE3B" w14:textId="55E210B6" w:rsidR="00E35D0C" w:rsidRDefault="00E35D0C" w:rsidP="0006168B">
      <w:pPr>
        <w:pStyle w:val="BodyText"/>
        <w:rPr>
          <w:rFonts w:asciiTheme="majorHAnsi" w:hAnsiTheme="majorHAnsi"/>
          <w:b/>
          <w:sz w:val="30"/>
          <w:szCs w:val="30"/>
        </w:rPr>
      </w:pPr>
      <w:r w:rsidRPr="0006168B">
        <w:rPr>
          <w:rFonts w:asciiTheme="majorHAnsi" w:hAnsiTheme="majorHAnsi"/>
          <w:b/>
          <w:sz w:val="30"/>
          <w:szCs w:val="30"/>
        </w:rPr>
        <w:t xml:space="preserve">Individual management response to the recommendations </w:t>
      </w:r>
    </w:p>
    <w:p w14:paraId="5CA80935" w14:textId="77777777" w:rsidR="0006168B" w:rsidRPr="0006168B" w:rsidRDefault="0006168B" w:rsidP="0006168B">
      <w:pPr>
        <w:pStyle w:val="BodyText"/>
        <w:rPr>
          <w:rFonts w:asciiTheme="majorHAnsi" w:hAnsiTheme="majorHAnsi"/>
          <w:b/>
          <w:sz w:val="30"/>
          <w:szCs w:val="30"/>
        </w:rPr>
      </w:pPr>
    </w:p>
    <w:tbl>
      <w:tblPr>
        <w:tblStyle w:val="DFATTable1"/>
        <w:tblW w:w="14034" w:type="dxa"/>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4652"/>
        <w:gridCol w:w="1439"/>
        <w:gridCol w:w="3969"/>
        <w:gridCol w:w="2277"/>
        <w:gridCol w:w="1697"/>
      </w:tblGrid>
      <w:tr w:rsidR="00A75AB2" w:rsidRPr="0006168B" w14:paraId="2FE36BEE" w14:textId="77777777" w:rsidTr="00124D31">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4652" w:type="dxa"/>
            <w:tcBorders>
              <w:top w:val="single" w:sz="4" w:space="0" w:color="auto"/>
              <w:left w:val="single" w:sz="4" w:space="0" w:color="auto"/>
              <w:bottom w:val="single" w:sz="4" w:space="0" w:color="auto"/>
              <w:right w:val="single" w:sz="4" w:space="0" w:color="auto"/>
            </w:tcBorders>
            <w:hideMark/>
          </w:tcPr>
          <w:p w14:paraId="4E64FC1A" w14:textId="77777777" w:rsidR="00E35D0C" w:rsidRPr="0006168B" w:rsidRDefault="00E35D0C" w:rsidP="00866A29">
            <w:pPr>
              <w:pStyle w:val="TableHeaderRow"/>
              <w:rPr>
                <w:szCs w:val="22"/>
              </w:rPr>
            </w:pPr>
            <w:r w:rsidRPr="0006168B">
              <w:rPr>
                <w:szCs w:val="22"/>
              </w:rPr>
              <w:t>Recommendation</w:t>
            </w:r>
          </w:p>
        </w:tc>
        <w:tc>
          <w:tcPr>
            <w:tcW w:w="1439" w:type="dxa"/>
            <w:tcBorders>
              <w:top w:val="single" w:sz="4" w:space="0" w:color="auto"/>
              <w:left w:val="single" w:sz="4" w:space="0" w:color="auto"/>
              <w:bottom w:val="single" w:sz="4" w:space="0" w:color="auto"/>
              <w:right w:val="single" w:sz="4" w:space="0" w:color="auto"/>
            </w:tcBorders>
            <w:hideMark/>
          </w:tcPr>
          <w:p w14:paraId="1328563A" w14:textId="40DB7F52" w:rsidR="00E35D0C" w:rsidRPr="0006168B" w:rsidRDefault="00E35D0C" w:rsidP="004D4C24">
            <w:pPr>
              <w:pStyle w:val="TableHeaderRow"/>
              <w:cnfStyle w:val="100000000000" w:firstRow="1" w:lastRow="0" w:firstColumn="0" w:lastColumn="0" w:oddVBand="0" w:evenVBand="0" w:oddHBand="0" w:evenHBand="0" w:firstRowFirstColumn="0" w:firstRowLastColumn="0" w:lastRowFirstColumn="0" w:lastRowLastColumn="0"/>
              <w:rPr>
                <w:szCs w:val="22"/>
              </w:rPr>
            </w:pPr>
            <w:r w:rsidRPr="0006168B">
              <w:rPr>
                <w:szCs w:val="22"/>
              </w:rPr>
              <w:t xml:space="preserve">Response </w:t>
            </w:r>
            <w:r w:rsidRPr="0006168B">
              <w:rPr>
                <w:szCs w:val="22"/>
              </w:rPr>
              <w:br/>
            </w:r>
          </w:p>
        </w:tc>
        <w:tc>
          <w:tcPr>
            <w:tcW w:w="3969" w:type="dxa"/>
            <w:tcBorders>
              <w:top w:val="single" w:sz="4" w:space="0" w:color="auto"/>
              <w:left w:val="single" w:sz="4" w:space="0" w:color="auto"/>
              <w:bottom w:val="single" w:sz="4" w:space="0" w:color="auto"/>
              <w:right w:val="single" w:sz="4" w:space="0" w:color="auto"/>
            </w:tcBorders>
            <w:hideMark/>
          </w:tcPr>
          <w:p w14:paraId="0D80AE50" w14:textId="77777777" w:rsidR="00E35D0C" w:rsidRPr="0006168B" w:rsidRDefault="00E35D0C" w:rsidP="00866A29">
            <w:pPr>
              <w:pStyle w:val="TableHeaderRow"/>
              <w:cnfStyle w:val="100000000000" w:firstRow="1" w:lastRow="0" w:firstColumn="0" w:lastColumn="0" w:oddVBand="0" w:evenVBand="0" w:oddHBand="0" w:evenHBand="0" w:firstRowFirstColumn="0" w:firstRowLastColumn="0" w:lastRowFirstColumn="0" w:lastRowLastColumn="0"/>
              <w:rPr>
                <w:szCs w:val="22"/>
              </w:rPr>
            </w:pPr>
            <w:r w:rsidRPr="0006168B">
              <w:rPr>
                <w:szCs w:val="22"/>
              </w:rPr>
              <w:t xml:space="preserve">Explanation </w:t>
            </w:r>
          </w:p>
        </w:tc>
        <w:tc>
          <w:tcPr>
            <w:tcW w:w="2277" w:type="dxa"/>
            <w:tcBorders>
              <w:top w:val="single" w:sz="4" w:space="0" w:color="auto"/>
              <w:left w:val="single" w:sz="4" w:space="0" w:color="auto"/>
              <w:bottom w:val="single" w:sz="4" w:space="0" w:color="auto"/>
              <w:right w:val="single" w:sz="4" w:space="0" w:color="auto"/>
            </w:tcBorders>
            <w:hideMark/>
          </w:tcPr>
          <w:p w14:paraId="1CABF23B" w14:textId="77777777" w:rsidR="00E35D0C" w:rsidRPr="0006168B" w:rsidRDefault="00E35D0C" w:rsidP="00866A29">
            <w:pPr>
              <w:pStyle w:val="TableHeaderRow"/>
              <w:cnfStyle w:val="100000000000" w:firstRow="1" w:lastRow="0" w:firstColumn="0" w:lastColumn="0" w:oddVBand="0" w:evenVBand="0" w:oddHBand="0" w:evenHBand="0" w:firstRowFirstColumn="0" w:firstRowLastColumn="0" w:lastRowFirstColumn="0" w:lastRowLastColumn="0"/>
              <w:rPr>
                <w:szCs w:val="22"/>
              </w:rPr>
            </w:pPr>
            <w:r w:rsidRPr="0006168B">
              <w:rPr>
                <w:szCs w:val="22"/>
              </w:rPr>
              <w:t xml:space="preserve">Action plan </w:t>
            </w:r>
          </w:p>
        </w:tc>
        <w:tc>
          <w:tcPr>
            <w:tcW w:w="1697" w:type="dxa"/>
            <w:tcBorders>
              <w:top w:val="single" w:sz="4" w:space="0" w:color="auto"/>
              <w:left w:val="single" w:sz="4" w:space="0" w:color="auto"/>
              <w:bottom w:val="single" w:sz="4" w:space="0" w:color="auto"/>
              <w:right w:val="single" w:sz="4" w:space="0" w:color="auto"/>
            </w:tcBorders>
            <w:hideMark/>
          </w:tcPr>
          <w:p w14:paraId="0B7879A2" w14:textId="77777777" w:rsidR="00E35D0C" w:rsidRPr="0006168B" w:rsidRDefault="00E35D0C" w:rsidP="00866A29">
            <w:pPr>
              <w:pStyle w:val="TableHeaderRow"/>
              <w:cnfStyle w:val="100000000000" w:firstRow="1" w:lastRow="0" w:firstColumn="0" w:lastColumn="0" w:oddVBand="0" w:evenVBand="0" w:oddHBand="0" w:evenHBand="0" w:firstRowFirstColumn="0" w:firstRowLastColumn="0" w:lastRowFirstColumn="0" w:lastRowLastColumn="0"/>
              <w:rPr>
                <w:szCs w:val="22"/>
              </w:rPr>
            </w:pPr>
            <w:r w:rsidRPr="0006168B">
              <w:rPr>
                <w:szCs w:val="22"/>
              </w:rPr>
              <w:t>Timeframe</w:t>
            </w:r>
          </w:p>
          <w:p w14:paraId="27DEF82C" w14:textId="77777777" w:rsidR="00E35D0C" w:rsidRPr="0006168B" w:rsidRDefault="00E35D0C" w:rsidP="00866A29">
            <w:pPr>
              <w:pStyle w:val="TableHeaderRow"/>
              <w:cnfStyle w:val="100000000000" w:firstRow="1" w:lastRow="0" w:firstColumn="0" w:lastColumn="0" w:oddVBand="0" w:evenVBand="0" w:oddHBand="0" w:evenHBand="0" w:firstRowFirstColumn="0" w:firstRowLastColumn="0" w:lastRowFirstColumn="0" w:lastRowLastColumn="0"/>
              <w:rPr>
                <w:rFonts w:asciiTheme="majorHAnsi" w:hAnsiTheme="majorHAnsi"/>
                <w:szCs w:val="22"/>
              </w:rPr>
            </w:pPr>
            <w:r w:rsidRPr="0006168B">
              <w:rPr>
                <w:rFonts w:asciiTheme="majorHAnsi" w:hAnsiTheme="majorHAnsi"/>
                <w:szCs w:val="22"/>
              </w:rPr>
              <w:t>[If practical, please specify timeframe here]</w:t>
            </w:r>
          </w:p>
        </w:tc>
      </w:tr>
      <w:tr w:rsidR="000442FC" w:rsidRPr="0006168B" w14:paraId="32091616" w14:textId="77777777" w:rsidTr="0012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2" w:type="dxa"/>
            <w:tcBorders>
              <w:top w:val="single" w:sz="4" w:space="0" w:color="auto"/>
              <w:left w:val="single" w:sz="4" w:space="0" w:color="auto"/>
              <w:bottom w:val="single" w:sz="4" w:space="0" w:color="auto"/>
              <w:right w:val="single" w:sz="4" w:space="0" w:color="auto"/>
            </w:tcBorders>
            <w:hideMark/>
          </w:tcPr>
          <w:p w14:paraId="079AF0D1" w14:textId="77777777" w:rsidR="000442FC" w:rsidRPr="0006168B" w:rsidRDefault="000442FC" w:rsidP="000442FC">
            <w:pPr>
              <w:pStyle w:val="Heading3"/>
              <w:outlineLvl w:val="2"/>
              <w:rPr>
                <w:b/>
                <w:sz w:val="22"/>
                <w:szCs w:val="22"/>
              </w:rPr>
            </w:pPr>
            <w:r w:rsidRPr="0006168B">
              <w:rPr>
                <w:b/>
                <w:sz w:val="22"/>
                <w:szCs w:val="22"/>
              </w:rPr>
              <w:t>Recommendation A1</w:t>
            </w:r>
          </w:p>
          <w:p w14:paraId="0DA0282A" w14:textId="171CA7D4" w:rsidR="000442FC" w:rsidRPr="0006168B" w:rsidRDefault="000442FC" w:rsidP="000442FC">
            <w:pPr>
              <w:rPr>
                <w:rFonts w:ascii="Franklin Gothic Book" w:hAnsi="Franklin Gothic Book"/>
                <w:color w:val="000000" w:themeColor="text1"/>
              </w:rPr>
            </w:pPr>
            <w:r w:rsidRPr="0006168B">
              <w:rPr>
                <w:i/>
                <w:lang w:val="en-NZ"/>
              </w:rPr>
              <w:t>DFAT should continue its support to Bougainville’s youth and invest</w:t>
            </w:r>
            <w:r w:rsidR="005C052B" w:rsidRPr="0006168B">
              <w:rPr>
                <w:i/>
                <w:lang w:val="en-NZ"/>
              </w:rPr>
              <w:t xml:space="preserve"> in a</w:t>
            </w:r>
            <w:r w:rsidRPr="0006168B">
              <w:rPr>
                <w:i/>
                <w:lang w:val="en-NZ"/>
              </w:rPr>
              <w:t xml:space="preserve"> 5-year programme that aims to improve the economic, social and political position of youth in the AROB and targets vulnerable and excluded youth by supporting NGOs working in partnership with key youth actors.</w:t>
            </w:r>
          </w:p>
        </w:tc>
        <w:tc>
          <w:tcPr>
            <w:tcW w:w="1439" w:type="dxa"/>
            <w:tcBorders>
              <w:top w:val="single" w:sz="4" w:space="0" w:color="auto"/>
              <w:left w:val="single" w:sz="4" w:space="0" w:color="auto"/>
              <w:bottom w:val="single" w:sz="4" w:space="0" w:color="auto"/>
              <w:right w:val="single" w:sz="4" w:space="0" w:color="auto"/>
            </w:tcBorders>
            <w:shd w:val="clear" w:color="auto" w:fill="FFC000"/>
            <w:hideMark/>
          </w:tcPr>
          <w:p w14:paraId="543179EB" w14:textId="2E444499" w:rsidR="000442FC" w:rsidRPr="0006168B" w:rsidRDefault="000442FC" w:rsidP="000442FC">
            <w:pPr>
              <w:pStyle w:val="Heading3"/>
              <w:jc w:val="center"/>
              <w:outlineLvl w:val="2"/>
              <w:cnfStyle w:val="000000100000" w:firstRow="0" w:lastRow="0" w:firstColumn="0" w:lastColumn="0" w:oddVBand="0" w:evenVBand="0" w:oddHBand="1" w:evenHBand="0" w:firstRowFirstColumn="0" w:firstRowLastColumn="0" w:lastRowFirstColumn="0" w:lastRowLastColumn="0"/>
              <w:rPr>
                <w:sz w:val="22"/>
                <w:szCs w:val="22"/>
              </w:rPr>
            </w:pPr>
            <w:r w:rsidRPr="0006168B">
              <w:rPr>
                <w:sz w:val="22"/>
                <w:szCs w:val="22"/>
              </w:rPr>
              <w:t>Agree in part</w:t>
            </w:r>
          </w:p>
        </w:tc>
        <w:tc>
          <w:tcPr>
            <w:tcW w:w="3969" w:type="dxa"/>
            <w:tcBorders>
              <w:top w:val="single" w:sz="4" w:space="0" w:color="auto"/>
              <w:left w:val="single" w:sz="4" w:space="0" w:color="auto"/>
              <w:bottom w:val="single" w:sz="4" w:space="0" w:color="auto"/>
              <w:right w:val="single" w:sz="4" w:space="0" w:color="auto"/>
            </w:tcBorders>
          </w:tcPr>
          <w:p w14:paraId="091F2216" w14:textId="4E9A9A7C" w:rsidR="000442FC" w:rsidRPr="0006168B" w:rsidRDefault="000442FC" w:rsidP="000442FC">
            <w:pPr>
              <w:pStyle w:val="BodyText"/>
              <w:cnfStyle w:val="000000100000" w:firstRow="0" w:lastRow="0" w:firstColumn="0" w:lastColumn="0" w:oddVBand="0" w:evenVBand="0" w:oddHBand="1" w:evenHBand="0" w:firstRowFirstColumn="0" w:firstRowLastColumn="0" w:lastRowFirstColumn="0" w:lastRowLastColumn="0"/>
            </w:pPr>
            <w:r w:rsidRPr="0006168B">
              <w:rPr>
                <w:rFonts w:asciiTheme="majorHAnsi" w:hAnsiTheme="majorHAnsi"/>
              </w:rPr>
              <w:t>DFAT will continue to support Bougainville’s youth and will draw on the Review recommendations to guide future programming. The specifics of future support, particularly timeframe and modality, may vary from the recommendation.</w:t>
            </w:r>
          </w:p>
        </w:tc>
        <w:tc>
          <w:tcPr>
            <w:tcW w:w="2277" w:type="dxa"/>
            <w:tcBorders>
              <w:top w:val="single" w:sz="4" w:space="0" w:color="auto"/>
              <w:left w:val="single" w:sz="4" w:space="0" w:color="auto"/>
              <w:bottom w:val="single" w:sz="4" w:space="0" w:color="auto"/>
              <w:right w:val="single" w:sz="4" w:space="0" w:color="auto"/>
            </w:tcBorders>
          </w:tcPr>
          <w:p w14:paraId="0A6B672F" w14:textId="308931BD" w:rsidR="000442FC" w:rsidRPr="0006168B" w:rsidRDefault="00124D31" w:rsidP="00CC706C">
            <w:pPr>
              <w:pStyle w:val="BodyText"/>
              <w:cnfStyle w:val="000000100000" w:firstRow="0" w:lastRow="0" w:firstColumn="0" w:lastColumn="0" w:oddVBand="0" w:evenVBand="0" w:oddHBand="1" w:evenHBand="0" w:firstRowFirstColumn="0" w:firstRowLastColumn="0" w:lastRowFirstColumn="0" w:lastRowLastColumn="0"/>
            </w:pPr>
            <w:r>
              <w:rPr>
                <w:rFonts w:asciiTheme="majorHAnsi" w:hAnsiTheme="majorHAnsi"/>
              </w:rPr>
              <w:t xml:space="preserve">Contingent on program resources and dependent on whether or not this continues to be a priority for both the </w:t>
            </w:r>
            <w:r w:rsidR="00CC706C">
              <w:rPr>
                <w:rFonts w:asciiTheme="majorHAnsi" w:hAnsiTheme="majorHAnsi"/>
              </w:rPr>
              <w:t>Papua New Guinea</w:t>
            </w:r>
            <w:r>
              <w:rPr>
                <w:rFonts w:asciiTheme="majorHAnsi" w:hAnsiTheme="majorHAnsi"/>
              </w:rPr>
              <w:t xml:space="preserve"> and Autonomous Bougainville Governments.</w:t>
            </w:r>
          </w:p>
        </w:tc>
        <w:tc>
          <w:tcPr>
            <w:tcW w:w="1697" w:type="dxa"/>
            <w:tcBorders>
              <w:top w:val="single" w:sz="4" w:space="0" w:color="auto"/>
              <w:left w:val="single" w:sz="4" w:space="0" w:color="auto"/>
              <w:bottom w:val="single" w:sz="4" w:space="0" w:color="auto"/>
              <w:right w:val="single" w:sz="4" w:space="0" w:color="auto"/>
            </w:tcBorders>
          </w:tcPr>
          <w:p w14:paraId="55622A99" w14:textId="77777777" w:rsidR="000442FC" w:rsidRPr="0006168B" w:rsidRDefault="000442FC" w:rsidP="000442FC">
            <w:pPr>
              <w:pStyle w:val="BodyText"/>
              <w:cnfStyle w:val="000000100000" w:firstRow="0" w:lastRow="0" w:firstColumn="0" w:lastColumn="0" w:oddVBand="0" w:evenVBand="0" w:oddHBand="1" w:evenHBand="0" w:firstRowFirstColumn="0" w:firstRowLastColumn="0" w:lastRowFirstColumn="0" w:lastRowLastColumn="0"/>
            </w:pPr>
            <w:r w:rsidRPr="0006168B">
              <w:rPr>
                <w:rFonts w:asciiTheme="majorHAnsi" w:hAnsiTheme="majorHAnsi"/>
              </w:rPr>
              <w:t>Contingent on program resources.</w:t>
            </w:r>
          </w:p>
        </w:tc>
      </w:tr>
    </w:tbl>
    <w:p w14:paraId="4DEF7DA8" w14:textId="77777777" w:rsidR="00E35D0C" w:rsidRDefault="00E35D0C" w:rsidP="00E35D0C">
      <w:pPr>
        <w:pStyle w:val="BodyText"/>
        <w:rPr>
          <w:rFonts w:ascii="Franklin Gothic Book" w:hAnsi="Franklin Gothic Book"/>
          <w:color w:val="000000" w:themeColor="text1"/>
          <w:sz w:val="21"/>
        </w:rPr>
      </w:pPr>
    </w:p>
    <w:tbl>
      <w:tblPr>
        <w:tblStyle w:val="DFATTable1"/>
        <w:tblpPr w:leftFromText="180" w:rightFromText="180" w:vertAnchor="text" w:horzAnchor="page" w:tblpX="1765" w:tblpY="5"/>
        <w:tblW w:w="14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Individual management response to the recommendations (continued)."/>
        <w:tblDescription w:val="Recommendation: Recommendation 2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10;&#10;To repeat responses for all evaluation recommendations."/>
      </w:tblPr>
      <w:tblGrid>
        <w:gridCol w:w="4683"/>
        <w:gridCol w:w="2263"/>
        <w:gridCol w:w="2972"/>
        <w:gridCol w:w="2273"/>
        <w:gridCol w:w="1847"/>
      </w:tblGrid>
      <w:tr w:rsidR="000442FC" w14:paraId="3295D610" w14:textId="77777777" w:rsidTr="00124D31">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4683" w:type="dxa"/>
            <w:hideMark/>
          </w:tcPr>
          <w:p w14:paraId="4C6CC180" w14:textId="77777777" w:rsidR="000442FC" w:rsidRDefault="000442FC" w:rsidP="004D4C24">
            <w:pPr>
              <w:pStyle w:val="TableHeaderRow"/>
            </w:pPr>
            <w:r>
              <w:lastRenderedPageBreak/>
              <w:t>Recommendation</w:t>
            </w:r>
          </w:p>
        </w:tc>
        <w:tc>
          <w:tcPr>
            <w:tcW w:w="2263" w:type="dxa"/>
            <w:hideMark/>
          </w:tcPr>
          <w:p w14:paraId="03481E3A" w14:textId="77777777" w:rsidR="000442FC" w:rsidRDefault="000442FC" w:rsidP="004D4C24">
            <w:pPr>
              <w:pStyle w:val="TableHeaderRow"/>
              <w:cnfStyle w:val="100000000000" w:firstRow="1" w:lastRow="0" w:firstColumn="0" w:lastColumn="0" w:oddVBand="0" w:evenVBand="0" w:oddHBand="0" w:evenHBand="0" w:firstRowFirstColumn="0" w:firstRowLastColumn="0" w:lastRowFirstColumn="0" w:lastRowLastColumn="0"/>
            </w:pPr>
            <w:r>
              <w:t xml:space="preserve">Response </w:t>
            </w:r>
            <w:r>
              <w:br/>
            </w:r>
          </w:p>
        </w:tc>
        <w:tc>
          <w:tcPr>
            <w:tcW w:w="2972" w:type="dxa"/>
            <w:hideMark/>
          </w:tcPr>
          <w:p w14:paraId="00BC3891" w14:textId="77777777" w:rsidR="000442FC" w:rsidRDefault="000442FC" w:rsidP="004D4C24">
            <w:pPr>
              <w:pStyle w:val="TableHeaderRow"/>
              <w:cnfStyle w:val="100000000000" w:firstRow="1" w:lastRow="0" w:firstColumn="0" w:lastColumn="0" w:oddVBand="0" w:evenVBand="0" w:oddHBand="0" w:evenHBand="0" w:firstRowFirstColumn="0" w:firstRowLastColumn="0" w:lastRowFirstColumn="0" w:lastRowLastColumn="0"/>
            </w:pPr>
            <w:r>
              <w:t xml:space="preserve">Explanation </w:t>
            </w:r>
          </w:p>
        </w:tc>
        <w:tc>
          <w:tcPr>
            <w:tcW w:w="2273" w:type="dxa"/>
            <w:hideMark/>
          </w:tcPr>
          <w:p w14:paraId="4FD2CD92" w14:textId="77777777" w:rsidR="000442FC" w:rsidRDefault="000442FC" w:rsidP="004D4C24">
            <w:pPr>
              <w:pStyle w:val="TableHeaderRow"/>
              <w:cnfStyle w:val="100000000000" w:firstRow="1" w:lastRow="0" w:firstColumn="0" w:lastColumn="0" w:oddVBand="0" w:evenVBand="0" w:oddHBand="0" w:evenHBand="0" w:firstRowFirstColumn="0" w:firstRowLastColumn="0" w:lastRowFirstColumn="0" w:lastRowLastColumn="0"/>
            </w:pPr>
            <w:r>
              <w:t xml:space="preserve">Action plan </w:t>
            </w:r>
          </w:p>
        </w:tc>
        <w:tc>
          <w:tcPr>
            <w:tcW w:w="1847" w:type="dxa"/>
            <w:hideMark/>
          </w:tcPr>
          <w:p w14:paraId="65254208" w14:textId="77777777" w:rsidR="000442FC" w:rsidRPr="005D67B8" w:rsidRDefault="000442FC" w:rsidP="004D4C24">
            <w:pPr>
              <w:pStyle w:val="TableHeaderRow"/>
              <w:cnfStyle w:val="100000000000" w:firstRow="1" w:lastRow="0" w:firstColumn="0" w:lastColumn="0" w:oddVBand="0" w:evenVBand="0" w:oddHBand="0" w:evenHBand="0" w:firstRowFirstColumn="0" w:firstRowLastColumn="0" w:lastRowFirstColumn="0" w:lastRowLastColumn="0"/>
            </w:pPr>
            <w:r w:rsidRPr="005D67B8">
              <w:t>Timeframe</w:t>
            </w:r>
          </w:p>
          <w:p w14:paraId="61631E7F" w14:textId="77777777" w:rsidR="000442FC" w:rsidRPr="008F4A4D" w:rsidRDefault="000442FC" w:rsidP="004D4C24">
            <w:pPr>
              <w:pStyle w:val="TableHeaderRow"/>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r>
      <w:tr w:rsidR="000442FC" w14:paraId="5F787832" w14:textId="77777777" w:rsidTr="0012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3" w:type="dxa"/>
            <w:hideMark/>
          </w:tcPr>
          <w:p w14:paraId="3941FB2E" w14:textId="77777777" w:rsidR="000442FC" w:rsidRPr="000442FC" w:rsidRDefault="000442FC" w:rsidP="004D4C24">
            <w:pPr>
              <w:pStyle w:val="Heading3"/>
              <w:outlineLvl w:val="2"/>
              <w:rPr>
                <w:b/>
                <w:sz w:val="24"/>
                <w:szCs w:val="24"/>
              </w:rPr>
            </w:pPr>
            <w:r w:rsidRPr="000442FC">
              <w:rPr>
                <w:b/>
                <w:sz w:val="24"/>
                <w:szCs w:val="24"/>
              </w:rPr>
              <w:t>Recommendation A2</w:t>
            </w:r>
          </w:p>
          <w:p w14:paraId="334DE59C" w14:textId="7B62DE48" w:rsidR="000442FC" w:rsidRPr="008F4A4D" w:rsidRDefault="000442FC" w:rsidP="004D4C24">
            <w:pPr>
              <w:pStyle w:val="BodyText"/>
              <w:rPr>
                <w:rFonts w:asciiTheme="majorHAnsi" w:hAnsiTheme="majorHAnsi"/>
                <w:i/>
                <w:sz w:val="24"/>
                <w:szCs w:val="24"/>
              </w:rPr>
            </w:pPr>
            <w:r w:rsidRPr="000565DF">
              <w:rPr>
                <w:rFonts w:asciiTheme="majorHAnsi" w:hAnsiTheme="majorHAnsi"/>
                <w:i/>
                <w:sz w:val="24"/>
                <w:szCs w:val="24"/>
                <w:lang w:val="en-NZ"/>
              </w:rPr>
              <w:t>In undertaking the next stage of design, DFAT should consider the potential to integrate its support to B</w:t>
            </w:r>
            <w:r>
              <w:rPr>
                <w:rFonts w:asciiTheme="majorHAnsi" w:hAnsiTheme="majorHAnsi"/>
                <w:i/>
                <w:sz w:val="24"/>
                <w:szCs w:val="24"/>
                <w:lang w:val="en-NZ"/>
              </w:rPr>
              <w:t xml:space="preserve">ougainville </w:t>
            </w:r>
            <w:r w:rsidRPr="000565DF">
              <w:rPr>
                <w:rFonts w:asciiTheme="majorHAnsi" w:hAnsiTheme="majorHAnsi"/>
                <w:i/>
                <w:sz w:val="24"/>
                <w:szCs w:val="24"/>
                <w:lang w:val="en-NZ"/>
              </w:rPr>
              <w:t>Y</w:t>
            </w:r>
            <w:r>
              <w:rPr>
                <w:rFonts w:asciiTheme="majorHAnsi" w:hAnsiTheme="majorHAnsi"/>
                <w:i/>
                <w:sz w:val="24"/>
                <w:szCs w:val="24"/>
                <w:lang w:val="en-NZ"/>
              </w:rPr>
              <w:t xml:space="preserve">outh </w:t>
            </w:r>
            <w:r w:rsidRPr="000565DF">
              <w:rPr>
                <w:rFonts w:asciiTheme="majorHAnsi" w:hAnsiTheme="majorHAnsi"/>
                <w:i/>
                <w:sz w:val="24"/>
                <w:szCs w:val="24"/>
                <w:lang w:val="en-NZ"/>
              </w:rPr>
              <w:t>F</w:t>
            </w:r>
            <w:r>
              <w:rPr>
                <w:rFonts w:asciiTheme="majorHAnsi" w:hAnsiTheme="majorHAnsi"/>
                <w:i/>
                <w:sz w:val="24"/>
                <w:szCs w:val="24"/>
                <w:lang w:val="en-NZ"/>
              </w:rPr>
              <w:t>ederation</w:t>
            </w:r>
            <w:r w:rsidRPr="000565DF">
              <w:rPr>
                <w:rFonts w:asciiTheme="majorHAnsi" w:hAnsiTheme="majorHAnsi"/>
                <w:i/>
                <w:sz w:val="24"/>
                <w:szCs w:val="24"/>
                <w:lang w:val="en-NZ"/>
              </w:rPr>
              <w:t xml:space="preserve"> under the same programme management arrangements</w:t>
            </w:r>
            <w:r>
              <w:rPr>
                <w:rFonts w:asciiTheme="majorHAnsi" w:hAnsiTheme="majorHAnsi"/>
                <w:i/>
                <w:sz w:val="24"/>
                <w:szCs w:val="24"/>
                <w:lang w:val="en-NZ"/>
              </w:rPr>
              <w:t>.</w:t>
            </w:r>
          </w:p>
        </w:tc>
        <w:tc>
          <w:tcPr>
            <w:tcW w:w="2263" w:type="dxa"/>
            <w:shd w:val="clear" w:color="auto" w:fill="92D050"/>
            <w:hideMark/>
          </w:tcPr>
          <w:p w14:paraId="4E6E599A" w14:textId="77777777" w:rsidR="000442FC" w:rsidRPr="008F4A4D" w:rsidRDefault="000442FC" w:rsidP="004D4C24">
            <w:pPr>
              <w:pStyle w:val="Heading3"/>
              <w:jc w:val="center"/>
              <w:outlineLvl w:val="2"/>
              <w:cnfStyle w:val="000000100000" w:firstRow="0" w:lastRow="0" w:firstColumn="0" w:lastColumn="0" w:oddVBand="0" w:evenVBand="0" w:oddHBand="1" w:evenHBand="0" w:firstRowFirstColumn="0" w:firstRowLastColumn="0" w:lastRowFirstColumn="0" w:lastRowLastColumn="0"/>
              <w:rPr>
                <w:sz w:val="24"/>
                <w:szCs w:val="24"/>
              </w:rPr>
            </w:pPr>
            <w:r w:rsidRPr="008F4A4D">
              <w:rPr>
                <w:sz w:val="24"/>
                <w:szCs w:val="24"/>
              </w:rPr>
              <w:t>Agree</w:t>
            </w:r>
          </w:p>
        </w:tc>
        <w:tc>
          <w:tcPr>
            <w:tcW w:w="2972" w:type="dxa"/>
          </w:tcPr>
          <w:p w14:paraId="7A70512B" w14:textId="77777777" w:rsidR="000442FC" w:rsidRPr="008F4A4D" w:rsidRDefault="000442FC" w:rsidP="004D4C24">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 xml:space="preserve">DFAT supports closer integration and alignment of any additional support with its current capacity building of the Bougainville Youth Federation and other institutions.  </w:t>
            </w:r>
          </w:p>
        </w:tc>
        <w:tc>
          <w:tcPr>
            <w:tcW w:w="2273" w:type="dxa"/>
          </w:tcPr>
          <w:p w14:paraId="41E6D1DC" w14:textId="7EA9655B" w:rsidR="000442FC" w:rsidRPr="008F4A4D" w:rsidRDefault="000442FC" w:rsidP="00CC706C">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 xml:space="preserve">Contingent on program </w:t>
            </w:r>
            <w:r w:rsidR="00124D31">
              <w:rPr>
                <w:rFonts w:asciiTheme="majorHAnsi" w:hAnsiTheme="majorHAnsi"/>
                <w:sz w:val="24"/>
                <w:szCs w:val="24"/>
              </w:rPr>
              <w:t>resources and</w:t>
            </w:r>
            <w:r w:rsidR="00124D31" w:rsidRPr="00CC706C">
              <w:rPr>
                <w:rFonts w:asciiTheme="majorHAnsi" w:hAnsiTheme="majorHAnsi"/>
                <w:sz w:val="24"/>
                <w:szCs w:val="24"/>
              </w:rPr>
              <w:t xml:space="preserve"> dependent on whether or not this continues to be a priority for both the </w:t>
            </w:r>
            <w:r w:rsidR="00CC706C" w:rsidRPr="00CC706C">
              <w:rPr>
                <w:rFonts w:asciiTheme="majorHAnsi" w:hAnsiTheme="majorHAnsi"/>
                <w:sz w:val="24"/>
                <w:szCs w:val="24"/>
              </w:rPr>
              <w:t>Papua New Guinea</w:t>
            </w:r>
            <w:r w:rsidR="00124D31" w:rsidRPr="00CC706C">
              <w:rPr>
                <w:rFonts w:asciiTheme="majorHAnsi" w:hAnsiTheme="majorHAnsi"/>
                <w:sz w:val="24"/>
                <w:szCs w:val="24"/>
              </w:rPr>
              <w:t xml:space="preserve"> and Autonomous Bougainville Governments.</w:t>
            </w:r>
          </w:p>
        </w:tc>
        <w:tc>
          <w:tcPr>
            <w:tcW w:w="1847" w:type="dxa"/>
          </w:tcPr>
          <w:p w14:paraId="4F0DCCD9" w14:textId="77777777" w:rsidR="000442FC" w:rsidRPr="008F4A4D" w:rsidRDefault="000442FC" w:rsidP="004D4C24">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Pr>
                <w:rFonts w:asciiTheme="majorHAnsi" w:hAnsiTheme="majorHAnsi"/>
                <w:sz w:val="24"/>
                <w:szCs w:val="24"/>
              </w:rPr>
              <w:t>Contingent on program resources.</w:t>
            </w:r>
          </w:p>
        </w:tc>
      </w:tr>
    </w:tbl>
    <w:p w14:paraId="2FDB53D9" w14:textId="77777777" w:rsidR="00E35D0C" w:rsidRDefault="00E35D0C" w:rsidP="00E35D0C">
      <w:pPr>
        <w:pStyle w:val="BodyText"/>
        <w:rPr>
          <w:rFonts w:ascii="Franklin Gothic Book" w:hAnsi="Franklin Gothic Book"/>
          <w:color w:val="000000" w:themeColor="text1"/>
          <w:sz w:val="21"/>
        </w:rPr>
      </w:pPr>
    </w:p>
    <w:p w14:paraId="0C2C87EC" w14:textId="77777777" w:rsidR="00E35D0C" w:rsidRDefault="00E35D0C" w:rsidP="00E35D0C"/>
    <w:p w14:paraId="23672547" w14:textId="77777777" w:rsidR="00E35D0C" w:rsidRPr="00C10415" w:rsidRDefault="00E35D0C" w:rsidP="00E35D0C">
      <w:pPr>
        <w:rPr>
          <w:lang w:val="en-AU"/>
        </w:rPr>
      </w:pPr>
    </w:p>
    <w:p w14:paraId="470DE5A4" w14:textId="77777777" w:rsidR="00AF3283" w:rsidRDefault="00755EAD"/>
    <w:sectPr w:rsidR="00AF3283" w:rsidSect="0006168B">
      <w:headerReference w:type="even" r:id="rId7"/>
      <w:headerReference w:type="default" r:id="rId8"/>
      <w:footerReference w:type="even" r:id="rId9"/>
      <w:footerReference w:type="default" r:id="rId10"/>
      <w:headerReference w:type="first" r:id="rId11"/>
      <w:footerReference w:type="first" r:id="rId12"/>
      <w:pgSz w:w="16838" w:h="11906" w:orient="landscape" w:code="9"/>
      <w:pgMar w:top="709" w:right="1103"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81A0B" w14:textId="77777777" w:rsidR="00755EAD" w:rsidRDefault="00755EAD" w:rsidP="00755EAD">
      <w:pPr>
        <w:spacing w:before="0" w:after="0" w:line="240" w:lineRule="auto"/>
      </w:pPr>
      <w:r>
        <w:separator/>
      </w:r>
    </w:p>
  </w:endnote>
  <w:endnote w:type="continuationSeparator" w:id="0">
    <w:p w14:paraId="1991ED8E" w14:textId="77777777" w:rsidR="00755EAD" w:rsidRDefault="00755EAD" w:rsidP="00755EA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2D2A1" w14:textId="77777777" w:rsidR="00755EAD" w:rsidRDefault="00755E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C82BA" w14:textId="77777777" w:rsidR="00755EAD" w:rsidRDefault="00755E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204A8" w14:textId="77777777" w:rsidR="00755EAD" w:rsidRDefault="00755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88D2D" w14:textId="77777777" w:rsidR="00755EAD" w:rsidRDefault="00755EAD" w:rsidP="00755EAD">
      <w:pPr>
        <w:spacing w:before="0" w:after="0" w:line="240" w:lineRule="auto"/>
      </w:pPr>
      <w:r>
        <w:separator/>
      </w:r>
    </w:p>
  </w:footnote>
  <w:footnote w:type="continuationSeparator" w:id="0">
    <w:p w14:paraId="438CA770" w14:textId="77777777" w:rsidR="00755EAD" w:rsidRDefault="00755EAD" w:rsidP="00755EA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65323" w14:textId="77777777" w:rsidR="00755EAD" w:rsidRDefault="00755E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ADF2D" w14:textId="77777777" w:rsidR="00755EAD" w:rsidRDefault="00755E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9D4D1" w14:textId="77777777" w:rsidR="00755EAD" w:rsidRDefault="00755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56043A"/>
    <w:multiLevelType w:val="multilevel"/>
    <w:tmpl w:val="69AEB596"/>
    <w:numStyleLink w:val="BulletsList"/>
  </w:abstractNum>
  <w:abstractNum w:abstractNumId="1" w15:restartNumberingAfterBreak="0">
    <w:nsid w:val="73107305"/>
    <w:multiLevelType w:val="multilevel"/>
    <w:tmpl w:val="69AEB596"/>
    <w:styleLink w:val="BulletsList"/>
    <w:lvl w:ilvl="0">
      <w:start w:val="1"/>
      <w:numFmt w:val="bullet"/>
      <w:pStyle w:val="Bullet1"/>
      <w:lvlText w:val=""/>
      <w:lvlJc w:val="left"/>
      <w:pPr>
        <w:tabs>
          <w:tab w:val="num" w:pos="284"/>
        </w:tabs>
        <w:ind w:left="284" w:hanging="284"/>
      </w:pPr>
      <w:rPr>
        <w:rFonts w:ascii="Symbol" w:hAnsi="Symbol" w:hint="default"/>
        <w:color w:val="5B9BD5" w:themeColor="accent1"/>
      </w:rPr>
    </w:lvl>
    <w:lvl w:ilvl="1">
      <w:start w:val="1"/>
      <w:numFmt w:val="bullet"/>
      <w:pStyle w:val="Bullet2"/>
      <w:lvlText w:val="–"/>
      <w:lvlJc w:val="left"/>
      <w:pPr>
        <w:tabs>
          <w:tab w:val="num" w:pos="568"/>
        </w:tabs>
        <w:ind w:left="568" w:hanging="284"/>
      </w:pPr>
      <w:rPr>
        <w:rFonts w:ascii="Arial" w:hAnsi="Arial" w:hint="default"/>
        <w:color w:val="5B9BD5" w:themeColor="accent1"/>
      </w:rPr>
    </w:lvl>
    <w:lvl w:ilvl="2">
      <w:start w:val="1"/>
      <w:numFmt w:val="bullet"/>
      <w:pStyle w:val="Bullet3"/>
      <w:lvlText w:val="»"/>
      <w:lvlJc w:val="left"/>
      <w:pPr>
        <w:tabs>
          <w:tab w:val="num" w:pos="852"/>
        </w:tabs>
        <w:ind w:left="852" w:hanging="285"/>
      </w:pPr>
      <w:rPr>
        <w:rFonts w:ascii="Arial" w:hAnsi="Arial" w:hint="default"/>
        <w:color w:val="5B9BD5"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D0C"/>
    <w:rsid w:val="000442FC"/>
    <w:rsid w:val="000565DF"/>
    <w:rsid w:val="0006168B"/>
    <w:rsid w:val="00113680"/>
    <w:rsid w:val="00124D31"/>
    <w:rsid w:val="00146637"/>
    <w:rsid w:val="001E1AF7"/>
    <w:rsid w:val="003F2284"/>
    <w:rsid w:val="00420E40"/>
    <w:rsid w:val="004D4C24"/>
    <w:rsid w:val="005C052B"/>
    <w:rsid w:val="006A61FA"/>
    <w:rsid w:val="006B4D4A"/>
    <w:rsid w:val="00755EAD"/>
    <w:rsid w:val="00A75AB2"/>
    <w:rsid w:val="00B812F8"/>
    <w:rsid w:val="00C231A6"/>
    <w:rsid w:val="00C44B1E"/>
    <w:rsid w:val="00CC706C"/>
    <w:rsid w:val="00DE7480"/>
    <w:rsid w:val="00E35D0C"/>
    <w:rsid w:val="00EE7F91"/>
    <w:rsid w:val="00F735D9"/>
    <w:rsid w:val="00FE40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55A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D0C"/>
    <w:pPr>
      <w:suppressAutoHyphens/>
      <w:spacing w:before="120" w:after="60" w:line="260" w:lineRule="atLeast"/>
    </w:pPr>
    <w:rPr>
      <w:color w:val="44546A" w:themeColor="text2"/>
      <w:lang w:val="en-GB"/>
    </w:rPr>
  </w:style>
  <w:style w:type="paragraph" w:styleId="Heading1">
    <w:name w:val="heading 1"/>
    <w:basedOn w:val="Normal"/>
    <w:next w:val="Normal"/>
    <w:link w:val="Heading1Char"/>
    <w:qFormat/>
    <w:rsid w:val="00E35D0C"/>
    <w:pPr>
      <w:keepNext/>
      <w:keepLines/>
      <w:spacing w:before="300" w:after="2400" w:line="380" w:lineRule="exact"/>
      <w:contextualSpacing/>
      <w:outlineLvl w:val="0"/>
    </w:pPr>
    <w:rPr>
      <w:rFonts w:asciiTheme="majorHAnsi" w:eastAsiaTheme="majorEastAsia" w:hAnsiTheme="majorHAnsi" w:cstheme="majorBidi"/>
      <w:b/>
      <w:bCs/>
      <w:caps/>
      <w:color w:val="FFFFFF" w:themeColor="background1"/>
      <w:sz w:val="38"/>
      <w:szCs w:val="28"/>
    </w:rPr>
  </w:style>
  <w:style w:type="paragraph" w:styleId="Heading2">
    <w:name w:val="heading 2"/>
    <w:basedOn w:val="Normal"/>
    <w:next w:val="Normal"/>
    <w:link w:val="Heading2Char"/>
    <w:uiPriority w:val="9"/>
    <w:semiHidden/>
    <w:unhideWhenUsed/>
    <w:qFormat/>
    <w:rsid w:val="00E35D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nhideWhenUsed/>
    <w:qFormat/>
    <w:rsid w:val="00E35D0C"/>
    <w:pPr>
      <w:spacing w:before="480" w:after="120" w:line="360" w:lineRule="atLeast"/>
      <w:contextualSpacing/>
      <w:outlineLvl w:val="2"/>
    </w:pPr>
    <w:rPr>
      <w:bCs/>
      <w:color w:val="44546A" w:themeColor="text2"/>
      <w:sz w:val="3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5D0C"/>
    <w:rPr>
      <w:rFonts w:asciiTheme="majorHAnsi" w:eastAsiaTheme="majorEastAsia" w:hAnsiTheme="majorHAnsi" w:cstheme="majorBidi"/>
      <w:b/>
      <w:bCs/>
      <w:caps/>
      <w:color w:val="FFFFFF" w:themeColor="background1"/>
      <w:sz w:val="38"/>
      <w:szCs w:val="28"/>
      <w:lang w:val="en-GB"/>
    </w:rPr>
  </w:style>
  <w:style w:type="character" w:customStyle="1" w:styleId="Heading3Char">
    <w:name w:val="Heading 3 Char"/>
    <w:basedOn w:val="DefaultParagraphFont"/>
    <w:link w:val="Heading3"/>
    <w:rsid w:val="00E35D0C"/>
    <w:rPr>
      <w:rFonts w:asciiTheme="majorHAnsi" w:eastAsiaTheme="majorEastAsia" w:hAnsiTheme="majorHAnsi" w:cstheme="majorBidi"/>
      <w:bCs/>
      <w:color w:val="44546A" w:themeColor="text2"/>
      <w:sz w:val="30"/>
      <w:szCs w:val="26"/>
    </w:rPr>
  </w:style>
  <w:style w:type="paragraph" w:customStyle="1" w:styleId="Bullet1">
    <w:name w:val="Bullet 1"/>
    <w:basedOn w:val="Normal"/>
    <w:qFormat/>
    <w:rsid w:val="00E35D0C"/>
    <w:pPr>
      <w:numPr>
        <w:numId w:val="2"/>
      </w:numPr>
      <w:tabs>
        <w:tab w:val="left" w:pos="567"/>
      </w:tabs>
      <w:spacing w:before="60"/>
    </w:pPr>
  </w:style>
  <w:style w:type="paragraph" w:customStyle="1" w:styleId="Bullet2">
    <w:name w:val="Bullet 2"/>
    <w:basedOn w:val="Bullet1"/>
    <w:qFormat/>
    <w:rsid w:val="00E35D0C"/>
    <w:pPr>
      <w:numPr>
        <w:ilvl w:val="1"/>
      </w:numPr>
      <w:tabs>
        <w:tab w:val="clear" w:pos="568"/>
        <w:tab w:val="left" w:pos="851"/>
      </w:tabs>
    </w:pPr>
  </w:style>
  <w:style w:type="paragraph" w:customStyle="1" w:styleId="Bullet3">
    <w:name w:val="Bullet 3"/>
    <w:basedOn w:val="Bullet2"/>
    <w:qFormat/>
    <w:rsid w:val="00E35D0C"/>
    <w:pPr>
      <w:numPr>
        <w:ilvl w:val="2"/>
      </w:numPr>
      <w:tabs>
        <w:tab w:val="clear" w:pos="852"/>
        <w:tab w:val="left" w:pos="1134"/>
      </w:tabs>
    </w:pPr>
  </w:style>
  <w:style w:type="numbering" w:customStyle="1" w:styleId="BulletsList">
    <w:name w:val="Bullets List"/>
    <w:uiPriority w:val="99"/>
    <w:rsid w:val="00E35D0C"/>
    <w:pPr>
      <w:numPr>
        <w:numId w:val="1"/>
      </w:numPr>
    </w:pPr>
  </w:style>
  <w:style w:type="paragraph" w:customStyle="1" w:styleId="TableHeaderRow">
    <w:name w:val="Table Header Row"/>
    <w:basedOn w:val="Normal"/>
    <w:qFormat/>
    <w:rsid w:val="00E35D0C"/>
    <w:pPr>
      <w:spacing w:before="60"/>
    </w:pPr>
    <w:rPr>
      <w:rFonts w:ascii="Calibri" w:hAnsi="Calibri"/>
      <w:b/>
      <w:color w:val="FFFFFF" w:themeColor="background1"/>
      <w:szCs w:val="21"/>
    </w:rPr>
  </w:style>
  <w:style w:type="table" w:customStyle="1" w:styleId="DFATTable1">
    <w:name w:val="DFAT Table 1"/>
    <w:basedOn w:val="TableNormal"/>
    <w:uiPriority w:val="99"/>
    <w:rsid w:val="00E35D0C"/>
    <w:pPr>
      <w:spacing w:before="60" w:after="60" w:line="260" w:lineRule="atLeast"/>
    </w:pPr>
    <w:rPr>
      <w:rFonts w:ascii="Calibri" w:hAnsi="Calibri"/>
      <w:color w:val="44546A" w:themeColor="text2"/>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5B9BD5" w:themeColor="accent1"/>
          <w:bottom w:val="single" w:sz="4" w:space="0" w:color="5B9BD5" w:themeColor="accent1"/>
          <w:insideH w:val="single" w:sz="4" w:space="0" w:color="5B9BD5" w:themeColor="accent1"/>
        </w:tcBorders>
        <w:shd w:val="clear" w:color="auto" w:fill="5B9BD5"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paragraph" w:styleId="BodyText">
    <w:name w:val="Body Text"/>
    <w:basedOn w:val="Normal"/>
    <w:link w:val="BodyTextChar"/>
    <w:uiPriority w:val="99"/>
    <w:unhideWhenUsed/>
    <w:qFormat/>
    <w:rsid w:val="00E35D0C"/>
  </w:style>
  <w:style w:type="character" w:customStyle="1" w:styleId="BodyTextChar">
    <w:name w:val="Body Text Char"/>
    <w:basedOn w:val="DefaultParagraphFont"/>
    <w:link w:val="BodyText"/>
    <w:uiPriority w:val="99"/>
    <w:rsid w:val="00E35D0C"/>
    <w:rPr>
      <w:color w:val="44546A" w:themeColor="text2"/>
      <w:lang w:val="en-GB"/>
    </w:rPr>
  </w:style>
  <w:style w:type="character" w:customStyle="1" w:styleId="Heading2Char">
    <w:name w:val="Heading 2 Char"/>
    <w:basedOn w:val="DefaultParagraphFont"/>
    <w:link w:val="Heading2"/>
    <w:uiPriority w:val="9"/>
    <w:semiHidden/>
    <w:rsid w:val="00E35D0C"/>
    <w:rPr>
      <w:rFonts w:asciiTheme="majorHAnsi" w:eastAsiaTheme="majorEastAsia" w:hAnsiTheme="majorHAnsi" w:cstheme="majorBidi"/>
      <w:color w:val="2E74B5" w:themeColor="accent1" w:themeShade="BF"/>
      <w:sz w:val="26"/>
      <w:szCs w:val="26"/>
      <w:lang w:val="en-GB"/>
    </w:rPr>
  </w:style>
  <w:style w:type="character" w:styleId="CommentReference">
    <w:name w:val="annotation reference"/>
    <w:basedOn w:val="DefaultParagraphFont"/>
    <w:uiPriority w:val="99"/>
    <w:semiHidden/>
    <w:unhideWhenUsed/>
    <w:rsid w:val="000565DF"/>
    <w:rPr>
      <w:sz w:val="16"/>
      <w:szCs w:val="16"/>
    </w:rPr>
  </w:style>
  <w:style w:type="paragraph" w:styleId="CommentText">
    <w:name w:val="annotation text"/>
    <w:basedOn w:val="Normal"/>
    <w:link w:val="CommentTextChar"/>
    <w:uiPriority w:val="99"/>
    <w:semiHidden/>
    <w:unhideWhenUsed/>
    <w:rsid w:val="000565DF"/>
    <w:pPr>
      <w:spacing w:line="240" w:lineRule="auto"/>
    </w:pPr>
    <w:rPr>
      <w:sz w:val="20"/>
      <w:szCs w:val="20"/>
    </w:rPr>
  </w:style>
  <w:style w:type="character" w:customStyle="1" w:styleId="CommentTextChar">
    <w:name w:val="Comment Text Char"/>
    <w:basedOn w:val="DefaultParagraphFont"/>
    <w:link w:val="CommentText"/>
    <w:uiPriority w:val="99"/>
    <w:semiHidden/>
    <w:rsid w:val="000565DF"/>
    <w:rPr>
      <w:color w:val="44546A" w:themeColor="text2"/>
      <w:sz w:val="20"/>
      <w:szCs w:val="20"/>
      <w:lang w:val="en-GB"/>
    </w:rPr>
  </w:style>
  <w:style w:type="paragraph" w:styleId="CommentSubject">
    <w:name w:val="annotation subject"/>
    <w:basedOn w:val="CommentText"/>
    <w:next w:val="CommentText"/>
    <w:link w:val="CommentSubjectChar"/>
    <w:uiPriority w:val="99"/>
    <w:semiHidden/>
    <w:unhideWhenUsed/>
    <w:rsid w:val="000565DF"/>
    <w:rPr>
      <w:b/>
      <w:bCs/>
    </w:rPr>
  </w:style>
  <w:style w:type="character" w:customStyle="1" w:styleId="CommentSubjectChar">
    <w:name w:val="Comment Subject Char"/>
    <w:basedOn w:val="CommentTextChar"/>
    <w:link w:val="CommentSubject"/>
    <w:uiPriority w:val="99"/>
    <w:semiHidden/>
    <w:rsid w:val="000565DF"/>
    <w:rPr>
      <w:b/>
      <w:bCs/>
      <w:color w:val="44546A" w:themeColor="text2"/>
      <w:sz w:val="20"/>
      <w:szCs w:val="20"/>
      <w:lang w:val="en-GB"/>
    </w:rPr>
  </w:style>
  <w:style w:type="paragraph" w:styleId="BalloonText">
    <w:name w:val="Balloon Text"/>
    <w:basedOn w:val="Normal"/>
    <w:link w:val="BalloonTextChar"/>
    <w:uiPriority w:val="99"/>
    <w:semiHidden/>
    <w:unhideWhenUsed/>
    <w:rsid w:val="000565D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5DF"/>
    <w:rPr>
      <w:rFonts w:ascii="Segoe UI" w:hAnsi="Segoe UI" w:cs="Segoe UI"/>
      <w:color w:val="44546A" w:themeColor="text2"/>
      <w:sz w:val="18"/>
      <w:szCs w:val="18"/>
      <w:lang w:val="en-GB"/>
    </w:rPr>
  </w:style>
  <w:style w:type="paragraph" w:styleId="Header">
    <w:name w:val="header"/>
    <w:basedOn w:val="Normal"/>
    <w:link w:val="HeaderChar"/>
    <w:uiPriority w:val="99"/>
    <w:unhideWhenUsed/>
    <w:rsid w:val="00755EA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55EAD"/>
    <w:rPr>
      <w:color w:val="44546A" w:themeColor="text2"/>
      <w:lang w:val="en-GB"/>
    </w:rPr>
  </w:style>
  <w:style w:type="paragraph" w:styleId="Footer">
    <w:name w:val="footer"/>
    <w:basedOn w:val="Normal"/>
    <w:link w:val="FooterChar"/>
    <w:uiPriority w:val="99"/>
    <w:unhideWhenUsed/>
    <w:rsid w:val="00755EA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55EAD"/>
    <w:rPr>
      <w:color w:val="44546A"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91E6220-E865-47BE-BA76-8335715973BF}"/>
</file>

<file path=customXml/itemProps2.xml><?xml version="1.0" encoding="utf-8"?>
<ds:datastoreItem xmlns:ds="http://schemas.openxmlformats.org/officeDocument/2006/customXml" ds:itemID="{E3C128F6-0D22-43A3-80E7-7BC9257D6C82}"/>
</file>

<file path=customXml/itemProps3.xml><?xml version="1.0" encoding="utf-8"?>
<ds:datastoreItem xmlns:ds="http://schemas.openxmlformats.org/officeDocument/2006/customXml" ds:itemID="{D3FCF2AD-2333-4276-8DC4-CCF3F951B395}"/>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2113</Characters>
  <Application>Microsoft Office Word</Application>
  <DocSecurity>0</DocSecurity>
  <Lines>17</Lines>
  <Paragraphs>4</Paragraphs>
  <ScaleCrop>false</ScaleCrop>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2017-12-08T02:55:00Z</dcterms:created>
  <dcterms:modified xsi:type="dcterms:W3CDTF">2017-12-08T02:55:00Z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15a78804-8f8f-46e6-86e3-64a6015c4b0a</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1137400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