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6DC79" w14:textId="74A354FC" w:rsidR="00BF4A94" w:rsidRDefault="005C2A2B" w:rsidP="00843F8F">
      <w:pPr>
        <w:rPr>
          <w:rFonts w:cs="Arial"/>
        </w:rPr>
      </w:pPr>
      <w:r>
        <w:rPr>
          <w:noProof/>
          <w:sz w:val="16"/>
          <w:szCs w:val="16"/>
        </w:rPr>
        <w:drawing>
          <wp:anchor distT="0" distB="0" distL="114300" distR="114300" simplePos="0" relativeHeight="251659269" behindDoc="0" locked="0" layoutInCell="1" allowOverlap="1" wp14:anchorId="188E5F36" wp14:editId="3ABA7D3D">
            <wp:simplePos x="0" y="0"/>
            <wp:positionH relativeFrom="page">
              <wp:align>right</wp:align>
            </wp:positionH>
            <wp:positionV relativeFrom="paragraph">
              <wp:posOffset>-914400</wp:posOffset>
            </wp:positionV>
            <wp:extent cx="7540579" cy="10751820"/>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542598" cy="10754699"/>
                    </a:xfrm>
                    <a:prstGeom prst="rect">
                      <a:avLst/>
                    </a:prstGeom>
                  </pic:spPr>
                </pic:pic>
              </a:graphicData>
            </a:graphic>
            <wp14:sizeRelH relativeFrom="margin">
              <wp14:pctWidth>0</wp14:pctWidth>
            </wp14:sizeRelH>
            <wp14:sizeRelV relativeFrom="margin">
              <wp14:pctHeight>0</wp14:pctHeight>
            </wp14:sizeRelV>
          </wp:anchor>
        </w:drawing>
      </w:r>
    </w:p>
    <w:p w14:paraId="4C62CBC1" w14:textId="163600C3" w:rsidR="001345CC" w:rsidRDefault="00425C0C" w:rsidP="00843F8F">
      <w:pPr>
        <w:rPr>
          <w:rFonts w:cs="Arial"/>
        </w:rPr>
      </w:pPr>
      <w:r w:rsidRPr="00425C0C">
        <w:rPr>
          <w:rFonts w:cs="Arial"/>
        </w:rPr>
        <w:t>Re</w:t>
      </w:r>
      <w:r>
        <w:rPr>
          <w:rFonts w:cs="Arial"/>
        </w:rPr>
        <w:t>view of the PNG-Australia Transport Sector Support Program Phase 2 (TSSP2)</w:t>
      </w:r>
    </w:p>
    <w:p w14:paraId="70D90BC1" w14:textId="4DB3102F" w:rsidR="00425C0C" w:rsidRDefault="00425C0C" w:rsidP="00843F8F">
      <w:pPr>
        <w:rPr>
          <w:rFonts w:cs="Arial"/>
        </w:rPr>
      </w:pPr>
      <w:r>
        <w:rPr>
          <w:rFonts w:cs="Arial"/>
        </w:rPr>
        <w:t>Review Report</w:t>
      </w:r>
    </w:p>
    <w:p w14:paraId="798145B8" w14:textId="2D34F9AD" w:rsidR="00425C0C" w:rsidRDefault="00425C0C" w:rsidP="00843F8F">
      <w:pPr>
        <w:rPr>
          <w:rFonts w:cs="Arial"/>
        </w:rPr>
      </w:pPr>
      <w:r>
        <w:rPr>
          <w:rFonts w:cs="Arial"/>
        </w:rPr>
        <w:t xml:space="preserve">Submitted by Tetra Tech International Development </w:t>
      </w:r>
    </w:p>
    <w:p w14:paraId="7B1C544D" w14:textId="5BA156AD" w:rsidR="001345CC" w:rsidRPr="00425C0C" w:rsidRDefault="00425C0C" w:rsidP="00843F8F">
      <w:pPr>
        <w:rPr>
          <w:rFonts w:cs="Arial"/>
        </w:rPr>
        <w:sectPr w:rsidR="001345CC" w:rsidRPr="00425C0C" w:rsidSect="008C2865">
          <w:footerReference w:type="default" r:id="rId9"/>
          <w:pgSz w:w="11900" w:h="16838"/>
          <w:pgMar w:top="1440" w:right="1440" w:bottom="1440" w:left="800" w:header="0" w:footer="0" w:gutter="0"/>
          <w:cols w:space="0"/>
          <w:docGrid w:linePitch="360"/>
        </w:sectPr>
      </w:pPr>
      <w:r>
        <w:rPr>
          <w:rFonts w:cs="Arial"/>
        </w:rPr>
        <w:t>March 2022</w:t>
      </w:r>
    </w:p>
    <w:p w14:paraId="0F50ECEE" w14:textId="3875B198" w:rsidR="00532236" w:rsidRPr="004C2507" w:rsidRDefault="00532236" w:rsidP="00021AF0">
      <w:pPr>
        <w:pStyle w:val="Heading1"/>
        <w:numPr>
          <w:ilvl w:val="0"/>
          <w:numId w:val="0"/>
        </w:numPr>
        <w:ind w:left="360" w:hanging="360"/>
      </w:pPr>
      <w:bookmarkStart w:id="0" w:name="_Toc99121764"/>
      <w:r w:rsidRPr="004C2507">
        <w:lastRenderedPageBreak/>
        <w:t>Executive Summary</w:t>
      </w:r>
      <w:bookmarkEnd w:id="0"/>
    </w:p>
    <w:p w14:paraId="27BA29A6" w14:textId="48101891" w:rsidR="00853032" w:rsidRPr="004C2507" w:rsidRDefault="00853032" w:rsidP="004C2507">
      <w:pPr>
        <w:pStyle w:val="Heading2"/>
        <w:numPr>
          <w:ilvl w:val="0"/>
          <w:numId w:val="0"/>
        </w:numPr>
        <w:ind w:left="576" w:hanging="576"/>
      </w:pPr>
      <w:bookmarkStart w:id="1" w:name="_Toc99121765"/>
      <w:r w:rsidRPr="004C2507">
        <w:t>Introduction</w:t>
      </w:r>
      <w:bookmarkEnd w:id="1"/>
      <w:r w:rsidRPr="004C2507">
        <w:t xml:space="preserve"> </w:t>
      </w:r>
    </w:p>
    <w:p w14:paraId="48BD95E9" w14:textId="549CCDF7" w:rsidR="00853032" w:rsidRPr="00D60548" w:rsidRDefault="00853032" w:rsidP="00A0537A">
      <w:pPr>
        <w:pStyle w:val="BodyText"/>
        <w:rPr>
          <w:spacing w:val="-2"/>
          <w:lang w:val="en-US"/>
        </w:rPr>
      </w:pPr>
      <w:r w:rsidRPr="00D60548">
        <w:rPr>
          <w:spacing w:val="-2"/>
          <w:lang w:val="en-US"/>
        </w:rPr>
        <w:t xml:space="preserve">The Department of Foreign Affairs and Trade (DFAT) engaged Tetra Tech International Development (Tetra Tech) to undertake an independent review of the PNG-Australia Transport Sector Support Program </w:t>
      </w:r>
      <w:r w:rsidR="00BE2D13" w:rsidRPr="00D60548">
        <w:rPr>
          <w:spacing w:val="-2"/>
          <w:lang w:val="en-US"/>
        </w:rPr>
        <w:t xml:space="preserve">Phase 2 </w:t>
      </w:r>
      <w:r w:rsidRPr="00D60548">
        <w:rPr>
          <w:spacing w:val="-2"/>
          <w:lang w:val="en-US"/>
        </w:rPr>
        <w:t xml:space="preserve">(TSSP2). </w:t>
      </w:r>
    </w:p>
    <w:p w14:paraId="2C8B3B95" w14:textId="7681B427" w:rsidR="00853032" w:rsidRPr="00D60548" w:rsidRDefault="00381603" w:rsidP="00A0537A">
      <w:pPr>
        <w:pStyle w:val="BodyText"/>
        <w:rPr>
          <w:spacing w:val="2"/>
          <w:lang w:val="en-US"/>
        </w:rPr>
      </w:pPr>
      <w:r w:rsidRPr="00381603">
        <w:rPr>
          <w:spacing w:val="2"/>
          <w:lang w:val="en-US"/>
        </w:rPr>
        <w:t xml:space="preserve">The Review was conducted from October 2021 to </w:t>
      </w:r>
      <w:r w:rsidR="00212B10">
        <w:rPr>
          <w:spacing w:val="2"/>
          <w:lang w:val="en-US"/>
        </w:rPr>
        <w:t xml:space="preserve">February </w:t>
      </w:r>
      <w:r w:rsidRPr="00381603">
        <w:rPr>
          <w:spacing w:val="2"/>
          <w:lang w:val="en-US"/>
        </w:rPr>
        <w:t xml:space="preserve">2022. This Report presents the Review findings and recommendations for future directions of the </w:t>
      </w:r>
      <w:r w:rsidR="002F2280" w:rsidRPr="00D60548">
        <w:rPr>
          <w:spacing w:val="-2"/>
          <w:lang w:val="en-US"/>
        </w:rPr>
        <w:t>Transport Sector Support Program</w:t>
      </w:r>
      <w:r w:rsidR="002F2280" w:rsidRPr="00381603">
        <w:rPr>
          <w:spacing w:val="2"/>
          <w:lang w:val="en-US"/>
        </w:rPr>
        <w:t xml:space="preserve"> </w:t>
      </w:r>
      <w:r w:rsidR="002F2280">
        <w:rPr>
          <w:spacing w:val="2"/>
          <w:lang w:val="en-US"/>
        </w:rPr>
        <w:t>(the Program)</w:t>
      </w:r>
      <w:r w:rsidR="00461979">
        <w:rPr>
          <w:spacing w:val="2"/>
          <w:lang w:val="en-US"/>
        </w:rPr>
        <w:t>.</w:t>
      </w:r>
    </w:p>
    <w:p w14:paraId="2E9E119F" w14:textId="27732684" w:rsidR="00532236" w:rsidRPr="00F14F02" w:rsidRDefault="00532236" w:rsidP="004C2507">
      <w:pPr>
        <w:pStyle w:val="Heading2"/>
        <w:numPr>
          <w:ilvl w:val="0"/>
          <w:numId w:val="0"/>
        </w:numPr>
        <w:ind w:left="576" w:hanging="576"/>
      </w:pPr>
      <w:bookmarkStart w:id="2" w:name="_Toc99121766"/>
      <w:r w:rsidRPr="00F14F02">
        <w:t xml:space="preserve">Background </w:t>
      </w:r>
      <w:r w:rsidR="00956E54">
        <w:t>and context</w:t>
      </w:r>
      <w:bookmarkEnd w:id="2"/>
    </w:p>
    <w:p w14:paraId="6E8C8B8F" w14:textId="3AC583F6" w:rsidR="000566DC" w:rsidRPr="00F14F02" w:rsidRDefault="000566DC" w:rsidP="00A0537A">
      <w:pPr>
        <w:pStyle w:val="BodyText"/>
      </w:pPr>
      <w:r w:rsidRPr="00F14F02">
        <w:t xml:space="preserve">The </w:t>
      </w:r>
      <w:r w:rsidR="00157428">
        <w:t>Program</w:t>
      </w:r>
      <w:r w:rsidRPr="00F14F02">
        <w:t xml:space="preserve"> is providing more than </w:t>
      </w:r>
      <w:r w:rsidR="00FE56BB">
        <w:t>AUD</w:t>
      </w:r>
      <w:r w:rsidRPr="00F14F02">
        <w:t>600 million over nine years to support the Government of PNG (GoPNG) to achieve a well-maintained transport infrastructure network. T</w:t>
      </w:r>
      <w:r w:rsidR="006A470E">
        <w:t>SSP2</w:t>
      </w:r>
      <w:r w:rsidRPr="00F14F02">
        <w:t xml:space="preserve"> commenced in 2014 and is scheduled for completion in April 2022. Australia's investment in PNG's transport sector reflects the importance of transport infrastructure, such as roads, ports and airports, in facilitating the efficient, safe and secure movement of goods to market, the provision of essential goods and services, and community connectivity. This investment in PNG's transport infrastructure is a key enabler of economic growth and is the largest component of Australia's aid investment in PNG. </w:t>
      </w:r>
    </w:p>
    <w:p w14:paraId="20D2DC25" w14:textId="715066E0" w:rsidR="000566DC" w:rsidRPr="00F14F02" w:rsidRDefault="009C4A0D" w:rsidP="00A0537A">
      <w:pPr>
        <w:pStyle w:val="BodyText"/>
      </w:pPr>
      <w:r w:rsidRPr="009C4A0D">
        <w:t>TSSP2's overarching objective is “a safer, more reliable transport system in place enabling economic and social development for Papua New Guinea”. To support this, TSSP2 activities are organised around the following End of Program Outcomes (EOPOs):</w:t>
      </w:r>
      <w:r w:rsidR="00D7050C">
        <w:t xml:space="preserve"> </w:t>
      </w:r>
    </w:p>
    <w:tbl>
      <w:tblPr>
        <w:tblStyle w:val="TableGrid"/>
        <w:tblW w:w="949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top w:w="57" w:type="dxa"/>
          <w:bottom w:w="57" w:type="dxa"/>
        </w:tblCellMar>
        <w:tblLook w:val="04A0" w:firstRow="1" w:lastRow="0" w:firstColumn="1" w:lastColumn="0" w:noHBand="0" w:noVBand="1"/>
      </w:tblPr>
      <w:tblGrid>
        <w:gridCol w:w="9498"/>
      </w:tblGrid>
      <w:tr w:rsidR="000566DC" w:rsidRPr="00F14F02" w14:paraId="49B3A3C6" w14:textId="77777777" w:rsidTr="00FF55A3">
        <w:trPr>
          <w:trHeight w:val="964"/>
        </w:trPr>
        <w:tc>
          <w:tcPr>
            <w:tcW w:w="9498" w:type="dxa"/>
            <w:shd w:val="clear" w:color="auto" w:fill="auto"/>
          </w:tcPr>
          <w:p w14:paraId="54544032" w14:textId="77777777" w:rsidR="000566DC" w:rsidRPr="00CA24BD" w:rsidRDefault="000566DC" w:rsidP="00A575D4">
            <w:pPr>
              <w:pStyle w:val="BodyCopy"/>
              <w:ind w:left="133"/>
              <w:rPr>
                <w:rFonts w:ascii="Franklin Gothic Demi" w:hAnsi="Franklin Gothic Demi" w:cs="Arial"/>
                <w:color w:val="4C7B9E" w:themeColor="accent2"/>
                <w:lang w:val="en-AU"/>
              </w:rPr>
            </w:pPr>
            <w:bookmarkStart w:id="3" w:name="_Hlk95298036"/>
            <w:r w:rsidRPr="00CA24BD">
              <w:rPr>
                <w:rFonts w:ascii="Franklin Gothic Demi" w:hAnsi="Franklin Gothic Demi" w:cs="Arial"/>
                <w:color w:val="4C7B9E" w:themeColor="accent2"/>
                <w:lang w:val="en-AU"/>
              </w:rPr>
              <w:t>EOPO 1: GoPNG transport agencies have a clear mandate, and are effective and functional</w:t>
            </w:r>
          </w:p>
          <w:p w14:paraId="3F2FA651" w14:textId="77777777" w:rsidR="000566DC" w:rsidRPr="00CA24BD" w:rsidRDefault="000566DC" w:rsidP="00A575D4">
            <w:pPr>
              <w:pStyle w:val="BodyCopy"/>
              <w:ind w:left="133"/>
              <w:rPr>
                <w:rFonts w:ascii="Franklin Gothic Demi" w:hAnsi="Franklin Gothic Demi" w:cs="Arial"/>
                <w:color w:val="AD6500" w:themeColor="accent3"/>
                <w:lang w:val="en-AU"/>
              </w:rPr>
            </w:pPr>
            <w:r w:rsidRPr="00CA24BD">
              <w:rPr>
                <w:rFonts w:ascii="Franklin Gothic Demi" w:hAnsi="Franklin Gothic Demi" w:cs="Arial"/>
                <w:color w:val="AD6500" w:themeColor="accent3"/>
                <w:lang w:val="en-AU"/>
              </w:rPr>
              <w:t>EOPO 2: GoPNG delivers a planned and prioritised road maintenance program</w:t>
            </w:r>
          </w:p>
          <w:p w14:paraId="220C3756" w14:textId="77777777" w:rsidR="000566DC" w:rsidRPr="00F14F02" w:rsidRDefault="000566DC" w:rsidP="00A575D4">
            <w:pPr>
              <w:pStyle w:val="BodyCopy"/>
              <w:ind w:left="133" w:right="-156"/>
              <w:rPr>
                <w:rFonts w:asciiTheme="minorHAnsi" w:hAnsiTheme="minorHAnsi" w:cs="Arial"/>
                <w:lang w:val="en-AU"/>
              </w:rPr>
            </w:pPr>
            <w:r w:rsidRPr="00CA24BD">
              <w:rPr>
                <w:rFonts w:ascii="Franklin Gothic Demi" w:hAnsi="Franklin Gothic Demi" w:cs="Arial"/>
                <w:color w:val="597C31" w:themeColor="accent4"/>
                <w:lang w:val="en-AU"/>
              </w:rPr>
              <w:t>EOPO 3: GoPNG aviation and maritime agencies deliver improved safety and security, and improved regulatory compliance</w:t>
            </w:r>
          </w:p>
        </w:tc>
      </w:tr>
    </w:tbl>
    <w:bookmarkEnd w:id="3"/>
    <w:p w14:paraId="55EDD84D" w14:textId="6CC149B2" w:rsidR="008B18B6" w:rsidRPr="00F14F02" w:rsidRDefault="000566DC" w:rsidP="00A0537A">
      <w:pPr>
        <w:pStyle w:val="BodyText"/>
      </w:pPr>
      <w:r w:rsidRPr="00F14F02">
        <w:t xml:space="preserve">TSSP2 is delivered through three mechanisms: i) a managing contractor; ii) the Institutional Partnerships Program (IPP); and iii) </w:t>
      </w:r>
      <w:r w:rsidR="00953A3C">
        <w:t>a</w:t>
      </w:r>
      <w:r w:rsidR="001E3EC2">
        <w:t>n overarching</w:t>
      </w:r>
      <w:r w:rsidRPr="00F14F02">
        <w:t xml:space="preserve"> Transport Memorandum of Understanding between PNG’s Department of Transport and Australia’s Department of Infrastructure, Transport, Regional Development and Communications (DITRDC). Through these three mechanisms, TSSP</w:t>
      </w:r>
      <w:r w:rsidR="00FE56BB">
        <w:t>2</w:t>
      </w:r>
      <w:r w:rsidRPr="00F14F02">
        <w:t xml:space="preserve"> offers flexible and adaptable responses to support the implementation of GoPNG</w:t>
      </w:r>
      <w:r w:rsidR="00FE56BB">
        <w:t>’s</w:t>
      </w:r>
      <w:r w:rsidRPr="00F14F02">
        <w:t xml:space="preserve"> transport policies, strategies and plans.</w:t>
      </w:r>
    </w:p>
    <w:p w14:paraId="0116CC38" w14:textId="1B2674A1" w:rsidR="00532236" w:rsidRPr="00F14F02" w:rsidRDefault="00532236" w:rsidP="004C2507">
      <w:pPr>
        <w:pStyle w:val="Heading2"/>
        <w:numPr>
          <w:ilvl w:val="0"/>
          <w:numId w:val="0"/>
        </w:numPr>
        <w:ind w:left="576" w:hanging="576"/>
      </w:pPr>
      <w:bookmarkStart w:id="4" w:name="_Toc99121767"/>
      <w:r w:rsidRPr="00F14F02">
        <w:t>Review purpose and scope</w:t>
      </w:r>
      <w:bookmarkEnd w:id="4"/>
      <w:r w:rsidRPr="00F14F02">
        <w:t xml:space="preserve"> </w:t>
      </w:r>
    </w:p>
    <w:p w14:paraId="59766977" w14:textId="2DB70DA0" w:rsidR="009A34FF" w:rsidRDefault="009A34FF" w:rsidP="00A0537A">
      <w:pPr>
        <w:pStyle w:val="BodyText"/>
        <w:rPr>
          <w:lang w:val="en-US"/>
        </w:rPr>
      </w:pPr>
      <w:r w:rsidRPr="009A34FF">
        <w:rPr>
          <w:lang w:val="en-US"/>
        </w:rPr>
        <w:t>The purpose of the Review was to assess and appraise the TSSP2 performance and impact, as well as document lessons learned. The findings and recommendations from the Review will provide evidence and information to guide the design</w:t>
      </w:r>
      <w:r w:rsidR="00FE56BB">
        <w:rPr>
          <w:lang w:val="en-US"/>
        </w:rPr>
        <w:t xml:space="preserve"> of</w:t>
      </w:r>
      <w:r w:rsidRPr="009A34FF">
        <w:rPr>
          <w:lang w:val="en-US"/>
        </w:rPr>
        <w:t xml:space="preserve"> </w:t>
      </w:r>
      <w:r w:rsidR="00DC5DB7">
        <w:rPr>
          <w:lang w:val="en-US"/>
        </w:rPr>
        <w:t xml:space="preserve">the </w:t>
      </w:r>
      <w:r w:rsidR="00445727">
        <w:rPr>
          <w:lang w:val="en-US"/>
        </w:rPr>
        <w:t xml:space="preserve">next phase of the Program, </w:t>
      </w:r>
      <w:r w:rsidR="0089377C">
        <w:rPr>
          <w:lang w:val="en-US"/>
        </w:rPr>
        <w:t>TSSP3</w:t>
      </w:r>
      <w:r w:rsidR="00227F96">
        <w:rPr>
          <w:lang w:val="en-US"/>
        </w:rPr>
        <w:t>.</w:t>
      </w:r>
    </w:p>
    <w:p w14:paraId="07E6FDA3" w14:textId="06B79AF0" w:rsidR="002668B6" w:rsidRPr="004C2507" w:rsidRDefault="00464EEF" w:rsidP="002D5162">
      <w:pPr>
        <w:pStyle w:val="BodyText"/>
        <w:spacing w:after="0"/>
      </w:pPr>
      <w:r>
        <w:rPr>
          <w:lang w:val="en-US"/>
        </w:rPr>
        <w:t>Th</w:t>
      </w:r>
      <w:r w:rsidR="00272B0E">
        <w:rPr>
          <w:lang w:val="en-US"/>
        </w:rPr>
        <w:t>e</w:t>
      </w:r>
      <w:r>
        <w:rPr>
          <w:lang w:val="en-US"/>
        </w:rPr>
        <w:t xml:space="preserve"> Review</w:t>
      </w:r>
      <w:r w:rsidR="00FE5A70">
        <w:rPr>
          <w:lang w:val="en-US"/>
        </w:rPr>
        <w:t>:</w:t>
      </w:r>
    </w:p>
    <w:p w14:paraId="61B8F224" w14:textId="79C16294" w:rsidR="00464EEF" w:rsidRDefault="009A34FF" w:rsidP="00A0537A">
      <w:pPr>
        <w:pStyle w:val="ListBullet"/>
        <w:rPr>
          <w:lang w:val="en-US"/>
        </w:rPr>
      </w:pPr>
      <w:r>
        <w:rPr>
          <w:lang w:val="en-US"/>
        </w:rPr>
        <w:t>C</w:t>
      </w:r>
      <w:r w:rsidR="00B732C1">
        <w:rPr>
          <w:lang w:val="en-US"/>
        </w:rPr>
        <w:t>over</w:t>
      </w:r>
      <w:r w:rsidR="002D5162">
        <w:rPr>
          <w:lang w:val="en-US"/>
        </w:rPr>
        <w:t>ed</w:t>
      </w:r>
      <w:r w:rsidR="00B732C1">
        <w:rPr>
          <w:lang w:val="en-US"/>
        </w:rPr>
        <w:t xml:space="preserve"> the TSSP2 activities implemented from 20</w:t>
      </w:r>
      <w:r w:rsidR="00280F23">
        <w:rPr>
          <w:lang w:val="en-US"/>
        </w:rPr>
        <w:t>14</w:t>
      </w:r>
      <w:r w:rsidR="002E5DA4">
        <w:rPr>
          <w:lang w:val="en-US"/>
        </w:rPr>
        <w:t xml:space="preserve"> </w:t>
      </w:r>
      <w:r w:rsidR="00461979">
        <w:rPr>
          <w:lang w:val="en-US"/>
        </w:rPr>
        <w:t xml:space="preserve">to </w:t>
      </w:r>
      <w:r w:rsidR="00280F23">
        <w:rPr>
          <w:lang w:val="en-US"/>
        </w:rPr>
        <w:t>2021</w:t>
      </w:r>
    </w:p>
    <w:p w14:paraId="762D9ED4" w14:textId="0723EE03" w:rsidR="00F35E5A" w:rsidRDefault="009A34FF" w:rsidP="00A0537A">
      <w:pPr>
        <w:pStyle w:val="ListBullet"/>
        <w:rPr>
          <w:lang w:val="en-US"/>
        </w:rPr>
      </w:pPr>
      <w:r>
        <w:rPr>
          <w:lang w:val="en-US"/>
        </w:rPr>
        <w:t>A</w:t>
      </w:r>
      <w:r w:rsidR="00C9343C" w:rsidRPr="00F35E5A">
        <w:rPr>
          <w:lang w:val="en-US"/>
        </w:rPr>
        <w:t>ssess</w:t>
      </w:r>
      <w:r w:rsidR="00C9343C">
        <w:rPr>
          <w:lang w:val="en-US"/>
        </w:rPr>
        <w:t>e</w:t>
      </w:r>
      <w:r w:rsidR="00AD5947">
        <w:rPr>
          <w:lang w:val="en-US"/>
        </w:rPr>
        <w:t>d</w:t>
      </w:r>
      <w:r w:rsidR="00C9343C" w:rsidRPr="00F35E5A">
        <w:rPr>
          <w:lang w:val="en-US"/>
        </w:rPr>
        <w:t xml:space="preserve"> </w:t>
      </w:r>
      <w:r w:rsidR="00F35E5A" w:rsidRPr="00F35E5A">
        <w:rPr>
          <w:lang w:val="en-US"/>
        </w:rPr>
        <w:t xml:space="preserve">both the process and quality of implementation and how that led to the achievement of results </w:t>
      </w:r>
    </w:p>
    <w:p w14:paraId="714B6CEB" w14:textId="0B490CB4" w:rsidR="00AB4228" w:rsidRPr="00193B4E" w:rsidRDefault="00EB3EB1" w:rsidP="00193B4E">
      <w:pPr>
        <w:pStyle w:val="ListBullet"/>
        <w:rPr>
          <w:lang w:val="en-US"/>
        </w:rPr>
      </w:pPr>
      <w:r w:rsidRPr="00EB3EB1">
        <w:rPr>
          <w:lang w:val="en-US"/>
        </w:rPr>
        <w:t xml:space="preserve">Focused on assessing the </w:t>
      </w:r>
      <w:r>
        <w:rPr>
          <w:lang w:val="en-US"/>
        </w:rPr>
        <w:t>Program as a whole</w:t>
      </w:r>
      <w:r w:rsidR="00A51957">
        <w:rPr>
          <w:lang w:val="en-US"/>
        </w:rPr>
        <w:t xml:space="preserve"> and </w:t>
      </w:r>
      <w:r w:rsidRPr="00EB3EB1">
        <w:rPr>
          <w:lang w:val="en-US"/>
        </w:rPr>
        <w:t xml:space="preserve">not on individual </w:t>
      </w:r>
      <w:r>
        <w:rPr>
          <w:lang w:val="en-US"/>
        </w:rPr>
        <w:t xml:space="preserve">partners </w:t>
      </w:r>
      <w:r w:rsidR="003211DA">
        <w:rPr>
          <w:lang w:val="en-US"/>
        </w:rPr>
        <w:t xml:space="preserve">or agencies </w:t>
      </w:r>
      <w:r w:rsidR="00C83C71">
        <w:rPr>
          <w:lang w:val="en-US"/>
        </w:rPr>
        <w:t>within the Program</w:t>
      </w:r>
      <w:r w:rsidR="00A51957">
        <w:rPr>
          <w:lang w:val="en-US"/>
        </w:rPr>
        <w:t>.</w:t>
      </w:r>
    </w:p>
    <w:p w14:paraId="62A53072" w14:textId="4C24A210" w:rsidR="00532236" w:rsidRDefault="00532236" w:rsidP="004C2507">
      <w:pPr>
        <w:pStyle w:val="Heading2"/>
        <w:numPr>
          <w:ilvl w:val="0"/>
          <w:numId w:val="0"/>
        </w:numPr>
      </w:pPr>
      <w:bookmarkStart w:id="5" w:name="_Toc99121768"/>
      <w:r>
        <w:t>Key evaluation questions and objectives</w:t>
      </w:r>
      <w:bookmarkEnd w:id="5"/>
      <w:r>
        <w:t xml:space="preserve"> </w:t>
      </w:r>
    </w:p>
    <w:p w14:paraId="05DCDCC3" w14:textId="063F64A4" w:rsidR="00A0537A" w:rsidRDefault="00782FCF" w:rsidP="00A0537A">
      <w:pPr>
        <w:pStyle w:val="BodyText"/>
        <w:rPr>
          <w:lang w:val="en-US"/>
        </w:rPr>
      </w:pPr>
      <w:r w:rsidRPr="00925B20">
        <w:rPr>
          <w:rFonts w:cs="Arial"/>
        </w:rPr>
        <w:t>The Review sought to answer eight key evaluation questions</w:t>
      </w:r>
      <w:r>
        <w:rPr>
          <w:rFonts w:cs="Arial"/>
        </w:rPr>
        <w:t xml:space="preserve"> (five questions were adopted from the T</w:t>
      </w:r>
      <w:r w:rsidR="00912F1F">
        <w:rPr>
          <w:rFonts w:cs="Arial"/>
        </w:rPr>
        <w:t xml:space="preserve">erms of </w:t>
      </w:r>
      <w:r>
        <w:rPr>
          <w:rFonts w:cs="Arial"/>
        </w:rPr>
        <w:t>R</w:t>
      </w:r>
      <w:r w:rsidR="00912F1F">
        <w:rPr>
          <w:rFonts w:cs="Arial"/>
        </w:rPr>
        <w:t>eference</w:t>
      </w:r>
      <w:r>
        <w:rPr>
          <w:rFonts w:cs="Arial"/>
        </w:rPr>
        <w:t xml:space="preserve"> and three questions were added </w:t>
      </w:r>
      <w:r w:rsidR="00912F1F">
        <w:rPr>
          <w:rFonts w:cs="Arial"/>
        </w:rPr>
        <w:t>following</w:t>
      </w:r>
      <w:r>
        <w:rPr>
          <w:rFonts w:cs="Arial"/>
        </w:rPr>
        <w:t xml:space="preserve"> the desktop review)</w:t>
      </w:r>
      <w:r w:rsidR="00912F1F">
        <w:rPr>
          <w:rFonts w:cs="Arial"/>
        </w:rPr>
        <w:t>. These eight questions are</w:t>
      </w:r>
      <w:r w:rsidR="00B67DDD" w:rsidRPr="00B67DDD">
        <w:rPr>
          <w:lang w:val="en-US"/>
        </w:rPr>
        <w:t xml:space="preserve"> organised under t</w:t>
      </w:r>
      <w:r>
        <w:rPr>
          <w:lang w:val="en-US"/>
        </w:rPr>
        <w:t>wo</w:t>
      </w:r>
      <w:r w:rsidR="00B10FA0">
        <w:rPr>
          <w:lang w:val="en-US"/>
        </w:rPr>
        <w:t xml:space="preserve"> main</w:t>
      </w:r>
      <w:r>
        <w:rPr>
          <w:lang w:val="en-US"/>
        </w:rPr>
        <w:t xml:space="preserve"> </w:t>
      </w:r>
      <w:r w:rsidR="00B67DDD" w:rsidRPr="00B67DDD">
        <w:rPr>
          <w:lang w:val="en-US"/>
        </w:rPr>
        <w:t>objectives:</w:t>
      </w:r>
    </w:p>
    <w:tbl>
      <w:tblPr>
        <w:tblStyle w:val="TableGrid"/>
        <w:tblW w:w="0" w:type="auto"/>
        <w:tblBorders>
          <w:top w:val="dotted" w:sz="4" w:space="0" w:color="B4CADB" w:themeColor="accent2" w:themeTint="66"/>
          <w:left w:val="dotted" w:sz="4" w:space="0" w:color="B4CADB" w:themeColor="accent2" w:themeTint="66"/>
          <w:bottom w:val="dotted" w:sz="4" w:space="0" w:color="B4CADB" w:themeColor="accent2" w:themeTint="66"/>
          <w:right w:val="dotted" w:sz="4" w:space="0" w:color="B4CADB" w:themeColor="accent2" w:themeTint="66"/>
          <w:insideH w:val="none" w:sz="0" w:space="0" w:color="auto"/>
          <w:insideV w:val="none" w:sz="0" w:space="0" w:color="auto"/>
        </w:tblBorders>
        <w:shd w:val="clear" w:color="auto" w:fill="EFF3F7"/>
        <w:tblLook w:val="04A0" w:firstRow="1" w:lastRow="0" w:firstColumn="1" w:lastColumn="0" w:noHBand="0" w:noVBand="1"/>
      </w:tblPr>
      <w:tblGrid>
        <w:gridCol w:w="9628"/>
      </w:tblGrid>
      <w:tr w:rsidR="004C2507" w:rsidRPr="0072195A" w14:paraId="246E3F79" w14:textId="77777777" w:rsidTr="0076011C">
        <w:tc>
          <w:tcPr>
            <w:tcW w:w="9628" w:type="dxa"/>
            <w:shd w:val="clear" w:color="auto" w:fill="EFF3F7"/>
          </w:tcPr>
          <w:p w14:paraId="24CE9671" w14:textId="7C36BDA9" w:rsidR="00A0537A" w:rsidRPr="0072195A" w:rsidRDefault="00A0537A" w:rsidP="00A0537A">
            <w:pPr>
              <w:pStyle w:val="BodyText"/>
              <w:rPr>
                <w:color w:val="395B76" w:themeColor="background2" w:themeShade="BF"/>
                <w:lang w:val="en-US"/>
              </w:rPr>
            </w:pPr>
            <w:r w:rsidRPr="0072195A">
              <w:rPr>
                <w:b/>
                <w:color w:val="395B76" w:themeColor="background2" w:themeShade="BF"/>
                <w:lang w:val="en-US"/>
              </w:rPr>
              <w:t>Objective 1: Program design</w:t>
            </w:r>
            <w:r w:rsidRPr="0072195A">
              <w:rPr>
                <w:color w:val="395B76" w:themeColor="background2" w:themeShade="BF"/>
                <w:lang w:val="en-US"/>
              </w:rPr>
              <w:t>. To examine the design’s validity and efficacy and explicitly review the appropriateness of the current TSSP2 implementation modality.</w:t>
            </w:r>
          </w:p>
        </w:tc>
      </w:tr>
      <w:tr w:rsidR="004C2507" w:rsidRPr="0072195A" w14:paraId="0DA196B8" w14:textId="77777777" w:rsidTr="0076011C">
        <w:tc>
          <w:tcPr>
            <w:tcW w:w="9628" w:type="dxa"/>
            <w:shd w:val="clear" w:color="auto" w:fill="EFF3F7"/>
          </w:tcPr>
          <w:p w14:paraId="3485D74E" w14:textId="18DCA110" w:rsidR="00A0537A" w:rsidRPr="0072195A" w:rsidRDefault="00A0537A" w:rsidP="00D174C8">
            <w:pPr>
              <w:pStyle w:val="ListBullet"/>
              <w:numPr>
                <w:ilvl w:val="0"/>
                <w:numId w:val="0"/>
              </w:numPr>
              <w:spacing w:before="20" w:after="20"/>
              <w:ind w:left="885" w:hanging="885"/>
              <w:contextualSpacing w:val="0"/>
              <w:rPr>
                <w:color w:val="395B76" w:themeColor="background2" w:themeShade="BF"/>
                <w:lang w:val="en-US"/>
              </w:rPr>
            </w:pPr>
            <w:r w:rsidRPr="0072195A">
              <w:rPr>
                <w:color w:val="395B76" w:themeColor="background2" w:themeShade="BF"/>
                <w:lang w:val="en-US"/>
              </w:rPr>
              <w:t>KEQ 1:</w:t>
            </w:r>
            <w:r w:rsidR="004C2507" w:rsidRPr="0072195A">
              <w:rPr>
                <w:color w:val="395B76" w:themeColor="background2" w:themeShade="BF"/>
                <w:lang w:val="en-US"/>
              </w:rPr>
              <w:tab/>
            </w:r>
            <w:r w:rsidRPr="0072195A">
              <w:rPr>
                <w:color w:val="395B76" w:themeColor="background2" w:themeShade="BF"/>
                <w:lang w:val="en-US"/>
              </w:rPr>
              <w:t>How has the design contributed to operational performance, and where has it led to issues or concerns?</w:t>
            </w:r>
          </w:p>
        </w:tc>
      </w:tr>
      <w:tr w:rsidR="004C2507" w:rsidRPr="0072195A" w14:paraId="5B2EA14E" w14:textId="77777777" w:rsidTr="0076011C">
        <w:tc>
          <w:tcPr>
            <w:tcW w:w="9628" w:type="dxa"/>
            <w:shd w:val="clear" w:color="auto" w:fill="EFF3F7"/>
          </w:tcPr>
          <w:p w14:paraId="0B1FB9FC" w14:textId="190B1818" w:rsidR="00A0537A" w:rsidRPr="0072195A" w:rsidRDefault="00A0537A" w:rsidP="00D174C8">
            <w:pPr>
              <w:pStyle w:val="ListBullet"/>
              <w:numPr>
                <w:ilvl w:val="0"/>
                <w:numId w:val="0"/>
              </w:numPr>
              <w:spacing w:before="20" w:after="20"/>
              <w:ind w:left="885" w:hanging="885"/>
              <w:contextualSpacing w:val="0"/>
              <w:rPr>
                <w:color w:val="395B76" w:themeColor="background2" w:themeShade="BF"/>
                <w:lang w:val="en-US"/>
              </w:rPr>
            </w:pPr>
            <w:r w:rsidRPr="0072195A">
              <w:rPr>
                <w:color w:val="395B76" w:themeColor="background2" w:themeShade="BF"/>
                <w:lang w:val="en-US"/>
              </w:rPr>
              <w:t>KEQ 2:</w:t>
            </w:r>
            <w:r w:rsidR="004C2507" w:rsidRPr="0072195A">
              <w:rPr>
                <w:color w:val="395B76" w:themeColor="background2" w:themeShade="BF"/>
                <w:lang w:val="en-US"/>
              </w:rPr>
              <w:tab/>
            </w:r>
            <w:r w:rsidRPr="0072195A">
              <w:rPr>
                <w:color w:val="395B76" w:themeColor="background2" w:themeShade="BF"/>
                <w:lang w:val="en-US"/>
              </w:rPr>
              <w:t>Is the current program design fit</w:t>
            </w:r>
            <w:r w:rsidR="00B10FA0" w:rsidRPr="0072195A">
              <w:rPr>
                <w:color w:val="395B76" w:themeColor="background2" w:themeShade="BF"/>
                <w:lang w:val="en-US"/>
              </w:rPr>
              <w:t xml:space="preserve"> </w:t>
            </w:r>
            <w:r w:rsidRPr="0072195A">
              <w:rPr>
                <w:color w:val="395B76" w:themeColor="background2" w:themeShade="BF"/>
                <w:lang w:val="en-US"/>
              </w:rPr>
              <w:t>for</w:t>
            </w:r>
            <w:r w:rsidR="00B10FA0" w:rsidRPr="0072195A">
              <w:rPr>
                <w:color w:val="395B76" w:themeColor="background2" w:themeShade="BF"/>
                <w:lang w:val="en-US"/>
              </w:rPr>
              <w:t xml:space="preserve"> </w:t>
            </w:r>
            <w:r w:rsidRPr="0072195A">
              <w:rPr>
                <w:color w:val="395B76" w:themeColor="background2" w:themeShade="BF"/>
                <w:lang w:val="en-US"/>
              </w:rPr>
              <w:t>purpose?</w:t>
            </w:r>
          </w:p>
        </w:tc>
      </w:tr>
      <w:tr w:rsidR="004C2507" w:rsidRPr="0072195A" w14:paraId="3F9EE538" w14:textId="77777777" w:rsidTr="0076011C">
        <w:tc>
          <w:tcPr>
            <w:tcW w:w="9628" w:type="dxa"/>
            <w:shd w:val="clear" w:color="auto" w:fill="EFF3F7"/>
          </w:tcPr>
          <w:p w14:paraId="26EF2659" w14:textId="1852867E" w:rsidR="00A0537A" w:rsidRPr="0072195A" w:rsidRDefault="00A0537A" w:rsidP="00D174C8">
            <w:pPr>
              <w:pStyle w:val="ListBullet"/>
              <w:numPr>
                <w:ilvl w:val="0"/>
                <w:numId w:val="0"/>
              </w:numPr>
              <w:spacing w:before="20" w:after="20"/>
              <w:ind w:left="885" w:hanging="885"/>
              <w:contextualSpacing w:val="0"/>
              <w:rPr>
                <w:color w:val="395B76" w:themeColor="background2" w:themeShade="BF"/>
                <w:lang w:val="en-US"/>
              </w:rPr>
            </w:pPr>
            <w:r w:rsidRPr="0072195A">
              <w:rPr>
                <w:color w:val="395B76" w:themeColor="background2" w:themeShade="BF"/>
                <w:lang w:val="en-US"/>
              </w:rPr>
              <w:t>KEQ 3:</w:t>
            </w:r>
            <w:r w:rsidR="004C2507" w:rsidRPr="0072195A">
              <w:rPr>
                <w:color w:val="395B76" w:themeColor="background2" w:themeShade="BF"/>
                <w:lang w:val="en-US"/>
              </w:rPr>
              <w:tab/>
            </w:r>
            <w:r w:rsidRPr="0072195A">
              <w:rPr>
                <w:color w:val="395B76" w:themeColor="background2" w:themeShade="BF"/>
                <w:lang w:val="en-US"/>
              </w:rPr>
              <w:t>What can be changed in the current design to make TSSP2 more effective?</w:t>
            </w:r>
          </w:p>
        </w:tc>
      </w:tr>
    </w:tbl>
    <w:p w14:paraId="6DED4B50" w14:textId="436F26B0" w:rsidR="00A0537A" w:rsidRDefault="00A0537A"/>
    <w:tbl>
      <w:tblPr>
        <w:tblStyle w:val="TableGrid"/>
        <w:tblW w:w="0" w:type="auto"/>
        <w:tblBorders>
          <w:top w:val="dotted" w:sz="4" w:space="0" w:color="D8C9AB" w:themeColor="accent5" w:themeTint="66"/>
          <w:left w:val="dotted" w:sz="4" w:space="0" w:color="D8C9AB" w:themeColor="accent5" w:themeTint="66"/>
          <w:bottom w:val="dotted" w:sz="4" w:space="0" w:color="D8C9AB" w:themeColor="accent5" w:themeTint="66"/>
          <w:right w:val="dotted" w:sz="4" w:space="0" w:color="D8C9AB" w:themeColor="accent5" w:themeTint="66"/>
          <w:insideH w:val="none" w:sz="0" w:space="0" w:color="auto"/>
          <w:insideV w:val="none" w:sz="0" w:space="0" w:color="auto"/>
        </w:tblBorders>
        <w:shd w:val="clear" w:color="auto" w:fill="F4F0E8"/>
        <w:tblLook w:val="04A0" w:firstRow="1" w:lastRow="0" w:firstColumn="1" w:lastColumn="0" w:noHBand="0" w:noVBand="1"/>
      </w:tblPr>
      <w:tblGrid>
        <w:gridCol w:w="9628"/>
      </w:tblGrid>
      <w:tr w:rsidR="004C2507" w:rsidRPr="0076011C" w14:paraId="388CDBD5" w14:textId="77777777" w:rsidTr="0076011C">
        <w:tc>
          <w:tcPr>
            <w:tcW w:w="9628" w:type="dxa"/>
            <w:shd w:val="clear" w:color="auto" w:fill="F4F0E8"/>
          </w:tcPr>
          <w:p w14:paraId="4DCC7AB9" w14:textId="46A974A9" w:rsidR="00A0537A" w:rsidRPr="0076011C" w:rsidRDefault="00A0537A" w:rsidP="00A0537A">
            <w:pPr>
              <w:pStyle w:val="BodyText"/>
              <w:rPr>
                <w:color w:val="685530" w:themeColor="accent5" w:themeShade="BF"/>
                <w:lang w:val="en-US"/>
              </w:rPr>
            </w:pPr>
            <w:r w:rsidRPr="0076011C">
              <w:rPr>
                <w:b/>
                <w:color w:val="685530" w:themeColor="accent5" w:themeShade="BF"/>
                <w:lang w:val="en-US"/>
              </w:rPr>
              <w:lastRenderedPageBreak/>
              <w:t>Objective 2: Program implementation.</w:t>
            </w:r>
            <w:r w:rsidRPr="0076011C">
              <w:rPr>
                <w:color w:val="685530" w:themeColor="accent5" w:themeShade="BF"/>
                <w:lang w:val="en-US"/>
              </w:rPr>
              <w:t xml:space="preserve"> To examine the extent to which the Program was implemented and whether it has led to the achievement of the expected outcomes.</w:t>
            </w:r>
          </w:p>
        </w:tc>
      </w:tr>
      <w:tr w:rsidR="004C2507" w:rsidRPr="0076011C" w14:paraId="65AD5EBE" w14:textId="77777777" w:rsidTr="0076011C">
        <w:tc>
          <w:tcPr>
            <w:tcW w:w="9628" w:type="dxa"/>
            <w:shd w:val="clear" w:color="auto" w:fill="F4F0E8"/>
          </w:tcPr>
          <w:p w14:paraId="0EDA3EF1" w14:textId="7CAC8AAE" w:rsidR="00A0537A" w:rsidRPr="0076011C" w:rsidRDefault="00A0537A" w:rsidP="00D174C8">
            <w:pPr>
              <w:pStyle w:val="ListBullet"/>
              <w:numPr>
                <w:ilvl w:val="0"/>
                <w:numId w:val="0"/>
              </w:numPr>
              <w:spacing w:before="20" w:after="20"/>
              <w:ind w:left="885" w:hanging="885"/>
              <w:contextualSpacing w:val="0"/>
              <w:rPr>
                <w:color w:val="685530" w:themeColor="accent5" w:themeShade="BF"/>
                <w:lang w:val="en-US"/>
              </w:rPr>
            </w:pPr>
            <w:r w:rsidRPr="0076011C">
              <w:rPr>
                <w:color w:val="685530" w:themeColor="accent5" w:themeShade="BF"/>
                <w:lang w:val="en-US"/>
              </w:rPr>
              <w:t>KEQ 4:</w:t>
            </w:r>
            <w:r w:rsidR="004C2507" w:rsidRPr="0076011C">
              <w:rPr>
                <w:color w:val="685530" w:themeColor="accent5" w:themeShade="BF"/>
                <w:lang w:val="en-US"/>
              </w:rPr>
              <w:tab/>
            </w:r>
            <w:r w:rsidRPr="0076011C">
              <w:rPr>
                <w:color w:val="685530" w:themeColor="accent5" w:themeShade="BF"/>
                <w:lang w:val="en-US"/>
              </w:rPr>
              <w:t xml:space="preserve">How have the </w:t>
            </w:r>
            <w:r w:rsidR="000E4097" w:rsidRPr="0076011C">
              <w:rPr>
                <w:color w:val="685530" w:themeColor="accent5" w:themeShade="BF"/>
                <w:lang w:val="en-US"/>
              </w:rPr>
              <w:t>p</w:t>
            </w:r>
            <w:r w:rsidRPr="0076011C">
              <w:rPr>
                <w:color w:val="685530" w:themeColor="accent5" w:themeShade="BF"/>
                <w:lang w:val="en-US"/>
              </w:rPr>
              <w:t>rogram’s management arrangements contributed to program performance?</w:t>
            </w:r>
          </w:p>
        </w:tc>
      </w:tr>
      <w:tr w:rsidR="004C2507" w:rsidRPr="0076011C" w14:paraId="13BBA71C" w14:textId="77777777" w:rsidTr="0076011C">
        <w:tc>
          <w:tcPr>
            <w:tcW w:w="9628" w:type="dxa"/>
            <w:shd w:val="clear" w:color="auto" w:fill="F4F0E8"/>
          </w:tcPr>
          <w:p w14:paraId="47188BE5" w14:textId="00480C02" w:rsidR="00A0537A" w:rsidRPr="0076011C" w:rsidRDefault="00A0537A" w:rsidP="00D174C8">
            <w:pPr>
              <w:pStyle w:val="ListBullet"/>
              <w:numPr>
                <w:ilvl w:val="0"/>
                <w:numId w:val="0"/>
              </w:numPr>
              <w:spacing w:before="20" w:after="20"/>
              <w:ind w:left="885" w:hanging="885"/>
              <w:contextualSpacing w:val="0"/>
              <w:rPr>
                <w:color w:val="685530" w:themeColor="accent5" w:themeShade="BF"/>
                <w:lang w:val="en-US"/>
              </w:rPr>
            </w:pPr>
            <w:r w:rsidRPr="0076011C">
              <w:rPr>
                <w:color w:val="685530" w:themeColor="accent5" w:themeShade="BF"/>
                <w:lang w:val="en-US"/>
              </w:rPr>
              <w:t>KEQ 5:</w:t>
            </w:r>
            <w:r w:rsidR="004C2507" w:rsidRPr="0076011C">
              <w:rPr>
                <w:color w:val="685530" w:themeColor="accent5" w:themeShade="BF"/>
                <w:lang w:val="en-US"/>
              </w:rPr>
              <w:tab/>
            </w:r>
            <w:r w:rsidRPr="0076011C">
              <w:rPr>
                <w:color w:val="685530" w:themeColor="accent5" w:themeShade="BF"/>
                <w:lang w:val="en-US"/>
              </w:rPr>
              <w:t>What was the working relationship between the Australian High Commission (AHC) and the TSSP2 team?</w:t>
            </w:r>
          </w:p>
        </w:tc>
      </w:tr>
      <w:tr w:rsidR="004C2507" w:rsidRPr="0076011C" w14:paraId="17F2D36C" w14:textId="77777777" w:rsidTr="0076011C">
        <w:tc>
          <w:tcPr>
            <w:tcW w:w="9628" w:type="dxa"/>
            <w:shd w:val="clear" w:color="auto" w:fill="F4F0E8"/>
          </w:tcPr>
          <w:p w14:paraId="2106ABA0" w14:textId="1E3A91A1" w:rsidR="00A0537A" w:rsidRPr="0076011C" w:rsidRDefault="00A0537A" w:rsidP="00D174C8">
            <w:pPr>
              <w:pStyle w:val="ListBullet"/>
              <w:numPr>
                <w:ilvl w:val="0"/>
                <w:numId w:val="0"/>
              </w:numPr>
              <w:spacing w:before="20" w:after="20"/>
              <w:ind w:left="885" w:hanging="885"/>
              <w:contextualSpacing w:val="0"/>
              <w:rPr>
                <w:color w:val="685530" w:themeColor="accent5" w:themeShade="BF"/>
                <w:lang w:val="en-US"/>
              </w:rPr>
            </w:pPr>
            <w:r w:rsidRPr="0076011C">
              <w:rPr>
                <w:color w:val="685530" w:themeColor="accent5" w:themeShade="BF"/>
                <w:lang w:val="en-US"/>
              </w:rPr>
              <w:t>KEQ 6:</w:t>
            </w:r>
            <w:r w:rsidR="004C2507" w:rsidRPr="0076011C">
              <w:rPr>
                <w:color w:val="685530" w:themeColor="accent5" w:themeShade="BF"/>
                <w:lang w:val="en-US"/>
              </w:rPr>
              <w:tab/>
            </w:r>
            <w:r w:rsidRPr="0076011C">
              <w:rPr>
                <w:color w:val="685530" w:themeColor="accent5" w:themeShade="BF"/>
                <w:lang w:val="en-US"/>
              </w:rPr>
              <w:t xml:space="preserve">Was TSSP2 effective in </w:t>
            </w:r>
            <w:r w:rsidR="00B407B0" w:rsidRPr="0076011C">
              <w:rPr>
                <w:color w:val="685530" w:themeColor="accent5" w:themeShade="BF"/>
                <w:lang w:val="en-US"/>
              </w:rPr>
              <w:t xml:space="preserve">the </w:t>
            </w:r>
            <w:r w:rsidRPr="0076011C">
              <w:rPr>
                <w:color w:val="685530" w:themeColor="accent5" w:themeShade="BF"/>
                <w:lang w:val="en-US"/>
              </w:rPr>
              <w:t>achievement of intended outcomes?</w:t>
            </w:r>
          </w:p>
        </w:tc>
      </w:tr>
      <w:tr w:rsidR="004C2507" w:rsidRPr="0076011C" w14:paraId="3417C621" w14:textId="77777777" w:rsidTr="0076011C">
        <w:tc>
          <w:tcPr>
            <w:tcW w:w="9628" w:type="dxa"/>
            <w:shd w:val="clear" w:color="auto" w:fill="F4F0E8"/>
          </w:tcPr>
          <w:p w14:paraId="6956701C" w14:textId="218F046F" w:rsidR="00A0537A" w:rsidRPr="0076011C" w:rsidRDefault="00A0537A" w:rsidP="00D174C8">
            <w:pPr>
              <w:pStyle w:val="ListBullet"/>
              <w:numPr>
                <w:ilvl w:val="0"/>
                <w:numId w:val="0"/>
              </w:numPr>
              <w:spacing w:before="20" w:after="20"/>
              <w:ind w:left="885" w:hanging="885"/>
              <w:contextualSpacing w:val="0"/>
              <w:rPr>
                <w:color w:val="685530" w:themeColor="accent5" w:themeShade="BF"/>
                <w:lang w:val="en-US"/>
              </w:rPr>
            </w:pPr>
            <w:r w:rsidRPr="0076011C">
              <w:rPr>
                <w:color w:val="685530" w:themeColor="accent5" w:themeShade="BF"/>
                <w:lang w:val="en-US"/>
              </w:rPr>
              <w:t>KEQ 7:</w:t>
            </w:r>
            <w:r w:rsidR="004C2507" w:rsidRPr="0076011C">
              <w:rPr>
                <w:color w:val="685530" w:themeColor="accent5" w:themeShade="BF"/>
                <w:lang w:val="en-US"/>
              </w:rPr>
              <w:tab/>
            </w:r>
            <w:r w:rsidRPr="0076011C">
              <w:rPr>
                <w:color w:val="685530" w:themeColor="accent5" w:themeShade="BF"/>
                <w:lang w:val="en-US"/>
              </w:rPr>
              <w:t>How can the work between TSSP and AIFFP be improved to ensure complementarity between the two programs?</w:t>
            </w:r>
          </w:p>
        </w:tc>
      </w:tr>
      <w:tr w:rsidR="004C2507" w:rsidRPr="0076011C" w14:paraId="4EBDF74C" w14:textId="77777777" w:rsidTr="0076011C">
        <w:tc>
          <w:tcPr>
            <w:tcW w:w="9628" w:type="dxa"/>
            <w:shd w:val="clear" w:color="auto" w:fill="F4F0E8"/>
          </w:tcPr>
          <w:p w14:paraId="54A811C1" w14:textId="3B8A0551" w:rsidR="00A0537A" w:rsidRPr="0076011C" w:rsidRDefault="00A0537A" w:rsidP="00D174C8">
            <w:pPr>
              <w:pStyle w:val="ListBullet"/>
              <w:numPr>
                <w:ilvl w:val="0"/>
                <w:numId w:val="0"/>
              </w:numPr>
              <w:spacing w:before="20" w:after="20"/>
              <w:ind w:left="885" w:hanging="885"/>
              <w:contextualSpacing w:val="0"/>
              <w:rPr>
                <w:color w:val="685530" w:themeColor="accent5" w:themeShade="BF"/>
                <w:lang w:val="en-US"/>
              </w:rPr>
            </w:pPr>
            <w:r w:rsidRPr="0076011C">
              <w:rPr>
                <w:color w:val="685530" w:themeColor="accent5" w:themeShade="BF"/>
                <w:lang w:val="en-US"/>
              </w:rPr>
              <w:t>KEQ 8:</w:t>
            </w:r>
            <w:r w:rsidR="004C2507" w:rsidRPr="0076011C">
              <w:rPr>
                <w:color w:val="685530" w:themeColor="accent5" w:themeShade="BF"/>
                <w:lang w:val="en-US"/>
              </w:rPr>
              <w:tab/>
            </w:r>
            <w:r w:rsidRPr="0076011C">
              <w:rPr>
                <w:color w:val="685530" w:themeColor="accent5" w:themeShade="BF"/>
                <w:lang w:val="en-US"/>
              </w:rPr>
              <w:t>Have cross-cutting issues been appropriately integrated into program design and delivery?</w:t>
            </w:r>
          </w:p>
        </w:tc>
      </w:tr>
    </w:tbl>
    <w:p w14:paraId="74E61C1A" w14:textId="77777777" w:rsidR="00193B4E" w:rsidRDefault="00193B4E" w:rsidP="00193B4E">
      <w:pPr>
        <w:pStyle w:val="ListBullet"/>
        <w:numPr>
          <w:ilvl w:val="0"/>
          <w:numId w:val="0"/>
        </w:numPr>
      </w:pPr>
    </w:p>
    <w:p w14:paraId="23AA7558" w14:textId="12811DCF" w:rsidR="00193B4E" w:rsidRPr="00782FCF" w:rsidRDefault="00193B4E" w:rsidP="00193B4E">
      <w:pPr>
        <w:pStyle w:val="ListBullet"/>
        <w:numPr>
          <w:ilvl w:val="0"/>
          <w:numId w:val="0"/>
        </w:numPr>
        <w:rPr>
          <w:lang w:val="en-US"/>
        </w:rPr>
      </w:pPr>
      <w:r w:rsidRPr="002523E8">
        <w:t xml:space="preserve">The Review drew on evidence from </w:t>
      </w:r>
      <w:r>
        <w:t>a</w:t>
      </w:r>
      <w:r w:rsidRPr="002523E8">
        <w:t xml:space="preserve"> literature </w:t>
      </w:r>
      <w:r w:rsidR="00A267D0">
        <w:t>scan</w:t>
      </w:r>
      <w:r w:rsidRPr="002523E8">
        <w:t>, existing report</w:t>
      </w:r>
      <w:r>
        <w:t>ing</w:t>
      </w:r>
      <w:r w:rsidRPr="002523E8">
        <w:t>, program documents, and primary qualitative data through stakeholder interviews</w:t>
      </w:r>
      <w:r>
        <w:t xml:space="preserve"> and focus group discussions</w:t>
      </w:r>
      <w:r w:rsidRPr="002523E8">
        <w:t xml:space="preserve">. </w:t>
      </w:r>
      <w:r>
        <w:t xml:space="preserve">The data collection provided a </w:t>
      </w:r>
      <w:r w:rsidRPr="002523E8">
        <w:t xml:space="preserve">comprehensive picture </w:t>
      </w:r>
      <w:r>
        <w:t>of the Program</w:t>
      </w:r>
      <w:r w:rsidRPr="002523E8">
        <w:t xml:space="preserve"> and enabled the </w:t>
      </w:r>
      <w:r>
        <w:t xml:space="preserve">Review team </w:t>
      </w:r>
      <w:r w:rsidRPr="002523E8">
        <w:t>to triangulate findings in a robust way</w:t>
      </w:r>
      <w:r>
        <w:t>.</w:t>
      </w:r>
    </w:p>
    <w:p w14:paraId="764076C7" w14:textId="53CBA6F1" w:rsidR="00532236" w:rsidRDefault="00375DFA" w:rsidP="004C2507">
      <w:pPr>
        <w:pStyle w:val="Heading2"/>
        <w:numPr>
          <w:ilvl w:val="0"/>
          <w:numId w:val="0"/>
        </w:numPr>
      </w:pPr>
      <w:bookmarkStart w:id="6" w:name="_Toc99121769"/>
      <w:r>
        <w:rPr>
          <w:noProof/>
        </w:rPr>
        <w:drawing>
          <wp:anchor distT="0" distB="0" distL="114300" distR="114300" simplePos="0" relativeHeight="251658241" behindDoc="0" locked="0" layoutInCell="1" allowOverlap="1" wp14:anchorId="3E809FAB" wp14:editId="426714DA">
            <wp:simplePos x="0" y="0"/>
            <wp:positionH relativeFrom="column">
              <wp:posOffset>-495516</wp:posOffset>
            </wp:positionH>
            <wp:positionV relativeFrom="paragraph">
              <wp:posOffset>482660</wp:posOffset>
            </wp:positionV>
            <wp:extent cx="352045" cy="304801"/>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a:stretch>
                      <a:fillRect/>
                    </a:stretch>
                  </pic:blipFill>
                  <pic:spPr>
                    <a:xfrm>
                      <a:off x="0" y="0"/>
                      <a:ext cx="352045" cy="304801"/>
                    </a:xfrm>
                    <a:prstGeom prst="rect">
                      <a:avLst/>
                    </a:prstGeom>
                  </pic:spPr>
                </pic:pic>
              </a:graphicData>
            </a:graphic>
          </wp:anchor>
        </w:drawing>
      </w:r>
      <w:r w:rsidR="00532236">
        <w:t>Summary of findings</w:t>
      </w:r>
      <w:bookmarkEnd w:id="6"/>
      <w:r w:rsidR="00532236">
        <w:t xml:space="preserve"> </w:t>
      </w:r>
    </w:p>
    <w:p w14:paraId="462F7180" w14:textId="0D9F4716" w:rsidR="00562807" w:rsidRPr="004C2507" w:rsidRDefault="00FE72BB" w:rsidP="00021AF0">
      <w:pPr>
        <w:pStyle w:val="Heading3"/>
      </w:pPr>
      <w:r>
        <w:t>Rele</w:t>
      </w:r>
      <w:r w:rsidR="00A20C3C">
        <w:t xml:space="preserve">vance </w:t>
      </w:r>
      <w:r>
        <w:t xml:space="preserve">of the </w:t>
      </w:r>
      <w:r w:rsidR="007B5B6F" w:rsidRPr="004C2507">
        <w:t>Program design</w:t>
      </w:r>
    </w:p>
    <w:p w14:paraId="2104666B" w14:textId="713A6A8D" w:rsidR="00E75FEF" w:rsidRDefault="00893F4C" w:rsidP="00A0537A">
      <w:pPr>
        <w:pStyle w:val="BodyText"/>
        <w:rPr>
          <w:lang w:val="en-US"/>
        </w:rPr>
      </w:pPr>
      <w:r w:rsidRPr="00893F4C">
        <w:rPr>
          <w:lang w:val="en-US"/>
        </w:rPr>
        <w:t xml:space="preserve">The TSSP2 design remains relevant both at the programmatic and political levels. DFAT’s investment in TSSP2 </w:t>
      </w:r>
      <w:r w:rsidRPr="00A0537A">
        <w:t>continues</w:t>
      </w:r>
      <w:r w:rsidRPr="00893F4C">
        <w:rPr>
          <w:lang w:val="en-US"/>
        </w:rPr>
        <w:t xml:space="preserve"> to be important and provides the PNG-Australia Partnership for Development with a broad range of investment opportunities to support the economic development of PNG. The investment in transport infrastructure enables international and domestic linkages between businesses and customers as well as access for communities to essential services.</w:t>
      </w:r>
      <w:r w:rsidR="007B5B6F" w:rsidRPr="007B5B6F">
        <w:t xml:space="preserve"> </w:t>
      </w:r>
      <w:r w:rsidR="007B5B6F" w:rsidRPr="007B5B6F">
        <w:rPr>
          <w:lang w:val="en-US"/>
        </w:rPr>
        <w:t>Overall, GoPNG finds TSSP2 important and acknowledges the key role the Program plays in the transport sector in PNG</w:t>
      </w:r>
      <w:r w:rsidR="00B6362F">
        <w:rPr>
          <w:lang w:val="en-US"/>
        </w:rPr>
        <w:t xml:space="preserve">. However, </w:t>
      </w:r>
      <w:r w:rsidR="007B5B6F" w:rsidRPr="007B5B6F">
        <w:rPr>
          <w:lang w:val="en-US"/>
        </w:rPr>
        <w:t>opportunities for improvement were highlighted in relation to engagement and closer working relationships with senior government officials.</w:t>
      </w:r>
      <w:r w:rsidR="008D5464">
        <w:rPr>
          <w:lang w:val="en-US"/>
        </w:rPr>
        <w:t xml:space="preserve"> </w:t>
      </w:r>
      <w:r w:rsidR="008D5464" w:rsidRPr="008D5464">
        <w:rPr>
          <w:lang w:val="en-US"/>
        </w:rPr>
        <w:t xml:space="preserve">including the Transport Sector Coordination, </w:t>
      </w:r>
      <w:r w:rsidR="00247C95" w:rsidRPr="008D5464">
        <w:rPr>
          <w:lang w:val="en-US"/>
        </w:rPr>
        <w:t>Monitoring,</w:t>
      </w:r>
      <w:r w:rsidR="008D5464" w:rsidRPr="008D5464">
        <w:rPr>
          <w:lang w:val="en-US"/>
        </w:rPr>
        <w:t xml:space="preserve"> and Implementation Committee (TSCMIC).</w:t>
      </w:r>
      <w:r w:rsidR="007B5B6F" w:rsidRPr="007B5B6F">
        <w:rPr>
          <w:lang w:val="en-US"/>
        </w:rPr>
        <w:t xml:space="preserve"> The public reputation of the </w:t>
      </w:r>
      <w:r w:rsidR="003C60C7">
        <w:rPr>
          <w:lang w:val="en-US"/>
        </w:rPr>
        <w:t>P</w:t>
      </w:r>
      <w:r w:rsidR="007B5B6F" w:rsidRPr="007B5B6F">
        <w:rPr>
          <w:lang w:val="en-US"/>
        </w:rPr>
        <w:t xml:space="preserve">rogram is </w:t>
      </w:r>
      <w:r w:rsidR="003C60C7" w:rsidRPr="007B5B6F">
        <w:rPr>
          <w:lang w:val="en-US"/>
        </w:rPr>
        <w:t>strong,</w:t>
      </w:r>
      <w:r w:rsidR="007B5B6F" w:rsidRPr="007B5B6F">
        <w:rPr>
          <w:lang w:val="en-US"/>
        </w:rPr>
        <w:t xml:space="preserve"> and</w:t>
      </w:r>
      <w:r w:rsidR="003C60C7">
        <w:rPr>
          <w:lang w:val="en-US"/>
        </w:rPr>
        <w:t xml:space="preserve"> it </w:t>
      </w:r>
      <w:r w:rsidR="007B5B6F" w:rsidRPr="007B5B6F">
        <w:rPr>
          <w:lang w:val="en-US"/>
        </w:rPr>
        <w:t>is one of the most well-known DFAT-funded programs in PNG</w:t>
      </w:r>
      <w:r w:rsidR="00B94396">
        <w:rPr>
          <w:lang w:val="en-US"/>
        </w:rPr>
        <w:t>.</w:t>
      </w:r>
    </w:p>
    <w:p w14:paraId="05E0D2B1" w14:textId="45FBEC30" w:rsidR="0023171F" w:rsidRDefault="0023171F" w:rsidP="0023171F">
      <w:pPr>
        <w:pStyle w:val="BodyText"/>
        <w:rPr>
          <w:rFonts w:cs="Arial"/>
        </w:rPr>
      </w:pPr>
      <w:r w:rsidRPr="000477C9">
        <w:rPr>
          <w:rFonts w:cs="Arial"/>
        </w:rPr>
        <w:t>The program design was fit</w:t>
      </w:r>
      <w:r w:rsidR="00B10FA0">
        <w:rPr>
          <w:rFonts w:cs="Arial"/>
        </w:rPr>
        <w:t xml:space="preserve"> </w:t>
      </w:r>
      <w:r w:rsidRPr="000477C9">
        <w:rPr>
          <w:rFonts w:cs="Arial"/>
        </w:rPr>
        <w:t>for</w:t>
      </w:r>
      <w:r w:rsidR="00B10FA0">
        <w:rPr>
          <w:rFonts w:cs="Arial"/>
        </w:rPr>
        <w:t xml:space="preserve"> </w:t>
      </w:r>
      <w:r w:rsidRPr="000477C9">
        <w:rPr>
          <w:rFonts w:cs="Arial"/>
        </w:rPr>
        <w:t>purpose and has remained flexible and responsive to DFAT’s changing priorities for infrastructure investments in PNG</w:t>
      </w:r>
      <w:r w:rsidR="003C60C7">
        <w:rPr>
          <w:rFonts w:cs="Arial"/>
        </w:rPr>
        <w:t>. H</w:t>
      </w:r>
      <w:r w:rsidRPr="000477C9">
        <w:rPr>
          <w:rFonts w:cs="Arial"/>
        </w:rPr>
        <w:t>owever, a design refresh is needed to accommodate emerging transport sector priorities and needs. Most stakeholders consulted from DFAT, other Australian transport agencies and TSSP2 noted that the design focus on the maintenance of PNG’s national priority roads was sound, as these roads provide the greatest economic and social benefit to the greatest number of people in PNG</w:t>
      </w:r>
      <w:r w:rsidR="002232CC">
        <w:rPr>
          <w:rFonts w:cs="Arial"/>
        </w:rPr>
        <w:t>.</w:t>
      </w:r>
    </w:p>
    <w:p w14:paraId="36C06B05" w14:textId="25CEAE51" w:rsidR="000F1B4F" w:rsidRDefault="000F1B4F" w:rsidP="00E75FEF">
      <w:pPr>
        <w:pStyle w:val="BodyText"/>
        <w:rPr>
          <w:spacing w:val="-2"/>
        </w:rPr>
      </w:pPr>
      <w:r w:rsidRPr="000F1B4F">
        <w:rPr>
          <w:spacing w:val="-2"/>
        </w:rPr>
        <w:t>Cross-cutting issues were not clearly factored in the current design, with scope for DFAT</w:t>
      </w:r>
      <w:r w:rsidR="003E3F05">
        <w:rPr>
          <w:spacing w:val="-2"/>
        </w:rPr>
        <w:t xml:space="preserve"> and GoPNG</w:t>
      </w:r>
      <w:r w:rsidRPr="000F1B4F">
        <w:rPr>
          <w:spacing w:val="-2"/>
        </w:rPr>
        <w:t xml:space="preserve"> to include them in future designs and articulat</w:t>
      </w:r>
      <w:r w:rsidR="0081173A">
        <w:rPr>
          <w:spacing w:val="-2"/>
        </w:rPr>
        <w:t>e</w:t>
      </w:r>
      <w:r w:rsidRPr="000F1B4F">
        <w:rPr>
          <w:spacing w:val="-2"/>
        </w:rPr>
        <w:t xml:space="preserve"> how they will be resourced, implemented and measured. Some TSSP2 and DFAT staff reported that other than the</w:t>
      </w:r>
      <w:r w:rsidR="003C49AF">
        <w:rPr>
          <w:spacing w:val="-2"/>
        </w:rPr>
        <w:t xml:space="preserve"> Monitoring and Evaluation</w:t>
      </w:r>
      <w:r w:rsidRPr="000F1B4F">
        <w:rPr>
          <w:spacing w:val="-2"/>
        </w:rPr>
        <w:t xml:space="preserve"> </w:t>
      </w:r>
      <w:r w:rsidR="003C49AF">
        <w:rPr>
          <w:spacing w:val="-2"/>
        </w:rPr>
        <w:t>(</w:t>
      </w:r>
      <w:r w:rsidRPr="000F1B4F">
        <w:rPr>
          <w:spacing w:val="-2"/>
        </w:rPr>
        <w:t>M&amp;E</w:t>
      </w:r>
      <w:r w:rsidR="003C49AF">
        <w:rPr>
          <w:spacing w:val="-2"/>
        </w:rPr>
        <w:t>)</w:t>
      </w:r>
      <w:r w:rsidRPr="000F1B4F">
        <w:rPr>
          <w:spacing w:val="-2"/>
        </w:rPr>
        <w:t xml:space="preserve"> and risk management, cross-cutting areas such as </w:t>
      </w:r>
      <w:r w:rsidR="003C49AF">
        <w:rPr>
          <w:spacing w:val="-2"/>
        </w:rPr>
        <w:t>G</w:t>
      </w:r>
      <w:r w:rsidRPr="000F1B4F">
        <w:rPr>
          <w:spacing w:val="-2"/>
        </w:rPr>
        <w:t>ender</w:t>
      </w:r>
      <w:r w:rsidR="003C49AF">
        <w:rPr>
          <w:spacing w:val="-2"/>
        </w:rPr>
        <w:t xml:space="preserve"> Equality</w:t>
      </w:r>
      <w:r w:rsidRPr="000F1B4F">
        <w:rPr>
          <w:spacing w:val="-2"/>
        </w:rPr>
        <w:t xml:space="preserve"> and </w:t>
      </w:r>
      <w:r w:rsidR="003C49AF">
        <w:rPr>
          <w:spacing w:val="-2"/>
        </w:rPr>
        <w:t>S</w:t>
      </w:r>
      <w:r w:rsidRPr="000F1B4F">
        <w:rPr>
          <w:spacing w:val="-2"/>
        </w:rPr>
        <w:t xml:space="preserve">ocial </w:t>
      </w:r>
      <w:r w:rsidR="003C49AF">
        <w:rPr>
          <w:spacing w:val="-2"/>
        </w:rPr>
        <w:t>I</w:t>
      </w:r>
      <w:r w:rsidRPr="000F1B4F">
        <w:rPr>
          <w:spacing w:val="-2"/>
        </w:rPr>
        <w:t>nclusion (</w:t>
      </w:r>
      <w:r w:rsidR="00D87D58">
        <w:rPr>
          <w:spacing w:val="-2"/>
        </w:rPr>
        <w:t>GEDSI</w:t>
      </w:r>
      <w:r w:rsidRPr="000F1B4F">
        <w:rPr>
          <w:spacing w:val="-2"/>
        </w:rPr>
        <w:t>) and environmental and social safeguards were silent in the design.</w:t>
      </w:r>
    </w:p>
    <w:p w14:paraId="1D64B863" w14:textId="3C9B87CC" w:rsidR="00165C55" w:rsidRPr="00E75FEF" w:rsidRDefault="00004E53" w:rsidP="00E75FEF">
      <w:pPr>
        <w:pStyle w:val="BodyText"/>
        <w:rPr>
          <w:lang w:val="en-US"/>
        </w:rPr>
      </w:pPr>
      <w:r>
        <w:rPr>
          <w:lang w:val="en-US"/>
        </w:rPr>
        <w:t xml:space="preserve">The </w:t>
      </w:r>
      <w:r w:rsidR="00152FCA" w:rsidRPr="00152FCA">
        <w:rPr>
          <w:lang w:val="en-US"/>
        </w:rPr>
        <w:t xml:space="preserve">TSSP2 </w:t>
      </w:r>
      <w:r w:rsidR="004B2239">
        <w:rPr>
          <w:lang w:val="en-US"/>
        </w:rPr>
        <w:t>P</w:t>
      </w:r>
      <w:r w:rsidR="00152FCA" w:rsidRPr="00152FCA">
        <w:rPr>
          <w:lang w:val="en-US"/>
        </w:rPr>
        <w:t xml:space="preserve">rogram </w:t>
      </w:r>
      <w:r w:rsidR="004B2239">
        <w:rPr>
          <w:lang w:val="en-US"/>
        </w:rPr>
        <w:t>L</w:t>
      </w:r>
      <w:r w:rsidR="00152FCA" w:rsidRPr="00152FCA">
        <w:rPr>
          <w:lang w:val="en-US"/>
        </w:rPr>
        <w:t>ogic structured around three End of Program Outcomes (EOPOs) was appropriate</w:t>
      </w:r>
      <w:r w:rsidR="004B2239">
        <w:rPr>
          <w:lang w:val="en-US"/>
        </w:rPr>
        <w:t xml:space="preserve"> for the time it was developed, noting it is timely </w:t>
      </w:r>
      <w:r w:rsidR="00152FCA" w:rsidRPr="00152FCA">
        <w:rPr>
          <w:lang w:val="en-US"/>
        </w:rPr>
        <w:t xml:space="preserve">for a program logic refresh in the new design to </w:t>
      </w:r>
      <w:r w:rsidR="002232CC">
        <w:rPr>
          <w:lang w:val="en-US"/>
        </w:rPr>
        <w:t xml:space="preserve">reflect </w:t>
      </w:r>
      <w:r w:rsidR="00152FCA" w:rsidRPr="00152FCA">
        <w:rPr>
          <w:lang w:val="en-US"/>
        </w:rPr>
        <w:t xml:space="preserve">changes in the </w:t>
      </w:r>
      <w:r w:rsidR="00B91F40">
        <w:rPr>
          <w:lang w:val="en-US"/>
        </w:rPr>
        <w:t>expanding transport sector in</w:t>
      </w:r>
      <w:r w:rsidR="002232CC">
        <w:rPr>
          <w:lang w:val="en-US"/>
        </w:rPr>
        <w:t xml:space="preserve"> </w:t>
      </w:r>
      <w:r w:rsidR="00152FCA" w:rsidRPr="00152FCA">
        <w:rPr>
          <w:lang w:val="en-US"/>
        </w:rPr>
        <w:t>PNG and DFAT</w:t>
      </w:r>
      <w:r w:rsidR="00F40FEE">
        <w:rPr>
          <w:lang w:val="en-US"/>
        </w:rPr>
        <w:t xml:space="preserve"> and GoPNG</w:t>
      </w:r>
      <w:r w:rsidR="004B2239">
        <w:rPr>
          <w:lang w:val="en-US"/>
        </w:rPr>
        <w:t>’s priorities and investments</w:t>
      </w:r>
      <w:r w:rsidR="00152FCA" w:rsidRPr="00152FCA">
        <w:rPr>
          <w:lang w:val="en-US"/>
        </w:rPr>
        <w:t>.</w:t>
      </w:r>
      <w:r w:rsidR="00D7050C">
        <w:rPr>
          <w:lang w:val="en-US"/>
        </w:rPr>
        <w:t xml:space="preserve"> </w:t>
      </w:r>
    </w:p>
    <w:p w14:paraId="41BC791B" w14:textId="451ADC9E" w:rsidR="00893F4C" w:rsidRPr="004C2507" w:rsidRDefault="00375DFA" w:rsidP="00021AF0">
      <w:pPr>
        <w:pStyle w:val="Heading3"/>
      </w:pPr>
      <w:r>
        <w:rPr>
          <w:noProof/>
        </w:rPr>
        <w:drawing>
          <wp:anchor distT="0" distB="0" distL="114300" distR="114300" simplePos="0" relativeHeight="251658242" behindDoc="0" locked="0" layoutInCell="1" allowOverlap="1" wp14:anchorId="7A38C771" wp14:editId="0797D314">
            <wp:simplePos x="0" y="0"/>
            <wp:positionH relativeFrom="column">
              <wp:posOffset>-467096</wp:posOffset>
            </wp:positionH>
            <wp:positionV relativeFrom="paragraph">
              <wp:posOffset>39717</wp:posOffset>
            </wp:positionV>
            <wp:extent cx="344805" cy="3048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stretch>
                      <a:fillRect/>
                    </a:stretch>
                  </pic:blipFill>
                  <pic:spPr>
                    <a:xfrm>
                      <a:off x="0" y="0"/>
                      <a:ext cx="344805" cy="304800"/>
                    </a:xfrm>
                    <a:prstGeom prst="rect">
                      <a:avLst/>
                    </a:prstGeom>
                  </pic:spPr>
                </pic:pic>
              </a:graphicData>
            </a:graphic>
            <wp14:sizeRelH relativeFrom="margin">
              <wp14:pctWidth>0</wp14:pctWidth>
            </wp14:sizeRelH>
          </wp:anchor>
        </w:drawing>
      </w:r>
      <w:r w:rsidR="000477C9" w:rsidRPr="004C2507">
        <w:t xml:space="preserve">Program implementation </w:t>
      </w:r>
    </w:p>
    <w:p w14:paraId="09A26636" w14:textId="14428F3B" w:rsidR="00ED68F1" w:rsidRDefault="00ED68F1" w:rsidP="00075D55">
      <w:pPr>
        <w:pStyle w:val="BodyText"/>
        <w:rPr>
          <w:lang w:val="en-US"/>
        </w:rPr>
      </w:pPr>
      <w:r w:rsidRPr="00ED68F1">
        <w:rPr>
          <w:lang w:val="en-US"/>
        </w:rPr>
        <w:t>The utilisation of GoPNG</w:t>
      </w:r>
      <w:r w:rsidR="00110E04">
        <w:rPr>
          <w:lang w:val="en-US"/>
        </w:rPr>
        <w:t>’s</w:t>
      </w:r>
      <w:r w:rsidRPr="00ED68F1">
        <w:rPr>
          <w:lang w:val="en-US"/>
        </w:rPr>
        <w:t xml:space="preserve"> national systems and processes is commendable and valued, however, mitigation strategies and workarounds are required to minimise delays and resulting underspends. TSSP2 endeavours to utilise local systems, in keeping with DFAT’s preference to develop local capacity</w:t>
      </w:r>
      <w:r w:rsidR="00110E04">
        <w:rPr>
          <w:lang w:val="en-US"/>
        </w:rPr>
        <w:t>. H</w:t>
      </w:r>
      <w:r w:rsidRPr="00ED68F1">
        <w:rPr>
          <w:lang w:val="en-US"/>
        </w:rPr>
        <w:t>owever, all stakeholder reports indicate that the use of national systems has led to immense delays due to systemic delays by PNG</w:t>
      </w:r>
      <w:r w:rsidR="00BA6405">
        <w:rPr>
          <w:lang w:val="en-US"/>
        </w:rPr>
        <w:t>’s</w:t>
      </w:r>
      <w:r w:rsidRPr="00ED68F1">
        <w:rPr>
          <w:lang w:val="en-US"/>
        </w:rPr>
        <w:t xml:space="preserve"> National Procurement Commission</w:t>
      </w:r>
      <w:r w:rsidR="00691252">
        <w:rPr>
          <w:lang w:val="en-US"/>
        </w:rPr>
        <w:t xml:space="preserve"> (NPC)</w:t>
      </w:r>
      <w:r w:rsidR="00BA6405">
        <w:rPr>
          <w:lang w:val="en-US"/>
        </w:rPr>
        <w:t>.</w:t>
      </w:r>
    </w:p>
    <w:p w14:paraId="7D36E7D9" w14:textId="76FEC8FA" w:rsidR="00E86D92" w:rsidRDefault="00862822" w:rsidP="00075D55">
      <w:pPr>
        <w:pStyle w:val="BodyText"/>
        <w:rPr>
          <w:lang w:val="en-US"/>
        </w:rPr>
      </w:pPr>
      <w:r>
        <w:rPr>
          <w:lang w:val="en-US"/>
        </w:rPr>
        <w:t>T</w:t>
      </w:r>
      <w:r w:rsidR="00E86D92">
        <w:rPr>
          <w:lang w:val="en-US"/>
        </w:rPr>
        <w:t xml:space="preserve">he </w:t>
      </w:r>
      <w:r w:rsidR="00E86D92" w:rsidRPr="00222216">
        <w:rPr>
          <w:lang w:val="en-US"/>
        </w:rPr>
        <w:t xml:space="preserve">working relationship between TSSP2, </w:t>
      </w:r>
      <w:r w:rsidR="00E86D92">
        <w:rPr>
          <w:lang w:val="en-US"/>
        </w:rPr>
        <w:t xml:space="preserve">DFAT </w:t>
      </w:r>
      <w:r w:rsidR="00E86D92" w:rsidRPr="00222216">
        <w:rPr>
          <w:lang w:val="en-US"/>
        </w:rPr>
        <w:t>and GoPNG</w:t>
      </w:r>
      <w:r w:rsidR="00217576">
        <w:rPr>
          <w:lang w:val="en-US"/>
        </w:rPr>
        <w:t>’s</w:t>
      </w:r>
      <w:r w:rsidR="00E86D92" w:rsidRPr="00222216">
        <w:rPr>
          <w:lang w:val="en-US"/>
        </w:rPr>
        <w:t xml:space="preserve"> transport agencies is generally seen as positive, </w:t>
      </w:r>
      <w:r w:rsidR="00E86D92">
        <w:rPr>
          <w:lang w:val="en-US"/>
        </w:rPr>
        <w:t>with minor</w:t>
      </w:r>
      <w:r w:rsidR="00217576">
        <w:rPr>
          <w:lang w:val="en-US"/>
        </w:rPr>
        <w:t xml:space="preserve"> areas</w:t>
      </w:r>
      <w:r w:rsidR="00E86D92">
        <w:rPr>
          <w:lang w:val="en-US"/>
        </w:rPr>
        <w:t xml:space="preserve"> for </w:t>
      </w:r>
      <w:r w:rsidR="00DC5DB7">
        <w:rPr>
          <w:lang w:val="en-US"/>
        </w:rPr>
        <w:t xml:space="preserve">improvement </w:t>
      </w:r>
      <w:r w:rsidR="00E86D92">
        <w:rPr>
          <w:lang w:val="en-US"/>
        </w:rPr>
        <w:t xml:space="preserve">for the future. Most stakeholders described the </w:t>
      </w:r>
      <w:r w:rsidR="00E86D92" w:rsidRPr="00222216">
        <w:rPr>
          <w:lang w:val="en-US"/>
        </w:rPr>
        <w:t>relationship</w:t>
      </w:r>
      <w:r w:rsidR="00E86D92">
        <w:rPr>
          <w:lang w:val="en-US"/>
        </w:rPr>
        <w:t xml:space="preserve"> as </w:t>
      </w:r>
      <w:r w:rsidR="00E86D92" w:rsidRPr="00222216">
        <w:rPr>
          <w:lang w:val="en-US"/>
        </w:rPr>
        <w:t>open</w:t>
      </w:r>
      <w:r w:rsidR="00E86D92">
        <w:rPr>
          <w:lang w:val="en-US"/>
        </w:rPr>
        <w:t xml:space="preserve">, collaborative </w:t>
      </w:r>
      <w:r w:rsidR="00217576">
        <w:rPr>
          <w:lang w:val="en-US"/>
        </w:rPr>
        <w:t>and having</w:t>
      </w:r>
      <w:r w:rsidR="00E86D92">
        <w:rPr>
          <w:lang w:val="en-US"/>
        </w:rPr>
        <w:t xml:space="preserve"> </w:t>
      </w:r>
      <w:r w:rsidR="00217576">
        <w:rPr>
          <w:lang w:val="en-US"/>
        </w:rPr>
        <w:t>two-way</w:t>
      </w:r>
      <w:r w:rsidR="00E86D92">
        <w:rPr>
          <w:lang w:val="en-US"/>
        </w:rPr>
        <w:t xml:space="preserve"> feedback mechanisms. </w:t>
      </w:r>
      <w:r w:rsidR="00217576">
        <w:rPr>
          <w:lang w:val="en-US"/>
        </w:rPr>
        <w:t>Though, t</w:t>
      </w:r>
      <w:r w:rsidR="00E86D92">
        <w:rPr>
          <w:lang w:val="en-US"/>
        </w:rPr>
        <w:t>here are calls for more flexibility during implementation</w:t>
      </w:r>
      <w:r w:rsidR="00217576">
        <w:rPr>
          <w:lang w:val="en-US"/>
        </w:rPr>
        <w:t>,</w:t>
      </w:r>
      <w:r w:rsidR="00554822">
        <w:rPr>
          <w:lang w:val="en-US"/>
        </w:rPr>
        <w:t xml:space="preserve"> for instanc</w:t>
      </w:r>
      <w:r w:rsidR="00217576">
        <w:rPr>
          <w:lang w:val="en-US"/>
        </w:rPr>
        <w:t>e,</w:t>
      </w:r>
      <w:r w:rsidR="00554822">
        <w:rPr>
          <w:lang w:val="en-US"/>
        </w:rPr>
        <w:t xml:space="preserve"> </w:t>
      </w:r>
      <w:r w:rsidR="008564C9">
        <w:rPr>
          <w:lang w:val="en-US"/>
        </w:rPr>
        <w:t xml:space="preserve">the ability to </w:t>
      </w:r>
      <w:r w:rsidR="00E86D92" w:rsidRPr="00222216">
        <w:rPr>
          <w:lang w:val="en-US"/>
        </w:rPr>
        <w:t>adjust annual implementation work plans to accommodate emerging GoPNG and</w:t>
      </w:r>
      <w:r w:rsidR="0019491C">
        <w:rPr>
          <w:lang w:val="en-US"/>
        </w:rPr>
        <w:t xml:space="preserve"> </w:t>
      </w:r>
      <w:r w:rsidR="00E86D92" w:rsidRPr="00222216">
        <w:rPr>
          <w:lang w:val="en-US"/>
        </w:rPr>
        <w:t xml:space="preserve">Australian Government needs and priorities. </w:t>
      </w:r>
    </w:p>
    <w:p w14:paraId="402DB280" w14:textId="15EC38F1" w:rsidR="00222216" w:rsidRDefault="005A2399" w:rsidP="00330945">
      <w:pPr>
        <w:pStyle w:val="BodyText"/>
        <w:spacing w:line="240" w:lineRule="auto"/>
        <w:rPr>
          <w:lang w:val="en-US"/>
        </w:rPr>
      </w:pPr>
      <w:r w:rsidRPr="005A2399">
        <w:rPr>
          <w:lang w:val="en-US"/>
        </w:rPr>
        <w:t xml:space="preserve">COVID-19 travel restrictions have hindered the deployment of </w:t>
      </w:r>
      <w:r w:rsidR="006550B3">
        <w:rPr>
          <w:lang w:val="en-US"/>
        </w:rPr>
        <w:t xml:space="preserve">technical assistance </w:t>
      </w:r>
      <w:r w:rsidR="00222216">
        <w:rPr>
          <w:lang w:val="en-US"/>
        </w:rPr>
        <w:t xml:space="preserve">to PNG </w:t>
      </w:r>
      <w:r w:rsidRPr="005A2399">
        <w:rPr>
          <w:lang w:val="en-US"/>
        </w:rPr>
        <w:t>with some stakeholders noting that the failure to deploy advisers and other technical experts to PNG has diminished relationships and</w:t>
      </w:r>
      <w:r w:rsidR="006550B3">
        <w:rPr>
          <w:lang w:val="en-US"/>
        </w:rPr>
        <w:t xml:space="preserve"> undermined </w:t>
      </w:r>
      <w:r w:rsidR="005276DF">
        <w:rPr>
          <w:lang w:val="en-US"/>
        </w:rPr>
        <w:t xml:space="preserve">the </w:t>
      </w:r>
      <w:r w:rsidRPr="005A2399">
        <w:rPr>
          <w:lang w:val="en-US"/>
        </w:rPr>
        <w:t>achievement of outcomes in the last 18 months</w:t>
      </w:r>
      <w:r w:rsidR="006550B3">
        <w:rPr>
          <w:lang w:val="en-US"/>
        </w:rPr>
        <w:t>.</w:t>
      </w:r>
    </w:p>
    <w:p w14:paraId="331A1D0F" w14:textId="52C5AC28" w:rsidR="00893F4C" w:rsidRDefault="00152FCA" w:rsidP="00330945">
      <w:pPr>
        <w:pStyle w:val="BodyText"/>
        <w:spacing w:line="240" w:lineRule="auto"/>
        <w:rPr>
          <w:lang w:val="en-US"/>
        </w:rPr>
      </w:pPr>
      <w:r w:rsidRPr="00152FCA">
        <w:rPr>
          <w:lang w:val="en-US"/>
        </w:rPr>
        <w:t xml:space="preserve">Donor coordination, </w:t>
      </w:r>
      <w:r w:rsidR="004D6925" w:rsidRPr="00152FCA">
        <w:rPr>
          <w:lang w:val="en-US"/>
        </w:rPr>
        <w:t>collaboration,</w:t>
      </w:r>
      <w:r w:rsidRPr="00152FCA">
        <w:rPr>
          <w:lang w:val="en-US"/>
        </w:rPr>
        <w:t xml:space="preserve"> and harmonisation within the transport sector in PNG is seen as a gap for TSSP2 and DFAT more broadly. The Program could benefit from having stronger and closer relationship</w:t>
      </w:r>
      <w:r w:rsidR="00217576">
        <w:rPr>
          <w:lang w:val="en-US"/>
        </w:rPr>
        <w:t>s</w:t>
      </w:r>
      <w:r w:rsidRPr="00152FCA">
        <w:rPr>
          <w:lang w:val="en-US"/>
        </w:rPr>
        <w:t xml:space="preserve"> with </w:t>
      </w:r>
      <w:r w:rsidRPr="00152FCA">
        <w:rPr>
          <w:lang w:val="en-US"/>
        </w:rPr>
        <w:lastRenderedPageBreak/>
        <w:t>other donor partners. Donor coordination is important for identifying and aligning interventions to national priorities and avoiding duplication of interventions and efforts.</w:t>
      </w:r>
    </w:p>
    <w:p w14:paraId="4BDA58C9" w14:textId="3F7C9257" w:rsidR="00CD6F18" w:rsidRPr="004C2507" w:rsidRDefault="00375DFA" w:rsidP="00330945">
      <w:pPr>
        <w:pStyle w:val="Heading3"/>
        <w:spacing w:line="240" w:lineRule="auto"/>
      </w:pPr>
      <w:r>
        <w:rPr>
          <w:noProof/>
        </w:rPr>
        <w:drawing>
          <wp:anchor distT="0" distB="0" distL="114300" distR="114300" simplePos="0" relativeHeight="251658243" behindDoc="0" locked="0" layoutInCell="1" allowOverlap="1" wp14:anchorId="2906F098" wp14:editId="2C41EDCD">
            <wp:simplePos x="0" y="0"/>
            <wp:positionH relativeFrom="column">
              <wp:posOffset>-444236</wp:posOffset>
            </wp:positionH>
            <wp:positionV relativeFrom="paragraph">
              <wp:posOffset>43791</wp:posOffset>
            </wp:positionV>
            <wp:extent cx="299720" cy="304800"/>
            <wp:effectExtent l="0" t="0" r="508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a:stretch>
                      <a:fillRect/>
                    </a:stretch>
                  </pic:blipFill>
                  <pic:spPr>
                    <a:xfrm>
                      <a:off x="0" y="0"/>
                      <a:ext cx="299720" cy="304800"/>
                    </a:xfrm>
                    <a:prstGeom prst="rect">
                      <a:avLst/>
                    </a:prstGeom>
                  </pic:spPr>
                </pic:pic>
              </a:graphicData>
            </a:graphic>
            <wp14:sizeRelH relativeFrom="margin">
              <wp14:pctWidth>0</wp14:pctWidth>
            </wp14:sizeRelH>
          </wp:anchor>
        </w:drawing>
      </w:r>
      <w:r w:rsidR="00CD6F18" w:rsidRPr="004C2507">
        <w:t>Program effectiveness</w:t>
      </w:r>
    </w:p>
    <w:p w14:paraId="1B644E11" w14:textId="0A62A2C2" w:rsidR="00CD6F18" w:rsidRPr="00F11A24" w:rsidRDefault="00CD6F18" w:rsidP="00330945">
      <w:pPr>
        <w:pStyle w:val="BodyText"/>
        <w:spacing w:line="240" w:lineRule="auto"/>
        <w:rPr>
          <w:szCs w:val="20"/>
          <w:lang w:val="en-US"/>
        </w:rPr>
      </w:pPr>
      <w:r w:rsidRPr="00F11A24">
        <w:rPr>
          <w:szCs w:val="20"/>
          <w:lang w:val="en-US"/>
        </w:rPr>
        <w:t xml:space="preserve">TSSP2 is assisting GoPNG in making great strides toward policy and legislative reforms. Enabling legislation such as the Road (Management and Fund) Act 2020 </w:t>
      </w:r>
      <w:r w:rsidR="00343753" w:rsidRPr="00F11A24">
        <w:rPr>
          <w:szCs w:val="20"/>
          <w:lang w:val="en-US"/>
        </w:rPr>
        <w:t xml:space="preserve">supported by TSSP2 </w:t>
      </w:r>
      <w:r w:rsidRPr="00F11A24">
        <w:rPr>
          <w:szCs w:val="20"/>
          <w:lang w:val="en-US"/>
        </w:rPr>
        <w:t>will empower national, provincial, and district land transport authorities in the planning and management of national road assets.</w:t>
      </w:r>
    </w:p>
    <w:p w14:paraId="207F5B0E" w14:textId="05021CB7" w:rsidR="00E14B27" w:rsidRPr="00F11A24" w:rsidRDefault="00E14B27" w:rsidP="00330945">
      <w:pPr>
        <w:pStyle w:val="BodyText"/>
        <w:spacing w:line="240" w:lineRule="auto"/>
        <w:rPr>
          <w:szCs w:val="20"/>
          <w:lang w:val="en-US"/>
        </w:rPr>
      </w:pPr>
      <w:r w:rsidRPr="00F11A24">
        <w:rPr>
          <w:szCs w:val="20"/>
          <w:lang w:val="en-US"/>
        </w:rPr>
        <w:t>TSSP</w:t>
      </w:r>
      <w:r w:rsidR="004D6925" w:rsidRPr="00F11A24">
        <w:rPr>
          <w:szCs w:val="20"/>
          <w:lang w:val="en-US"/>
        </w:rPr>
        <w:t>2 continues</w:t>
      </w:r>
      <w:r w:rsidRPr="00F11A24">
        <w:rPr>
          <w:szCs w:val="20"/>
          <w:lang w:val="en-US"/>
        </w:rPr>
        <w:t xml:space="preserve"> to support road maintenance works in PNG with the latest results showing 1</w:t>
      </w:r>
      <w:r w:rsidR="00043A63">
        <w:rPr>
          <w:szCs w:val="20"/>
          <w:lang w:val="en-US"/>
        </w:rPr>
        <w:t>,</w:t>
      </w:r>
      <w:r w:rsidRPr="00F11A24">
        <w:rPr>
          <w:szCs w:val="20"/>
          <w:lang w:val="en-US"/>
        </w:rPr>
        <w:t>613 km of roads main</w:t>
      </w:r>
      <w:r w:rsidR="00C26254" w:rsidRPr="00F11A24">
        <w:rPr>
          <w:szCs w:val="20"/>
          <w:lang w:val="en-US"/>
        </w:rPr>
        <w:t>tained</w:t>
      </w:r>
      <w:r w:rsidRPr="00F11A24">
        <w:rPr>
          <w:szCs w:val="20"/>
          <w:lang w:val="en-US"/>
        </w:rPr>
        <w:t xml:space="preserve"> in eight provinces in 2020. Program reporting indicates that TSSP</w:t>
      </w:r>
      <w:r w:rsidR="00104C6B">
        <w:rPr>
          <w:szCs w:val="20"/>
          <w:lang w:val="en-US"/>
        </w:rPr>
        <w:t>2</w:t>
      </w:r>
      <w:r w:rsidRPr="00F11A24">
        <w:rPr>
          <w:szCs w:val="20"/>
          <w:lang w:val="en-US"/>
        </w:rPr>
        <w:t xml:space="preserve"> support </w:t>
      </w:r>
      <w:r w:rsidR="00DC5DB7">
        <w:rPr>
          <w:szCs w:val="20"/>
          <w:lang w:val="en-US"/>
        </w:rPr>
        <w:t>for</w:t>
      </w:r>
      <w:r w:rsidR="00DC5DB7" w:rsidRPr="00F11A24">
        <w:rPr>
          <w:szCs w:val="20"/>
          <w:lang w:val="en-US"/>
        </w:rPr>
        <w:t xml:space="preserve"> </w:t>
      </w:r>
      <w:r w:rsidRPr="00F11A24">
        <w:rPr>
          <w:szCs w:val="20"/>
          <w:lang w:val="en-US"/>
        </w:rPr>
        <w:t xml:space="preserve">the planning, delivery, monitoring and reporting of the annual road maintenance program, including the setting of maintenance targets that align with the Road Asset Management System (RAMS) is vital to </w:t>
      </w:r>
      <w:r w:rsidR="008E464C">
        <w:rPr>
          <w:szCs w:val="20"/>
          <w:lang w:val="en-US"/>
        </w:rPr>
        <w:t>supporting</w:t>
      </w:r>
      <w:r w:rsidR="008E464C" w:rsidRPr="00F11A24">
        <w:rPr>
          <w:szCs w:val="20"/>
          <w:lang w:val="en-US"/>
        </w:rPr>
        <w:t xml:space="preserve"> </w:t>
      </w:r>
      <w:r w:rsidRPr="00F11A24">
        <w:rPr>
          <w:szCs w:val="20"/>
          <w:lang w:val="en-US"/>
        </w:rPr>
        <w:t>a well-planned and prioritised road maintenance program</w:t>
      </w:r>
      <w:r w:rsidR="00217576">
        <w:rPr>
          <w:szCs w:val="20"/>
          <w:lang w:val="en-US"/>
        </w:rPr>
        <w:t>.</w:t>
      </w:r>
    </w:p>
    <w:p w14:paraId="77F24454" w14:textId="1B59618C" w:rsidR="00F82883" w:rsidRDefault="00C26254" w:rsidP="00217576">
      <w:pPr>
        <w:pStyle w:val="BodyText"/>
        <w:spacing w:line="240" w:lineRule="auto"/>
        <w:rPr>
          <w:rFonts w:cs="Arial"/>
        </w:rPr>
      </w:pPr>
      <w:r w:rsidRPr="00217576">
        <w:rPr>
          <w:szCs w:val="20"/>
          <w:lang w:val="en-US"/>
        </w:rPr>
        <w:t>The Program</w:t>
      </w:r>
      <w:r w:rsidR="00F11A24" w:rsidRPr="00217576">
        <w:rPr>
          <w:szCs w:val="20"/>
          <w:lang w:val="en-US"/>
        </w:rPr>
        <w:t xml:space="preserve"> </w:t>
      </w:r>
      <w:r w:rsidRPr="00217576">
        <w:rPr>
          <w:szCs w:val="20"/>
          <w:lang w:val="en-US"/>
        </w:rPr>
        <w:t>has worked well in Bougainville and achieved good developmental and socio-economic outcomes. TSSP2 focus on social safeguards in Bougainville is a good example of leveraging investment in infrastructure to maximise b</w:t>
      </w:r>
      <w:r w:rsidRPr="00F11A24">
        <w:rPr>
          <w:rFonts w:cs="Arial"/>
        </w:rPr>
        <w:t>enefits to the community.</w:t>
      </w:r>
      <w:r w:rsidR="005577A4" w:rsidRPr="00F11A24">
        <w:t xml:space="preserve"> Through the C</w:t>
      </w:r>
      <w:r w:rsidR="00F11A24" w:rsidRPr="00F11A24">
        <w:t>ommunity Wor</w:t>
      </w:r>
      <w:r w:rsidR="001E0AFF">
        <w:t>k</w:t>
      </w:r>
      <w:r w:rsidR="00F11A24" w:rsidRPr="00F11A24">
        <w:t xml:space="preserve"> </w:t>
      </w:r>
      <w:r w:rsidR="001E0AFF">
        <w:t>A</w:t>
      </w:r>
      <w:r w:rsidR="00F11A24" w:rsidRPr="00F11A24">
        <w:t>rrangements</w:t>
      </w:r>
      <w:r w:rsidR="001E0AFF">
        <w:t xml:space="preserve"> (CWA</w:t>
      </w:r>
      <w:r w:rsidR="005830A6">
        <w:t>s</w:t>
      </w:r>
      <w:r w:rsidR="001E0AFF">
        <w:t>)</w:t>
      </w:r>
      <w:r w:rsidR="00F11A24" w:rsidRPr="00F11A24">
        <w:t xml:space="preserve"> </w:t>
      </w:r>
      <w:r w:rsidR="001E0AFF">
        <w:t>i</w:t>
      </w:r>
      <w:r w:rsidR="005577A4" w:rsidRPr="00F11A24">
        <w:rPr>
          <w:rFonts w:cs="Arial"/>
        </w:rPr>
        <w:t>n Bougainville</w:t>
      </w:r>
      <w:r w:rsidR="00104C6B">
        <w:rPr>
          <w:rFonts w:cs="Arial"/>
        </w:rPr>
        <w:t>,</w:t>
      </w:r>
      <w:r w:rsidR="00347DAC">
        <w:rPr>
          <w:rFonts w:cs="Arial"/>
        </w:rPr>
        <w:t xml:space="preserve"> 9,750 women </w:t>
      </w:r>
      <w:r w:rsidR="005577A4" w:rsidRPr="00F11A24">
        <w:rPr>
          <w:rFonts w:cs="Arial"/>
        </w:rPr>
        <w:t>have seen an increase in their income, which has enabled them to open bank accounts and increase their daily income.</w:t>
      </w:r>
    </w:p>
    <w:p w14:paraId="5AEB4F98" w14:textId="5CA24C3C" w:rsidR="007A35F8" w:rsidRPr="000F23C9" w:rsidRDefault="007A35F8" w:rsidP="007A35F8">
      <w:pPr>
        <w:pStyle w:val="BodyText"/>
      </w:pPr>
      <w:r w:rsidRPr="000F23C9">
        <w:t>A deteriorating fiscal environment, challenging political context, complex and fragmented governance and implementation framework ha</w:t>
      </w:r>
      <w:r>
        <w:t>s</w:t>
      </w:r>
      <w:r w:rsidRPr="000F23C9">
        <w:t xml:space="preserve"> made it very challenging for TSSP2 to progress </w:t>
      </w:r>
      <w:r>
        <w:t>their EOPOs</w:t>
      </w:r>
      <w:r w:rsidRPr="000F23C9">
        <w:t>. But despite these challenges, and more recently in the face of a considerable interruption to business continuity as a result of COVID-19, TSSP2 continues to deliver essential and highly valued support for land transport, maritime, and aviation sectors and sustained support for organisation reform, engagement, and performance.</w:t>
      </w:r>
    </w:p>
    <w:p w14:paraId="10595051" w14:textId="4E8C5994" w:rsidR="007A35F8" w:rsidRPr="000F23C9" w:rsidRDefault="007A35F8" w:rsidP="007A35F8">
      <w:pPr>
        <w:pStyle w:val="BodyText"/>
      </w:pPr>
      <w:r w:rsidRPr="000F23C9">
        <w:t>Technical Assistance (TA) remains a critical component underpinning TSSP2’s investment in transport</w:t>
      </w:r>
      <w:r>
        <w:t xml:space="preserve"> </w:t>
      </w:r>
      <w:r w:rsidRPr="000F23C9">
        <w:t>infrastructure, though reports tend to be mixed as to the effectiveness of</w:t>
      </w:r>
      <w:r>
        <w:t xml:space="preserve"> the support. However, there is</w:t>
      </w:r>
      <w:r w:rsidRPr="000F23C9">
        <w:t xml:space="preserve"> consensus that an efficient deployment of TA that works to strengthen government systems and strategies such as Connect PNG and prepare PNG Ports for earmarked investment is seen by GoPNG as essential to the program achieving its long-term objectives. </w:t>
      </w:r>
    </w:p>
    <w:p w14:paraId="0AE9AD8A" w14:textId="056205EE" w:rsidR="00893F4C" w:rsidRPr="005744BD" w:rsidRDefault="00375DFA" w:rsidP="00330945">
      <w:pPr>
        <w:pStyle w:val="BodyText"/>
        <w:spacing w:line="240" w:lineRule="auto"/>
        <w:rPr>
          <w:b/>
          <w:bCs/>
          <w:szCs w:val="20"/>
          <w:lang w:val="en-US"/>
        </w:rPr>
      </w:pPr>
      <w:r w:rsidRPr="005744BD">
        <w:rPr>
          <w:b/>
          <w:bCs/>
          <w:noProof/>
          <w:szCs w:val="20"/>
        </w:rPr>
        <w:drawing>
          <wp:anchor distT="0" distB="0" distL="114300" distR="114300" simplePos="0" relativeHeight="251658244" behindDoc="0" locked="0" layoutInCell="1" allowOverlap="1" wp14:anchorId="447733E5" wp14:editId="3EFF774A">
            <wp:simplePos x="0" y="0"/>
            <wp:positionH relativeFrom="column">
              <wp:posOffset>-418729</wp:posOffset>
            </wp:positionH>
            <wp:positionV relativeFrom="paragraph">
              <wp:posOffset>12065</wp:posOffset>
            </wp:positionV>
            <wp:extent cx="250190" cy="30480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3"/>
                    <a:stretch>
                      <a:fillRect/>
                    </a:stretch>
                  </pic:blipFill>
                  <pic:spPr>
                    <a:xfrm>
                      <a:off x="0" y="0"/>
                      <a:ext cx="250190" cy="304800"/>
                    </a:xfrm>
                    <a:prstGeom prst="rect">
                      <a:avLst/>
                    </a:prstGeom>
                  </pic:spPr>
                </pic:pic>
              </a:graphicData>
            </a:graphic>
            <wp14:sizeRelH relativeFrom="margin">
              <wp14:pctWidth>0</wp14:pctWidth>
            </wp14:sizeRelH>
          </wp:anchor>
        </w:drawing>
      </w:r>
      <w:r w:rsidR="00A20C3C" w:rsidRPr="005744BD">
        <w:rPr>
          <w:b/>
          <w:bCs/>
          <w:szCs w:val="20"/>
          <w:lang w:val="en-US"/>
        </w:rPr>
        <w:t xml:space="preserve">Complementarity between TSSP2 and </w:t>
      </w:r>
      <w:r w:rsidR="00104C6B">
        <w:rPr>
          <w:b/>
          <w:bCs/>
          <w:szCs w:val="20"/>
          <w:lang w:val="en-US"/>
        </w:rPr>
        <w:t xml:space="preserve">the </w:t>
      </w:r>
      <w:r w:rsidR="00104C6B" w:rsidRPr="00104C6B">
        <w:rPr>
          <w:b/>
          <w:bCs/>
          <w:szCs w:val="20"/>
          <w:lang w:val="en-US"/>
        </w:rPr>
        <w:t xml:space="preserve">Australian Infrastructure Financing Facility for the Pacific </w:t>
      </w:r>
      <w:r w:rsidR="00104C6B">
        <w:rPr>
          <w:b/>
          <w:bCs/>
          <w:szCs w:val="20"/>
          <w:lang w:val="en-US"/>
        </w:rPr>
        <w:t>(</w:t>
      </w:r>
      <w:r w:rsidR="00A20C3C" w:rsidRPr="005744BD">
        <w:rPr>
          <w:b/>
          <w:bCs/>
          <w:szCs w:val="20"/>
          <w:lang w:val="en-US"/>
        </w:rPr>
        <w:t>AIFFP</w:t>
      </w:r>
      <w:r w:rsidR="00104C6B">
        <w:rPr>
          <w:b/>
          <w:bCs/>
          <w:szCs w:val="20"/>
          <w:lang w:val="en-US"/>
        </w:rPr>
        <w:t>)</w:t>
      </w:r>
    </w:p>
    <w:p w14:paraId="0C0432F6" w14:textId="1A8C0A25" w:rsidR="003F3609" w:rsidRDefault="004E322B" w:rsidP="00330945">
      <w:pPr>
        <w:pStyle w:val="BodyText"/>
        <w:spacing w:line="240" w:lineRule="auto"/>
        <w:rPr>
          <w:szCs w:val="20"/>
        </w:rPr>
      </w:pPr>
      <w:r>
        <w:rPr>
          <w:szCs w:val="20"/>
          <w:lang w:val="en-US"/>
        </w:rPr>
        <w:t xml:space="preserve">The collaboration </w:t>
      </w:r>
      <w:r w:rsidR="009A3379">
        <w:rPr>
          <w:szCs w:val="20"/>
          <w:lang w:val="en-US"/>
        </w:rPr>
        <w:t xml:space="preserve">between </w:t>
      </w:r>
      <w:r w:rsidR="00F82883" w:rsidRPr="00F11A24">
        <w:rPr>
          <w:szCs w:val="20"/>
          <w:lang w:val="en-US"/>
        </w:rPr>
        <w:t>TSSP2</w:t>
      </w:r>
      <w:r w:rsidR="009A3379">
        <w:rPr>
          <w:szCs w:val="20"/>
          <w:lang w:val="en-US"/>
        </w:rPr>
        <w:t xml:space="preserve"> and AIFFP</w:t>
      </w:r>
      <w:r w:rsidR="00D95A06">
        <w:rPr>
          <w:szCs w:val="20"/>
          <w:lang w:val="en-US"/>
        </w:rPr>
        <w:t xml:space="preserve"> since </w:t>
      </w:r>
      <w:r w:rsidR="004D6925">
        <w:rPr>
          <w:szCs w:val="20"/>
          <w:lang w:val="en-US"/>
        </w:rPr>
        <w:t>2019 has</w:t>
      </w:r>
      <w:r w:rsidR="00F82883" w:rsidRPr="00F11A24">
        <w:rPr>
          <w:szCs w:val="20"/>
          <w:lang w:val="en-US"/>
        </w:rPr>
        <w:t xml:space="preserve"> leverag</w:t>
      </w:r>
      <w:r w:rsidR="009A3379">
        <w:rPr>
          <w:szCs w:val="20"/>
          <w:lang w:val="en-US"/>
        </w:rPr>
        <w:t>ed</w:t>
      </w:r>
      <w:r w:rsidR="00F82883" w:rsidRPr="00F11A24">
        <w:rPr>
          <w:szCs w:val="20"/>
          <w:lang w:val="en-US"/>
        </w:rPr>
        <w:t xml:space="preserve"> TSSP2</w:t>
      </w:r>
      <w:r w:rsidR="00104C6B">
        <w:rPr>
          <w:szCs w:val="20"/>
          <w:lang w:val="en-US"/>
        </w:rPr>
        <w:t>’s</w:t>
      </w:r>
      <w:r w:rsidR="00F82883" w:rsidRPr="00F11A24">
        <w:rPr>
          <w:szCs w:val="20"/>
          <w:lang w:val="en-US"/>
        </w:rPr>
        <w:t xml:space="preserve"> local knowledge in pursuit of </w:t>
      </w:r>
      <w:r w:rsidR="00FB4453">
        <w:rPr>
          <w:szCs w:val="20"/>
          <w:lang w:val="en-US"/>
        </w:rPr>
        <w:t xml:space="preserve">both </w:t>
      </w:r>
      <w:r w:rsidR="001178D7">
        <w:rPr>
          <w:szCs w:val="20"/>
          <w:lang w:val="en-US"/>
        </w:rPr>
        <w:t xml:space="preserve">road and maritime </w:t>
      </w:r>
      <w:r w:rsidR="0096309D">
        <w:rPr>
          <w:szCs w:val="20"/>
          <w:lang w:val="en-US"/>
        </w:rPr>
        <w:t>i</w:t>
      </w:r>
      <w:r w:rsidR="00F82883" w:rsidRPr="00F11A24">
        <w:rPr>
          <w:szCs w:val="20"/>
          <w:lang w:val="en-US"/>
        </w:rPr>
        <w:t xml:space="preserve">nfrastructure opportunities </w:t>
      </w:r>
      <w:r w:rsidR="00F82883" w:rsidRPr="00F11A24">
        <w:rPr>
          <w:szCs w:val="20"/>
        </w:rPr>
        <w:t xml:space="preserve">that </w:t>
      </w:r>
      <w:r w:rsidR="00D95A06">
        <w:rPr>
          <w:szCs w:val="20"/>
        </w:rPr>
        <w:t>ha</w:t>
      </w:r>
      <w:r w:rsidR="00784AC7">
        <w:rPr>
          <w:szCs w:val="20"/>
        </w:rPr>
        <w:t>ve</w:t>
      </w:r>
      <w:r w:rsidR="00D95A06">
        <w:rPr>
          <w:szCs w:val="20"/>
        </w:rPr>
        <w:t xml:space="preserve"> </w:t>
      </w:r>
      <w:r w:rsidR="00F82883" w:rsidRPr="00F11A24">
        <w:rPr>
          <w:szCs w:val="20"/>
        </w:rPr>
        <w:t>broaden</w:t>
      </w:r>
      <w:r w:rsidR="00E509D8">
        <w:rPr>
          <w:szCs w:val="20"/>
        </w:rPr>
        <w:t>ed</w:t>
      </w:r>
      <w:r w:rsidR="00F82883" w:rsidRPr="00F11A24">
        <w:rPr>
          <w:szCs w:val="20"/>
        </w:rPr>
        <w:t xml:space="preserve"> DFAT’s investment portfolio in transport infrastructure</w:t>
      </w:r>
      <w:r w:rsidR="003F3609">
        <w:rPr>
          <w:szCs w:val="20"/>
        </w:rPr>
        <w:t xml:space="preserve"> in PNG</w:t>
      </w:r>
      <w:r w:rsidR="00D95A06">
        <w:rPr>
          <w:szCs w:val="20"/>
        </w:rPr>
        <w:t xml:space="preserve">. </w:t>
      </w:r>
      <w:r w:rsidR="00F82883" w:rsidRPr="00F11A24">
        <w:rPr>
          <w:szCs w:val="20"/>
        </w:rPr>
        <w:t xml:space="preserve">TSSP2 and DFAT staff reported that the prospect of AIFFP financing </w:t>
      </w:r>
      <w:r w:rsidR="0022083F">
        <w:rPr>
          <w:szCs w:val="20"/>
        </w:rPr>
        <w:t>will</w:t>
      </w:r>
      <w:r w:rsidR="00F82883" w:rsidRPr="00F11A24">
        <w:rPr>
          <w:szCs w:val="20"/>
        </w:rPr>
        <w:t xml:space="preserve"> </w:t>
      </w:r>
      <w:r w:rsidR="00753FAF">
        <w:rPr>
          <w:szCs w:val="20"/>
        </w:rPr>
        <w:t>further support</w:t>
      </w:r>
      <w:r w:rsidR="00753FAF" w:rsidRPr="00F11A24">
        <w:rPr>
          <w:szCs w:val="20"/>
        </w:rPr>
        <w:t xml:space="preserve"> </w:t>
      </w:r>
      <w:r w:rsidR="00F82883" w:rsidRPr="00F11A24">
        <w:rPr>
          <w:szCs w:val="20"/>
        </w:rPr>
        <w:t>TSSP2</w:t>
      </w:r>
      <w:r w:rsidR="00753FAF">
        <w:rPr>
          <w:szCs w:val="20"/>
        </w:rPr>
        <w:t xml:space="preserve"> engagement in the maritime sector and </w:t>
      </w:r>
      <w:r w:rsidR="00BD6D22">
        <w:rPr>
          <w:szCs w:val="20"/>
        </w:rPr>
        <w:t>significantly increase</w:t>
      </w:r>
      <w:r w:rsidR="00753FAF">
        <w:rPr>
          <w:szCs w:val="20"/>
        </w:rPr>
        <w:t xml:space="preserve"> Australia’s</w:t>
      </w:r>
      <w:r w:rsidR="00BD6D22">
        <w:rPr>
          <w:szCs w:val="20"/>
        </w:rPr>
        <w:t xml:space="preserve"> investments</w:t>
      </w:r>
      <w:r w:rsidR="007A464E">
        <w:rPr>
          <w:szCs w:val="20"/>
        </w:rPr>
        <w:t xml:space="preserve"> in </w:t>
      </w:r>
      <w:r w:rsidR="00286028">
        <w:rPr>
          <w:szCs w:val="20"/>
        </w:rPr>
        <w:t xml:space="preserve">the </w:t>
      </w:r>
      <w:r w:rsidR="007A464E">
        <w:rPr>
          <w:szCs w:val="20"/>
        </w:rPr>
        <w:t>further</w:t>
      </w:r>
      <w:r w:rsidR="00D7050C">
        <w:rPr>
          <w:szCs w:val="20"/>
        </w:rPr>
        <w:t xml:space="preserve"> </w:t>
      </w:r>
      <w:r w:rsidR="00F82883" w:rsidRPr="00F11A24">
        <w:rPr>
          <w:szCs w:val="20"/>
        </w:rPr>
        <w:t xml:space="preserve">development of </w:t>
      </w:r>
      <w:r w:rsidR="007E7E48">
        <w:rPr>
          <w:szCs w:val="20"/>
        </w:rPr>
        <w:t xml:space="preserve">PNG’s </w:t>
      </w:r>
      <w:r w:rsidR="00F82883" w:rsidRPr="00F11A24">
        <w:rPr>
          <w:szCs w:val="20"/>
        </w:rPr>
        <w:t>maritime infrastructure</w:t>
      </w:r>
      <w:r w:rsidR="003C2787">
        <w:rPr>
          <w:szCs w:val="20"/>
        </w:rPr>
        <w:t>.</w:t>
      </w:r>
    </w:p>
    <w:p w14:paraId="2DA6A330" w14:textId="44D4C10A" w:rsidR="00487E1F" w:rsidRDefault="003C2787" w:rsidP="00330945">
      <w:pPr>
        <w:pStyle w:val="BodyText"/>
        <w:spacing w:line="240" w:lineRule="auto"/>
        <w:rPr>
          <w:szCs w:val="20"/>
        </w:rPr>
      </w:pPr>
      <w:r w:rsidRPr="003C2787">
        <w:rPr>
          <w:szCs w:val="20"/>
        </w:rPr>
        <w:t xml:space="preserve">AIFFP stakeholders reported that AIFFP is in a position to leverage and augment TSSP2’s </w:t>
      </w:r>
      <w:r w:rsidR="00784AC7">
        <w:rPr>
          <w:szCs w:val="20"/>
        </w:rPr>
        <w:t xml:space="preserve">technical </w:t>
      </w:r>
      <w:r w:rsidR="004D6925">
        <w:rPr>
          <w:szCs w:val="20"/>
        </w:rPr>
        <w:t xml:space="preserve">assistance </w:t>
      </w:r>
      <w:r w:rsidR="004D6925" w:rsidRPr="003C2787">
        <w:rPr>
          <w:szCs w:val="20"/>
        </w:rPr>
        <w:t>whilst</w:t>
      </w:r>
      <w:r w:rsidRPr="003C2787">
        <w:rPr>
          <w:szCs w:val="20"/>
        </w:rPr>
        <w:t xml:space="preserve"> levelling up the norms and standards of Australia’s transport project preparation in PNG to align with international lender standards.</w:t>
      </w:r>
    </w:p>
    <w:p w14:paraId="7ECFB367" w14:textId="7785D4DB" w:rsidR="00F82883" w:rsidRPr="00487E1F" w:rsidRDefault="003F3609" w:rsidP="00330945">
      <w:pPr>
        <w:pStyle w:val="BodyText"/>
        <w:spacing w:line="240" w:lineRule="auto"/>
        <w:rPr>
          <w:szCs w:val="20"/>
        </w:rPr>
      </w:pPr>
      <w:r w:rsidRPr="003F3609">
        <w:rPr>
          <w:szCs w:val="20"/>
        </w:rPr>
        <w:t xml:space="preserve">Most stakeholders consulted noted that </w:t>
      </w:r>
      <w:r w:rsidR="008463E7">
        <w:rPr>
          <w:szCs w:val="20"/>
        </w:rPr>
        <w:t xml:space="preserve">where possible, </w:t>
      </w:r>
      <w:r w:rsidRPr="003F3609">
        <w:rPr>
          <w:szCs w:val="20"/>
        </w:rPr>
        <w:t xml:space="preserve">AIFFP and TSSP2 should work together to leverage the goodwill that TSSP2 has fostered with local agencies over the past decade. This </w:t>
      </w:r>
      <w:r w:rsidR="006C0624">
        <w:rPr>
          <w:szCs w:val="20"/>
        </w:rPr>
        <w:t xml:space="preserve">goodwill </w:t>
      </w:r>
      <w:r w:rsidR="002632A0">
        <w:rPr>
          <w:szCs w:val="20"/>
        </w:rPr>
        <w:t xml:space="preserve">between TSSP2 and the GoPNG transport </w:t>
      </w:r>
      <w:r w:rsidR="00AE3E35">
        <w:rPr>
          <w:szCs w:val="20"/>
        </w:rPr>
        <w:t xml:space="preserve">agencies </w:t>
      </w:r>
      <w:r w:rsidRPr="003F3609">
        <w:rPr>
          <w:szCs w:val="20"/>
        </w:rPr>
        <w:t>is valuable as it will</w:t>
      </w:r>
      <w:r w:rsidR="00AE3E35">
        <w:rPr>
          <w:szCs w:val="20"/>
        </w:rPr>
        <w:t xml:space="preserve"> </w:t>
      </w:r>
      <w:r w:rsidR="00CF7E6C">
        <w:rPr>
          <w:szCs w:val="20"/>
        </w:rPr>
        <w:t>expedite a more</w:t>
      </w:r>
      <w:r w:rsidRPr="003F3609">
        <w:rPr>
          <w:szCs w:val="20"/>
        </w:rPr>
        <w:t xml:space="preserve"> seamless implementation of AIFFP</w:t>
      </w:r>
      <w:r w:rsidR="00FF5159">
        <w:rPr>
          <w:szCs w:val="20"/>
        </w:rPr>
        <w:t>-</w:t>
      </w:r>
      <w:r w:rsidRPr="003F3609">
        <w:rPr>
          <w:szCs w:val="20"/>
        </w:rPr>
        <w:t xml:space="preserve">financed projects to </w:t>
      </w:r>
      <w:r w:rsidR="00FF5159">
        <w:rPr>
          <w:szCs w:val="20"/>
        </w:rPr>
        <w:t xml:space="preserve">meet </w:t>
      </w:r>
      <w:r w:rsidRPr="003F3609">
        <w:rPr>
          <w:szCs w:val="20"/>
        </w:rPr>
        <w:t xml:space="preserve">stakeholder expectations. </w:t>
      </w:r>
    </w:p>
    <w:p w14:paraId="4198F2DE" w14:textId="50E27E39" w:rsidR="00F57DBE" w:rsidRPr="005744BD" w:rsidRDefault="00375DFA" w:rsidP="00330945">
      <w:pPr>
        <w:pStyle w:val="Heading3"/>
        <w:spacing w:line="240" w:lineRule="auto"/>
        <w:rPr>
          <w:rFonts w:ascii="Franklin Gothic Book" w:hAnsi="Franklin Gothic Book"/>
          <w:b/>
          <w:bCs w:val="0"/>
          <w:szCs w:val="20"/>
        </w:rPr>
      </w:pPr>
      <w:r w:rsidRPr="005744BD">
        <w:rPr>
          <w:rFonts w:ascii="Franklin Gothic Book" w:hAnsi="Franklin Gothic Book"/>
          <w:b/>
          <w:bCs w:val="0"/>
          <w:noProof/>
          <w:szCs w:val="20"/>
        </w:rPr>
        <w:drawing>
          <wp:anchor distT="0" distB="0" distL="114300" distR="114300" simplePos="0" relativeHeight="251658245" behindDoc="0" locked="0" layoutInCell="1" allowOverlap="1" wp14:anchorId="1C1142AD" wp14:editId="69902BF2">
            <wp:simplePos x="0" y="0"/>
            <wp:positionH relativeFrom="column">
              <wp:posOffset>-406400</wp:posOffset>
            </wp:positionH>
            <wp:positionV relativeFrom="paragraph">
              <wp:posOffset>65405</wp:posOffset>
            </wp:positionV>
            <wp:extent cx="280035" cy="275590"/>
            <wp:effectExtent l="0" t="0" r="5715"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4"/>
                    <a:stretch>
                      <a:fillRect/>
                    </a:stretch>
                  </pic:blipFill>
                  <pic:spPr>
                    <a:xfrm>
                      <a:off x="0" y="0"/>
                      <a:ext cx="280035" cy="275590"/>
                    </a:xfrm>
                    <a:prstGeom prst="rect">
                      <a:avLst/>
                    </a:prstGeom>
                  </pic:spPr>
                </pic:pic>
              </a:graphicData>
            </a:graphic>
            <wp14:sizeRelH relativeFrom="margin">
              <wp14:pctWidth>0</wp14:pctWidth>
            </wp14:sizeRelH>
            <wp14:sizeRelV relativeFrom="margin">
              <wp14:pctHeight>0</wp14:pctHeight>
            </wp14:sizeRelV>
          </wp:anchor>
        </w:drawing>
      </w:r>
      <w:r w:rsidR="00F57DBE" w:rsidRPr="005744BD">
        <w:rPr>
          <w:rFonts w:ascii="Franklin Gothic Book" w:hAnsi="Franklin Gothic Book"/>
          <w:b/>
          <w:bCs w:val="0"/>
          <w:szCs w:val="20"/>
        </w:rPr>
        <w:t>TSSP2 and cross</w:t>
      </w:r>
      <w:r w:rsidR="00830CA9" w:rsidRPr="005744BD">
        <w:rPr>
          <w:rFonts w:ascii="Franklin Gothic Book" w:hAnsi="Franklin Gothic Book"/>
          <w:b/>
          <w:bCs w:val="0"/>
          <w:szCs w:val="20"/>
        </w:rPr>
        <w:t xml:space="preserve">-cutting issues </w:t>
      </w:r>
    </w:p>
    <w:p w14:paraId="0BCB6359" w14:textId="4F59802D" w:rsidR="00893F4C" w:rsidRPr="00F11A24" w:rsidRDefault="00830CA9" w:rsidP="00330945">
      <w:pPr>
        <w:pStyle w:val="BodyText"/>
        <w:spacing w:line="240" w:lineRule="auto"/>
        <w:rPr>
          <w:szCs w:val="20"/>
        </w:rPr>
      </w:pPr>
      <w:r w:rsidRPr="00F11A24">
        <w:rPr>
          <w:szCs w:val="20"/>
          <w:lang w:val="en-US"/>
        </w:rPr>
        <w:t xml:space="preserve">There is a concerted </w:t>
      </w:r>
      <w:r w:rsidRPr="00F11A24">
        <w:rPr>
          <w:szCs w:val="20"/>
        </w:rPr>
        <w:t xml:space="preserve">effort by TSSP2 to strengthen and mainstream </w:t>
      </w:r>
      <w:r w:rsidR="00D87D58">
        <w:rPr>
          <w:szCs w:val="20"/>
        </w:rPr>
        <w:t>GEDSI</w:t>
      </w:r>
      <w:r w:rsidRPr="00F11A24">
        <w:rPr>
          <w:szCs w:val="20"/>
        </w:rPr>
        <w:t xml:space="preserve"> across TSSP2 and the GoPNG transport agencies’ programming and operations.</w:t>
      </w:r>
      <w:r w:rsidR="00F810EF">
        <w:rPr>
          <w:szCs w:val="20"/>
        </w:rPr>
        <w:t xml:space="preserve"> TSSP2 has played </w:t>
      </w:r>
      <w:r w:rsidR="00062AE7">
        <w:rPr>
          <w:szCs w:val="20"/>
        </w:rPr>
        <w:t xml:space="preserve">a </w:t>
      </w:r>
      <w:r w:rsidR="000550FC" w:rsidRPr="000550FC">
        <w:rPr>
          <w:szCs w:val="20"/>
        </w:rPr>
        <w:t xml:space="preserve">key role in mainstreaming </w:t>
      </w:r>
      <w:r w:rsidR="00D87D58">
        <w:rPr>
          <w:szCs w:val="20"/>
        </w:rPr>
        <w:t>GEDSI</w:t>
      </w:r>
      <w:r w:rsidR="000550FC" w:rsidRPr="000550FC">
        <w:rPr>
          <w:szCs w:val="20"/>
        </w:rPr>
        <w:t xml:space="preserve"> values and principles to support transport sector agencies including </w:t>
      </w:r>
      <w:r w:rsidR="00FF5159">
        <w:rPr>
          <w:szCs w:val="20"/>
        </w:rPr>
        <w:t xml:space="preserve">the </w:t>
      </w:r>
      <w:r w:rsidR="00FF5159" w:rsidRPr="004C2507">
        <w:rPr>
          <w:color w:val="000000" w:themeColor="text1"/>
          <w:lang w:val="en-US"/>
        </w:rPr>
        <w:t>Department of Works</w:t>
      </w:r>
      <w:r w:rsidR="00FF5159" w:rsidRPr="000550FC">
        <w:rPr>
          <w:szCs w:val="20"/>
        </w:rPr>
        <w:t xml:space="preserve"> </w:t>
      </w:r>
      <w:r w:rsidR="00FF5159">
        <w:rPr>
          <w:szCs w:val="20"/>
        </w:rPr>
        <w:t>(</w:t>
      </w:r>
      <w:r w:rsidR="000550FC" w:rsidRPr="000550FC">
        <w:rPr>
          <w:szCs w:val="20"/>
        </w:rPr>
        <w:t>DoW</w:t>
      </w:r>
      <w:r w:rsidR="00FF5159">
        <w:rPr>
          <w:szCs w:val="20"/>
        </w:rPr>
        <w:t>)</w:t>
      </w:r>
      <w:r w:rsidR="000550FC" w:rsidRPr="000550FC">
        <w:rPr>
          <w:szCs w:val="20"/>
        </w:rPr>
        <w:t xml:space="preserve"> and </w:t>
      </w:r>
      <w:r w:rsidR="00FF5159">
        <w:rPr>
          <w:szCs w:val="20"/>
        </w:rPr>
        <w:t>the Department of Transport (</w:t>
      </w:r>
      <w:r w:rsidR="000550FC" w:rsidRPr="000550FC">
        <w:rPr>
          <w:szCs w:val="20"/>
        </w:rPr>
        <w:t>DoT</w:t>
      </w:r>
      <w:r w:rsidR="00FF5159">
        <w:rPr>
          <w:szCs w:val="20"/>
        </w:rPr>
        <w:t>)</w:t>
      </w:r>
      <w:r w:rsidR="000550FC" w:rsidRPr="000550FC">
        <w:rPr>
          <w:szCs w:val="20"/>
        </w:rPr>
        <w:t xml:space="preserve"> in aligning their social inclusion policies, resources and systems.</w:t>
      </w:r>
    </w:p>
    <w:p w14:paraId="25E4DC10" w14:textId="679D90E6" w:rsidR="00632620" w:rsidRPr="004C2507" w:rsidRDefault="000550FC" w:rsidP="00330945">
      <w:pPr>
        <w:pStyle w:val="BodyText"/>
        <w:spacing w:line="240" w:lineRule="auto"/>
      </w:pPr>
      <w:r>
        <w:t xml:space="preserve">The </w:t>
      </w:r>
      <w:r w:rsidR="00632620" w:rsidRPr="004C2507">
        <w:t>TSSP2 M</w:t>
      </w:r>
      <w:r w:rsidR="00CC4C34">
        <w:t xml:space="preserve">onitoring, </w:t>
      </w:r>
      <w:r w:rsidR="00632620" w:rsidRPr="004C2507">
        <w:t>E</w:t>
      </w:r>
      <w:r w:rsidR="00CC4C34">
        <w:t xml:space="preserve">valuation </w:t>
      </w:r>
      <w:r w:rsidR="00A6785E">
        <w:t xml:space="preserve">and </w:t>
      </w:r>
      <w:r w:rsidR="00632620" w:rsidRPr="004C2507">
        <w:t>L</w:t>
      </w:r>
      <w:r w:rsidR="00CC4C34">
        <w:t>earning (MEL)</w:t>
      </w:r>
      <w:r w:rsidR="00632620" w:rsidRPr="004C2507">
        <w:t xml:space="preserve"> function is well resourced and capable to advance the Program’s reporting, learning, and accountability mandate. TSSP2 MEL is guided by the TSSP2 MEL Plan (MELP) that was revised and updated in 2019. The MELP articulates the Program Logic, the EOPOs, the Performance Assessment Framework as well as the program’s learning agenda, research, and implementation arrangements.</w:t>
      </w:r>
    </w:p>
    <w:p w14:paraId="2000D8C6" w14:textId="3CCCB222" w:rsidR="00372535" w:rsidRDefault="00372535" w:rsidP="00330945">
      <w:pPr>
        <w:pStyle w:val="BodyText"/>
        <w:spacing w:line="240" w:lineRule="auto"/>
        <w:rPr>
          <w:lang w:val="en-US"/>
        </w:rPr>
      </w:pPr>
      <w:r w:rsidRPr="004C2507">
        <w:t>Program reporting and TSSP2 staff confirm</w:t>
      </w:r>
      <w:r w:rsidR="00FF5159">
        <w:t xml:space="preserve">ed </w:t>
      </w:r>
      <w:r w:rsidRPr="004C2507">
        <w:t xml:space="preserve">that TSSP2 has adequate systems in place for risk management. The </w:t>
      </w:r>
      <w:r w:rsidR="00565B87">
        <w:t>P</w:t>
      </w:r>
      <w:r w:rsidRPr="004C2507">
        <w:t>rogram maintains a</w:t>
      </w:r>
      <w:r w:rsidRPr="00372535">
        <w:rPr>
          <w:lang w:val="en-US"/>
        </w:rPr>
        <w:t xml:space="preserve"> risk matrix that guides program implementation. The Program also updates its Risk Management Plan as part of its annual work planning. </w:t>
      </w:r>
    </w:p>
    <w:p w14:paraId="543B3750" w14:textId="19892A4C" w:rsidR="000E4097" w:rsidRDefault="00007B27" w:rsidP="00972332">
      <w:pPr>
        <w:pStyle w:val="BodyText"/>
        <w:spacing w:line="240" w:lineRule="auto"/>
        <w:rPr>
          <w:rFonts w:ascii="Franklin Gothic Demi" w:hAnsi="Franklin Gothic Demi"/>
          <w:bCs/>
          <w:color w:val="5482AB"/>
          <w:sz w:val="24"/>
          <w:szCs w:val="24"/>
          <w:lang w:val="en-US"/>
        </w:rPr>
      </w:pPr>
      <w:r w:rsidRPr="00007B27">
        <w:rPr>
          <w:lang w:val="en-US"/>
        </w:rPr>
        <w:t>TSSP2 has developed an Environmental Safeguards and Climate Change and Disaster Resilience Strategy</w:t>
      </w:r>
      <w:r>
        <w:rPr>
          <w:lang w:val="en-US"/>
        </w:rPr>
        <w:t xml:space="preserve"> </w:t>
      </w:r>
      <w:r w:rsidRPr="00007B27">
        <w:rPr>
          <w:lang w:val="en-US"/>
        </w:rPr>
        <w:t>2020-2022, in consultation with relevant GoPNG agencies and in partnership with the Australia Pacific Climate Partnership</w:t>
      </w:r>
      <w:r w:rsidR="00FB49C2">
        <w:rPr>
          <w:lang w:val="en-US"/>
        </w:rPr>
        <w:t xml:space="preserve"> which is yet to be fully implemented.</w:t>
      </w:r>
    </w:p>
    <w:p w14:paraId="4F4701DD" w14:textId="6FB37FD0" w:rsidR="00532236" w:rsidRPr="004C2507" w:rsidRDefault="00532236" w:rsidP="004C2507">
      <w:pPr>
        <w:pStyle w:val="Heading2"/>
        <w:numPr>
          <w:ilvl w:val="0"/>
          <w:numId w:val="0"/>
        </w:numPr>
        <w:ind w:left="576" w:hanging="576"/>
      </w:pPr>
      <w:bookmarkStart w:id="7" w:name="_Toc99121770"/>
      <w:r>
        <w:lastRenderedPageBreak/>
        <w:t>Summary of recommendations</w:t>
      </w:r>
      <w:bookmarkEnd w:id="7"/>
      <w:r>
        <w:t xml:space="preserve"> </w:t>
      </w:r>
    </w:p>
    <w:p w14:paraId="5BC456EE" w14:textId="3C6FEDBA" w:rsidR="00001423" w:rsidRPr="008226D1" w:rsidRDefault="000813DD" w:rsidP="0055789E">
      <w:pPr>
        <w:pStyle w:val="BodyText"/>
        <w:rPr>
          <w:sz w:val="18"/>
          <w:szCs w:val="18"/>
          <w:lang w:val="en-US"/>
        </w:rPr>
      </w:pPr>
      <w:r w:rsidRPr="008226D1">
        <w:rPr>
          <w:sz w:val="18"/>
          <w:szCs w:val="18"/>
          <w:lang w:val="en-US"/>
        </w:rPr>
        <w:t xml:space="preserve">The findings </w:t>
      </w:r>
      <w:r w:rsidR="003B2326">
        <w:rPr>
          <w:sz w:val="18"/>
          <w:szCs w:val="18"/>
          <w:lang w:val="en-US"/>
        </w:rPr>
        <w:t>from</w:t>
      </w:r>
      <w:r w:rsidRPr="008226D1">
        <w:rPr>
          <w:sz w:val="18"/>
          <w:szCs w:val="18"/>
          <w:lang w:val="en-US"/>
        </w:rPr>
        <w:t xml:space="preserve"> this Review informed the following recommendations for DFAT, TSSP</w:t>
      </w:r>
      <w:r w:rsidR="008226D1" w:rsidRPr="008226D1">
        <w:rPr>
          <w:sz w:val="18"/>
          <w:szCs w:val="18"/>
          <w:lang w:val="en-US"/>
        </w:rPr>
        <w:t>2 and</w:t>
      </w:r>
      <w:r w:rsidRPr="008226D1">
        <w:rPr>
          <w:sz w:val="18"/>
          <w:szCs w:val="18"/>
          <w:lang w:val="en-US"/>
        </w:rPr>
        <w:t xml:space="preserve"> the GoPNG transport sector agencies:</w:t>
      </w:r>
    </w:p>
    <w:tbl>
      <w:tblPr>
        <w:tblStyle w:val="TableGrid"/>
        <w:tblW w:w="11341" w:type="dxa"/>
        <w:tblInd w:w="-993" w:type="dxa"/>
        <w:tblLook w:val="04A0" w:firstRow="1" w:lastRow="0" w:firstColumn="1" w:lastColumn="0" w:noHBand="0" w:noVBand="1"/>
      </w:tblPr>
      <w:tblGrid>
        <w:gridCol w:w="1892"/>
        <w:gridCol w:w="9449"/>
      </w:tblGrid>
      <w:tr w:rsidR="00046A29" w:rsidRPr="004C2507" w14:paraId="115E69E4" w14:textId="77777777" w:rsidTr="00215D89">
        <w:tc>
          <w:tcPr>
            <w:tcW w:w="1892" w:type="dxa"/>
            <w:tcBorders>
              <w:top w:val="nil"/>
              <w:left w:val="nil"/>
              <w:bottom w:val="nil"/>
              <w:right w:val="nil"/>
            </w:tcBorders>
          </w:tcPr>
          <w:p w14:paraId="2F6E88F1" w14:textId="603CBC09" w:rsidR="00046A29" w:rsidRPr="00215D89" w:rsidRDefault="00F03B1D" w:rsidP="00B81130">
            <w:pPr>
              <w:pStyle w:val="BodyText"/>
              <w:spacing w:before="60" w:after="60"/>
              <w:jc w:val="right"/>
              <w:rPr>
                <w:rFonts w:ascii="Franklin Gothic Demi" w:hAnsi="Franklin Gothic Demi" w:cs="Arial"/>
                <w:color w:val="003478"/>
                <w:sz w:val="22"/>
                <w:szCs w:val="22"/>
              </w:rPr>
            </w:pPr>
            <w:r w:rsidRPr="00215D89">
              <w:rPr>
                <w:rFonts w:ascii="Franklin Gothic Demi" w:hAnsi="Franklin Gothic Demi" w:cs="Arial"/>
                <w:color w:val="8B7341" w:themeColor="accent5"/>
                <w:sz w:val="22"/>
                <w:szCs w:val="22"/>
              </w:rPr>
              <w:t xml:space="preserve">Program </w:t>
            </w:r>
            <w:r w:rsidR="00215D89" w:rsidRPr="00215D89">
              <w:rPr>
                <w:rFonts w:ascii="Franklin Gothic Demi" w:hAnsi="Franklin Gothic Demi" w:cs="Arial"/>
                <w:color w:val="8B7341" w:themeColor="accent5"/>
                <w:sz w:val="22"/>
                <w:szCs w:val="22"/>
              </w:rPr>
              <w:br/>
            </w:r>
            <w:r w:rsidRPr="00215D89">
              <w:rPr>
                <w:rFonts w:ascii="Franklin Gothic Demi" w:hAnsi="Franklin Gothic Demi" w:cs="Arial"/>
                <w:color w:val="8B7341" w:themeColor="accent5"/>
                <w:sz w:val="22"/>
                <w:szCs w:val="22"/>
              </w:rPr>
              <w:t xml:space="preserve">design </w:t>
            </w:r>
          </w:p>
        </w:tc>
        <w:tc>
          <w:tcPr>
            <w:tcW w:w="9449" w:type="dxa"/>
            <w:tcBorders>
              <w:top w:val="nil"/>
              <w:left w:val="nil"/>
              <w:bottom w:val="nil"/>
              <w:right w:val="nil"/>
            </w:tcBorders>
          </w:tcPr>
          <w:p w14:paraId="1BA38ECF" w14:textId="7D1D3A80" w:rsidR="00046A29" w:rsidRPr="00C2047E" w:rsidRDefault="00046A29" w:rsidP="00B81130">
            <w:pPr>
              <w:pStyle w:val="BodyText"/>
              <w:spacing w:before="60" w:after="60"/>
              <w:rPr>
                <w:rFonts w:cs="Arial"/>
                <w:spacing w:val="-2"/>
                <w:sz w:val="18"/>
                <w:szCs w:val="18"/>
              </w:rPr>
            </w:pPr>
            <w:r w:rsidRPr="00C2047E">
              <w:rPr>
                <w:rFonts w:ascii="Franklin Gothic Demi" w:hAnsi="Franklin Gothic Demi" w:cs="Arial"/>
                <w:color w:val="4C7B9E" w:themeColor="accent2"/>
                <w:spacing w:val="-2"/>
                <w:sz w:val="18"/>
                <w:szCs w:val="18"/>
              </w:rPr>
              <w:t>Recommendation 1:</w:t>
            </w:r>
            <w:r w:rsidRPr="00C2047E">
              <w:rPr>
                <w:rFonts w:cs="Arial"/>
                <w:color w:val="4C7B9E" w:themeColor="accent2"/>
                <w:spacing w:val="-2"/>
                <w:sz w:val="18"/>
                <w:szCs w:val="18"/>
              </w:rPr>
              <w:t xml:space="preserve"> </w:t>
            </w:r>
            <w:r w:rsidRPr="00C2047E">
              <w:rPr>
                <w:rFonts w:cs="Arial"/>
                <w:spacing w:val="-2"/>
                <w:sz w:val="18"/>
                <w:szCs w:val="18"/>
              </w:rPr>
              <w:t xml:space="preserve">For </w:t>
            </w:r>
            <w:r w:rsidR="003B2326" w:rsidRPr="00C2047E">
              <w:rPr>
                <w:rFonts w:cs="Arial"/>
                <w:spacing w:val="-2"/>
                <w:sz w:val="18"/>
                <w:szCs w:val="18"/>
              </w:rPr>
              <w:t xml:space="preserve">the </w:t>
            </w:r>
            <w:r w:rsidRPr="00C2047E">
              <w:rPr>
                <w:rFonts w:cs="Arial"/>
                <w:spacing w:val="-2"/>
                <w:sz w:val="18"/>
                <w:szCs w:val="18"/>
              </w:rPr>
              <w:t xml:space="preserve">TSSP3 design, DFAT and the </w:t>
            </w:r>
            <w:r w:rsidR="003B2326" w:rsidRPr="00C2047E">
              <w:rPr>
                <w:rFonts w:cs="Arial"/>
                <w:spacing w:val="-2"/>
                <w:sz w:val="18"/>
                <w:szCs w:val="18"/>
              </w:rPr>
              <w:t>P</w:t>
            </w:r>
            <w:r w:rsidRPr="00C2047E">
              <w:rPr>
                <w:rFonts w:cs="Arial"/>
                <w:spacing w:val="-2"/>
                <w:sz w:val="18"/>
                <w:szCs w:val="18"/>
              </w:rPr>
              <w:t xml:space="preserve">rogram should work together to refresh the </w:t>
            </w:r>
            <w:r w:rsidR="003B2326" w:rsidRPr="00C2047E">
              <w:rPr>
                <w:rFonts w:cs="Arial"/>
                <w:spacing w:val="-2"/>
                <w:sz w:val="18"/>
                <w:szCs w:val="18"/>
              </w:rPr>
              <w:t>P</w:t>
            </w:r>
            <w:r w:rsidRPr="00C2047E">
              <w:rPr>
                <w:rFonts w:cs="Arial"/>
                <w:spacing w:val="-2"/>
                <w:sz w:val="18"/>
                <w:szCs w:val="18"/>
              </w:rPr>
              <w:t xml:space="preserve">rogram’s outcomes and logic. This is an opportunity to reposition the </w:t>
            </w:r>
            <w:r w:rsidR="003B2326" w:rsidRPr="00C2047E">
              <w:rPr>
                <w:rFonts w:cs="Arial"/>
                <w:spacing w:val="-2"/>
                <w:sz w:val="18"/>
                <w:szCs w:val="18"/>
              </w:rPr>
              <w:t>P</w:t>
            </w:r>
            <w:r w:rsidRPr="00C2047E">
              <w:rPr>
                <w:rFonts w:cs="Arial"/>
                <w:spacing w:val="-2"/>
                <w:sz w:val="18"/>
                <w:szCs w:val="18"/>
              </w:rPr>
              <w:t xml:space="preserve">rogram in an evolving local and regional context and to consider priorities and collaborations </w:t>
            </w:r>
            <w:r w:rsidR="003B2326" w:rsidRPr="00C2047E">
              <w:rPr>
                <w:rFonts w:cs="Arial"/>
                <w:spacing w:val="-2"/>
                <w:sz w:val="18"/>
                <w:szCs w:val="18"/>
              </w:rPr>
              <w:t>with</w:t>
            </w:r>
            <w:r w:rsidRPr="00C2047E">
              <w:rPr>
                <w:rFonts w:cs="Arial"/>
                <w:spacing w:val="-2"/>
                <w:sz w:val="18"/>
                <w:szCs w:val="18"/>
              </w:rPr>
              <w:t xml:space="preserve"> other transport sectors. A refreshed program logic should pay attention to reviewing </w:t>
            </w:r>
            <w:r w:rsidR="003B2326" w:rsidRPr="00C2047E">
              <w:rPr>
                <w:rFonts w:cs="Arial"/>
                <w:spacing w:val="-2"/>
                <w:sz w:val="18"/>
                <w:szCs w:val="18"/>
              </w:rPr>
              <w:t xml:space="preserve">the </w:t>
            </w:r>
            <w:r w:rsidRPr="00C2047E">
              <w:rPr>
                <w:rFonts w:cs="Arial"/>
                <w:spacing w:val="-2"/>
                <w:sz w:val="18"/>
                <w:szCs w:val="18"/>
              </w:rPr>
              <w:t xml:space="preserve">EOPOs to </w:t>
            </w:r>
            <w:r w:rsidR="00ED6E7C">
              <w:rPr>
                <w:rFonts w:cs="Arial"/>
                <w:spacing w:val="-2"/>
                <w:sz w:val="18"/>
                <w:szCs w:val="18"/>
              </w:rPr>
              <w:t xml:space="preserve">help </w:t>
            </w:r>
            <w:r w:rsidRPr="00C2047E">
              <w:rPr>
                <w:rFonts w:cs="Arial"/>
                <w:spacing w:val="-2"/>
                <w:sz w:val="18"/>
                <w:szCs w:val="18"/>
              </w:rPr>
              <w:t xml:space="preserve">ensure pathways of change are clear, realistic </w:t>
            </w:r>
            <w:r w:rsidR="005847C2" w:rsidRPr="00C2047E">
              <w:rPr>
                <w:rFonts w:cs="Arial"/>
                <w:spacing w:val="-2"/>
                <w:sz w:val="18"/>
                <w:szCs w:val="18"/>
              </w:rPr>
              <w:t xml:space="preserve">and measurable. </w:t>
            </w:r>
            <w:r w:rsidRPr="00C2047E">
              <w:rPr>
                <w:rFonts w:cs="Arial"/>
                <w:spacing w:val="-2"/>
                <w:sz w:val="18"/>
                <w:szCs w:val="18"/>
              </w:rPr>
              <w:t xml:space="preserve">As much as possible, new EOPOs should be aligned to the </w:t>
            </w:r>
            <w:r w:rsidR="00B27124" w:rsidRPr="00C2047E">
              <w:rPr>
                <w:rFonts w:cs="Arial"/>
                <w:spacing w:val="-2"/>
                <w:sz w:val="18"/>
                <w:szCs w:val="18"/>
              </w:rPr>
              <w:t>departments</w:t>
            </w:r>
            <w:r w:rsidRPr="00C2047E">
              <w:rPr>
                <w:rFonts w:cs="Arial"/>
                <w:spacing w:val="-2"/>
                <w:sz w:val="18"/>
                <w:szCs w:val="18"/>
              </w:rPr>
              <w:t xml:space="preserve"> and agencies’ expected outcomes and should mainstream gender and social safeguards across all the outcome areas.</w:t>
            </w:r>
          </w:p>
          <w:p w14:paraId="6CAA526B" w14:textId="37970EE5" w:rsidR="00046A29" w:rsidRPr="00C2047E" w:rsidRDefault="00046A29" w:rsidP="00B81130">
            <w:pPr>
              <w:pStyle w:val="BodyText"/>
              <w:spacing w:before="60" w:after="60"/>
              <w:rPr>
                <w:rFonts w:cs="Arial"/>
                <w:sz w:val="18"/>
                <w:szCs w:val="18"/>
              </w:rPr>
            </w:pPr>
            <w:r w:rsidRPr="00C2047E">
              <w:rPr>
                <w:rFonts w:ascii="Franklin Gothic Demi" w:hAnsi="Franklin Gothic Demi" w:cs="Arial"/>
                <w:color w:val="4C7B9E" w:themeColor="accent2"/>
                <w:sz w:val="18"/>
                <w:szCs w:val="18"/>
              </w:rPr>
              <w:t>Recommendation 2:</w:t>
            </w:r>
            <w:r w:rsidRPr="00C2047E">
              <w:rPr>
                <w:rFonts w:cs="Arial"/>
                <w:color w:val="4C7B9E" w:themeColor="accent2"/>
                <w:sz w:val="18"/>
                <w:szCs w:val="18"/>
              </w:rPr>
              <w:t xml:space="preserve"> </w:t>
            </w:r>
            <w:r w:rsidRPr="00C2047E">
              <w:rPr>
                <w:rFonts w:cs="Arial"/>
                <w:sz w:val="18"/>
                <w:szCs w:val="18"/>
              </w:rPr>
              <w:t xml:space="preserve">Future designs should include cross-cutting issues of </w:t>
            </w:r>
            <w:r w:rsidR="00D87D58">
              <w:rPr>
                <w:rFonts w:cs="Arial"/>
                <w:sz w:val="18"/>
                <w:szCs w:val="18"/>
              </w:rPr>
              <w:t>GEDSI</w:t>
            </w:r>
            <w:r w:rsidRPr="00C2047E">
              <w:rPr>
                <w:rFonts w:cs="Arial"/>
                <w:sz w:val="18"/>
                <w:szCs w:val="18"/>
              </w:rPr>
              <w:t xml:space="preserve">, MEL, risk management and environmental and social safeguards and </w:t>
            </w:r>
            <w:r w:rsidR="00B27124" w:rsidRPr="00C2047E">
              <w:rPr>
                <w:rFonts w:cs="Arial"/>
                <w:sz w:val="18"/>
                <w:szCs w:val="18"/>
              </w:rPr>
              <w:t>articulate</w:t>
            </w:r>
            <w:r w:rsidRPr="00C2047E">
              <w:rPr>
                <w:rFonts w:cs="Arial"/>
                <w:sz w:val="18"/>
                <w:szCs w:val="18"/>
              </w:rPr>
              <w:t xml:space="preserve"> how they will be resourced, implemented and measured across the life of the Program</w:t>
            </w:r>
            <w:r w:rsidR="006953FC" w:rsidRPr="00C2047E">
              <w:rPr>
                <w:rFonts w:cs="Arial"/>
                <w:sz w:val="18"/>
                <w:szCs w:val="18"/>
              </w:rPr>
              <w:t>.</w:t>
            </w:r>
          </w:p>
          <w:p w14:paraId="5D28CE0D" w14:textId="7464FF16" w:rsidR="00046A29" w:rsidRPr="00C2047E" w:rsidRDefault="00046A29" w:rsidP="00B81130">
            <w:pPr>
              <w:pStyle w:val="BodyText"/>
              <w:spacing w:before="60" w:after="60"/>
              <w:rPr>
                <w:rFonts w:cs="Arial"/>
                <w:sz w:val="18"/>
                <w:szCs w:val="18"/>
              </w:rPr>
            </w:pPr>
            <w:r w:rsidRPr="00C2047E">
              <w:rPr>
                <w:rFonts w:ascii="Franklin Gothic Demi" w:hAnsi="Franklin Gothic Demi" w:cs="Arial"/>
                <w:color w:val="4C7B9E" w:themeColor="accent2"/>
                <w:sz w:val="18"/>
                <w:szCs w:val="18"/>
              </w:rPr>
              <w:t>Recommendation 3:</w:t>
            </w:r>
            <w:r w:rsidRPr="00C2047E">
              <w:rPr>
                <w:rFonts w:cs="Arial"/>
                <w:color w:val="4C7B9E" w:themeColor="accent2"/>
                <w:sz w:val="18"/>
                <w:szCs w:val="18"/>
              </w:rPr>
              <w:t xml:space="preserve"> </w:t>
            </w:r>
            <w:r w:rsidRPr="00C2047E">
              <w:rPr>
                <w:rFonts w:cs="Arial"/>
                <w:sz w:val="18"/>
                <w:szCs w:val="18"/>
              </w:rPr>
              <w:t xml:space="preserve">With the new PNG Road Fund, </w:t>
            </w:r>
            <w:r w:rsidR="00B27124" w:rsidRPr="00C2047E">
              <w:rPr>
                <w:rFonts w:cs="Arial"/>
                <w:sz w:val="18"/>
                <w:szCs w:val="18"/>
              </w:rPr>
              <w:t xml:space="preserve">the </w:t>
            </w:r>
            <w:r w:rsidRPr="00C2047E">
              <w:rPr>
                <w:rFonts w:cs="Arial"/>
                <w:sz w:val="18"/>
                <w:szCs w:val="18"/>
              </w:rPr>
              <w:t xml:space="preserve">TSSP3 design should explore how funding for road maintenance will be supported </w:t>
            </w:r>
            <w:r w:rsidR="00C54EB8" w:rsidRPr="00C2047E">
              <w:rPr>
                <w:rFonts w:cs="Arial"/>
                <w:sz w:val="18"/>
                <w:szCs w:val="18"/>
              </w:rPr>
              <w:t xml:space="preserve">by GoPNG </w:t>
            </w:r>
            <w:r w:rsidRPr="00C2047E">
              <w:rPr>
                <w:rFonts w:cs="Arial"/>
                <w:sz w:val="18"/>
                <w:szCs w:val="18"/>
              </w:rPr>
              <w:t>under this new institutional arrangement.</w:t>
            </w:r>
          </w:p>
          <w:p w14:paraId="0175BA3E" w14:textId="62007F64" w:rsidR="00046A29" w:rsidRPr="00F54176" w:rsidRDefault="00046A29" w:rsidP="00B81130">
            <w:pPr>
              <w:pStyle w:val="BodyText"/>
              <w:spacing w:before="60" w:after="60"/>
              <w:rPr>
                <w:rFonts w:cs="Arial"/>
                <w:sz w:val="18"/>
                <w:szCs w:val="18"/>
              </w:rPr>
            </w:pPr>
            <w:r w:rsidRPr="00C2047E">
              <w:rPr>
                <w:rFonts w:ascii="Franklin Gothic Demi" w:hAnsi="Franklin Gothic Demi" w:cs="Arial"/>
                <w:color w:val="4C7B9E" w:themeColor="accent2"/>
                <w:sz w:val="18"/>
                <w:szCs w:val="18"/>
              </w:rPr>
              <w:t>Recommendation 4:</w:t>
            </w:r>
            <w:r w:rsidRPr="00C2047E">
              <w:rPr>
                <w:rFonts w:cs="Arial"/>
                <w:color w:val="4C7B9E" w:themeColor="accent2"/>
                <w:sz w:val="18"/>
                <w:szCs w:val="18"/>
              </w:rPr>
              <w:t xml:space="preserve"> </w:t>
            </w:r>
            <w:r w:rsidR="00B27124" w:rsidRPr="00C2047E">
              <w:rPr>
                <w:rFonts w:cs="Arial"/>
                <w:sz w:val="18"/>
                <w:szCs w:val="18"/>
              </w:rPr>
              <w:t xml:space="preserve">The </w:t>
            </w:r>
            <w:r w:rsidRPr="00C2047E">
              <w:rPr>
                <w:rFonts w:cs="Arial"/>
                <w:sz w:val="18"/>
                <w:szCs w:val="18"/>
              </w:rPr>
              <w:t xml:space="preserve">TSSP3 design should consider </w:t>
            </w:r>
            <w:r w:rsidR="008073C2" w:rsidRPr="00C2047E">
              <w:rPr>
                <w:rFonts w:cs="Arial"/>
                <w:sz w:val="18"/>
                <w:szCs w:val="18"/>
              </w:rPr>
              <w:t xml:space="preserve">increasing </w:t>
            </w:r>
            <w:r w:rsidRPr="00C2047E">
              <w:rPr>
                <w:rFonts w:cs="Arial"/>
                <w:sz w:val="18"/>
                <w:szCs w:val="18"/>
              </w:rPr>
              <w:t>funding and support to</w:t>
            </w:r>
            <w:r w:rsidR="00487703">
              <w:rPr>
                <w:rFonts w:cs="Arial"/>
                <w:sz w:val="18"/>
                <w:szCs w:val="18"/>
              </w:rPr>
              <w:t xml:space="preserve"> </w:t>
            </w:r>
            <w:r w:rsidR="0036014D" w:rsidRPr="00C2047E">
              <w:rPr>
                <w:rFonts w:cs="Arial"/>
                <w:sz w:val="18"/>
                <w:szCs w:val="18"/>
              </w:rPr>
              <w:t xml:space="preserve">the </w:t>
            </w:r>
            <w:r w:rsidRPr="00C2047E">
              <w:rPr>
                <w:rFonts w:cs="Arial"/>
                <w:sz w:val="18"/>
                <w:szCs w:val="18"/>
              </w:rPr>
              <w:t xml:space="preserve">maritime </w:t>
            </w:r>
            <w:r w:rsidR="00501AD4" w:rsidRPr="00C2047E">
              <w:rPr>
                <w:rFonts w:cs="Arial"/>
                <w:sz w:val="18"/>
                <w:szCs w:val="18"/>
              </w:rPr>
              <w:t>sector and</w:t>
            </w:r>
            <w:r w:rsidR="0060493F" w:rsidRPr="00C2047E">
              <w:rPr>
                <w:rFonts w:cs="Arial"/>
                <w:sz w:val="18"/>
                <w:szCs w:val="18"/>
              </w:rPr>
              <w:t xml:space="preserve"> explore options for intermodal connectivity with GoPNG’s Connect PNG</w:t>
            </w:r>
            <w:r w:rsidR="000A1D66">
              <w:rPr>
                <w:rFonts w:cs="Arial"/>
                <w:sz w:val="18"/>
                <w:szCs w:val="18"/>
              </w:rPr>
              <w:t xml:space="preserve"> and evolving transport priorities</w:t>
            </w:r>
            <w:r w:rsidR="0060493F" w:rsidRPr="00C2047E">
              <w:rPr>
                <w:rFonts w:cs="Arial"/>
                <w:sz w:val="18"/>
                <w:szCs w:val="18"/>
              </w:rPr>
              <w:t xml:space="preserve">. </w:t>
            </w:r>
            <w:bookmarkStart w:id="8" w:name="_Hlk99098452"/>
            <w:r w:rsidR="001932A4" w:rsidRPr="00C2047E">
              <w:rPr>
                <w:rFonts w:cs="Arial"/>
                <w:sz w:val="18"/>
                <w:szCs w:val="18"/>
              </w:rPr>
              <w:t>From a socio-economi</w:t>
            </w:r>
            <w:r w:rsidR="00862BCD" w:rsidRPr="00C2047E">
              <w:rPr>
                <w:rFonts w:cs="Arial"/>
                <w:sz w:val="18"/>
                <w:szCs w:val="18"/>
              </w:rPr>
              <w:t xml:space="preserve">c perspective, </w:t>
            </w:r>
            <w:r w:rsidR="0074368B" w:rsidRPr="00C2047E">
              <w:rPr>
                <w:rFonts w:cs="Arial"/>
                <w:sz w:val="18"/>
                <w:szCs w:val="18"/>
              </w:rPr>
              <w:t xml:space="preserve">supporting the maritime sector </w:t>
            </w:r>
            <w:r w:rsidR="00F37281" w:rsidRPr="00C2047E">
              <w:rPr>
                <w:rFonts w:cs="Arial"/>
                <w:sz w:val="18"/>
                <w:szCs w:val="18"/>
              </w:rPr>
              <w:t>in PNG</w:t>
            </w:r>
            <w:r w:rsidR="00F13072" w:rsidRPr="00C2047E">
              <w:rPr>
                <w:rFonts w:cs="Arial"/>
                <w:sz w:val="18"/>
                <w:szCs w:val="18"/>
              </w:rPr>
              <w:t xml:space="preserve"> and investments</w:t>
            </w:r>
            <w:r w:rsidR="00F37281" w:rsidRPr="00C2047E">
              <w:rPr>
                <w:rFonts w:cs="Arial"/>
                <w:sz w:val="18"/>
                <w:szCs w:val="18"/>
              </w:rPr>
              <w:t xml:space="preserve"> </w:t>
            </w:r>
            <w:r w:rsidR="0074368B" w:rsidRPr="00C2047E">
              <w:rPr>
                <w:rFonts w:cs="Arial"/>
                <w:sz w:val="18"/>
                <w:szCs w:val="18"/>
              </w:rPr>
              <w:t>beyond road maintenance</w:t>
            </w:r>
            <w:r w:rsidR="00D26F71" w:rsidRPr="00C2047E">
              <w:rPr>
                <w:rFonts w:cs="Arial"/>
                <w:sz w:val="18"/>
                <w:szCs w:val="18"/>
              </w:rPr>
              <w:t xml:space="preserve"> </w:t>
            </w:r>
            <w:r w:rsidR="00DF4B7A" w:rsidRPr="00C2047E">
              <w:rPr>
                <w:rFonts w:cs="Arial"/>
                <w:sz w:val="18"/>
                <w:szCs w:val="18"/>
              </w:rPr>
              <w:t xml:space="preserve">is not only good value for </w:t>
            </w:r>
            <w:r w:rsidR="0000288B" w:rsidRPr="00C2047E">
              <w:rPr>
                <w:rFonts w:cs="Arial"/>
                <w:sz w:val="18"/>
                <w:szCs w:val="18"/>
              </w:rPr>
              <w:t>money for</w:t>
            </w:r>
            <w:r w:rsidR="00CA2228" w:rsidRPr="00C2047E">
              <w:rPr>
                <w:rFonts w:cs="Arial"/>
                <w:sz w:val="18"/>
                <w:szCs w:val="18"/>
              </w:rPr>
              <w:t xml:space="preserve"> DFAT </w:t>
            </w:r>
            <w:r w:rsidR="00DF4B7A" w:rsidRPr="00C2047E">
              <w:rPr>
                <w:rFonts w:cs="Arial"/>
                <w:sz w:val="18"/>
                <w:szCs w:val="18"/>
              </w:rPr>
              <w:t xml:space="preserve">but also </w:t>
            </w:r>
            <w:r w:rsidR="00AC1189" w:rsidRPr="00C2047E">
              <w:rPr>
                <w:rFonts w:cs="Arial"/>
                <w:sz w:val="18"/>
                <w:szCs w:val="18"/>
              </w:rPr>
              <w:t>unlock</w:t>
            </w:r>
            <w:r w:rsidR="00AC1189" w:rsidRPr="00F54176">
              <w:rPr>
                <w:rFonts w:cs="Arial"/>
                <w:sz w:val="18"/>
                <w:szCs w:val="18"/>
              </w:rPr>
              <w:t xml:space="preserve">s opportunities for </w:t>
            </w:r>
            <w:r w:rsidR="00F37281" w:rsidRPr="00F54176">
              <w:rPr>
                <w:rFonts w:cs="Arial"/>
                <w:sz w:val="18"/>
                <w:szCs w:val="18"/>
              </w:rPr>
              <w:t xml:space="preserve">economic </w:t>
            </w:r>
            <w:r w:rsidR="004F06F3" w:rsidRPr="00F54176">
              <w:rPr>
                <w:rFonts w:cs="Arial"/>
                <w:sz w:val="18"/>
                <w:szCs w:val="18"/>
              </w:rPr>
              <w:t xml:space="preserve">for a large segment of the population. This is because PNG has a high rural maritime population that needs transport </w:t>
            </w:r>
            <w:r w:rsidR="00972332">
              <w:rPr>
                <w:rFonts w:cs="Arial"/>
                <w:sz w:val="18"/>
                <w:szCs w:val="18"/>
              </w:rPr>
              <w:t>connections</w:t>
            </w:r>
            <w:r w:rsidR="00972332" w:rsidRPr="00F54176">
              <w:rPr>
                <w:rFonts w:cs="Arial"/>
                <w:sz w:val="18"/>
                <w:szCs w:val="18"/>
              </w:rPr>
              <w:t xml:space="preserve"> </w:t>
            </w:r>
            <w:r w:rsidR="004F06F3" w:rsidRPr="00F54176">
              <w:rPr>
                <w:rFonts w:cs="Arial"/>
                <w:sz w:val="18"/>
                <w:szCs w:val="18"/>
              </w:rPr>
              <w:t>to reap the economic benefits enjoyed by the more developed and connected urban areas</w:t>
            </w:r>
            <w:bookmarkEnd w:id="8"/>
            <w:r w:rsidR="004F06F3" w:rsidRPr="00F54176">
              <w:rPr>
                <w:rFonts w:cs="Arial"/>
                <w:sz w:val="18"/>
                <w:szCs w:val="18"/>
              </w:rPr>
              <w:t xml:space="preserve">. </w:t>
            </w:r>
            <w:r w:rsidR="0025388C" w:rsidRPr="00F54176">
              <w:rPr>
                <w:rFonts w:cs="Arial"/>
                <w:sz w:val="18"/>
                <w:szCs w:val="18"/>
              </w:rPr>
              <w:t>However, t</w:t>
            </w:r>
            <w:r w:rsidR="0060493F" w:rsidRPr="00F54176">
              <w:rPr>
                <w:rFonts w:cs="Arial"/>
                <w:sz w:val="18"/>
                <w:szCs w:val="18"/>
              </w:rPr>
              <w:t>he economic</w:t>
            </w:r>
            <w:r w:rsidR="00EE4653" w:rsidRPr="00F54176">
              <w:rPr>
                <w:rFonts w:cs="Arial"/>
                <w:sz w:val="18"/>
                <w:szCs w:val="18"/>
              </w:rPr>
              <w:t xml:space="preserve"> considerations</w:t>
            </w:r>
            <w:r w:rsidR="0060493F" w:rsidRPr="00F54176">
              <w:rPr>
                <w:rFonts w:cs="Arial"/>
                <w:sz w:val="18"/>
                <w:szCs w:val="18"/>
              </w:rPr>
              <w:t xml:space="preserve"> of investing in new infrastructure will require careful consideration to </w:t>
            </w:r>
            <w:r w:rsidR="00ED6E7C">
              <w:rPr>
                <w:rFonts w:cs="Arial"/>
                <w:sz w:val="18"/>
                <w:szCs w:val="18"/>
              </w:rPr>
              <w:t xml:space="preserve">help </w:t>
            </w:r>
            <w:r w:rsidR="0060493F" w:rsidRPr="00F54176">
              <w:rPr>
                <w:rFonts w:cs="Arial"/>
                <w:sz w:val="18"/>
                <w:szCs w:val="18"/>
              </w:rPr>
              <w:t xml:space="preserve">ensure that costs of maintaining infrastructure </w:t>
            </w:r>
            <w:r w:rsidR="0025388C" w:rsidRPr="00F54176">
              <w:rPr>
                <w:rFonts w:cs="Arial"/>
                <w:sz w:val="18"/>
                <w:szCs w:val="18"/>
              </w:rPr>
              <w:t>do</w:t>
            </w:r>
            <w:r w:rsidR="0060493F" w:rsidRPr="00F54176">
              <w:rPr>
                <w:rFonts w:cs="Arial"/>
                <w:sz w:val="18"/>
                <w:szCs w:val="18"/>
              </w:rPr>
              <w:t xml:space="preserve"> not exceed the benefits and that GoPNG funding allocations are appropriate and sustainable.</w:t>
            </w:r>
          </w:p>
          <w:p w14:paraId="3E886383" w14:textId="37FCAF4E" w:rsidR="00046A29" w:rsidRPr="00F54176" w:rsidRDefault="00046A29" w:rsidP="00B81130">
            <w:pPr>
              <w:pStyle w:val="BodyText"/>
              <w:spacing w:before="60" w:after="60"/>
              <w:rPr>
                <w:rFonts w:cs="Arial"/>
                <w:spacing w:val="-2"/>
                <w:sz w:val="18"/>
                <w:szCs w:val="18"/>
              </w:rPr>
            </w:pPr>
            <w:r w:rsidRPr="00F54176">
              <w:rPr>
                <w:rFonts w:ascii="Franklin Gothic Demi" w:hAnsi="Franklin Gothic Demi" w:cs="Arial"/>
                <w:color w:val="4C7B9E" w:themeColor="accent2"/>
                <w:spacing w:val="-2"/>
                <w:sz w:val="18"/>
                <w:szCs w:val="18"/>
              </w:rPr>
              <w:t>Recommendation 5:</w:t>
            </w:r>
            <w:r w:rsidRPr="00F54176">
              <w:rPr>
                <w:rFonts w:cs="Arial"/>
                <w:color w:val="4C7B9E" w:themeColor="accent2"/>
                <w:spacing w:val="-2"/>
                <w:sz w:val="18"/>
                <w:szCs w:val="18"/>
              </w:rPr>
              <w:t xml:space="preserve"> </w:t>
            </w:r>
            <w:r w:rsidRPr="00F54176">
              <w:rPr>
                <w:rFonts w:cs="Arial"/>
                <w:spacing w:val="-2"/>
                <w:sz w:val="18"/>
                <w:szCs w:val="18"/>
              </w:rPr>
              <w:t>F</w:t>
            </w:r>
            <w:r w:rsidRPr="0021528B">
              <w:rPr>
                <w:rFonts w:cs="Arial"/>
                <w:spacing w:val="-2"/>
                <w:sz w:val="18"/>
                <w:szCs w:val="18"/>
              </w:rPr>
              <w:t>uture desi</w:t>
            </w:r>
            <w:r w:rsidRPr="00346E55">
              <w:rPr>
                <w:rFonts w:cs="Arial"/>
                <w:spacing w:val="-2"/>
                <w:sz w:val="18"/>
                <w:szCs w:val="18"/>
              </w:rPr>
              <w:t xml:space="preserve">gns should incorporate and align </w:t>
            </w:r>
            <w:r w:rsidR="00B043DA" w:rsidRPr="00464922">
              <w:rPr>
                <w:rFonts w:cs="Arial"/>
                <w:spacing w:val="-2"/>
                <w:sz w:val="18"/>
                <w:szCs w:val="18"/>
              </w:rPr>
              <w:t xml:space="preserve">the </w:t>
            </w:r>
            <w:r w:rsidR="009472D2">
              <w:rPr>
                <w:rFonts w:cs="Arial"/>
                <w:spacing w:val="-2"/>
                <w:sz w:val="18"/>
                <w:szCs w:val="18"/>
              </w:rPr>
              <w:t xml:space="preserve">TSSP3 </w:t>
            </w:r>
            <w:r w:rsidRPr="00346E55">
              <w:rPr>
                <w:rFonts w:cs="Arial"/>
                <w:spacing w:val="-2"/>
                <w:sz w:val="18"/>
                <w:szCs w:val="18"/>
              </w:rPr>
              <w:t xml:space="preserve">better with </w:t>
            </w:r>
            <w:r w:rsidR="009472D2">
              <w:rPr>
                <w:rFonts w:cs="Arial"/>
                <w:spacing w:val="-2"/>
                <w:sz w:val="18"/>
                <w:szCs w:val="18"/>
              </w:rPr>
              <w:t xml:space="preserve">the </w:t>
            </w:r>
            <w:r w:rsidRPr="00346E55">
              <w:rPr>
                <w:rFonts w:cs="Arial"/>
                <w:spacing w:val="-2"/>
                <w:sz w:val="18"/>
                <w:szCs w:val="18"/>
              </w:rPr>
              <w:t>Bougainville</w:t>
            </w:r>
            <w:r w:rsidR="009472D2">
              <w:rPr>
                <w:rFonts w:cs="Arial"/>
                <w:spacing w:val="-2"/>
                <w:sz w:val="18"/>
                <w:szCs w:val="18"/>
              </w:rPr>
              <w:t xml:space="preserve"> component</w:t>
            </w:r>
            <w:r w:rsidRPr="00346E55">
              <w:rPr>
                <w:rFonts w:cs="Arial"/>
                <w:spacing w:val="-2"/>
                <w:sz w:val="18"/>
                <w:szCs w:val="18"/>
              </w:rPr>
              <w:t xml:space="preserve"> </w:t>
            </w:r>
            <w:r w:rsidR="00346E55" w:rsidRPr="00355CF6">
              <w:rPr>
                <w:rFonts w:cs="Arial"/>
                <w:spacing w:val="-2"/>
                <w:sz w:val="18"/>
                <w:szCs w:val="18"/>
              </w:rPr>
              <w:t>(</w:t>
            </w:r>
            <w:r w:rsidR="009472D2">
              <w:rPr>
                <w:rFonts w:cs="Arial"/>
                <w:spacing w:val="-2"/>
                <w:sz w:val="18"/>
                <w:szCs w:val="18"/>
              </w:rPr>
              <w:t xml:space="preserve">currently </w:t>
            </w:r>
            <w:r w:rsidR="00346E55" w:rsidRPr="00355CF6">
              <w:rPr>
                <w:rFonts w:cs="Arial"/>
                <w:spacing w:val="-2"/>
                <w:sz w:val="18"/>
                <w:szCs w:val="18"/>
              </w:rPr>
              <w:t>sub-contracted to Cardno)</w:t>
            </w:r>
            <w:r w:rsidR="0021528B">
              <w:rPr>
                <w:rFonts w:cs="Arial"/>
                <w:spacing w:val="-2"/>
                <w:sz w:val="18"/>
                <w:szCs w:val="18"/>
              </w:rPr>
              <w:t xml:space="preserve"> </w:t>
            </w:r>
            <w:r w:rsidRPr="00346E55">
              <w:rPr>
                <w:rFonts w:cs="Arial"/>
                <w:spacing w:val="-2"/>
                <w:sz w:val="18"/>
                <w:szCs w:val="18"/>
              </w:rPr>
              <w:t>with opportunities to bring them closer to the</w:t>
            </w:r>
            <w:r w:rsidR="009472D2">
              <w:rPr>
                <w:rFonts w:cs="Arial"/>
                <w:spacing w:val="-2"/>
                <w:sz w:val="18"/>
                <w:szCs w:val="18"/>
              </w:rPr>
              <w:t xml:space="preserve"> overall Program</w:t>
            </w:r>
            <w:r w:rsidRPr="00F54176">
              <w:rPr>
                <w:rFonts w:cs="Arial"/>
                <w:spacing w:val="-2"/>
                <w:sz w:val="18"/>
                <w:szCs w:val="18"/>
              </w:rPr>
              <w:t xml:space="preserve">. </w:t>
            </w:r>
            <w:r w:rsidR="00594662" w:rsidRPr="00F54176">
              <w:rPr>
                <w:rFonts w:cs="Arial"/>
                <w:spacing w:val="-2"/>
                <w:sz w:val="18"/>
                <w:szCs w:val="18"/>
              </w:rPr>
              <w:t xml:space="preserve">TSSP2 </w:t>
            </w:r>
            <w:r w:rsidR="007D6EA2" w:rsidRPr="00F54176">
              <w:rPr>
                <w:rFonts w:cs="Arial"/>
                <w:spacing w:val="-2"/>
                <w:sz w:val="18"/>
                <w:szCs w:val="18"/>
              </w:rPr>
              <w:t xml:space="preserve">(managed by GHD) </w:t>
            </w:r>
            <w:r w:rsidR="00594662" w:rsidRPr="00F54176">
              <w:rPr>
                <w:rFonts w:cs="Arial"/>
                <w:spacing w:val="-2"/>
                <w:sz w:val="18"/>
                <w:szCs w:val="18"/>
              </w:rPr>
              <w:t>works with</w:t>
            </w:r>
            <w:r w:rsidR="009472D2">
              <w:rPr>
                <w:rFonts w:cs="Arial"/>
                <w:spacing w:val="-2"/>
                <w:sz w:val="18"/>
                <w:szCs w:val="18"/>
              </w:rPr>
              <w:t xml:space="preserve"> GoPNG’s </w:t>
            </w:r>
            <w:r w:rsidR="00594662" w:rsidRPr="00F54176">
              <w:rPr>
                <w:rFonts w:cs="Arial"/>
                <w:spacing w:val="-2"/>
                <w:sz w:val="18"/>
                <w:szCs w:val="18"/>
              </w:rPr>
              <w:t xml:space="preserve"> </w:t>
            </w:r>
            <w:r w:rsidR="00397D3F" w:rsidRPr="00F54176">
              <w:rPr>
                <w:rFonts w:cs="Arial"/>
                <w:spacing w:val="-2"/>
                <w:sz w:val="18"/>
                <w:szCs w:val="18"/>
              </w:rPr>
              <w:t>D</w:t>
            </w:r>
            <w:r w:rsidR="008A65B0" w:rsidRPr="00F54176">
              <w:rPr>
                <w:rFonts w:cs="Arial"/>
                <w:spacing w:val="-2"/>
                <w:sz w:val="18"/>
                <w:szCs w:val="18"/>
              </w:rPr>
              <w:t>epartment of Works (D</w:t>
            </w:r>
            <w:r w:rsidR="00397D3F" w:rsidRPr="00F54176">
              <w:rPr>
                <w:rFonts w:cs="Arial"/>
                <w:spacing w:val="-2"/>
                <w:sz w:val="18"/>
                <w:szCs w:val="18"/>
              </w:rPr>
              <w:t>oW</w:t>
            </w:r>
            <w:r w:rsidR="008A65B0" w:rsidRPr="00F54176">
              <w:rPr>
                <w:rFonts w:cs="Arial"/>
                <w:spacing w:val="-2"/>
                <w:sz w:val="18"/>
                <w:szCs w:val="18"/>
              </w:rPr>
              <w:t>)</w:t>
            </w:r>
            <w:r w:rsidR="000E1250">
              <w:rPr>
                <w:rFonts w:cs="Arial"/>
                <w:spacing w:val="-2"/>
                <w:sz w:val="18"/>
                <w:szCs w:val="18"/>
              </w:rPr>
              <w:t>,</w:t>
            </w:r>
            <w:r w:rsidR="00397D3F" w:rsidRPr="00F54176">
              <w:rPr>
                <w:rFonts w:cs="Arial"/>
                <w:spacing w:val="-2"/>
                <w:sz w:val="18"/>
                <w:szCs w:val="18"/>
              </w:rPr>
              <w:t xml:space="preserve"> </w:t>
            </w:r>
            <w:r w:rsidR="00E2629E" w:rsidRPr="00F54176">
              <w:rPr>
                <w:rFonts w:cs="Arial"/>
                <w:spacing w:val="-2"/>
                <w:sz w:val="18"/>
                <w:szCs w:val="18"/>
              </w:rPr>
              <w:t xml:space="preserve">which is </w:t>
            </w:r>
            <w:r w:rsidR="00F4316A" w:rsidRPr="00F54176">
              <w:rPr>
                <w:rFonts w:cs="Arial"/>
                <w:spacing w:val="-2"/>
                <w:sz w:val="18"/>
                <w:szCs w:val="18"/>
              </w:rPr>
              <w:t>i</w:t>
            </w:r>
            <w:r w:rsidR="00E2629E" w:rsidRPr="00F54176">
              <w:rPr>
                <w:rFonts w:cs="Arial"/>
                <w:spacing w:val="-2"/>
                <w:sz w:val="18"/>
                <w:szCs w:val="18"/>
              </w:rPr>
              <w:t>n the</w:t>
            </w:r>
            <w:r w:rsidR="00397D3F" w:rsidRPr="00F54176">
              <w:rPr>
                <w:rFonts w:cs="Arial"/>
                <w:spacing w:val="-2"/>
                <w:sz w:val="18"/>
                <w:szCs w:val="18"/>
              </w:rPr>
              <w:t xml:space="preserve"> process of transferring </w:t>
            </w:r>
            <w:r w:rsidR="009472D2">
              <w:rPr>
                <w:rFonts w:cs="Arial"/>
                <w:spacing w:val="-2"/>
                <w:sz w:val="18"/>
                <w:szCs w:val="18"/>
              </w:rPr>
              <w:t xml:space="preserve">the Program’s </w:t>
            </w:r>
            <w:r w:rsidR="00397D3F" w:rsidRPr="00F54176">
              <w:rPr>
                <w:rFonts w:cs="Arial"/>
                <w:spacing w:val="-2"/>
                <w:sz w:val="18"/>
                <w:szCs w:val="18"/>
              </w:rPr>
              <w:t xml:space="preserve">responsibilities to </w:t>
            </w:r>
            <w:r w:rsidR="001A5F1B" w:rsidRPr="00F54176">
              <w:rPr>
                <w:rFonts w:cs="Arial"/>
                <w:spacing w:val="-2"/>
                <w:sz w:val="18"/>
                <w:szCs w:val="18"/>
              </w:rPr>
              <w:t>the Department of Technical Services (</w:t>
            </w:r>
            <w:r w:rsidR="00397D3F" w:rsidRPr="00F54176">
              <w:rPr>
                <w:rFonts w:cs="Arial"/>
                <w:spacing w:val="-2"/>
                <w:sz w:val="18"/>
                <w:szCs w:val="18"/>
              </w:rPr>
              <w:t>DTS</w:t>
            </w:r>
            <w:r w:rsidR="00C20809" w:rsidRPr="00F54176">
              <w:rPr>
                <w:rFonts w:cs="Arial"/>
                <w:spacing w:val="-2"/>
                <w:sz w:val="18"/>
                <w:szCs w:val="18"/>
              </w:rPr>
              <w:t>) in Bougainville</w:t>
            </w:r>
            <w:r w:rsidR="000A3C00" w:rsidRPr="00F54176">
              <w:rPr>
                <w:rFonts w:cs="Arial"/>
                <w:spacing w:val="-2"/>
                <w:sz w:val="18"/>
                <w:szCs w:val="18"/>
              </w:rPr>
              <w:t>. Therefore</w:t>
            </w:r>
            <w:r w:rsidR="00397D3F" w:rsidRPr="00F54176">
              <w:rPr>
                <w:rFonts w:cs="Arial"/>
                <w:spacing w:val="-2"/>
                <w:sz w:val="18"/>
                <w:szCs w:val="18"/>
              </w:rPr>
              <w:t xml:space="preserve">, </w:t>
            </w:r>
            <w:r w:rsidR="0001374E" w:rsidRPr="00F54176">
              <w:rPr>
                <w:rFonts w:cs="Arial"/>
                <w:spacing w:val="-2"/>
                <w:sz w:val="18"/>
                <w:szCs w:val="18"/>
              </w:rPr>
              <w:t>t</w:t>
            </w:r>
            <w:r w:rsidR="00397D3F" w:rsidRPr="00F54176">
              <w:rPr>
                <w:rFonts w:cs="Arial"/>
                <w:spacing w:val="-2"/>
                <w:sz w:val="18"/>
                <w:szCs w:val="18"/>
              </w:rPr>
              <w:t xml:space="preserve">he current implementation arrangement of </w:t>
            </w:r>
            <w:r w:rsidR="00BD3561" w:rsidRPr="00F54176">
              <w:rPr>
                <w:rFonts w:cs="Arial"/>
                <w:spacing w:val="-2"/>
                <w:sz w:val="18"/>
                <w:szCs w:val="18"/>
              </w:rPr>
              <w:t>h</w:t>
            </w:r>
            <w:r w:rsidR="00F47D46" w:rsidRPr="00F54176">
              <w:rPr>
                <w:rFonts w:cs="Arial"/>
                <w:spacing w:val="-2"/>
                <w:sz w:val="18"/>
                <w:szCs w:val="18"/>
              </w:rPr>
              <w:t xml:space="preserve">aving </w:t>
            </w:r>
            <w:r w:rsidR="0001374E" w:rsidRPr="00F54176">
              <w:rPr>
                <w:rFonts w:cs="Arial"/>
                <w:spacing w:val="-2"/>
                <w:sz w:val="18"/>
                <w:szCs w:val="18"/>
              </w:rPr>
              <w:t xml:space="preserve">two separate managing contractors should be </w:t>
            </w:r>
            <w:r w:rsidR="009472D2">
              <w:rPr>
                <w:rFonts w:cs="Arial"/>
                <w:spacing w:val="-2"/>
                <w:sz w:val="18"/>
                <w:szCs w:val="18"/>
              </w:rPr>
              <w:t xml:space="preserve">assessed </w:t>
            </w:r>
            <w:r w:rsidR="0001374E" w:rsidRPr="00F54176">
              <w:rPr>
                <w:rFonts w:cs="Arial"/>
                <w:spacing w:val="-2"/>
                <w:sz w:val="18"/>
                <w:szCs w:val="18"/>
              </w:rPr>
              <w:t xml:space="preserve">as the involvement </w:t>
            </w:r>
            <w:r w:rsidR="00F4316A" w:rsidRPr="00F54176">
              <w:rPr>
                <w:rFonts w:cs="Arial"/>
                <w:spacing w:val="-2"/>
                <w:sz w:val="18"/>
                <w:szCs w:val="18"/>
              </w:rPr>
              <w:t xml:space="preserve">of </w:t>
            </w:r>
            <w:r w:rsidR="0001374E" w:rsidRPr="00F54176">
              <w:rPr>
                <w:rFonts w:cs="Arial"/>
                <w:spacing w:val="-2"/>
                <w:sz w:val="18"/>
                <w:szCs w:val="18"/>
              </w:rPr>
              <w:t>a single contractor may enhance and underwrite the transition process</w:t>
            </w:r>
            <w:r w:rsidR="009472D2">
              <w:rPr>
                <w:rFonts w:cs="Arial"/>
                <w:spacing w:val="-2"/>
                <w:sz w:val="18"/>
                <w:szCs w:val="18"/>
              </w:rPr>
              <w:t xml:space="preserve"> and overall implementation in Bougainville in the future. </w:t>
            </w:r>
          </w:p>
        </w:tc>
      </w:tr>
      <w:tr w:rsidR="00046A29" w:rsidRPr="004C2507" w14:paraId="7719B0B5" w14:textId="77777777" w:rsidTr="00215D89">
        <w:tc>
          <w:tcPr>
            <w:tcW w:w="1892" w:type="dxa"/>
            <w:tcBorders>
              <w:top w:val="nil"/>
              <w:left w:val="nil"/>
              <w:bottom w:val="nil"/>
              <w:right w:val="nil"/>
            </w:tcBorders>
          </w:tcPr>
          <w:p w14:paraId="6E110660" w14:textId="36ECEE47" w:rsidR="00046A29" w:rsidRPr="00215D89" w:rsidRDefault="00046A29" w:rsidP="00B81130">
            <w:pPr>
              <w:pStyle w:val="BodyText"/>
              <w:spacing w:before="60" w:after="60"/>
              <w:jc w:val="right"/>
              <w:rPr>
                <w:color w:val="8B7341" w:themeColor="accent5"/>
                <w:sz w:val="22"/>
                <w:szCs w:val="22"/>
                <w:lang w:val="en-US"/>
              </w:rPr>
            </w:pPr>
            <w:r w:rsidRPr="00215D89">
              <w:rPr>
                <w:rFonts w:ascii="Franklin Gothic Demi" w:hAnsi="Franklin Gothic Demi" w:cs="Arial"/>
                <w:color w:val="8B7341" w:themeColor="accent5"/>
                <w:sz w:val="22"/>
                <w:szCs w:val="22"/>
              </w:rPr>
              <w:t>Program Implementation</w:t>
            </w:r>
          </w:p>
        </w:tc>
        <w:tc>
          <w:tcPr>
            <w:tcW w:w="9449" w:type="dxa"/>
            <w:tcBorders>
              <w:top w:val="nil"/>
              <w:left w:val="nil"/>
              <w:bottom w:val="nil"/>
              <w:right w:val="nil"/>
            </w:tcBorders>
          </w:tcPr>
          <w:p w14:paraId="189EC961" w14:textId="1D658F3B" w:rsidR="00046A29" w:rsidRPr="004C2507" w:rsidRDefault="00046A29" w:rsidP="00B81130">
            <w:pPr>
              <w:pStyle w:val="BodyText"/>
              <w:spacing w:before="60" w:after="60"/>
              <w:rPr>
                <w:rFonts w:cs="Calibri Light"/>
                <w:sz w:val="18"/>
                <w:szCs w:val="18"/>
              </w:rPr>
            </w:pPr>
            <w:r w:rsidRPr="00330945">
              <w:rPr>
                <w:rFonts w:ascii="Franklin Gothic Demi" w:hAnsi="Franklin Gothic Demi" w:cs="Arial"/>
                <w:color w:val="4C7B9E" w:themeColor="accent2"/>
                <w:sz w:val="18"/>
                <w:szCs w:val="18"/>
              </w:rPr>
              <w:t xml:space="preserve">Recommendation </w:t>
            </w:r>
            <w:r w:rsidR="00045C05">
              <w:rPr>
                <w:rFonts w:ascii="Franklin Gothic Demi" w:hAnsi="Franklin Gothic Demi" w:cs="Arial"/>
                <w:color w:val="4C7B9E" w:themeColor="accent2"/>
                <w:sz w:val="18"/>
                <w:szCs w:val="18"/>
              </w:rPr>
              <w:t>6</w:t>
            </w:r>
            <w:r w:rsidRPr="00330945">
              <w:rPr>
                <w:rFonts w:ascii="Franklin Gothic Demi" w:hAnsi="Franklin Gothic Demi" w:cs="Arial"/>
                <w:color w:val="4C7B9E" w:themeColor="accent2"/>
                <w:sz w:val="18"/>
                <w:szCs w:val="18"/>
              </w:rPr>
              <w:t xml:space="preserve">: </w:t>
            </w:r>
            <w:r w:rsidR="00D7127A" w:rsidRPr="00D7127A">
              <w:rPr>
                <w:rFonts w:cs="Calibri Light"/>
                <w:sz w:val="18"/>
                <w:szCs w:val="18"/>
              </w:rPr>
              <w:t>Th</w:t>
            </w:r>
            <w:r w:rsidR="00691252">
              <w:rPr>
                <w:rFonts w:cs="Calibri Light"/>
                <w:sz w:val="18"/>
                <w:szCs w:val="18"/>
              </w:rPr>
              <w:t>at the Program</w:t>
            </w:r>
            <w:r w:rsidRPr="004C2507">
              <w:rPr>
                <w:rFonts w:cs="Calibri Light"/>
                <w:sz w:val="18"/>
                <w:szCs w:val="18"/>
              </w:rPr>
              <w:t xml:space="preserve"> enhance</w:t>
            </w:r>
            <w:r w:rsidR="00776303">
              <w:rPr>
                <w:rFonts w:cs="Calibri Light"/>
                <w:sz w:val="18"/>
                <w:szCs w:val="18"/>
              </w:rPr>
              <w:t>s</w:t>
            </w:r>
            <w:r w:rsidRPr="004C2507">
              <w:rPr>
                <w:rFonts w:cs="Calibri Light"/>
                <w:sz w:val="18"/>
                <w:szCs w:val="18"/>
              </w:rPr>
              <w:t xml:space="preserve"> support for TSCMIC to regularly meet and set agendas that help orient investment toward the achievement of transport strategies such </w:t>
            </w:r>
            <w:r w:rsidR="00122A0C" w:rsidRPr="004C2507">
              <w:rPr>
                <w:rFonts w:cs="Calibri Light"/>
                <w:sz w:val="18"/>
                <w:szCs w:val="18"/>
              </w:rPr>
              <w:t>as Connect</w:t>
            </w:r>
            <w:r w:rsidRPr="004C2507">
              <w:rPr>
                <w:rFonts w:cs="Calibri Light"/>
                <w:sz w:val="18"/>
                <w:szCs w:val="18"/>
              </w:rPr>
              <w:t xml:space="preserve"> PNG and to develop the capacity to identify appropriate funding mechanisms to finance national transport plans.</w:t>
            </w:r>
            <w:r w:rsidR="00C72889">
              <w:rPr>
                <w:rFonts w:cs="Calibri Light"/>
                <w:sz w:val="18"/>
                <w:szCs w:val="18"/>
              </w:rPr>
              <w:t xml:space="preserve"> Note the Australia-PNG Transport Partnerships Review </w:t>
            </w:r>
            <w:r w:rsidR="008D1973">
              <w:rPr>
                <w:rFonts w:cs="Calibri Light"/>
                <w:sz w:val="18"/>
                <w:szCs w:val="18"/>
              </w:rPr>
              <w:t>(conducted along</w:t>
            </w:r>
            <w:r w:rsidR="00551BF0">
              <w:rPr>
                <w:rFonts w:cs="Calibri Light"/>
                <w:sz w:val="18"/>
                <w:szCs w:val="18"/>
              </w:rPr>
              <w:t>side</w:t>
            </w:r>
            <w:r w:rsidR="008D1973">
              <w:rPr>
                <w:rFonts w:cs="Calibri Light"/>
                <w:sz w:val="18"/>
                <w:szCs w:val="18"/>
              </w:rPr>
              <w:t xml:space="preserve"> this Review) </w:t>
            </w:r>
            <w:r w:rsidR="00C72889">
              <w:rPr>
                <w:rFonts w:cs="Calibri Light"/>
                <w:sz w:val="18"/>
                <w:szCs w:val="18"/>
              </w:rPr>
              <w:t>recommends the former Institutional Partnerships Program</w:t>
            </w:r>
            <w:r w:rsidR="00551BF0">
              <w:rPr>
                <w:rFonts w:cs="Calibri Light"/>
                <w:sz w:val="18"/>
                <w:szCs w:val="18"/>
              </w:rPr>
              <w:t>’s</w:t>
            </w:r>
            <w:r w:rsidR="00C72889">
              <w:rPr>
                <w:rFonts w:cs="Calibri Light"/>
                <w:sz w:val="18"/>
                <w:szCs w:val="18"/>
              </w:rPr>
              <w:t xml:space="preserve"> </w:t>
            </w:r>
            <w:r w:rsidR="00203000">
              <w:rPr>
                <w:rFonts w:cs="Calibri Light"/>
                <w:sz w:val="18"/>
                <w:szCs w:val="18"/>
              </w:rPr>
              <w:t>Inf</w:t>
            </w:r>
            <w:r w:rsidR="00D65313">
              <w:rPr>
                <w:rFonts w:cs="Calibri Light"/>
                <w:sz w:val="18"/>
                <w:szCs w:val="18"/>
              </w:rPr>
              <w:t xml:space="preserve">rastructure </w:t>
            </w:r>
            <w:r w:rsidR="00551BF0">
              <w:rPr>
                <w:rFonts w:cs="Calibri Light"/>
                <w:sz w:val="18"/>
                <w:szCs w:val="18"/>
              </w:rPr>
              <w:t>A</w:t>
            </w:r>
            <w:r w:rsidR="00C72889">
              <w:rPr>
                <w:rFonts w:cs="Calibri Light"/>
                <w:sz w:val="18"/>
                <w:szCs w:val="18"/>
              </w:rPr>
              <w:t>dviser position be transferr</w:t>
            </w:r>
            <w:r w:rsidR="00EA1BD4">
              <w:rPr>
                <w:rFonts w:cs="Calibri Light"/>
                <w:sz w:val="18"/>
                <w:szCs w:val="18"/>
              </w:rPr>
              <w:t>e</w:t>
            </w:r>
            <w:r w:rsidR="00C72889">
              <w:rPr>
                <w:rFonts w:cs="Calibri Light"/>
                <w:sz w:val="18"/>
                <w:szCs w:val="18"/>
              </w:rPr>
              <w:t xml:space="preserve">d to TSSP to provide coordination support between Australian and PNG agencies. </w:t>
            </w:r>
            <w:r w:rsidR="00EF3DC1">
              <w:rPr>
                <w:rFonts w:cs="Calibri Light"/>
                <w:sz w:val="18"/>
                <w:szCs w:val="18"/>
              </w:rPr>
              <w:t xml:space="preserve">To this end, the </w:t>
            </w:r>
            <w:r w:rsidR="00AB272E">
              <w:rPr>
                <w:rFonts w:cs="Calibri Light"/>
                <w:sz w:val="18"/>
                <w:szCs w:val="18"/>
              </w:rPr>
              <w:t xml:space="preserve">Adviser </w:t>
            </w:r>
            <w:r w:rsidR="00EA1BD4">
              <w:rPr>
                <w:rFonts w:cs="Calibri Light"/>
                <w:sz w:val="18"/>
                <w:szCs w:val="18"/>
              </w:rPr>
              <w:t>would also enhance technical advisory support to TSCMIC.</w:t>
            </w:r>
          </w:p>
          <w:p w14:paraId="1EA03D5F" w14:textId="785A9D21" w:rsidR="00046A29" w:rsidRDefault="00046A29" w:rsidP="00B81130">
            <w:pPr>
              <w:pStyle w:val="BodyText"/>
              <w:spacing w:before="60" w:after="60"/>
              <w:rPr>
                <w:sz w:val="18"/>
                <w:szCs w:val="18"/>
              </w:rPr>
            </w:pPr>
            <w:r w:rsidRPr="00330945">
              <w:rPr>
                <w:rFonts w:ascii="Franklin Gothic Demi" w:hAnsi="Franklin Gothic Demi" w:cs="Arial"/>
                <w:color w:val="4C7B9E" w:themeColor="accent2"/>
                <w:sz w:val="18"/>
                <w:szCs w:val="18"/>
              </w:rPr>
              <w:t xml:space="preserve">Recommendation </w:t>
            </w:r>
            <w:r w:rsidR="00045C05">
              <w:rPr>
                <w:rFonts w:ascii="Franklin Gothic Demi" w:hAnsi="Franklin Gothic Demi" w:cs="Arial"/>
                <w:color w:val="4C7B9E" w:themeColor="accent2"/>
                <w:sz w:val="18"/>
                <w:szCs w:val="18"/>
              </w:rPr>
              <w:t>7</w:t>
            </w:r>
            <w:r w:rsidRPr="00330945">
              <w:rPr>
                <w:rFonts w:ascii="Franklin Gothic Demi" w:hAnsi="Franklin Gothic Demi" w:cs="Arial"/>
                <w:color w:val="4C7B9E" w:themeColor="accent2"/>
                <w:sz w:val="18"/>
                <w:szCs w:val="18"/>
              </w:rPr>
              <w:t>:</w:t>
            </w:r>
            <w:r w:rsidRPr="00330945">
              <w:rPr>
                <w:rFonts w:cs="Arial"/>
                <w:color w:val="4C7B9E" w:themeColor="accent2"/>
                <w:sz w:val="18"/>
                <w:szCs w:val="18"/>
              </w:rPr>
              <w:t xml:space="preserve"> </w:t>
            </w:r>
            <w:r w:rsidRPr="004C2507">
              <w:rPr>
                <w:rFonts w:cs="Calibri Light"/>
                <w:sz w:val="18"/>
                <w:szCs w:val="18"/>
              </w:rPr>
              <w:t xml:space="preserve">That </w:t>
            </w:r>
            <w:r w:rsidR="00691252">
              <w:rPr>
                <w:rFonts w:cs="Calibri Light"/>
                <w:sz w:val="18"/>
                <w:szCs w:val="18"/>
              </w:rPr>
              <w:t>the Program</w:t>
            </w:r>
            <w:r w:rsidRPr="004C2507">
              <w:rPr>
                <w:rFonts w:cs="Calibri Light"/>
                <w:sz w:val="18"/>
                <w:szCs w:val="18"/>
              </w:rPr>
              <w:t xml:space="preserve"> deploys</w:t>
            </w:r>
            <w:r w:rsidRPr="004C2507">
              <w:rPr>
                <w:rFonts w:cs="Arial"/>
                <w:color w:val="003478" w:themeColor="accent1"/>
                <w:sz w:val="18"/>
                <w:szCs w:val="18"/>
              </w:rPr>
              <w:t xml:space="preserve"> </w:t>
            </w:r>
            <w:r w:rsidRPr="004C2507">
              <w:rPr>
                <w:sz w:val="18"/>
                <w:szCs w:val="18"/>
              </w:rPr>
              <w:t>advisers and other technical experts to PNG in an accelerated manner once COVID-19 travel restrictions are lifted to avoid adverse effects on implementation and relationships buil</w:t>
            </w:r>
            <w:r w:rsidR="008B6F0B">
              <w:rPr>
                <w:sz w:val="18"/>
                <w:szCs w:val="18"/>
              </w:rPr>
              <w:t>t</w:t>
            </w:r>
            <w:r w:rsidRPr="004C2507">
              <w:rPr>
                <w:sz w:val="18"/>
                <w:szCs w:val="18"/>
              </w:rPr>
              <w:t xml:space="preserve"> over time. </w:t>
            </w:r>
            <w:r w:rsidR="006C44D3">
              <w:rPr>
                <w:sz w:val="18"/>
                <w:szCs w:val="18"/>
              </w:rPr>
              <w:t>Noting</w:t>
            </w:r>
            <w:r w:rsidR="006C44D3" w:rsidRPr="00741245">
              <w:rPr>
                <w:sz w:val="18"/>
                <w:szCs w:val="18"/>
              </w:rPr>
              <w:t xml:space="preserve"> </w:t>
            </w:r>
            <w:r w:rsidR="00741245" w:rsidRPr="00741245">
              <w:rPr>
                <w:sz w:val="18"/>
                <w:szCs w:val="18"/>
              </w:rPr>
              <w:t xml:space="preserve">rapid deployment is critical </w:t>
            </w:r>
            <w:r w:rsidR="00A901FC">
              <w:rPr>
                <w:sz w:val="18"/>
                <w:szCs w:val="18"/>
              </w:rPr>
              <w:t>for</w:t>
            </w:r>
            <w:r w:rsidR="00741245" w:rsidRPr="00741245">
              <w:rPr>
                <w:sz w:val="18"/>
                <w:szCs w:val="18"/>
              </w:rPr>
              <w:t xml:space="preserve"> continued Program success, TSSP</w:t>
            </w:r>
            <w:r w:rsidR="008E131E">
              <w:rPr>
                <w:sz w:val="18"/>
                <w:szCs w:val="18"/>
              </w:rPr>
              <w:t>2</w:t>
            </w:r>
            <w:r w:rsidR="00741245" w:rsidRPr="00741245">
              <w:rPr>
                <w:sz w:val="18"/>
                <w:szCs w:val="18"/>
              </w:rPr>
              <w:t xml:space="preserve"> will need to be mindful that the rapid deployment of adviser resources will need to work within existing adviser funding </w:t>
            </w:r>
            <w:r w:rsidR="0000464E">
              <w:rPr>
                <w:sz w:val="18"/>
                <w:szCs w:val="18"/>
              </w:rPr>
              <w:t>caps</w:t>
            </w:r>
            <w:r w:rsidR="00EF046D">
              <w:rPr>
                <w:sz w:val="18"/>
                <w:szCs w:val="18"/>
              </w:rPr>
              <w:t xml:space="preserve"> outlined in the Program contract</w:t>
            </w:r>
            <w:r w:rsidR="00741245" w:rsidRPr="00741245">
              <w:rPr>
                <w:sz w:val="18"/>
                <w:szCs w:val="18"/>
              </w:rPr>
              <w:t xml:space="preserve">. </w:t>
            </w:r>
          </w:p>
          <w:p w14:paraId="1E2E73B5" w14:textId="3F044EA5" w:rsidR="00046A29" w:rsidRPr="004C2507" w:rsidRDefault="002B06DB" w:rsidP="00B81130">
            <w:pPr>
              <w:pStyle w:val="BodyText"/>
              <w:spacing w:before="60" w:after="60"/>
              <w:rPr>
                <w:sz w:val="18"/>
                <w:szCs w:val="18"/>
              </w:rPr>
            </w:pPr>
            <w:r w:rsidRPr="00827A8C">
              <w:rPr>
                <w:b/>
                <w:color w:val="4C7B9E" w:themeColor="accent2"/>
                <w:sz w:val="18"/>
                <w:szCs w:val="18"/>
              </w:rPr>
              <w:t>Recommendation</w:t>
            </w:r>
            <w:r w:rsidR="00C92A27" w:rsidRPr="00827A8C">
              <w:rPr>
                <w:b/>
                <w:color w:val="4C7B9E" w:themeColor="accent2"/>
                <w:sz w:val="18"/>
                <w:szCs w:val="18"/>
              </w:rPr>
              <w:t xml:space="preserve"> 8</w:t>
            </w:r>
            <w:r w:rsidR="00721BC0">
              <w:rPr>
                <w:b/>
                <w:bCs/>
                <w:color w:val="4C7B9E" w:themeColor="background2"/>
                <w:sz w:val="18"/>
                <w:szCs w:val="18"/>
              </w:rPr>
              <w:t>:</w:t>
            </w:r>
            <w:r w:rsidR="00A41759">
              <w:t xml:space="preserve"> </w:t>
            </w:r>
            <w:r w:rsidR="00A41759" w:rsidRPr="00A41759">
              <w:rPr>
                <w:sz w:val="18"/>
                <w:szCs w:val="18"/>
              </w:rPr>
              <w:t xml:space="preserve">If appropriate, that the Program review NPC systems and processes as a basis </w:t>
            </w:r>
            <w:r w:rsidR="00981E3B">
              <w:rPr>
                <w:sz w:val="18"/>
                <w:szCs w:val="18"/>
              </w:rPr>
              <w:t>for</w:t>
            </w:r>
            <w:r w:rsidR="00A41759" w:rsidRPr="00A41759">
              <w:rPr>
                <w:sz w:val="18"/>
                <w:szCs w:val="18"/>
              </w:rPr>
              <w:t xml:space="preserve"> understanding the benefits and the opportunity costs of using the national procurement system. The review may </w:t>
            </w:r>
            <w:r w:rsidR="00F8277D">
              <w:rPr>
                <w:sz w:val="18"/>
                <w:szCs w:val="18"/>
              </w:rPr>
              <w:t xml:space="preserve">provide options </w:t>
            </w:r>
            <w:r w:rsidR="00A41759" w:rsidRPr="00A41759">
              <w:rPr>
                <w:sz w:val="18"/>
                <w:szCs w:val="18"/>
              </w:rPr>
              <w:t xml:space="preserve">to either strengthen the NPC through advisory roles and legislative reform or selectively </w:t>
            </w:r>
            <w:r w:rsidR="00D010AC" w:rsidRPr="00A41759">
              <w:rPr>
                <w:sz w:val="18"/>
                <w:szCs w:val="18"/>
              </w:rPr>
              <w:t>by</w:t>
            </w:r>
            <w:r w:rsidR="00D010AC">
              <w:rPr>
                <w:sz w:val="18"/>
                <w:szCs w:val="18"/>
              </w:rPr>
              <w:t>pass</w:t>
            </w:r>
            <w:r w:rsidR="00A41759" w:rsidRPr="00A41759">
              <w:rPr>
                <w:sz w:val="18"/>
                <w:szCs w:val="18"/>
              </w:rPr>
              <w:t xml:space="preserve"> NPC procurement processes</w:t>
            </w:r>
            <w:r w:rsidR="000550DD">
              <w:rPr>
                <w:sz w:val="18"/>
                <w:szCs w:val="18"/>
              </w:rPr>
              <w:t xml:space="preserve"> where delays are excessive</w:t>
            </w:r>
            <w:r w:rsidR="00A41759" w:rsidRPr="00A41759">
              <w:rPr>
                <w:sz w:val="18"/>
                <w:szCs w:val="18"/>
              </w:rPr>
              <w:t xml:space="preserve"> to avoid the higher long-term cost of asset maintenance and higher costs for local communities and business owners.</w:t>
            </w:r>
          </w:p>
        </w:tc>
      </w:tr>
      <w:tr w:rsidR="00046A29" w:rsidRPr="004C2507" w14:paraId="5B26C1E6" w14:textId="77777777" w:rsidTr="00215D89">
        <w:tc>
          <w:tcPr>
            <w:tcW w:w="1892" w:type="dxa"/>
            <w:tcBorders>
              <w:top w:val="nil"/>
              <w:left w:val="nil"/>
              <w:bottom w:val="nil"/>
              <w:right w:val="nil"/>
            </w:tcBorders>
          </w:tcPr>
          <w:p w14:paraId="372D06C8" w14:textId="239C40A7" w:rsidR="00046A29" w:rsidRPr="00215D89" w:rsidRDefault="00F03B1D" w:rsidP="00B81130">
            <w:pPr>
              <w:pStyle w:val="BodyText"/>
              <w:spacing w:before="60" w:after="60"/>
              <w:jc w:val="right"/>
              <w:rPr>
                <w:rFonts w:cs="Arial"/>
                <w:color w:val="8B7341" w:themeColor="accent5"/>
                <w:sz w:val="22"/>
                <w:szCs w:val="22"/>
              </w:rPr>
            </w:pPr>
            <w:r w:rsidRPr="00215D89">
              <w:rPr>
                <w:rFonts w:ascii="Franklin Gothic Demi" w:hAnsi="Franklin Gothic Demi" w:cs="Arial"/>
                <w:color w:val="8B7341" w:themeColor="accent5"/>
                <w:sz w:val="22"/>
                <w:szCs w:val="22"/>
              </w:rPr>
              <w:t>Future directions</w:t>
            </w:r>
            <w:r w:rsidR="00C3691E" w:rsidRPr="00215D89">
              <w:rPr>
                <w:rFonts w:ascii="Franklin Gothic Demi" w:hAnsi="Franklin Gothic Demi" w:cs="Arial"/>
                <w:color w:val="8B7341" w:themeColor="accent5"/>
                <w:sz w:val="22"/>
                <w:szCs w:val="22"/>
              </w:rPr>
              <w:t>: strategy</w:t>
            </w:r>
            <w:r w:rsidR="00EA15B4" w:rsidRPr="00215D89">
              <w:rPr>
                <w:rFonts w:ascii="Franklin Gothic Demi" w:hAnsi="Franklin Gothic Demi" w:cs="Arial"/>
                <w:color w:val="8B7341" w:themeColor="accent5"/>
                <w:sz w:val="22"/>
                <w:szCs w:val="22"/>
              </w:rPr>
              <w:t xml:space="preserve"> and ways of working </w:t>
            </w:r>
          </w:p>
        </w:tc>
        <w:tc>
          <w:tcPr>
            <w:tcW w:w="9449" w:type="dxa"/>
            <w:tcBorders>
              <w:top w:val="nil"/>
              <w:left w:val="nil"/>
              <w:bottom w:val="nil"/>
              <w:right w:val="nil"/>
            </w:tcBorders>
          </w:tcPr>
          <w:p w14:paraId="22B48540" w14:textId="285300F3" w:rsidR="00E30460" w:rsidRPr="00DD16E1" w:rsidRDefault="00046A29" w:rsidP="00B81130">
            <w:pPr>
              <w:spacing w:before="60" w:after="60"/>
              <w:rPr>
                <w:rFonts w:ascii="Franklin Gothic Book" w:hAnsi="Franklin Gothic Book" w:cs="Arial"/>
                <w:sz w:val="18"/>
                <w:szCs w:val="18"/>
              </w:rPr>
            </w:pPr>
            <w:r w:rsidRPr="00330945">
              <w:rPr>
                <w:rFonts w:ascii="Franklin Gothic Demi" w:hAnsi="Franklin Gothic Demi" w:cs="Arial"/>
                <w:color w:val="4C7B9E" w:themeColor="accent2"/>
                <w:sz w:val="18"/>
                <w:szCs w:val="18"/>
              </w:rPr>
              <w:t xml:space="preserve">Recommendation </w:t>
            </w:r>
            <w:r w:rsidR="00F8277D">
              <w:rPr>
                <w:rFonts w:ascii="Franklin Gothic Demi" w:hAnsi="Franklin Gothic Demi" w:cs="Arial"/>
                <w:color w:val="4C7B9E" w:themeColor="accent2"/>
                <w:sz w:val="18"/>
                <w:szCs w:val="18"/>
              </w:rPr>
              <w:t>9</w:t>
            </w:r>
            <w:r w:rsidRPr="00330945">
              <w:rPr>
                <w:rFonts w:ascii="Franklin Gothic Demi" w:hAnsi="Franklin Gothic Demi" w:cs="Arial"/>
                <w:color w:val="4C7B9E" w:themeColor="accent2"/>
                <w:sz w:val="18"/>
                <w:szCs w:val="18"/>
              </w:rPr>
              <w:t>:</w:t>
            </w:r>
            <w:r w:rsidRPr="00330945">
              <w:rPr>
                <w:rFonts w:ascii="Franklin Gothic Book" w:hAnsi="Franklin Gothic Book" w:cs="Arial"/>
                <w:color w:val="4C7B9E" w:themeColor="accent2"/>
                <w:sz w:val="18"/>
                <w:szCs w:val="18"/>
              </w:rPr>
              <w:t xml:space="preserve"> </w:t>
            </w:r>
            <w:r w:rsidR="001469C0" w:rsidRPr="00DD16E1">
              <w:rPr>
                <w:rFonts w:ascii="Franklin Gothic Book" w:hAnsi="Franklin Gothic Book" w:cs="Arial"/>
                <w:sz w:val="18"/>
                <w:szCs w:val="18"/>
              </w:rPr>
              <w:t xml:space="preserve">Connect PNG will greatly improve the interconnectivity of national road infrastructure and economic outcomes for many Papua New Guineans. However, the construction of new infrastructure will only add to the existing infrastructure maintenance </w:t>
            </w:r>
            <w:r w:rsidR="00D436FF" w:rsidRPr="00D64BAE">
              <w:rPr>
                <w:rFonts w:ascii="Franklin Gothic Book" w:hAnsi="Franklin Gothic Book" w:cs="Arial"/>
                <w:sz w:val="18"/>
                <w:szCs w:val="18"/>
              </w:rPr>
              <w:t>burden</w:t>
            </w:r>
            <w:r w:rsidR="00D436FF" w:rsidRPr="00DD16E1">
              <w:rPr>
                <w:rFonts w:ascii="Franklin Gothic Book" w:hAnsi="Franklin Gothic Book" w:cs="Arial"/>
                <w:sz w:val="18"/>
                <w:szCs w:val="18"/>
              </w:rPr>
              <w:t>,</w:t>
            </w:r>
            <w:r w:rsidR="001469C0" w:rsidRPr="00DD16E1">
              <w:rPr>
                <w:rFonts w:ascii="Franklin Gothic Book" w:hAnsi="Franklin Gothic Book" w:cs="Arial"/>
                <w:sz w:val="18"/>
                <w:szCs w:val="18"/>
              </w:rPr>
              <w:t xml:space="preserve"> and it is not known whether the economic benefits of new infrastructure will offset increased maintenance obligations. Until such time that</w:t>
            </w:r>
            <w:r w:rsidR="00AC5C5A" w:rsidRPr="00DD16E1">
              <w:rPr>
                <w:rFonts w:ascii="Franklin Gothic Book" w:hAnsi="Franklin Gothic Book" w:cs="Arial"/>
                <w:sz w:val="18"/>
                <w:szCs w:val="18"/>
              </w:rPr>
              <w:t xml:space="preserve"> GoPNG earmarks </w:t>
            </w:r>
            <w:r w:rsidR="007E6889" w:rsidRPr="00DD16E1">
              <w:rPr>
                <w:rFonts w:ascii="Franklin Gothic Book" w:hAnsi="Franklin Gothic Book" w:cs="Arial"/>
                <w:sz w:val="18"/>
                <w:szCs w:val="18"/>
              </w:rPr>
              <w:t xml:space="preserve">resources </w:t>
            </w:r>
            <w:r w:rsidR="00AC5C5A" w:rsidRPr="00DD16E1">
              <w:rPr>
                <w:rFonts w:ascii="Franklin Gothic Book" w:hAnsi="Franklin Gothic Book" w:cs="Arial"/>
                <w:sz w:val="18"/>
                <w:szCs w:val="18"/>
              </w:rPr>
              <w:t>to fund and manage the maintenance of the entire road network, there is little reason for DFAT to depart from TSSP2’s core strategic objectives and delivery mechanisms</w:t>
            </w:r>
            <w:r w:rsidR="00E72D38" w:rsidRPr="00DD16E1">
              <w:t xml:space="preserve"> </w:t>
            </w:r>
            <w:r w:rsidR="00E72D38" w:rsidRPr="00464922">
              <w:rPr>
                <w:rFonts w:ascii="Franklin Gothic Book" w:hAnsi="Franklin Gothic Book" w:cs="Arial"/>
                <w:sz w:val="18"/>
                <w:szCs w:val="18"/>
              </w:rPr>
              <w:t>as they represent sound value for money for everyday Papua New Guineans.</w:t>
            </w:r>
          </w:p>
          <w:p w14:paraId="209CE30C" w14:textId="39234B26" w:rsidR="00237CEB" w:rsidRDefault="002339F4" w:rsidP="00B81130">
            <w:pPr>
              <w:spacing w:before="60" w:after="60"/>
              <w:rPr>
                <w:rFonts w:ascii="Franklin Gothic Book" w:hAnsi="Franklin Gothic Book" w:cs="Arial"/>
                <w:sz w:val="18"/>
                <w:szCs w:val="18"/>
              </w:rPr>
            </w:pPr>
            <w:r w:rsidRPr="00330945">
              <w:rPr>
                <w:rFonts w:ascii="Franklin Gothic Demi" w:hAnsi="Franklin Gothic Demi" w:cs="Arial"/>
                <w:color w:val="4C7B9E" w:themeColor="accent2"/>
                <w:sz w:val="18"/>
                <w:szCs w:val="18"/>
              </w:rPr>
              <w:t xml:space="preserve">Recommendation </w:t>
            </w:r>
            <w:r>
              <w:rPr>
                <w:rFonts w:ascii="Franklin Gothic Demi" w:hAnsi="Franklin Gothic Demi" w:cs="Arial"/>
                <w:color w:val="4C7B9E" w:themeColor="accent2"/>
                <w:sz w:val="18"/>
                <w:szCs w:val="18"/>
              </w:rPr>
              <w:t>1</w:t>
            </w:r>
            <w:r w:rsidR="00F8277D">
              <w:rPr>
                <w:rFonts w:ascii="Franklin Gothic Demi" w:hAnsi="Franklin Gothic Demi" w:cs="Arial"/>
                <w:color w:val="4C7B9E" w:themeColor="accent2"/>
                <w:sz w:val="18"/>
                <w:szCs w:val="18"/>
              </w:rPr>
              <w:t>0</w:t>
            </w:r>
            <w:r w:rsidRPr="00330945">
              <w:rPr>
                <w:rFonts w:ascii="Franklin Gothic Demi" w:hAnsi="Franklin Gothic Demi" w:cs="Arial"/>
                <w:color w:val="4C7B9E" w:themeColor="accent2"/>
                <w:sz w:val="18"/>
                <w:szCs w:val="18"/>
              </w:rPr>
              <w:t>:</w:t>
            </w:r>
            <w:r w:rsidRPr="00330945">
              <w:rPr>
                <w:rFonts w:ascii="Franklin Gothic Book" w:hAnsi="Franklin Gothic Book" w:cs="Arial"/>
                <w:color w:val="4C7B9E" w:themeColor="accent2"/>
                <w:sz w:val="18"/>
                <w:szCs w:val="18"/>
              </w:rPr>
              <w:t xml:space="preserve"> </w:t>
            </w:r>
            <w:bookmarkStart w:id="9" w:name="_Hlk99111877"/>
            <w:r w:rsidR="00C369E4" w:rsidRPr="00C369E4">
              <w:rPr>
                <w:rFonts w:ascii="Franklin Gothic Book" w:hAnsi="Franklin Gothic Book" w:cs="Arial"/>
                <w:sz w:val="18"/>
                <w:szCs w:val="18"/>
              </w:rPr>
              <w:t>An increasing level of investment in a multi-modal transport network by a wide range of stakeholders</w:t>
            </w:r>
            <w:r w:rsidR="00C369E4">
              <w:rPr>
                <w:rFonts w:ascii="Franklin Gothic Book" w:hAnsi="Franklin Gothic Book" w:cs="Arial"/>
                <w:sz w:val="18"/>
                <w:szCs w:val="18"/>
              </w:rPr>
              <w:t xml:space="preserve"> and </w:t>
            </w:r>
            <w:r w:rsidR="00FD55BB">
              <w:rPr>
                <w:rFonts w:ascii="Franklin Gothic Book" w:hAnsi="Franklin Gothic Book" w:cs="Arial"/>
                <w:sz w:val="18"/>
                <w:szCs w:val="18"/>
              </w:rPr>
              <w:t xml:space="preserve">development </w:t>
            </w:r>
            <w:r w:rsidR="00C369E4">
              <w:rPr>
                <w:rFonts w:ascii="Franklin Gothic Book" w:hAnsi="Franklin Gothic Book" w:cs="Arial"/>
                <w:sz w:val="18"/>
                <w:szCs w:val="18"/>
              </w:rPr>
              <w:t xml:space="preserve">partners </w:t>
            </w:r>
            <w:r w:rsidR="00FD55BB">
              <w:rPr>
                <w:rFonts w:ascii="Franklin Gothic Book" w:hAnsi="Franklin Gothic Book" w:cs="Arial"/>
                <w:sz w:val="18"/>
                <w:szCs w:val="18"/>
              </w:rPr>
              <w:t xml:space="preserve">outlined </w:t>
            </w:r>
            <w:r w:rsidR="00C369E4">
              <w:rPr>
                <w:rFonts w:ascii="Franklin Gothic Book" w:hAnsi="Franklin Gothic Book" w:cs="Arial"/>
                <w:sz w:val="18"/>
                <w:szCs w:val="18"/>
              </w:rPr>
              <w:t xml:space="preserve">in Connect PNG </w:t>
            </w:r>
            <w:r w:rsidR="00256A38" w:rsidRPr="00256A38">
              <w:rPr>
                <w:rFonts w:ascii="Franklin Gothic Book" w:hAnsi="Franklin Gothic Book" w:cs="Arial"/>
                <w:sz w:val="18"/>
                <w:szCs w:val="18"/>
              </w:rPr>
              <w:t xml:space="preserve">will increase the complexity in which transport infrastructure is funded, managed, and implemented in PNG. Under such circumstances, DFAT </w:t>
            </w:r>
            <w:r w:rsidR="00765C32">
              <w:rPr>
                <w:rFonts w:ascii="Franklin Gothic Book" w:hAnsi="Franklin Gothic Book" w:cs="Arial"/>
                <w:sz w:val="18"/>
                <w:szCs w:val="18"/>
              </w:rPr>
              <w:t xml:space="preserve">and GoPNG </w:t>
            </w:r>
            <w:r w:rsidR="00256A38" w:rsidRPr="00256A38">
              <w:rPr>
                <w:rFonts w:ascii="Franklin Gothic Book" w:hAnsi="Franklin Gothic Book" w:cs="Arial"/>
                <w:sz w:val="18"/>
                <w:szCs w:val="18"/>
              </w:rPr>
              <w:t xml:space="preserve">would do well to </w:t>
            </w:r>
            <w:r w:rsidR="00ED6E7C">
              <w:rPr>
                <w:rFonts w:ascii="Franklin Gothic Book" w:hAnsi="Franklin Gothic Book" w:cs="Arial"/>
                <w:sz w:val="18"/>
                <w:szCs w:val="18"/>
              </w:rPr>
              <w:t xml:space="preserve">help </w:t>
            </w:r>
            <w:r w:rsidR="00256A38" w:rsidRPr="00256A38">
              <w:rPr>
                <w:rFonts w:ascii="Franklin Gothic Book" w:hAnsi="Franklin Gothic Book" w:cs="Arial"/>
                <w:sz w:val="18"/>
                <w:szCs w:val="18"/>
              </w:rPr>
              <w:t xml:space="preserve">ensure </w:t>
            </w:r>
            <w:r w:rsidR="00E85F5F">
              <w:rPr>
                <w:rFonts w:ascii="Franklin Gothic Book" w:hAnsi="Franklin Gothic Book" w:cs="Arial"/>
                <w:sz w:val="18"/>
                <w:szCs w:val="18"/>
              </w:rPr>
              <w:t xml:space="preserve">transport agencies are </w:t>
            </w:r>
            <w:r w:rsidR="00256A38" w:rsidRPr="00256A38">
              <w:rPr>
                <w:rFonts w:ascii="Franklin Gothic Book" w:hAnsi="Franklin Gothic Book" w:cs="Arial"/>
                <w:sz w:val="18"/>
                <w:szCs w:val="18"/>
              </w:rPr>
              <w:t xml:space="preserve">adequately resourced to navigate this new territory. </w:t>
            </w:r>
            <w:bookmarkStart w:id="10" w:name="_Hlk105723261"/>
            <w:r w:rsidR="00256A38" w:rsidRPr="00256A38">
              <w:rPr>
                <w:rFonts w:ascii="Franklin Gothic Book" w:hAnsi="Franklin Gothic Book" w:cs="Arial"/>
                <w:sz w:val="18"/>
                <w:szCs w:val="18"/>
              </w:rPr>
              <w:t>As a partner of choice with a unique interest in developing PNG’s capacity to both develop and maintain its infrastructure,</w:t>
            </w:r>
            <w:r w:rsidR="00305171" w:rsidRPr="00AB272E">
              <w:rPr>
                <w:rFonts w:ascii="Franklin Gothic Book" w:hAnsi="Franklin Gothic Book" w:cs="Arial"/>
                <w:sz w:val="18"/>
                <w:szCs w:val="18"/>
              </w:rPr>
              <w:t xml:space="preserve"> DFAT</w:t>
            </w:r>
            <w:r w:rsidR="0021374C" w:rsidRPr="00AB272E">
              <w:rPr>
                <w:rFonts w:ascii="Franklin Gothic Book" w:hAnsi="Franklin Gothic Book" w:cs="Arial"/>
                <w:sz w:val="18"/>
                <w:szCs w:val="18"/>
              </w:rPr>
              <w:t xml:space="preserve">’s provision </w:t>
            </w:r>
            <w:r w:rsidR="00754A48" w:rsidRPr="00AB272E">
              <w:rPr>
                <w:rFonts w:ascii="Franklin Gothic Book" w:hAnsi="Franklin Gothic Book" w:cs="Arial"/>
                <w:sz w:val="18"/>
                <w:szCs w:val="18"/>
              </w:rPr>
              <w:t>of</w:t>
            </w:r>
            <w:r w:rsidR="007D76A1" w:rsidRPr="00AB272E">
              <w:rPr>
                <w:rFonts w:ascii="Franklin Gothic Book" w:hAnsi="Franklin Gothic Book" w:cs="Arial"/>
                <w:sz w:val="18"/>
                <w:szCs w:val="18"/>
              </w:rPr>
              <w:t xml:space="preserve"> technical assistance and advisory support </w:t>
            </w:r>
            <w:r w:rsidR="00C27371" w:rsidRPr="00AB272E">
              <w:rPr>
                <w:rFonts w:ascii="Franklin Gothic Book" w:hAnsi="Franklin Gothic Book" w:cs="Arial"/>
                <w:sz w:val="18"/>
                <w:szCs w:val="18"/>
              </w:rPr>
              <w:t>to</w:t>
            </w:r>
            <w:r w:rsidR="00305171" w:rsidRPr="00AB272E">
              <w:rPr>
                <w:rFonts w:ascii="Franklin Gothic Book" w:hAnsi="Franklin Gothic Book" w:cs="Arial"/>
                <w:sz w:val="18"/>
                <w:szCs w:val="18"/>
              </w:rPr>
              <w:t xml:space="preserve"> </w:t>
            </w:r>
            <w:r w:rsidR="00765C32" w:rsidRPr="00AB272E">
              <w:rPr>
                <w:rFonts w:ascii="Franklin Gothic Book" w:hAnsi="Franklin Gothic Book" w:cs="Arial"/>
                <w:sz w:val="18"/>
                <w:szCs w:val="18"/>
              </w:rPr>
              <w:t>DoT</w:t>
            </w:r>
            <w:r w:rsidR="00754A48" w:rsidRPr="00AB272E">
              <w:rPr>
                <w:rFonts w:ascii="Franklin Gothic Book" w:hAnsi="Franklin Gothic Book" w:cs="Arial"/>
                <w:sz w:val="18"/>
                <w:szCs w:val="18"/>
              </w:rPr>
              <w:t xml:space="preserve"> should be sustained.</w:t>
            </w:r>
            <w:r w:rsidR="00040B95" w:rsidRPr="00AB272E">
              <w:rPr>
                <w:rFonts w:ascii="Franklin Gothic Book" w:hAnsi="Franklin Gothic Book" w:cs="Arial"/>
                <w:sz w:val="18"/>
                <w:szCs w:val="18"/>
              </w:rPr>
              <w:t xml:space="preserve"> T</w:t>
            </w:r>
            <w:r w:rsidR="00040B95">
              <w:rPr>
                <w:rFonts w:ascii="Franklin Gothic Book" w:hAnsi="Franklin Gothic Book" w:cs="Arial"/>
                <w:sz w:val="18"/>
                <w:szCs w:val="18"/>
              </w:rPr>
              <w:t xml:space="preserve">he </w:t>
            </w:r>
            <w:r w:rsidR="00C0467B">
              <w:rPr>
                <w:rFonts w:ascii="Franklin Gothic Book" w:hAnsi="Franklin Gothic Book" w:cs="Arial"/>
                <w:sz w:val="18"/>
                <w:szCs w:val="18"/>
              </w:rPr>
              <w:t xml:space="preserve">technical assistance and </w:t>
            </w:r>
            <w:r w:rsidR="006B2FE1">
              <w:rPr>
                <w:rFonts w:ascii="Franklin Gothic Book" w:hAnsi="Franklin Gothic Book" w:cs="Arial"/>
                <w:sz w:val="18"/>
                <w:szCs w:val="18"/>
              </w:rPr>
              <w:t>advisory</w:t>
            </w:r>
            <w:r w:rsidR="00040B95">
              <w:rPr>
                <w:rFonts w:ascii="Franklin Gothic Book" w:hAnsi="Franklin Gothic Book" w:cs="Arial"/>
                <w:sz w:val="18"/>
                <w:szCs w:val="18"/>
              </w:rPr>
              <w:t xml:space="preserve"> support </w:t>
            </w:r>
            <w:r w:rsidR="006B2FE1">
              <w:rPr>
                <w:rFonts w:ascii="Franklin Gothic Book" w:hAnsi="Franklin Gothic Book" w:cs="Arial"/>
                <w:sz w:val="18"/>
                <w:szCs w:val="18"/>
              </w:rPr>
              <w:t>will</w:t>
            </w:r>
            <w:r w:rsidR="009F5D18">
              <w:rPr>
                <w:rFonts w:ascii="Franklin Gothic Book" w:hAnsi="Franklin Gothic Book" w:cs="Arial"/>
                <w:sz w:val="18"/>
                <w:szCs w:val="18"/>
              </w:rPr>
              <w:t xml:space="preserve"> help</w:t>
            </w:r>
            <w:r w:rsidR="006B2FE1">
              <w:rPr>
                <w:rFonts w:ascii="Franklin Gothic Book" w:hAnsi="Franklin Gothic Book" w:cs="Arial"/>
                <w:sz w:val="18"/>
                <w:szCs w:val="18"/>
              </w:rPr>
              <w:t xml:space="preserve"> </w:t>
            </w:r>
            <w:r w:rsidR="00305171" w:rsidRPr="00305171">
              <w:rPr>
                <w:rFonts w:ascii="Franklin Gothic Book" w:hAnsi="Franklin Gothic Book" w:cs="Arial"/>
                <w:sz w:val="18"/>
                <w:szCs w:val="18"/>
              </w:rPr>
              <w:t xml:space="preserve">ensure that TSSP3 </w:t>
            </w:r>
            <w:r w:rsidR="00D160E0">
              <w:rPr>
                <w:rFonts w:ascii="Franklin Gothic Book" w:hAnsi="Franklin Gothic Book" w:cs="Arial"/>
                <w:sz w:val="18"/>
                <w:szCs w:val="18"/>
              </w:rPr>
              <w:t>works</w:t>
            </w:r>
            <w:r w:rsidR="00D160E0" w:rsidRPr="00305171">
              <w:rPr>
                <w:rFonts w:ascii="Franklin Gothic Book" w:hAnsi="Franklin Gothic Book" w:cs="Arial"/>
                <w:sz w:val="18"/>
                <w:szCs w:val="18"/>
              </w:rPr>
              <w:t xml:space="preserve"> </w:t>
            </w:r>
            <w:r w:rsidR="00305171" w:rsidRPr="00305171">
              <w:rPr>
                <w:rFonts w:ascii="Franklin Gothic Book" w:hAnsi="Franklin Gothic Book" w:cs="Arial"/>
                <w:sz w:val="18"/>
                <w:szCs w:val="18"/>
              </w:rPr>
              <w:t xml:space="preserve">to strengthen PNG’s ability to develop sustainable transportation strategies that address PNG’s maintenance obligations whilst </w:t>
            </w:r>
            <w:r w:rsidR="00B73C55">
              <w:rPr>
                <w:rFonts w:ascii="Franklin Gothic Book" w:hAnsi="Franklin Gothic Book" w:cs="Arial"/>
                <w:sz w:val="18"/>
                <w:szCs w:val="18"/>
              </w:rPr>
              <w:t>supporting</w:t>
            </w:r>
            <w:r w:rsidR="00B73C55" w:rsidRPr="00305171">
              <w:rPr>
                <w:rFonts w:ascii="Franklin Gothic Book" w:hAnsi="Franklin Gothic Book" w:cs="Arial"/>
                <w:sz w:val="18"/>
                <w:szCs w:val="18"/>
              </w:rPr>
              <w:t xml:space="preserve"> </w:t>
            </w:r>
            <w:r w:rsidR="00305171" w:rsidRPr="00305171">
              <w:rPr>
                <w:rFonts w:ascii="Franklin Gothic Book" w:hAnsi="Franklin Gothic Book" w:cs="Arial"/>
                <w:sz w:val="18"/>
                <w:szCs w:val="18"/>
              </w:rPr>
              <w:t>inclusive, safe and environmental transport outcomes for all transport users. The</w:t>
            </w:r>
            <w:r w:rsidR="00980D07">
              <w:rPr>
                <w:rFonts w:ascii="Franklin Gothic Book" w:hAnsi="Franklin Gothic Book" w:cs="Arial"/>
                <w:sz w:val="18"/>
                <w:szCs w:val="18"/>
              </w:rPr>
              <w:t xml:space="preserve"> technical and advisory support </w:t>
            </w:r>
            <w:r w:rsidR="00305171" w:rsidRPr="00305171">
              <w:rPr>
                <w:rFonts w:ascii="Franklin Gothic Book" w:hAnsi="Franklin Gothic Book" w:cs="Arial"/>
                <w:sz w:val="18"/>
                <w:szCs w:val="18"/>
              </w:rPr>
              <w:t>will also allow TSSP3 to monitor and play a central role in the harmonisation of infrastructure activities by GoPNG and its investment partners</w:t>
            </w:r>
            <w:bookmarkEnd w:id="9"/>
            <w:r w:rsidR="008C531B">
              <w:rPr>
                <w:rFonts w:ascii="Franklin Gothic Book" w:hAnsi="Franklin Gothic Book" w:cs="Arial"/>
                <w:sz w:val="18"/>
                <w:szCs w:val="18"/>
              </w:rPr>
              <w:t>.</w:t>
            </w:r>
            <w:bookmarkEnd w:id="10"/>
          </w:p>
          <w:p w14:paraId="6F731F63" w14:textId="77777777" w:rsidR="00751CFB" w:rsidRDefault="00046A29" w:rsidP="00B81130">
            <w:pPr>
              <w:spacing w:before="60" w:after="60"/>
              <w:rPr>
                <w:rFonts w:ascii="Franklin Gothic Book" w:hAnsi="Franklin Gothic Book" w:cs="Arial"/>
                <w:spacing w:val="-2"/>
                <w:sz w:val="18"/>
                <w:szCs w:val="18"/>
              </w:rPr>
            </w:pPr>
            <w:r w:rsidRPr="00330945">
              <w:rPr>
                <w:rFonts w:ascii="Franklin Gothic Demi" w:hAnsi="Franklin Gothic Demi" w:cs="Arial"/>
                <w:color w:val="4C7B9E" w:themeColor="accent2"/>
                <w:spacing w:val="-2"/>
                <w:sz w:val="18"/>
                <w:szCs w:val="18"/>
              </w:rPr>
              <w:t xml:space="preserve">Recommendation </w:t>
            </w:r>
            <w:r w:rsidR="00045C05">
              <w:rPr>
                <w:rFonts w:ascii="Franklin Gothic Demi" w:hAnsi="Franklin Gothic Demi" w:cs="Arial"/>
                <w:color w:val="4C7B9E" w:themeColor="accent2"/>
                <w:spacing w:val="-2"/>
                <w:sz w:val="18"/>
                <w:szCs w:val="18"/>
              </w:rPr>
              <w:t>1</w:t>
            </w:r>
            <w:r w:rsidR="00F8277D">
              <w:rPr>
                <w:rFonts w:ascii="Franklin Gothic Demi" w:hAnsi="Franklin Gothic Demi" w:cs="Arial"/>
                <w:color w:val="4C7B9E" w:themeColor="accent2"/>
                <w:spacing w:val="-2"/>
                <w:sz w:val="18"/>
                <w:szCs w:val="18"/>
              </w:rPr>
              <w:t>1</w:t>
            </w:r>
            <w:r w:rsidRPr="00330945">
              <w:rPr>
                <w:rFonts w:ascii="Franklin Gothic Demi" w:hAnsi="Franklin Gothic Demi" w:cs="Arial"/>
                <w:color w:val="4C7B9E" w:themeColor="accent2"/>
                <w:spacing w:val="-2"/>
                <w:sz w:val="18"/>
                <w:szCs w:val="18"/>
              </w:rPr>
              <w:t>:</w:t>
            </w:r>
            <w:r w:rsidRPr="00330945">
              <w:rPr>
                <w:rFonts w:ascii="Franklin Gothic Book" w:hAnsi="Franklin Gothic Book" w:cs="Arial"/>
                <w:color w:val="4C7B9E" w:themeColor="accent2"/>
                <w:spacing w:val="-2"/>
                <w:sz w:val="18"/>
                <w:szCs w:val="18"/>
              </w:rPr>
              <w:t xml:space="preserve"> </w:t>
            </w:r>
            <w:r w:rsidR="009242B0" w:rsidRPr="00116913">
              <w:rPr>
                <w:rFonts w:ascii="Franklin Gothic Book" w:hAnsi="Franklin Gothic Book" w:cs="Arial"/>
                <w:spacing w:val="-2"/>
                <w:sz w:val="18"/>
                <w:szCs w:val="18"/>
              </w:rPr>
              <w:t>Given</w:t>
            </w:r>
            <w:r w:rsidR="009242B0" w:rsidRPr="009242B0">
              <w:rPr>
                <w:rFonts w:ascii="Franklin Gothic Book" w:hAnsi="Franklin Gothic Book" w:cs="Arial"/>
                <w:spacing w:val="-2"/>
                <w:sz w:val="18"/>
                <w:szCs w:val="18"/>
              </w:rPr>
              <w:t xml:space="preserve"> the burgeoning scope of infrastructure under management, TSSP3 will also need to broaden GoPNG’s asset management capability beyond ensuring that funding and resources are adequate to meet the needs of the network under normal operating conditions. Under TSSP3, GoPNG asset management will need to </w:t>
            </w:r>
            <w:r w:rsidR="002343D7" w:rsidRPr="002343D7">
              <w:rPr>
                <w:rFonts w:ascii="Franklin Gothic Book" w:hAnsi="Franklin Gothic Book" w:cs="Arial"/>
                <w:spacing w:val="-2"/>
                <w:sz w:val="18"/>
                <w:szCs w:val="18"/>
              </w:rPr>
              <w:t xml:space="preserve">be adequately resourced to </w:t>
            </w:r>
            <w:r w:rsidR="009242B0" w:rsidRPr="009242B0">
              <w:rPr>
                <w:rFonts w:ascii="Franklin Gothic Book" w:hAnsi="Franklin Gothic Book" w:cs="Arial"/>
                <w:spacing w:val="-2"/>
                <w:sz w:val="18"/>
                <w:szCs w:val="18"/>
              </w:rPr>
              <w:t xml:space="preserve">quantify the effects of potentially adverse climatic conditions caused by climate change. Though notoriously difficult to </w:t>
            </w:r>
            <w:r w:rsidR="009242B0" w:rsidRPr="009242B0">
              <w:rPr>
                <w:rFonts w:ascii="Franklin Gothic Book" w:hAnsi="Franklin Gothic Book" w:cs="Arial"/>
                <w:spacing w:val="-2"/>
                <w:sz w:val="18"/>
                <w:szCs w:val="18"/>
              </w:rPr>
              <w:lastRenderedPageBreak/>
              <w:t xml:space="preserve">forecast, such capabilities will be essential to mitigating </w:t>
            </w:r>
            <w:r w:rsidR="007F0CBE">
              <w:rPr>
                <w:rFonts w:ascii="Franklin Gothic Book" w:hAnsi="Franklin Gothic Book" w:cs="Arial"/>
                <w:spacing w:val="-2"/>
                <w:sz w:val="18"/>
                <w:szCs w:val="18"/>
              </w:rPr>
              <w:t xml:space="preserve">operational </w:t>
            </w:r>
            <w:r w:rsidR="009242B0" w:rsidRPr="009242B0">
              <w:rPr>
                <w:rFonts w:ascii="Franklin Gothic Book" w:hAnsi="Franklin Gothic Book" w:cs="Arial"/>
                <w:spacing w:val="-2"/>
                <w:sz w:val="18"/>
                <w:szCs w:val="18"/>
              </w:rPr>
              <w:t xml:space="preserve">risk for </w:t>
            </w:r>
            <w:r w:rsidR="00AD542A">
              <w:rPr>
                <w:rFonts w:ascii="Franklin Gothic Book" w:hAnsi="Franklin Gothic Book" w:cs="Arial"/>
                <w:spacing w:val="-2"/>
                <w:sz w:val="18"/>
                <w:szCs w:val="18"/>
              </w:rPr>
              <w:t xml:space="preserve">new and existing </w:t>
            </w:r>
            <w:r w:rsidR="009242B0" w:rsidRPr="009242B0">
              <w:rPr>
                <w:rFonts w:ascii="Franklin Gothic Book" w:hAnsi="Franklin Gothic Book" w:cs="Arial"/>
                <w:spacing w:val="-2"/>
                <w:sz w:val="18"/>
                <w:szCs w:val="18"/>
              </w:rPr>
              <w:t>marine structures such as ports</w:t>
            </w:r>
            <w:r w:rsidR="000C276B">
              <w:rPr>
                <w:rFonts w:ascii="Franklin Gothic Book" w:hAnsi="Franklin Gothic Book" w:cs="Arial"/>
                <w:spacing w:val="-2"/>
                <w:sz w:val="18"/>
                <w:szCs w:val="18"/>
              </w:rPr>
              <w:t xml:space="preserve"> as well as informing the design and upgrade of</w:t>
            </w:r>
            <w:r w:rsidR="009242B0" w:rsidRPr="009242B0">
              <w:rPr>
                <w:rFonts w:ascii="Franklin Gothic Book" w:hAnsi="Franklin Gothic Book" w:cs="Arial"/>
                <w:spacing w:val="-2"/>
                <w:sz w:val="18"/>
                <w:szCs w:val="18"/>
              </w:rPr>
              <w:t xml:space="preserve"> roads </w:t>
            </w:r>
            <w:r w:rsidR="0006708D">
              <w:rPr>
                <w:rFonts w:ascii="Franklin Gothic Book" w:hAnsi="Franklin Gothic Book" w:cs="Arial"/>
                <w:spacing w:val="-2"/>
                <w:sz w:val="18"/>
                <w:szCs w:val="18"/>
              </w:rPr>
              <w:t xml:space="preserve">and bridge structures </w:t>
            </w:r>
            <w:r w:rsidR="009242B0" w:rsidRPr="009242B0">
              <w:rPr>
                <w:rFonts w:ascii="Franklin Gothic Book" w:hAnsi="Franklin Gothic Book" w:cs="Arial"/>
                <w:spacing w:val="-2"/>
                <w:sz w:val="18"/>
                <w:szCs w:val="18"/>
              </w:rPr>
              <w:t xml:space="preserve">in low-lying or coastal environments. </w:t>
            </w:r>
          </w:p>
          <w:p w14:paraId="444EC902" w14:textId="522CAEEA" w:rsidR="00C72889" w:rsidRPr="00C72889" w:rsidRDefault="00C72889" w:rsidP="00C72889">
            <w:pPr>
              <w:spacing w:before="60" w:after="60"/>
              <w:rPr>
                <w:rFonts w:ascii="Franklin Gothic Book" w:hAnsi="Franklin Gothic Book" w:cs="Arial"/>
                <w:spacing w:val="-2"/>
                <w:sz w:val="18"/>
                <w:szCs w:val="18"/>
              </w:rPr>
            </w:pPr>
            <w:r w:rsidRPr="00330945">
              <w:rPr>
                <w:rFonts w:ascii="Franklin Gothic Demi" w:hAnsi="Franklin Gothic Demi" w:cs="Arial"/>
                <w:color w:val="4C7B9E" w:themeColor="accent2"/>
                <w:spacing w:val="-2"/>
                <w:sz w:val="18"/>
                <w:szCs w:val="18"/>
              </w:rPr>
              <w:t xml:space="preserve">Recommendation </w:t>
            </w:r>
            <w:r>
              <w:rPr>
                <w:rFonts w:ascii="Franklin Gothic Demi" w:hAnsi="Franklin Gothic Demi" w:cs="Arial"/>
                <w:color w:val="4C7B9E" w:themeColor="accent2"/>
                <w:spacing w:val="-2"/>
                <w:sz w:val="18"/>
                <w:szCs w:val="18"/>
              </w:rPr>
              <w:t>12</w:t>
            </w:r>
            <w:r w:rsidRPr="00330945">
              <w:rPr>
                <w:rFonts w:ascii="Franklin Gothic Demi" w:hAnsi="Franklin Gothic Demi" w:cs="Arial"/>
                <w:color w:val="4C7B9E" w:themeColor="accent2"/>
                <w:spacing w:val="-2"/>
                <w:sz w:val="18"/>
                <w:szCs w:val="18"/>
              </w:rPr>
              <w:t>:</w:t>
            </w:r>
            <w:r w:rsidRPr="00330945">
              <w:rPr>
                <w:rFonts w:ascii="Franklin Gothic Book" w:hAnsi="Franklin Gothic Book" w:cs="Arial"/>
                <w:color w:val="4C7B9E" w:themeColor="accent2"/>
                <w:spacing w:val="-2"/>
                <w:sz w:val="18"/>
                <w:szCs w:val="18"/>
              </w:rPr>
              <w:t xml:space="preserve"> </w:t>
            </w:r>
            <w:r w:rsidRPr="00C72889">
              <w:rPr>
                <w:rFonts w:ascii="Franklin Gothic Book" w:hAnsi="Franklin Gothic Book" w:cs="Arial"/>
                <w:spacing w:val="-2"/>
                <w:sz w:val="18"/>
                <w:szCs w:val="18"/>
              </w:rPr>
              <w:t xml:space="preserve">Should AIFFP choose to work with TSSP2, it is imperative that TSSP2 retains the discretion to continue its important work in stakeholder engagement, capacity building, maintenance, </w:t>
            </w:r>
            <w:r w:rsidR="00F37E32">
              <w:rPr>
                <w:rFonts w:ascii="Franklin Gothic Book" w:hAnsi="Franklin Gothic Book" w:cs="Arial"/>
                <w:spacing w:val="-2"/>
                <w:sz w:val="18"/>
                <w:szCs w:val="18"/>
              </w:rPr>
              <w:t xml:space="preserve">policy and legal support </w:t>
            </w:r>
            <w:r w:rsidR="00304127">
              <w:rPr>
                <w:rFonts w:ascii="Franklin Gothic Book" w:hAnsi="Franklin Gothic Book" w:cs="Arial"/>
                <w:spacing w:val="-2"/>
                <w:sz w:val="18"/>
                <w:szCs w:val="18"/>
              </w:rPr>
              <w:t xml:space="preserve">and </w:t>
            </w:r>
            <w:r w:rsidRPr="00C72889">
              <w:rPr>
                <w:rFonts w:ascii="Franklin Gothic Book" w:hAnsi="Franklin Gothic Book" w:cs="Arial"/>
                <w:spacing w:val="-2"/>
                <w:sz w:val="18"/>
                <w:szCs w:val="18"/>
              </w:rPr>
              <w:t xml:space="preserve">reform. These essential activities are critical to the efficacy of the national transport network but also </w:t>
            </w:r>
            <w:r w:rsidR="00F1004C">
              <w:rPr>
                <w:rFonts w:ascii="Franklin Gothic Book" w:hAnsi="Franklin Gothic Book" w:cs="Arial"/>
                <w:spacing w:val="-2"/>
                <w:sz w:val="18"/>
                <w:szCs w:val="18"/>
              </w:rPr>
              <w:t xml:space="preserve">to help </w:t>
            </w:r>
            <w:r w:rsidRPr="00C72889">
              <w:rPr>
                <w:rFonts w:ascii="Franklin Gothic Book" w:hAnsi="Franklin Gothic Book" w:cs="Arial"/>
                <w:spacing w:val="-2"/>
                <w:sz w:val="18"/>
                <w:szCs w:val="18"/>
              </w:rPr>
              <w:t xml:space="preserve">ensure institutional preparedness to implement and administer new infrastructure investments. TSSP2’s understanding of DFAT processes and familiarity with PNG institutional and private sector capacity provides ground to facilitate the preparatory work that AIFFP requires to finance transport infrastructure investments. Also, TSSP2 should be adequately resourced to support AIFFP in the rollout of these investment projects, especially where the activities are considered to be synergetic and highly complementary. </w:t>
            </w:r>
          </w:p>
          <w:p w14:paraId="1D821CF5" w14:textId="763436E0" w:rsidR="00C72889" w:rsidRPr="00C72889" w:rsidRDefault="00C72889" w:rsidP="00C72889">
            <w:pPr>
              <w:spacing w:before="60" w:after="60"/>
              <w:rPr>
                <w:rFonts w:ascii="Franklin Gothic Book" w:hAnsi="Franklin Gothic Book" w:cs="Arial"/>
                <w:spacing w:val="-2"/>
                <w:sz w:val="18"/>
                <w:szCs w:val="18"/>
              </w:rPr>
            </w:pPr>
            <w:r w:rsidRPr="00330945">
              <w:rPr>
                <w:rFonts w:ascii="Franklin Gothic Demi" w:hAnsi="Franklin Gothic Demi" w:cs="Arial"/>
                <w:color w:val="4C7B9E" w:themeColor="accent2"/>
                <w:spacing w:val="-2"/>
                <w:sz w:val="18"/>
                <w:szCs w:val="18"/>
              </w:rPr>
              <w:t xml:space="preserve">Recommendation </w:t>
            </w:r>
            <w:r>
              <w:rPr>
                <w:rFonts w:ascii="Franklin Gothic Demi" w:hAnsi="Franklin Gothic Demi" w:cs="Arial"/>
                <w:color w:val="4C7B9E" w:themeColor="accent2"/>
                <w:spacing w:val="-2"/>
                <w:sz w:val="18"/>
                <w:szCs w:val="18"/>
              </w:rPr>
              <w:t>13</w:t>
            </w:r>
            <w:r w:rsidRPr="00330945">
              <w:rPr>
                <w:rFonts w:ascii="Franklin Gothic Demi" w:hAnsi="Franklin Gothic Demi" w:cs="Arial"/>
                <w:color w:val="4C7B9E" w:themeColor="accent2"/>
                <w:spacing w:val="-2"/>
                <w:sz w:val="18"/>
                <w:szCs w:val="18"/>
              </w:rPr>
              <w:t>:</w:t>
            </w:r>
            <w:r w:rsidRPr="00330945">
              <w:rPr>
                <w:rFonts w:ascii="Franklin Gothic Book" w:hAnsi="Franklin Gothic Book" w:cs="Arial"/>
                <w:color w:val="4C7B9E" w:themeColor="accent2"/>
                <w:spacing w:val="-2"/>
                <w:sz w:val="18"/>
                <w:szCs w:val="18"/>
              </w:rPr>
              <w:t xml:space="preserve"> </w:t>
            </w:r>
            <w:r w:rsidRPr="00C72889">
              <w:rPr>
                <w:rFonts w:ascii="Franklin Gothic Book" w:hAnsi="Franklin Gothic Book" w:cs="Arial"/>
                <w:spacing w:val="-2"/>
                <w:sz w:val="18"/>
                <w:szCs w:val="18"/>
              </w:rPr>
              <w:t xml:space="preserve">TSSP2 and AIFFP should collaborate and develop systems that </w:t>
            </w:r>
            <w:r w:rsidR="00F1004C">
              <w:rPr>
                <w:rFonts w:ascii="Franklin Gothic Book" w:hAnsi="Franklin Gothic Book" w:cs="Arial"/>
                <w:spacing w:val="-2"/>
                <w:sz w:val="18"/>
                <w:szCs w:val="18"/>
              </w:rPr>
              <w:t>enable</w:t>
            </w:r>
            <w:r w:rsidR="00F1004C" w:rsidRPr="00C72889">
              <w:rPr>
                <w:rFonts w:ascii="Franklin Gothic Book" w:hAnsi="Franklin Gothic Book" w:cs="Arial"/>
                <w:spacing w:val="-2"/>
                <w:sz w:val="18"/>
                <w:szCs w:val="18"/>
              </w:rPr>
              <w:t xml:space="preserve"> </w:t>
            </w:r>
            <w:r w:rsidRPr="00C72889">
              <w:rPr>
                <w:rFonts w:ascii="Franklin Gothic Book" w:hAnsi="Franklin Gothic Book" w:cs="Arial"/>
                <w:spacing w:val="-2"/>
                <w:sz w:val="18"/>
                <w:szCs w:val="18"/>
              </w:rPr>
              <w:t>complementarity in these shared objectives. Where AIFFP is focused on transport infrastructure, it should collaborate and work closely with TSSP2 due to the technical knowledge and relationships/networks it has in PNG.</w:t>
            </w:r>
          </w:p>
          <w:p w14:paraId="6F118010" w14:textId="3855C878" w:rsidR="009472D2" w:rsidRDefault="00C72889" w:rsidP="00C72889">
            <w:pPr>
              <w:spacing w:before="60" w:after="60"/>
              <w:rPr>
                <w:rFonts w:ascii="Franklin Gothic Book" w:hAnsi="Franklin Gothic Book" w:cs="Arial"/>
                <w:spacing w:val="-2"/>
                <w:sz w:val="18"/>
                <w:szCs w:val="18"/>
              </w:rPr>
            </w:pPr>
            <w:r w:rsidRPr="00330945">
              <w:rPr>
                <w:rFonts w:ascii="Franklin Gothic Demi" w:hAnsi="Franklin Gothic Demi" w:cs="Arial"/>
                <w:color w:val="4C7B9E" w:themeColor="accent2"/>
                <w:spacing w:val="-2"/>
                <w:sz w:val="18"/>
                <w:szCs w:val="18"/>
              </w:rPr>
              <w:t xml:space="preserve">Recommendation </w:t>
            </w:r>
            <w:r>
              <w:rPr>
                <w:rFonts w:ascii="Franklin Gothic Demi" w:hAnsi="Franklin Gothic Demi" w:cs="Arial"/>
                <w:color w:val="4C7B9E" w:themeColor="accent2"/>
                <w:spacing w:val="-2"/>
                <w:sz w:val="18"/>
                <w:szCs w:val="18"/>
              </w:rPr>
              <w:t>14</w:t>
            </w:r>
            <w:r w:rsidRPr="00330945">
              <w:rPr>
                <w:rFonts w:ascii="Franklin Gothic Demi" w:hAnsi="Franklin Gothic Demi" w:cs="Arial"/>
                <w:color w:val="4C7B9E" w:themeColor="accent2"/>
                <w:spacing w:val="-2"/>
                <w:sz w:val="18"/>
                <w:szCs w:val="18"/>
              </w:rPr>
              <w:t>:</w:t>
            </w:r>
            <w:r w:rsidRPr="00330945">
              <w:rPr>
                <w:rFonts w:ascii="Franklin Gothic Book" w:hAnsi="Franklin Gothic Book" w:cs="Arial"/>
                <w:color w:val="4C7B9E" w:themeColor="accent2"/>
                <w:spacing w:val="-2"/>
                <w:sz w:val="18"/>
                <w:szCs w:val="18"/>
              </w:rPr>
              <w:t xml:space="preserve"> </w:t>
            </w:r>
            <w:r w:rsidRPr="00C72889">
              <w:rPr>
                <w:rFonts w:ascii="Franklin Gothic Book" w:hAnsi="Franklin Gothic Book" w:cs="Arial"/>
                <w:spacing w:val="-2"/>
                <w:sz w:val="18"/>
                <w:szCs w:val="18"/>
              </w:rPr>
              <w:t>As long as AIFFP has investments in PNG, AIFFP should have appropriate staffing levels based in the Australian High Commission (AHC) to engage with partners and implement programs</w:t>
            </w:r>
            <w:r w:rsidR="005A0FA4">
              <w:rPr>
                <w:rFonts w:ascii="Franklin Gothic Book" w:hAnsi="Franklin Gothic Book" w:cs="Arial"/>
                <w:spacing w:val="-2"/>
                <w:sz w:val="18"/>
                <w:szCs w:val="18"/>
              </w:rPr>
              <w:t xml:space="preserve">. </w:t>
            </w:r>
            <w:r w:rsidR="007E0811">
              <w:rPr>
                <w:rFonts w:ascii="Franklin Gothic Book" w:hAnsi="Franklin Gothic Book" w:cs="Arial"/>
                <w:spacing w:val="-2"/>
                <w:sz w:val="18"/>
                <w:szCs w:val="18"/>
              </w:rPr>
              <w:t xml:space="preserve">The AIFFP </w:t>
            </w:r>
            <w:r w:rsidR="004E7918">
              <w:rPr>
                <w:rFonts w:ascii="Franklin Gothic Book" w:hAnsi="Franklin Gothic Book" w:cs="Arial"/>
                <w:spacing w:val="-2"/>
                <w:sz w:val="18"/>
                <w:szCs w:val="18"/>
              </w:rPr>
              <w:t xml:space="preserve">focal </w:t>
            </w:r>
            <w:r w:rsidR="007E0811">
              <w:rPr>
                <w:rFonts w:ascii="Franklin Gothic Book" w:hAnsi="Franklin Gothic Book" w:cs="Arial"/>
                <w:spacing w:val="-2"/>
                <w:sz w:val="18"/>
                <w:szCs w:val="18"/>
              </w:rPr>
              <w:t xml:space="preserve">point at the AHC will </w:t>
            </w:r>
            <w:r w:rsidRPr="00C72889">
              <w:rPr>
                <w:rFonts w:ascii="Franklin Gothic Book" w:hAnsi="Franklin Gothic Book" w:cs="Arial"/>
                <w:spacing w:val="-2"/>
                <w:sz w:val="18"/>
                <w:szCs w:val="18"/>
              </w:rPr>
              <w:t xml:space="preserve"> coordinate and be a focal point between TSSP2, AIFFP and other government agencies and SOEs. Though current in-country support to AIFFP has been absorbed by the infrastructure team in AHC, future AIFFP investments in PNG should be matched by increased designated resources at the AHC.</w:t>
            </w:r>
          </w:p>
          <w:p w14:paraId="574978B5" w14:textId="77777777" w:rsidR="001B09B1" w:rsidRDefault="001B09B1" w:rsidP="00C72889">
            <w:pPr>
              <w:spacing w:before="60" w:after="60"/>
              <w:rPr>
                <w:rFonts w:ascii="Franklin Gothic Book" w:hAnsi="Franklin Gothic Book" w:cs="Arial"/>
                <w:spacing w:val="-2"/>
                <w:sz w:val="18"/>
                <w:szCs w:val="18"/>
              </w:rPr>
            </w:pPr>
          </w:p>
          <w:p w14:paraId="5569E944" w14:textId="75AE63A3" w:rsidR="001B09B1" w:rsidRPr="00165C55" w:rsidRDefault="001B09B1" w:rsidP="00C72889">
            <w:pPr>
              <w:spacing w:before="60" w:after="60"/>
              <w:rPr>
                <w:rFonts w:ascii="Franklin Gothic Book" w:hAnsi="Franklin Gothic Book" w:cs="Arial"/>
                <w:spacing w:val="-2"/>
                <w:sz w:val="18"/>
                <w:szCs w:val="18"/>
              </w:rPr>
            </w:pPr>
          </w:p>
        </w:tc>
      </w:tr>
    </w:tbl>
    <w:p w14:paraId="6D50FA9E" w14:textId="6345F7A8" w:rsidR="00E901C1" w:rsidRDefault="00E901C1">
      <w:pPr>
        <w:rPr>
          <w:rFonts w:cs="Arial"/>
          <w:b/>
          <w:color w:val="003478" w:themeColor="accent1"/>
          <w:sz w:val="22"/>
          <w:szCs w:val="22"/>
        </w:rPr>
      </w:pPr>
    </w:p>
    <w:p w14:paraId="2545010C" w14:textId="77777777" w:rsidR="00C3691E" w:rsidRDefault="00E901C1">
      <w:pPr>
        <w:rPr>
          <w:rFonts w:cs="Arial"/>
          <w:b/>
          <w:color w:val="003478" w:themeColor="accent1"/>
          <w:sz w:val="22"/>
          <w:szCs w:val="22"/>
        </w:rPr>
      </w:pPr>
      <w:r>
        <w:rPr>
          <w:rFonts w:cs="Arial"/>
          <w:b/>
          <w:color w:val="003478" w:themeColor="accent1"/>
          <w:sz w:val="22"/>
          <w:szCs w:val="22"/>
        </w:rPr>
        <w:br w:type="column"/>
      </w:r>
    </w:p>
    <w:p w14:paraId="55DE5020" w14:textId="7A2CD3FD" w:rsidR="00C2774D" w:rsidRPr="009472D2" w:rsidRDefault="00845355" w:rsidP="009472D2">
      <w:pPr>
        <w:pStyle w:val="BigText"/>
        <w:rPr>
          <w:b/>
          <w:color w:val="003478" w:themeColor="accent1"/>
          <w:sz w:val="22"/>
          <w:szCs w:val="22"/>
        </w:rPr>
      </w:pPr>
      <w:r w:rsidRPr="004C2507">
        <w:t>Contents</w:t>
      </w:r>
    </w:p>
    <w:p w14:paraId="2C419C95" w14:textId="678D46B6" w:rsidR="00464922" w:rsidRDefault="00165C55">
      <w:pPr>
        <w:pStyle w:val="TOC1"/>
        <w:rPr>
          <w:rFonts w:asciiTheme="minorHAnsi" w:eastAsiaTheme="minorEastAsia" w:hAnsiTheme="minorHAnsi" w:cstheme="minorBidi"/>
          <w:noProof/>
          <w:sz w:val="22"/>
          <w:szCs w:val="22"/>
          <w:lang w:val="en-US"/>
        </w:rPr>
      </w:pPr>
      <w:r>
        <w:rPr>
          <w:rFonts w:ascii="Franklin Gothic Book" w:hAnsi="Franklin Gothic Book" w:cs="Arial"/>
          <w:sz w:val="18"/>
          <w:szCs w:val="18"/>
        </w:rPr>
        <w:fldChar w:fldCharType="begin"/>
      </w:r>
      <w:r>
        <w:rPr>
          <w:rFonts w:ascii="Franklin Gothic Book" w:hAnsi="Franklin Gothic Book" w:cs="Arial"/>
          <w:sz w:val="18"/>
          <w:szCs w:val="18"/>
        </w:rPr>
        <w:instrText xml:space="preserve"> TOC \o "2-2" \h \z \t "Heading 1,1,Cover Page,1,Heading 1 No Numbers,1,Annex Title,1" </w:instrText>
      </w:r>
      <w:r>
        <w:rPr>
          <w:rFonts w:ascii="Franklin Gothic Book" w:hAnsi="Franklin Gothic Book" w:cs="Arial"/>
          <w:sz w:val="18"/>
          <w:szCs w:val="18"/>
        </w:rPr>
        <w:fldChar w:fldCharType="separate"/>
      </w:r>
      <w:hyperlink w:anchor="_Toc99121764" w:history="1">
        <w:r w:rsidR="00464922" w:rsidRPr="008A301F">
          <w:rPr>
            <w:rStyle w:val="Hyperlink"/>
            <w:noProof/>
          </w:rPr>
          <w:t>Executive Summary</w:t>
        </w:r>
        <w:r w:rsidR="00464922">
          <w:rPr>
            <w:noProof/>
            <w:webHidden/>
          </w:rPr>
          <w:tab/>
        </w:r>
        <w:r w:rsidR="00464922">
          <w:rPr>
            <w:noProof/>
            <w:webHidden/>
          </w:rPr>
          <w:fldChar w:fldCharType="begin"/>
        </w:r>
        <w:r w:rsidR="00464922">
          <w:rPr>
            <w:noProof/>
            <w:webHidden/>
          </w:rPr>
          <w:instrText xml:space="preserve"> PAGEREF _Toc99121764 \h </w:instrText>
        </w:r>
        <w:r w:rsidR="00464922">
          <w:rPr>
            <w:noProof/>
            <w:webHidden/>
          </w:rPr>
        </w:r>
        <w:r w:rsidR="00464922">
          <w:rPr>
            <w:noProof/>
            <w:webHidden/>
          </w:rPr>
          <w:fldChar w:fldCharType="separate"/>
        </w:r>
        <w:r w:rsidR="00604BD9">
          <w:rPr>
            <w:noProof/>
            <w:webHidden/>
          </w:rPr>
          <w:t>1</w:t>
        </w:r>
        <w:r w:rsidR="00464922">
          <w:rPr>
            <w:noProof/>
            <w:webHidden/>
          </w:rPr>
          <w:fldChar w:fldCharType="end"/>
        </w:r>
      </w:hyperlink>
    </w:p>
    <w:p w14:paraId="6C20CEA7" w14:textId="56747214" w:rsidR="00464922" w:rsidRDefault="00391EF1">
      <w:pPr>
        <w:pStyle w:val="TOC2"/>
        <w:rPr>
          <w:rFonts w:asciiTheme="minorHAnsi" w:eastAsiaTheme="minorEastAsia" w:hAnsiTheme="minorHAnsi" w:cstheme="minorBidi"/>
          <w:noProof/>
          <w:sz w:val="22"/>
          <w:szCs w:val="22"/>
          <w:lang w:val="en-US"/>
        </w:rPr>
      </w:pPr>
      <w:hyperlink w:anchor="_Toc99121765" w:history="1">
        <w:r w:rsidR="00464922" w:rsidRPr="008A301F">
          <w:rPr>
            <w:rStyle w:val="Hyperlink"/>
            <w:noProof/>
          </w:rPr>
          <w:t>Introduction</w:t>
        </w:r>
        <w:r w:rsidR="00464922">
          <w:rPr>
            <w:noProof/>
            <w:webHidden/>
          </w:rPr>
          <w:tab/>
        </w:r>
        <w:r w:rsidR="00464922">
          <w:rPr>
            <w:noProof/>
            <w:webHidden/>
          </w:rPr>
          <w:fldChar w:fldCharType="begin"/>
        </w:r>
        <w:r w:rsidR="00464922">
          <w:rPr>
            <w:noProof/>
            <w:webHidden/>
          </w:rPr>
          <w:instrText xml:space="preserve"> PAGEREF _Toc99121765 \h </w:instrText>
        </w:r>
        <w:r w:rsidR="00464922">
          <w:rPr>
            <w:noProof/>
            <w:webHidden/>
          </w:rPr>
        </w:r>
        <w:r w:rsidR="00464922">
          <w:rPr>
            <w:noProof/>
            <w:webHidden/>
          </w:rPr>
          <w:fldChar w:fldCharType="separate"/>
        </w:r>
        <w:r w:rsidR="00604BD9">
          <w:rPr>
            <w:noProof/>
            <w:webHidden/>
          </w:rPr>
          <w:t>1</w:t>
        </w:r>
        <w:r w:rsidR="00464922">
          <w:rPr>
            <w:noProof/>
            <w:webHidden/>
          </w:rPr>
          <w:fldChar w:fldCharType="end"/>
        </w:r>
      </w:hyperlink>
    </w:p>
    <w:p w14:paraId="41A4DB4C" w14:textId="346BF448" w:rsidR="00464922" w:rsidRDefault="00391EF1">
      <w:pPr>
        <w:pStyle w:val="TOC2"/>
        <w:rPr>
          <w:rFonts w:asciiTheme="minorHAnsi" w:eastAsiaTheme="minorEastAsia" w:hAnsiTheme="minorHAnsi" w:cstheme="minorBidi"/>
          <w:noProof/>
          <w:sz w:val="22"/>
          <w:szCs w:val="22"/>
          <w:lang w:val="en-US"/>
        </w:rPr>
      </w:pPr>
      <w:hyperlink w:anchor="_Toc99121766" w:history="1">
        <w:r w:rsidR="00464922" w:rsidRPr="008A301F">
          <w:rPr>
            <w:rStyle w:val="Hyperlink"/>
            <w:noProof/>
          </w:rPr>
          <w:t>Background and context</w:t>
        </w:r>
        <w:r w:rsidR="00464922">
          <w:rPr>
            <w:noProof/>
            <w:webHidden/>
          </w:rPr>
          <w:tab/>
        </w:r>
        <w:r w:rsidR="00464922">
          <w:rPr>
            <w:noProof/>
            <w:webHidden/>
          </w:rPr>
          <w:fldChar w:fldCharType="begin"/>
        </w:r>
        <w:r w:rsidR="00464922">
          <w:rPr>
            <w:noProof/>
            <w:webHidden/>
          </w:rPr>
          <w:instrText xml:space="preserve"> PAGEREF _Toc99121766 \h </w:instrText>
        </w:r>
        <w:r w:rsidR="00464922">
          <w:rPr>
            <w:noProof/>
            <w:webHidden/>
          </w:rPr>
        </w:r>
        <w:r w:rsidR="00464922">
          <w:rPr>
            <w:noProof/>
            <w:webHidden/>
          </w:rPr>
          <w:fldChar w:fldCharType="separate"/>
        </w:r>
        <w:r w:rsidR="00604BD9">
          <w:rPr>
            <w:noProof/>
            <w:webHidden/>
          </w:rPr>
          <w:t>1</w:t>
        </w:r>
        <w:r w:rsidR="00464922">
          <w:rPr>
            <w:noProof/>
            <w:webHidden/>
          </w:rPr>
          <w:fldChar w:fldCharType="end"/>
        </w:r>
      </w:hyperlink>
    </w:p>
    <w:p w14:paraId="6C7DCB8C" w14:textId="5883A59D" w:rsidR="00464922" w:rsidRDefault="00391EF1">
      <w:pPr>
        <w:pStyle w:val="TOC2"/>
        <w:rPr>
          <w:rFonts w:asciiTheme="minorHAnsi" w:eastAsiaTheme="minorEastAsia" w:hAnsiTheme="minorHAnsi" w:cstheme="minorBidi"/>
          <w:noProof/>
          <w:sz w:val="22"/>
          <w:szCs w:val="22"/>
          <w:lang w:val="en-US"/>
        </w:rPr>
      </w:pPr>
      <w:hyperlink w:anchor="_Toc99121767" w:history="1">
        <w:r w:rsidR="00464922" w:rsidRPr="008A301F">
          <w:rPr>
            <w:rStyle w:val="Hyperlink"/>
            <w:noProof/>
          </w:rPr>
          <w:t>Review purpose and scope</w:t>
        </w:r>
        <w:r w:rsidR="00464922">
          <w:rPr>
            <w:noProof/>
            <w:webHidden/>
          </w:rPr>
          <w:tab/>
        </w:r>
        <w:r w:rsidR="00464922">
          <w:rPr>
            <w:noProof/>
            <w:webHidden/>
          </w:rPr>
          <w:fldChar w:fldCharType="begin"/>
        </w:r>
        <w:r w:rsidR="00464922">
          <w:rPr>
            <w:noProof/>
            <w:webHidden/>
          </w:rPr>
          <w:instrText xml:space="preserve"> PAGEREF _Toc99121767 \h </w:instrText>
        </w:r>
        <w:r w:rsidR="00464922">
          <w:rPr>
            <w:noProof/>
            <w:webHidden/>
          </w:rPr>
        </w:r>
        <w:r w:rsidR="00464922">
          <w:rPr>
            <w:noProof/>
            <w:webHidden/>
          </w:rPr>
          <w:fldChar w:fldCharType="separate"/>
        </w:r>
        <w:r w:rsidR="00604BD9">
          <w:rPr>
            <w:noProof/>
            <w:webHidden/>
          </w:rPr>
          <w:t>1</w:t>
        </w:r>
        <w:r w:rsidR="00464922">
          <w:rPr>
            <w:noProof/>
            <w:webHidden/>
          </w:rPr>
          <w:fldChar w:fldCharType="end"/>
        </w:r>
      </w:hyperlink>
    </w:p>
    <w:p w14:paraId="30F6AB01" w14:textId="2D47FCB5" w:rsidR="00464922" w:rsidRDefault="00391EF1">
      <w:pPr>
        <w:pStyle w:val="TOC2"/>
        <w:rPr>
          <w:rFonts w:asciiTheme="minorHAnsi" w:eastAsiaTheme="minorEastAsia" w:hAnsiTheme="minorHAnsi" w:cstheme="minorBidi"/>
          <w:noProof/>
          <w:sz w:val="22"/>
          <w:szCs w:val="22"/>
          <w:lang w:val="en-US"/>
        </w:rPr>
      </w:pPr>
      <w:hyperlink w:anchor="_Toc99121768" w:history="1">
        <w:r w:rsidR="00464922" w:rsidRPr="008A301F">
          <w:rPr>
            <w:rStyle w:val="Hyperlink"/>
            <w:noProof/>
          </w:rPr>
          <w:t>Key evaluation questions and objectives</w:t>
        </w:r>
        <w:r w:rsidR="00464922">
          <w:rPr>
            <w:noProof/>
            <w:webHidden/>
          </w:rPr>
          <w:tab/>
        </w:r>
        <w:r w:rsidR="00464922">
          <w:rPr>
            <w:noProof/>
            <w:webHidden/>
          </w:rPr>
          <w:fldChar w:fldCharType="begin"/>
        </w:r>
        <w:r w:rsidR="00464922">
          <w:rPr>
            <w:noProof/>
            <w:webHidden/>
          </w:rPr>
          <w:instrText xml:space="preserve"> PAGEREF _Toc99121768 \h </w:instrText>
        </w:r>
        <w:r w:rsidR="00464922">
          <w:rPr>
            <w:noProof/>
            <w:webHidden/>
          </w:rPr>
        </w:r>
        <w:r w:rsidR="00464922">
          <w:rPr>
            <w:noProof/>
            <w:webHidden/>
          </w:rPr>
          <w:fldChar w:fldCharType="separate"/>
        </w:r>
        <w:r w:rsidR="00604BD9">
          <w:rPr>
            <w:noProof/>
            <w:webHidden/>
          </w:rPr>
          <w:t>1</w:t>
        </w:r>
        <w:r w:rsidR="00464922">
          <w:rPr>
            <w:noProof/>
            <w:webHidden/>
          </w:rPr>
          <w:fldChar w:fldCharType="end"/>
        </w:r>
      </w:hyperlink>
    </w:p>
    <w:p w14:paraId="020B03A2" w14:textId="1A67357A" w:rsidR="00464922" w:rsidRDefault="00391EF1">
      <w:pPr>
        <w:pStyle w:val="TOC2"/>
        <w:rPr>
          <w:rFonts w:asciiTheme="minorHAnsi" w:eastAsiaTheme="minorEastAsia" w:hAnsiTheme="minorHAnsi" w:cstheme="minorBidi"/>
          <w:noProof/>
          <w:sz w:val="22"/>
          <w:szCs w:val="22"/>
          <w:lang w:val="en-US"/>
        </w:rPr>
      </w:pPr>
      <w:hyperlink w:anchor="_Toc99121769" w:history="1">
        <w:r w:rsidR="00464922" w:rsidRPr="008A301F">
          <w:rPr>
            <w:rStyle w:val="Hyperlink"/>
            <w:noProof/>
          </w:rPr>
          <w:t>Summary of findings</w:t>
        </w:r>
        <w:r w:rsidR="00464922">
          <w:rPr>
            <w:noProof/>
            <w:webHidden/>
          </w:rPr>
          <w:tab/>
        </w:r>
        <w:r w:rsidR="00464922">
          <w:rPr>
            <w:noProof/>
            <w:webHidden/>
          </w:rPr>
          <w:fldChar w:fldCharType="begin"/>
        </w:r>
        <w:r w:rsidR="00464922">
          <w:rPr>
            <w:noProof/>
            <w:webHidden/>
          </w:rPr>
          <w:instrText xml:space="preserve"> PAGEREF _Toc99121769 \h </w:instrText>
        </w:r>
        <w:r w:rsidR="00464922">
          <w:rPr>
            <w:noProof/>
            <w:webHidden/>
          </w:rPr>
        </w:r>
        <w:r w:rsidR="00464922">
          <w:rPr>
            <w:noProof/>
            <w:webHidden/>
          </w:rPr>
          <w:fldChar w:fldCharType="separate"/>
        </w:r>
        <w:r w:rsidR="00604BD9">
          <w:rPr>
            <w:noProof/>
            <w:webHidden/>
          </w:rPr>
          <w:t>2</w:t>
        </w:r>
        <w:r w:rsidR="00464922">
          <w:rPr>
            <w:noProof/>
            <w:webHidden/>
          </w:rPr>
          <w:fldChar w:fldCharType="end"/>
        </w:r>
      </w:hyperlink>
    </w:p>
    <w:p w14:paraId="7B970F27" w14:textId="07EF033E" w:rsidR="00464922" w:rsidRDefault="00391EF1">
      <w:pPr>
        <w:pStyle w:val="TOC2"/>
        <w:rPr>
          <w:rFonts w:asciiTheme="minorHAnsi" w:eastAsiaTheme="minorEastAsia" w:hAnsiTheme="minorHAnsi" w:cstheme="minorBidi"/>
          <w:noProof/>
          <w:sz w:val="22"/>
          <w:szCs w:val="22"/>
          <w:lang w:val="en-US"/>
        </w:rPr>
      </w:pPr>
      <w:hyperlink w:anchor="_Toc99121770" w:history="1">
        <w:r w:rsidR="00464922" w:rsidRPr="008A301F">
          <w:rPr>
            <w:rStyle w:val="Hyperlink"/>
            <w:noProof/>
          </w:rPr>
          <w:t>Summary of recommendations</w:t>
        </w:r>
        <w:r w:rsidR="00464922">
          <w:rPr>
            <w:noProof/>
            <w:webHidden/>
          </w:rPr>
          <w:tab/>
        </w:r>
        <w:r w:rsidR="00464922">
          <w:rPr>
            <w:noProof/>
            <w:webHidden/>
          </w:rPr>
          <w:fldChar w:fldCharType="begin"/>
        </w:r>
        <w:r w:rsidR="00464922">
          <w:rPr>
            <w:noProof/>
            <w:webHidden/>
          </w:rPr>
          <w:instrText xml:space="preserve"> PAGEREF _Toc99121770 \h </w:instrText>
        </w:r>
        <w:r w:rsidR="00464922">
          <w:rPr>
            <w:noProof/>
            <w:webHidden/>
          </w:rPr>
        </w:r>
        <w:r w:rsidR="00464922">
          <w:rPr>
            <w:noProof/>
            <w:webHidden/>
          </w:rPr>
          <w:fldChar w:fldCharType="separate"/>
        </w:r>
        <w:r w:rsidR="00604BD9">
          <w:rPr>
            <w:noProof/>
            <w:webHidden/>
          </w:rPr>
          <w:t>4</w:t>
        </w:r>
        <w:r w:rsidR="00464922">
          <w:rPr>
            <w:noProof/>
            <w:webHidden/>
          </w:rPr>
          <w:fldChar w:fldCharType="end"/>
        </w:r>
      </w:hyperlink>
    </w:p>
    <w:p w14:paraId="6D2D38F0" w14:textId="20232F41" w:rsidR="00464922" w:rsidRDefault="00391EF1">
      <w:pPr>
        <w:pStyle w:val="TOC1"/>
        <w:tabs>
          <w:tab w:val="left" w:pos="1276"/>
        </w:tabs>
        <w:rPr>
          <w:rFonts w:asciiTheme="minorHAnsi" w:eastAsiaTheme="minorEastAsia" w:hAnsiTheme="minorHAnsi" w:cstheme="minorBidi"/>
          <w:noProof/>
          <w:sz w:val="22"/>
          <w:szCs w:val="22"/>
          <w:lang w:val="en-US"/>
        </w:rPr>
      </w:pPr>
      <w:hyperlink w:anchor="_Toc99121771" w:history="1">
        <w:r w:rsidR="00464922" w:rsidRPr="008A301F">
          <w:rPr>
            <w:rStyle w:val="Hyperlink"/>
            <w:noProof/>
            <w:lang w:val="en-US"/>
          </w:rPr>
          <w:t>Chapter 1:</w:t>
        </w:r>
        <w:r w:rsidR="00464922">
          <w:rPr>
            <w:rFonts w:asciiTheme="minorHAnsi" w:eastAsiaTheme="minorEastAsia" w:hAnsiTheme="minorHAnsi" w:cstheme="minorBidi"/>
            <w:noProof/>
            <w:sz w:val="22"/>
            <w:szCs w:val="22"/>
            <w:lang w:val="en-US"/>
          </w:rPr>
          <w:tab/>
        </w:r>
        <w:r w:rsidR="00464922" w:rsidRPr="008A301F">
          <w:rPr>
            <w:rStyle w:val="Hyperlink"/>
            <w:noProof/>
          </w:rPr>
          <w:t>Introduction</w:t>
        </w:r>
        <w:r w:rsidR="00464922">
          <w:rPr>
            <w:noProof/>
            <w:webHidden/>
          </w:rPr>
          <w:tab/>
        </w:r>
        <w:r w:rsidR="00464922">
          <w:rPr>
            <w:noProof/>
            <w:webHidden/>
          </w:rPr>
          <w:fldChar w:fldCharType="begin"/>
        </w:r>
        <w:r w:rsidR="00464922">
          <w:rPr>
            <w:noProof/>
            <w:webHidden/>
          </w:rPr>
          <w:instrText xml:space="preserve"> PAGEREF _Toc99121771 \h </w:instrText>
        </w:r>
        <w:r w:rsidR="00464922">
          <w:rPr>
            <w:noProof/>
            <w:webHidden/>
          </w:rPr>
        </w:r>
        <w:r w:rsidR="00464922">
          <w:rPr>
            <w:noProof/>
            <w:webHidden/>
          </w:rPr>
          <w:fldChar w:fldCharType="separate"/>
        </w:r>
        <w:r w:rsidR="00604BD9">
          <w:rPr>
            <w:noProof/>
            <w:webHidden/>
          </w:rPr>
          <w:t>8</w:t>
        </w:r>
        <w:r w:rsidR="00464922">
          <w:rPr>
            <w:noProof/>
            <w:webHidden/>
          </w:rPr>
          <w:fldChar w:fldCharType="end"/>
        </w:r>
      </w:hyperlink>
    </w:p>
    <w:p w14:paraId="7AEE43FF" w14:textId="118347AA"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72" w:history="1">
        <w:r w:rsidR="00464922" w:rsidRPr="008A301F">
          <w:rPr>
            <w:rStyle w:val="Hyperlink"/>
            <w:noProof/>
            <w14:scene3d>
              <w14:camera w14:prst="orthographicFront"/>
              <w14:lightRig w14:rig="threePt" w14:dir="t">
                <w14:rot w14:lat="0" w14:lon="0" w14:rev="0"/>
              </w14:lightRig>
            </w14:scene3d>
          </w:rPr>
          <w:t>1.1</w:t>
        </w:r>
        <w:r w:rsidR="00464922">
          <w:rPr>
            <w:rFonts w:asciiTheme="minorHAnsi" w:eastAsiaTheme="minorEastAsia" w:hAnsiTheme="minorHAnsi" w:cstheme="minorBidi"/>
            <w:noProof/>
            <w:sz w:val="22"/>
            <w:szCs w:val="22"/>
            <w:lang w:val="en-US"/>
          </w:rPr>
          <w:tab/>
        </w:r>
        <w:r w:rsidR="00464922" w:rsidRPr="008A301F">
          <w:rPr>
            <w:rStyle w:val="Hyperlink"/>
            <w:noProof/>
          </w:rPr>
          <w:t>About the Review and why it matters</w:t>
        </w:r>
        <w:r w:rsidR="00464922">
          <w:rPr>
            <w:noProof/>
            <w:webHidden/>
          </w:rPr>
          <w:tab/>
        </w:r>
        <w:r w:rsidR="00464922">
          <w:rPr>
            <w:noProof/>
            <w:webHidden/>
          </w:rPr>
          <w:fldChar w:fldCharType="begin"/>
        </w:r>
        <w:r w:rsidR="00464922">
          <w:rPr>
            <w:noProof/>
            <w:webHidden/>
          </w:rPr>
          <w:instrText xml:space="preserve"> PAGEREF _Toc99121772 \h </w:instrText>
        </w:r>
        <w:r w:rsidR="00464922">
          <w:rPr>
            <w:noProof/>
            <w:webHidden/>
          </w:rPr>
        </w:r>
        <w:r w:rsidR="00464922">
          <w:rPr>
            <w:noProof/>
            <w:webHidden/>
          </w:rPr>
          <w:fldChar w:fldCharType="separate"/>
        </w:r>
        <w:r w:rsidR="00604BD9">
          <w:rPr>
            <w:noProof/>
            <w:webHidden/>
          </w:rPr>
          <w:t>8</w:t>
        </w:r>
        <w:r w:rsidR="00464922">
          <w:rPr>
            <w:noProof/>
            <w:webHidden/>
          </w:rPr>
          <w:fldChar w:fldCharType="end"/>
        </w:r>
      </w:hyperlink>
    </w:p>
    <w:p w14:paraId="21B394BC" w14:textId="460BFF63"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73" w:history="1">
        <w:r w:rsidR="00464922" w:rsidRPr="008A301F">
          <w:rPr>
            <w:rStyle w:val="Hyperlink"/>
            <w:noProof/>
            <w14:scene3d>
              <w14:camera w14:prst="orthographicFront"/>
              <w14:lightRig w14:rig="threePt" w14:dir="t">
                <w14:rot w14:lat="0" w14:lon="0" w14:rev="0"/>
              </w14:lightRig>
            </w14:scene3d>
          </w:rPr>
          <w:t>1.2</w:t>
        </w:r>
        <w:r w:rsidR="00464922">
          <w:rPr>
            <w:rFonts w:asciiTheme="minorHAnsi" w:eastAsiaTheme="minorEastAsia" w:hAnsiTheme="minorHAnsi" w:cstheme="minorBidi"/>
            <w:noProof/>
            <w:sz w:val="22"/>
            <w:szCs w:val="22"/>
            <w:lang w:val="en-US"/>
          </w:rPr>
          <w:tab/>
        </w:r>
        <w:r w:rsidR="00464922" w:rsidRPr="008A301F">
          <w:rPr>
            <w:rStyle w:val="Hyperlink"/>
            <w:noProof/>
          </w:rPr>
          <w:t>Review scope, approach and methodology</w:t>
        </w:r>
        <w:r w:rsidR="00464922">
          <w:rPr>
            <w:noProof/>
            <w:webHidden/>
          </w:rPr>
          <w:tab/>
        </w:r>
        <w:r w:rsidR="00464922">
          <w:rPr>
            <w:noProof/>
            <w:webHidden/>
          </w:rPr>
          <w:fldChar w:fldCharType="begin"/>
        </w:r>
        <w:r w:rsidR="00464922">
          <w:rPr>
            <w:noProof/>
            <w:webHidden/>
          </w:rPr>
          <w:instrText xml:space="preserve"> PAGEREF _Toc99121773 \h </w:instrText>
        </w:r>
        <w:r w:rsidR="00464922">
          <w:rPr>
            <w:noProof/>
            <w:webHidden/>
          </w:rPr>
        </w:r>
        <w:r w:rsidR="00464922">
          <w:rPr>
            <w:noProof/>
            <w:webHidden/>
          </w:rPr>
          <w:fldChar w:fldCharType="separate"/>
        </w:r>
        <w:r w:rsidR="00604BD9">
          <w:rPr>
            <w:noProof/>
            <w:webHidden/>
          </w:rPr>
          <w:t>8</w:t>
        </w:r>
        <w:r w:rsidR="00464922">
          <w:rPr>
            <w:noProof/>
            <w:webHidden/>
          </w:rPr>
          <w:fldChar w:fldCharType="end"/>
        </w:r>
      </w:hyperlink>
    </w:p>
    <w:p w14:paraId="015DB6F5" w14:textId="2A10CF76"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74" w:history="1">
        <w:r w:rsidR="00464922" w:rsidRPr="008A301F">
          <w:rPr>
            <w:rStyle w:val="Hyperlink"/>
            <w:noProof/>
            <w14:scene3d>
              <w14:camera w14:prst="orthographicFront"/>
              <w14:lightRig w14:rig="threePt" w14:dir="t">
                <w14:rot w14:lat="0" w14:lon="0" w14:rev="0"/>
              </w14:lightRig>
            </w14:scene3d>
          </w:rPr>
          <w:t>1.3</w:t>
        </w:r>
        <w:r w:rsidR="00464922">
          <w:rPr>
            <w:rFonts w:asciiTheme="minorHAnsi" w:eastAsiaTheme="minorEastAsia" w:hAnsiTheme="minorHAnsi" w:cstheme="minorBidi"/>
            <w:noProof/>
            <w:sz w:val="22"/>
            <w:szCs w:val="22"/>
            <w:lang w:val="en-US"/>
          </w:rPr>
          <w:tab/>
        </w:r>
        <w:r w:rsidR="00464922" w:rsidRPr="008A301F">
          <w:rPr>
            <w:rStyle w:val="Hyperlink"/>
            <w:noProof/>
          </w:rPr>
          <w:t>Overview of the Transport Sector Support Program Phase 2 (TSSP2)</w:t>
        </w:r>
        <w:r w:rsidR="00464922">
          <w:rPr>
            <w:noProof/>
            <w:webHidden/>
          </w:rPr>
          <w:tab/>
        </w:r>
        <w:r w:rsidR="00464922">
          <w:rPr>
            <w:noProof/>
            <w:webHidden/>
          </w:rPr>
          <w:fldChar w:fldCharType="begin"/>
        </w:r>
        <w:r w:rsidR="00464922">
          <w:rPr>
            <w:noProof/>
            <w:webHidden/>
          </w:rPr>
          <w:instrText xml:space="preserve"> PAGEREF _Toc99121774 \h </w:instrText>
        </w:r>
        <w:r w:rsidR="00464922">
          <w:rPr>
            <w:noProof/>
            <w:webHidden/>
          </w:rPr>
        </w:r>
        <w:r w:rsidR="00464922">
          <w:rPr>
            <w:noProof/>
            <w:webHidden/>
          </w:rPr>
          <w:fldChar w:fldCharType="separate"/>
        </w:r>
        <w:r w:rsidR="00604BD9">
          <w:rPr>
            <w:noProof/>
            <w:webHidden/>
          </w:rPr>
          <w:t>9</w:t>
        </w:r>
        <w:r w:rsidR="00464922">
          <w:rPr>
            <w:noProof/>
            <w:webHidden/>
          </w:rPr>
          <w:fldChar w:fldCharType="end"/>
        </w:r>
      </w:hyperlink>
    </w:p>
    <w:p w14:paraId="03409380" w14:textId="5AF408C6"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75" w:history="1">
        <w:r w:rsidR="00464922" w:rsidRPr="008A301F">
          <w:rPr>
            <w:rStyle w:val="Hyperlink"/>
            <w:noProof/>
            <w14:scene3d>
              <w14:camera w14:prst="orthographicFront"/>
              <w14:lightRig w14:rig="threePt" w14:dir="t">
                <w14:rot w14:lat="0" w14:lon="0" w14:rev="0"/>
              </w14:lightRig>
            </w14:scene3d>
          </w:rPr>
          <w:t>1.4</w:t>
        </w:r>
        <w:r w:rsidR="00464922">
          <w:rPr>
            <w:rFonts w:asciiTheme="minorHAnsi" w:eastAsiaTheme="minorEastAsia" w:hAnsiTheme="minorHAnsi" w:cstheme="minorBidi"/>
            <w:noProof/>
            <w:sz w:val="22"/>
            <w:szCs w:val="22"/>
            <w:lang w:val="en-US"/>
          </w:rPr>
          <w:tab/>
        </w:r>
        <w:r w:rsidR="00464922" w:rsidRPr="008A301F">
          <w:rPr>
            <w:rStyle w:val="Hyperlink"/>
            <w:noProof/>
          </w:rPr>
          <w:t>Structure of the Review Report</w:t>
        </w:r>
        <w:r w:rsidR="00464922">
          <w:rPr>
            <w:noProof/>
            <w:webHidden/>
          </w:rPr>
          <w:tab/>
        </w:r>
        <w:r w:rsidR="00464922">
          <w:rPr>
            <w:noProof/>
            <w:webHidden/>
          </w:rPr>
          <w:fldChar w:fldCharType="begin"/>
        </w:r>
        <w:r w:rsidR="00464922">
          <w:rPr>
            <w:noProof/>
            <w:webHidden/>
          </w:rPr>
          <w:instrText xml:space="preserve"> PAGEREF _Toc99121775 \h </w:instrText>
        </w:r>
        <w:r w:rsidR="00464922">
          <w:rPr>
            <w:noProof/>
            <w:webHidden/>
          </w:rPr>
        </w:r>
        <w:r w:rsidR="00464922">
          <w:rPr>
            <w:noProof/>
            <w:webHidden/>
          </w:rPr>
          <w:fldChar w:fldCharType="separate"/>
        </w:r>
        <w:r w:rsidR="00604BD9">
          <w:rPr>
            <w:noProof/>
            <w:webHidden/>
          </w:rPr>
          <w:t>11</w:t>
        </w:r>
        <w:r w:rsidR="00464922">
          <w:rPr>
            <w:noProof/>
            <w:webHidden/>
          </w:rPr>
          <w:fldChar w:fldCharType="end"/>
        </w:r>
      </w:hyperlink>
    </w:p>
    <w:p w14:paraId="5F673558" w14:textId="57C28EDF" w:rsidR="00464922" w:rsidRDefault="00391EF1">
      <w:pPr>
        <w:pStyle w:val="TOC1"/>
        <w:tabs>
          <w:tab w:val="left" w:pos="1276"/>
        </w:tabs>
        <w:rPr>
          <w:rFonts w:asciiTheme="minorHAnsi" w:eastAsiaTheme="minorEastAsia" w:hAnsiTheme="minorHAnsi" w:cstheme="minorBidi"/>
          <w:noProof/>
          <w:sz w:val="22"/>
          <w:szCs w:val="22"/>
          <w:lang w:val="en-US"/>
        </w:rPr>
      </w:pPr>
      <w:hyperlink w:anchor="_Toc99121776" w:history="1">
        <w:r w:rsidR="00464922" w:rsidRPr="008A301F">
          <w:rPr>
            <w:rStyle w:val="Hyperlink"/>
            <w:noProof/>
          </w:rPr>
          <w:t>Chapter 2:</w:t>
        </w:r>
        <w:r w:rsidR="00464922">
          <w:rPr>
            <w:rFonts w:asciiTheme="minorHAnsi" w:eastAsiaTheme="minorEastAsia" w:hAnsiTheme="minorHAnsi" w:cstheme="minorBidi"/>
            <w:noProof/>
            <w:sz w:val="22"/>
            <w:szCs w:val="22"/>
            <w:lang w:val="en-US"/>
          </w:rPr>
          <w:tab/>
        </w:r>
        <w:r w:rsidR="00464922" w:rsidRPr="008A301F">
          <w:rPr>
            <w:rStyle w:val="Hyperlink"/>
            <w:noProof/>
          </w:rPr>
          <w:t>Relevance of the program design</w:t>
        </w:r>
        <w:r w:rsidR="00464922">
          <w:rPr>
            <w:noProof/>
            <w:webHidden/>
          </w:rPr>
          <w:tab/>
        </w:r>
        <w:r w:rsidR="00464922">
          <w:rPr>
            <w:noProof/>
            <w:webHidden/>
          </w:rPr>
          <w:fldChar w:fldCharType="begin"/>
        </w:r>
        <w:r w:rsidR="00464922">
          <w:rPr>
            <w:noProof/>
            <w:webHidden/>
          </w:rPr>
          <w:instrText xml:space="preserve"> PAGEREF _Toc99121776 \h </w:instrText>
        </w:r>
        <w:r w:rsidR="00464922">
          <w:rPr>
            <w:noProof/>
            <w:webHidden/>
          </w:rPr>
        </w:r>
        <w:r w:rsidR="00464922">
          <w:rPr>
            <w:noProof/>
            <w:webHidden/>
          </w:rPr>
          <w:fldChar w:fldCharType="separate"/>
        </w:r>
        <w:r w:rsidR="00604BD9">
          <w:rPr>
            <w:noProof/>
            <w:webHidden/>
          </w:rPr>
          <w:t>12</w:t>
        </w:r>
        <w:r w:rsidR="00464922">
          <w:rPr>
            <w:noProof/>
            <w:webHidden/>
          </w:rPr>
          <w:fldChar w:fldCharType="end"/>
        </w:r>
      </w:hyperlink>
    </w:p>
    <w:p w14:paraId="15765DE1" w14:textId="573E1CC3"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77" w:history="1">
        <w:r w:rsidR="00464922" w:rsidRPr="008A301F">
          <w:rPr>
            <w:rStyle w:val="Hyperlink"/>
            <w:rFonts w:cs="Arial"/>
            <w:noProof/>
            <w14:scene3d>
              <w14:camera w14:prst="orthographicFront"/>
              <w14:lightRig w14:rig="threePt" w14:dir="t">
                <w14:rot w14:lat="0" w14:lon="0" w14:rev="0"/>
              </w14:lightRig>
            </w14:scene3d>
          </w:rPr>
          <w:t>2.1</w:t>
        </w:r>
        <w:r w:rsidR="00464922">
          <w:rPr>
            <w:rFonts w:asciiTheme="minorHAnsi" w:eastAsiaTheme="minorEastAsia" w:hAnsiTheme="minorHAnsi" w:cstheme="minorBidi"/>
            <w:noProof/>
            <w:sz w:val="22"/>
            <w:szCs w:val="22"/>
            <w:lang w:val="en-US"/>
          </w:rPr>
          <w:tab/>
        </w:r>
        <w:r w:rsidR="00464922" w:rsidRPr="008A301F">
          <w:rPr>
            <w:rStyle w:val="Hyperlink"/>
            <w:noProof/>
          </w:rPr>
          <w:t>Key findings</w:t>
        </w:r>
        <w:r w:rsidR="00464922">
          <w:rPr>
            <w:noProof/>
            <w:webHidden/>
          </w:rPr>
          <w:tab/>
        </w:r>
        <w:r w:rsidR="00464922">
          <w:rPr>
            <w:noProof/>
            <w:webHidden/>
          </w:rPr>
          <w:fldChar w:fldCharType="begin"/>
        </w:r>
        <w:r w:rsidR="00464922">
          <w:rPr>
            <w:noProof/>
            <w:webHidden/>
          </w:rPr>
          <w:instrText xml:space="preserve"> PAGEREF _Toc99121777 \h </w:instrText>
        </w:r>
        <w:r w:rsidR="00464922">
          <w:rPr>
            <w:noProof/>
            <w:webHidden/>
          </w:rPr>
        </w:r>
        <w:r w:rsidR="00464922">
          <w:rPr>
            <w:noProof/>
            <w:webHidden/>
          </w:rPr>
          <w:fldChar w:fldCharType="separate"/>
        </w:r>
        <w:r w:rsidR="00604BD9">
          <w:rPr>
            <w:noProof/>
            <w:webHidden/>
          </w:rPr>
          <w:t>12</w:t>
        </w:r>
        <w:r w:rsidR="00464922">
          <w:rPr>
            <w:noProof/>
            <w:webHidden/>
          </w:rPr>
          <w:fldChar w:fldCharType="end"/>
        </w:r>
      </w:hyperlink>
    </w:p>
    <w:p w14:paraId="78FC30FD" w14:textId="7640AE3E"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78" w:history="1">
        <w:r w:rsidR="00464922" w:rsidRPr="008A301F">
          <w:rPr>
            <w:rStyle w:val="Hyperlink"/>
            <w:noProof/>
            <w14:scene3d>
              <w14:camera w14:prst="orthographicFront"/>
              <w14:lightRig w14:rig="threePt" w14:dir="t">
                <w14:rot w14:lat="0" w14:lon="0" w14:rev="0"/>
              </w14:lightRig>
            </w14:scene3d>
          </w:rPr>
          <w:t>2.2</w:t>
        </w:r>
        <w:r w:rsidR="00464922">
          <w:rPr>
            <w:rFonts w:asciiTheme="minorHAnsi" w:eastAsiaTheme="minorEastAsia" w:hAnsiTheme="minorHAnsi" w:cstheme="minorBidi"/>
            <w:noProof/>
            <w:sz w:val="22"/>
            <w:szCs w:val="22"/>
            <w:lang w:val="en-US"/>
          </w:rPr>
          <w:tab/>
        </w:r>
        <w:r w:rsidR="00464922" w:rsidRPr="008A301F">
          <w:rPr>
            <w:rStyle w:val="Hyperlink"/>
            <w:noProof/>
          </w:rPr>
          <w:t>Conclusions</w:t>
        </w:r>
        <w:r w:rsidR="00464922">
          <w:rPr>
            <w:noProof/>
            <w:webHidden/>
          </w:rPr>
          <w:tab/>
        </w:r>
        <w:r w:rsidR="00464922">
          <w:rPr>
            <w:noProof/>
            <w:webHidden/>
          </w:rPr>
          <w:fldChar w:fldCharType="begin"/>
        </w:r>
        <w:r w:rsidR="00464922">
          <w:rPr>
            <w:noProof/>
            <w:webHidden/>
          </w:rPr>
          <w:instrText xml:space="preserve"> PAGEREF _Toc99121778 \h </w:instrText>
        </w:r>
        <w:r w:rsidR="00464922">
          <w:rPr>
            <w:noProof/>
            <w:webHidden/>
          </w:rPr>
        </w:r>
        <w:r w:rsidR="00464922">
          <w:rPr>
            <w:noProof/>
            <w:webHidden/>
          </w:rPr>
          <w:fldChar w:fldCharType="separate"/>
        </w:r>
        <w:r w:rsidR="00604BD9">
          <w:rPr>
            <w:noProof/>
            <w:webHidden/>
          </w:rPr>
          <w:t>15</w:t>
        </w:r>
        <w:r w:rsidR="00464922">
          <w:rPr>
            <w:noProof/>
            <w:webHidden/>
          </w:rPr>
          <w:fldChar w:fldCharType="end"/>
        </w:r>
      </w:hyperlink>
    </w:p>
    <w:p w14:paraId="7DF05936" w14:textId="2B3A3FCE"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79" w:history="1">
        <w:r w:rsidR="00464922" w:rsidRPr="008A301F">
          <w:rPr>
            <w:rStyle w:val="Hyperlink"/>
            <w:noProof/>
            <w14:scene3d>
              <w14:camera w14:prst="orthographicFront"/>
              <w14:lightRig w14:rig="threePt" w14:dir="t">
                <w14:rot w14:lat="0" w14:lon="0" w14:rev="0"/>
              </w14:lightRig>
            </w14:scene3d>
          </w:rPr>
          <w:t>2.3</w:t>
        </w:r>
        <w:r w:rsidR="00464922">
          <w:rPr>
            <w:rFonts w:asciiTheme="minorHAnsi" w:eastAsiaTheme="minorEastAsia" w:hAnsiTheme="minorHAnsi" w:cstheme="minorBidi"/>
            <w:noProof/>
            <w:sz w:val="22"/>
            <w:szCs w:val="22"/>
            <w:lang w:val="en-US"/>
          </w:rPr>
          <w:tab/>
        </w:r>
        <w:r w:rsidR="00464922" w:rsidRPr="008A301F">
          <w:rPr>
            <w:rStyle w:val="Hyperlink"/>
            <w:noProof/>
          </w:rPr>
          <w:t>Recommendations</w:t>
        </w:r>
        <w:r w:rsidR="00464922">
          <w:rPr>
            <w:noProof/>
            <w:webHidden/>
          </w:rPr>
          <w:tab/>
        </w:r>
        <w:r w:rsidR="00464922">
          <w:rPr>
            <w:noProof/>
            <w:webHidden/>
          </w:rPr>
          <w:fldChar w:fldCharType="begin"/>
        </w:r>
        <w:r w:rsidR="00464922">
          <w:rPr>
            <w:noProof/>
            <w:webHidden/>
          </w:rPr>
          <w:instrText xml:space="preserve"> PAGEREF _Toc99121779 \h </w:instrText>
        </w:r>
        <w:r w:rsidR="00464922">
          <w:rPr>
            <w:noProof/>
            <w:webHidden/>
          </w:rPr>
        </w:r>
        <w:r w:rsidR="00464922">
          <w:rPr>
            <w:noProof/>
            <w:webHidden/>
          </w:rPr>
          <w:fldChar w:fldCharType="separate"/>
        </w:r>
        <w:r w:rsidR="00604BD9">
          <w:rPr>
            <w:noProof/>
            <w:webHidden/>
          </w:rPr>
          <w:t>15</w:t>
        </w:r>
        <w:r w:rsidR="00464922">
          <w:rPr>
            <w:noProof/>
            <w:webHidden/>
          </w:rPr>
          <w:fldChar w:fldCharType="end"/>
        </w:r>
      </w:hyperlink>
    </w:p>
    <w:p w14:paraId="089B5DD6" w14:textId="64FF6269" w:rsidR="00464922" w:rsidRDefault="00391EF1">
      <w:pPr>
        <w:pStyle w:val="TOC1"/>
        <w:tabs>
          <w:tab w:val="left" w:pos="1276"/>
        </w:tabs>
        <w:rPr>
          <w:rFonts w:asciiTheme="minorHAnsi" w:eastAsiaTheme="minorEastAsia" w:hAnsiTheme="minorHAnsi" w:cstheme="minorBidi"/>
          <w:noProof/>
          <w:sz w:val="22"/>
          <w:szCs w:val="22"/>
          <w:lang w:val="en-US"/>
        </w:rPr>
      </w:pPr>
      <w:hyperlink w:anchor="_Toc99121780" w:history="1">
        <w:r w:rsidR="00464922" w:rsidRPr="008A301F">
          <w:rPr>
            <w:rStyle w:val="Hyperlink"/>
            <w:noProof/>
          </w:rPr>
          <w:t>Chapter 3:</w:t>
        </w:r>
        <w:r w:rsidR="00464922">
          <w:rPr>
            <w:rFonts w:asciiTheme="minorHAnsi" w:eastAsiaTheme="minorEastAsia" w:hAnsiTheme="minorHAnsi" w:cstheme="minorBidi"/>
            <w:noProof/>
            <w:sz w:val="22"/>
            <w:szCs w:val="22"/>
            <w:lang w:val="en-US"/>
          </w:rPr>
          <w:tab/>
        </w:r>
        <w:r w:rsidR="00464922" w:rsidRPr="008A301F">
          <w:rPr>
            <w:rStyle w:val="Hyperlink"/>
            <w:noProof/>
          </w:rPr>
          <w:t>Program Implementation</w:t>
        </w:r>
        <w:r w:rsidR="00464922">
          <w:rPr>
            <w:noProof/>
            <w:webHidden/>
          </w:rPr>
          <w:tab/>
        </w:r>
        <w:r w:rsidR="00464922">
          <w:rPr>
            <w:noProof/>
            <w:webHidden/>
          </w:rPr>
          <w:fldChar w:fldCharType="begin"/>
        </w:r>
        <w:r w:rsidR="00464922">
          <w:rPr>
            <w:noProof/>
            <w:webHidden/>
          </w:rPr>
          <w:instrText xml:space="preserve"> PAGEREF _Toc99121780 \h </w:instrText>
        </w:r>
        <w:r w:rsidR="00464922">
          <w:rPr>
            <w:noProof/>
            <w:webHidden/>
          </w:rPr>
        </w:r>
        <w:r w:rsidR="00464922">
          <w:rPr>
            <w:noProof/>
            <w:webHidden/>
          </w:rPr>
          <w:fldChar w:fldCharType="separate"/>
        </w:r>
        <w:r w:rsidR="00604BD9">
          <w:rPr>
            <w:noProof/>
            <w:webHidden/>
          </w:rPr>
          <w:t>17</w:t>
        </w:r>
        <w:r w:rsidR="00464922">
          <w:rPr>
            <w:noProof/>
            <w:webHidden/>
          </w:rPr>
          <w:fldChar w:fldCharType="end"/>
        </w:r>
      </w:hyperlink>
    </w:p>
    <w:p w14:paraId="4B6B9FE7" w14:textId="2DE32AEB"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81" w:history="1">
        <w:r w:rsidR="00464922" w:rsidRPr="008A301F">
          <w:rPr>
            <w:rStyle w:val="Hyperlink"/>
            <w:noProof/>
            <w14:scene3d>
              <w14:camera w14:prst="orthographicFront"/>
              <w14:lightRig w14:rig="threePt" w14:dir="t">
                <w14:rot w14:lat="0" w14:lon="0" w14:rev="0"/>
              </w14:lightRig>
            </w14:scene3d>
          </w:rPr>
          <w:t>3.1</w:t>
        </w:r>
        <w:r w:rsidR="00464922">
          <w:rPr>
            <w:rFonts w:asciiTheme="minorHAnsi" w:eastAsiaTheme="minorEastAsia" w:hAnsiTheme="minorHAnsi" w:cstheme="minorBidi"/>
            <w:noProof/>
            <w:sz w:val="22"/>
            <w:szCs w:val="22"/>
            <w:lang w:val="en-US"/>
          </w:rPr>
          <w:tab/>
        </w:r>
        <w:r w:rsidR="00464922" w:rsidRPr="008A301F">
          <w:rPr>
            <w:rStyle w:val="Hyperlink"/>
            <w:noProof/>
          </w:rPr>
          <w:t>Key findings</w:t>
        </w:r>
        <w:r w:rsidR="00464922">
          <w:rPr>
            <w:noProof/>
            <w:webHidden/>
          </w:rPr>
          <w:tab/>
        </w:r>
        <w:r w:rsidR="00464922">
          <w:rPr>
            <w:noProof/>
            <w:webHidden/>
          </w:rPr>
          <w:fldChar w:fldCharType="begin"/>
        </w:r>
        <w:r w:rsidR="00464922">
          <w:rPr>
            <w:noProof/>
            <w:webHidden/>
          </w:rPr>
          <w:instrText xml:space="preserve"> PAGEREF _Toc99121781 \h </w:instrText>
        </w:r>
        <w:r w:rsidR="00464922">
          <w:rPr>
            <w:noProof/>
            <w:webHidden/>
          </w:rPr>
        </w:r>
        <w:r w:rsidR="00464922">
          <w:rPr>
            <w:noProof/>
            <w:webHidden/>
          </w:rPr>
          <w:fldChar w:fldCharType="separate"/>
        </w:r>
        <w:r w:rsidR="00604BD9">
          <w:rPr>
            <w:noProof/>
            <w:webHidden/>
          </w:rPr>
          <w:t>17</w:t>
        </w:r>
        <w:r w:rsidR="00464922">
          <w:rPr>
            <w:noProof/>
            <w:webHidden/>
          </w:rPr>
          <w:fldChar w:fldCharType="end"/>
        </w:r>
      </w:hyperlink>
    </w:p>
    <w:p w14:paraId="7AE22D7E" w14:textId="31D68BA2"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82" w:history="1">
        <w:r w:rsidR="00464922" w:rsidRPr="008A301F">
          <w:rPr>
            <w:rStyle w:val="Hyperlink"/>
            <w:noProof/>
            <w14:scene3d>
              <w14:camera w14:prst="orthographicFront"/>
              <w14:lightRig w14:rig="threePt" w14:dir="t">
                <w14:rot w14:lat="0" w14:lon="0" w14:rev="0"/>
              </w14:lightRig>
            </w14:scene3d>
          </w:rPr>
          <w:t>3.2</w:t>
        </w:r>
        <w:r w:rsidR="00464922">
          <w:rPr>
            <w:rFonts w:asciiTheme="minorHAnsi" w:eastAsiaTheme="minorEastAsia" w:hAnsiTheme="minorHAnsi" w:cstheme="minorBidi"/>
            <w:noProof/>
            <w:sz w:val="22"/>
            <w:szCs w:val="22"/>
            <w:lang w:val="en-US"/>
          </w:rPr>
          <w:tab/>
        </w:r>
        <w:r w:rsidR="00464922" w:rsidRPr="008A301F">
          <w:rPr>
            <w:rStyle w:val="Hyperlink"/>
            <w:noProof/>
          </w:rPr>
          <w:t>Conclusions</w:t>
        </w:r>
        <w:r w:rsidR="00464922">
          <w:rPr>
            <w:noProof/>
            <w:webHidden/>
          </w:rPr>
          <w:tab/>
        </w:r>
        <w:r w:rsidR="00464922">
          <w:rPr>
            <w:noProof/>
            <w:webHidden/>
          </w:rPr>
          <w:fldChar w:fldCharType="begin"/>
        </w:r>
        <w:r w:rsidR="00464922">
          <w:rPr>
            <w:noProof/>
            <w:webHidden/>
          </w:rPr>
          <w:instrText xml:space="preserve"> PAGEREF _Toc99121782 \h </w:instrText>
        </w:r>
        <w:r w:rsidR="00464922">
          <w:rPr>
            <w:noProof/>
            <w:webHidden/>
          </w:rPr>
        </w:r>
        <w:r w:rsidR="00464922">
          <w:rPr>
            <w:noProof/>
            <w:webHidden/>
          </w:rPr>
          <w:fldChar w:fldCharType="separate"/>
        </w:r>
        <w:r w:rsidR="00604BD9">
          <w:rPr>
            <w:noProof/>
            <w:webHidden/>
          </w:rPr>
          <w:t>18</w:t>
        </w:r>
        <w:r w:rsidR="00464922">
          <w:rPr>
            <w:noProof/>
            <w:webHidden/>
          </w:rPr>
          <w:fldChar w:fldCharType="end"/>
        </w:r>
      </w:hyperlink>
    </w:p>
    <w:p w14:paraId="51F82D0A" w14:textId="362E12B2"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83" w:history="1">
        <w:r w:rsidR="00464922" w:rsidRPr="008A301F">
          <w:rPr>
            <w:rStyle w:val="Hyperlink"/>
            <w:noProof/>
            <w14:scene3d>
              <w14:camera w14:prst="orthographicFront"/>
              <w14:lightRig w14:rig="threePt" w14:dir="t">
                <w14:rot w14:lat="0" w14:lon="0" w14:rev="0"/>
              </w14:lightRig>
            </w14:scene3d>
          </w:rPr>
          <w:t>3.3</w:t>
        </w:r>
        <w:r w:rsidR="00464922">
          <w:rPr>
            <w:rFonts w:asciiTheme="minorHAnsi" w:eastAsiaTheme="minorEastAsia" w:hAnsiTheme="minorHAnsi" w:cstheme="minorBidi"/>
            <w:noProof/>
            <w:sz w:val="22"/>
            <w:szCs w:val="22"/>
            <w:lang w:val="en-US"/>
          </w:rPr>
          <w:tab/>
        </w:r>
        <w:r w:rsidR="00464922" w:rsidRPr="008A301F">
          <w:rPr>
            <w:rStyle w:val="Hyperlink"/>
            <w:noProof/>
          </w:rPr>
          <w:t>Recommendations</w:t>
        </w:r>
        <w:r w:rsidR="00464922">
          <w:rPr>
            <w:noProof/>
            <w:webHidden/>
          </w:rPr>
          <w:tab/>
        </w:r>
        <w:r w:rsidR="00464922">
          <w:rPr>
            <w:noProof/>
            <w:webHidden/>
          </w:rPr>
          <w:fldChar w:fldCharType="begin"/>
        </w:r>
        <w:r w:rsidR="00464922">
          <w:rPr>
            <w:noProof/>
            <w:webHidden/>
          </w:rPr>
          <w:instrText xml:space="preserve"> PAGEREF _Toc99121783 \h </w:instrText>
        </w:r>
        <w:r w:rsidR="00464922">
          <w:rPr>
            <w:noProof/>
            <w:webHidden/>
          </w:rPr>
        </w:r>
        <w:r w:rsidR="00464922">
          <w:rPr>
            <w:noProof/>
            <w:webHidden/>
          </w:rPr>
          <w:fldChar w:fldCharType="separate"/>
        </w:r>
        <w:r w:rsidR="00604BD9">
          <w:rPr>
            <w:noProof/>
            <w:webHidden/>
          </w:rPr>
          <w:t>18</w:t>
        </w:r>
        <w:r w:rsidR="00464922">
          <w:rPr>
            <w:noProof/>
            <w:webHidden/>
          </w:rPr>
          <w:fldChar w:fldCharType="end"/>
        </w:r>
      </w:hyperlink>
    </w:p>
    <w:p w14:paraId="38E4B29F" w14:textId="527CAF09" w:rsidR="00464922" w:rsidRDefault="00391EF1">
      <w:pPr>
        <w:pStyle w:val="TOC1"/>
        <w:tabs>
          <w:tab w:val="left" w:pos="1276"/>
        </w:tabs>
        <w:rPr>
          <w:rFonts w:asciiTheme="minorHAnsi" w:eastAsiaTheme="minorEastAsia" w:hAnsiTheme="minorHAnsi" w:cstheme="minorBidi"/>
          <w:noProof/>
          <w:sz w:val="22"/>
          <w:szCs w:val="22"/>
          <w:lang w:val="en-US"/>
        </w:rPr>
      </w:pPr>
      <w:hyperlink w:anchor="_Toc99121784" w:history="1">
        <w:r w:rsidR="00464922" w:rsidRPr="008A301F">
          <w:rPr>
            <w:rStyle w:val="Hyperlink"/>
            <w:noProof/>
          </w:rPr>
          <w:t>Chapter 4:</w:t>
        </w:r>
        <w:r w:rsidR="00464922">
          <w:rPr>
            <w:rFonts w:asciiTheme="minorHAnsi" w:eastAsiaTheme="minorEastAsia" w:hAnsiTheme="minorHAnsi" w:cstheme="minorBidi"/>
            <w:noProof/>
            <w:sz w:val="22"/>
            <w:szCs w:val="22"/>
            <w:lang w:val="en-US"/>
          </w:rPr>
          <w:tab/>
        </w:r>
        <w:r w:rsidR="00464922" w:rsidRPr="008A301F">
          <w:rPr>
            <w:rStyle w:val="Hyperlink"/>
            <w:noProof/>
          </w:rPr>
          <w:t>Program effectiveness</w:t>
        </w:r>
        <w:r w:rsidR="00464922">
          <w:rPr>
            <w:noProof/>
            <w:webHidden/>
          </w:rPr>
          <w:tab/>
        </w:r>
        <w:r w:rsidR="00464922">
          <w:rPr>
            <w:noProof/>
            <w:webHidden/>
          </w:rPr>
          <w:fldChar w:fldCharType="begin"/>
        </w:r>
        <w:r w:rsidR="00464922">
          <w:rPr>
            <w:noProof/>
            <w:webHidden/>
          </w:rPr>
          <w:instrText xml:space="preserve"> PAGEREF _Toc99121784 \h </w:instrText>
        </w:r>
        <w:r w:rsidR="00464922">
          <w:rPr>
            <w:noProof/>
            <w:webHidden/>
          </w:rPr>
        </w:r>
        <w:r w:rsidR="00464922">
          <w:rPr>
            <w:noProof/>
            <w:webHidden/>
          </w:rPr>
          <w:fldChar w:fldCharType="separate"/>
        </w:r>
        <w:r w:rsidR="00604BD9">
          <w:rPr>
            <w:noProof/>
            <w:webHidden/>
          </w:rPr>
          <w:t>19</w:t>
        </w:r>
        <w:r w:rsidR="00464922">
          <w:rPr>
            <w:noProof/>
            <w:webHidden/>
          </w:rPr>
          <w:fldChar w:fldCharType="end"/>
        </w:r>
      </w:hyperlink>
    </w:p>
    <w:p w14:paraId="38A55D5F" w14:textId="6B7F81E1"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85" w:history="1">
        <w:r w:rsidR="00464922" w:rsidRPr="008A301F">
          <w:rPr>
            <w:rStyle w:val="Hyperlink"/>
            <w:noProof/>
            <w14:scene3d>
              <w14:camera w14:prst="orthographicFront"/>
              <w14:lightRig w14:rig="threePt" w14:dir="t">
                <w14:rot w14:lat="0" w14:lon="0" w14:rev="0"/>
              </w14:lightRig>
            </w14:scene3d>
          </w:rPr>
          <w:t>4.1</w:t>
        </w:r>
        <w:r w:rsidR="00464922">
          <w:rPr>
            <w:rFonts w:asciiTheme="minorHAnsi" w:eastAsiaTheme="minorEastAsia" w:hAnsiTheme="minorHAnsi" w:cstheme="minorBidi"/>
            <w:noProof/>
            <w:sz w:val="22"/>
            <w:szCs w:val="22"/>
            <w:lang w:val="en-US"/>
          </w:rPr>
          <w:tab/>
        </w:r>
        <w:r w:rsidR="00464922" w:rsidRPr="008A301F">
          <w:rPr>
            <w:rStyle w:val="Hyperlink"/>
            <w:noProof/>
          </w:rPr>
          <w:t>Key findings</w:t>
        </w:r>
        <w:r w:rsidR="00464922">
          <w:rPr>
            <w:noProof/>
            <w:webHidden/>
          </w:rPr>
          <w:tab/>
        </w:r>
        <w:r w:rsidR="00464922">
          <w:rPr>
            <w:noProof/>
            <w:webHidden/>
          </w:rPr>
          <w:fldChar w:fldCharType="begin"/>
        </w:r>
        <w:r w:rsidR="00464922">
          <w:rPr>
            <w:noProof/>
            <w:webHidden/>
          </w:rPr>
          <w:instrText xml:space="preserve"> PAGEREF _Toc99121785 \h </w:instrText>
        </w:r>
        <w:r w:rsidR="00464922">
          <w:rPr>
            <w:noProof/>
            <w:webHidden/>
          </w:rPr>
        </w:r>
        <w:r w:rsidR="00464922">
          <w:rPr>
            <w:noProof/>
            <w:webHidden/>
          </w:rPr>
          <w:fldChar w:fldCharType="separate"/>
        </w:r>
        <w:r w:rsidR="00604BD9">
          <w:rPr>
            <w:noProof/>
            <w:webHidden/>
          </w:rPr>
          <w:t>19</w:t>
        </w:r>
        <w:r w:rsidR="00464922">
          <w:rPr>
            <w:noProof/>
            <w:webHidden/>
          </w:rPr>
          <w:fldChar w:fldCharType="end"/>
        </w:r>
      </w:hyperlink>
    </w:p>
    <w:p w14:paraId="3AFBD6A9" w14:textId="2EB32115"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86" w:history="1">
        <w:r w:rsidR="00464922" w:rsidRPr="008A301F">
          <w:rPr>
            <w:rStyle w:val="Hyperlink"/>
            <w:noProof/>
            <w14:scene3d>
              <w14:camera w14:prst="orthographicFront"/>
              <w14:lightRig w14:rig="threePt" w14:dir="t">
                <w14:rot w14:lat="0" w14:lon="0" w14:rev="0"/>
              </w14:lightRig>
            </w14:scene3d>
          </w:rPr>
          <w:t>4.2</w:t>
        </w:r>
        <w:r w:rsidR="00464922">
          <w:rPr>
            <w:rFonts w:asciiTheme="minorHAnsi" w:eastAsiaTheme="minorEastAsia" w:hAnsiTheme="minorHAnsi" w:cstheme="minorBidi"/>
            <w:noProof/>
            <w:sz w:val="22"/>
            <w:szCs w:val="22"/>
            <w:lang w:val="en-US"/>
          </w:rPr>
          <w:tab/>
        </w:r>
        <w:r w:rsidR="00464922" w:rsidRPr="008A301F">
          <w:rPr>
            <w:rStyle w:val="Hyperlink"/>
            <w:noProof/>
          </w:rPr>
          <w:t>Conclusions</w:t>
        </w:r>
        <w:r w:rsidR="00464922">
          <w:rPr>
            <w:noProof/>
            <w:webHidden/>
          </w:rPr>
          <w:tab/>
        </w:r>
        <w:r w:rsidR="00464922">
          <w:rPr>
            <w:noProof/>
            <w:webHidden/>
          </w:rPr>
          <w:fldChar w:fldCharType="begin"/>
        </w:r>
        <w:r w:rsidR="00464922">
          <w:rPr>
            <w:noProof/>
            <w:webHidden/>
          </w:rPr>
          <w:instrText xml:space="preserve"> PAGEREF _Toc99121786 \h </w:instrText>
        </w:r>
        <w:r w:rsidR="00464922">
          <w:rPr>
            <w:noProof/>
            <w:webHidden/>
          </w:rPr>
        </w:r>
        <w:r w:rsidR="00464922">
          <w:rPr>
            <w:noProof/>
            <w:webHidden/>
          </w:rPr>
          <w:fldChar w:fldCharType="separate"/>
        </w:r>
        <w:r w:rsidR="00604BD9">
          <w:rPr>
            <w:noProof/>
            <w:webHidden/>
          </w:rPr>
          <w:t>21</w:t>
        </w:r>
        <w:r w:rsidR="00464922">
          <w:rPr>
            <w:noProof/>
            <w:webHidden/>
          </w:rPr>
          <w:fldChar w:fldCharType="end"/>
        </w:r>
      </w:hyperlink>
    </w:p>
    <w:p w14:paraId="6A66E05E" w14:textId="542CEE6B"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87" w:history="1">
        <w:r w:rsidR="00464922" w:rsidRPr="008A301F">
          <w:rPr>
            <w:rStyle w:val="Hyperlink"/>
            <w:noProof/>
            <w14:scene3d>
              <w14:camera w14:prst="orthographicFront"/>
              <w14:lightRig w14:rig="threePt" w14:dir="t">
                <w14:rot w14:lat="0" w14:lon="0" w14:rev="0"/>
              </w14:lightRig>
            </w14:scene3d>
          </w:rPr>
          <w:t>4.3</w:t>
        </w:r>
        <w:r w:rsidR="00464922">
          <w:rPr>
            <w:rFonts w:asciiTheme="minorHAnsi" w:eastAsiaTheme="minorEastAsia" w:hAnsiTheme="minorHAnsi" w:cstheme="minorBidi"/>
            <w:noProof/>
            <w:sz w:val="22"/>
            <w:szCs w:val="22"/>
            <w:lang w:val="en-US"/>
          </w:rPr>
          <w:tab/>
        </w:r>
        <w:r w:rsidR="00464922" w:rsidRPr="008A301F">
          <w:rPr>
            <w:rStyle w:val="Hyperlink"/>
            <w:noProof/>
          </w:rPr>
          <w:t>Recommendations</w:t>
        </w:r>
        <w:r w:rsidR="00464922">
          <w:rPr>
            <w:noProof/>
            <w:webHidden/>
          </w:rPr>
          <w:tab/>
        </w:r>
        <w:r w:rsidR="00464922">
          <w:rPr>
            <w:noProof/>
            <w:webHidden/>
          </w:rPr>
          <w:fldChar w:fldCharType="begin"/>
        </w:r>
        <w:r w:rsidR="00464922">
          <w:rPr>
            <w:noProof/>
            <w:webHidden/>
          </w:rPr>
          <w:instrText xml:space="preserve"> PAGEREF _Toc99121787 \h </w:instrText>
        </w:r>
        <w:r w:rsidR="00464922">
          <w:rPr>
            <w:noProof/>
            <w:webHidden/>
          </w:rPr>
        </w:r>
        <w:r w:rsidR="00464922">
          <w:rPr>
            <w:noProof/>
            <w:webHidden/>
          </w:rPr>
          <w:fldChar w:fldCharType="separate"/>
        </w:r>
        <w:r w:rsidR="00604BD9">
          <w:rPr>
            <w:noProof/>
            <w:webHidden/>
          </w:rPr>
          <w:t>22</w:t>
        </w:r>
        <w:r w:rsidR="00464922">
          <w:rPr>
            <w:noProof/>
            <w:webHidden/>
          </w:rPr>
          <w:fldChar w:fldCharType="end"/>
        </w:r>
      </w:hyperlink>
    </w:p>
    <w:p w14:paraId="07BA613A" w14:textId="13FB269C" w:rsidR="00464922" w:rsidRDefault="00391EF1">
      <w:pPr>
        <w:pStyle w:val="TOC1"/>
        <w:tabs>
          <w:tab w:val="left" w:pos="1276"/>
        </w:tabs>
        <w:rPr>
          <w:rFonts w:asciiTheme="minorHAnsi" w:eastAsiaTheme="minorEastAsia" w:hAnsiTheme="minorHAnsi" w:cstheme="minorBidi"/>
          <w:noProof/>
          <w:sz w:val="22"/>
          <w:szCs w:val="22"/>
          <w:lang w:val="en-US"/>
        </w:rPr>
      </w:pPr>
      <w:hyperlink w:anchor="_Toc99121788" w:history="1">
        <w:r w:rsidR="00464922" w:rsidRPr="008A301F">
          <w:rPr>
            <w:rStyle w:val="Hyperlink"/>
            <w:noProof/>
          </w:rPr>
          <w:t>Chapter 5:</w:t>
        </w:r>
        <w:r w:rsidR="00464922">
          <w:rPr>
            <w:rFonts w:asciiTheme="minorHAnsi" w:eastAsiaTheme="minorEastAsia" w:hAnsiTheme="minorHAnsi" w:cstheme="minorBidi"/>
            <w:noProof/>
            <w:sz w:val="22"/>
            <w:szCs w:val="22"/>
            <w:lang w:val="en-US"/>
          </w:rPr>
          <w:tab/>
        </w:r>
        <w:r w:rsidR="00464922" w:rsidRPr="008A301F">
          <w:rPr>
            <w:rStyle w:val="Hyperlink"/>
            <w:noProof/>
          </w:rPr>
          <w:t>Complementarity between TSSP2 and AIFFP</w:t>
        </w:r>
        <w:r w:rsidR="00464922">
          <w:rPr>
            <w:noProof/>
            <w:webHidden/>
          </w:rPr>
          <w:tab/>
        </w:r>
        <w:r w:rsidR="00464922">
          <w:rPr>
            <w:noProof/>
            <w:webHidden/>
          </w:rPr>
          <w:fldChar w:fldCharType="begin"/>
        </w:r>
        <w:r w:rsidR="00464922">
          <w:rPr>
            <w:noProof/>
            <w:webHidden/>
          </w:rPr>
          <w:instrText xml:space="preserve"> PAGEREF _Toc99121788 \h </w:instrText>
        </w:r>
        <w:r w:rsidR="00464922">
          <w:rPr>
            <w:noProof/>
            <w:webHidden/>
          </w:rPr>
        </w:r>
        <w:r w:rsidR="00464922">
          <w:rPr>
            <w:noProof/>
            <w:webHidden/>
          </w:rPr>
          <w:fldChar w:fldCharType="separate"/>
        </w:r>
        <w:r w:rsidR="00604BD9">
          <w:rPr>
            <w:noProof/>
            <w:webHidden/>
          </w:rPr>
          <w:t>22</w:t>
        </w:r>
        <w:r w:rsidR="00464922">
          <w:rPr>
            <w:noProof/>
            <w:webHidden/>
          </w:rPr>
          <w:fldChar w:fldCharType="end"/>
        </w:r>
      </w:hyperlink>
    </w:p>
    <w:p w14:paraId="143090D7" w14:textId="4978658D"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89" w:history="1">
        <w:r w:rsidR="00464922" w:rsidRPr="008A301F">
          <w:rPr>
            <w:rStyle w:val="Hyperlink"/>
            <w:noProof/>
            <w14:scene3d>
              <w14:camera w14:prst="orthographicFront"/>
              <w14:lightRig w14:rig="threePt" w14:dir="t">
                <w14:rot w14:lat="0" w14:lon="0" w14:rev="0"/>
              </w14:lightRig>
            </w14:scene3d>
          </w:rPr>
          <w:t>5.1</w:t>
        </w:r>
        <w:r w:rsidR="00464922">
          <w:rPr>
            <w:rFonts w:asciiTheme="minorHAnsi" w:eastAsiaTheme="minorEastAsia" w:hAnsiTheme="minorHAnsi" w:cstheme="minorBidi"/>
            <w:noProof/>
            <w:sz w:val="22"/>
            <w:szCs w:val="22"/>
            <w:lang w:val="en-US"/>
          </w:rPr>
          <w:tab/>
        </w:r>
        <w:r w:rsidR="00464922" w:rsidRPr="008A301F">
          <w:rPr>
            <w:rStyle w:val="Hyperlink"/>
            <w:noProof/>
          </w:rPr>
          <w:t>Key findings</w:t>
        </w:r>
        <w:r w:rsidR="00464922">
          <w:rPr>
            <w:noProof/>
            <w:webHidden/>
          </w:rPr>
          <w:tab/>
        </w:r>
        <w:r w:rsidR="00464922">
          <w:rPr>
            <w:noProof/>
            <w:webHidden/>
          </w:rPr>
          <w:fldChar w:fldCharType="begin"/>
        </w:r>
        <w:r w:rsidR="00464922">
          <w:rPr>
            <w:noProof/>
            <w:webHidden/>
          </w:rPr>
          <w:instrText xml:space="preserve"> PAGEREF _Toc99121789 \h </w:instrText>
        </w:r>
        <w:r w:rsidR="00464922">
          <w:rPr>
            <w:noProof/>
            <w:webHidden/>
          </w:rPr>
        </w:r>
        <w:r w:rsidR="00464922">
          <w:rPr>
            <w:noProof/>
            <w:webHidden/>
          </w:rPr>
          <w:fldChar w:fldCharType="separate"/>
        </w:r>
        <w:r w:rsidR="00604BD9">
          <w:rPr>
            <w:noProof/>
            <w:webHidden/>
          </w:rPr>
          <w:t>22</w:t>
        </w:r>
        <w:r w:rsidR="00464922">
          <w:rPr>
            <w:noProof/>
            <w:webHidden/>
          </w:rPr>
          <w:fldChar w:fldCharType="end"/>
        </w:r>
      </w:hyperlink>
    </w:p>
    <w:p w14:paraId="2631465F" w14:textId="6F6B4BDA"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90" w:history="1">
        <w:r w:rsidR="00464922" w:rsidRPr="008A301F">
          <w:rPr>
            <w:rStyle w:val="Hyperlink"/>
            <w:noProof/>
            <w14:scene3d>
              <w14:camera w14:prst="orthographicFront"/>
              <w14:lightRig w14:rig="threePt" w14:dir="t">
                <w14:rot w14:lat="0" w14:lon="0" w14:rev="0"/>
              </w14:lightRig>
            </w14:scene3d>
          </w:rPr>
          <w:t>5.2</w:t>
        </w:r>
        <w:r w:rsidR="00464922">
          <w:rPr>
            <w:rFonts w:asciiTheme="minorHAnsi" w:eastAsiaTheme="minorEastAsia" w:hAnsiTheme="minorHAnsi" w:cstheme="minorBidi"/>
            <w:noProof/>
            <w:sz w:val="22"/>
            <w:szCs w:val="22"/>
            <w:lang w:val="en-US"/>
          </w:rPr>
          <w:tab/>
        </w:r>
        <w:r w:rsidR="00464922" w:rsidRPr="008A301F">
          <w:rPr>
            <w:rStyle w:val="Hyperlink"/>
            <w:noProof/>
          </w:rPr>
          <w:t>Conclusions</w:t>
        </w:r>
        <w:r w:rsidR="00464922">
          <w:rPr>
            <w:noProof/>
            <w:webHidden/>
          </w:rPr>
          <w:tab/>
        </w:r>
        <w:r w:rsidR="00464922">
          <w:rPr>
            <w:noProof/>
            <w:webHidden/>
          </w:rPr>
          <w:fldChar w:fldCharType="begin"/>
        </w:r>
        <w:r w:rsidR="00464922">
          <w:rPr>
            <w:noProof/>
            <w:webHidden/>
          </w:rPr>
          <w:instrText xml:space="preserve"> PAGEREF _Toc99121790 \h </w:instrText>
        </w:r>
        <w:r w:rsidR="00464922">
          <w:rPr>
            <w:noProof/>
            <w:webHidden/>
          </w:rPr>
        </w:r>
        <w:r w:rsidR="00464922">
          <w:rPr>
            <w:noProof/>
            <w:webHidden/>
          </w:rPr>
          <w:fldChar w:fldCharType="separate"/>
        </w:r>
        <w:r w:rsidR="00604BD9">
          <w:rPr>
            <w:noProof/>
            <w:webHidden/>
          </w:rPr>
          <w:t>23</w:t>
        </w:r>
        <w:r w:rsidR="00464922">
          <w:rPr>
            <w:noProof/>
            <w:webHidden/>
          </w:rPr>
          <w:fldChar w:fldCharType="end"/>
        </w:r>
      </w:hyperlink>
    </w:p>
    <w:p w14:paraId="4B65822D" w14:textId="66AF93E0"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91" w:history="1">
        <w:r w:rsidR="00464922" w:rsidRPr="008A301F">
          <w:rPr>
            <w:rStyle w:val="Hyperlink"/>
            <w:noProof/>
            <w14:scene3d>
              <w14:camera w14:prst="orthographicFront"/>
              <w14:lightRig w14:rig="threePt" w14:dir="t">
                <w14:rot w14:lat="0" w14:lon="0" w14:rev="0"/>
              </w14:lightRig>
            </w14:scene3d>
          </w:rPr>
          <w:t>5.3</w:t>
        </w:r>
        <w:r w:rsidR="00464922">
          <w:rPr>
            <w:rFonts w:asciiTheme="minorHAnsi" w:eastAsiaTheme="minorEastAsia" w:hAnsiTheme="minorHAnsi" w:cstheme="minorBidi"/>
            <w:noProof/>
            <w:sz w:val="22"/>
            <w:szCs w:val="22"/>
            <w:lang w:val="en-US"/>
          </w:rPr>
          <w:tab/>
        </w:r>
        <w:r w:rsidR="00464922" w:rsidRPr="008A301F">
          <w:rPr>
            <w:rStyle w:val="Hyperlink"/>
            <w:noProof/>
          </w:rPr>
          <w:t>Recommendations</w:t>
        </w:r>
        <w:r w:rsidR="00464922">
          <w:rPr>
            <w:noProof/>
            <w:webHidden/>
          </w:rPr>
          <w:tab/>
        </w:r>
        <w:r w:rsidR="00464922">
          <w:rPr>
            <w:noProof/>
            <w:webHidden/>
          </w:rPr>
          <w:fldChar w:fldCharType="begin"/>
        </w:r>
        <w:r w:rsidR="00464922">
          <w:rPr>
            <w:noProof/>
            <w:webHidden/>
          </w:rPr>
          <w:instrText xml:space="preserve"> PAGEREF _Toc99121791 \h </w:instrText>
        </w:r>
        <w:r w:rsidR="00464922">
          <w:rPr>
            <w:noProof/>
            <w:webHidden/>
          </w:rPr>
        </w:r>
        <w:r w:rsidR="00464922">
          <w:rPr>
            <w:noProof/>
            <w:webHidden/>
          </w:rPr>
          <w:fldChar w:fldCharType="separate"/>
        </w:r>
        <w:r w:rsidR="00604BD9">
          <w:rPr>
            <w:noProof/>
            <w:webHidden/>
          </w:rPr>
          <w:t>23</w:t>
        </w:r>
        <w:r w:rsidR="00464922">
          <w:rPr>
            <w:noProof/>
            <w:webHidden/>
          </w:rPr>
          <w:fldChar w:fldCharType="end"/>
        </w:r>
      </w:hyperlink>
    </w:p>
    <w:p w14:paraId="103FE61F" w14:textId="4C74824D" w:rsidR="00464922" w:rsidRDefault="00391EF1">
      <w:pPr>
        <w:pStyle w:val="TOC1"/>
        <w:tabs>
          <w:tab w:val="left" w:pos="1276"/>
        </w:tabs>
        <w:rPr>
          <w:rFonts w:asciiTheme="minorHAnsi" w:eastAsiaTheme="minorEastAsia" w:hAnsiTheme="minorHAnsi" w:cstheme="minorBidi"/>
          <w:noProof/>
          <w:sz w:val="22"/>
          <w:szCs w:val="22"/>
          <w:lang w:val="en-US"/>
        </w:rPr>
      </w:pPr>
      <w:hyperlink w:anchor="_Toc99121792" w:history="1">
        <w:r w:rsidR="00464922" w:rsidRPr="008A301F">
          <w:rPr>
            <w:rStyle w:val="Hyperlink"/>
            <w:noProof/>
          </w:rPr>
          <w:t>Chapter 6:</w:t>
        </w:r>
        <w:r w:rsidR="00464922">
          <w:rPr>
            <w:rFonts w:asciiTheme="minorHAnsi" w:eastAsiaTheme="minorEastAsia" w:hAnsiTheme="minorHAnsi" w:cstheme="minorBidi"/>
            <w:noProof/>
            <w:sz w:val="22"/>
            <w:szCs w:val="22"/>
            <w:lang w:val="en-US"/>
          </w:rPr>
          <w:tab/>
        </w:r>
        <w:r w:rsidR="00464922" w:rsidRPr="008A301F">
          <w:rPr>
            <w:rStyle w:val="Hyperlink"/>
            <w:noProof/>
          </w:rPr>
          <w:t>Cross-cutting issues</w:t>
        </w:r>
        <w:r w:rsidR="00464922">
          <w:rPr>
            <w:noProof/>
            <w:webHidden/>
          </w:rPr>
          <w:tab/>
        </w:r>
        <w:r w:rsidR="00464922">
          <w:rPr>
            <w:noProof/>
            <w:webHidden/>
          </w:rPr>
          <w:fldChar w:fldCharType="begin"/>
        </w:r>
        <w:r w:rsidR="00464922">
          <w:rPr>
            <w:noProof/>
            <w:webHidden/>
          </w:rPr>
          <w:instrText xml:space="preserve"> PAGEREF _Toc99121792 \h </w:instrText>
        </w:r>
        <w:r w:rsidR="00464922">
          <w:rPr>
            <w:noProof/>
            <w:webHidden/>
          </w:rPr>
        </w:r>
        <w:r w:rsidR="00464922">
          <w:rPr>
            <w:noProof/>
            <w:webHidden/>
          </w:rPr>
          <w:fldChar w:fldCharType="separate"/>
        </w:r>
        <w:r w:rsidR="00604BD9">
          <w:rPr>
            <w:noProof/>
            <w:webHidden/>
          </w:rPr>
          <w:t>24</w:t>
        </w:r>
        <w:r w:rsidR="00464922">
          <w:rPr>
            <w:noProof/>
            <w:webHidden/>
          </w:rPr>
          <w:fldChar w:fldCharType="end"/>
        </w:r>
      </w:hyperlink>
    </w:p>
    <w:p w14:paraId="7E6BEAB5" w14:textId="1A31119E"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93" w:history="1">
        <w:r w:rsidR="00464922" w:rsidRPr="008A301F">
          <w:rPr>
            <w:rStyle w:val="Hyperlink"/>
            <w:noProof/>
            <w14:scene3d>
              <w14:camera w14:prst="orthographicFront"/>
              <w14:lightRig w14:rig="threePt" w14:dir="t">
                <w14:rot w14:lat="0" w14:lon="0" w14:rev="0"/>
              </w14:lightRig>
            </w14:scene3d>
          </w:rPr>
          <w:t>6.1</w:t>
        </w:r>
        <w:r w:rsidR="00464922">
          <w:rPr>
            <w:rFonts w:asciiTheme="minorHAnsi" w:eastAsiaTheme="minorEastAsia" w:hAnsiTheme="minorHAnsi" w:cstheme="minorBidi"/>
            <w:noProof/>
            <w:sz w:val="22"/>
            <w:szCs w:val="22"/>
            <w:lang w:val="en-US"/>
          </w:rPr>
          <w:tab/>
        </w:r>
        <w:r w:rsidR="00464922" w:rsidRPr="008A301F">
          <w:rPr>
            <w:rStyle w:val="Hyperlink"/>
            <w:noProof/>
          </w:rPr>
          <w:t>Key Findings</w:t>
        </w:r>
        <w:r w:rsidR="00464922">
          <w:rPr>
            <w:noProof/>
            <w:webHidden/>
          </w:rPr>
          <w:tab/>
        </w:r>
        <w:r w:rsidR="00464922">
          <w:rPr>
            <w:noProof/>
            <w:webHidden/>
          </w:rPr>
          <w:fldChar w:fldCharType="begin"/>
        </w:r>
        <w:r w:rsidR="00464922">
          <w:rPr>
            <w:noProof/>
            <w:webHidden/>
          </w:rPr>
          <w:instrText xml:space="preserve"> PAGEREF _Toc99121793 \h </w:instrText>
        </w:r>
        <w:r w:rsidR="00464922">
          <w:rPr>
            <w:noProof/>
            <w:webHidden/>
          </w:rPr>
        </w:r>
        <w:r w:rsidR="00464922">
          <w:rPr>
            <w:noProof/>
            <w:webHidden/>
          </w:rPr>
          <w:fldChar w:fldCharType="separate"/>
        </w:r>
        <w:r w:rsidR="00604BD9">
          <w:rPr>
            <w:noProof/>
            <w:webHidden/>
          </w:rPr>
          <w:t>24</w:t>
        </w:r>
        <w:r w:rsidR="00464922">
          <w:rPr>
            <w:noProof/>
            <w:webHidden/>
          </w:rPr>
          <w:fldChar w:fldCharType="end"/>
        </w:r>
      </w:hyperlink>
    </w:p>
    <w:p w14:paraId="0D180B7B" w14:textId="59423ED1"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94" w:history="1">
        <w:r w:rsidR="00464922" w:rsidRPr="008A301F">
          <w:rPr>
            <w:rStyle w:val="Hyperlink"/>
            <w:noProof/>
            <w14:scene3d>
              <w14:camera w14:prst="orthographicFront"/>
              <w14:lightRig w14:rig="threePt" w14:dir="t">
                <w14:rot w14:lat="0" w14:lon="0" w14:rev="0"/>
              </w14:lightRig>
            </w14:scene3d>
          </w:rPr>
          <w:t>6.2</w:t>
        </w:r>
        <w:r w:rsidR="00464922">
          <w:rPr>
            <w:rFonts w:asciiTheme="minorHAnsi" w:eastAsiaTheme="minorEastAsia" w:hAnsiTheme="minorHAnsi" w:cstheme="minorBidi"/>
            <w:noProof/>
            <w:sz w:val="22"/>
            <w:szCs w:val="22"/>
            <w:lang w:val="en-US"/>
          </w:rPr>
          <w:tab/>
        </w:r>
        <w:r w:rsidR="00464922" w:rsidRPr="008A301F">
          <w:rPr>
            <w:rStyle w:val="Hyperlink"/>
            <w:noProof/>
          </w:rPr>
          <w:t>Conclusions</w:t>
        </w:r>
        <w:r w:rsidR="00464922">
          <w:rPr>
            <w:noProof/>
            <w:webHidden/>
          </w:rPr>
          <w:tab/>
        </w:r>
        <w:r w:rsidR="00464922">
          <w:rPr>
            <w:noProof/>
            <w:webHidden/>
          </w:rPr>
          <w:fldChar w:fldCharType="begin"/>
        </w:r>
        <w:r w:rsidR="00464922">
          <w:rPr>
            <w:noProof/>
            <w:webHidden/>
          </w:rPr>
          <w:instrText xml:space="preserve"> PAGEREF _Toc99121794 \h </w:instrText>
        </w:r>
        <w:r w:rsidR="00464922">
          <w:rPr>
            <w:noProof/>
            <w:webHidden/>
          </w:rPr>
        </w:r>
        <w:r w:rsidR="00464922">
          <w:rPr>
            <w:noProof/>
            <w:webHidden/>
          </w:rPr>
          <w:fldChar w:fldCharType="separate"/>
        </w:r>
        <w:r w:rsidR="00604BD9">
          <w:rPr>
            <w:noProof/>
            <w:webHidden/>
          </w:rPr>
          <w:t>26</w:t>
        </w:r>
        <w:r w:rsidR="00464922">
          <w:rPr>
            <w:noProof/>
            <w:webHidden/>
          </w:rPr>
          <w:fldChar w:fldCharType="end"/>
        </w:r>
      </w:hyperlink>
    </w:p>
    <w:p w14:paraId="6E7D2C8C" w14:textId="4B76CECD"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95" w:history="1">
        <w:r w:rsidR="00464922" w:rsidRPr="008A301F">
          <w:rPr>
            <w:rStyle w:val="Hyperlink"/>
            <w:noProof/>
            <w14:scene3d>
              <w14:camera w14:prst="orthographicFront"/>
              <w14:lightRig w14:rig="threePt" w14:dir="t">
                <w14:rot w14:lat="0" w14:lon="0" w14:rev="0"/>
              </w14:lightRig>
            </w14:scene3d>
          </w:rPr>
          <w:t>6.3</w:t>
        </w:r>
        <w:r w:rsidR="00464922">
          <w:rPr>
            <w:rFonts w:asciiTheme="minorHAnsi" w:eastAsiaTheme="minorEastAsia" w:hAnsiTheme="minorHAnsi" w:cstheme="minorBidi"/>
            <w:noProof/>
            <w:sz w:val="22"/>
            <w:szCs w:val="22"/>
            <w:lang w:val="en-US"/>
          </w:rPr>
          <w:tab/>
        </w:r>
        <w:r w:rsidR="00464922" w:rsidRPr="008A301F">
          <w:rPr>
            <w:rStyle w:val="Hyperlink"/>
            <w:noProof/>
          </w:rPr>
          <w:t>Recommendations</w:t>
        </w:r>
        <w:r w:rsidR="00464922">
          <w:rPr>
            <w:noProof/>
            <w:webHidden/>
          </w:rPr>
          <w:tab/>
        </w:r>
        <w:r w:rsidR="00464922">
          <w:rPr>
            <w:noProof/>
            <w:webHidden/>
          </w:rPr>
          <w:fldChar w:fldCharType="begin"/>
        </w:r>
        <w:r w:rsidR="00464922">
          <w:rPr>
            <w:noProof/>
            <w:webHidden/>
          </w:rPr>
          <w:instrText xml:space="preserve"> PAGEREF _Toc99121795 \h </w:instrText>
        </w:r>
        <w:r w:rsidR="00464922">
          <w:rPr>
            <w:noProof/>
            <w:webHidden/>
          </w:rPr>
        </w:r>
        <w:r w:rsidR="00464922">
          <w:rPr>
            <w:noProof/>
            <w:webHidden/>
          </w:rPr>
          <w:fldChar w:fldCharType="separate"/>
        </w:r>
        <w:r w:rsidR="00604BD9">
          <w:rPr>
            <w:noProof/>
            <w:webHidden/>
          </w:rPr>
          <w:t>26</w:t>
        </w:r>
        <w:r w:rsidR="00464922">
          <w:rPr>
            <w:noProof/>
            <w:webHidden/>
          </w:rPr>
          <w:fldChar w:fldCharType="end"/>
        </w:r>
      </w:hyperlink>
    </w:p>
    <w:p w14:paraId="5322DFE8" w14:textId="194FDE3D" w:rsidR="00464922" w:rsidRDefault="00391EF1">
      <w:pPr>
        <w:pStyle w:val="TOC1"/>
        <w:tabs>
          <w:tab w:val="left" w:pos="1276"/>
        </w:tabs>
        <w:rPr>
          <w:rFonts w:asciiTheme="minorHAnsi" w:eastAsiaTheme="minorEastAsia" w:hAnsiTheme="minorHAnsi" w:cstheme="minorBidi"/>
          <w:noProof/>
          <w:sz w:val="22"/>
          <w:szCs w:val="22"/>
          <w:lang w:val="en-US"/>
        </w:rPr>
      </w:pPr>
      <w:hyperlink w:anchor="_Toc99121796" w:history="1">
        <w:r w:rsidR="00464922" w:rsidRPr="008A301F">
          <w:rPr>
            <w:rStyle w:val="Hyperlink"/>
            <w:noProof/>
            <w:spacing w:val="-2"/>
          </w:rPr>
          <w:t>Chapter 7:</w:t>
        </w:r>
        <w:r w:rsidR="00464922">
          <w:rPr>
            <w:rFonts w:asciiTheme="minorHAnsi" w:eastAsiaTheme="minorEastAsia" w:hAnsiTheme="minorHAnsi" w:cstheme="minorBidi"/>
            <w:noProof/>
            <w:sz w:val="22"/>
            <w:szCs w:val="22"/>
            <w:lang w:val="en-US"/>
          </w:rPr>
          <w:tab/>
        </w:r>
        <w:r w:rsidR="00464922" w:rsidRPr="008A301F">
          <w:rPr>
            <w:rStyle w:val="Hyperlink"/>
            <w:noProof/>
            <w:spacing w:val="-2"/>
          </w:rPr>
          <w:t>Overall conclusions and future directions</w:t>
        </w:r>
        <w:r w:rsidR="00464922">
          <w:rPr>
            <w:noProof/>
            <w:webHidden/>
          </w:rPr>
          <w:tab/>
        </w:r>
        <w:r w:rsidR="00464922">
          <w:rPr>
            <w:noProof/>
            <w:webHidden/>
          </w:rPr>
          <w:fldChar w:fldCharType="begin"/>
        </w:r>
        <w:r w:rsidR="00464922">
          <w:rPr>
            <w:noProof/>
            <w:webHidden/>
          </w:rPr>
          <w:instrText xml:space="preserve"> PAGEREF _Toc99121796 \h </w:instrText>
        </w:r>
        <w:r w:rsidR="00464922">
          <w:rPr>
            <w:noProof/>
            <w:webHidden/>
          </w:rPr>
        </w:r>
        <w:r w:rsidR="00464922">
          <w:rPr>
            <w:noProof/>
            <w:webHidden/>
          </w:rPr>
          <w:fldChar w:fldCharType="separate"/>
        </w:r>
        <w:r w:rsidR="00604BD9">
          <w:rPr>
            <w:noProof/>
            <w:webHidden/>
          </w:rPr>
          <w:t>27</w:t>
        </w:r>
        <w:r w:rsidR="00464922">
          <w:rPr>
            <w:noProof/>
            <w:webHidden/>
          </w:rPr>
          <w:fldChar w:fldCharType="end"/>
        </w:r>
      </w:hyperlink>
    </w:p>
    <w:p w14:paraId="7BF4BA98" w14:textId="29DB9967"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97" w:history="1">
        <w:r w:rsidR="00464922" w:rsidRPr="008A301F">
          <w:rPr>
            <w:rStyle w:val="Hyperlink"/>
            <w:noProof/>
            <w14:scene3d>
              <w14:camera w14:prst="orthographicFront"/>
              <w14:lightRig w14:rig="threePt" w14:dir="t">
                <w14:rot w14:lat="0" w14:lon="0" w14:rev="0"/>
              </w14:lightRig>
            </w14:scene3d>
          </w:rPr>
          <w:t>7.1</w:t>
        </w:r>
        <w:r w:rsidR="00464922">
          <w:rPr>
            <w:rFonts w:asciiTheme="minorHAnsi" w:eastAsiaTheme="minorEastAsia" w:hAnsiTheme="minorHAnsi" w:cstheme="minorBidi"/>
            <w:noProof/>
            <w:sz w:val="22"/>
            <w:szCs w:val="22"/>
            <w:lang w:val="en-US"/>
          </w:rPr>
          <w:tab/>
        </w:r>
        <w:r w:rsidR="00464922" w:rsidRPr="008A301F">
          <w:rPr>
            <w:rStyle w:val="Hyperlink"/>
            <w:noProof/>
          </w:rPr>
          <w:t>Conclusions</w:t>
        </w:r>
        <w:r w:rsidR="00464922">
          <w:rPr>
            <w:noProof/>
            <w:webHidden/>
          </w:rPr>
          <w:tab/>
        </w:r>
        <w:r w:rsidR="00464922">
          <w:rPr>
            <w:noProof/>
            <w:webHidden/>
          </w:rPr>
          <w:fldChar w:fldCharType="begin"/>
        </w:r>
        <w:r w:rsidR="00464922">
          <w:rPr>
            <w:noProof/>
            <w:webHidden/>
          </w:rPr>
          <w:instrText xml:space="preserve"> PAGEREF _Toc99121797 \h </w:instrText>
        </w:r>
        <w:r w:rsidR="00464922">
          <w:rPr>
            <w:noProof/>
            <w:webHidden/>
          </w:rPr>
        </w:r>
        <w:r w:rsidR="00464922">
          <w:rPr>
            <w:noProof/>
            <w:webHidden/>
          </w:rPr>
          <w:fldChar w:fldCharType="separate"/>
        </w:r>
        <w:r w:rsidR="00604BD9">
          <w:rPr>
            <w:noProof/>
            <w:webHidden/>
          </w:rPr>
          <w:t>27</w:t>
        </w:r>
        <w:r w:rsidR="00464922">
          <w:rPr>
            <w:noProof/>
            <w:webHidden/>
          </w:rPr>
          <w:fldChar w:fldCharType="end"/>
        </w:r>
      </w:hyperlink>
    </w:p>
    <w:p w14:paraId="76A747F6" w14:textId="4B541E7E" w:rsidR="00464922" w:rsidRDefault="00391EF1">
      <w:pPr>
        <w:pStyle w:val="TOC2"/>
        <w:tabs>
          <w:tab w:val="left" w:pos="1276"/>
        </w:tabs>
        <w:rPr>
          <w:rFonts w:asciiTheme="minorHAnsi" w:eastAsiaTheme="minorEastAsia" w:hAnsiTheme="minorHAnsi" w:cstheme="minorBidi"/>
          <w:noProof/>
          <w:sz w:val="22"/>
          <w:szCs w:val="22"/>
          <w:lang w:val="en-US"/>
        </w:rPr>
      </w:pPr>
      <w:hyperlink w:anchor="_Toc99121798" w:history="1">
        <w:r w:rsidR="00464922" w:rsidRPr="008A301F">
          <w:rPr>
            <w:rStyle w:val="Hyperlink"/>
            <w:noProof/>
            <w14:scene3d>
              <w14:camera w14:prst="orthographicFront"/>
              <w14:lightRig w14:rig="threePt" w14:dir="t">
                <w14:rot w14:lat="0" w14:lon="0" w14:rev="0"/>
              </w14:lightRig>
            </w14:scene3d>
          </w:rPr>
          <w:t>7.2</w:t>
        </w:r>
        <w:r w:rsidR="00464922">
          <w:rPr>
            <w:rFonts w:asciiTheme="minorHAnsi" w:eastAsiaTheme="minorEastAsia" w:hAnsiTheme="minorHAnsi" w:cstheme="minorBidi"/>
            <w:noProof/>
            <w:sz w:val="22"/>
            <w:szCs w:val="22"/>
            <w:lang w:val="en-US"/>
          </w:rPr>
          <w:tab/>
        </w:r>
        <w:r w:rsidR="00464922" w:rsidRPr="008A301F">
          <w:rPr>
            <w:rStyle w:val="Hyperlink"/>
            <w:noProof/>
          </w:rPr>
          <w:t>Future directions</w:t>
        </w:r>
        <w:r w:rsidR="00464922">
          <w:rPr>
            <w:noProof/>
            <w:webHidden/>
          </w:rPr>
          <w:tab/>
        </w:r>
        <w:r w:rsidR="00464922">
          <w:rPr>
            <w:noProof/>
            <w:webHidden/>
          </w:rPr>
          <w:fldChar w:fldCharType="begin"/>
        </w:r>
        <w:r w:rsidR="00464922">
          <w:rPr>
            <w:noProof/>
            <w:webHidden/>
          </w:rPr>
          <w:instrText xml:space="preserve"> PAGEREF _Toc99121798 \h </w:instrText>
        </w:r>
        <w:r w:rsidR="00464922">
          <w:rPr>
            <w:noProof/>
            <w:webHidden/>
          </w:rPr>
        </w:r>
        <w:r w:rsidR="00464922">
          <w:rPr>
            <w:noProof/>
            <w:webHidden/>
          </w:rPr>
          <w:fldChar w:fldCharType="separate"/>
        </w:r>
        <w:r w:rsidR="00604BD9">
          <w:rPr>
            <w:noProof/>
            <w:webHidden/>
          </w:rPr>
          <w:t>27</w:t>
        </w:r>
        <w:r w:rsidR="00464922">
          <w:rPr>
            <w:noProof/>
            <w:webHidden/>
          </w:rPr>
          <w:fldChar w:fldCharType="end"/>
        </w:r>
      </w:hyperlink>
    </w:p>
    <w:p w14:paraId="0A809431" w14:textId="4EA43E6E" w:rsidR="00464922" w:rsidRDefault="00391EF1">
      <w:pPr>
        <w:pStyle w:val="TOC1"/>
        <w:rPr>
          <w:rFonts w:asciiTheme="minorHAnsi" w:eastAsiaTheme="minorEastAsia" w:hAnsiTheme="minorHAnsi" w:cstheme="minorBidi"/>
          <w:noProof/>
          <w:sz w:val="22"/>
          <w:szCs w:val="22"/>
          <w:lang w:val="en-US"/>
        </w:rPr>
      </w:pPr>
      <w:hyperlink w:anchor="_Toc99121799" w:history="1">
        <w:r w:rsidR="00464922" w:rsidRPr="008A301F">
          <w:rPr>
            <w:rStyle w:val="Hyperlink"/>
            <w:noProof/>
          </w:rPr>
          <w:t>Annex 1: Detailed methodology, limitations and list of stakeholders consulted</w:t>
        </w:r>
        <w:r w:rsidR="00464922">
          <w:rPr>
            <w:noProof/>
            <w:webHidden/>
          </w:rPr>
          <w:tab/>
        </w:r>
        <w:r w:rsidR="00464922">
          <w:rPr>
            <w:noProof/>
            <w:webHidden/>
          </w:rPr>
          <w:fldChar w:fldCharType="begin"/>
        </w:r>
        <w:r w:rsidR="00464922">
          <w:rPr>
            <w:noProof/>
            <w:webHidden/>
          </w:rPr>
          <w:instrText xml:space="preserve"> PAGEREF _Toc99121799 \h </w:instrText>
        </w:r>
        <w:r w:rsidR="00464922">
          <w:rPr>
            <w:noProof/>
            <w:webHidden/>
          </w:rPr>
        </w:r>
        <w:r w:rsidR="00464922">
          <w:rPr>
            <w:noProof/>
            <w:webHidden/>
          </w:rPr>
          <w:fldChar w:fldCharType="separate"/>
        </w:r>
        <w:r w:rsidR="00604BD9">
          <w:rPr>
            <w:noProof/>
            <w:webHidden/>
          </w:rPr>
          <w:t>29</w:t>
        </w:r>
        <w:r w:rsidR="00464922">
          <w:rPr>
            <w:noProof/>
            <w:webHidden/>
          </w:rPr>
          <w:fldChar w:fldCharType="end"/>
        </w:r>
      </w:hyperlink>
    </w:p>
    <w:p w14:paraId="3B46C66D" w14:textId="24CD83B4" w:rsidR="00C83E1F" w:rsidRPr="00F26F39" w:rsidRDefault="00165C55">
      <w:pPr>
        <w:rPr>
          <w:rFonts w:cs="Arial"/>
        </w:rPr>
      </w:pPr>
      <w:r>
        <w:rPr>
          <w:rFonts w:ascii="Franklin Gothic Book" w:hAnsi="Franklin Gothic Book" w:cs="Arial"/>
          <w:sz w:val="18"/>
          <w:szCs w:val="18"/>
        </w:rPr>
        <w:fldChar w:fldCharType="end"/>
      </w:r>
      <w:r w:rsidR="00C83E1F">
        <w:rPr>
          <w:rFonts w:ascii="Franklin Gothic Book" w:hAnsi="Franklin Gothic Book" w:cs="Arial"/>
          <w:sz w:val="18"/>
          <w:szCs w:val="18"/>
        </w:rPr>
        <w:br w:type="column"/>
      </w:r>
    </w:p>
    <w:p w14:paraId="0D828613" w14:textId="01509CBA" w:rsidR="00486413" w:rsidRDefault="00486413" w:rsidP="0024772A">
      <w:pPr>
        <w:pStyle w:val="BigText"/>
      </w:pPr>
      <w:bookmarkStart w:id="11" w:name="_Hlk8041853"/>
      <w:bookmarkStart w:id="12" w:name="_Hlk8804536"/>
      <w:bookmarkStart w:id="13" w:name="_Toc452476012"/>
      <w:bookmarkStart w:id="14" w:name="_Toc452476667"/>
      <w:bookmarkStart w:id="15" w:name="_Toc455345789"/>
      <w:bookmarkStart w:id="16" w:name="_Toc456276031"/>
      <w:bookmarkStart w:id="17" w:name="_Toc467854447"/>
      <w:bookmarkStart w:id="18" w:name="_Toc468117697"/>
      <w:bookmarkStart w:id="19" w:name="_Toc468117827"/>
      <w:r>
        <w:t xml:space="preserve">List of </w:t>
      </w:r>
      <w:r w:rsidRPr="004C2507">
        <w:t>Acronyms</w:t>
      </w:r>
      <w:r>
        <w:t xml:space="preserve"> </w:t>
      </w:r>
    </w:p>
    <w:p w14:paraId="236A1E7A" w14:textId="77777777" w:rsidR="00842C40" w:rsidRPr="004C2507" w:rsidRDefault="00842C40" w:rsidP="00842C40">
      <w:pPr>
        <w:pStyle w:val="BodyText"/>
        <w:rPr>
          <w:szCs w:val="20"/>
          <w:lang w:val="en-US"/>
        </w:rPr>
      </w:pPr>
    </w:p>
    <w:p w14:paraId="20F22F8F"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AHC</w:t>
      </w:r>
      <w:r w:rsidRPr="004C2507">
        <w:rPr>
          <w:rFonts w:ascii="Franklin Gothic Book" w:hAnsi="Franklin Gothic Book" w:cs="Arial"/>
          <w:b/>
          <w:bCs/>
        </w:rPr>
        <w:tab/>
      </w:r>
      <w:r w:rsidRPr="004C2507">
        <w:rPr>
          <w:rFonts w:ascii="Franklin Gothic Book" w:hAnsi="Franklin Gothic Book" w:cs="Arial"/>
        </w:rPr>
        <w:t>Australian High Commission</w:t>
      </w:r>
    </w:p>
    <w:p w14:paraId="4445BFA1"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AIFFP</w:t>
      </w:r>
      <w:r w:rsidRPr="004C2507">
        <w:rPr>
          <w:rFonts w:ascii="Franklin Gothic Book" w:hAnsi="Franklin Gothic Book" w:cs="Arial"/>
          <w:b/>
          <w:bCs/>
        </w:rPr>
        <w:tab/>
      </w:r>
      <w:r w:rsidRPr="004C2507">
        <w:rPr>
          <w:rFonts w:ascii="Franklin Gothic Book" w:hAnsi="Franklin Gothic Book" w:cs="Arial"/>
        </w:rPr>
        <w:t>Australian Infrastructure Financing Facility for the Pacific</w:t>
      </w:r>
    </w:p>
    <w:p w14:paraId="42D5699E"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ASAs</w:t>
      </w:r>
      <w:r w:rsidRPr="004C2507">
        <w:rPr>
          <w:rFonts w:ascii="Franklin Gothic Book" w:hAnsi="Franklin Gothic Book" w:cs="Arial"/>
        </w:rPr>
        <w:tab/>
        <w:t>Agency Support Arrangements</w:t>
      </w:r>
    </w:p>
    <w:p w14:paraId="10419BFB"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CASA PNG</w:t>
      </w:r>
      <w:r w:rsidRPr="004C2507">
        <w:rPr>
          <w:rFonts w:ascii="Franklin Gothic Book" w:hAnsi="Franklin Gothic Book" w:cs="Arial"/>
        </w:rPr>
        <w:tab/>
        <w:t>Civil Aviation Safety Authority</w:t>
      </w:r>
    </w:p>
    <w:p w14:paraId="5C3A9621" w14:textId="544FF51A" w:rsidR="004D5725" w:rsidRPr="004C2507" w:rsidRDefault="004D5725" w:rsidP="00842C40">
      <w:pPr>
        <w:tabs>
          <w:tab w:val="left" w:pos="1668"/>
        </w:tabs>
        <w:spacing w:before="120" w:after="120"/>
        <w:rPr>
          <w:rFonts w:ascii="Franklin Gothic Book" w:hAnsi="Franklin Gothic Book" w:cs="Arial"/>
        </w:rPr>
      </w:pPr>
      <w:r w:rsidRPr="004C2507">
        <w:rPr>
          <w:rFonts w:ascii="Franklin Gothic Book" w:hAnsi="Franklin Gothic Book" w:cs="Arial"/>
          <w:b/>
        </w:rPr>
        <w:t>CWA</w:t>
      </w:r>
      <w:r w:rsidRPr="004C2507">
        <w:rPr>
          <w:rFonts w:ascii="Franklin Gothic Book" w:hAnsi="Franklin Gothic Book" w:cs="Arial"/>
        </w:rPr>
        <w:tab/>
        <w:t>Community Works Arrangement</w:t>
      </w:r>
    </w:p>
    <w:p w14:paraId="4009ADE5"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DITRDC</w:t>
      </w:r>
      <w:r w:rsidRPr="004C2507">
        <w:rPr>
          <w:rFonts w:ascii="Franklin Gothic Book" w:hAnsi="Franklin Gothic Book" w:cs="Arial"/>
          <w:b/>
          <w:bCs/>
        </w:rPr>
        <w:tab/>
      </w:r>
      <w:r w:rsidRPr="004C2507">
        <w:rPr>
          <w:rFonts w:ascii="Franklin Gothic Book" w:hAnsi="Franklin Gothic Book" w:cs="Arial"/>
        </w:rPr>
        <w:t>Department of Infrastructure, Transport, Regional Development and Communications</w:t>
      </w:r>
    </w:p>
    <w:p w14:paraId="4E610F7E"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DFAT</w:t>
      </w:r>
      <w:r w:rsidRPr="004C2507">
        <w:rPr>
          <w:rFonts w:ascii="Franklin Gothic Book" w:hAnsi="Franklin Gothic Book" w:cs="Arial"/>
          <w:b/>
          <w:bCs/>
        </w:rPr>
        <w:tab/>
      </w:r>
      <w:r w:rsidRPr="004C2507">
        <w:rPr>
          <w:rFonts w:ascii="Franklin Gothic Book" w:hAnsi="Franklin Gothic Book" w:cs="Arial"/>
        </w:rPr>
        <w:t>Department of Foreign Affairs and Trade</w:t>
      </w:r>
    </w:p>
    <w:p w14:paraId="7C9C44CA"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DoT</w:t>
      </w:r>
      <w:r w:rsidRPr="004C2507">
        <w:rPr>
          <w:rFonts w:ascii="Franklin Gothic Book" w:hAnsi="Franklin Gothic Book" w:cs="Arial"/>
        </w:rPr>
        <w:tab/>
        <w:t>Department of Transport</w:t>
      </w:r>
    </w:p>
    <w:p w14:paraId="1207E86E" w14:textId="0A8AD03E" w:rsidR="00842C40" w:rsidRDefault="00842C40" w:rsidP="00842C40">
      <w:pPr>
        <w:tabs>
          <w:tab w:val="left" w:pos="1668"/>
        </w:tabs>
        <w:spacing w:before="120" w:after="120"/>
        <w:rPr>
          <w:rFonts w:ascii="Franklin Gothic Book" w:hAnsi="Franklin Gothic Book"/>
          <w:color w:val="000000" w:themeColor="text1"/>
          <w:lang w:val="en-US"/>
        </w:rPr>
      </w:pPr>
      <w:r w:rsidRPr="004C2507">
        <w:rPr>
          <w:rFonts w:ascii="Franklin Gothic Book" w:hAnsi="Franklin Gothic Book"/>
          <w:b/>
          <w:bCs/>
          <w:color w:val="000000" w:themeColor="text1"/>
          <w:lang w:val="en-US"/>
        </w:rPr>
        <w:t>DoW</w:t>
      </w:r>
      <w:r w:rsidRPr="004C2507">
        <w:rPr>
          <w:rFonts w:ascii="Franklin Gothic Book" w:hAnsi="Franklin Gothic Book"/>
          <w:color w:val="000000" w:themeColor="text1"/>
          <w:lang w:val="en-US"/>
        </w:rPr>
        <w:tab/>
        <w:t>Department of Works</w:t>
      </w:r>
    </w:p>
    <w:p w14:paraId="0A6386A9" w14:textId="2F28B3CD" w:rsidR="00A62EAF" w:rsidRPr="004C2507" w:rsidRDefault="00A62EAF" w:rsidP="00842C40">
      <w:pPr>
        <w:tabs>
          <w:tab w:val="left" w:pos="1668"/>
        </w:tabs>
        <w:spacing w:before="120" w:after="120"/>
        <w:rPr>
          <w:rFonts w:ascii="Franklin Gothic Book" w:hAnsi="Franklin Gothic Book" w:cs="Arial"/>
        </w:rPr>
      </w:pPr>
      <w:r w:rsidRPr="00425C0C">
        <w:rPr>
          <w:rFonts w:ascii="Franklin Gothic Book" w:hAnsi="Franklin Gothic Book"/>
          <w:b/>
          <w:color w:val="000000" w:themeColor="text1"/>
          <w:lang w:val="en-US"/>
        </w:rPr>
        <w:t>DTS</w:t>
      </w:r>
      <w:r w:rsidR="00425C0C" w:rsidRPr="00425C0C">
        <w:rPr>
          <w:rFonts w:ascii="Franklin Gothic Book" w:hAnsi="Franklin Gothic Book"/>
          <w:b/>
          <w:bCs/>
          <w:color w:val="000000" w:themeColor="text1"/>
          <w:lang w:val="en-US"/>
        </w:rPr>
        <w:tab/>
      </w:r>
      <w:r w:rsidRPr="00425C0C">
        <w:rPr>
          <w:rFonts w:ascii="Franklin Gothic Book" w:hAnsi="Franklin Gothic Book" w:cs="Arial"/>
          <w:spacing w:val="-2"/>
        </w:rPr>
        <w:t>Department of Technical Services</w:t>
      </w:r>
    </w:p>
    <w:p w14:paraId="614E486D"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EOPO</w:t>
      </w:r>
      <w:r w:rsidRPr="004C2507">
        <w:rPr>
          <w:rFonts w:ascii="Franklin Gothic Book" w:hAnsi="Franklin Gothic Book" w:cs="Arial"/>
          <w:b/>
          <w:bCs/>
        </w:rPr>
        <w:tab/>
      </w:r>
      <w:r w:rsidRPr="004C2507">
        <w:rPr>
          <w:rFonts w:ascii="Franklin Gothic Book" w:hAnsi="Franklin Gothic Book" w:cs="Arial"/>
        </w:rPr>
        <w:t>End of Program Outcomes</w:t>
      </w:r>
    </w:p>
    <w:p w14:paraId="68159A1F" w14:textId="093C0FF3" w:rsidR="00AC6FEF" w:rsidRPr="004C2507" w:rsidRDefault="00AC6FEF" w:rsidP="00842C40">
      <w:pPr>
        <w:tabs>
          <w:tab w:val="left" w:pos="1668"/>
        </w:tabs>
        <w:spacing w:before="120" w:after="120"/>
        <w:rPr>
          <w:rFonts w:ascii="Franklin Gothic Book" w:hAnsi="Franklin Gothic Book"/>
        </w:rPr>
      </w:pPr>
      <w:r w:rsidRPr="004C2507">
        <w:rPr>
          <w:rFonts w:ascii="Franklin Gothic Book" w:hAnsi="Franklin Gothic Book"/>
          <w:b/>
        </w:rPr>
        <w:t>FSV</w:t>
      </w:r>
      <w:r w:rsidRPr="004C2507">
        <w:rPr>
          <w:rFonts w:ascii="Franklin Gothic Book" w:hAnsi="Franklin Gothic Book"/>
        </w:rPr>
        <w:tab/>
        <w:t>Family and Sexual Violence</w:t>
      </w:r>
    </w:p>
    <w:p w14:paraId="371D9FBB" w14:textId="143F6CF7" w:rsidR="00680E9A" w:rsidRPr="004C2507" w:rsidRDefault="00680E9A" w:rsidP="00842C40">
      <w:pPr>
        <w:tabs>
          <w:tab w:val="left" w:pos="1668"/>
        </w:tabs>
        <w:spacing w:before="120" w:after="120"/>
        <w:rPr>
          <w:rFonts w:ascii="Franklin Gothic Book" w:eastAsia="Batang" w:hAnsi="Franklin Gothic Book" w:cs="Arial"/>
          <w:lang w:val="en-US"/>
        </w:rPr>
      </w:pPr>
      <w:r w:rsidRPr="004C2507">
        <w:rPr>
          <w:rFonts w:ascii="Franklin Gothic Book" w:hAnsi="Franklin Gothic Book"/>
          <w:b/>
          <w:bCs/>
        </w:rPr>
        <w:t>GBV</w:t>
      </w:r>
      <w:r w:rsidRPr="004C2507">
        <w:rPr>
          <w:rFonts w:ascii="Franklin Gothic Book" w:hAnsi="Franklin Gothic Book"/>
        </w:rPr>
        <w:tab/>
        <w:t>Gender-Based Violence</w:t>
      </w:r>
    </w:p>
    <w:p w14:paraId="385FFC11" w14:textId="633FED23" w:rsidR="002114E7" w:rsidRPr="004C2507" w:rsidRDefault="00D87D58" w:rsidP="00842C40">
      <w:pPr>
        <w:tabs>
          <w:tab w:val="left" w:pos="1668"/>
        </w:tabs>
        <w:spacing w:before="120" w:after="120"/>
        <w:rPr>
          <w:rFonts w:ascii="Franklin Gothic Book" w:hAnsi="Franklin Gothic Book" w:cs="Arial"/>
        </w:rPr>
      </w:pPr>
      <w:r>
        <w:rPr>
          <w:rFonts w:ascii="Franklin Gothic Book" w:eastAsia="Batang" w:hAnsi="Franklin Gothic Book" w:cs="Arial"/>
          <w:b/>
          <w:lang w:val="en-US"/>
        </w:rPr>
        <w:t>GEDSI</w:t>
      </w:r>
      <w:r w:rsidR="002114E7" w:rsidRPr="004C2507">
        <w:rPr>
          <w:rFonts w:ascii="Franklin Gothic Book" w:eastAsia="Batang" w:hAnsi="Franklin Gothic Book" w:cs="Arial"/>
          <w:lang w:val="en-US"/>
        </w:rPr>
        <w:tab/>
        <w:t xml:space="preserve">Gender </w:t>
      </w:r>
      <w:r w:rsidR="003C49AF">
        <w:rPr>
          <w:rFonts w:ascii="Franklin Gothic Book" w:eastAsia="Batang" w:hAnsi="Franklin Gothic Book" w:cs="Arial"/>
          <w:lang w:val="en-US"/>
        </w:rPr>
        <w:t xml:space="preserve">Equality </w:t>
      </w:r>
      <w:r w:rsidR="002114E7" w:rsidRPr="004C2507">
        <w:rPr>
          <w:rFonts w:ascii="Franklin Gothic Book" w:eastAsia="Batang" w:hAnsi="Franklin Gothic Book" w:cs="Arial"/>
          <w:lang w:val="en-US"/>
        </w:rPr>
        <w:t>and Social Inclusion</w:t>
      </w:r>
    </w:p>
    <w:p w14:paraId="34BA6511"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GoPNG</w:t>
      </w:r>
      <w:r w:rsidRPr="004C2507">
        <w:rPr>
          <w:rFonts w:ascii="Franklin Gothic Book" w:hAnsi="Franklin Gothic Book" w:cs="Arial"/>
          <w:b/>
          <w:bCs/>
        </w:rPr>
        <w:tab/>
      </w:r>
      <w:r w:rsidRPr="004C2507">
        <w:rPr>
          <w:rFonts w:ascii="Franklin Gothic Book" w:hAnsi="Franklin Gothic Book" w:cs="Arial"/>
        </w:rPr>
        <w:t>Government of Papua New Guinea</w:t>
      </w:r>
    </w:p>
    <w:p w14:paraId="2699F389" w14:textId="72A41042" w:rsidR="00F7209F" w:rsidRPr="004C2507" w:rsidRDefault="00F7209F" w:rsidP="00842C40">
      <w:pPr>
        <w:tabs>
          <w:tab w:val="left" w:pos="1668"/>
        </w:tabs>
        <w:spacing w:before="120" w:after="120"/>
        <w:rPr>
          <w:rFonts w:ascii="Franklin Gothic Book" w:hAnsi="Franklin Gothic Book" w:cs="Arial"/>
        </w:rPr>
      </w:pPr>
      <w:r w:rsidRPr="004C2507">
        <w:rPr>
          <w:rFonts w:ascii="Franklin Gothic Book" w:hAnsi="Franklin Gothic Book" w:cs="Arial"/>
          <w:b/>
        </w:rPr>
        <w:t>IFC</w:t>
      </w:r>
      <w:r w:rsidRPr="004C2507">
        <w:rPr>
          <w:rFonts w:ascii="Franklin Gothic Book" w:hAnsi="Franklin Gothic Book" w:cs="Arial"/>
        </w:rPr>
        <w:tab/>
        <w:t>International Finance Corporation</w:t>
      </w:r>
    </w:p>
    <w:p w14:paraId="6DC40208"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IPP</w:t>
      </w:r>
      <w:r w:rsidRPr="004C2507">
        <w:rPr>
          <w:rFonts w:ascii="Franklin Gothic Book" w:hAnsi="Franklin Gothic Book" w:cs="Arial"/>
          <w:b/>
          <w:bCs/>
        </w:rPr>
        <w:tab/>
      </w:r>
      <w:r w:rsidRPr="004C2507">
        <w:rPr>
          <w:rFonts w:ascii="Franklin Gothic Book" w:hAnsi="Franklin Gothic Book" w:cs="Arial"/>
        </w:rPr>
        <w:t>Institutional Partnerships Program</w:t>
      </w:r>
    </w:p>
    <w:p w14:paraId="74DBA369" w14:textId="55D1B53D" w:rsidR="004D5725" w:rsidRPr="004C2507" w:rsidRDefault="004D5725"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LTMC</w:t>
      </w:r>
      <w:r w:rsidRPr="004C2507">
        <w:rPr>
          <w:rFonts w:ascii="Franklin Gothic Book" w:hAnsi="Franklin Gothic Book" w:cs="Arial"/>
          <w:b/>
          <w:bCs/>
        </w:rPr>
        <w:tab/>
      </w:r>
      <w:r w:rsidRPr="004C2507">
        <w:rPr>
          <w:rFonts w:ascii="Franklin Gothic Book" w:hAnsi="Franklin Gothic Book" w:cs="Calibri Light"/>
        </w:rPr>
        <w:t>Long-Term Maintenance Contracts</w:t>
      </w:r>
    </w:p>
    <w:p w14:paraId="6CC0C1C7"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M&amp;E</w:t>
      </w:r>
      <w:r w:rsidRPr="004C2507">
        <w:rPr>
          <w:rFonts w:ascii="Franklin Gothic Book" w:hAnsi="Franklin Gothic Book" w:cs="Arial"/>
        </w:rPr>
        <w:t xml:space="preserve"> </w:t>
      </w:r>
      <w:r w:rsidRPr="004C2507">
        <w:rPr>
          <w:rFonts w:ascii="Franklin Gothic Book" w:hAnsi="Franklin Gothic Book" w:cs="Arial"/>
        </w:rPr>
        <w:tab/>
        <w:t>Monitoring and Evaluation</w:t>
      </w:r>
    </w:p>
    <w:p w14:paraId="5DB2B0F7" w14:textId="7C196380" w:rsidR="0053511B" w:rsidRPr="004C2507" w:rsidRDefault="0053511B"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MEF</w:t>
      </w:r>
      <w:r w:rsidRPr="004C2507">
        <w:rPr>
          <w:rFonts w:ascii="Franklin Gothic Book" w:hAnsi="Franklin Gothic Book" w:cs="Arial"/>
        </w:rPr>
        <w:tab/>
        <w:t>M&amp;E Framework</w:t>
      </w:r>
    </w:p>
    <w:p w14:paraId="5B989201" w14:textId="3C72C33D" w:rsidR="005129DE" w:rsidRPr="004C2507" w:rsidRDefault="005129DE" w:rsidP="00842C40">
      <w:pPr>
        <w:tabs>
          <w:tab w:val="left" w:pos="1668"/>
        </w:tabs>
        <w:spacing w:before="120" w:after="120"/>
        <w:rPr>
          <w:rFonts w:ascii="Franklin Gothic Book" w:hAnsi="Franklin Gothic Book" w:cs="Arial"/>
        </w:rPr>
      </w:pPr>
      <w:r w:rsidRPr="004C2507">
        <w:rPr>
          <w:rFonts w:ascii="Franklin Gothic Book" w:hAnsi="Franklin Gothic Book" w:cs="Arial"/>
          <w:b/>
        </w:rPr>
        <w:t>MLB</w:t>
      </w:r>
      <w:r w:rsidRPr="004C2507">
        <w:rPr>
          <w:rFonts w:ascii="Franklin Gothic Book" w:hAnsi="Franklin Gothic Book" w:cs="Arial"/>
        </w:rPr>
        <w:tab/>
        <w:t>Multilateral Banks</w:t>
      </w:r>
    </w:p>
    <w:p w14:paraId="39D6D5A5"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MoG</w:t>
      </w:r>
      <w:r w:rsidRPr="004C2507">
        <w:rPr>
          <w:rFonts w:ascii="Franklin Gothic Book" w:hAnsi="Franklin Gothic Book" w:cs="Arial"/>
          <w:b/>
          <w:bCs/>
        </w:rPr>
        <w:tab/>
      </w:r>
      <w:r w:rsidRPr="004C2507">
        <w:rPr>
          <w:rFonts w:ascii="Franklin Gothic Book" w:hAnsi="Franklin Gothic Book" w:cs="Arial"/>
        </w:rPr>
        <w:t>Machinery of Government</w:t>
      </w:r>
    </w:p>
    <w:p w14:paraId="0A120E47" w14:textId="295A468B" w:rsidR="00FE770C" w:rsidRPr="004C2507" w:rsidRDefault="00FE770C" w:rsidP="00842C40">
      <w:pPr>
        <w:tabs>
          <w:tab w:val="left" w:pos="1668"/>
        </w:tabs>
        <w:spacing w:before="120" w:after="120"/>
        <w:rPr>
          <w:rFonts w:ascii="Franklin Gothic Book" w:hAnsi="Franklin Gothic Book" w:cs="Arial"/>
        </w:rPr>
      </w:pPr>
      <w:r w:rsidRPr="004C2507">
        <w:rPr>
          <w:rFonts w:ascii="Franklin Gothic Book" w:hAnsi="Franklin Gothic Book" w:cs="Arial"/>
          <w:b/>
        </w:rPr>
        <w:t>MoU</w:t>
      </w:r>
      <w:r w:rsidRPr="004C2507">
        <w:rPr>
          <w:rFonts w:ascii="Franklin Gothic Book" w:hAnsi="Franklin Gothic Book" w:cs="Arial"/>
        </w:rPr>
        <w:tab/>
        <w:t>Memorandum of Understanding</w:t>
      </w:r>
    </w:p>
    <w:p w14:paraId="01CEF994" w14:textId="77777777" w:rsidR="00842C40" w:rsidRPr="004C2507" w:rsidRDefault="00842C40" w:rsidP="00842C40">
      <w:pPr>
        <w:tabs>
          <w:tab w:val="left" w:pos="1668"/>
        </w:tabs>
        <w:spacing w:before="120" w:after="120"/>
        <w:rPr>
          <w:rFonts w:ascii="Franklin Gothic Book" w:hAnsi="Franklin Gothic Book"/>
          <w:color w:val="000000" w:themeColor="text1"/>
          <w:lang w:val="en-US"/>
        </w:rPr>
      </w:pPr>
      <w:r w:rsidRPr="004C2507">
        <w:rPr>
          <w:rFonts w:ascii="Franklin Gothic Book" w:hAnsi="Franklin Gothic Book"/>
          <w:b/>
          <w:bCs/>
          <w:color w:val="000000" w:themeColor="text1"/>
          <w:lang w:val="en-US"/>
        </w:rPr>
        <w:t>NMSA</w:t>
      </w:r>
      <w:r w:rsidRPr="004C2507">
        <w:rPr>
          <w:rFonts w:ascii="Franklin Gothic Book" w:hAnsi="Franklin Gothic Book"/>
          <w:color w:val="000000" w:themeColor="text1"/>
          <w:lang w:val="en-US"/>
        </w:rPr>
        <w:t xml:space="preserve"> </w:t>
      </w:r>
      <w:r w:rsidRPr="004C2507">
        <w:rPr>
          <w:rFonts w:ascii="Franklin Gothic Book" w:hAnsi="Franklin Gothic Book"/>
          <w:color w:val="000000" w:themeColor="text1"/>
          <w:lang w:val="en-US"/>
        </w:rPr>
        <w:tab/>
        <w:t>National Maritime Safety Authority</w:t>
      </w:r>
    </w:p>
    <w:p w14:paraId="33E86967" w14:textId="0DF13A27" w:rsidR="00472FBA" w:rsidRPr="004C2507" w:rsidRDefault="00472FBA" w:rsidP="00842C40">
      <w:pPr>
        <w:tabs>
          <w:tab w:val="left" w:pos="1668"/>
        </w:tabs>
        <w:spacing w:before="120" w:after="120"/>
        <w:rPr>
          <w:rFonts w:ascii="Franklin Gothic Book" w:hAnsi="Franklin Gothic Book"/>
          <w:color w:val="000000" w:themeColor="text1"/>
          <w:lang w:val="en-US"/>
        </w:rPr>
      </w:pPr>
      <w:r w:rsidRPr="004C2507">
        <w:rPr>
          <w:rFonts w:ascii="Franklin Gothic Book" w:hAnsi="Franklin Gothic Book"/>
          <w:b/>
          <w:bCs/>
          <w:color w:val="000000" w:themeColor="text1"/>
          <w:lang w:val="en-US"/>
        </w:rPr>
        <w:t>NPC</w:t>
      </w:r>
      <w:r w:rsidRPr="004C2507">
        <w:rPr>
          <w:rFonts w:ascii="Franklin Gothic Book" w:hAnsi="Franklin Gothic Book"/>
          <w:color w:val="000000" w:themeColor="text1"/>
          <w:lang w:val="en-US"/>
        </w:rPr>
        <w:tab/>
        <w:t xml:space="preserve">National Procurement </w:t>
      </w:r>
      <w:r w:rsidR="00157428" w:rsidRPr="004C2507">
        <w:rPr>
          <w:rFonts w:ascii="Franklin Gothic Book" w:hAnsi="Franklin Gothic Book"/>
          <w:color w:val="000000" w:themeColor="text1"/>
          <w:lang w:val="en-US"/>
        </w:rPr>
        <w:t>Commission</w:t>
      </w:r>
    </w:p>
    <w:p w14:paraId="5ADA8187" w14:textId="4DC3ABEE" w:rsidR="009B635C" w:rsidRPr="004C2507" w:rsidRDefault="009B635C" w:rsidP="00842C40">
      <w:pPr>
        <w:tabs>
          <w:tab w:val="left" w:pos="1668"/>
        </w:tabs>
        <w:spacing w:before="120" w:after="120"/>
        <w:rPr>
          <w:rFonts w:ascii="Franklin Gothic Book" w:hAnsi="Franklin Gothic Book"/>
          <w:color w:val="000000" w:themeColor="text1"/>
          <w:lang w:val="en-US"/>
        </w:rPr>
      </w:pPr>
      <w:r w:rsidRPr="004C2507">
        <w:rPr>
          <w:rFonts w:ascii="Franklin Gothic Book" w:hAnsi="Franklin Gothic Book"/>
          <w:b/>
          <w:bCs/>
          <w:color w:val="000000" w:themeColor="text1"/>
          <w:lang w:val="en-US"/>
        </w:rPr>
        <w:t>NRNS</w:t>
      </w:r>
      <w:r w:rsidRPr="004C2507">
        <w:rPr>
          <w:rFonts w:ascii="Franklin Gothic Book" w:hAnsi="Franklin Gothic Book"/>
          <w:color w:val="000000" w:themeColor="text1"/>
          <w:lang w:val="en-US"/>
        </w:rPr>
        <w:tab/>
      </w:r>
      <w:r w:rsidRPr="004C2507">
        <w:rPr>
          <w:rFonts w:ascii="Franklin Gothic Book" w:hAnsi="Franklin Gothic Book" w:cs="Arial"/>
        </w:rPr>
        <w:t>National Road Network Strategy</w:t>
      </w:r>
    </w:p>
    <w:p w14:paraId="7397F217" w14:textId="44F5A37B" w:rsidR="003439D9" w:rsidRPr="004C2507" w:rsidRDefault="003439D9" w:rsidP="00842C40">
      <w:pPr>
        <w:tabs>
          <w:tab w:val="left" w:pos="1668"/>
        </w:tabs>
        <w:spacing w:before="120" w:after="120"/>
        <w:rPr>
          <w:rFonts w:ascii="Franklin Gothic Book" w:hAnsi="Franklin Gothic Book"/>
          <w:color w:val="000000" w:themeColor="text1"/>
          <w:lang w:val="en-US"/>
        </w:rPr>
      </w:pPr>
      <w:r w:rsidRPr="004C2507">
        <w:rPr>
          <w:rFonts w:ascii="Franklin Gothic Book" w:hAnsi="Franklin Gothic Book"/>
          <w:b/>
          <w:bCs/>
          <w:color w:val="000000" w:themeColor="text1"/>
          <w:lang w:val="en-US"/>
        </w:rPr>
        <w:t>PGK</w:t>
      </w:r>
      <w:r w:rsidRPr="004C2507">
        <w:rPr>
          <w:rFonts w:ascii="Franklin Gothic Book" w:hAnsi="Franklin Gothic Book"/>
          <w:color w:val="000000" w:themeColor="text1"/>
          <w:lang w:val="en-US"/>
        </w:rPr>
        <w:tab/>
        <w:t>Papua New Guinean Kina</w:t>
      </w:r>
    </w:p>
    <w:p w14:paraId="2491D9B0" w14:textId="35673DD5" w:rsidR="000D277F" w:rsidRPr="004C2507" w:rsidRDefault="000D277F" w:rsidP="00842C40">
      <w:pPr>
        <w:tabs>
          <w:tab w:val="left" w:pos="1668"/>
        </w:tabs>
        <w:spacing w:before="120" w:after="120"/>
        <w:rPr>
          <w:rFonts w:ascii="Franklin Gothic Book" w:hAnsi="Franklin Gothic Book"/>
        </w:rPr>
      </w:pPr>
      <w:r w:rsidRPr="004C2507">
        <w:rPr>
          <w:rFonts w:ascii="Franklin Gothic Book" w:hAnsi="Franklin Gothic Book"/>
          <w:b/>
          <w:bCs/>
          <w:color w:val="000000" w:themeColor="text1"/>
          <w:lang w:val="en-US"/>
        </w:rPr>
        <w:t>PIP</w:t>
      </w:r>
      <w:r w:rsidRPr="004C2507">
        <w:rPr>
          <w:rFonts w:ascii="Franklin Gothic Book" w:hAnsi="Franklin Gothic Book"/>
          <w:color w:val="000000" w:themeColor="text1"/>
          <w:lang w:val="en-US"/>
        </w:rPr>
        <w:tab/>
      </w:r>
      <w:r w:rsidRPr="004C2507">
        <w:rPr>
          <w:rFonts w:ascii="Franklin Gothic Book" w:hAnsi="Franklin Gothic Book"/>
        </w:rPr>
        <w:t>Project Implementation Plan</w:t>
      </w:r>
    </w:p>
    <w:p w14:paraId="50C1431F" w14:textId="33C2C27E" w:rsidR="007F0D34" w:rsidRPr="004C2507" w:rsidRDefault="007F0D34" w:rsidP="00842C40">
      <w:pPr>
        <w:tabs>
          <w:tab w:val="left" w:pos="1668"/>
        </w:tabs>
        <w:spacing w:before="120" w:after="120"/>
        <w:rPr>
          <w:rFonts w:ascii="Franklin Gothic Book" w:hAnsi="Franklin Gothic Book"/>
          <w:color w:val="000000" w:themeColor="text1"/>
          <w:lang w:val="en-US"/>
        </w:rPr>
      </w:pPr>
      <w:r w:rsidRPr="004C2507">
        <w:rPr>
          <w:rFonts w:ascii="Franklin Gothic Book" w:hAnsi="Franklin Gothic Book"/>
          <w:b/>
          <w:bCs/>
        </w:rPr>
        <w:t>PMSC</w:t>
      </w:r>
      <w:r w:rsidRPr="004C2507">
        <w:rPr>
          <w:rFonts w:ascii="Franklin Gothic Book" w:hAnsi="Franklin Gothic Book"/>
        </w:rPr>
        <w:tab/>
      </w:r>
      <w:r w:rsidRPr="004C2507">
        <w:rPr>
          <w:rFonts w:ascii="Franklin Gothic Book" w:hAnsi="Franklin Gothic Book" w:cs="Arial"/>
        </w:rPr>
        <w:t>Project Management and Supervision Consultancy</w:t>
      </w:r>
    </w:p>
    <w:p w14:paraId="26DCDEE9" w14:textId="77777777" w:rsidR="00842C40" w:rsidRPr="004C2507" w:rsidRDefault="00842C40" w:rsidP="00842C40">
      <w:pPr>
        <w:tabs>
          <w:tab w:val="left" w:pos="1668"/>
        </w:tabs>
        <w:spacing w:before="120" w:after="120"/>
        <w:rPr>
          <w:rFonts w:ascii="Franklin Gothic Book" w:hAnsi="Franklin Gothic Book"/>
          <w:lang w:val="en-US"/>
        </w:rPr>
      </w:pPr>
      <w:r w:rsidRPr="004C2507">
        <w:rPr>
          <w:rFonts w:ascii="Franklin Gothic Book" w:hAnsi="Franklin Gothic Book" w:cs="Arial"/>
          <w:b/>
          <w:bCs/>
        </w:rPr>
        <w:t>PNG</w:t>
      </w:r>
      <w:r w:rsidRPr="004C2507">
        <w:rPr>
          <w:rFonts w:ascii="Franklin Gothic Book" w:hAnsi="Franklin Gothic Book" w:cs="Arial"/>
        </w:rPr>
        <w:tab/>
      </w:r>
      <w:r w:rsidRPr="004C2507">
        <w:rPr>
          <w:rFonts w:ascii="Franklin Gothic Book" w:hAnsi="Franklin Gothic Book"/>
          <w:lang w:val="en-US"/>
        </w:rPr>
        <w:t>Papua New Guinea</w:t>
      </w:r>
    </w:p>
    <w:p w14:paraId="3844C5B5" w14:textId="64467B26" w:rsidR="004013C4" w:rsidRPr="004C2507" w:rsidRDefault="004013C4" w:rsidP="00842C40">
      <w:pPr>
        <w:tabs>
          <w:tab w:val="left" w:pos="1668"/>
        </w:tabs>
        <w:spacing w:before="120" w:after="120"/>
        <w:rPr>
          <w:rFonts w:ascii="Franklin Gothic Book" w:hAnsi="Franklin Gothic Book" w:cs="Arial"/>
        </w:rPr>
      </w:pPr>
      <w:r w:rsidRPr="004C2507">
        <w:rPr>
          <w:rFonts w:ascii="Franklin Gothic Book" w:hAnsi="Franklin Gothic Book"/>
          <w:b/>
          <w:lang w:val="en-US"/>
        </w:rPr>
        <w:t>RAMS</w:t>
      </w:r>
      <w:r w:rsidRPr="004C2507">
        <w:rPr>
          <w:rFonts w:ascii="Franklin Gothic Book" w:hAnsi="Franklin Gothic Book"/>
          <w:lang w:val="en-US"/>
        </w:rPr>
        <w:tab/>
      </w:r>
      <w:r w:rsidRPr="004C2507">
        <w:rPr>
          <w:rFonts w:ascii="Franklin Gothic Book" w:eastAsia="Batang" w:hAnsi="Franklin Gothic Book" w:cs="Arial"/>
          <w:lang w:eastAsia="ko-KR"/>
        </w:rPr>
        <w:t>Road Asset Management System</w:t>
      </w:r>
    </w:p>
    <w:p w14:paraId="26E3551D" w14:textId="7B3A64D0" w:rsidR="003E0BF1" w:rsidRPr="004C2507" w:rsidRDefault="003E0BF1"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RSG</w:t>
      </w:r>
      <w:r w:rsidRPr="004C2507">
        <w:rPr>
          <w:rFonts w:ascii="Franklin Gothic Book" w:hAnsi="Franklin Gothic Book" w:cs="Arial"/>
        </w:rPr>
        <w:tab/>
        <w:t>Road Sector Group</w:t>
      </w:r>
    </w:p>
    <w:p w14:paraId="57E6342F" w14:textId="47D3DC48" w:rsidR="00472FBA" w:rsidRPr="004C2507" w:rsidRDefault="00472FBA"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SOE</w:t>
      </w:r>
      <w:r w:rsidRPr="004C2507">
        <w:rPr>
          <w:rFonts w:ascii="Franklin Gothic Book" w:hAnsi="Franklin Gothic Book" w:cs="Arial"/>
        </w:rPr>
        <w:tab/>
        <w:t>State-Owned Enterprises</w:t>
      </w:r>
    </w:p>
    <w:p w14:paraId="1A89DFF6" w14:textId="47B8C4A7" w:rsidR="003C57B9" w:rsidRPr="004C2507" w:rsidRDefault="003C57B9"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TA</w:t>
      </w:r>
      <w:r w:rsidRPr="004C2507">
        <w:rPr>
          <w:rFonts w:ascii="Franklin Gothic Book" w:hAnsi="Franklin Gothic Book" w:cs="Arial"/>
        </w:rPr>
        <w:tab/>
        <w:t>Technical Assistance</w:t>
      </w:r>
    </w:p>
    <w:p w14:paraId="05A9289D"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Tetra Tech</w:t>
      </w:r>
      <w:r w:rsidRPr="004C2507">
        <w:rPr>
          <w:rFonts w:ascii="Franklin Gothic Book" w:hAnsi="Franklin Gothic Book" w:cs="Arial"/>
          <w:b/>
          <w:bCs/>
        </w:rPr>
        <w:tab/>
      </w:r>
      <w:r w:rsidRPr="004C2507">
        <w:rPr>
          <w:rFonts w:ascii="Franklin Gothic Book" w:hAnsi="Franklin Gothic Book" w:cs="Arial"/>
        </w:rPr>
        <w:t>Tetra Tech International Development Pty Ltd</w:t>
      </w:r>
    </w:p>
    <w:p w14:paraId="4587BEEA" w14:textId="77777777"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TSCMIC</w:t>
      </w:r>
      <w:r w:rsidRPr="004C2507">
        <w:rPr>
          <w:rFonts w:ascii="Franklin Gothic Book" w:hAnsi="Franklin Gothic Book" w:cs="Arial"/>
        </w:rPr>
        <w:tab/>
        <w:t xml:space="preserve">Transport Sector Coordination, Monitoring and Implementation Committee </w:t>
      </w:r>
    </w:p>
    <w:p w14:paraId="03B3F379" w14:textId="243DF0E0" w:rsidR="00842C40" w:rsidRPr="004C2507" w:rsidRDefault="00842C40" w:rsidP="00842C40">
      <w:pPr>
        <w:tabs>
          <w:tab w:val="left" w:pos="1668"/>
        </w:tabs>
        <w:spacing w:before="120" w:after="120"/>
        <w:rPr>
          <w:rFonts w:ascii="Franklin Gothic Book" w:hAnsi="Franklin Gothic Book" w:cs="Arial"/>
        </w:rPr>
      </w:pPr>
      <w:r w:rsidRPr="004C2507">
        <w:rPr>
          <w:rFonts w:ascii="Franklin Gothic Book" w:hAnsi="Franklin Gothic Book" w:cs="Arial"/>
          <w:b/>
          <w:bCs/>
        </w:rPr>
        <w:t>TSSP2</w:t>
      </w:r>
      <w:r w:rsidRPr="004C2507">
        <w:rPr>
          <w:rFonts w:ascii="Franklin Gothic Book" w:hAnsi="Franklin Gothic Book" w:cs="Arial"/>
          <w:b/>
          <w:bCs/>
        </w:rPr>
        <w:tab/>
      </w:r>
      <w:r w:rsidR="00BE2D13" w:rsidRPr="004C2507">
        <w:rPr>
          <w:rFonts w:ascii="Franklin Gothic Book" w:hAnsi="Franklin Gothic Book" w:cs="Arial"/>
        </w:rPr>
        <w:t>PNG-</w:t>
      </w:r>
      <w:r w:rsidRPr="004C2507">
        <w:rPr>
          <w:rFonts w:ascii="Franklin Gothic Book" w:hAnsi="Franklin Gothic Book" w:cs="Arial"/>
        </w:rPr>
        <w:t>Australia Transport Sector Support Program Phase 2</w:t>
      </w:r>
    </w:p>
    <w:p w14:paraId="0C99384E" w14:textId="77777777" w:rsidR="00EF2C13" w:rsidRPr="00EF2C13" w:rsidRDefault="00EF2C13" w:rsidP="00EF2C13">
      <w:pPr>
        <w:pStyle w:val="BodyText"/>
        <w:rPr>
          <w:lang w:val="en-US"/>
        </w:rPr>
      </w:pPr>
    </w:p>
    <w:p w14:paraId="4CE2CBD5" w14:textId="63A58041" w:rsidR="006372E9" w:rsidRDefault="00486413" w:rsidP="0024772A">
      <w:pPr>
        <w:pStyle w:val="Heading1"/>
        <w:rPr>
          <w:lang w:val="en-US"/>
        </w:rPr>
      </w:pPr>
      <w:r>
        <w:rPr>
          <w:lang w:val="en-US"/>
        </w:rPr>
        <w:br w:type="column"/>
      </w:r>
      <w:r w:rsidR="00E874A1">
        <w:rPr>
          <w:lang w:val="en-US"/>
        </w:rPr>
        <w:lastRenderedPageBreak/>
        <w:t xml:space="preserve"> </w:t>
      </w:r>
      <w:bookmarkStart w:id="20" w:name="_Toc99121771"/>
      <w:r w:rsidR="006372E9" w:rsidRPr="004C2507">
        <w:t>Introduction</w:t>
      </w:r>
      <w:bookmarkEnd w:id="20"/>
    </w:p>
    <w:p w14:paraId="023E8627" w14:textId="6E9CD436" w:rsidR="00932F70" w:rsidRDefault="00932F70" w:rsidP="00932F70">
      <w:pPr>
        <w:pStyle w:val="BodyText"/>
      </w:pPr>
      <w:r>
        <w:t xml:space="preserve">This chapter describes the reasons for and approach to this </w:t>
      </w:r>
      <w:r w:rsidR="0086660B">
        <w:t>R</w:t>
      </w:r>
      <w:r>
        <w:t xml:space="preserve">eview of the PNG-Australia Transport Sector Support Program Phase 2 (TSSP2). It </w:t>
      </w:r>
      <w:r w:rsidR="00AA0662">
        <w:t xml:space="preserve">provides an overview of TSSP2, its activities and operating context. It identifies the objectives and outcomes of the TSSP2 and how it aligns with the PNG’s broader transport sector objectives and </w:t>
      </w:r>
      <w:r w:rsidR="006D01B1">
        <w:t>challenges within the PNG transport sector.</w:t>
      </w:r>
    </w:p>
    <w:p w14:paraId="35D8F696" w14:textId="31D34CFC" w:rsidR="00332E69" w:rsidRPr="00932F70" w:rsidRDefault="00A55B76" w:rsidP="004C2507">
      <w:pPr>
        <w:pStyle w:val="Heading2"/>
        <w:numPr>
          <w:ilvl w:val="1"/>
          <w:numId w:val="40"/>
        </w:numPr>
      </w:pPr>
      <w:bookmarkStart w:id="21" w:name="_Toc99121772"/>
      <w:r>
        <w:t xml:space="preserve">About the </w:t>
      </w:r>
      <w:r w:rsidR="00FA5530">
        <w:t>R</w:t>
      </w:r>
      <w:r>
        <w:t>eview</w:t>
      </w:r>
      <w:r w:rsidR="00EA24EA">
        <w:t xml:space="preserve"> and why it matters</w:t>
      </w:r>
      <w:bookmarkEnd w:id="21"/>
    </w:p>
    <w:p w14:paraId="10553B56" w14:textId="2BDC7A96" w:rsidR="00FA5530" w:rsidRPr="002D22AA" w:rsidRDefault="002D22AA" w:rsidP="002D22AA">
      <w:pPr>
        <w:pStyle w:val="BodyText"/>
      </w:pPr>
      <w:r w:rsidRPr="002D22AA">
        <w:t xml:space="preserve">The Department of Foreign Affairs and Trade (DFAT) engaged Tetra Tech International Development (Tetra Tech) to undertake an independent review of </w:t>
      </w:r>
      <w:r w:rsidR="005B4A0A">
        <w:t>TSSP2</w:t>
      </w:r>
      <w:r w:rsidRPr="002D22AA">
        <w:t>.</w:t>
      </w:r>
      <w:r>
        <w:t xml:space="preserve"> </w:t>
      </w:r>
      <w:r w:rsidR="007D089A">
        <w:rPr>
          <w:rFonts w:cs="Arial"/>
        </w:rPr>
        <w:t xml:space="preserve">The Program </w:t>
      </w:r>
      <w:r w:rsidR="007D089A" w:rsidRPr="00093691">
        <w:rPr>
          <w:rFonts w:cs="Arial"/>
        </w:rPr>
        <w:t xml:space="preserve">is providing more than </w:t>
      </w:r>
      <w:r w:rsidR="007D089A">
        <w:rPr>
          <w:rFonts w:cs="Arial"/>
        </w:rPr>
        <w:t>AUD</w:t>
      </w:r>
      <w:r w:rsidR="007D089A" w:rsidRPr="00093691">
        <w:rPr>
          <w:rFonts w:cs="Arial"/>
        </w:rPr>
        <w:t xml:space="preserve">600 million over nine years to support the </w:t>
      </w:r>
      <w:r w:rsidR="007D089A" w:rsidRPr="001A632C">
        <w:rPr>
          <w:rFonts w:cs="Arial"/>
        </w:rPr>
        <w:t>Government of Papua New Guinea</w:t>
      </w:r>
      <w:r w:rsidR="007D089A">
        <w:rPr>
          <w:rFonts w:cs="Arial"/>
        </w:rPr>
        <w:t xml:space="preserve"> (GoPNG)</w:t>
      </w:r>
      <w:r w:rsidR="007D089A" w:rsidRPr="00093691">
        <w:rPr>
          <w:rFonts w:cs="Arial"/>
        </w:rPr>
        <w:t xml:space="preserve"> achieve</w:t>
      </w:r>
      <w:r w:rsidR="007D089A">
        <w:rPr>
          <w:rFonts w:cs="Arial"/>
        </w:rPr>
        <w:t xml:space="preserve"> its transport sector objectives. </w:t>
      </w:r>
      <w:r w:rsidR="00FA5530" w:rsidRPr="002523E8">
        <w:rPr>
          <w:rFonts w:cs="Arial"/>
        </w:rPr>
        <w:t xml:space="preserve">The purpose of the Review was to assess and appraise the TSSP2 performance and impact, as well as document lessons learned. The </w:t>
      </w:r>
      <w:r w:rsidR="00046CF1">
        <w:rPr>
          <w:rFonts w:cs="Arial"/>
        </w:rPr>
        <w:t>findings and recommendations</w:t>
      </w:r>
      <w:r w:rsidR="00FA5530" w:rsidRPr="002523E8">
        <w:rPr>
          <w:rFonts w:cs="Arial"/>
        </w:rPr>
        <w:t xml:space="preserve"> from the Review will provide </w:t>
      </w:r>
      <w:r w:rsidR="00DA6C8E">
        <w:rPr>
          <w:rFonts w:cs="Arial"/>
        </w:rPr>
        <w:t xml:space="preserve">evidence and </w:t>
      </w:r>
      <w:r w:rsidR="00FA5530" w:rsidRPr="002523E8">
        <w:rPr>
          <w:rFonts w:cs="Arial"/>
        </w:rPr>
        <w:t>information to guide the design of the next phase</w:t>
      </w:r>
      <w:r w:rsidR="0038261B">
        <w:rPr>
          <w:rFonts w:cs="Arial"/>
        </w:rPr>
        <w:t>, TSSP3,</w:t>
      </w:r>
      <w:r w:rsidR="00FA5530" w:rsidRPr="002523E8">
        <w:rPr>
          <w:rFonts w:cs="Arial"/>
        </w:rPr>
        <w:t xml:space="preserve"> of Australia’s transport sector support to PNG. </w:t>
      </w:r>
      <w:r w:rsidR="00FD7AA2">
        <w:rPr>
          <w:rFonts w:cs="Arial"/>
        </w:rPr>
        <w:t>Also,</w:t>
      </w:r>
      <w:r w:rsidR="0065211F">
        <w:rPr>
          <w:rFonts w:cs="Arial"/>
        </w:rPr>
        <w:t xml:space="preserve"> </w:t>
      </w:r>
      <w:r w:rsidR="00FD7AA2">
        <w:rPr>
          <w:rFonts w:cs="Arial"/>
        </w:rPr>
        <w:t>t</w:t>
      </w:r>
      <w:r w:rsidR="00FD7AA2" w:rsidRPr="00FD7AA2">
        <w:rPr>
          <w:rFonts w:cs="Arial"/>
        </w:rPr>
        <w:t>his Review has been conducted simultaneously with the Australia-PNG Government Transport Partnership</w:t>
      </w:r>
      <w:r w:rsidR="0065211F">
        <w:rPr>
          <w:rFonts w:cs="Arial"/>
        </w:rPr>
        <w:t xml:space="preserve"> </w:t>
      </w:r>
      <w:r w:rsidR="00B32760">
        <w:rPr>
          <w:rFonts w:cs="Arial"/>
        </w:rPr>
        <w:t>wh</w:t>
      </w:r>
      <w:r w:rsidR="00D179CF">
        <w:rPr>
          <w:rFonts w:cs="Arial"/>
        </w:rPr>
        <w:t>ose</w:t>
      </w:r>
      <w:r w:rsidR="00B32760">
        <w:rPr>
          <w:rFonts w:cs="Arial"/>
        </w:rPr>
        <w:t xml:space="preserve"> findings, insights and evidence have </w:t>
      </w:r>
      <w:r w:rsidR="001C1A7C">
        <w:rPr>
          <w:rFonts w:cs="Arial"/>
        </w:rPr>
        <w:t xml:space="preserve">also contributed to this report. </w:t>
      </w:r>
    </w:p>
    <w:p w14:paraId="03E3442B" w14:textId="6D234878" w:rsidR="00F23BED" w:rsidRPr="00093691" w:rsidRDefault="00EA24EA" w:rsidP="00F23BED">
      <w:pPr>
        <w:pStyle w:val="BodyText"/>
        <w:spacing w:before="80" w:after="80" w:line="244" w:lineRule="auto"/>
        <w:rPr>
          <w:rFonts w:cs="Arial"/>
        </w:rPr>
      </w:pPr>
      <w:r>
        <w:rPr>
          <w:rFonts w:cs="Arial"/>
        </w:rPr>
        <w:t xml:space="preserve">The Australian Government is strongly committed to </w:t>
      </w:r>
      <w:r w:rsidR="00F23BED">
        <w:rPr>
          <w:rFonts w:cs="Arial"/>
        </w:rPr>
        <w:t xml:space="preserve">developing PNG’s transport sector. </w:t>
      </w:r>
      <w:r w:rsidR="00F23BED" w:rsidRPr="002E2FF6">
        <w:rPr>
          <w:rFonts w:cs="Arial"/>
        </w:rPr>
        <w:t>The Australian Government</w:t>
      </w:r>
      <w:r w:rsidR="00F23BED">
        <w:rPr>
          <w:rFonts w:cs="Arial"/>
        </w:rPr>
        <w:t>’s</w:t>
      </w:r>
      <w:r w:rsidR="00F23BED" w:rsidRPr="002E2FF6">
        <w:rPr>
          <w:rFonts w:cs="Arial"/>
        </w:rPr>
        <w:t xml:space="preserve"> support to the transport sector in PNG</w:t>
      </w:r>
      <w:r w:rsidR="00F23BED" w:rsidRPr="001A632C">
        <w:t xml:space="preserve"> </w:t>
      </w:r>
      <w:r w:rsidR="00F23BED" w:rsidRPr="001A632C">
        <w:rPr>
          <w:rFonts w:cs="Arial"/>
        </w:rPr>
        <w:t xml:space="preserve">commenced in 2007 as a </w:t>
      </w:r>
      <w:r w:rsidR="00A62EAF" w:rsidRPr="001A632C">
        <w:rPr>
          <w:rFonts w:cs="Arial"/>
        </w:rPr>
        <w:t>long-term</w:t>
      </w:r>
      <w:r w:rsidR="00F23BED" w:rsidRPr="001A632C">
        <w:rPr>
          <w:rFonts w:cs="Arial"/>
        </w:rPr>
        <w:t xml:space="preserve"> commitment </w:t>
      </w:r>
      <w:r w:rsidR="00F23BED">
        <w:rPr>
          <w:rFonts w:cs="Arial"/>
        </w:rPr>
        <w:t xml:space="preserve">to </w:t>
      </w:r>
      <w:r w:rsidR="00F23BED" w:rsidRPr="001A632C">
        <w:rPr>
          <w:rFonts w:cs="Arial"/>
        </w:rPr>
        <w:t xml:space="preserve">support the </w:t>
      </w:r>
      <w:r w:rsidR="00F23BED">
        <w:rPr>
          <w:rFonts w:cs="Arial"/>
        </w:rPr>
        <w:t>GoPNG</w:t>
      </w:r>
      <w:r w:rsidR="00F23BED" w:rsidRPr="001A632C">
        <w:rPr>
          <w:rFonts w:cs="Arial"/>
        </w:rPr>
        <w:t xml:space="preserve"> achieve </w:t>
      </w:r>
      <w:r w:rsidR="00F23BED">
        <w:rPr>
          <w:rFonts w:cs="Arial"/>
        </w:rPr>
        <w:t xml:space="preserve">a well-maintained </w:t>
      </w:r>
      <w:r w:rsidR="00F23BED" w:rsidRPr="001A632C">
        <w:rPr>
          <w:rFonts w:cs="Arial"/>
        </w:rPr>
        <w:t>transport infrastructure</w:t>
      </w:r>
      <w:r w:rsidR="00F23BED">
        <w:rPr>
          <w:rFonts w:cs="Arial"/>
        </w:rPr>
        <w:t xml:space="preserve"> network </w:t>
      </w:r>
      <w:r w:rsidR="00F23BED" w:rsidRPr="0042690C">
        <w:rPr>
          <w:rFonts w:cs="Arial"/>
        </w:rPr>
        <w:t>through the Transport Sector Support Program and other mechanisms</w:t>
      </w:r>
      <w:r w:rsidR="00F23BED">
        <w:rPr>
          <w:rFonts w:cs="Arial"/>
        </w:rPr>
        <w:t xml:space="preserve">. </w:t>
      </w:r>
      <w:r w:rsidR="00F23BED" w:rsidRPr="00093691">
        <w:rPr>
          <w:rFonts w:cs="Arial"/>
        </w:rPr>
        <w:t xml:space="preserve">Australia's investment in PNG's transport sector reflects the importance of transport infrastructure, </w:t>
      </w:r>
      <w:r w:rsidR="00F23BED">
        <w:rPr>
          <w:rFonts w:cs="Arial"/>
        </w:rPr>
        <w:t xml:space="preserve">including </w:t>
      </w:r>
      <w:r w:rsidR="00F23BED" w:rsidRPr="00093691">
        <w:rPr>
          <w:rFonts w:cs="Arial"/>
        </w:rPr>
        <w:t xml:space="preserve">roads, ports and airports, in facilitating the efficient, safe, and secure movement of goods to market, the provision of essential goods and services, and community connectivity. This investment is a key enabler of economic growth and is the largest component of Australia's aid investment in PNG. </w:t>
      </w:r>
    </w:p>
    <w:p w14:paraId="0F988C41" w14:textId="086BBC2D" w:rsidR="00C25139" w:rsidRPr="004C2507" w:rsidRDefault="00F37394" w:rsidP="004C2507">
      <w:pPr>
        <w:pStyle w:val="BodyText"/>
        <w:spacing w:before="80" w:after="80" w:line="244" w:lineRule="auto"/>
        <w:rPr>
          <w:rFonts w:cs="Arial"/>
        </w:rPr>
      </w:pPr>
      <w:r w:rsidRPr="00F37394">
        <w:rPr>
          <w:rFonts w:cs="Arial"/>
        </w:rPr>
        <w:t xml:space="preserve">In line with DFAT’s </w:t>
      </w:r>
      <w:r>
        <w:rPr>
          <w:rFonts w:cs="Arial"/>
        </w:rPr>
        <w:t xml:space="preserve">and the GoPNG </w:t>
      </w:r>
      <w:r w:rsidRPr="00F37394">
        <w:rPr>
          <w:rFonts w:cs="Arial"/>
        </w:rPr>
        <w:t xml:space="preserve">strategic priorities and intentions, funding to the transport sector is likely to continue </w:t>
      </w:r>
      <w:r w:rsidR="0001223E">
        <w:rPr>
          <w:rFonts w:cs="Arial"/>
        </w:rPr>
        <w:t>in some form</w:t>
      </w:r>
      <w:r w:rsidRPr="00F37394">
        <w:rPr>
          <w:rFonts w:cs="Arial"/>
        </w:rPr>
        <w:t xml:space="preserve"> </w:t>
      </w:r>
      <w:r w:rsidR="0001223E">
        <w:rPr>
          <w:rFonts w:cs="Arial"/>
        </w:rPr>
        <w:t>given</w:t>
      </w:r>
      <w:r w:rsidRPr="00F37394">
        <w:rPr>
          <w:rFonts w:cs="Arial"/>
        </w:rPr>
        <w:t xml:space="preserve"> its </w:t>
      </w:r>
      <w:r w:rsidR="0001223E">
        <w:rPr>
          <w:rFonts w:cs="Arial"/>
        </w:rPr>
        <w:t>enabling functions for economic growth and broader development benefits</w:t>
      </w:r>
      <w:r w:rsidRPr="00F37394">
        <w:rPr>
          <w:rFonts w:cs="Arial"/>
        </w:rPr>
        <w:t xml:space="preserve">. </w:t>
      </w:r>
      <w:r w:rsidR="002B1021">
        <w:rPr>
          <w:rFonts w:cs="Arial"/>
        </w:rPr>
        <w:t xml:space="preserve">In 2020 </w:t>
      </w:r>
      <w:r w:rsidR="0008164D">
        <w:rPr>
          <w:rFonts w:cs="Arial"/>
        </w:rPr>
        <w:t>GoPNG</w:t>
      </w:r>
      <w:r w:rsidR="002B1021">
        <w:rPr>
          <w:rFonts w:cs="Arial"/>
        </w:rPr>
        <w:t xml:space="preserve"> adopted the</w:t>
      </w:r>
      <w:r w:rsidR="0008164D">
        <w:rPr>
          <w:rFonts w:cs="Arial"/>
        </w:rPr>
        <w:t xml:space="preserve"> </w:t>
      </w:r>
      <w:r w:rsidR="004C16F2" w:rsidRPr="004C16F2">
        <w:rPr>
          <w:rFonts w:cs="Arial"/>
        </w:rPr>
        <w:t xml:space="preserve">‘Connect PNG’ </w:t>
      </w:r>
      <w:r w:rsidR="00BD20C2">
        <w:rPr>
          <w:rFonts w:cs="Arial"/>
        </w:rPr>
        <w:t xml:space="preserve">policy </w:t>
      </w:r>
      <w:r w:rsidR="004C16F2" w:rsidRPr="004C16F2">
        <w:rPr>
          <w:rFonts w:cs="Arial"/>
        </w:rPr>
        <w:t xml:space="preserve">that aims to rebuild the country’s road infrastructure on a 20-year Program. </w:t>
      </w:r>
      <w:r w:rsidR="00B17753">
        <w:rPr>
          <w:rFonts w:cs="Arial"/>
        </w:rPr>
        <w:t>Therefore, a</w:t>
      </w:r>
      <w:r w:rsidRPr="00F37394">
        <w:rPr>
          <w:rFonts w:cs="Arial"/>
        </w:rPr>
        <w:t xml:space="preserve">s TSSP2 comes to an end, it is critical that future investments in </w:t>
      </w:r>
      <w:r w:rsidR="0001223E">
        <w:rPr>
          <w:rFonts w:cs="Arial"/>
        </w:rPr>
        <w:t>PNG’s</w:t>
      </w:r>
      <w:r w:rsidRPr="00F37394">
        <w:rPr>
          <w:rFonts w:cs="Arial"/>
        </w:rPr>
        <w:t xml:space="preserve"> transport sector are informed by a solid evidence base about what has worked well and what can be improved.</w:t>
      </w:r>
    </w:p>
    <w:p w14:paraId="68A27A96" w14:textId="39D83C64" w:rsidR="00024DC9" w:rsidRDefault="00024DC9" w:rsidP="004C2507">
      <w:pPr>
        <w:pStyle w:val="Heading2"/>
        <w:numPr>
          <w:ilvl w:val="1"/>
          <w:numId w:val="40"/>
        </w:numPr>
      </w:pPr>
      <w:bookmarkStart w:id="22" w:name="_Toc99121773"/>
      <w:r>
        <w:t xml:space="preserve">Review </w:t>
      </w:r>
      <w:r w:rsidR="001C1311">
        <w:t xml:space="preserve">scope, </w:t>
      </w:r>
      <w:r>
        <w:t>approach and methodology</w:t>
      </w:r>
      <w:bookmarkEnd w:id="22"/>
    </w:p>
    <w:p w14:paraId="79408023" w14:textId="65EA1AAF" w:rsidR="00F51CC6" w:rsidRDefault="00024DC9" w:rsidP="00925B20">
      <w:pPr>
        <w:pStyle w:val="BodyText"/>
        <w:spacing w:before="80" w:after="80" w:line="244" w:lineRule="auto"/>
        <w:rPr>
          <w:rFonts w:cs="Arial"/>
        </w:rPr>
      </w:pPr>
      <w:r w:rsidRPr="00925B20">
        <w:rPr>
          <w:rFonts w:cs="Arial"/>
        </w:rPr>
        <w:t xml:space="preserve">The Review adopted an approach and methodology that was aligned to DFAT’s Terms of Reference (ToR) calling for a discrete and iterative process. </w:t>
      </w:r>
      <w:r w:rsidR="007F2015" w:rsidRPr="00925B20">
        <w:rPr>
          <w:rFonts w:cs="Arial"/>
        </w:rPr>
        <w:t>The Review’s scope covered the TSSP2 activities implemented from 2014 to 2021. The Review sought to answer eight key evaluation questions</w:t>
      </w:r>
      <w:r w:rsidR="00B022B8">
        <w:rPr>
          <w:rFonts w:cs="Arial"/>
        </w:rPr>
        <w:t xml:space="preserve"> (</w:t>
      </w:r>
      <w:r w:rsidR="00701E78">
        <w:rPr>
          <w:rFonts w:cs="Arial"/>
        </w:rPr>
        <w:t>where five</w:t>
      </w:r>
      <w:r w:rsidR="00B022B8">
        <w:rPr>
          <w:rFonts w:cs="Arial"/>
        </w:rPr>
        <w:t xml:space="preserve"> questions </w:t>
      </w:r>
      <w:r w:rsidR="00701E78">
        <w:rPr>
          <w:rFonts w:cs="Arial"/>
        </w:rPr>
        <w:t xml:space="preserve">were </w:t>
      </w:r>
      <w:r w:rsidR="00B022B8">
        <w:rPr>
          <w:rFonts w:cs="Arial"/>
        </w:rPr>
        <w:t>adopted from the TOR and three questions</w:t>
      </w:r>
      <w:r w:rsidR="008803AB">
        <w:rPr>
          <w:rFonts w:cs="Arial"/>
        </w:rPr>
        <w:t xml:space="preserve"> were </w:t>
      </w:r>
      <w:r w:rsidR="00B022B8">
        <w:rPr>
          <w:rFonts w:cs="Arial"/>
        </w:rPr>
        <w:t>added</w:t>
      </w:r>
      <w:r w:rsidR="00701E78">
        <w:rPr>
          <w:rFonts w:cs="Arial"/>
        </w:rPr>
        <w:t xml:space="preserve"> after the desktop review)</w:t>
      </w:r>
      <w:r w:rsidR="008803AB">
        <w:rPr>
          <w:rFonts w:cs="Arial"/>
        </w:rPr>
        <w:t xml:space="preserve">. </w:t>
      </w:r>
      <w:r w:rsidR="004977D1" w:rsidRPr="77A7EF71">
        <w:rPr>
          <w:rFonts w:cs="Arial"/>
        </w:rPr>
        <w:t>This Review considered these guiding themes and key evaluation questions</w:t>
      </w:r>
      <w:r w:rsidR="00F51CC6" w:rsidRPr="77A7EF71">
        <w:rPr>
          <w:rFonts w:cs="Arial"/>
        </w:rPr>
        <w:t xml:space="preserve"> </w:t>
      </w:r>
      <w:r w:rsidR="00F51CC6" w:rsidRPr="00925B20">
        <w:rPr>
          <w:rFonts w:cs="Arial"/>
        </w:rPr>
        <w:t>organised under t</w:t>
      </w:r>
      <w:r w:rsidR="00867F74">
        <w:rPr>
          <w:rFonts w:cs="Arial"/>
        </w:rPr>
        <w:t>wo</w:t>
      </w:r>
      <w:r w:rsidR="00F51CC6" w:rsidRPr="00925B20">
        <w:rPr>
          <w:rFonts w:cs="Arial"/>
        </w:rPr>
        <w:t xml:space="preserve"> objectives: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3F7"/>
        <w:tblLook w:val="04A0" w:firstRow="1" w:lastRow="0" w:firstColumn="1" w:lastColumn="0" w:noHBand="0" w:noVBand="1"/>
      </w:tblPr>
      <w:tblGrid>
        <w:gridCol w:w="9628"/>
      </w:tblGrid>
      <w:tr w:rsidR="00530B43" w:rsidRPr="009A2200" w14:paraId="1077E022" w14:textId="77777777" w:rsidTr="0076011C">
        <w:tc>
          <w:tcPr>
            <w:tcW w:w="9628" w:type="dxa"/>
            <w:shd w:val="clear" w:color="auto" w:fill="EFF3F7"/>
          </w:tcPr>
          <w:p w14:paraId="03EC0491" w14:textId="77777777" w:rsidR="00530B43" w:rsidRPr="009A2200" w:rsidRDefault="00530B43" w:rsidP="00021AF0">
            <w:pPr>
              <w:pStyle w:val="BodyText"/>
              <w:rPr>
                <w:color w:val="395B76" w:themeColor="accent2" w:themeShade="BF"/>
                <w:lang w:val="en-US"/>
              </w:rPr>
            </w:pPr>
            <w:r w:rsidRPr="009A2200">
              <w:rPr>
                <w:b/>
                <w:color w:val="395B76" w:themeColor="accent2" w:themeShade="BF"/>
                <w:lang w:val="en-US"/>
              </w:rPr>
              <w:t>Objective 1: Program design</w:t>
            </w:r>
            <w:r w:rsidRPr="009A2200">
              <w:rPr>
                <w:color w:val="395B76" w:themeColor="accent2" w:themeShade="BF"/>
                <w:lang w:val="en-US"/>
              </w:rPr>
              <w:t>. To examine the design’s validity and efficacy and explicitly review the appropriateness of the current TSSP2 implementation modality.</w:t>
            </w:r>
          </w:p>
        </w:tc>
      </w:tr>
      <w:tr w:rsidR="00530B43" w:rsidRPr="009A2200" w14:paraId="2297BD73" w14:textId="77777777" w:rsidTr="0076011C">
        <w:tc>
          <w:tcPr>
            <w:tcW w:w="9628" w:type="dxa"/>
            <w:shd w:val="clear" w:color="auto" w:fill="EFF3F7"/>
          </w:tcPr>
          <w:p w14:paraId="61DE2754" w14:textId="77777777" w:rsidR="00530B43" w:rsidRPr="009A2200" w:rsidRDefault="00530B43" w:rsidP="00021AF0">
            <w:pPr>
              <w:pStyle w:val="ListBullet"/>
              <w:numPr>
                <w:ilvl w:val="0"/>
                <w:numId w:val="0"/>
              </w:numPr>
              <w:spacing w:before="60" w:after="60"/>
              <w:ind w:left="884" w:hanging="884"/>
              <w:rPr>
                <w:color w:val="395B76" w:themeColor="accent2" w:themeShade="BF"/>
                <w:lang w:val="en-US"/>
              </w:rPr>
            </w:pPr>
            <w:r w:rsidRPr="009A2200">
              <w:rPr>
                <w:color w:val="395B76" w:themeColor="accent2" w:themeShade="BF"/>
                <w:lang w:val="en-US"/>
              </w:rPr>
              <w:t>KEQ 1:</w:t>
            </w:r>
            <w:r w:rsidRPr="009A2200">
              <w:rPr>
                <w:color w:val="395B76" w:themeColor="accent2" w:themeShade="BF"/>
                <w:lang w:val="en-US"/>
              </w:rPr>
              <w:tab/>
              <w:t>How has the design contributed to operational performance, and where has it led to issues or concerns?</w:t>
            </w:r>
          </w:p>
        </w:tc>
      </w:tr>
      <w:tr w:rsidR="00530B43" w:rsidRPr="009A2200" w14:paraId="1B9AEA94" w14:textId="77777777" w:rsidTr="0076011C">
        <w:tc>
          <w:tcPr>
            <w:tcW w:w="9628" w:type="dxa"/>
            <w:shd w:val="clear" w:color="auto" w:fill="EFF3F7"/>
          </w:tcPr>
          <w:p w14:paraId="324BA8E3" w14:textId="7413A06D" w:rsidR="00530B43" w:rsidRPr="009A2200" w:rsidRDefault="00530B43" w:rsidP="00021AF0">
            <w:pPr>
              <w:pStyle w:val="ListBullet"/>
              <w:numPr>
                <w:ilvl w:val="0"/>
                <w:numId w:val="0"/>
              </w:numPr>
              <w:spacing w:before="60" w:after="60"/>
              <w:ind w:left="884" w:hanging="884"/>
              <w:rPr>
                <w:color w:val="395B76" w:themeColor="accent2" w:themeShade="BF"/>
                <w:lang w:val="en-US"/>
              </w:rPr>
            </w:pPr>
            <w:r w:rsidRPr="009A2200">
              <w:rPr>
                <w:color w:val="395B76" w:themeColor="accent2" w:themeShade="BF"/>
                <w:lang w:val="en-US"/>
              </w:rPr>
              <w:t>KEQ 2:</w:t>
            </w:r>
            <w:r w:rsidRPr="009A2200">
              <w:rPr>
                <w:color w:val="395B76" w:themeColor="accent2" w:themeShade="BF"/>
                <w:lang w:val="en-US"/>
              </w:rPr>
              <w:tab/>
              <w:t>KEQ: Is the current program design fit</w:t>
            </w:r>
            <w:r w:rsidR="00B10FA0" w:rsidRPr="009A2200">
              <w:rPr>
                <w:color w:val="395B76" w:themeColor="accent2" w:themeShade="BF"/>
                <w:lang w:val="en-US"/>
              </w:rPr>
              <w:t xml:space="preserve"> </w:t>
            </w:r>
            <w:r w:rsidRPr="009A2200">
              <w:rPr>
                <w:color w:val="395B76" w:themeColor="accent2" w:themeShade="BF"/>
                <w:lang w:val="en-US"/>
              </w:rPr>
              <w:t>for</w:t>
            </w:r>
            <w:r w:rsidR="00B10FA0" w:rsidRPr="009A2200">
              <w:rPr>
                <w:color w:val="395B76" w:themeColor="accent2" w:themeShade="BF"/>
                <w:lang w:val="en-US"/>
              </w:rPr>
              <w:t xml:space="preserve"> </w:t>
            </w:r>
            <w:r w:rsidRPr="009A2200">
              <w:rPr>
                <w:color w:val="395B76" w:themeColor="accent2" w:themeShade="BF"/>
                <w:lang w:val="en-US"/>
              </w:rPr>
              <w:t>purpose?</w:t>
            </w:r>
          </w:p>
        </w:tc>
      </w:tr>
      <w:tr w:rsidR="00530B43" w:rsidRPr="009A2200" w14:paraId="465A89E2" w14:textId="77777777" w:rsidTr="0076011C">
        <w:tc>
          <w:tcPr>
            <w:tcW w:w="9628" w:type="dxa"/>
            <w:shd w:val="clear" w:color="auto" w:fill="EFF3F7"/>
          </w:tcPr>
          <w:p w14:paraId="2125E8A3" w14:textId="6D800450" w:rsidR="00530B43" w:rsidRPr="009A2200" w:rsidRDefault="00530B43" w:rsidP="00021AF0">
            <w:pPr>
              <w:pStyle w:val="ListBullet"/>
              <w:numPr>
                <w:ilvl w:val="0"/>
                <w:numId w:val="0"/>
              </w:numPr>
              <w:spacing w:before="60" w:after="60"/>
              <w:ind w:left="884" w:hanging="884"/>
              <w:rPr>
                <w:color w:val="395B76" w:themeColor="accent2" w:themeShade="BF"/>
                <w:lang w:val="en-US"/>
              </w:rPr>
            </w:pPr>
            <w:r w:rsidRPr="009A2200">
              <w:rPr>
                <w:color w:val="395B76" w:themeColor="accent2" w:themeShade="BF"/>
                <w:lang w:val="en-US"/>
              </w:rPr>
              <w:t>KEQ 3:</w:t>
            </w:r>
            <w:r w:rsidRPr="009A2200">
              <w:rPr>
                <w:color w:val="395B76" w:themeColor="accent2" w:themeShade="BF"/>
                <w:lang w:val="en-US"/>
              </w:rPr>
              <w:tab/>
              <w:t>What can be changed in the current design to make TSSP2 more effective?</w:t>
            </w:r>
          </w:p>
        </w:tc>
      </w:tr>
    </w:tbl>
    <w:p w14:paraId="1A6886AF" w14:textId="77777777" w:rsidR="00530B43" w:rsidRDefault="00530B43" w:rsidP="00530B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0E8"/>
        <w:tblLook w:val="04A0" w:firstRow="1" w:lastRow="0" w:firstColumn="1" w:lastColumn="0" w:noHBand="0" w:noVBand="1"/>
      </w:tblPr>
      <w:tblGrid>
        <w:gridCol w:w="9628"/>
      </w:tblGrid>
      <w:tr w:rsidR="00530B43" w:rsidRPr="009A2200" w14:paraId="22AD58E3" w14:textId="77777777" w:rsidTr="0076011C">
        <w:tc>
          <w:tcPr>
            <w:tcW w:w="9628" w:type="dxa"/>
            <w:shd w:val="clear" w:color="auto" w:fill="F4F0E8"/>
          </w:tcPr>
          <w:p w14:paraId="3703AA69" w14:textId="77777777" w:rsidR="00530B43" w:rsidRPr="009A2200" w:rsidRDefault="00530B43" w:rsidP="00021AF0">
            <w:pPr>
              <w:pStyle w:val="BodyText"/>
              <w:rPr>
                <w:color w:val="685530" w:themeColor="accent5" w:themeShade="BF"/>
                <w:lang w:val="en-US"/>
              </w:rPr>
            </w:pPr>
            <w:r w:rsidRPr="009A2200">
              <w:rPr>
                <w:b/>
                <w:color w:val="685530" w:themeColor="accent5" w:themeShade="BF"/>
                <w:lang w:val="en-US"/>
              </w:rPr>
              <w:t>Objective 2: Program implementation.</w:t>
            </w:r>
            <w:r w:rsidRPr="009A2200">
              <w:rPr>
                <w:color w:val="685530" w:themeColor="accent5" w:themeShade="BF"/>
                <w:lang w:val="en-US"/>
              </w:rPr>
              <w:t xml:space="preserve"> To examine the extent to which the Program was implemented and whether it has led to the achievement of the expected outcomes.</w:t>
            </w:r>
          </w:p>
        </w:tc>
      </w:tr>
      <w:tr w:rsidR="00530B43" w:rsidRPr="009A2200" w14:paraId="4634A46C" w14:textId="77777777" w:rsidTr="0076011C">
        <w:tc>
          <w:tcPr>
            <w:tcW w:w="9628" w:type="dxa"/>
            <w:shd w:val="clear" w:color="auto" w:fill="F4F0E8"/>
          </w:tcPr>
          <w:p w14:paraId="6F37AEAA" w14:textId="77777777" w:rsidR="00530B43" w:rsidRPr="009A2200" w:rsidRDefault="00530B43" w:rsidP="00021AF0">
            <w:pPr>
              <w:pStyle w:val="ListBullet"/>
              <w:numPr>
                <w:ilvl w:val="0"/>
                <w:numId w:val="0"/>
              </w:numPr>
              <w:spacing w:before="60" w:after="60"/>
              <w:ind w:left="884" w:hanging="884"/>
              <w:rPr>
                <w:color w:val="685530" w:themeColor="accent5" w:themeShade="BF"/>
                <w:lang w:val="en-US"/>
              </w:rPr>
            </w:pPr>
            <w:r w:rsidRPr="009A2200">
              <w:rPr>
                <w:color w:val="685530" w:themeColor="accent5" w:themeShade="BF"/>
                <w:lang w:val="en-US"/>
              </w:rPr>
              <w:t>KEQ 4:</w:t>
            </w:r>
            <w:r w:rsidRPr="009A2200">
              <w:rPr>
                <w:color w:val="685530" w:themeColor="accent5" w:themeShade="BF"/>
                <w:lang w:val="en-US"/>
              </w:rPr>
              <w:tab/>
              <w:t>How have the program’s management arrangements contributed to program performance?</w:t>
            </w:r>
          </w:p>
        </w:tc>
      </w:tr>
      <w:tr w:rsidR="00530B43" w:rsidRPr="009A2200" w14:paraId="1B4C7FBC" w14:textId="77777777" w:rsidTr="0076011C">
        <w:tc>
          <w:tcPr>
            <w:tcW w:w="9628" w:type="dxa"/>
            <w:shd w:val="clear" w:color="auto" w:fill="F4F0E8"/>
          </w:tcPr>
          <w:p w14:paraId="6C949607" w14:textId="77777777" w:rsidR="00530B43" w:rsidRPr="009A2200" w:rsidRDefault="00530B43" w:rsidP="00021AF0">
            <w:pPr>
              <w:pStyle w:val="ListBullet"/>
              <w:numPr>
                <w:ilvl w:val="0"/>
                <w:numId w:val="0"/>
              </w:numPr>
              <w:spacing w:before="60" w:after="60"/>
              <w:ind w:left="884" w:hanging="884"/>
              <w:rPr>
                <w:color w:val="685530" w:themeColor="accent5" w:themeShade="BF"/>
                <w:lang w:val="en-US"/>
              </w:rPr>
            </w:pPr>
            <w:r w:rsidRPr="009A2200">
              <w:rPr>
                <w:color w:val="685530" w:themeColor="accent5" w:themeShade="BF"/>
                <w:lang w:val="en-US"/>
              </w:rPr>
              <w:t>KEQ 5:</w:t>
            </w:r>
            <w:r w:rsidRPr="009A2200">
              <w:rPr>
                <w:color w:val="685530" w:themeColor="accent5" w:themeShade="BF"/>
                <w:lang w:val="en-US"/>
              </w:rPr>
              <w:tab/>
              <w:t>What was the working relationship between the Australian High Commission (AHC) and the TSSP2 team?</w:t>
            </w:r>
          </w:p>
        </w:tc>
      </w:tr>
      <w:tr w:rsidR="00530B43" w:rsidRPr="009A2200" w14:paraId="346EB1EA" w14:textId="77777777" w:rsidTr="0076011C">
        <w:tc>
          <w:tcPr>
            <w:tcW w:w="9628" w:type="dxa"/>
            <w:shd w:val="clear" w:color="auto" w:fill="F4F0E8"/>
          </w:tcPr>
          <w:p w14:paraId="60CD0611" w14:textId="0E6FAE57" w:rsidR="00530B43" w:rsidRPr="009A2200" w:rsidRDefault="00530B43" w:rsidP="00021AF0">
            <w:pPr>
              <w:pStyle w:val="ListBullet"/>
              <w:numPr>
                <w:ilvl w:val="0"/>
                <w:numId w:val="0"/>
              </w:numPr>
              <w:spacing w:before="60" w:after="60"/>
              <w:ind w:left="884" w:hanging="884"/>
              <w:rPr>
                <w:color w:val="685530" w:themeColor="accent5" w:themeShade="BF"/>
                <w:lang w:val="en-US"/>
              </w:rPr>
            </w:pPr>
            <w:r w:rsidRPr="009A2200">
              <w:rPr>
                <w:color w:val="685530" w:themeColor="accent5" w:themeShade="BF"/>
                <w:lang w:val="en-US"/>
              </w:rPr>
              <w:t>KEQ 6:</w:t>
            </w:r>
            <w:r w:rsidRPr="009A2200">
              <w:rPr>
                <w:color w:val="685530" w:themeColor="accent5" w:themeShade="BF"/>
                <w:lang w:val="en-US"/>
              </w:rPr>
              <w:tab/>
              <w:t xml:space="preserve">Was TSSP2 effective in </w:t>
            </w:r>
            <w:r w:rsidR="00DF402F" w:rsidRPr="009A2200">
              <w:rPr>
                <w:color w:val="685530" w:themeColor="accent5" w:themeShade="BF"/>
                <w:lang w:val="en-US"/>
              </w:rPr>
              <w:t xml:space="preserve">the </w:t>
            </w:r>
            <w:r w:rsidRPr="009A2200">
              <w:rPr>
                <w:color w:val="685530" w:themeColor="accent5" w:themeShade="BF"/>
                <w:lang w:val="en-US"/>
              </w:rPr>
              <w:t>achievement of intended outcomes?</w:t>
            </w:r>
          </w:p>
        </w:tc>
      </w:tr>
      <w:tr w:rsidR="00530B43" w:rsidRPr="009A2200" w14:paraId="06A8C265" w14:textId="77777777" w:rsidTr="0076011C">
        <w:tc>
          <w:tcPr>
            <w:tcW w:w="9628" w:type="dxa"/>
            <w:shd w:val="clear" w:color="auto" w:fill="F4F0E8"/>
          </w:tcPr>
          <w:p w14:paraId="15AC1B87" w14:textId="77777777" w:rsidR="00530B43" w:rsidRPr="009A2200" w:rsidRDefault="00530B43" w:rsidP="00021AF0">
            <w:pPr>
              <w:pStyle w:val="ListBullet"/>
              <w:numPr>
                <w:ilvl w:val="0"/>
                <w:numId w:val="0"/>
              </w:numPr>
              <w:spacing w:before="60" w:after="60"/>
              <w:ind w:left="884" w:hanging="884"/>
              <w:rPr>
                <w:color w:val="685530" w:themeColor="accent5" w:themeShade="BF"/>
                <w:lang w:val="en-US"/>
              </w:rPr>
            </w:pPr>
            <w:r w:rsidRPr="009A2200">
              <w:rPr>
                <w:color w:val="685530" w:themeColor="accent5" w:themeShade="BF"/>
                <w:lang w:val="en-US"/>
              </w:rPr>
              <w:t>KEQ 7:</w:t>
            </w:r>
            <w:r w:rsidRPr="009A2200">
              <w:rPr>
                <w:color w:val="685530" w:themeColor="accent5" w:themeShade="BF"/>
                <w:lang w:val="en-US"/>
              </w:rPr>
              <w:tab/>
              <w:t>How can the work between TSSP and AIFFP be improved to ensure complementarity between the two programs?</w:t>
            </w:r>
          </w:p>
        </w:tc>
      </w:tr>
      <w:tr w:rsidR="00530B43" w:rsidRPr="009A2200" w14:paraId="23586E32" w14:textId="77777777" w:rsidTr="0076011C">
        <w:tc>
          <w:tcPr>
            <w:tcW w:w="9628" w:type="dxa"/>
            <w:shd w:val="clear" w:color="auto" w:fill="F4F0E8"/>
          </w:tcPr>
          <w:p w14:paraId="13364096" w14:textId="77777777" w:rsidR="00530B43" w:rsidRPr="009A2200" w:rsidRDefault="00530B43" w:rsidP="00021AF0">
            <w:pPr>
              <w:pStyle w:val="ListBullet"/>
              <w:numPr>
                <w:ilvl w:val="0"/>
                <w:numId w:val="0"/>
              </w:numPr>
              <w:spacing w:before="60" w:after="60"/>
              <w:ind w:left="884" w:hanging="884"/>
              <w:rPr>
                <w:color w:val="685530" w:themeColor="accent5" w:themeShade="BF"/>
                <w:lang w:val="en-US"/>
              </w:rPr>
            </w:pPr>
            <w:r w:rsidRPr="009A2200">
              <w:rPr>
                <w:color w:val="685530" w:themeColor="accent5" w:themeShade="BF"/>
                <w:lang w:val="en-US"/>
              </w:rPr>
              <w:t>KEQ 8:</w:t>
            </w:r>
            <w:r w:rsidRPr="009A2200">
              <w:rPr>
                <w:color w:val="685530" w:themeColor="accent5" w:themeShade="BF"/>
                <w:lang w:val="en-US"/>
              </w:rPr>
              <w:tab/>
              <w:t>Have cross-cutting issues been appropriately integrated into program design and delivery?</w:t>
            </w:r>
          </w:p>
        </w:tc>
      </w:tr>
    </w:tbl>
    <w:p w14:paraId="1C64F5AF" w14:textId="77777777" w:rsidR="00530B43" w:rsidRDefault="00530B43" w:rsidP="00530B43">
      <w:pPr>
        <w:pStyle w:val="BodyText"/>
      </w:pPr>
    </w:p>
    <w:p w14:paraId="35F7C395" w14:textId="7B2A4727" w:rsidR="00024DC9" w:rsidRPr="002523E8" w:rsidRDefault="00024DC9" w:rsidP="00530B43">
      <w:pPr>
        <w:pStyle w:val="BodyText"/>
      </w:pPr>
      <w:r w:rsidRPr="002523E8">
        <w:lastRenderedPageBreak/>
        <w:t>The Review was structured in five phases, presented below.</w:t>
      </w:r>
      <w:r w:rsidR="00D7050C">
        <w:t xml:space="preserve"> </w:t>
      </w:r>
    </w:p>
    <w:p w14:paraId="7D16F5FB" w14:textId="77777777" w:rsidR="00024DC9" w:rsidRPr="002523E8" w:rsidRDefault="00024DC9" w:rsidP="00024DC9">
      <w:pPr>
        <w:spacing w:before="200" w:after="200"/>
        <w:rPr>
          <w:rFonts w:cs="Arial"/>
          <w:sz w:val="19"/>
          <w:szCs w:val="19"/>
        </w:rPr>
      </w:pPr>
      <w:r w:rsidRPr="002523E8">
        <w:rPr>
          <w:rFonts w:cs="Arial"/>
          <w:noProof/>
          <w:sz w:val="19"/>
          <w:szCs w:val="19"/>
        </w:rPr>
        <w:drawing>
          <wp:inline distT="0" distB="0" distL="0" distR="0" wp14:anchorId="061F5741" wp14:editId="0F84323D">
            <wp:extent cx="5027003" cy="1195705"/>
            <wp:effectExtent l="0" t="0" r="2540" b="4445"/>
            <wp:docPr id="5" name="Picture 5" descr="graphic showing phases: Inception and scoping: Oct 2021. Desktop review:  Oct-Nov 2021. Key stake holder interviews: Nov-Dec 2021. Analysis and drafting: Jan 2022. Final reporting: Feb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showing phases: Inception and scoping: Oct 2021. Desktop review:  Oct-Nov 2021. Key stake holder interviews: Nov-Dec 2021. Analysis and drafting: Jan 2022. Final reporting: Feb 2022"/>
                    <pic:cNvPicPr/>
                  </pic:nvPicPr>
                  <pic:blipFill>
                    <a:blip r:embed="rId15"/>
                    <a:stretch>
                      <a:fillRect/>
                    </a:stretch>
                  </pic:blipFill>
                  <pic:spPr>
                    <a:xfrm>
                      <a:off x="0" y="0"/>
                      <a:ext cx="5027003" cy="1195705"/>
                    </a:xfrm>
                    <a:prstGeom prst="rect">
                      <a:avLst/>
                    </a:prstGeom>
                  </pic:spPr>
                </pic:pic>
              </a:graphicData>
            </a:graphic>
          </wp:inline>
        </w:drawing>
      </w:r>
    </w:p>
    <w:p w14:paraId="74E789A1" w14:textId="5E98444D" w:rsidR="00024DC9" w:rsidRPr="002523E8" w:rsidRDefault="00024DC9" w:rsidP="00530B43">
      <w:pPr>
        <w:pStyle w:val="BodyText"/>
      </w:pPr>
      <w:r w:rsidRPr="002523E8">
        <w:t xml:space="preserve">The Review drew on evidence from </w:t>
      </w:r>
      <w:r w:rsidR="00192324">
        <w:t>a</w:t>
      </w:r>
      <w:r w:rsidRPr="002523E8">
        <w:t xml:space="preserve"> literature </w:t>
      </w:r>
      <w:r w:rsidR="00A267D0">
        <w:t>scan</w:t>
      </w:r>
      <w:r w:rsidRPr="002523E8">
        <w:t>, existing report</w:t>
      </w:r>
      <w:r w:rsidR="00192324">
        <w:t>ing</w:t>
      </w:r>
      <w:r w:rsidRPr="002523E8">
        <w:t>, program documents, and primary qualitative data through stakeholder interviews</w:t>
      </w:r>
      <w:r w:rsidR="00192324">
        <w:t xml:space="preserve"> and focus group discussions</w:t>
      </w:r>
      <w:r w:rsidRPr="002523E8">
        <w:t xml:space="preserve">. </w:t>
      </w:r>
      <w:r w:rsidR="00192324">
        <w:t>The data collection me</w:t>
      </w:r>
      <w:r w:rsidR="000803B9">
        <w:t xml:space="preserve">thods provided a </w:t>
      </w:r>
      <w:r w:rsidRPr="002523E8">
        <w:t xml:space="preserve">comprehensive picture </w:t>
      </w:r>
      <w:r w:rsidR="000803B9">
        <w:t>of the Program</w:t>
      </w:r>
      <w:r w:rsidRPr="002523E8">
        <w:t xml:space="preserve"> and enabled the </w:t>
      </w:r>
      <w:r>
        <w:t xml:space="preserve">Review </w:t>
      </w:r>
      <w:r w:rsidR="000803B9">
        <w:t>team</w:t>
      </w:r>
      <w:r>
        <w:t xml:space="preserve"> </w:t>
      </w:r>
      <w:r w:rsidRPr="002523E8">
        <w:t xml:space="preserve">to triangulate findings in a robust way. The approach was also designed to work with the practical constraints of remote reviews and adopted the following methodologies and inquiries: </w:t>
      </w:r>
    </w:p>
    <w:tbl>
      <w:tblPr>
        <w:tblStyle w:val="Coffeytable1"/>
        <w:tblW w:w="5000" w:type="pct"/>
        <w:tblBorders>
          <w:top w:val="single" w:sz="4" w:space="0" w:color="003478"/>
          <w:left w:val="none" w:sz="0" w:space="0" w:color="auto"/>
          <w:bottom w:val="single" w:sz="4" w:space="0" w:color="003478"/>
          <w:right w:val="none" w:sz="0" w:space="0" w:color="auto"/>
          <w:insideH w:val="single" w:sz="4" w:space="0" w:color="003478"/>
          <w:insideV w:val="none" w:sz="0" w:space="0" w:color="auto"/>
        </w:tblBorders>
        <w:tblLook w:val="04A0" w:firstRow="1" w:lastRow="0" w:firstColumn="1" w:lastColumn="0" w:noHBand="0" w:noVBand="1"/>
      </w:tblPr>
      <w:tblGrid>
        <w:gridCol w:w="2371"/>
        <w:gridCol w:w="7267"/>
      </w:tblGrid>
      <w:tr w:rsidR="00024DC9" w:rsidRPr="00530B43" w14:paraId="0D069719" w14:textId="77777777" w:rsidTr="00530B43">
        <w:tc>
          <w:tcPr>
            <w:tcW w:w="1230" w:type="pct"/>
            <w:tcBorders>
              <w:top w:val="nil"/>
              <w:bottom w:val="single" w:sz="18" w:space="0" w:color="5482AB"/>
            </w:tcBorders>
            <w:shd w:val="clear" w:color="auto" w:fill="auto"/>
            <w:vAlign w:val="center"/>
          </w:tcPr>
          <w:p w14:paraId="7197D19B" w14:textId="77777777" w:rsidR="00024DC9" w:rsidRPr="00530B43" w:rsidRDefault="00024DC9" w:rsidP="007A44BD">
            <w:pPr>
              <w:spacing w:before="120" w:after="120" w:line="252" w:lineRule="auto"/>
              <w:rPr>
                <w:rFonts w:ascii="Franklin Gothic Demi" w:hAnsi="Franklin Gothic Demi" w:cs="Arial"/>
                <w:color w:val="003478"/>
                <w:lang w:eastAsia="en-AU"/>
              </w:rPr>
            </w:pPr>
            <w:r w:rsidRPr="00530B43">
              <w:rPr>
                <w:rFonts w:ascii="Franklin Gothic Demi" w:hAnsi="Franklin Gothic Demi" w:cs="Arial"/>
                <w:color w:val="003478"/>
                <w:lang w:eastAsia="en-AU"/>
              </w:rPr>
              <w:t xml:space="preserve">Method </w:t>
            </w:r>
          </w:p>
        </w:tc>
        <w:tc>
          <w:tcPr>
            <w:tcW w:w="3770" w:type="pct"/>
            <w:tcBorders>
              <w:top w:val="nil"/>
              <w:bottom w:val="single" w:sz="18" w:space="0" w:color="5482AB"/>
            </w:tcBorders>
            <w:shd w:val="clear" w:color="auto" w:fill="auto"/>
          </w:tcPr>
          <w:p w14:paraId="68512BB4" w14:textId="77777777" w:rsidR="00024DC9" w:rsidRPr="00530B43" w:rsidRDefault="00024DC9" w:rsidP="007A44BD">
            <w:pPr>
              <w:spacing w:before="120" w:after="120" w:line="252" w:lineRule="auto"/>
              <w:rPr>
                <w:rFonts w:ascii="Franklin Gothic Demi" w:hAnsi="Franklin Gothic Demi" w:cs="Arial"/>
                <w:color w:val="003478"/>
                <w:lang w:eastAsia="en-AU"/>
              </w:rPr>
            </w:pPr>
            <w:r w:rsidRPr="00530B43">
              <w:rPr>
                <w:rFonts w:ascii="Franklin Gothic Demi" w:hAnsi="Franklin Gothic Demi" w:cs="Arial"/>
                <w:color w:val="003478"/>
                <w:lang w:eastAsia="en-AU"/>
              </w:rPr>
              <w:t>How it was used</w:t>
            </w:r>
          </w:p>
        </w:tc>
      </w:tr>
      <w:tr w:rsidR="00024DC9" w:rsidRPr="002523E8" w14:paraId="61D6B283" w14:textId="77777777" w:rsidTr="00530B43">
        <w:tc>
          <w:tcPr>
            <w:tcW w:w="1230" w:type="pct"/>
            <w:tcBorders>
              <w:top w:val="single" w:sz="18" w:space="0" w:color="5482AB"/>
              <w:bottom w:val="dotted" w:sz="4" w:space="0" w:color="808080" w:themeColor="background1" w:themeShade="80"/>
            </w:tcBorders>
            <w:shd w:val="clear" w:color="auto" w:fill="F2F2F2"/>
          </w:tcPr>
          <w:p w14:paraId="50DF537A" w14:textId="77777777" w:rsidR="00024DC9" w:rsidRPr="00530B43" w:rsidRDefault="00024DC9" w:rsidP="007A44BD">
            <w:pPr>
              <w:spacing w:line="252" w:lineRule="auto"/>
              <w:rPr>
                <w:rFonts w:ascii="Franklin Gothic Demi" w:hAnsi="Franklin Gothic Demi" w:cs="Arial"/>
                <w:sz w:val="18"/>
                <w:szCs w:val="18"/>
                <w:lang w:eastAsia="en-AU"/>
              </w:rPr>
            </w:pPr>
            <w:r w:rsidRPr="00530B43">
              <w:rPr>
                <w:rFonts w:ascii="Franklin Gothic Demi" w:hAnsi="Franklin Gothic Demi" w:cs="Arial"/>
                <w:sz w:val="18"/>
                <w:szCs w:val="18"/>
                <w:lang w:eastAsia="en-AU"/>
              </w:rPr>
              <w:t>Mixed methods approach</w:t>
            </w:r>
          </w:p>
        </w:tc>
        <w:tc>
          <w:tcPr>
            <w:tcW w:w="3770" w:type="pct"/>
            <w:tcBorders>
              <w:top w:val="single" w:sz="18" w:space="0" w:color="5482AB"/>
              <w:bottom w:val="dotted" w:sz="4" w:space="0" w:color="808080" w:themeColor="background1" w:themeShade="80"/>
            </w:tcBorders>
            <w:shd w:val="clear" w:color="auto" w:fill="FFFFFF"/>
          </w:tcPr>
          <w:p w14:paraId="22924E68" w14:textId="77777777" w:rsidR="00024DC9" w:rsidRPr="00530B43" w:rsidRDefault="00024DC9" w:rsidP="00530B43">
            <w:pPr>
              <w:pStyle w:val="BodyText"/>
              <w:spacing w:before="40" w:after="40" w:line="240" w:lineRule="auto"/>
              <w:rPr>
                <w:sz w:val="18"/>
                <w:szCs w:val="18"/>
                <w:lang w:eastAsia="en-AU"/>
              </w:rPr>
            </w:pPr>
            <w:r w:rsidRPr="00530B43">
              <w:rPr>
                <w:sz w:val="18"/>
                <w:szCs w:val="18"/>
                <w:lang w:eastAsia="en-AU"/>
              </w:rPr>
              <w:t>The Review adopted a mixed-methods approach combining different forms of data collection in a phased approach. The Review, therefore, collected both qualitative and quantitative data and integrated them into analysis and synthesis. Examples include program expenditure and PNG transport sector financing landscape (quantitative), stakeholder interviews (qualitative) (see stakeholder consultation list in Annex 1). The Analytical Framework guided analysis for the Review. The mixed approach was suitable for this Review as it allowed the team to combine different methods and data sources to arrive at a richer and more nuanced understanding than what might have been achieved through the use of a single method alone.</w:t>
            </w:r>
          </w:p>
        </w:tc>
      </w:tr>
      <w:tr w:rsidR="00024DC9" w:rsidRPr="002523E8" w14:paraId="16CC6C01" w14:textId="77777777" w:rsidTr="00530B43">
        <w:tc>
          <w:tcPr>
            <w:tcW w:w="1230" w:type="pct"/>
            <w:tcBorders>
              <w:top w:val="dotted" w:sz="4" w:space="0" w:color="808080" w:themeColor="background1" w:themeShade="80"/>
              <w:bottom w:val="dotted" w:sz="4" w:space="0" w:color="808080" w:themeColor="background1" w:themeShade="80"/>
            </w:tcBorders>
            <w:shd w:val="clear" w:color="auto" w:fill="F2F2F2"/>
          </w:tcPr>
          <w:p w14:paraId="048B376A" w14:textId="77777777" w:rsidR="00024DC9" w:rsidRPr="00530B43" w:rsidRDefault="00024DC9" w:rsidP="007A44BD">
            <w:pPr>
              <w:spacing w:line="252" w:lineRule="auto"/>
              <w:rPr>
                <w:rFonts w:ascii="Franklin Gothic Demi" w:hAnsi="Franklin Gothic Demi" w:cs="Arial"/>
                <w:sz w:val="18"/>
                <w:szCs w:val="18"/>
                <w:lang w:eastAsia="en-AU"/>
              </w:rPr>
            </w:pPr>
            <w:r w:rsidRPr="00530B43">
              <w:rPr>
                <w:rFonts w:ascii="Franklin Gothic Demi" w:hAnsi="Franklin Gothic Demi" w:cs="Arial"/>
                <w:sz w:val="18"/>
                <w:szCs w:val="18"/>
                <w:lang w:eastAsia="en-AU"/>
              </w:rPr>
              <w:t>Process and outcomes review</w:t>
            </w:r>
          </w:p>
        </w:tc>
        <w:tc>
          <w:tcPr>
            <w:tcW w:w="3770" w:type="pct"/>
            <w:tcBorders>
              <w:top w:val="dotted" w:sz="4" w:space="0" w:color="808080" w:themeColor="background1" w:themeShade="80"/>
              <w:bottom w:val="dotted" w:sz="4" w:space="0" w:color="808080" w:themeColor="background1" w:themeShade="80"/>
            </w:tcBorders>
            <w:shd w:val="clear" w:color="auto" w:fill="FFFFFF"/>
          </w:tcPr>
          <w:p w14:paraId="6BD99F98" w14:textId="77777777" w:rsidR="00024DC9" w:rsidRPr="00530B43" w:rsidRDefault="00024DC9" w:rsidP="00530B43">
            <w:pPr>
              <w:pStyle w:val="BodyText"/>
              <w:spacing w:before="40" w:after="40" w:line="240" w:lineRule="auto"/>
              <w:rPr>
                <w:sz w:val="18"/>
                <w:szCs w:val="18"/>
                <w:lang w:eastAsia="en-AU"/>
              </w:rPr>
            </w:pPr>
            <w:r w:rsidRPr="00530B43">
              <w:rPr>
                <w:sz w:val="18"/>
                <w:szCs w:val="18"/>
                <w:lang w:eastAsia="en-AU"/>
              </w:rPr>
              <w:t>In line with DFAT’s expectations on understanding outcomes achieved but also on how the implementation was conducted, the Review assessed both the process and quality</w:t>
            </w:r>
            <w:r w:rsidRPr="00530B43">
              <w:rPr>
                <w:b/>
                <w:bCs/>
                <w:sz w:val="18"/>
                <w:szCs w:val="18"/>
                <w:lang w:eastAsia="en-AU"/>
              </w:rPr>
              <w:t xml:space="preserve"> </w:t>
            </w:r>
            <w:r w:rsidRPr="00530B43">
              <w:rPr>
                <w:sz w:val="18"/>
                <w:szCs w:val="18"/>
                <w:lang w:eastAsia="en-AU"/>
              </w:rPr>
              <w:t>of implementation and how that has led to the achievement of results. The Review process was primarily retrospective, reviewing past processes and results to assess performance. Using process-outcome analysis, the Review sought to ascertain the relationship and effects of operational factors and results, to make recommendations into program feasibility and future programming design.</w:t>
            </w:r>
          </w:p>
        </w:tc>
      </w:tr>
      <w:tr w:rsidR="00024DC9" w:rsidRPr="002523E8" w14:paraId="25E390BC" w14:textId="77777777" w:rsidTr="00530B43">
        <w:tc>
          <w:tcPr>
            <w:tcW w:w="1230" w:type="pct"/>
            <w:tcBorders>
              <w:top w:val="dotted" w:sz="4" w:space="0" w:color="808080" w:themeColor="background1" w:themeShade="80"/>
              <w:bottom w:val="dotted" w:sz="4" w:space="0" w:color="808080" w:themeColor="background1" w:themeShade="80"/>
            </w:tcBorders>
            <w:shd w:val="clear" w:color="auto" w:fill="F2F2F2"/>
          </w:tcPr>
          <w:p w14:paraId="2CB98543" w14:textId="77777777" w:rsidR="00024DC9" w:rsidRPr="00530B43" w:rsidRDefault="00024DC9" w:rsidP="007A44BD">
            <w:pPr>
              <w:spacing w:line="252" w:lineRule="auto"/>
              <w:rPr>
                <w:rFonts w:ascii="Franklin Gothic Demi" w:hAnsi="Franklin Gothic Demi" w:cs="Arial"/>
                <w:sz w:val="18"/>
                <w:szCs w:val="18"/>
                <w:lang w:eastAsia="en-AU"/>
              </w:rPr>
            </w:pPr>
            <w:r w:rsidRPr="00530B43">
              <w:rPr>
                <w:rFonts w:ascii="Franklin Gothic Demi" w:hAnsi="Franklin Gothic Demi" w:cs="Arial"/>
                <w:sz w:val="18"/>
                <w:szCs w:val="18"/>
                <w:lang w:eastAsia="en-AU"/>
              </w:rPr>
              <w:t>Realist approach</w:t>
            </w:r>
          </w:p>
        </w:tc>
        <w:tc>
          <w:tcPr>
            <w:tcW w:w="3770" w:type="pct"/>
            <w:tcBorders>
              <w:top w:val="dotted" w:sz="4" w:space="0" w:color="808080" w:themeColor="background1" w:themeShade="80"/>
              <w:bottom w:val="dotted" w:sz="4" w:space="0" w:color="808080" w:themeColor="background1" w:themeShade="80"/>
            </w:tcBorders>
            <w:shd w:val="clear" w:color="auto" w:fill="FFFFFF"/>
          </w:tcPr>
          <w:p w14:paraId="643A267E" w14:textId="77777777" w:rsidR="00024DC9" w:rsidRPr="00530B43" w:rsidRDefault="00024DC9" w:rsidP="00530B43">
            <w:pPr>
              <w:pStyle w:val="BodyText"/>
              <w:spacing w:before="40" w:after="40" w:line="240" w:lineRule="auto"/>
              <w:rPr>
                <w:sz w:val="18"/>
                <w:szCs w:val="18"/>
                <w:lang w:eastAsia="en-AU"/>
              </w:rPr>
            </w:pPr>
            <w:r w:rsidRPr="00530B43">
              <w:rPr>
                <w:sz w:val="18"/>
                <w:szCs w:val="18"/>
                <w:lang w:eastAsia="en-AU"/>
              </w:rPr>
              <w:t xml:space="preserve">Through the realist approach, the Review sought to not only answer whether the Program has achieved outcomes as a whole but also explored mechanisms behind the achievement of those outcomes, in what contexts and the reasons why. The mechanisms supporting the achievement of outcomes will enable DFAT to choose future investments based on their likely effectiveness within specific contexts. </w:t>
            </w:r>
          </w:p>
        </w:tc>
      </w:tr>
      <w:tr w:rsidR="00024DC9" w:rsidRPr="002523E8" w14:paraId="58DA56EE" w14:textId="77777777" w:rsidTr="00530B43">
        <w:tc>
          <w:tcPr>
            <w:tcW w:w="1230" w:type="pct"/>
            <w:tcBorders>
              <w:top w:val="dotted" w:sz="4" w:space="0" w:color="808080" w:themeColor="background1" w:themeShade="80"/>
              <w:bottom w:val="dotted" w:sz="4" w:space="0" w:color="808080" w:themeColor="background1" w:themeShade="80"/>
            </w:tcBorders>
            <w:shd w:val="clear" w:color="auto" w:fill="F2F2F2"/>
          </w:tcPr>
          <w:p w14:paraId="2634316C" w14:textId="77777777" w:rsidR="00024DC9" w:rsidRPr="00530B43" w:rsidRDefault="00024DC9" w:rsidP="007A44BD">
            <w:pPr>
              <w:spacing w:line="252" w:lineRule="auto"/>
              <w:rPr>
                <w:rFonts w:ascii="Franklin Gothic Demi" w:hAnsi="Franklin Gothic Demi" w:cs="Arial"/>
                <w:sz w:val="18"/>
                <w:szCs w:val="18"/>
                <w:lang w:eastAsia="en-AU"/>
              </w:rPr>
            </w:pPr>
            <w:r w:rsidRPr="00530B43">
              <w:rPr>
                <w:rFonts w:ascii="Franklin Gothic Demi" w:hAnsi="Franklin Gothic Demi" w:cs="Arial"/>
                <w:sz w:val="18"/>
                <w:szCs w:val="18"/>
                <w:lang w:eastAsia="en-AU"/>
              </w:rPr>
              <w:t xml:space="preserve">Deductive and inductive data analysis </w:t>
            </w:r>
          </w:p>
        </w:tc>
        <w:tc>
          <w:tcPr>
            <w:tcW w:w="3770" w:type="pct"/>
            <w:tcBorders>
              <w:top w:val="dotted" w:sz="4" w:space="0" w:color="808080" w:themeColor="background1" w:themeShade="80"/>
              <w:bottom w:val="dotted" w:sz="4" w:space="0" w:color="808080" w:themeColor="background1" w:themeShade="80"/>
            </w:tcBorders>
            <w:shd w:val="clear" w:color="auto" w:fill="FFFFFF"/>
          </w:tcPr>
          <w:p w14:paraId="3B58CDC2" w14:textId="73DE257D" w:rsidR="00024DC9" w:rsidRPr="00530B43" w:rsidRDefault="00024DC9" w:rsidP="00530B43">
            <w:pPr>
              <w:pStyle w:val="BodyText"/>
              <w:spacing w:before="40" w:after="40" w:line="240" w:lineRule="auto"/>
              <w:rPr>
                <w:sz w:val="18"/>
                <w:szCs w:val="18"/>
                <w:lang w:eastAsia="en-AU"/>
              </w:rPr>
            </w:pPr>
            <w:r w:rsidRPr="00530B43">
              <w:rPr>
                <w:sz w:val="18"/>
                <w:szCs w:val="18"/>
                <w:lang w:eastAsia="en-AU"/>
              </w:rPr>
              <w:t xml:space="preserve">The analysis adopted a deductive approach which is to say, the documents and </w:t>
            </w:r>
            <w:r w:rsidR="00DC5DB7">
              <w:rPr>
                <w:sz w:val="18"/>
                <w:szCs w:val="18"/>
                <w:lang w:eastAsia="en-AU"/>
              </w:rPr>
              <w:t>interview</w:t>
            </w:r>
            <w:r w:rsidR="00DC5DB7" w:rsidRPr="00530B43">
              <w:rPr>
                <w:sz w:val="18"/>
                <w:szCs w:val="18"/>
                <w:lang w:eastAsia="en-AU"/>
              </w:rPr>
              <w:t xml:space="preserve"> </w:t>
            </w:r>
            <w:r w:rsidRPr="00530B43">
              <w:rPr>
                <w:sz w:val="18"/>
                <w:szCs w:val="18"/>
                <w:lang w:eastAsia="en-AU"/>
              </w:rPr>
              <w:t>data were assembled and analysed using the pre-determined criteria (program design and implementation and future directions). Once data was gathered under the different criterion themes, a more inductive approach was then employed where findings within that theme were assessed without pre-determined criteria so that other emerging themes were discovered and described under it.</w:t>
            </w:r>
          </w:p>
        </w:tc>
      </w:tr>
    </w:tbl>
    <w:p w14:paraId="4B45BEEE" w14:textId="77777777" w:rsidR="00024DC9" w:rsidRPr="003C57B9" w:rsidRDefault="00024DC9" w:rsidP="003C57B9"/>
    <w:p w14:paraId="4DBA7B77" w14:textId="49872D2E" w:rsidR="00024DC9" w:rsidRPr="00DE2B45" w:rsidRDefault="00DE2B45" w:rsidP="00FF55A3">
      <w:pPr>
        <w:pStyle w:val="BodyText"/>
        <w:spacing w:after="0"/>
        <w:rPr>
          <w:rFonts w:cs="Arial"/>
          <w:b/>
          <w:color w:val="5482AB"/>
          <w:lang w:val="en-US"/>
        </w:rPr>
      </w:pPr>
      <w:r>
        <w:t xml:space="preserve">Annex 1 describes in detail the methodology and limitations of the Review and provides a </w:t>
      </w:r>
      <w:r w:rsidR="00F03F44">
        <w:t xml:space="preserve">list of </w:t>
      </w:r>
      <w:r>
        <w:t>stakeholder</w:t>
      </w:r>
      <w:r w:rsidR="00F03F44">
        <w:t xml:space="preserve">s </w:t>
      </w:r>
      <w:r>
        <w:t>consult</w:t>
      </w:r>
      <w:r w:rsidR="00F03F44">
        <w:t>ed</w:t>
      </w:r>
      <w:r>
        <w:t>.</w:t>
      </w:r>
    </w:p>
    <w:p w14:paraId="03F13B17" w14:textId="153928E6" w:rsidR="00F541CA" w:rsidRPr="00A55B76" w:rsidRDefault="00E874A1" w:rsidP="0072195A">
      <w:pPr>
        <w:pStyle w:val="Heading2"/>
        <w:numPr>
          <w:ilvl w:val="1"/>
          <w:numId w:val="40"/>
        </w:numPr>
      </w:pPr>
      <w:bookmarkStart w:id="23" w:name="_Toc99121774"/>
      <w:r w:rsidRPr="00A55B76">
        <w:t>Overview of the Transport Sec</w:t>
      </w:r>
      <w:r w:rsidR="00B84A04" w:rsidRPr="00A55B76">
        <w:t>tor Support Program</w:t>
      </w:r>
      <w:r w:rsidR="00093691" w:rsidRPr="00A55B76">
        <w:t xml:space="preserve"> </w:t>
      </w:r>
      <w:r w:rsidR="0060075B" w:rsidRPr="00A55B76">
        <w:t>Phase 2</w:t>
      </w:r>
      <w:r w:rsidR="00281126" w:rsidRPr="00A55B76">
        <w:t xml:space="preserve"> (TSSP2)</w:t>
      </w:r>
      <w:bookmarkEnd w:id="23"/>
    </w:p>
    <w:p w14:paraId="3A0459BD" w14:textId="642A35FF" w:rsidR="00B84A04" w:rsidRPr="00530B43" w:rsidRDefault="00B84A04" w:rsidP="00530B43">
      <w:pPr>
        <w:pStyle w:val="Heading3"/>
      </w:pPr>
      <w:r w:rsidRPr="00530B43">
        <w:t xml:space="preserve">Background </w:t>
      </w:r>
      <w:r w:rsidR="008D2041" w:rsidRPr="00530B43">
        <w:t>to TSSP2 and the</w:t>
      </w:r>
      <w:r w:rsidR="00E27D39" w:rsidRPr="00530B43">
        <w:t xml:space="preserve"> challenges in PNG’s transport sector</w:t>
      </w:r>
    </w:p>
    <w:p w14:paraId="3ED755AB" w14:textId="7DA00CA4" w:rsidR="00BE798B" w:rsidRPr="00093691" w:rsidRDefault="007D089A" w:rsidP="00BB42AE">
      <w:pPr>
        <w:pStyle w:val="BodyText"/>
        <w:spacing w:before="80" w:after="80" w:line="244" w:lineRule="auto"/>
        <w:rPr>
          <w:rFonts w:cs="Arial"/>
        </w:rPr>
      </w:pPr>
      <w:bookmarkStart w:id="24" w:name="_Hlk90840504"/>
      <w:r>
        <w:rPr>
          <w:rFonts w:cs="Arial"/>
        </w:rPr>
        <w:t>TSSP2</w:t>
      </w:r>
      <w:r w:rsidR="00326628" w:rsidDel="007A0E0D">
        <w:rPr>
          <w:rFonts w:cs="Arial"/>
        </w:rPr>
        <w:t xml:space="preserve"> </w:t>
      </w:r>
      <w:r w:rsidR="004B2F86" w:rsidRPr="004B2F86">
        <w:rPr>
          <w:rFonts w:cs="Arial"/>
        </w:rPr>
        <w:t xml:space="preserve">commenced in 2014 and is scheduled for completion in </w:t>
      </w:r>
      <w:r w:rsidR="00F52CFE">
        <w:rPr>
          <w:rFonts w:cs="Arial"/>
        </w:rPr>
        <w:t>October 2023</w:t>
      </w:r>
      <w:r w:rsidR="00C35946">
        <w:rPr>
          <w:rFonts w:cs="Arial"/>
        </w:rPr>
        <w:t xml:space="preserve"> </w:t>
      </w:r>
      <w:r w:rsidR="00133940">
        <w:rPr>
          <w:rFonts w:cs="Arial"/>
        </w:rPr>
        <w:t>(</w:t>
      </w:r>
      <w:r w:rsidR="00BB4D8A">
        <w:rPr>
          <w:rFonts w:cs="Arial"/>
        </w:rPr>
        <w:t xml:space="preserve">note, </w:t>
      </w:r>
      <w:r w:rsidR="00D51198">
        <w:rPr>
          <w:rFonts w:cs="Arial"/>
        </w:rPr>
        <w:t>TSSP2 was extended</w:t>
      </w:r>
      <w:r w:rsidR="00133940">
        <w:rPr>
          <w:rFonts w:cs="Arial"/>
        </w:rPr>
        <w:t xml:space="preserve"> after an open tender process </w:t>
      </w:r>
      <w:r w:rsidR="00DF0FB5">
        <w:rPr>
          <w:rFonts w:cs="Arial"/>
        </w:rPr>
        <w:t>in March 2022</w:t>
      </w:r>
      <w:r w:rsidR="00D51198">
        <w:rPr>
          <w:rFonts w:cs="Arial"/>
        </w:rPr>
        <w:t>)</w:t>
      </w:r>
      <w:r w:rsidR="009C4CB0">
        <w:rPr>
          <w:rFonts w:cs="Arial"/>
        </w:rPr>
        <w:t xml:space="preserve">. </w:t>
      </w:r>
      <w:bookmarkEnd w:id="24"/>
      <w:r w:rsidR="00BE798B" w:rsidRPr="00093691">
        <w:rPr>
          <w:rFonts w:cs="Arial"/>
        </w:rPr>
        <w:t xml:space="preserve">TSSP2's overarching objective is “a safer, more reliable transport system in place enabling economic and social development for Papua New Guinea”. To support this, TSSP2 activities are organised around the following </w:t>
      </w:r>
      <w:r w:rsidR="00281126">
        <w:rPr>
          <w:rFonts w:cs="Arial"/>
        </w:rPr>
        <w:t>E</w:t>
      </w:r>
      <w:r w:rsidR="00BE798B" w:rsidRPr="00093691">
        <w:rPr>
          <w:rFonts w:cs="Arial"/>
        </w:rPr>
        <w:t xml:space="preserve">nd of </w:t>
      </w:r>
      <w:r w:rsidR="00281126">
        <w:rPr>
          <w:rFonts w:cs="Arial"/>
        </w:rPr>
        <w:t>P</w:t>
      </w:r>
      <w:r w:rsidR="00BE798B" w:rsidRPr="00093691">
        <w:rPr>
          <w:rFonts w:cs="Arial"/>
        </w:rPr>
        <w:t xml:space="preserve">rogram </w:t>
      </w:r>
      <w:r w:rsidR="00281126">
        <w:rPr>
          <w:rFonts w:cs="Arial"/>
        </w:rPr>
        <w:t>O</w:t>
      </w:r>
      <w:r w:rsidR="00BE798B" w:rsidRPr="00093691">
        <w:rPr>
          <w:rFonts w:cs="Arial"/>
        </w:rPr>
        <w:t xml:space="preserve">utcomes (EOPOs): </w:t>
      </w:r>
    </w:p>
    <w:tbl>
      <w:tblPr>
        <w:tblStyle w:val="TableGrid"/>
        <w:tblW w:w="949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top w:w="57" w:type="dxa"/>
          <w:bottom w:w="57" w:type="dxa"/>
        </w:tblCellMar>
        <w:tblLook w:val="04A0" w:firstRow="1" w:lastRow="0" w:firstColumn="1" w:lastColumn="0" w:noHBand="0" w:noVBand="1"/>
      </w:tblPr>
      <w:tblGrid>
        <w:gridCol w:w="9498"/>
      </w:tblGrid>
      <w:tr w:rsidR="00FF55A3" w:rsidRPr="00F14F02" w14:paraId="57A65A77" w14:textId="77777777" w:rsidTr="00827A8C">
        <w:trPr>
          <w:trHeight w:val="13"/>
        </w:trPr>
        <w:tc>
          <w:tcPr>
            <w:tcW w:w="9498" w:type="dxa"/>
            <w:shd w:val="clear" w:color="auto" w:fill="auto"/>
          </w:tcPr>
          <w:p w14:paraId="54253DC7" w14:textId="77777777" w:rsidR="00FF55A3" w:rsidRPr="00CA24BD" w:rsidRDefault="00FF55A3" w:rsidP="00FF55A3">
            <w:pPr>
              <w:pStyle w:val="BodyCopy"/>
              <w:spacing w:before="60" w:after="60"/>
              <w:ind w:left="133"/>
              <w:rPr>
                <w:rFonts w:ascii="Franklin Gothic Demi" w:hAnsi="Franklin Gothic Demi" w:cs="Arial"/>
                <w:color w:val="4C7B9E" w:themeColor="accent2"/>
                <w:lang w:val="en-AU"/>
              </w:rPr>
            </w:pPr>
            <w:r w:rsidRPr="00CA24BD">
              <w:rPr>
                <w:rFonts w:ascii="Franklin Gothic Demi" w:hAnsi="Franklin Gothic Demi" w:cs="Arial"/>
                <w:color w:val="4C7B9E" w:themeColor="accent2"/>
                <w:lang w:val="en-AU"/>
              </w:rPr>
              <w:t>EOPO 1: GoPNG transport agencies have a clear mandate, and are effective and functional</w:t>
            </w:r>
          </w:p>
          <w:p w14:paraId="33BFDECC" w14:textId="77777777" w:rsidR="00FF55A3" w:rsidRPr="00CA24BD" w:rsidRDefault="00FF55A3" w:rsidP="00FF55A3">
            <w:pPr>
              <w:pStyle w:val="BodyCopy"/>
              <w:spacing w:before="60" w:after="60"/>
              <w:ind w:left="133"/>
              <w:rPr>
                <w:rFonts w:ascii="Franklin Gothic Demi" w:hAnsi="Franklin Gothic Demi" w:cs="Arial"/>
                <w:color w:val="AD6500" w:themeColor="accent3"/>
                <w:lang w:val="en-AU"/>
              </w:rPr>
            </w:pPr>
            <w:r w:rsidRPr="00CA24BD">
              <w:rPr>
                <w:rFonts w:ascii="Franklin Gothic Demi" w:hAnsi="Franklin Gothic Demi" w:cs="Arial"/>
                <w:color w:val="AD6500" w:themeColor="accent3"/>
                <w:lang w:val="en-AU"/>
              </w:rPr>
              <w:t>EOPO 2: GoPNG delivers a planned and prioritised road maintenance program</w:t>
            </w:r>
          </w:p>
          <w:p w14:paraId="62D31A57" w14:textId="77777777" w:rsidR="00FF55A3" w:rsidRPr="00F14F02" w:rsidRDefault="00FF55A3" w:rsidP="00FF55A3">
            <w:pPr>
              <w:pStyle w:val="BodyCopy"/>
              <w:spacing w:before="60" w:after="60"/>
              <w:ind w:left="133" w:right="-156"/>
              <w:rPr>
                <w:rFonts w:asciiTheme="minorHAnsi" w:hAnsiTheme="minorHAnsi" w:cs="Arial"/>
                <w:lang w:val="en-AU"/>
              </w:rPr>
            </w:pPr>
            <w:r w:rsidRPr="00CA24BD">
              <w:rPr>
                <w:rFonts w:ascii="Franklin Gothic Demi" w:hAnsi="Franklin Gothic Demi" w:cs="Arial"/>
                <w:color w:val="597C31" w:themeColor="accent4"/>
                <w:lang w:val="en-AU"/>
              </w:rPr>
              <w:t>EOPO 3: GoPNG aviation and maritime agencies deliver improved safety and security, and improved regulatory compliance</w:t>
            </w:r>
          </w:p>
        </w:tc>
      </w:tr>
    </w:tbl>
    <w:p w14:paraId="06EE256C" w14:textId="4D84E436" w:rsidR="009D1FE8" w:rsidRPr="000E3BFD" w:rsidRDefault="009D1FE8" w:rsidP="000E3BFD">
      <w:pPr>
        <w:pStyle w:val="BodyText"/>
        <w:rPr>
          <w:rFonts w:cs="Arial"/>
        </w:rPr>
      </w:pPr>
      <w:r w:rsidRPr="00621C9E">
        <w:rPr>
          <w:rFonts w:cs="Arial"/>
        </w:rPr>
        <w:lastRenderedPageBreak/>
        <w:t xml:space="preserve">To support better implementation of the Program, the TSSP2 design suggested changes </w:t>
      </w:r>
      <w:r w:rsidR="00A220CC">
        <w:rPr>
          <w:rFonts w:cs="Arial"/>
        </w:rPr>
        <w:t xml:space="preserve">and minor deviations from </w:t>
      </w:r>
      <w:r w:rsidR="00E74CF7">
        <w:rPr>
          <w:rFonts w:cs="Arial"/>
        </w:rPr>
        <w:t>P</w:t>
      </w:r>
      <w:r w:rsidR="00A220CC">
        <w:rPr>
          <w:rFonts w:cs="Arial"/>
        </w:rPr>
        <w:t xml:space="preserve">hase 1 </w:t>
      </w:r>
      <w:r w:rsidRPr="00621C9E">
        <w:rPr>
          <w:rFonts w:cs="Arial"/>
        </w:rPr>
        <w:t xml:space="preserve">aimed at responding to the priorities and challenges at that time. The </w:t>
      </w:r>
      <w:r>
        <w:rPr>
          <w:rFonts w:cs="Arial"/>
        </w:rPr>
        <w:t xml:space="preserve">proposed </w:t>
      </w:r>
      <w:r w:rsidRPr="00621C9E">
        <w:rPr>
          <w:rFonts w:cs="Arial"/>
        </w:rPr>
        <w:t>changes</w:t>
      </w:r>
      <w:r w:rsidR="00671B13">
        <w:rPr>
          <w:rFonts w:cs="Arial"/>
        </w:rPr>
        <w:t xml:space="preserve"> </w:t>
      </w:r>
      <w:r w:rsidRPr="00621C9E">
        <w:rPr>
          <w:rFonts w:cs="Arial"/>
        </w:rPr>
        <w:t>emphasis</w:t>
      </w:r>
      <w:r>
        <w:rPr>
          <w:rFonts w:cs="Arial"/>
        </w:rPr>
        <w:t>ed</w:t>
      </w:r>
      <w:r w:rsidRPr="00621C9E">
        <w:rPr>
          <w:rFonts w:cs="Arial"/>
        </w:rPr>
        <w:t xml:space="preserve"> service delivery in addition to capacity building and organisation reform, </w:t>
      </w:r>
      <w:r w:rsidR="00E74CF7">
        <w:rPr>
          <w:rFonts w:cs="Arial"/>
        </w:rPr>
        <w:t xml:space="preserve">a </w:t>
      </w:r>
      <w:r w:rsidRPr="00621C9E">
        <w:rPr>
          <w:rFonts w:cs="Arial"/>
        </w:rPr>
        <w:t xml:space="preserve">focus on progressive and opportunistic engagements with agencies through defined agreements and strengthening and improving support to the transport sector to address service delivery bottlenecks. </w:t>
      </w:r>
      <w:r w:rsidR="00FC5EB8">
        <w:rPr>
          <w:rFonts w:cs="Arial"/>
        </w:rPr>
        <w:t>The provision of s</w:t>
      </w:r>
      <w:r w:rsidRPr="00621C9E">
        <w:rPr>
          <w:rFonts w:cs="Arial"/>
        </w:rPr>
        <w:t xml:space="preserve">upport to an enhanced role of the Transport Sector Coordination Monitoring and Implementation Committee (TSCMIC) and the inclusion of the Autonomous Bougainville Governments’ Division of Technical Services in the Program were also emphasised. </w:t>
      </w:r>
    </w:p>
    <w:p w14:paraId="3D6FE572" w14:textId="77777777" w:rsidR="00BE798B" w:rsidRPr="00093691" w:rsidRDefault="00BE798B" w:rsidP="00BB42AE">
      <w:pPr>
        <w:pStyle w:val="BodyText"/>
        <w:spacing w:before="80" w:after="80" w:line="244" w:lineRule="auto"/>
        <w:rPr>
          <w:rFonts w:cs="Arial"/>
          <w:szCs w:val="20"/>
        </w:rPr>
      </w:pPr>
      <w:r w:rsidRPr="00093691">
        <w:rPr>
          <w:rFonts w:cs="Arial"/>
        </w:rPr>
        <w:t xml:space="preserve">TSSP2 is delivered through three mechanisms: i) a managing contractor (GHD); ii) the Institutional Partnerships Program (IPP); and iii) a Transport Memorandum of Understanding (MoU) between PNG’s Department of Transport (DoT) and the Australian Government’s Department of Infrastructure, Transport, Regional Development and Communications (DITRDC). </w:t>
      </w:r>
    </w:p>
    <w:p w14:paraId="1BD4BE59" w14:textId="1D058ED9" w:rsidR="00BE798B" w:rsidRPr="00093691" w:rsidRDefault="00BE798B" w:rsidP="00BB42AE">
      <w:pPr>
        <w:pStyle w:val="BodyText"/>
        <w:spacing w:before="80" w:after="80"/>
        <w:rPr>
          <w:rFonts w:cs="Arial"/>
          <w:lang w:val="en-GB" w:eastAsia="en-GB"/>
        </w:rPr>
      </w:pPr>
      <w:r w:rsidRPr="00093691">
        <w:rPr>
          <w:rFonts w:cs="Arial"/>
          <w:lang w:val="en-GB" w:eastAsia="en-GB"/>
        </w:rPr>
        <w:t>Whil</w:t>
      </w:r>
      <w:r w:rsidR="00281126">
        <w:rPr>
          <w:rFonts w:cs="Arial"/>
          <w:lang w:val="en-GB" w:eastAsia="en-GB"/>
        </w:rPr>
        <w:t>e</w:t>
      </w:r>
      <w:r w:rsidRPr="00093691">
        <w:rPr>
          <w:rFonts w:cs="Arial"/>
          <w:lang w:val="en-GB" w:eastAsia="en-GB"/>
        </w:rPr>
        <w:t xml:space="preserve"> PNG’s road network consists of approximately 30,000 km of sealed and unsealed road, only </w:t>
      </w:r>
      <w:r w:rsidRPr="00B52DC3">
        <w:rPr>
          <w:rFonts w:cs="Arial"/>
          <w:lang w:val="en-GB" w:eastAsia="en-GB"/>
        </w:rPr>
        <w:t>8,738</w:t>
      </w:r>
      <w:r w:rsidRPr="00093691">
        <w:rPr>
          <w:rFonts w:cs="Arial"/>
          <w:lang w:val="en-GB" w:eastAsia="en-GB"/>
        </w:rPr>
        <w:t xml:space="preserve"> km are considered part of the national road network and the responsibility of PNG’s National Government. These national roads are often referred to as 16 ‘national priority’ roads, which form the economic backbone of the local economy and provide the greatest economic and social benefit to the greatest number of people</w:t>
      </w:r>
      <w:r w:rsidR="00C67AD8">
        <w:rPr>
          <w:rFonts w:cs="Arial"/>
          <w:lang w:val="en-GB" w:eastAsia="en-GB"/>
        </w:rPr>
        <w:t>.</w:t>
      </w:r>
      <w:r w:rsidR="00D7050C">
        <w:rPr>
          <w:rFonts w:cs="Arial"/>
          <w:lang w:val="en-GB" w:eastAsia="en-GB"/>
        </w:rPr>
        <w:t xml:space="preserve"> </w:t>
      </w:r>
    </w:p>
    <w:p w14:paraId="4B970C96" w14:textId="40DE9825" w:rsidR="00BE798B" w:rsidRPr="00093691" w:rsidRDefault="00BE798B" w:rsidP="00BB42AE">
      <w:pPr>
        <w:pStyle w:val="BodyText"/>
        <w:spacing w:before="80" w:after="80"/>
        <w:rPr>
          <w:rFonts w:cs="Arial"/>
        </w:rPr>
      </w:pPr>
      <w:r w:rsidRPr="00093691">
        <w:rPr>
          <w:rFonts w:cs="Arial"/>
        </w:rPr>
        <w:t>Unfortunately,</w:t>
      </w:r>
      <w:r w:rsidR="006A4523">
        <w:rPr>
          <w:rFonts w:cs="Arial"/>
        </w:rPr>
        <w:t xml:space="preserve"> </w:t>
      </w:r>
      <w:r w:rsidRPr="00093691">
        <w:rPr>
          <w:rFonts w:cs="Arial"/>
        </w:rPr>
        <w:t>due to a combination of enduring funding constraints, geological and environmental factors, and limited local capacity</w:t>
      </w:r>
      <w:r w:rsidR="00A12FC3">
        <w:rPr>
          <w:rFonts w:cs="Arial"/>
        </w:rPr>
        <w:t>,</w:t>
      </w:r>
      <w:r w:rsidRPr="00093691">
        <w:rPr>
          <w:rFonts w:cs="Arial"/>
        </w:rPr>
        <w:t xml:space="preserve"> the road system in PNG is poorly maintained. </w:t>
      </w:r>
      <w:r w:rsidRPr="00093691">
        <w:rPr>
          <w:rFonts w:cs="Arial"/>
          <w:lang w:val="en-GB"/>
        </w:rPr>
        <w:t>Data from a TSSP2</w:t>
      </w:r>
      <w:r w:rsidR="003E683C">
        <w:rPr>
          <w:rFonts w:cs="Arial"/>
          <w:lang w:val="en-GB"/>
        </w:rPr>
        <w:t>-</w:t>
      </w:r>
      <w:r w:rsidRPr="00093691">
        <w:rPr>
          <w:rFonts w:cs="Arial"/>
          <w:lang w:val="en-GB"/>
        </w:rPr>
        <w:t>funded survey of road conditions in 2014 show</w:t>
      </w:r>
      <w:r w:rsidR="003E683C">
        <w:rPr>
          <w:rFonts w:cs="Arial"/>
          <w:lang w:val="en-GB"/>
        </w:rPr>
        <w:t>ed</w:t>
      </w:r>
      <w:r w:rsidRPr="00093691">
        <w:rPr>
          <w:rFonts w:cs="Arial"/>
          <w:lang w:val="en-GB"/>
        </w:rPr>
        <w:t xml:space="preserve"> that </w:t>
      </w:r>
      <w:r w:rsidR="003E683C">
        <w:rPr>
          <w:rFonts w:cs="Arial"/>
          <w:lang w:val="en-GB"/>
        </w:rPr>
        <w:t>only</w:t>
      </w:r>
      <w:r w:rsidRPr="00093691">
        <w:rPr>
          <w:rFonts w:cs="Arial"/>
          <w:lang w:val="en-GB"/>
        </w:rPr>
        <w:t xml:space="preserve"> 15 per cent of national priority roads are in good condition, and almost 67</w:t>
      </w:r>
      <w:r w:rsidR="000A12E9">
        <w:rPr>
          <w:rFonts w:cs="Arial"/>
          <w:lang w:val="en-GB"/>
        </w:rPr>
        <w:t xml:space="preserve"> </w:t>
      </w:r>
      <w:r w:rsidRPr="00093691">
        <w:rPr>
          <w:rFonts w:cs="Arial"/>
          <w:lang w:val="en-GB"/>
        </w:rPr>
        <w:t>per</w:t>
      </w:r>
      <w:r w:rsidR="000A12E9">
        <w:rPr>
          <w:rFonts w:cs="Arial"/>
          <w:lang w:val="en-GB"/>
        </w:rPr>
        <w:t xml:space="preserve"> </w:t>
      </w:r>
      <w:r w:rsidRPr="00093691">
        <w:rPr>
          <w:rFonts w:cs="Arial"/>
          <w:lang w:val="en-GB"/>
        </w:rPr>
        <w:t>cent are in very poor condition, with other national roads in a similar condition</w:t>
      </w:r>
      <w:r w:rsidR="00241BD0">
        <w:rPr>
          <w:rFonts w:cs="Arial"/>
          <w:lang w:val="en-GB"/>
        </w:rPr>
        <w:t>.</w:t>
      </w:r>
      <w:r w:rsidR="00241BD0">
        <w:rPr>
          <w:rStyle w:val="FootnoteReference"/>
          <w:rFonts w:cs="Arial"/>
          <w:lang w:val="en-GB"/>
        </w:rPr>
        <w:footnoteReference w:id="2"/>
      </w:r>
      <w:r w:rsidR="00241BD0">
        <w:rPr>
          <w:rFonts w:cs="Arial"/>
          <w:lang w:val="en-GB"/>
        </w:rPr>
        <w:t xml:space="preserve"> </w:t>
      </w:r>
      <w:r w:rsidR="000A12E9">
        <w:rPr>
          <w:rFonts w:cs="Arial"/>
        </w:rPr>
        <w:t>F</w:t>
      </w:r>
      <w:r w:rsidRPr="00093691">
        <w:rPr>
          <w:rFonts w:cs="Arial"/>
        </w:rPr>
        <w:t xml:space="preserve">unding </w:t>
      </w:r>
      <w:r w:rsidR="00AB3DC6">
        <w:rPr>
          <w:rFonts w:cs="Arial"/>
        </w:rPr>
        <w:t>constraints</w:t>
      </w:r>
      <w:r w:rsidR="00AB3DC6" w:rsidRPr="00093691">
        <w:rPr>
          <w:rFonts w:cs="Arial"/>
        </w:rPr>
        <w:t xml:space="preserve"> </w:t>
      </w:r>
      <w:r w:rsidRPr="00093691">
        <w:rPr>
          <w:rFonts w:cs="Arial"/>
        </w:rPr>
        <w:t xml:space="preserve">have also reduced the length of </w:t>
      </w:r>
      <w:r w:rsidR="00DC5DB7">
        <w:rPr>
          <w:rFonts w:cs="Arial"/>
        </w:rPr>
        <w:t>roads</w:t>
      </w:r>
      <w:r w:rsidR="00DC5DB7" w:rsidRPr="00093691">
        <w:rPr>
          <w:rFonts w:cs="Arial"/>
        </w:rPr>
        <w:t xml:space="preserve"> </w:t>
      </w:r>
      <w:r w:rsidRPr="00093691">
        <w:rPr>
          <w:rFonts w:cs="Arial"/>
        </w:rPr>
        <w:t>proposed for maintenance</w:t>
      </w:r>
      <w:r w:rsidR="00B441A1">
        <w:rPr>
          <w:rFonts w:cs="Arial"/>
        </w:rPr>
        <w:t>.</w:t>
      </w:r>
      <w:r w:rsidRPr="00093691">
        <w:rPr>
          <w:rFonts w:cs="Arial"/>
        </w:rPr>
        <w:t xml:space="preserve"> </w:t>
      </w:r>
      <w:r w:rsidR="00811EFA">
        <w:rPr>
          <w:rFonts w:cs="Arial"/>
        </w:rPr>
        <w:t xml:space="preserve">Of the </w:t>
      </w:r>
      <w:r w:rsidRPr="00093691">
        <w:rPr>
          <w:rFonts w:cs="Arial"/>
        </w:rPr>
        <w:t>8,738</w:t>
      </w:r>
      <w:r w:rsidR="00AB3DC6">
        <w:rPr>
          <w:rFonts w:cs="Arial"/>
        </w:rPr>
        <w:t xml:space="preserve"> </w:t>
      </w:r>
      <w:r w:rsidRPr="00093691">
        <w:rPr>
          <w:rFonts w:cs="Arial"/>
        </w:rPr>
        <w:t>km national network</w:t>
      </w:r>
      <w:r w:rsidR="00811EFA">
        <w:rPr>
          <w:rFonts w:cs="Arial"/>
        </w:rPr>
        <w:t>,</w:t>
      </w:r>
      <w:r w:rsidRPr="00093691">
        <w:rPr>
          <w:rFonts w:cs="Arial"/>
        </w:rPr>
        <w:t xml:space="preserve"> 4,256</w:t>
      </w:r>
      <w:r w:rsidR="00AB3DC6">
        <w:rPr>
          <w:rFonts w:cs="Arial"/>
        </w:rPr>
        <w:t xml:space="preserve"> </w:t>
      </w:r>
      <w:r w:rsidRPr="00093691">
        <w:rPr>
          <w:rFonts w:cs="Arial"/>
        </w:rPr>
        <w:t xml:space="preserve">km </w:t>
      </w:r>
      <w:r w:rsidR="008C18C2">
        <w:rPr>
          <w:rFonts w:cs="Arial"/>
        </w:rPr>
        <w:t xml:space="preserve">is considered </w:t>
      </w:r>
      <w:r w:rsidRPr="00093691">
        <w:rPr>
          <w:rFonts w:cs="Arial"/>
        </w:rPr>
        <w:t>“priority” network</w:t>
      </w:r>
      <w:r w:rsidR="00886739">
        <w:rPr>
          <w:rFonts w:cs="Arial"/>
        </w:rPr>
        <w:t xml:space="preserve"> and only</w:t>
      </w:r>
      <w:r w:rsidRPr="00093691">
        <w:rPr>
          <w:rFonts w:cs="Arial"/>
        </w:rPr>
        <w:t xml:space="preserve"> 2,309</w:t>
      </w:r>
      <w:r w:rsidR="00AB3DC6">
        <w:rPr>
          <w:rFonts w:cs="Arial"/>
        </w:rPr>
        <w:t xml:space="preserve"> </w:t>
      </w:r>
      <w:r w:rsidRPr="00093691">
        <w:rPr>
          <w:rFonts w:cs="Arial"/>
        </w:rPr>
        <w:t xml:space="preserve">km </w:t>
      </w:r>
      <w:r w:rsidR="002B403F">
        <w:rPr>
          <w:rFonts w:cs="Arial"/>
        </w:rPr>
        <w:t xml:space="preserve">is considered </w:t>
      </w:r>
      <w:r w:rsidRPr="00093691">
        <w:rPr>
          <w:rFonts w:cs="Arial"/>
        </w:rPr>
        <w:t xml:space="preserve">“priority core” sub-network </w:t>
      </w:r>
      <w:r w:rsidR="002B403F">
        <w:rPr>
          <w:rFonts w:cs="Arial"/>
        </w:rPr>
        <w:t xml:space="preserve">under the </w:t>
      </w:r>
      <w:r w:rsidR="009B635C">
        <w:rPr>
          <w:rFonts w:cs="Arial"/>
        </w:rPr>
        <w:t>Department of Work</w:t>
      </w:r>
      <w:r w:rsidR="009B635C" w:rsidRPr="00AB361A">
        <w:rPr>
          <w:rFonts w:cs="Arial"/>
        </w:rPr>
        <w:t>’s</w:t>
      </w:r>
      <w:r w:rsidR="009B635C" w:rsidRPr="00093691">
        <w:rPr>
          <w:rFonts w:cs="Arial"/>
        </w:rPr>
        <w:t xml:space="preserve"> </w:t>
      </w:r>
      <w:r w:rsidRPr="00093691">
        <w:rPr>
          <w:rFonts w:cs="Arial"/>
        </w:rPr>
        <w:t>National Road Network Strategy (NRNS)</w:t>
      </w:r>
      <w:r w:rsidR="00D31FCD">
        <w:rPr>
          <w:rFonts w:cs="Arial"/>
        </w:rPr>
        <w:t>, which was</w:t>
      </w:r>
      <w:r w:rsidRPr="00093691">
        <w:rPr>
          <w:rFonts w:cs="Arial"/>
        </w:rPr>
        <w:t xml:space="preserve"> prepared with the assistance of TSSP</w:t>
      </w:r>
      <w:r w:rsidR="00326C2D">
        <w:rPr>
          <w:rFonts w:cs="Arial"/>
        </w:rPr>
        <w:t>2</w:t>
      </w:r>
      <w:r w:rsidRPr="00093691">
        <w:rPr>
          <w:rFonts w:cs="Arial"/>
        </w:rPr>
        <w:t xml:space="preserve"> in September 2017.</w:t>
      </w:r>
      <w:r w:rsidRPr="38CBD370">
        <w:rPr>
          <w:rFonts w:cs="Arial"/>
          <w:szCs w:val="20"/>
        </w:rPr>
        <w:t xml:space="preserve"> </w:t>
      </w:r>
    </w:p>
    <w:p w14:paraId="5238E941" w14:textId="1C26A401" w:rsidR="00817243" w:rsidRPr="00530B43" w:rsidRDefault="00530E74" w:rsidP="00530B43">
      <w:pPr>
        <w:pStyle w:val="Heading3"/>
      </w:pPr>
      <w:r w:rsidRPr="00530B43">
        <w:t>TSSP2</w:t>
      </w:r>
      <w:r w:rsidR="00663E09" w:rsidRPr="00530B43">
        <w:t>’s</w:t>
      </w:r>
      <w:r w:rsidRPr="00530B43">
        <w:t xml:space="preserve"> </w:t>
      </w:r>
      <w:r w:rsidR="00B74DE3" w:rsidRPr="00530B43">
        <w:t xml:space="preserve">activities and </w:t>
      </w:r>
      <w:r w:rsidR="00601384" w:rsidRPr="00530B43">
        <w:t>expenditure landscape</w:t>
      </w:r>
    </w:p>
    <w:p w14:paraId="1E3DD5EB" w14:textId="21015305" w:rsidR="00D7050C" w:rsidRDefault="00663E09" w:rsidP="00A54D2E">
      <w:pPr>
        <w:pStyle w:val="BodyText"/>
        <w:rPr>
          <w:rFonts w:cs="Arial"/>
        </w:rPr>
      </w:pPr>
      <w:r w:rsidRPr="00241BD0">
        <w:rPr>
          <w:rFonts w:cs="Arial"/>
        </w:rPr>
        <w:t>TSSP2</w:t>
      </w:r>
      <w:r>
        <w:rPr>
          <w:rFonts w:cs="Arial"/>
        </w:rPr>
        <w:t xml:space="preserve">’s activities are largely focused on road maintenance activities </w:t>
      </w:r>
      <w:r w:rsidR="00EA1CEB">
        <w:rPr>
          <w:rFonts w:cs="Arial"/>
        </w:rPr>
        <w:t>for</w:t>
      </w:r>
      <w:r>
        <w:rPr>
          <w:rFonts w:cs="Arial"/>
        </w:rPr>
        <w:t xml:space="preserve"> the </w:t>
      </w:r>
      <w:r w:rsidR="00FD77C4">
        <w:rPr>
          <w:rFonts w:cs="Arial"/>
        </w:rPr>
        <w:t xml:space="preserve">national </w:t>
      </w:r>
      <w:r>
        <w:rPr>
          <w:rFonts w:cs="Arial"/>
        </w:rPr>
        <w:t xml:space="preserve">priority </w:t>
      </w:r>
      <w:r w:rsidR="00390BCE">
        <w:rPr>
          <w:rFonts w:cs="Arial"/>
        </w:rPr>
        <w:t>roads</w:t>
      </w:r>
      <w:r w:rsidR="0024017E">
        <w:rPr>
          <w:rFonts w:cs="Arial"/>
        </w:rPr>
        <w:t>.</w:t>
      </w:r>
      <w:r w:rsidR="00EA1CEB">
        <w:rPr>
          <w:rStyle w:val="FootnoteReference"/>
          <w:rFonts w:cs="Arial"/>
        </w:rPr>
        <w:footnoteReference w:id="3"/>
      </w:r>
      <w:r w:rsidR="00EA1CEB">
        <w:rPr>
          <w:rFonts w:cs="Arial"/>
        </w:rPr>
        <w:t xml:space="preserve"> </w:t>
      </w:r>
      <w:r w:rsidR="002E0D81">
        <w:rPr>
          <w:rFonts w:cs="Arial"/>
        </w:rPr>
        <w:t>These activities</w:t>
      </w:r>
      <w:r w:rsidR="00B74DE3" w:rsidRPr="00B74DE3">
        <w:rPr>
          <w:rFonts w:cs="Arial"/>
        </w:rPr>
        <w:t xml:space="preserve"> </w:t>
      </w:r>
      <w:r w:rsidR="00B74DE3">
        <w:rPr>
          <w:rFonts w:cs="Arial"/>
        </w:rPr>
        <w:t xml:space="preserve">are financed through grant </w:t>
      </w:r>
      <w:r w:rsidR="00B74DE3" w:rsidRPr="00241BD0">
        <w:rPr>
          <w:rFonts w:cs="Arial"/>
        </w:rPr>
        <w:t>funding</w:t>
      </w:r>
      <w:r w:rsidR="00B74DE3">
        <w:rPr>
          <w:rFonts w:cs="Arial"/>
        </w:rPr>
        <w:t xml:space="preserve"> provided by DFAT</w:t>
      </w:r>
      <w:r w:rsidR="00EA1CEB">
        <w:rPr>
          <w:rFonts w:cs="Arial"/>
        </w:rPr>
        <w:t>.</w:t>
      </w:r>
      <w:r>
        <w:rPr>
          <w:rFonts w:cs="Arial"/>
        </w:rPr>
        <w:t xml:space="preserve"> Although TSSP2 funds a significant proportion of the annual budget that finances </w:t>
      </w:r>
      <w:r w:rsidR="003230C8">
        <w:rPr>
          <w:rFonts w:cs="Arial"/>
        </w:rPr>
        <w:t>road</w:t>
      </w:r>
      <w:r>
        <w:rPr>
          <w:rFonts w:cs="Arial"/>
        </w:rPr>
        <w:t xml:space="preserve"> maintenance, </w:t>
      </w:r>
      <w:r w:rsidR="002E0D81">
        <w:rPr>
          <w:rFonts w:cs="Arial"/>
        </w:rPr>
        <w:t xml:space="preserve">TSSP </w:t>
      </w:r>
      <w:r w:rsidR="000A73CC">
        <w:rPr>
          <w:rFonts w:cs="Arial"/>
        </w:rPr>
        <w:t>funding</w:t>
      </w:r>
      <w:r w:rsidR="00B2467A">
        <w:rPr>
          <w:rFonts w:cs="Arial"/>
        </w:rPr>
        <w:t xml:space="preserve"> represents only</w:t>
      </w:r>
      <w:r w:rsidRPr="00241BD0">
        <w:rPr>
          <w:rFonts w:cs="Arial"/>
        </w:rPr>
        <w:t xml:space="preserve"> a </w:t>
      </w:r>
      <w:r w:rsidR="00B2467A">
        <w:rPr>
          <w:rFonts w:cs="Arial"/>
        </w:rPr>
        <w:t>small portion of</w:t>
      </w:r>
      <w:r w:rsidRPr="00241BD0">
        <w:rPr>
          <w:rFonts w:cs="Arial"/>
        </w:rPr>
        <w:t xml:space="preserve"> overall </w:t>
      </w:r>
      <w:r>
        <w:rPr>
          <w:rFonts w:cs="Arial"/>
        </w:rPr>
        <w:t xml:space="preserve">funding for the land transport network and an even smaller </w:t>
      </w:r>
      <w:r w:rsidR="003A00C0">
        <w:rPr>
          <w:rFonts w:cs="Arial"/>
        </w:rPr>
        <w:t>propo</w:t>
      </w:r>
      <w:r w:rsidR="00FC7864">
        <w:rPr>
          <w:rFonts w:cs="Arial"/>
        </w:rPr>
        <w:t>r</w:t>
      </w:r>
      <w:r w:rsidR="003A00C0">
        <w:rPr>
          <w:rFonts w:cs="Arial"/>
        </w:rPr>
        <w:t>tion</w:t>
      </w:r>
      <w:r>
        <w:rPr>
          <w:rFonts w:cs="Arial"/>
        </w:rPr>
        <w:t xml:space="preserve"> of financing for </w:t>
      </w:r>
      <w:r w:rsidR="52414114" w:rsidRPr="6DE04F2B">
        <w:rPr>
          <w:rFonts w:cs="Arial"/>
        </w:rPr>
        <w:t>aviation and maritime</w:t>
      </w:r>
      <w:r>
        <w:rPr>
          <w:rFonts w:cs="Arial"/>
        </w:rPr>
        <w:t xml:space="preserve"> transport sectors</w:t>
      </w:r>
      <w:r w:rsidRPr="00241BD0">
        <w:rPr>
          <w:rFonts w:cs="Arial"/>
        </w:rPr>
        <w:t>.</w:t>
      </w:r>
      <w:r>
        <w:rPr>
          <w:rFonts w:cs="Arial"/>
        </w:rPr>
        <w:t xml:space="preserve"> W</w:t>
      </w:r>
      <w:r w:rsidRPr="00750F3C">
        <w:rPr>
          <w:rFonts w:cs="Arial"/>
        </w:rPr>
        <w:t xml:space="preserve">hile </w:t>
      </w:r>
      <w:r>
        <w:rPr>
          <w:rFonts w:cs="Arial"/>
        </w:rPr>
        <w:t>GoPNG</w:t>
      </w:r>
      <w:r w:rsidRPr="00750F3C">
        <w:rPr>
          <w:rFonts w:cs="Arial"/>
        </w:rPr>
        <w:t xml:space="preserve"> has succeeded in partnering with </w:t>
      </w:r>
      <w:r>
        <w:rPr>
          <w:rFonts w:cs="Arial"/>
        </w:rPr>
        <w:t xml:space="preserve">donors and </w:t>
      </w:r>
      <w:r w:rsidRPr="00750F3C">
        <w:rPr>
          <w:rFonts w:cs="Arial"/>
        </w:rPr>
        <w:t xml:space="preserve">the </w:t>
      </w:r>
      <w:r w:rsidR="00734D42">
        <w:rPr>
          <w:rFonts w:cs="Arial"/>
        </w:rPr>
        <w:t xml:space="preserve">other </w:t>
      </w:r>
      <w:r w:rsidR="009B15A5">
        <w:rPr>
          <w:rFonts w:cs="Arial"/>
        </w:rPr>
        <w:t>Multilateral Banks</w:t>
      </w:r>
      <w:r w:rsidR="001366D3">
        <w:rPr>
          <w:rFonts w:cs="Arial"/>
        </w:rPr>
        <w:t xml:space="preserve"> (MLBs)</w:t>
      </w:r>
      <w:r w:rsidRPr="00750F3C">
        <w:rPr>
          <w:rFonts w:cs="Arial"/>
        </w:rPr>
        <w:t xml:space="preserve"> to develop </w:t>
      </w:r>
      <w:r w:rsidR="009B15A5">
        <w:rPr>
          <w:rFonts w:cs="Arial"/>
        </w:rPr>
        <w:t xml:space="preserve">new road, </w:t>
      </w:r>
      <w:r w:rsidRPr="00750F3C">
        <w:rPr>
          <w:rFonts w:cs="Arial"/>
        </w:rPr>
        <w:t xml:space="preserve">port </w:t>
      </w:r>
      <w:r>
        <w:rPr>
          <w:rFonts w:cs="Arial"/>
        </w:rPr>
        <w:t xml:space="preserve">and aviation </w:t>
      </w:r>
      <w:r w:rsidRPr="00750F3C">
        <w:rPr>
          <w:rFonts w:cs="Arial"/>
        </w:rPr>
        <w:t>infrastructure</w:t>
      </w:r>
      <w:r w:rsidR="00693470">
        <w:rPr>
          <w:rFonts w:cs="Arial"/>
        </w:rPr>
        <w:t>,</w:t>
      </w:r>
      <w:r w:rsidRPr="00750F3C">
        <w:rPr>
          <w:rFonts w:cs="Arial"/>
        </w:rPr>
        <w:t xml:space="preserve"> it has</w:t>
      </w:r>
      <w:r>
        <w:rPr>
          <w:rFonts w:cs="Arial"/>
        </w:rPr>
        <w:t xml:space="preserve"> limited </w:t>
      </w:r>
      <w:r w:rsidRPr="00750F3C">
        <w:rPr>
          <w:rFonts w:cs="Arial"/>
        </w:rPr>
        <w:t>financing alternatives for road infrastructure</w:t>
      </w:r>
      <w:r w:rsidR="00D7050C">
        <w:rPr>
          <w:rFonts w:cs="Arial"/>
        </w:rPr>
        <w:t xml:space="preserve"> </w:t>
      </w:r>
      <w:r w:rsidR="00F32035" w:rsidRPr="00F32035">
        <w:rPr>
          <w:rFonts w:cs="Arial"/>
        </w:rPr>
        <w:t>maintenance activities and is largely reliant on a combination of DFAT grant funding and GoPNG expenditure</w:t>
      </w:r>
      <w:r w:rsidR="00F32035">
        <w:rPr>
          <w:rFonts w:cs="Arial"/>
        </w:rPr>
        <w:t>.</w:t>
      </w:r>
    </w:p>
    <w:p w14:paraId="2535671C" w14:textId="2BAA1543" w:rsidR="00A54D2E" w:rsidRPr="00817243" w:rsidRDefault="00A54D2E" w:rsidP="00A54D2E">
      <w:pPr>
        <w:pStyle w:val="BodyText"/>
        <w:rPr>
          <w:rFonts w:cs="Arial"/>
        </w:rPr>
      </w:pPr>
      <w:r w:rsidRPr="00B552CE">
        <w:rPr>
          <w:rFonts w:cs="Arial"/>
        </w:rPr>
        <w:t xml:space="preserve">Other sources of </w:t>
      </w:r>
      <w:r>
        <w:rPr>
          <w:rFonts w:cs="Arial"/>
        </w:rPr>
        <w:t xml:space="preserve">transport sector </w:t>
      </w:r>
      <w:r w:rsidRPr="00B552CE">
        <w:rPr>
          <w:rFonts w:cs="Arial"/>
        </w:rPr>
        <w:t xml:space="preserve">funding that have been directed to transport network development and maintenance </w:t>
      </w:r>
      <w:r>
        <w:rPr>
          <w:rFonts w:cs="Arial"/>
        </w:rPr>
        <w:t xml:space="preserve">in PNG </w:t>
      </w:r>
      <w:r w:rsidRPr="00B552CE">
        <w:rPr>
          <w:rFonts w:cs="Arial"/>
        </w:rPr>
        <w:t>since 2014 include</w:t>
      </w:r>
      <w:r>
        <w:rPr>
          <w:rFonts w:cs="Arial"/>
        </w:rPr>
        <w:t xml:space="preserve">: </w:t>
      </w:r>
      <w:r w:rsidRPr="00B552CE">
        <w:rPr>
          <w:rFonts w:cs="Arial"/>
        </w:rPr>
        <w:t>GoPNG National and Provincial</w:t>
      </w:r>
      <w:r>
        <w:rPr>
          <w:rFonts w:cs="Arial"/>
        </w:rPr>
        <w:t xml:space="preserve"> Governments</w:t>
      </w:r>
      <w:r w:rsidR="006A7D6A">
        <w:rPr>
          <w:rFonts w:cs="Arial"/>
        </w:rPr>
        <w:t>;</w:t>
      </w:r>
      <w:r>
        <w:rPr>
          <w:rFonts w:cs="Arial"/>
        </w:rPr>
        <w:t xml:space="preserve"> Indian Exim Bank</w:t>
      </w:r>
      <w:r w:rsidR="006A7D6A">
        <w:rPr>
          <w:rFonts w:cs="Arial"/>
        </w:rPr>
        <w:t>;</w:t>
      </w:r>
      <w:r>
        <w:rPr>
          <w:rFonts w:cs="Arial"/>
        </w:rPr>
        <w:t xml:space="preserve"> </w:t>
      </w:r>
      <w:r w:rsidRPr="00750F3C">
        <w:rPr>
          <w:rFonts w:cs="Arial"/>
        </w:rPr>
        <w:t>China Exim Ban</w:t>
      </w:r>
      <w:r>
        <w:rPr>
          <w:rFonts w:cs="Arial"/>
        </w:rPr>
        <w:t>k</w:t>
      </w:r>
      <w:r w:rsidR="006A7D6A">
        <w:rPr>
          <w:rFonts w:cs="Arial"/>
        </w:rPr>
        <w:t>;</w:t>
      </w:r>
      <w:r>
        <w:rPr>
          <w:rFonts w:cs="Arial"/>
        </w:rPr>
        <w:t xml:space="preserve"> and </w:t>
      </w:r>
      <w:r w:rsidR="00870AFE">
        <w:rPr>
          <w:rFonts w:cs="Arial"/>
        </w:rPr>
        <w:t>M</w:t>
      </w:r>
      <w:r w:rsidR="001366D3">
        <w:rPr>
          <w:rFonts w:cs="Arial"/>
        </w:rPr>
        <w:t>LBs</w:t>
      </w:r>
      <w:r w:rsidR="00D7050C">
        <w:rPr>
          <w:rFonts w:cs="Arial"/>
        </w:rPr>
        <w:t xml:space="preserve"> </w:t>
      </w:r>
      <w:r w:rsidRPr="00B552CE">
        <w:rPr>
          <w:rFonts w:cs="Arial"/>
        </w:rPr>
        <w:t>such as the World Bank and Asian Development Bank</w:t>
      </w:r>
      <w:r>
        <w:rPr>
          <w:rFonts w:cs="Arial"/>
        </w:rPr>
        <w:t xml:space="preserve">. Others include the </w:t>
      </w:r>
      <w:r w:rsidRPr="00B552CE">
        <w:rPr>
          <w:rFonts w:cs="Arial"/>
        </w:rPr>
        <w:t>PNG Sustainable Development Fund</w:t>
      </w:r>
      <w:r>
        <w:rPr>
          <w:rFonts w:cs="Arial"/>
        </w:rPr>
        <w:t xml:space="preserve"> and the Tax Credit Scheme funded by </w:t>
      </w:r>
      <w:r w:rsidRPr="00B552CE">
        <w:rPr>
          <w:rFonts w:cs="Arial"/>
        </w:rPr>
        <w:t>mining sector royalties.</w:t>
      </w:r>
      <w:r>
        <w:rPr>
          <w:rFonts w:cs="Arial"/>
        </w:rPr>
        <w:t xml:space="preserve"> Due to lack of access to financial data</w:t>
      </w:r>
      <w:r w:rsidR="00537B61">
        <w:rPr>
          <w:rFonts w:cs="Arial"/>
        </w:rPr>
        <w:t xml:space="preserve"> </w:t>
      </w:r>
      <w:r w:rsidR="00537B61" w:rsidRPr="00175FA9">
        <w:rPr>
          <w:rFonts w:cs="Arial"/>
        </w:rPr>
        <w:t xml:space="preserve">(see </w:t>
      </w:r>
      <w:r w:rsidR="00104F68">
        <w:rPr>
          <w:rFonts w:cs="Arial"/>
        </w:rPr>
        <w:t xml:space="preserve">Annex 1 </w:t>
      </w:r>
      <w:r w:rsidR="00D32B7D">
        <w:rPr>
          <w:rFonts w:cs="Arial"/>
        </w:rPr>
        <w:t>on l</w:t>
      </w:r>
      <w:r w:rsidR="00175FA9" w:rsidRPr="00175FA9">
        <w:rPr>
          <w:rFonts w:cs="Arial"/>
        </w:rPr>
        <w:t xml:space="preserve">imitations and </w:t>
      </w:r>
      <w:r w:rsidR="00D32B7D">
        <w:rPr>
          <w:rFonts w:cs="Arial"/>
        </w:rPr>
        <w:t>c</w:t>
      </w:r>
      <w:r w:rsidR="007D7AA5" w:rsidRPr="00175FA9">
        <w:rPr>
          <w:rFonts w:cs="Arial"/>
        </w:rPr>
        <w:t>hallenges</w:t>
      </w:r>
      <w:r w:rsidR="007D7AA5">
        <w:rPr>
          <w:rFonts w:cs="Arial"/>
        </w:rPr>
        <w:t>)</w:t>
      </w:r>
      <w:r>
        <w:rPr>
          <w:rFonts w:cs="Arial"/>
        </w:rPr>
        <w:t xml:space="preserve"> the Review was not able to assess the value of transport sector investments and in what sectors the other development partners are investing in PNG. </w:t>
      </w:r>
    </w:p>
    <w:p w14:paraId="4667FDA9" w14:textId="5240EF9E" w:rsidR="00530B43" w:rsidRPr="00717CBA" w:rsidRDefault="004B6475" w:rsidP="00BB42AE">
      <w:pPr>
        <w:pStyle w:val="BodyBullets"/>
        <w:numPr>
          <w:ilvl w:val="0"/>
          <w:numId w:val="0"/>
        </w:numPr>
        <w:rPr>
          <w:rFonts w:ascii="Franklin Gothic Book" w:hAnsi="Franklin Gothic Book" w:cs="Arial"/>
          <w:sz w:val="20"/>
          <w:szCs w:val="20"/>
        </w:rPr>
      </w:pPr>
      <w:r w:rsidRPr="00717CBA">
        <w:rPr>
          <w:rFonts w:ascii="Franklin Gothic Book" w:hAnsi="Franklin Gothic Book" w:cs="Arial"/>
          <w:sz w:val="20"/>
          <w:szCs w:val="20"/>
        </w:rPr>
        <w:t xml:space="preserve">Table 1 below </w:t>
      </w:r>
      <w:r w:rsidR="006124D1" w:rsidRPr="00717CBA">
        <w:rPr>
          <w:rFonts w:ascii="Franklin Gothic Book" w:hAnsi="Franklin Gothic Book" w:cs="Arial"/>
          <w:sz w:val="20"/>
          <w:szCs w:val="20"/>
        </w:rPr>
        <w:t xml:space="preserve">provides an account of </w:t>
      </w:r>
      <w:r w:rsidR="0019151A" w:rsidRPr="00717CBA">
        <w:rPr>
          <w:rFonts w:ascii="Franklin Gothic Book" w:hAnsi="Franklin Gothic Book" w:cs="Arial"/>
          <w:sz w:val="20"/>
          <w:szCs w:val="20"/>
        </w:rPr>
        <w:t>TSSP</w:t>
      </w:r>
      <w:r w:rsidR="00433FA0" w:rsidRPr="00717CBA">
        <w:rPr>
          <w:rFonts w:ascii="Franklin Gothic Book" w:hAnsi="Franklin Gothic Book" w:cs="Arial"/>
          <w:sz w:val="20"/>
          <w:szCs w:val="20"/>
        </w:rPr>
        <w:t>2</w:t>
      </w:r>
      <w:r w:rsidR="0019151A" w:rsidRPr="00717CBA">
        <w:rPr>
          <w:rFonts w:ascii="Franklin Gothic Book" w:hAnsi="Franklin Gothic Book" w:cs="Arial"/>
          <w:sz w:val="20"/>
          <w:szCs w:val="20"/>
        </w:rPr>
        <w:t xml:space="preserve">’s expenditure </w:t>
      </w:r>
      <w:r w:rsidR="006124D1" w:rsidRPr="00717CBA">
        <w:rPr>
          <w:rFonts w:ascii="Franklin Gothic Book" w:hAnsi="Franklin Gothic Book" w:cs="Arial"/>
          <w:sz w:val="20"/>
          <w:szCs w:val="20"/>
        </w:rPr>
        <w:t xml:space="preserve">from 2016 to 2020 </w:t>
      </w:r>
      <w:r w:rsidR="00AA072B" w:rsidRPr="00717CBA">
        <w:rPr>
          <w:rFonts w:ascii="Franklin Gothic Book" w:hAnsi="Franklin Gothic Book" w:cs="Arial"/>
          <w:sz w:val="20"/>
          <w:szCs w:val="20"/>
        </w:rPr>
        <w:t>according to the EOPOs</w:t>
      </w:r>
      <w:r w:rsidR="00433FA0" w:rsidRPr="00717CBA">
        <w:rPr>
          <w:rFonts w:ascii="Franklin Gothic Book" w:hAnsi="Franklin Gothic Book" w:cs="Arial"/>
          <w:sz w:val="20"/>
          <w:szCs w:val="20"/>
        </w:rPr>
        <w:t>.</w:t>
      </w:r>
      <w:r w:rsidR="00893EAF" w:rsidRPr="00717CBA">
        <w:rPr>
          <w:rFonts w:ascii="Franklin Gothic Book" w:hAnsi="Franklin Gothic Book" w:cs="Arial"/>
          <w:sz w:val="20"/>
          <w:szCs w:val="20"/>
        </w:rPr>
        <w:t xml:space="preserve"> The highest proportion of TSSP2’s expenditure over the four years was on Land Transport (road maintenance activities), averaging AUD50 million annually</w:t>
      </w:r>
      <w:r w:rsidR="006124D1" w:rsidRPr="00717CBA">
        <w:rPr>
          <w:rFonts w:ascii="Franklin Gothic Book" w:hAnsi="Franklin Gothic Book" w:cs="Arial"/>
          <w:sz w:val="20"/>
          <w:szCs w:val="20"/>
        </w:rPr>
        <w:t xml:space="preserve"> </w:t>
      </w:r>
      <w:r w:rsidR="00AA072B" w:rsidRPr="00717CBA">
        <w:rPr>
          <w:rFonts w:ascii="Franklin Gothic Book" w:hAnsi="Franklin Gothic Book" w:cs="Arial"/>
          <w:sz w:val="20"/>
          <w:szCs w:val="20"/>
        </w:rPr>
        <w:t xml:space="preserve">and </w:t>
      </w:r>
      <w:r w:rsidR="00893EAF" w:rsidRPr="00717CBA">
        <w:rPr>
          <w:rFonts w:ascii="Franklin Gothic Book" w:hAnsi="Franklin Gothic Book" w:cs="Arial"/>
          <w:sz w:val="20"/>
          <w:szCs w:val="20"/>
        </w:rPr>
        <w:t>AUD250 million in total</w:t>
      </w:r>
      <w:r w:rsidR="00F76281" w:rsidRPr="00717CBA">
        <w:rPr>
          <w:rFonts w:ascii="Franklin Gothic Book" w:hAnsi="Franklin Gothic Book" w:cs="Arial"/>
          <w:sz w:val="20"/>
          <w:szCs w:val="20"/>
        </w:rPr>
        <w:t xml:space="preserve"> representing a </w:t>
      </w:r>
      <w:r w:rsidR="00893EAF" w:rsidRPr="00717CBA">
        <w:rPr>
          <w:rFonts w:ascii="Franklin Gothic Book" w:hAnsi="Franklin Gothic Book" w:cs="Arial"/>
          <w:sz w:val="20"/>
          <w:szCs w:val="20"/>
        </w:rPr>
        <w:t>proportion of 70.9% and 82.5% of TSSP2’s total program value over this period</w:t>
      </w:r>
      <w:r w:rsidR="00F76281" w:rsidRPr="00717CBA">
        <w:rPr>
          <w:rFonts w:ascii="Franklin Gothic Book" w:hAnsi="Franklin Gothic Book" w:cs="Arial"/>
          <w:sz w:val="20"/>
          <w:szCs w:val="20"/>
        </w:rPr>
        <w:t xml:space="preserve">. This </w:t>
      </w:r>
      <w:r w:rsidR="00893EAF" w:rsidRPr="00717CBA">
        <w:rPr>
          <w:rFonts w:ascii="Franklin Gothic Book" w:hAnsi="Franklin Gothic Book" w:cs="Arial"/>
          <w:sz w:val="20"/>
          <w:szCs w:val="20"/>
        </w:rPr>
        <w:t>reflect</w:t>
      </w:r>
      <w:r w:rsidR="00F76281" w:rsidRPr="00717CBA">
        <w:rPr>
          <w:rFonts w:ascii="Franklin Gothic Book" w:hAnsi="Franklin Gothic Book" w:cs="Arial"/>
          <w:sz w:val="20"/>
          <w:szCs w:val="20"/>
        </w:rPr>
        <w:t>s</w:t>
      </w:r>
      <w:r w:rsidR="00893EAF" w:rsidRPr="00717CBA">
        <w:rPr>
          <w:rFonts w:ascii="Franklin Gothic Book" w:hAnsi="Franklin Gothic Book" w:cs="Arial"/>
          <w:sz w:val="20"/>
          <w:szCs w:val="20"/>
        </w:rPr>
        <w:t xml:space="preserve"> TSSP</w:t>
      </w:r>
      <w:r w:rsidR="00F76281" w:rsidRPr="00717CBA">
        <w:rPr>
          <w:rFonts w:ascii="Franklin Gothic Book" w:hAnsi="Franklin Gothic Book" w:cs="Arial"/>
          <w:sz w:val="20"/>
          <w:szCs w:val="20"/>
        </w:rPr>
        <w:t>2</w:t>
      </w:r>
      <w:r w:rsidR="00893EAF" w:rsidRPr="00717CBA">
        <w:rPr>
          <w:rFonts w:ascii="Franklin Gothic Book" w:hAnsi="Franklin Gothic Book" w:cs="Arial"/>
          <w:sz w:val="20"/>
          <w:szCs w:val="20"/>
        </w:rPr>
        <w:t>’s ongoing support for maintenance and rehabilitation of national priority roads, including Manus and Bougainville</w:t>
      </w:r>
      <w:r w:rsidR="00363BF4">
        <w:rPr>
          <w:rFonts w:ascii="Franklin Gothic Book" w:hAnsi="Franklin Gothic Book" w:cs="Arial"/>
          <w:sz w:val="20"/>
          <w:szCs w:val="20"/>
        </w:rPr>
        <w:t>,</w:t>
      </w:r>
      <w:r w:rsidR="002A2F19" w:rsidRPr="00717CBA">
        <w:rPr>
          <w:rFonts w:ascii="Franklin Gothic Book" w:hAnsi="Franklin Gothic Book" w:cs="Arial"/>
          <w:sz w:val="20"/>
          <w:szCs w:val="20"/>
        </w:rPr>
        <w:t xml:space="preserve"> which </w:t>
      </w:r>
      <w:r w:rsidR="00732DCE" w:rsidRPr="00717CBA">
        <w:rPr>
          <w:rFonts w:ascii="Franklin Gothic Book" w:hAnsi="Franklin Gothic Book" w:cs="Arial"/>
          <w:sz w:val="20"/>
          <w:szCs w:val="20"/>
        </w:rPr>
        <w:t>remains underfunded by GoPNG</w:t>
      </w:r>
      <w:r w:rsidR="00317D76" w:rsidRPr="00717CBA">
        <w:rPr>
          <w:rFonts w:ascii="Franklin Gothic Book" w:hAnsi="Franklin Gothic Book" w:cs="Arial"/>
          <w:sz w:val="20"/>
          <w:szCs w:val="20"/>
        </w:rPr>
        <w:t>.</w:t>
      </w:r>
    </w:p>
    <w:p w14:paraId="239BD9E6" w14:textId="77777777" w:rsidR="00530B43" w:rsidRDefault="00530B43">
      <w:pPr>
        <w:rPr>
          <w:rFonts w:cs="Arial"/>
          <w:color w:val="000000" w:themeColor="text1"/>
          <w:sz w:val="19"/>
          <w:szCs w:val="19"/>
        </w:rPr>
      </w:pPr>
      <w:r>
        <w:rPr>
          <w:rFonts w:cs="Arial"/>
        </w:rPr>
        <w:br w:type="page"/>
      </w:r>
    </w:p>
    <w:p w14:paraId="363B226D" w14:textId="12E4EC91" w:rsidR="00814A1E" w:rsidRPr="00BB42AE" w:rsidRDefault="00814A1E" w:rsidP="00AB72A6">
      <w:pPr>
        <w:pStyle w:val="Caption"/>
      </w:pPr>
      <w:r w:rsidRPr="00BB42AE">
        <w:lastRenderedPageBreak/>
        <w:t xml:space="preserve">Table </w:t>
      </w:r>
      <w:fldSimple w:instr=" SEQ Table \* ARABIC ">
        <w:r w:rsidR="00604BD9">
          <w:rPr>
            <w:noProof/>
          </w:rPr>
          <w:t>1</w:t>
        </w:r>
      </w:fldSimple>
      <w:r w:rsidR="00B21456" w:rsidRPr="00BB42AE">
        <w:t xml:space="preserve">: </w:t>
      </w:r>
      <w:r w:rsidRPr="00BB42AE">
        <w:t>TSSP2 Expenditure</w:t>
      </w:r>
      <w:r w:rsidR="00B21456" w:rsidRPr="00BB42AE">
        <w:t xml:space="preserve"> from 2016 to 2020</w:t>
      </w:r>
    </w:p>
    <w:tbl>
      <w:tblPr>
        <w:tblStyle w:val="ListTable4-Accent2"/>
        <w:tblW w:w="10289" w:type="dxa"/>
        <w:tblLook w:val="04A0" w:firstRow="1" w:lastRow="0" w:firstColumn="1" w:lastColumn="0" w:noHBand="0" w:noVBand="1"/>
      </w:tblPr>
      <w:tblGrid>
        <w:gridCol w:w="871"/>
        <w:gridCol w:w="355"/>
        <w:gridCol w:w="1226"/>
        <w:gridCol w:w="811"/>
        <w:gridCol w:w="755"/>
        <w:gridCol w:w="811"/>
        <w:gridCol w:w="756"/>
        <w:gridCol w:w="812"/>
        <w:gridCol w:w="756"/>
        <w:gridCol w:w="812"/>
        <w:gridCol w:w="756"/>
        <w:gridCol w:w="812"/>
        <w:gridCol w:w="756"/>
      </w:tblGrid>
      <w:tr w:rsidR="00530B43" w:rsidRPr="00530B43" w14:paraId="730C2595" w14:textId="77777777" w:rsidTr="00D7461D">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26" w:type="dxa"/>
            <w:gridSpan w:val="2"/>
            <w:tcBorders>
              <w:top w:val="nil"/>
              <w:left w:val="nil"/>
              <w:bottom w:val="single" w:sz="24" w:space="0" w:color="4C7B9E" w:themeColor="accent2"/>
            </w:tcBorders>
            <w:shd w:val="clear" w:color="auto" w:fill="auto"/>
            <w:noWrap/>
            <w:hideMark/>
          </w:tcPr>
          <w:p w14:paraId="1DADEE5F" w14:textId="77777777" w:rsidR="0076011C" w:rsidRPr="00530B43" w:rsidRDefault="0076011C" w:rsidP="00530B43">
            <w:pPr>
              <w:spacing w:after="120"/>
              <w:rPr>
                <w:rFonts w:ascii="Franklin Gothic Demi" w:hAnsi="Franklin Gothic Demi" w:cs="Arial"/>
                <w:color w:val="003478" w:themeColor="text2"/>
              </w:rPr>
            </w:pPr>
          </w:p>
        </w:tc>
        <w:tc>
          <w:tcPr>
            <w:tcW w:w="1226" w:type="dxa"/>
            <w:tcBorders>
              <w:top w:val="nil"/>
              <w:left w:val="nil"/>
              <w:bottom w:val="single" w:sz="24" w:space="0" w:color="4C7B9E" w:themeColor="accent2"/>
            </w:tcBorders>
            <w:shd w:val="clear" w:color="auto" w:fill="auto"/>
          </w:tcPr>
          <w:p w14:paraId="15A48252" w14:textId="77777777" w:rsidR="00814A1E" w:rsidRPr="00530B43" w:rsidRDefault="00814A1E" w:rsidP="00530B43">
            <w:pPr>
              <w:spacing w:after="120"/>
              <w:cnfStyle w:val="100000000000" w:firstRow="1" w:lastRow="0" w:firstColumn="0" w:lastColumn="0" w:oddVBand="0" w:evenVBand="0" w:oddHBand="0" w:evenHBand="0" w:firstRowFirstColumn="0" w:firstRowLastColumn="0" w:lastRowFirstColumn="0" w:lastRowLastColumn="0"/>
              <w:rPr>
                <w:rFonts w:ascii="Franklin Gothic Demi" w:hAnsi="Franklin Gothic Demi" w:cs="Arial"/>
                <w:b w:val="0"/>
                <w:bCs w:val="0"/>
                <w:color w:val="003478" w:themeColor="text2"/>
              </w:rPr>
            </w:pPr>
          </w:p>
        </w:tc>
        <w:tc>
          <w:tcPr>
            <w:tcW w:w="1566" w:type="dxa"/>
            <w:gridSpan w:val="2"/>
            <w:tcBorders>
              <w:top w:val="nil"/>
              <w:bottom w:val="single" w:sz="24" w:space="0" w:color="4C7B9E" w:themeColor="accent2"/>
            </w:tcBorders>
            <w:shd w:val="clear" w:color="auto" w:fill="auto"/>
            <w:noWrap/>
            <w:hideMark/>
          </w:tcPr>
          <w:p w14:paraId="63284BA5" w14:textId="77777777" w:rsidR="00814A1E" w:rsidRPr="00530B43" w:rsidRDefault="00814A1E" w:rsidP="00530B43">
            <w:pPr>
              <w:spacing w:after="12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text2"/>
                <w:lang w:eastAsia="en-AU"/>
              </w:rPr>
            </w:pPr>
            <w:r w:rsidRPr="00530B43">
              <w:rPr>
                <w:rFonts w:ascii="Franklin Gothic Demi" w:eastAsia="Times New Roman" w:hAnsi="Franklin Gothic Demi" w:cs="Arial"/>
                <w:b w:val="0"/>
                <w:bCs w:val="0"/>
                <w:color w:val="003478" w:themeColor="text2"/>
                <w:lang w:eastAsia="en-AU"/>
              </w:rPr>
              <w:t>2016</w:t>
            </w:r>
          </w:p>
        </w:tc>
        <w:tc>
          <w:tcPr>
            <w:tcW w:w="1567" w:type="dxa"/>
            <w:gridSpan w:val="2"/>
            <w:tcBorders>
              <w:top w:val="nil"/>
              <w:bottom w:val="single" w:sz="24" w:space="0" w:color="4C7B9E" w:themeColor="accent2"/>
            </w:tcBorders>
            <w:shd w:val="clear" w:color="auto" w:fill="auto"/>
            <w:noWrap/>
            <w:hideMark/>
          </w:tcPr>
          <w:p w14:paraId="1BEADA33" w14:textId="77777777" w:rsidR="00814A1E" w:rsidRPr="00530B43" w:rsidRDefault="00814A1E" w:rsidP="00530B43">
            <w:pPr>
              <w:spacing w:after="12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text2"/>
                <w:lang w:eastAsia="en-AU"/>
              </w:rPr>
            </w:pPr>
            <w:r w:rsidRPr="00530B43">
              <w:rPr>
                <w:rFonts w:ascii="Franklin Gothic Demi" w:eastAsia="Times New Roman" w:hAnsi="Franklin Gothic Demi" w:cs="Arial"/>
                <w:b w:val="0"/>
                <w:bCs w:val="0"/>
                <w:color w:val="003478" w:themeColor="text2"/>
                <w:lang w:eastAsia="en-AU"/>
              </w:rPr>
              <w:t>2017</w:t>
            </w:r>
          </w:p>
        </w:tc>
        <w:tc>
          <w:tcPr>
            <w:tcW w:w="1568" w:type="dxa"/>
            <w:gridSpan w:val="2"/>
            <w:tcBorders>
              <w:top w:val="nil"/>
              <w:bottom w:val="single" w:sz="24" w:space="0" w:color="4C7B9E" w:themeColor="accent2"/>
            </w:tcBorders>
            <w:shd w:val="clear" w:color="auto" w:fill="auto"/>
            <w:noWrap/>
            <w:hideMark/>
          </w:tcPr>
          <w:p w14:paraId="1BC1A787" w14:textId="77777777" w:rsidR="00814A1E" w:rsidRPr="00530B43" w:rsidRDefault="00814A1E" w:rsidP="00530B43">
            <w:pPr>
              <w:spacing w:after="12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text2"/>
                <w:lang w:eastAsia="en-AU"/>
              </w:rPr>
            </w:pPr>
            <w:r w:rsidRPr="00530B43">
              <w:rPr>
                <w:rFonts w:ascii="Franklin Gothic Demi" w:eastAsia="Times New Roman" w:hAnsi="Franklin Gothic Demi" w:cs="Arial"/>
                <w:b w:val="0"/>
                <w:bCs w:val="0"/>
                <w:color w:val="003478" w:themeColor="text2"/>
                <w:lang w:eastAsia="en-AU"/>
              </w:rPr>
              <w:t>2018</w:t>
            </w:r>
          </w:p>
        </w:tc>
        <w:tc>
          <w:tcPr>
            <w:tcW w:w="1568" w:type="dxa"/>
            <w:gridSpan w:val="2"/>
            <w:tcBorders>
              <w:top w:val="nil"/>
              <w:bottom w:val="single" w:sz="24" w:space="0" w:color="4C7B9E" w:themeColor="accent2"/>
            </w:tcBorders>
            <w:shd w:val="clear" w:color="auto" w:fill="auto"/>
            <w:noWrap/>
            <w:hideMark/>
          </w:tcPr>
          <w:p w14:paraId="6F44A714" w14:textId="77777777" w:rsidR="00814A1E" w:rsidRPr="00530B43" w:rsidRDefault="00814A1E" w:rsidP="00530B43">
            <w:pPr>
              <w:spacing w:after="12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text2"/>
                <w:lang w:eastAsia="en-AU"/>
              </w:rPr>
            </w:pPr>
            <w:r w:rsidRPr="00530B43">
              <w:rPr>
                <w:rFonts w:ascii="Franklin Gothic Demi" w:eastAsia="Times New Roman" w:hAnsi="Franklin Gothic Demi" w:cs="Arial"/>
                <w:b w:val="0"/>
                <w:bCs w:val="0"/>
                <w:color w:val="003478" w:themeColor="text2"/>
                <w:lang w:eastAsia="en-AU"/>
              </w:rPr>
              <w:t>2019</w:t>
            </w:r>
          </w:p>
        </w:tc>
        <w:tc>
          <w:tcPr>
            <w:tcW w:w="1568" w:type="dxa"/>
            <w:gridSpan w:val="2"/>
            <w:tcBorders>
              <w:top w:val="nil"/>
              <w:bottom w:val="single" w:sz="24" w:space="0" w:color="4C7B9E" w:themeColor="accent2"/>
              <w:right w:val="nil"/>
            </w:tcBorders>
            <w:shd w:val="clear" w:color="auto" w:fill="auto"/>
            <w:noWrap/>
            <w:hideMark/>
          </w:tcPr>
          <w:p w14:paraId="37CA9D95" w14:textId="77777777" w:rsidR="00814A1E" w:rsidRPr="00530B43" w:rsidRDefault="00814A1E" w:rsidP="00530B43">
            <w:pPr>
              <w:spacing w:after="12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text2"/>
                <w:lang w:eastAsia="en-AU"/>
              </w:rPr>
            </w:pPr>
            <w:r w:rsidRPr="00530B43">
              <w:rPr>
                <w:rFonts w:ascii="Franklin Gothic Demi" w:eastAsia="Times New Roman" w:hAnsi="Franklin Gothic Demi" w:cs="Arial"/>
                <w:b w:val="0"/>
                <w:bCs w:val="0"/>
                <w:color w:val="003478" w:themeColor="text2"/>
                <w:lang w:eastAsia="en-AU"/>
              </w:rPr>
              <w:t>2020</w:t>
            </w:r>
          </w:p>
        </w:tc>
      </w:tr>
      <w:tr w:rsidR="001C01D5" w:rsidRPr="00530B43" w14:paraId="4C346EC9" w14:textId="77777777" w:rsidTr="0072195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871" w:type="dxa"/>
            <w:tcBorders>
              <w:top w:val="single" w:sz="24" w:space="0" w:color="4C7B9E" w:themeColor="accent2"/>
              <w:left w:val="nil"/>
              <w:bottom w:val="dotted" w:sz="4" w:space="0" w:color="A6A6A6" w:themeColor="background1" w:themeShade="A6"/>
            </w:tcBorders>
            <w:shd w:val="clear" w:color="auto" w:fill="F2F2F2" w:themeFill="background1" w:themeFillShade="F2"/>
            <w:noWrap/>
            <w:hideMark/>
          </w:tcPr>
          <w:p w14:paraId="340AB7C5" w14:textId="77777777" w:rsidR="00814A1E" w:rsidRPr="00530B43" w:rsidRDefault="00814A1E" w:rsidP="00530B43">
            <w:pPr>
              <w:spacing w:before="60" w:after="60"/>
              <w:jc w:val="center"/>
              <w:rPr>
                <w:rFonts w:ascii="Franklin Gothic Book" w:eastAsia="Times New Roman" w:hAnsi="Franklin Gothic Book" w:cs="Arial"/>
                <w:b w:val="0"/>
                <w:sz w:val="18"/>
                <w:szCs w:val="18"/>
                <w:lang w:eastAsia="en-AU"/>
              </w:rPr>
            </w:pPr>
            <w:r w:rsidRPr="00530B43">
              <w:rPr>
                <w:rFonts w:ascii="Franklin Gothic Book" w:eastAsia="Times New Roman" w:hAnsi="Franklin Gothic Book" w:cs="Arial"/>
                <w:sz w:val="18"/>
                <w:szCs w:val="18"/>
                <w:lang w:eastAsia="en-AU"/>
              </w:rPr>
              <w:t>EOPO</w:t>
            </w:r>
          </w:p>
        </w:tc>
        <w:tc>
          <w:tcPr>
            <w:tcW w:w="1581" w:type="dxa"/>
            <w:gridSpan w:val="2"/>
            <w:tcBorders>
              <w:top w:val="single" w:sz="24" w:space="0" w:color="4C7B9E" w:themeColor="accent2"/>
              <w:bottom w:val="dotted" w:sz="4" w:space="0" w:color="A6A6A6" w:themeColor="background1" w:themeShade="A6"/>
            </w:tcBorders>
            <w:shd w:val="clear" w:color="auto" w:fill="F2F2F2" w:themeFill="background1" w:themeFillShade="F2"/>
            <w:hideMark/>
          </w:tcPr>
          <w:p w14:paraId="1A38D71C"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Activity</w:t>
            </w:r>
          </w:p>
        </w:tc>
        <w:tc>
          <w:tcPr>
            <w:tcW w:w="811" w:type="dxa"/>
            <w:tcBorders>
              <w:top w:val="single" w:sz="24" w:space="0" w:color="4C7B9E" w:themeColor="accent2"/>
              <w:bottom w:val="dotted" w:sz="4" w:space="0" w:color="A6A6A6" w:themeColor="background1" w:themeShade="A6"/>
            </w:tcBorders>
            <w:shd w:val="clear" w:color="auto" w:fill="auto"/>
            <w:hideMark/>
          </w:tcPr>
          <w:p w14:paraId="11A11F26"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AUD ('000s)</w:t>
            </w:r>
          </w:p>
        </w:tc>
        <w:tc>
          <w:tcPr>
            <w:tcW w:w="755" w:type="dxa"/>
            <w:tcBorders>
              <w:top w:val="single" w:sz="24" w:space="0" w:color="4C7B9E" w:themeColor="accent2"/>
              <w:bottom w:val="dotted" w:sz="4" w:space="0" w:color="A6A6A6" w:themeColor="background1" w:themeShade="A6"/>
              <w:right w:val="single" w:sz="2" w:space="0" w:color="EFF3F7"/>
            </w:tcBorders>
            <w:shd w:val="clear" w:color="auto" w:fill="auto"/>
            <w:hideMark/>
          </w:tcPr>
          <w:p w14:paraId="6D349D57"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Total (%)</w:t>
            </w:r>
          </w:p>
        </w:tc>
        <w:tc>
          <w:tcPr>
            <w:tcW w:w="811" w:type="dxa"/>
            <w:tcBorders>
              <w:top w:val="single" w:sz="24" w:space="0" w:color="4C7B9E" w:themeColor="accent2"/>
              <w:left w:val="single" w:sz="2" w:space="0" w:color="EFF3F7"/>
              <w:bottom w:val="dotted" w:sz="4" w:space="0" w:color="A6A6A6" w:themeColor="background1" w:themeShade="A6"/>
            </w:tcBorders>
            <w:shd w:val="clear" w:color="auto" w:fill="auto"/>
            <w:hideMark/>
          </w:tcPr>
          <w:p w14:paraId="1684F6B6"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AUD ('000s)</w:t>
            </w:r>
          </w:p>
        </w:tc>
        <w:tc>
          <w:tcPr>
            <w:tcW w:w="756" w:type="dxa"/>
            <w:tcBorders>
              <w:top w:val="single" w:sz="24" w:space="0" w:color="4C7B9E" w:themeColor="accent2"/>
              <w:bottom w:val="dotted" w:sz="4" w:space="0" w:color="A6A6A6" w:themeColor="background1" w:themeShade="A6"/>
              <w:right w:val="single" w:sz="2" w:space="0" w:color="EFF3F7"/>
            </w:tcBorders>
            <w:shd w:val="clear" w:color="auto" w:fill="auto"/>
            <w:hideMark/>
          </w:tcPr>
          <w:p w14:paraId="05F9715F"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Total (%)</w:t>
            </w:r>
          </w:p>
        </w:tc>
        <w:tc>
          <w:tcPr>
            <w:tcW w:w="812" w:type="dxa"/>
            <w:tcBorders>
              <w:top w:val="single" w:sz="24" w:space="0" w:color="4C7B9E" w:themeColor="accent2"/>
              <w:left w:val="single" w:sz="2" w:space="0" w:color="EFF3F7"/>
              <w:bottom w:val="dotted" w:sz="4" w:space="0" w:color="A6A6A6" w:themeColor="background1" w:themeShade="A6"/>
            </w:tcBorders>
            <w:shd w:val="clear" w:color="auto" w:fill="auto"/>
            <w:hideMark/>
          </w:tcPr>
          <w:p w14:paraId="4D7F0767"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AUD ('000s)</w:t>
            </w:r>
          </w:p>
        </w:tc>
        <w:tc>
          <w:tcPr>
            <w:tcW w:w="756" w:type="dxa"/>
            <w:tcBorders>
              <w:top w:val="single" w:sz="24" w:space="0" w:color="4C7B9E" w:themeColor="accent2"/>
              <w:bottom w:val="dotted" w:sz="4" w:space="0" w:color="A6A6A6" w:themeColor="background1" w:themeShade="A6"/>
              <w:right w:val="single" w:sz="2" w:space="0" w:color="EFF3F7"/>
            </w:tcBorders>
            <w:shd w:val="clear" w:color="auto" w:fill="auto"/>
            <w:hideMark/>
          </w:tcPr>
          <w:p w14:paraId="1D4BD59C"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Total (%)</w:t>
            </w:r>
          </w:p>
        </w:tc>
        <w:tc>
          <w:tcPr>
            <w:tcW w:w="812" w:type="dxa"/>
            <w:tcBorders>
              <w:top w:val="single" w:sz="24" w:space="0" w:color="4C7B9E" w:themeColor="accent2"/>
              <w:left w:val="single" w:sz="2" w:space="0" w:color="EFF3F7"/>
              <w:bottom w:val="dotted" w:sz="4" w:space="0" w:color="A6A6A6" w:themeColor="background1" w:themeShade="A6"/>
            </w:tcBorders>
            <w:shd w:val="clear" w:color="auto" w:fill="auto"/>
            <w:hideMark/>
          </w:tcPr>
          <w:p w14:paraId="014E7753"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AUD ('000s)</w:t>
            </w:r>
          </w:p>
        </w:tc>
        <w:tc>
          <w:tcPr>
            <w:tcW w:w="756" w:type="dxa"/>
            <w:tcBorders>
              <w:top w:val="single" w:sz="24" w:space="0" w:color="4C7B9E" w:themeColor="accent2"/>
              <w:bottom w:val="dotted" w:sz="4" w:space="0" w:color="A6A6A6" w:themeColor="background1" w:themeShade="A6"/>
              <w:right w:val="single" w:sz="2" w:space="0" w:color="EFF3F7"/>
            </w:tcBorders>
            <w:shd w:val="clear" w:color="auto" w:fill="auto"/>
            <w:hideMark/>
          </w:tcPr>
          <w:p w14:paraId="3A4460BA"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Total (%)</w:t>
            </w:r>
          </w:p>
        </w:tc>
        <w:tc>
          <w:tcPr>
            <w:tcW w:w="812" w:type="dxa"/>
            <w:tcBorders>
              <w:top w:val="single" w:sz="24" w:space="0" w:color="4C7B9E" w:themeColor="accent2"/>
              <w:left w:val="single" w:sz="2" w:space="0" w:color="EFF3F7"/>
              <w:bottom w:val="dotted" w:sz="4" w:space="0" w:color="A6A6A6" w:themeColor="background1" w:themeShade="A6"/>
            </w:tcBorders>
            <w:shd w:val="clear" w:color="auto" w:fill="auto"/>
            <w:hideMark/>
          </w:tcPr>
          <w:p w14:paraId="6C3F948A"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AUD ('000s)</w:t>
            </w:r>
          </w:p>
        </w:tc>
        <w:tc>
          <w:tcPr>
            <w:tcW w:w="756" w:type="dxa"/>
            <w:tcBorders>
              <w:top w:val="single" w:sz="24" w:space="0" w:color="4C7B9E" w:themeColor="accent2"/>
              <w:bottom w:val="dotted" w:sz="4" w:space="0" w:color="A6A6A6" w:themeColor="background1" w:themeShade="A6"/>
              <w:right w:val="nil"/>
            </w:tcBorders>
            <w:shd w:val="clear" w:color="auto" w:fill="auto"/>
            <w:hideMark/>
          </w:tcPr>
          <w:p w14:paraId="5E3256AF" w14:textId="77777777" w:rsidR="00814A1E" w:rsidRPr="00530B43" w:rsidRDefault="00814A1E" w:rsidP="00530B43">
            <w:pPr>
              <w:spacing w:before="60" w:after="6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Total (%)</w:t>
            </w:r>
          </w:p>
        </w:tc>
      </w:tr>
      <w:tr w:rsidR="001C01D5" w:rsidRPr="00530B43" w14:paraId="7A18B99B" w14:textId="77777777" w:rsidTr="0072195A">
        <w:trPr>
          <w:trHeight w:val="255"/>
        </w:trPr>
        <w:tc>
          <w:tcPr>
            <w:cnfStyle w:val="001000000000" w:firstRow="0" w:lastRow="0" w:firstColumn="1" w:lastColumn="0" w:oddVBand="0" w:evenVBand="0" w:oddHBand="0" w:evenHBand="0" w:firstRowFirstColumn="0" w:firstRowLastColumn="0" w:lastRowFirstColumn="0" w:lastRowLastColumn="0"/>
            <w:tcW w:w="871" w:type="dxa"/>
            <w:tcBorders>
              <w:top w:val="dotted" w:sz="4" w:space="0" w:color="A6A6A6" w:themeColor="background1" w:themeShade="A6"/>
              <w:left w:val="nil"/>
              <w:bottom w:val="dotted" w:sz="4" w:space="0" w:color="A6A6A6" w:themeColor="background1" w:themeShade="A6"/>
            </w:tcBorders>
            <w:shd w:val="clear" w:color="auto" w:fill="F2F2F2" w:themeFill="background1" w:themeFillShade="F2"/>
            <w:noWrap/>
            <w:hideMark/>
          </w:tcPr>
          <w:p w14:paraId="128AEE7D" w14:textId="77777777" w:rsidR="00814A1E" w:rsidRPr="00530B43" w:rsidRDefault="00814A1E" w:rsidP="00530B43">
            <w:pPr>
              <w:spacing w:before="60" w:after="60"/>
              <w:jc w:val="center"/>
              <w:rPr>
                <w:rFonts w:ascii="Franklin Gothic Book" w:eastAsia="Times New Roman" w:hAnsi="Franklin Gothic Book" w:cs="Arial"/>
                <w:b w:val="0"/>
                <w:sz w:val="18"/>
                <w:szCs w:val="18"/>
                <w:lang w:eastAsia="en-AU"/>
              </w:rPr>
            </w:pPr>
            <w:r w:rsidRPr="00530B43">
              <w:rPr>
                <w:rFonts w:ascii="Franklin Gothic Book" w:eastAsia="Times New Roman" w:hAnsi="Franklin Gothic Book" w:cs="Arial"/>
                <w:sz w:val="18"/>
                <w:szCs w:val="18"/>
                <w:lang w:eastAsia="en-AU"/>
              </w:rPr>
              <w:t>EOPO1</w:t>
            </w:r>
          </w:p>
        </w:tc>
        <w:tc>
          <w:tcPr>
            <w:tcW w:w="1581" w:type="dxa"/>
            <w:gridSpan w:val="2"/>
            <w:tcBorders>
              <w:top w:val="dotted" w:sz="4" w:space="0" w:color="A6A6A6" w:themeColor="background1" w:themeShade="A6"/>
              <w:bottom w:val="dotted" w:sz="4" w:space="0" w:color="A6A6A6" w:themeColor="background1" w:themeShade="A6"/>
            </w:tcBorders>
            <w:shd w:val="clear" w:color="auto" w:fill="F2F2F2" w:themeFill="background1" w:themeFillShade="F2"/>
            <w:hideMark/>
          </w:tcPr>
          <w:p w14:paraId="76EBE03D" w14:textId="77777777" w:rsidR="00814A1E" w:rsidRPr="00530B43" w:rsidRDefault="00814A1E" w:rsidP="00530B43">
            <w:pPr>
              <w:spacing w:before="60" w:after="6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 xml:space="preserve">Sector Capacity Development </w:t>
            </w:r>
          </w:p>
        </w:tc>
        <w:tc>
          <w:tcPr>
            <w:tcW w:w="811" w:type="dxa"/>
            <w:tcBorders>
              <w:top w:val="dotted" w:sz="4" w:space="0" w:color="A6A6A6" w:themeColor="background1" w:themeShade="A6"/>
              <w:bottom w:val="dotted" w:sz="4" w:space="0" w:color="A6A6A6" w:themeColor="background1" w:themeShade="A6"/>
            </w:tcBorders>
            <w:shd w:val="clear" w:color="auto" w:fill="auto"/>
            <w:noWrap/>
            <w:hideMark/>
          </w:tcPr>
          <w:p w14:paraId="52067227"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11,900</w:t>
            </w:r>
          </w:p>
        </w:tc>
        <w:tc>
          <w:tcPr>
            <w:tcW w:w="755"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5C5634E2"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18.1%</w:t>
            </w:r>
          </w:p>
        </w:tc>
        <w:tc>
          <w:tcPr>
            <w:tcW w:w="811"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72379F76"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7,614</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5AED5825"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14.8%</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5E5B5B08"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702</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71C028B5"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1.0%</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73E689AF"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1,202</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6E3CE7FF"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1.4%</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319D115B"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216</w:t>
            </w:r>
          </w:p>
        </w:tc>
        <w:tc>
          <w:tcPr>
            <w:tcW w:w="756" w:type="dxa"/>
            <w:tcBorders>
              <w:top w:val="dotted" w:sz="4" w:space="0" w:color="A6A6A6" w:themeColor="background1" w:themeShade="A6"/>
              <w:bottom w:val="dotted" w:sz="4" w:space="0" w:color="A6A6A6" w:themeColor="background1" w:themeShade="A6"/>
              <w:right w:val="nil"/>
            </w:tcBorders>
            <w:shd w:val="clear" w:color="auto" w:fill="auto"/>
            <w:noWrap/>
            <w:hideMark/>
          </w:tcPr>
          <w:p w14:paraId="71AFA34D"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0.5%</w:t>
            </w:r>
          </w:p>
        </w:tc>
      </w:tr>
      <w:tr w:rsidR="001C01D5" w:rsidRPr="00530B43" w14:paraId="35586616" w14:textId="77777777" w:rsidTr="007219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1" w:type="dxa"/>
            <w:tcBorders>
              <w:top w:val="dotted" w:sz="4" w:space="0" w:color="A6A6A6" w:themeColor="background1" w:themeShade="A6"/>
              <w:left w:val="nil"/>
              <w:bottom w:val="dotted" w:sz="4" w:space="0" w:color="A6A6A6" w:themeColor="background1" w:themeShade="A6"/>
            </w:tcBorders>
            <w:shd w:val="clear" w:color="auto" w:fill="F2F2F2" w:themeFill="background1" w:themeFillShade="F2"/>
            <w:hideMark/>
          </w:tcPr>
          <w:p w14:paraId="21955A3C" w14:textId="77777777" w:rsidR="00814A1E" w:rsidRPr="00530B43" w:rsidRDefault="00814A1E" w:rsidP="00530B43">
            <w:pPr>
              <w:spacing w:before="60" w:after="60"/>
              <w:jc w:val="center"/>
              <w:rPr>
                <w:rFonts w:ascii="Franklin Gothic Book" w:eastAsia="Times New Roman" w:hAnsi="Franklin Gothic Book" w:cs="Arial"/>
                <w:b w:val="0"/>
                <w:sz w:val="18"/>
                <w:szCs w:val="18"/>
                <w:lang w:eastAsia="en-AU"/>
              </w:rPr>
            </w:pPr>
            <w:r w:rsidRPr="00530B43">
              <w:rPr>
                <w:rFonts w:ascii="Franklin Gothic Book" w:eastAsia="Times New Roman" w:hAnsi="Franklin Gothic Book" w:cs="Arial"/>
                <w:sz w:val="18"/>
                <w:szCs w:val="18"/>
                <w:lang w:eastAsia="en-AU"/>
              </w:rPr>
              <w:t>EOPO2</w:t>
            </w:r>
          </w:p>
        </w:tc>
        <w:tc>
          <w:tcPr>
            <w:tcW w:w="1581" w:type="dxa"/>
            <w:gridSpan w:val="2"/>
            <w:tcBorders>
              <w:top w:val="dotted" w:sz="4" w:space="0" w:color="A6A6A6" w:themeColor="background1" w:themeShade="A6"/>
              <w:bottom w:val="dotted" w:sz="4" w:space="0" w:color="A6A6A6" w:themeColor="background1" w:themeShade="A6"/>
            </w:tcBorders>
            <w:shd w:val="clear" w:color="auto" w:fill="F2F2F2" w:themeFill="background1" w:themeFillShade="F2"/>
            <w:hideMark/>
          </w:tcPr>
          <w:p w14:paraId="79B36B10" w14:textId="77777777" w:rsidR="00814A1E" w:rsidRPr="00530B43" w:rsidRDefault="00814A1E" w:rsidP="00530B43">
            <w:pPr>
              <w:spacing w:before="60" w:after="6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Land Transport^</w:t>
            </w:r>
          </w:p>
        </w:tc>
        <w:tc>
          <w:tcPr>
            <w:tcW w:w="811" w:type="dxa"/>
            <w:tcBorders>
              <w:top w:val="dotted" w:sz="4" w:space="0" w:color="A6A6A6" w:themeColor="background1" w:themeShade="A6"/>
              <w:bottom w:val="dotted" w:sz="4" w:space="0" w:color="A6A6A6" w:themeColor="background1" w:themeShade="A6"/>
            </w:tcBorders>
            <w:shd w:val="clear" w:color="auto" w:fill="auto"/>
            <w:noWrap/>
            <w:hideMark/>
          </w:tcPr>
          <w:p w14:paraId="731F38A6"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52,325</w:t>
            </w:r>
          </w:p>
        </w:tc>
        <w:tc>
          <w:tcPr>
            <w:tcW w:w="755"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0FCD319E"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79.5%</w:t>
            </w:r>
          </w:p>
        </w:tc>
        <w:tc>
          <w:tcPr>
            <w:tcW w:w="811"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4DF530DF"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40,555</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5260B6DF"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79.0%</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63547D60"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54,707</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3B5AA916"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79.7%</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20158956"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71,136</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754261A2"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82.5%</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0EA8894D"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31,245</w:t>
            </w:r>
          </w:p>
        </w:tc>
        <w:tc>
          <w:tcPr>
            <w:tcW w:w="756" w:type="dxa"/>
            <w:tcBorders>
              <w:top w:val="dotted" w:sz="4" w:space="0" w:color="A6A6A6" w:themeColor="background1" w:themeShade="A6"/>
              <w:bottom w:val="dotted" w:sz="4" w:space="0" w:color="A6A6A6" w:themeColor="background1" w:themeShade="A6"/>
              <w:right w:val="nil"/>
            </w:tcBorders>
            <w:shd w:val="clear" w:color="auto" w:fill="auto"/>
            <w:noWrap/>
            <w:hideMark/>
          </w:tcPr>
          <w:p w14:paraId="72A815C7"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70.9%</w:t>
            </w:r>
          </w:p>
        </w:tc>
      </w:tr>
      <w:tr w:rsidR="001C01D5" w:rsidRPr="00530B43" w14:paraId="79F273C8" w14:textId="77777777" w:rsidTr="0072195A">
        <w:trPr>
          <w:trHeight w:val="510"/>
        </w:trPr>
        <w:tc>
          <w:tcPr>
            <w:cnfStyle w:val="001000000000" w:firstRow="0" w:lastRow="0" w:firstColumn="1" w:lastColumn="0" w:oddVBand="0" w:evenVBand="0" w:oddHBand="0" w:evenHBand="0" w:firstRowFirstColumn="0" w:firstRowLastColumn="0" w:lastRowFirstColumn="0" w:lastRowLastColumn="0"/>
            <w:tcW w:w="871" w:type="dxa"/>
            <w:tcBorders>
              <w:top w:val="dotted" w:sz="4" w:space="0" w:color="A6A6A6" w:themeColor="background1" w:themeShade="A6"/>
              <w:left w:val="nil"/>
              <w:bottom w:val="dotted" w:sz="4" w:space="0" w:color="A6A6A6" w:themeColor="background1" w:themeShade="A6"/>
            </w:tcBorders>
            <w:shd w:val="clear" w:color="auto" w:fill="F2F2F2" w:themeFill="background1" w:themeFillShade="F2"/>
            <w:noWrap/>
            <w:hideMark/>
          </w:tcPr>
          <w:p w14:paraId="1B5117F6" w14:textId="77777777" w:rsidR="00814A1E" w:rsidRPr="00530B43" w:rsidRDefault="00814A1E" w:rsidP="00530B43">
            <w:pPr>
              <w:spacing w:before="60" w:after="60"/>
              <w:jc w:val="center"/>
              <w:rPr>
                <w:rFonts w:ascii="Franklin Gothic Book" w:eastAsia="Times New Roman" w:hAnsi="Franklin Gothic Book" w:cs="Arial"/>
                <w:b w:val="0"/>
                <w:sz w:val="18"/>
                <w:szCs w:val="18"/>
                <w:lang w:eastAsia="en-AU"/>
              </w:rPr>
            </w:pPr>
            <w:r w:rsidRPr="00530B43">
              <w:rPr>
                <w:rFonts w:ascii="Franklin Gothic Book" w:eastAsia="Times New Roman" w:hAnsi="Franklin Gothic Book" w:cs="Arial"/>
                <w:sz w:val="18"/>
                <w:szCs w:val="18"/>
                <w:lang w:eastAsia="en-AU"/>
              </w:rPr>
              <w:t>EOPO3</w:t>
            </w:r>
          </w:p>
        </w:tc>
        <w:tc>
          <w:tcPr>
            <w:tcW w:w="1581" w:type="dxa"/>
            <w:gridSpan w:val="2"/>
            <w:tcBorders>
              <w:top w:val="dotted" w:sz="4" w:space="0" w:color="A6A6A6" w:themeColor="background1" w:themeShade="A6"/>
              <w:bottom w:val="dotted" w:sz="4" w:space="0" w:color="A6A6A6" w:themeColor="background1" w:themeShade="A6"/>
            </w:tcBorders>
            <w:shd w:val="clear" w:color="auto" w:fill="F2F2F2" w:themeFill="background1" w:themeFillShade="F2"/>
            <w:hideMark/>
          </w:tcPr>
          <w:p w14:paraId="1110F42A" w14:textId="77777777" w:rsidR="00814A1E" w:rsidRPr="00530B43" w:rsidRDefault="00814A1E" w:rsidP="00530B43">
            <w:pPr>
              <w:spacing w:before="60" w:after="6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Aviation and Maritime Safety and Security`</w:t>
            </w:r>
          </w:p>
        </w:tc>
        <w:tc>
          <w:tcPr>
            <w:tcW w:w="811" w:type="dxa"/>
            <w:tcBorders>
              <w:top w:val="dotted" w:sz="4" w:space="0" w:color="A6A6A6" w:themeColor="background1" w:themeShade="A6"/>
              <w:bottom w:val="dotted" w:sz="4" w:space="0" w:color="A6A6A6" w:themeColor="background1" w:themeShade="A6"/>
            </w:tcBorders>
            <w:shd w:val="clear" w:color="auto" w:fill="auto"/>
            <w:noWrap/>
            <w:hideMark/>
          </w:tcPr>
          <w:p w14:paraId="5273A0C9"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1,570</w:t>
            </w:r>
          </w:p>
        </w:tc>
        <w:tc>
          <w:tcPr>
            <w:tcW w:w="755"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38EC1B55"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2.4%</w:t>
            </w:r>
          </w:p>
        </w:tc>
        <w:tc>
          <w:tcPr>
            <w:tcW w:w="811"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54E15D53"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3,143</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64C62400"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6.1%</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205FEE97"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1,955</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1B50E17D"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2.8%</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08E72898"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2,546</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270CFAD4"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3.0%</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37FF65EA"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2,532</w:t>
            </w:r>
          </w:p>
        </w:tc>
        <w:tc>
          <w:tcPr>
            <w:tcW w:w="756" w:type="dxa"/>
            <w:tcBorders>
              <w:top w:val="dotted" w:sz="4" w:space="0" w:color="A6A6A6" w:themeColor="background1" w:themeShade="A6"/>
              <w:bottom w:val="dotted" w:sz="4" w:space="0" w:color="A6A6A6" w:themeColor="background1" w:themeShade="A6"/>
              <w:right w:val="nil"/>
            </w:tcBorders>
            <w:shd w:val="clear" w:color="auto" w:fill="auto"/>
            <w:noWrap/>
            <w:hideMark/>
          </w:tcPr>
          <w:p w14:paraId="5BF5A61C"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5.7%</w:t>
            </w:r>
          </w:p>
        </w:tc>
      </w:tr>
      <w:tr w:rsidR="001C01D5" w:rsidRPr="00530B43" w14:paraId="4807D407" w14:textId="77777777" w:rsidTr="007219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1" w:type="dxa"/>
            <w:tcBorders>
              <w:top w:val="dotted" w:sz="4" w:space="0" w:color="A6A6A6" w:themeColor="background1" w:themeShade="A6"/>
              <w:left w:val="nil"/>
              <w:bottom w:val="dotted" w:sz="4" w:space="0" w:color="A6A6A6" w:themeColor="background1" w:themeShade="A6"/>
            </w:tcBorders>
            <w:shd w:val="clear" w:color="auto" w:fill="F2F2F2" w:themeFill="background1" w:themeFillShade="F2"/>
            <w:noWrap/>
            <w:hideMark/>
          </w:tcPr>
          <w:p w14:paraId="6550CA46" w14:textId="1CA138FE" w:rsidR="00814A1E" w:rsidRPr="0072195A" w:rsidRDefault="00814A1E" w:rsidP="00530B43">
            <w:pPr>
              <w:spacing w:before="60" w:after="60"/>
              <w:jc w:val="center"/>
              <w:rPr>
                <w:rFonts w:ascii="Franklin Gothic Book" w:eastAsia="Times New Roman" w:hAnsi="Franklin Gothic Book" w:cs="Arial"/>
                <w:b w:val="0"/>
                <w:sz w:val="18"/>
                <w:szCs w:val="18"/>
                <w:lang w:eastAsia="en-AU"/>
              </w:rPr>
            </w:pPr>
          </w:p>
        </w:tc>
        <w:tc>
          <w:tcPr>
            <w:tcW w:w="1581" w:type="dxa"/>
            <w:gridSpan w:val="2"/>
            <w:tcBorders>
              <w:top w:val="dotted" w:sz="4" w:space="0" w:color="A6A6A6" w:themeColor="background1" w:themeShade="A6"/>
              <w:bottom w:val="dotted" w:sz="4" w:space="0" w:color="A6A6A6" w:themeColor="background1" w:themeShade="A6"/>
            </w:tcBorders>
            <w:shd w:val="clear" w:color="auto" w:fill="F2F2F2" w:themeFill="background1" w:themeFillShade="F2"/>
            <w:hideMark/>
          </w:tcPr>
          <w:p w14:paraId="676CBAC4" w14:textId="77777777" w:rsidR="00814A1E" w:rsidRPr="00530B43" w:rsidRDefault="00814A1E" w:rsidP="00530B43">
            <w:pPr>
              <w:spacing w:before="60" w:after="6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Operational Costs*</w:t>
            </w:r>
          </w:p>
        </w:tc>
        <w:tc>
          <w:tcPr>
            <w:tcW w:w="811" w:type="dxa"/>
            <w:tcBorders>
              <w:top w:val="dotted" w:sz="4" w:space="0" w:color="A6A6A6" w:themeColor="background1" w:themeShade="A6"/>
              <w:bottom w:val="dotted" w:sz="4" w:space="0" w:color="A6A6A6" w:themeColor="background1" w:themeShade="A6"/>
            </w:tcBorders>
            <w:shd w:val="clear" w:color="auto" w:fill="auto"/>
            <w:noWrap/>
            <w:hideMark/>
          </w:tcPr>
          <w:p w14:paraId="5145DB27" w14:textId="77777777" w:rsidR="00814A1E" w:rsidRPr="00530B43" w:rsidRDefault="00814A1E" w:rsidP="00530B43">
            <w:pPr>
              <w:spacing w:before="60" w:after="6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 </w:t>
            </w:r>
          </w:p>
        </w:tc>
        <w:tc>
          <w:tcPr>
            <w:tcW w:w="755"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7FF53ADC" w14:textId="77777777" w:rsidR="00814A1E" w:rsidRPr="00530B43" w:rsidRDefault="00814A1E" w:rsidP="00530B43">
            <w:pPr>
              <w:spacing w:before="60" w:after="6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 </w:t>
            </w:r>
          </w:p>
        </w:tc>
        <w:tc>
          <w:tcPr>
            <w:tcW w:w="811"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7DE00600" w14:textId="77777777" w:rsidR="00814A1E" w:rsidRPr="00530B43" w:rsidRDefault="00814A1E" w:rsidP="00530B43">
            <w:pPr>
              <w:spacing w:before="60" w:after="6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 </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1653266A" w14:textId="77777777" w:rsidR="00814A1E" w:rsidRPr="00530B43" w:rsidRDefault="00814A1E" w:rsidP="00530B43">
            <w:pPr>
              <w:spacing w:before="60" w:after="6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 </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0EF56017"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11,281</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767412F1"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16.4%</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5E07976B"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11,336</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6448C50D"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13.1%</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56BC741D"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10,086</w:t>
            </w:r>
          </w:p>
        </w:tc>
        <w:tc>
          <w:tcPr>
            <w:tcW w:w="756" w:type="dxa"/>
            <w:tcBorders>
              <w:top w:val="dotted" w:sz="4" w:space="0" w:color="A6A6A6" w:themeColor="background1" w:themeShade="A6"/>
              <w:bottom w:val="dotted" w:sz="4" w:space="0" w:color="A6A6A6" w:themeColor="background1" w:themeShade="A6"/>
              <w:right w:val="nil"/>
            </w:tcBorders>
            <w:shd w:val="clear" w:color="auto" w:fill="auto"/>
            <w:noWrap/>
            <w:hideMark/>
          </w:tcPr>
          <w:p w14:paraId="16BF680F" w14:textId="77777777" w:rsidR="00814A1E" w:rsidRPr="00530B43" w:rsidRDefault="00814A1E" w:rsidP="00530B43">
            <w:pPr>
              <w:spacing w:before="60" w:after="6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22.9%</w:t>
            </w:r>
          </w:p>
        </w:tc>
      </w:tr>
      <w:tr w:rsidR="00ED0B5A" w:rsidRPr="00530B43" w14:paraId="4C2DA48A" w14:textId="77777777" w:rsidTr="0072195A">
        <w:trPr>
          <w:trHeight w:val="255"/>
        </w:trPr>
        <w:tc>
          <w:tcPr>
            <w:cnfStyle w:val="001000000000" w:firstRow="0" w:lastRow="0" w:firstColumn="1" w:lastColumn="0" w:oddVBand="0" w:evenVBand="0" w:oddHBand="0" w:evenHBand="0" w:firstRowFirstColumn="0" w:firstRowLastColumn="0" w:lastRowFirstColumn="0" w:lastRowLastColumn="0"/>
            <w:tcW w:w="871" w:type="dxa"/>
            <w:tcBorders>
              <w:top w:val="dotted" w:sz="4" w:space="0" w:color="A6A6A6" w:themeColor="background1" w:themeShade="A6"/>
              <w:left w:val="nil"/>
              <w:bottom w:val="dotted" w:sz="4" w:space="0" w:color="A6A6A6" w:themeColor="background1" w:themeShade="A6"/>
            </w:tcBorders>
            <w:shd w:val="clear" w:color="auto" w:fill="F2F2F2" w:themeFill="background1" w:themeFillShade="F2"/>
            <w:noWrap/>
            <w:hideMark/>
          </w:tcPr>
          <w:p w14:paraId="6F5DDC71" w14:textId="2C6885FC" w:rsidR="00814A1E" w:rsidRPr="00530B43" w:rsidRDefault="00814A1E" w:rsidP="00530B43">
            <w:pPr>
              <w:spacing w:before="60" w:after="60"/>
              <w:jc w:val="center"/>
              <w:rPr>
                <w:rFonts w:ascii="Franklin Gothic Book" w:eastAsia="Times New Roman" w:hAnsi="Franklin Gothic Book" w:cs="Arial"/>
                <w:b w:val="0"/>
                <w:bCs w:val="0"/>
                <w:color w:val="000000"/>
                <w:sz w:val="18"/>
                <w:szCs w:val="18"/>
                <w:lang w:eastAsia="en-AU"/>
              </w:rPr>
            </w:pPr>
          </w:p>
        </w:tc>
        <w:tc>
          <w:tcPr>
            <w:tcW w:w="1581" w:type="dxa"/>
            <w:gridSpan w:val="2"/>
            <w:tcBorders>
              <w:top w:val="dotted" w:sz="4" w:space="0" w:color="A6A6A6" w:themeColor="background1" w:themeShade="A6"/>
              <w:bottom w:val="dotted" w:sz="4" w:space="0" w:color="A6A6A6" w:themeColor="background1" w:themeShade="A6"/>
            </w:tcBorders>
            <w:shd w:val="clear" w:color="auto" w:fill="F2F2F2" w:themeFill="background1" w:themeFillShade="F2"/>
            <w:hideMark/>
          </w:tcPr>
          <w:p w14:paraId="7EDEDB53" w14:textId="77777777" w:rsidR="00814A1E" w:rsidRPr="00530B43" w:rsidRDefault="00814A1E" w:rsidP="00530B43">
            <w:pPr>
              <w:spacing w:before="60" w:after="6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Total</w:t>
            </w:r>
          </w:p>
        </w:tc>
        <w:tc>
          <w:tcPr>
            <w:tcW w:w="811" w:type="dxa"/>
            <w:tcBorders>
              <w:top w:val="dotted" w:sz="4" w:space="0" w:color="A6A6A6" w:themeColor="background1" w:themeShade="A6"/>
              <w:bottom w:val="dotted" w:sz="4" w:space="0" w:color="A6A6A6" w:themeColor="background1" w:themeShade="A6"/>
            </w:tcBorders>
            <w:shd w:val="clear" w:color="auto" w:fill="auto"/>
            <w:noWrap/>
            <w:hideMark/>
          </w:tcPr>
          <w:p w14:paraId="4690FE28"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65,795</w:t>
            </w:r>
          </w:p>
        </w:tc>
        <w:tc>
          <w:tcPr>
            <w:tcW w:w="755"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437319E0"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100%</w:t>
            </w:r>
          </w:p>
        </w:tc>
        <w:tc>
          <w:tcPr>
            <w:tcW w:w="811"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31B47BF2"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51,312</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7403B705"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100%</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4D913F4A"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68,645</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5835D91E"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100%</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24D72892"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86,220</w:t>
            </w:r>
          </w:p>
        </w:tc>
        <w:tc>
          <w:tcPr>
            <w:tcW w:w="756" w:type="dxa"/>
            <w:tcBorders>
              <w:top w:val="dotted" w:sz="4" w:space="0" w:color="A6A6A6" w:themeColor="background1" w:themeShade="A6"/>
              <w:bottom w:val="dotted" w:sz="4" w:space="0" w:color="A6A6A6" w:themeColor="background1" w:themeShade="A6"/>
              <w:right w:val="single" w:sz="2" w:space="0" w:color="EFF3F7"/>
            </w:tcBorders>
            <w:shd w:val="clear" w:color="auto" w:fill="auto"/>
            <w:noWrap/>
            <w:hideMark/>
          </w:tcPr>
          <w:p w14:paraId="6D3C2641"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100%</w:t>
            </w:r>
          </w:p>
        </w:tc>
        <w:tc>
          <w:tcPr>
            <w:tcW w:w="812" w:type="dxa"/>
            <w:tcBorders>
              <w:top w:val="dotted" w:sz="4" w:space="0" w:color="A6A6A6" w:themeColor="background1" w:themeShade="A6"/>
              <w:left w:val="single" w:sz="2" w:space="0" w:color="EFF3F7"/>
              <w:bottom w:val="dotted" w:sz="4" w:space="0" w:color="A6A6A6" w:themeColor="background1" w:themeShade="A6"/>
            </w:tcBorders>
            <w:shd w:val="clear" w:color="auto" w:fill="auto"/>
            <w:noWrap/>
            <w:hideMark/>
          </w:tcPr>
          <w:p w14:paraId="379474D0"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000000"/>
                <w:sz w:val="18"/>
                <w:szCs w:val="18"/>
                <w:lang w:eastAsia="en-AU"/>
              </w:rPr>
            </w:pPr>
            <w:r w:rsidRPr="00530B43">
              <w:rPr>
                <w:rFonts w:ascii="Franklin Gothic Book" w:eastAsia="Times New Roman" w:hAnsi="Franklin Gothic Book" w:cs="Arial"/>
                <w:b/>
                <w:bCs/>
                <w:color w:val="000000"/>
                <w:sz w:val="18"/>
                <w:szCs w:val="18"/>
                <w:lang w:eastAsia="en-AU"/>
              </w:rPr>
              <w:t>44,079</w:t>
            </w:r>
          </w:p>
        </w:tc>
        <w:tc>
          <w:tcPr>
            <w:tcW w:w="756" w:type="dxa"/>
            <w:tcBorders>
              <w:top w:val="dotted" w:sz="4" w:space="0" w:color="A6A6A6" w:themeColor="background1" w:themeShade="A6"/>
              <w:bottom w:val="dotted" w:sz="4" w:space="0" w:color="A6A6A6" w:themeColor="background1" w:themeShade="A6"/>
              <w:right w:val="nil"/>
            </w:tcBorders>
            <w:shd w:val="clear" w:color="auto" w:fill="auto"/>
            <w:noWrap/>
            <w:hideMark/>
          </w:tcPr>
          <w:p w14:paraId="55522A4D" w14:textId="77777777" w:rsidR="00814A1E" w:rsidRPr="00530B43" w:rsidRDefault="00814A1E" w:rsidP="00530B43">
            <w:pPr>
              <w:spacing w:before="60" w:after="6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8"/>
                <w:szCs w:val="18"/>
                <w:lang w:eastAsia="en-AU"/>
              </w:rPr>
            </w:pPr>
            <w:r w:rsidRPr="00530B43">
              <w:rPr>
                <w:rFonts w:ascii="Franklin Gothic Book" w:eastAsia="Times New Roman" w:hAnsi="Franklin Gothic Book" w:cs="Arial"/>
                <w:color w:val="000000"/>
                <w:sz w:val="18"/>
                <w:szCs w:val="18"/>
                <w:lang w:eastAsia="en-AU"/>
              </w:rPr>
              <w:t>100%</w:t>
            </w:r>
          </w:p>
        </w:tc>
      </w:tr>
    </w:tbl>
    <w:p w14:paraId="1FCC7FA3" w14:textId="77777777" w:rsidR="0072195A" w:rsidRPr="0072195A" w:rsidRDefault="0072195A" w:rsidP="0072195A">
      <w:pPr>
        <w:spacing w:before="60" w:after="60"/>
        <w:rPr>
          <w:rFonts w:ascii="Franklin Gothic Book" w:eastAsia="Times New Roman" w:hAnsi="Franklin Gothic Book" w:cs="Arial"/>
          <w:color w:val="FFFFFF" w:themeColor="background1"/>
          <w:sz w:val="18"/>
          <w:szCs w:val="18"/>
          <w:lang w:eastAsia="en-AU"/>
        </w:rPr>
      </w:pPr>
      <w:r w:rsidRPr="0072195A">
        <w:rPr>
          <w:rFonts w:ascii="Franklin Gothic Book" w:eastAsia="Times New Roman" w:hAnsi="Franklin Gothic Book" w:cs="Arial"/>
          <w:sz w:val="18"/>
          <w:szCs w:val="18"/>
          <w:lang w:eastAsia="en-AU"/>
        </w:rPr>
        <w:t>^ Road maintenance funding including Manus, Bougainville, supervision PMSC, technical consultancies, AIFFP Preparatory Project</w:t>
      </w:r>
    </w:p>
    <w:p w14:paraId="03494365" w14:textId="77777777" w:rsidR="0072195A" w:rsidRPr="0072195A" w:rsidRDefault="0072195A" w:rsidP="0072195A">
      <w:pPr>
        <w:spacing w:before="60" w:after="60"/>
        <w:rPr>
          <w:rFonts w:ascii="Franklin Gothic Book" w:eastAsia="Times New Roman" w:hAnsi="Franklin Gothic Book" w:cs="Arial"/>
          <w:color w:val="FFFFFF" w:themeColor="background1"/>
          <w:sz w:val="18"/>
          <w:szCs w:val="18"/>
          <w:lang w:eastAsia="en-AU"/>
        </w:rPr>
      </w:pPr>
      <w:r w:rsidRPr="0072195A">
        <w:rPr>
          <w:rFonts w:ascii="Franklin Gothic Book" w:eastAsia="Times New Roman" w:hAnsi="Franklin Gothic Book" w:cs="Arial"/>
          <w:sz w:val="18"/>
          <w:szCs w:val="18"/>
          <w:lang w:eastAsia="en-AU"/>
        </w:rPr>
        <w:t>` Includes expenditure for partnership ASAs, MoU etc.</w:t>
      </w:r>
    </w:p>
    <w:p w14:paraId="2CAB2F7E" w14:textId="77777777" w:rsidR="0072195A" w:rsidRPr="0072195A" w:rsidRDefault="0072195A" w:rsidP="0072195A">
      <w:pPr>
        <w:spacing w:before="60" w:after="60"/>
        <w:rPr>
          <w:rFonts w:ascii="Franklin Gothic Book" w:eastAsia="Times New Roman" w:hAnsi="Franklin Gothic Book" w:cs="Arial"/>
          <w:color w:val="FFFFFF" w:themeColor="background1"/>
          <w:sz w:val="18"/>
          <w:szCs w:val="18"/>
          <w:lang w:eastAsia="en-AU"/>
        </w:rPr>
      </w:pPr>
      <w:r w:rsidRPr="0072195A">
        <w:rPr>
          <w:rFonts w:ascii="Franklin Gothic Book" w:eastAsia="Times New Roman" w:hAnsi="Franklin Gothic Book" w:cs="Arial"/>
          <w:sz w:val="18"/>
          <w:szCs w:val="18"/>
          <w:lang w:eastAsia="en-AU"/>
        </w:rPr>
        <w:t>* Includes local and adviser support, taxes and fees. 2016 &amp; 2017 reporting does not split out these costs from EOPOs.</w:t>
      </w:r>
    </w:p>
    <w:p w14:paraId="76C61261" w14:textId="3E49B849" w:rsidR="00317D76" w:rsidRDefault="0072195A" w:rsidP="00814A1E">
      <w:pPr>
        <w:pStyle w:val="BodyBullets"/>
        <w:numPr>
          <w:ilvl w:val="0"/>
          <w:numId w:val="0"/>
        </w:numPr>
        <w:rPr>
          <w:rFonts w:ascii="Arial" w:hAnsi="Arial" w:cs="Arial"/>
        </w:rPr>
      </w:pPr>
      <w:r w:rsidRPr="0072195A">
        <w:rPr>
          <w:rFonts w:ascii="Franklin Gothic Book" w:eastAsia="Times New Roman" w:hAnsi="Franklin Gothic Book" w:cs="Arial"/>
          <w:i/>
          <w:sz w:val="18"/>
          <w:szCs w:val="18"/>
          <w:lang w:eastAsia="en-AU"/>
        </w:rPr>
        <w:t>Source: TSSP Annual Program Performance Report 2016-2020. 2013, 2014 and 2015 reports are unavailable.</w:t>
      </w:r>
    </w:p>
    <w:p w14:paraId="769C036C" w14:textId="445AE849" w:rsidR="00215D82" w:rsidRPr="00717CBA" w:rsidRDefault="00814A1E" w:rsidP="00814A1E">
      <w:pPr>
        <w:pStyle w:val="BodyBullets"/>
        <w:numPr>
          <w:ilvl w:val="0"/>
          <w:numId w:val="0"/>
        </w:numPr>
        <w:rPr>
          <w:rFonts w:ascii="Franklin Gothic Book" w:hAnsi="Franklin Gothic Book" w:cs="Arial"/>
          <w:sz w:val="20"/>
          <w:szCs w:val="20"/>
        </w:rPr>
      </w:pPr>
      <w:r w:rsidRPr="00717CBA">
        <w:rPr>
          <w:rFonts w:ascii="Franklin Gothic Book" w:hAnsi="Franklin Gothic Book" w:cs="Arial"/>
          <w:sz w:val="20"/>
          <w:szCs w:val="20"/>
        </w:rPr>
        <w:t xml:space="preserve">By comparison, expenditure on sector capacity development (EOPO1) </w:t>
      </w:r>
      <w:r w:rsidR="00524681" w:rsidRPr="00717CBA">
        <w:rPr>
          <w:rFonts w:ascii="Franklin Gothic Book" w:hAnsi="Franklin Gothic Book" w:cs="Arial"/>
          <w:sz w:val="20"/>
          <w:szCs w:val="20"/>
        </w:rPr>
        <w:t>typically ranges</w:t>
      </w:r>
      <w:r w:rsidRPr="00717CBA">
        <w:rPr>
          <w:rFonts w:ascii="Franklin Gothic Book" w:hAnsi="Franklin Gothic Book" w:cs="Arial"/>
          <w:sz w:val="20"/>
          <w:szCs w:val="20"/>
        </w:rPr>
        <w:t xml:space="preserve"> between 0.5% - 1.5% of </w:t>
      </w:r>
      <w:r w:rsidR="00524681" w:rsidRPr="00717CBA">
        <w:rPr>
          <w:rFonts w:ascii="Franklin Gothic Book" w:hAnsi="Franklin Gothic Book" w:cs="Arial"/>
          <w:sz w:val="20"/>
          <w:szCs w:val="20"/>
        </w:rPr>
        <w:t xml:space="preserve">total </w:t>
      </w:r>
      <w:r w:rsidRPr="00717CBA">
        <w:rPr>
          <w:rFonts w:ascii="Franklin Gothic Book" w:hAnsi="Franklin Gothic Book" w:cs="Arial"/>
          <w:sz w:val="20"/>
          <w:szCs w:val="20"/>
        </w:rPr>
        <w:t>program expenditure (2016 and 2017 figures include adviser costs) as the activities most</w:t>
      </w:r>
      <w:r w:rsidR="008B4D1E">
        <w:rPr>
          <w:rFonts w:ascii="Franklin Gothic Book" w:hAnsi="Franklin Gothic Book" w:cs="Arial"/>
          <w:sz w:val="20"/>
          <w:szCs w:val="20"/>
        </w:rPr>
        <w:t>l</w:t>
      </w:r>
      <w:r w:rsidR="00187366">
        <w:rPr>
          <w:rFonts w:ascii="Franklin Gothic Book" w:hAnsi="Franklin Gothic Book" w:cs="Arial"/>
          <w:sz w:val="20"/>
          <w:szCs w:val="20"/>
        </w:rPr>
        <w:t>y</w:t>
      </w:r>
      <w:r w:rsidRPr="00717CBA">
        <w:rPr>
          <w:rFonts w:ascii="Franklin Gothic Book" w:hAnsi="Franklin Gothic Book" w:cs="Arial"/>
          <w:sz w:val="20"/>
          <w:szCs w:val="20"/>
        </w:rPr>
        <w:t xml:space="preserve"> involve planning and institutional support. Expenditure on </w:t>
      </w:r>
      <w:r w:rsidR="658A1F39" w:rsidRPr="00717CBA">
        <w:rPr>
          <w:rFonts w:ascii="Franklin Gothic Book" w:hAnsi="Franklin Gothic Book" w:cs="Arial"/>
          <w:sz w:val="20"/>
          <w:szCs w:val="20"/>
        </w:rPr>
        <w:t>Aviation and</w:t>
      </w:r>
      <w:r w:rsidRPr="00717CBA">
        <w:rPr>
          <w:rFonts w:ascii="Franklin Gothic Book" w:hAnsi="Franklin Gothic Book" w:cs="Arial"/>
          <w:sz w:val="20"/>
          <w:szCs w:val="20"/>
        </w:rPr>
        <w:t xml:space="preserve"> Maritime Safety and Security (EOPO3) is also relatively low </w:t>
      </w:r>
      <w:r w:rsidR="00111147" w:rsidRPr="00717CBA">
        <w:rPr>
          <w:rFonts w:ascii="Franklin Gothic Book" w:hAnsi="Franklin Gothic Book" w:cs="Arial"/>
          <w:sz w:val="20"/>
          <w:szCs w:val="20"/>
        </w:rPr>
        <w:t xml:space="preserve">at </w:t>
      </w:r>
      <w:r w:rsidR="00C83C27" w:rsidRPr="00717CBA">
        <w:rPr>
          <w:rFonts w:ascii="Franklin Gothic Book" w:hAnsi="Franklin Gothic Book" w:cs="Arial"/>
          <w:sz w:val="20"/>
          <w:szCs w:val="20"/>
        </w:rPr>
        <w:t xml:space="preserve">between </w:t>
      </w:r>
      <w:r w:rsidRPr="00717CBA">
        <w:rPr>
          <w:rFonts w:ascii="Franklin Gothic Book" w:hAnsi="Franklin Gothic Book" w:cs="Arial"/>
          <w:sz w:val="20"/>
          <w:szCs w:val="20"/>
        </w:rPr>
        <w:t xml:space="preserve">2.4% - 6.1% of program expenditure, depending on the level </w:t>
      </w:r>
      <w:r w:rsidR="00212BB4">
        <w:rPr>
          <w:rFonts w:ascii="Franklin Gothic Book" w:hAnsi="Franklin Gothic Book" w:cs="Arial"/>
          <w:sz w:val="20"/>
          <w:szCs w:val="20"/>
        </w:rPr>
        <w:t xml:space="preserve">of </w:t>
      </w:r>
      <w:r w:rsidR="00796CDC" w:rsidRPr="00717CBA">
        <w:rPr>
          <w:rFonts w:ascii="Franklin Gothic Book" w:hAnsi="Franklin Gothic Book" w:cs="Arial"/>
          <w:sz w:val="20"/>
          <w:szCs w:val="20"/>
        </w:rPr>
        <w:t>services</w:t>
      </w:r>
      <w:r w:rsidRPr="00717CBA">
        <w:rPr>
          <w:rFonts w:ascii="Franklin Gothic Book" w:hAnsi="Franklin Gothic Book" w:cs="Arial"/>
          <w:sz w:val="20"/>
          <w:szCs w:val="20"/>
        </w:rPr>
        <w:t xml:space="preserve"> </w:t>
      </w:r>
      <w:r w:rsidR="00C83C27" w:rsidRPr="00717CBA">
        <w:rPr>
          <w:rFonts w:ascii="Franklin Gothic Book" w:hAnsi="Franklin Gothic Book" w:cs="Arial"/>
          <w:sz w:val="20"/>
          <w:szCs w:val="20"/>
        </w:rPr>
        <w:t>required</w:t>
      </w:r>
      <w:r w:rsidRPr="00717CBA">
        <w:rPr>
          <w:rFonts w:ascii="Franklin Gothic Book" w:hAnsi="Franklin Gothic Book" w:cs="Arial"/>
          <w:sz w:val="20"/>
          <w:szCs w:val="20"/>
        </w:rPr>
        <w:t xml:space="preserve"> </w:t>
      </w:r>
      <w:r w:rsidR="00544296" w:rsidRPr="00717CBA">
        <w:rPr>
          <w:rFonts w:ascii="Franklin Gothic Book" w:hAnsi="Franklin Gothic Book" w:cs="Arial"/>
          <w:sz w:val="20"/>
          <w:szCs w:val="20"/>
        </w:rPr>
        <w:t>e.g.,</w:t>
      </w:r>
      <w:r w:rsidRPr="00717CBA">
        <w:rPr>
          <w:rFonts w:ascii="Franklin Gothic Book" w:hAnsi="Franklin Gothic Book" w:cs="Arial"/>
          <w:sz w:val="20"/>
          <w:szCs w:val="20"/>
        </w:rPr>
        <w:t xml:space="preserve"> feasibility studies, and investment in equipment and infrastructure </w:t>
      </w:r>
      <w:r w:rsidR="00976411" w:rsidRPr="00717CBA">
        <w:rPr>
          <w:rFonts w:ascii="Franklin Gothic Book" w:hAnsi="Franklin Gothic Book" w:cs="Arial"/>
          <w:sz w:val="20"/>
          <w:szCs w:val="20"/>
        </w:rPr>
        <w:t xml:space="preserve">such as </w:t>
      </w:r>
      <w:r w:rsidRPr="00717CBA">
        <w:rPr>
          <w:rFonts w:ascii="Franklin Gothic Book" w:hAnsi="Franklin Gothic Book" w:cs="Arial"/>
          <w:sz w:val="20"/>
          <w:szCs w:val="20"/>
        </w:rPr>
        <w:t xml:space="preserve">satellite </w:t>
      </w:r>
      <w:r w:rsidR="6ACA4714" w:rsidRPr="00717CBA">
        <w:rPr>
          <w:rFonts w:ascii="Franklin Gothic Book" w:hAnsi="Franklin Gothic Book" w:cs="Arial"/>
          <w:sz w:val="20"/>
          <w:szCs w:val="20"/>
        </w:rPr>
        <w:t>navigation</w:t>
      </w:r>
      <w:r w:rsidR="5BEA7BAF" w:rsidRPr="00717CBA">
        <w:rPr>
          <w:rFonts w:ascii="Franklin Gothic Book" w:hAnsi="Franklin Gothic Book" w:cs="Arial"/>
          <w:sz w:val="20"/>
          <w:szCs w:val="20"/>
        </w:rPr>
        <w:t xml:space="preserve"> systems</w:t>
      </w:r>
      <w:r w:rsidRPr="00717CBA">
        <w:rPr>
          <w:rFonts w:ascii="Franklin Gothic Book" w:hAnsi="Franklin Gothic Book" w:cs="Arial"/>
          <w:sz w:val="20"/>
          <w:szCs w:val="20"/>
        </w:rPr>
        <w:t>.</w:t>
      </w:r>
      <w:r w:rsidR="002D327A" w:rsidRPr="00717CBA">
        <w:rPr>
          <w:rFonts w:ascii="Franklin Gothic Book" w:hAnsi="Franklin Gothic Book" w:cs="Arial"/>
          <w:sz w:val="20"/>
          <w:szCs w:val="20"/>
        </w:rPr>
        <w:t xml:space="preserve"> The under expenditure in capacity development and the maritime and aviation sectors is noted as a concern both within DFAT and the GoPNG</w:t>
      </w:r>
      <w:r w:rsidR="00AC6A5C" w:rsidRPr="00717CBA">
        <w:rPr>
          <w:rFonts w:ascii="Franklin Gothic Book" w:hAnsi="Franklin Gothic Book" w:cs="Arial"/>
          <w:sz w:val="20"/>
          <w:szCs w:val="20"/>
        </w:rPr>
        <w:t xml:space="preserve"> </w:t>
      </w:r>
      <w:r w:rsidR="00F16B52" w:rsidRPr="00717CBA">
        <w:rPr>
          <w:rFonts w:ascii="Franklin Gothic Book" w:hAnsi="Franklin Gothic Book" w:cs="Arial"/>
          <w:sz w:val="20"/>
          <w:szCs w:val="20"/>
        </w:rPr>
        <w:t>–</w:t>
      </w:r>
      <w:r w:rsidR="00AC6A5C" w:rsidRPr="00717CBA">
        <w:rPr>
          <w:rFonts w:ascii="Franklin Gothic Book" w:hAnsi="Franklin Gothic Book" w:cs="Arial"/>
          <w:sz w:val="20"/>
          <w:szCs w:val="20"/>
        </w:rPr>
        <w:t xml:space="preserve"> </w:t>
      </w:r>
      <w:r w:rsidR="00F16B52" w:rsidRPr="00717CBA">
        <w:rPr>
          <w:rFonts w:ascii="Franklin Gothic Book" w:hAnsi="Franklin Gothic Book" w:cs="Arial"/>
          <w:sz w:val="20"/>
          <w:szCs w:val="20"/>
        </w:rPr>
        <w:t xml:space="preserve">observations that are explored in the </w:t>
      </w:r>
      <w:r w:rsidR="00762692" w:rsidRPr="00717CBA">
        <w:rPr>
          <w:rFonts w:ascii="Franklin Gothic Book" w:hAnsi="Franklin Gothic Book" w:cs="Arial"/>
          <w:sz w:val="20"/>
          <w:szCs w:val="20"/>
        </w:rPr>
        <w:t xml:space="preserve">findings sections in the </w:t>
      </w:r>
      <w:r w:rsidR="00253FC6" w:rsidRPr="00717CBA">
        <w:rPr>
          <w:rFonts w:ascii="Franklin Gothic Book" w:hAnsi="Franklin Gothic Book" w:cs="Arial"/>
          <w:sz w:val="20"/>
          <w:szCs w:val="20"/>
        </w:rPr>
        <w:t>next chapte</w:t>
      </w:r>
      <w:r w:rsidR="004465B9" w:rsidRPr="00717CBA">
        <w:rPr>
          <w:rFonts w:ascii="Franklin Gothic Book" w:hAnsi="Franklin Gothic Book" w:cs="Arial"/>
          <w:sz w:val="20"/>
          <w:szCs w:val="20"/>
        </w:rPr>
        <w:t xml:space="preserve">rs of this </w:t>
      </w:r>
      <w:r w:rsidR="007D089A" w:rsidRPr="00717CBA">
        <w:rPr>
          <w:rFonts w:ascii="Franklin Gothic Book" w:hAnsi="Franklin Gothic Book" w:cs="Arial"/>
          <w:sz w:val="20"/>
          <w:szCs w:val="20"/>
        </w:rPr>
        <w:t>R</w:t>
      </w:r>
      <w:r w:rsidR="004465B9" w:rsidRPr="00717CBA">
        <w:rPr>
          <w:rFonts w:ascii="Franklin Gothic Book" w:hAnsi="Franklin Gothic Book" w:cs="Arial"/>
          <w:sz w:val="20"/>
          <w:szCs w:val="20"/>
        </w:rPr>
        <w:t>eport.</w:t>
      </w:r>
    </w:p>
    <w:p w14:paraId="0BFE3058" w14:textId="1DE8609E" w:rsidR="007D089A" w:rsidRPr="00A55B76" w:rsidRDefault="007D089A" w:rsidP="004C2507">
      <w:pPr>
        <w:pStyle w:val="Heading2"/>
        <w:numPr>
          <w:ilvl w:val="1"/>
          <w:numId w:val="40"/>
        </w:numPr>
      </w:pPr>
      <w:bookmarkStart w:id="25" w:name="_Toc99121775"/>
      <w:r>
        <w:t>Structure of the Review Report</w:t>
      </w:r>
      <w:bookmarkEnd w:id="25"/>
    </w:p>
    <w:p w14:paraId="63994DB6" w14:textId="4589834D" w:rsidR="007D089A" w:rsidRPr="00717CBA" w:rsidRDefault="00C9278F" w:rsidP="00C9278F">
      <w:pPr>
        <w:pStyle w:val="BodyText"/>
        <w:rPr>
          <w:rFonts w:cs="Arial"/>
          <w:szCs w:val="20"/>
          <w:lang w:val="en-US"/>
        </w:rPr>
      </w:pPr>
      <w:r w:rsidRPr="00717CBA">
        <w:rPr>
          <w:rFonts w:cs="Arial"/>
          <w:szCs w:val="20"/>
          <w:lang w:val="en-US"/>
        </w:rPr>
        <w:t xml:space="preserve">The following </w:t>
      </w:r>
      <w:r w:rsidR="007D089A" w:rsidRPr="00717CBA">
        <w:rPr>
          <w:rFonts w:cs="Arial"/>
          <w:szCs w:val="20"/>
          <w:lang w:val="en-US"/>
        </w:rPr>
        <w:t>chapters</w:t>
      </w:r>
      <w:r w:rsidRPr="00717CBA">
        <w:rPr>
          <w:rFonts w:cs="Arial"/>
          <w:szCs w:val="20"/>
          <w:lang w:val="en-US"/>
        </w:rPr>
        <w:t xml:space="preserve"> of the </w:t>
      </w:r>
      <w:r w:rsidR="007D089A" w:rsidRPr="00717CBA">
        <w:rPr>
          <w:rFonts w:cs="Arial"/>
          <w:szCs w:val="20"/>
          <w:lang w:val="en-US"/>
        </w:rPr>
        <w:t>R</w:t>
      </w:r>
      <w:r w:rsidRPr="00717CBA">
        <w:rPr>
          <w:rFonts w:cs="Arial"/>
          <w:szCs w:val="20"/>
          <w:lang w:val="en-US"/>
        </w:rPr>
        <w:t>eport present the Review findings. The chapters are grouped along the Review objectives</w:t>
      </w:r>
      <w:r w:rsidR="00840C67" w:rsidRPr="00717CBA">
        <w:rPr>
          <w:rFonts w:cs="Arial"/>
          <w:szCs w:val="20"/>
          <w:lang w:val="en-US"/>
        </w:rPr>
        <w:t xml:space="preserve"> of</w:t>
      </w:r>
      <w:r w:rsidRPr="00717CBA">
        <w:rPr>
          <w:rFonts w:cs="Arial"/>
          <w:szCs w:val="20"/>
          <w:lang w:val="en-US"/>
        </w:rPr>
        <w:t xml:space="preserve"> Program design</w:t>
      </w:r>
      <w:r w:rsidR="00840C67" w:rsidRPr="00717CBA">
        <w:rPr>
          <w:rFonts w:cs="Arial"/>
          <w:szCs w:val="20"/>
          <w:lang w:val="en-US"/>
        </w:rPr>
        <w:t xml:space="preserve"> and</w:t>
      </w:r>
      <w:r w:rsidR="00D86784" w:rsidRPr="00717CBA">
        <w:rPr>
          <w:rFonts w:cs="Arial"/>
          <w:szCs w:val="20"/>
          <w:lang w:val="en-US"/>
        </w:rPr>
        <w:t xml:space="preserve"> </w:t>
      </w:r>
      <w:r w:rsidRPr="00717CBA">
        <w:rPr>
          <w:rFonts w:cs="Arial"/>
          <w:szCs w:val="20"/>
          <w:lang w:val="en-US"/>
        </w:rPr>
        <w:t xml:space="preserve">Program implementation. The report is structured by the </w:t>
      </w:r>
      <w:r w:rsidR="007D089A" w:rsidRPr="00717CBA">
        <w:rPr>
          <w:rFonts w:cs="Arial"/>
          <w:szCs w:val="20"/>
          <w:lang w:val="en-US"/>
        </w:rPr>
        <w:t>key evaluation questions</w:t>
      </w:r>
      <w:r w:rsidR="00187366">
        <w:rPr>
          <w:rFonts w:cs="Arial"/>
          <w:szCs w:val="20"/>
          <w:lang w:val="en-US"/>
        </w:rPr>
        <w:t>,</w:t>
      </w:r>
      <w:r w:rsidRPr="00717CBA">
        <w:rPr>
          <w:rFonts w:cs="Arial"/>
          <w:szCs w:val="20"/>
          <w:lang w:val="en-US"/>
        </w:rPr>
        <w:t xml:space="preserve"> which </w:t>
      </w:r>
      <w:r w:rsidRPr="00717CBA" w:rsidDel="00842973">
        <w:rPr>
          <w:rFonts w:cs="Arial"/>
          <w:szCs w:val="20"/>
          <w:lang w:val="en-US"/>
        </w:rPr>
        <w:t>were grouped</w:t>
      </w:r>
      <w:r w:rsidR="00D8174C" w:rsidRPr="00717CBA">
        <w:rPr>
          <w:rFonts w:cs="Arial"/>
          <w:szCs w:val="20"/>
          <w:lang w:val="en-US"/>
        </w:rPr>
        <w:t xml:space="preserve"> together </w:t>
      </w:r>
      <w:r w:rsidRPr="00717CBA">
        <w:rPr>
          <w:rFonts w:cs="Arial"/>
          <w:szCs w:val="20"/>
          <w:lang w:val="en-US"/>
        </w:rPr>
        <w:t xml:space="preserve">and guided both the analysis and structure of the Report. </w:t>
      </w:r>
    </w:p>
    <w:p w14:paraId="788ECB7A" w14:textId="7D21A197" w:rsidR="00D873FF" w:rsidRPr="00717CBA" w:rsidRDefault="00C9278F" w:rsidP="003C57B9">
      <w:pPr>
        <w:rPr>
          <w:rFonts w:ascii="Franklin Gothic Book" w:hAnsi="Franklin Gothic Book" w:cs="Arial"/>
          <w:lang w:val="en-US"/>
        </w:rPr>
      </w:pPr>
      <w:r w:rsidRPr="00717CBA">
        <w:rPr>
          <w:rFonts w:ascii="Franklin Gothic Book" w:hAnsi="Franklin Gothic Book"/>
          <w:lang w:val="en-US"/>
        </w:rPr>
        <w:t xml:space="preserve">In each </w:t>
      </w:r>
      <w:r w:rsidR="007D089A" w:rsidRPr="00717CBA">
        <w:rPr>
          <w:rFonts w:ascii="Franklin Gothic Book" w:hAnsi="Franklin Gothic Book" w:cs="Arial"/>
          <w:lang w:val="en-US"/>
        </w:rPr>
        <w:t>c</w:t>
      </w:r>
      <w:r w:rsidRPr="00717CBA">
        <w:rPr>
          <w:rFonts w:ascii="Franklin Gothic Book" w:hAnsi="Franklin Gothic Book" w:cs="Arial"/>
          <w:lang w:val="en-US"/>
        </w:rPr>
        <w:t xml:space="preserve">hapter, the relevant key findings, conclusions, and recommendations are provided. The last chapter provides the overall conclusion of the Review and provides broad strategic and programmatic considerations </w:t>
      </w:r>
      <w:r w:rsidR="00A867BF">
        <w:rPr>
          <w:rFonts w:ascii="Franklin Gothic Book" w:hAnsi="Franklin Gothic Book" w:cs="Arial"/>
          <w:lang w:val="en-US"/>
        </w:rPr>
        <w:t>for</w:t>
      </w:r>
      <w:r w:rsidR="00D7050C">
        <w:rPr>
          <w:rFonts w:ascii="Franklin Gothic Book" w:hAnsi="Franklin Gothic Book" w:cs="Arial"/>
          <w:lang w:val="en-US"/>
        </w:rPr>
        <w:t xml:space="preserve"> </w:t>
      </w:r>
      <w:r w:rsidRPr="00717CBA">
        <w:rPr>
          <w:rFonts w:ascii="Franklin Gothic Book" w:hAnsi="Franklin Gothic Book" w:cs="Arial"/>
          <w:lang w:val="en-US"/>
        </w:rPr>
        <w:t xml:space="preserve">the future. </w:t>
      </w:r>
    </w:p>
    <w:p w14:paraId="0793E4E2" w14:textId="77777777" w:rsidR="00777D5E" w:rsidRDefault="00777D5E" w:rsidP="003C57B9">
      <w:pPr>
        <w:rPr>
          <w:b/>
          <w:color w:val="003478"/>
          <w:sz w:val="28"/>
        </w:rPr>
      </w:pPr>
      <w:r w:rsidRPr="003C57B9">
        <w:br w:type="page"/>
      </w:r>
    </w:p>
    <w:p w14:paraId="26FD7C9C" w14:textId="22BCBD49" w:rsidR="00B72942" w:rsidRPr="00777D5E" w:rsidRDefault="00873370" w:rsidP="0024772A">
      <w:pPr>
        <w:pStyle w:val="Heading1"/>
      </w:pPr>
      <w:r w:rsidRPr="00777D5E">
        <w:lastRenderedPageBreak/>
        <w:t xml:space="preserve"> </w:t>
      </w:r>
      <w:bookmarkStart w:id="26" w:name="_Toc99121776"/>
      <w:r w:rsidR="00B72942" w:rsidRPr="00777D5E">
        <w:t>Relevance of the program design</w:t>
      </w:r>
      <w:bookmarkEnd w:id="26"/>
    </w:p>
    <w:p w14:paraId="1F04F484" w14:textId="43A47E55" w:rsidR="00B808FD" w:rsidRPr="00621C9E" w:rsidRDefault="00B808FD" w:rsidP="00B808FD">
      <w:pPr>
        <w:pStyle w:val="BodyText"/>
        <w:rPr>
          <w:rFonts w:cs="Arial"/>
        </w:rPr>
      </w:pPr>
      <w:bookmarkStart w:id="27" w:name="_Hlk95055093"/>
      <w:r w:rsidRPr="00621C9E">
        <w:rPr>
          <w:rFonts w:cs="Arial"/>
        </w:rPr>
        <w:t xml:space="preserve">This </w:t>
      </w:r>
      <w:r>
        <w:rPr>
          <w:rFonts w:cs="Arial"/>
        </w:rPr>
        <w:t>chapter</w:t>
      </w:r>
      <w:r w:rsidRPr="00621C9E">
        <w:rPr>
          <w:rFonts w:cs="Arial"/>
        </w:rPr>
        <w:t xml:space="preserve"> presents the key findings on the TSSP2 design</w:t>
      </w:r>
      <w:r>
        <w:rPr>
          <w:rFonts w:cs="Arial"/>
        </w:rPr>
        <w:t>’s</w:t>
      </w:r>
      <w:r w:rsidRPr="00621C9E">
        <w:rPr>
          <w:rFonts w:cs="Arial"/>
        </w:rPr>
        <w:t xml:space="preserve"> validity and efficacy and whether the design was fit</w:t>
      </w:r>
      <w:r>
        <w:rPr>
          <w:rFonts w:cs="Arial"/>
        </w:rPr>
        <w:t xml:space="preserve"> </w:t>
      </w:r>
      <w:r w:rsidRPr="00621C9E">
        <w:rPr>
          <w:rFonts w:cs="Arial"/>
        </w:rPr>
        <w:t>for</w:t>
      </w:r>
      <w:r>
        <w:rPr>
          <w:rFonts w:cs="Arial"/>
        </w:rPr>
        <w:t xml:space="preserve"> </w:t>
      </w:r>
      <w:r w:rsidRPr="00621C9E">
        <w:rPr>
          <w:rFonts w:cs="Arial"/>
        </w:rPr>
        <w:t xml:space="preserve">purpose. The </w:t>
      </w:r>
      <w:r>
        <w:rPr>
          <w:rFonts w:cs="Arial"/>
        </w:rPr>
        <w:t>chapter</w:t>
      </w:r>
      <w:r w:rsidRPr="00621C9E">
        <w:rPr>
          <w:rFonts w:cs="Arial"/>
        </w:rPr>
        <w:t xml:space="preserve"> explores</w:t>
      </w:r>
      <w:r>
        <w:rPr>
          <w:rFonts w:cs="Arial"/>
        </w:rPr>
        <w:t xml:space="preserve"> the</w:t>
      </w:r>
      <w:r w:rsidRPr="00621C9E">
        <w:rPr>
          <w:rFonts w:cs="Arial"/>
        </w:rPr>
        <w:t xml:space="preserve"> TSSP2 program logic, implementation arrangements, partnerships, contracting and organisational structure. In concluding the chapter, the Review provides options for future designs including alternative forms of program designs to fit the current operating context in PNG and</w:t>
      </w:r>
      <w:r>
        <w:rPr>
          <w:rFonts w:cs="Arial"/>
        </w:rPr>
        <w:t xml:space="preserve"> within</w:t>
      </w:r>
      <w:r w:rsidRPr="00621C9E">
        <w:rPr>
          <w:rFonts w:cs="Arial"/>
        </w:rPr>
        <w:t xml:space="preserve"> DFAT. </w:t>
      </w:r>
    </w:p>
    <w:p w14:paraId="0074F767" w14:textId="1CA2E697" w:rsidR="005C60D2" w:rsidRPr="000E3BFD" w:rsidRDefault="005C60D2" w:rsidP="005C60D2">
      <w:pPr>
        <w:pStyle w:val="BodyText"/>
      </w:pPr>
      <w:r>
        <w:t xml:space="preserve">The </w:t>
      </w:r>
      <w:r w:rsidRPr="00621C9E">
        <w:t>TSSP2 design was completed in January 2013. The design reflected lessons learned from TSSP Phase 1 (TSSP1) and the changing transport sector priorities</w:t>
      </w:r>
      <w:r>
        <w:t xml:space="preserve"> in PNG</w:t>
      </w:r>
      <w:r w:rsidRPr="00621C9E">
        <w:t>. The design retained three major elements of TSSP1</w:t>
      </w:r>
      <w:r>
        <w:t>:</w:t>
      </w:r>
      <w:r w:rsidRPr="00621C9E">
        <w:t xml:space="preserve"> </w:t>
      </w:r>
      <w:r>
        <w:t xml:space="preserve">(1) </w:t>
      </w:r>
      <w:r w:rsidRPr="00621C9E">
        <w:t>public sector reform in line agencies;</w:t>
      </w:r>
      <w:r>
        <w:t xml:space="preserve"> (2) </w:t>
      </w:r>
      <w:r w:rsidRPr="00621C9E">
        <w:t>central agency engagement</w:t>
      </w:r>
      <w:r>
        <w:t>;</w:t>
      </w:r>
      <w:r w:rsidRPr="00621C9E">
        <w:t xml:space="preserve"> and </w:t>
      </w:r>
      <w:r>
        <w:t xml:space="preserve">(3) </w:t>
      </w:r>
      <w:r w:rsidRPr="00621C9E">
        <w:t xml:space="preserve">prioritised transport asset maintenance. The TSSP2 design showed minimal deviation to the implementation approach from TSSP1 to TSSP2, with a focus on retaining a </w:t>
      </w:r>
      <w:r w:rsidRPr="00A67A12">
        <w:rPr>
          <w:rFonts w:cs="Arial"/>
        </w:rPr>
        <w:t>whole</w:t>
      </w:r>
      <w:r w:rsidRPr="00621C9E">
        <w:t>-of-sector footprint covering maritime, aviation and land transport and retaining the major focus on land transport with the DoW being the principal implementing agency</w:t>
      </w:r>
      <w:r>
        <w:t xml:space="preserve">. </w:t>
      </w:r>
      <w:r w:rsidRPr="00621C9E">
        <w:t xml:space="preserve">The </w:t>
      </w:r>
      <w:r>
        <w:t xml:space="preserve">proposed minor deviations included increased </w:t>
      </w:r>
      <w:r w:rsidRPr="00621C9E">
        <w:t>capacity building</w:t>
      </w:r>
      <w:r>
        <w:t xml:space="preserve"> and </w:t>
      </w:r>
      <w:r w:rsidRPr="00621C9E">
        <w:t>organisation reform</w:t>
      </w:r>
      <w:r>
        <w:t xml:space="preserve"> as well as strengthened engagement with PNG </w:t>
      </w:r>
      <w:r w:rsidRPr="00621C9E">
        <w:t xml:space="preserve">agencies </w:t>
      </w:r>
      <w:r>
        <w:t>and support to address sector challenges</w:t>
      </w:r>
      <w:r w:rsidRPr="00621C9E">
        <w:t xml:space="preserve">. </w:t>
      </w:r>
    </w:p>
    <w:p w14:paraId="2243E2FE" w14:textId="750DE177" w:rsidR="005C60D2" w:rsidRPr="00621C9E" w:rsidRDefault="005C60D2" w:rsidP="005C60D2">
      <w:pPr>
        <w:pStyle w:val="BodyText"/>
        <w:rPr>
          <w:rFonts w:cs="Arial"/>
        </w:rPr>
      </w:pPr>
      <w:r w:rsidRPr="00621C9E">
        <w:rPr>
          <w:rFonts w:cs="Arial"/>
        </w:rPr>
        <w:t xml:space="preserve">The design envisaged an implementation approach that included an implementing service provider responsible for governance and capacity development, </w:t>
      </w:r>
      <w:r>
        <w:rPr>
          <w:rFonts w:cs="Arial"/>
        </w:rPr>
        <w:t xml:space="preserve">as well as </w:t>
      </w:r>
      <w:r w:rsidRPr="00621C9E">
        <w:rPr>
          <w:rFonts w:cs="Arial"/>
        </w:rPr>
        <w:t>technical assistance from Australian transport agencies that would focus on transport safety and security with a Project Management and Supervision Consultancy (PMSC).</w:t>
      </w:r>
      <w:r w:rsidR="00D7050C">
        <w:rPr>
          <w:rFonts w:cs="Arial"/>
        </w:rPr>
        <w:t xml:space="preserve"> </w:t>
      </w:r>
      <w:r w:rsidRPr="00621C9E">
        <w:rPr>
          <w:rFonts w:cs="Arial"/>
        </w:rPr>
        <w:t xml:space="preserve">The design committed to using the </w:t>
      </w:r>
      <w:r>
        <w:rPr>
          <w:rFonts w:cs="Arial"/>
        </w:rPr>
        <w:t>Go</w:t>
      </w:r>
      <w:r w:rsidRPr="00621C9E">
        <w:rPr>
          <w:rFonts w:cs="Arial"/>
        </w:rPr>
        <w:t>PNG systems where feasible and sensible to do so as long as those systems were working, transparent and fit</w:t>
      </w:r>
      <w:r>
        <w:rPr>
          <w:rFonts w:cs="Arial"/>
        </w:rPr>
        <w:t xml:space="preserve"> </w:t>
      </w:r>
      <w:r w:rsidRPr="00621C9E">
        <w:rPr>
          <w:rFonts w:cs="Arial"/>
        </w:rPr>
        <w:t>for</w:t>
      </w:r>
      <w:r>
        <w:rPr>
          <w:rFonts w:cs="Arial"/>
        </w:rPr>
        <w:t xml:space="preserve"> </w:t>
      </w:r>
      <w:r w:rsidRPr="00621C9E">
        <w:rPr>
          <w:rFonts w:cs="Arial"/>
        </w:rPr>
        <w:t xml:space="preserve">purpose. </w:t>
      </w:r>
    </w:p>
    <w:p w14:paraId="6899A2C1" w14:textId="7E537C38" w:rsidR="005C60D2" w:rsidRPr="00621C9E" w:rsidRDefault="005C60D2" w:rsidP="00B808FD">
      <w:pPr>
        <w:pStyle w:val="BodyText"/>
        <w:rPr>
          <w:rFonts w:cs="Arial"/>
        </w:rPr>
      </w:pPr>
      <w:r w:rsidRPr="00621C9E">
        <w:rPr>
          <w:rFonts w:cs="Arial"/>
        </w:rPr>
        <w:t xml:space="preserve">The design included a program logic that consisted of outcomes aligned to the three components of the Program and an indicative M&amp;E Framework (MEF). Under the MEF, each component outcomes comprised of performance indicators, targets, the process for data collection and reporting responsibilities. In the design document, the MEF flagged access to data and information capture as well as the absence of M&amp;E capacities and capabilities within GoPNG transport agencies as areas of concern. </w:t>
      </w:r>
    </w:p>
    <w:p w14:paraId="76583C36" w14:textId="2D5F1F99" w:rsidR="00B72942" w:rsidRPr="004C2507" w:rsidRDefault="00B72942" w:rsidP="004C2507">
      <w:pPr>
        <w:pStyle w:val="Heading2"/>
        <w:numPr>
          <w:ilvl w:val="1"/>
          <w:numId w:val="45"/>
        </w:numPr>
        <w:rPr>
          <w:rFonts w:cs="Arial"/>
          <w:sz w:val="19"/>
          <w:szCs w:val="19"/>
        </w:rPr>
      </w:pPr>
      <w:bookmarkStart w:id="28" w:name="_Toc99121777"/>
      <w:bookmarkEnd w:id="27"/>
      <w:r w:rsidRPr="00777D5E">
        <w:t>Key findings</w:t>
      </w:r>
      <w:bookmarkEnd w:id="28"/>
    </w:p>
    <w:p w14:paraId="18C71E01" w14:textId="77777777" w:rsidR="00126A3F" w:rsidRDefault="00126A3F" w:rsidP="00126A3F">
      <w:pPr>
        <w:pStyle w:val="BodyText"/>
        <w:rPr>
          <w:rFonts w:cs="Arial"/>
        </w:rPr>
      </w:pPr>
      <w:bookmarkStart w:id="29" w:name="_Hlk95235962"/>
      <w:r w:rsidRPr="00621C9E">
        <w:rPr>
          <w:rFonts w:cs="Arial"/>
        </w:rPr>
        <w:t xml:space="preserve">The TSSP2 design remains relevant both at the programmatic and political levels. DFAT’s investment in TSSP2 continues to be important and provides the PNG-Australia Partnership for Development with a broad range of investment opportunities to support the economic development of PNG. The investment in transport infrastructure enables international and domestic linkages between businesses and customers as well as access for communities to essential services. </w:t>
      </w:r>
    </w:p>
    <w:bookmarkEnd w:id="29"/>
    <w:p w14:paraId="29D6CE87" w14:textId="77777777" w:rsidR="00126A3F" w:rsidRPr="00621C9E" w:rsidRDefault="00126A3F" w:rsidP="00126A3F">
      <w:pPr>
        <w:pStyle w:val="BodyText"/>
        <w:rPr>
          <w:rFonts w:cs="Arial"/>
          <w:b/>
          <w:bCs/>
        </w:rPr>
      </w:pPr>
      <w:r w:rsidRPr="00621C9E">
        <w:rPr>
          <w:rFonts w:cs="Arial"/>
        </w:rPr>
        <w:t>TSSP2 also facilitates key interactions between Australian and PNG transport agencies, in particular marine and aviation sectors, where long-established working relationships are critical to the safety and efficiency of international trade. As such, TSSP2 is a critical component of Australia’s engagement with the Government and people of PNG – it espouses the close bilateral relations between Australia and PNG while advancing achievements of PNG social and economic development priorities.</w:t>
      </w:r>
      <w:r w:rsidRPr="00621C9E">
        <w:rPr>
          <w:rFonts w:cs="Arial"/>
          <w:b/>
          <w:bCs/>
        </w:rPr>
        <w:t xml:space="preserve"> </w:t>
      </w:r>
    </w:p>
    <w:p w14:paraId="659B8104" w14:textId="48A36DF5" w:rsidR="00117642" w:rsidRPr="00621C9E" w:rsidRDefault="005C0E04" w:rsidP="00117642">
      <w:pPr>
        <w:pStyle w:val="BodyText"/>
        <w:rPr>
          <w:rFonts w:cs="Arial"/>
          <w:color w:val="4C7B9E" w:themeColor="background2"/>
        </w:rPr>
      </w:pPr>
      <w:r w:rsidRPr="00827A8C">
        <w:rPr>
          <w:rFonts w:cs="Arial"/>
          <w:color w:val="4C7B9E" w:themeColor="accent2"/>
        </w:rPr>
        <w:t>KE</w:t>
      </w:r>
      <w:r w:rsidR="00582FE8" w:rsidRPr="00827A8C">
        <w:rPr>
          <w:rFonts w:cs="Arial"/>
          <w:color w:val="4C7B9E" w:themeColor="accent2"/>
        </w:rPr>
        <w:t xml:space="preserve">Q 1: </w:t>
      </w:r>
      <w:r w:rsidR="0007026D" w:rsidRPr="00827A8C">
        <w:rPr>
          <w:rFonts w:cs="Arial"/>
          <w:color w:val="4C7B9E" w:themeColor="accent2"/>
        </w:rPr>
        <w:t>How has the design contributed to operational performance, and where has it led to issues or concerns?</w:t>
      </w:r>
    </w:p>
    <w:p w14:paraId="6A39E39F" w14:textId="3168CF15" w:rsidR="00F76C17" w:rsidRPr="00621C9E" w:rsidRDefault="00F76C17" w:rsidP="00F76C17">
      <w:pPr>
        <w:pStyle w:val="BodyText"/>
        <w:rPr>
          <w:rFonts w:cs="Arial"/>
        </w:rPr>
      </w:pPr>
      <w:r w:rsidRPr="00621C9E">
        <w:rPr>
          <w:rFonts w:cs="Arial"/>
          <w:b/>
          <w:bCs/>
        </w:rPr>
        <w:t xml:space="preserve">Overall, GoPNG finds TSSP2 important and acknowledges the key role the </w:t>
      </w:r>
      <w:r>
        <w:rPr>
          <w:rFonts w:cs="Arial"/>
          <w:b/>
          <w:bCs/>
        </w:rPr>
        <w:t>P</w:t>
      </w:r>
      <w:r w:rsidRPr="00621C9E">
        <w:rPr>
          <w:rFonts w:cs="Arial"/>
          <w:b/>
          <w:bCs/>
        </w:rPr>
        <w:t>rogram plays in the transport sector in PNG, though opportunities for improvement were highlighted in relation to engagement and closer working relationships with senior government officials.</w:t>
      </w:r>
      <w:r w:rsidRPr="00621C9E">
        <w:rPr>
          <w:rFonts w:cs="Arial"/>
        </w:rPr>
        <w:t xml:space="preserve"> The public reputation of the program is strong and is one of the </w:t>
      </w:r>
      <w:r w:rsidRPr="00243EC5">
        <w:rPr>
          <w:rFonts w:cs="Arial"/>
        </w:rPr>
        <w:t xml:space="preserve">most well-known DFAT-funded programs in PNG. However, some GoPNG officials consulted found targeted engagement with senior government officials and closer working relationships as an area that could be further strengthened. For TSSP3, consideration should be given to establishing effective and appropriate </w:t>
      </w:r>
      <w:r w:rsidR="00396587" w:rsidRPr="00243EC5">
        <w:rPr>
          <w:rFonts w:cs="Arial"/>
        </w:rPr>
        <w:t xml:space="preserve">targeted </w:t>
      </w:r>
      <w:r w:rsidR="00861BA6" w:rsidRPr="00243EC5">
        <w:rPr>
          <w:rFonts w:cs="Arial"/>
        </w:rPr>
        <w:t xml:space="preserve">bilateral </w:t>
      </w:r>
      <w:r w:rsidRPr="00243EC5">
        <w:rPr>
          <w:rFonts w:cs="Arial"/>
        </w:rPr>
        <w:t xml:space="preserve">consultative or </w:t>
      </w:r>
      <w:r w:rsidR="00EF41CF" w:rsidRPr="00243EC5">
        <w:rPr>
          <w:rFonts w:cs="Arial"/>
        </w:rPr>
        <w:t>advis</w:t>
      </w:r>
      <w:r w:rsidR="0095001B" w:rsidRPr="00243EC5">
        <w:rPr>
          <w:rFonts w:cs="Arial"/>
        </w:rPr>
        <w:t>o</w:t>
      </w:r>
      <w:r w:rsidR="00EF41CF" w:rsidRPr="00243EC5">
        <w:rPr>
          <w:rFonts w:cs="Arial"/>
        </w:rPr>
        <w:t>r</w:t>
      </w:r>
      <w:r w:rsidRPr="00243EC5">
        <w:rPr>
          <w:rFonts w:cs="Arial"/>
        </w:rPr>
        <w:t>y mechanisms in-country to engage senior government officials with DFAT and program managers at a strategic level</w:t>
      </w:r>
      <w:r w:rsidR="002A4937" w:rsidRPr="00243EC5">
        <w:rPr>
          <w:rFonts w:cs="Arial"/>
        </w:rPr>
        <w:t xml:space="preserve"> beyond TSCMIC.</w:t>
      </w:r>
      <w:r w:rsidR="002622ED" w:rsidRPr="00243EC5">
        <w:rPr>
          <w:rFonts w:cs="Arial"/>
        </w:rPr>
        <w:t xml:space="preserve"> </w:t>
      </w:r>
      <w:r w:rsidR="007C253E" w:rsidRPr="00243EC5">
        <w:rPr>
          <w:rFonts w:cs="Arial"/>
        </w:rPr>
        <w:t>The bilat</w:t>
      </w:r>
      <w:r w:rsidR="007C253E">
        <w:rPr>
          <w:rFonts w:cs="Arial"/>
        </w:rPr>
        <w:t xml:space="preserve">eral </w:t>
      </w:r>
      <w:r w:rsidR="002622ED">
        <w:rPr>
          <w:rFonts w:cs="Arial"/>
        </w:rPr>
        <w:t>engagement between</w:t>
      </w:r>
      <w:r w:rsidR="00D939CB">
        <w:rPr>
          <w:rFonts w:cs="Arial"/>
        </w:rPr>
        <w:t xml:space="preserve"> DFAT, TSSP3 program managers and senior government </w:t>
      </w:r>
      <w:r w:rsidR="002622ED">
        <w:rPr>
          <w:rFonts w:cs="Arial"/>
        </w:rPr>
        <w:t xml:space="preserve">officials happening outside </w:t>
      </w:r>
      <w:r w:rsidR="00300C81">
        <w:rPr>
          <w:rFonts w:cs="Arial"/>
        </w:rPr>
        <w:t>TSCMIC will be aimed at maintaining close bilateral relationships</w:t>
      </w:r>
      <w:r w:rsidR="00D7050C">
        <w:rPr>
          <w:rFonts w:cs="Arial"/>
        </w:rPr>
        <w:t xml:space="preserve"> </w:t>
      </w:r>
      <w:r w:rsidR="006E1D32">
        <w:rPr>
          <w:rFonts w:cs="Arial"/>
        </w:rPr>
        <w:t xml:space="preserve">with government but also as a </w:t>
      </w:r>
      <w:r w:rsidR="0000401B">
        <w:rPr>
          <w:rFonts w:cs="Arial"/>
        </w:rPr>
        <w:t>mechanism</w:t>
      </w:r>
      <w:r w:rsidR="006E1D32">
        <w:rPr>
          <w:rFonts w:cs="Arial"/>
        </w:rPr>
        <w:t xml:space="preserve"> to discuss bilateral strate</w:t>
      </w:r>
      <w:r w:rsidR="0000401B">
        <w:rPr>
          <w:rFonts w:cs="Arial"/>
        </w:rPr>
        <w:t xml:space="preserve">gic transport sector developments and aspirations </w:t>
      </w:r>
      <w:r w:rsidR="00DC7AFE">
        <w:rPr>
          <w:rFonts w:cs="Arial"/>
        </w:rPr>
        <w:t xml:space="preserve">(see </w:t>
      </w:r>
      <w:r w:rsidR="00243EC5">
        <w:rPr>
          <w:rFonts w:cs="Arial"/>
        </w:rPr>
        <w:t>R</w:t>
      </w:r>
      <w:r w:rsidR="00DC7AFE">
        <w:rPr>
          <w:rFonts w:cs="Arial"/>
        </w:rPr>
        <w:t xml:space="preserve">ecommendation </w:t>
      </w:r>
      <w:r w:rsidR="00CC7AAF">
        <w:rPr>
          <w:rFonts w:cs="Arial"/>
        </w:rPr>
        <w:t xml:space="preserve">10 in the </w:t>
      </w:r>
      <w:r w:rsidR="00243EC5">
        <w:rPr>
          <w:rFonts w:cs="Arial"/>
        </w:rPr>
        <w:t>E</w:t>
      </w:r>
      <w:r w:rsidR="00CC7AAF">
        <w:rPr>
          <w:rFonts w:cs="Arial"/>
        </w:rPr>
        <w:t xml:space="preserve">xecutive </w:t>
      </w:r>
      <w:r w:rsidR="00243EC5">
        <w:rPr>
          <w:rFonts w:cs="Arial"/>
        </w:rPr>
        <w:t>S</w:t>
      </w:r>
      <w:r w:rsidR="00CC7AAF">
        <w:rPr>
          <w:rFonts w:cs="Arial"/>
        </w:rPr>
        <w:t>ummary)</w:t>
      </w:r>
      <w:r w:rsidR="00243EC5">
        <w:rPr>
          <w:rFonts w:cs="Arial"/>
        </w:rPr>
        <w:t>.</w:t>
      </w:r>
    </w:p>
    <w:p w14:paraId="68CE9118" w14:textId="462BCE78" w:rsidR="00BE47B7" w:rsidRPr="00621C9E" w:rsidRDefault="00BE47B7" w:rsidP="00BE47B7">
      <w:pPr>
        <w:pStyle w:val="BodyText"/>
        <w:rPr>
          <w:rFonts w:cs="Arial"/>
        </w:rPr>
      </w:pPr>
      <w:bookmarkStart w:id="30" w:name="_Hlk95236154"/>
      <w:r w:rsidRPr="00621C9E">
        <w:rPr>
          <w:rFonts w:cs="Arial"/>
          <w:b/>
          <w:bCs/>
        </w:rPr>
        <w:t xml:space="preserve">The </w:t>
      </w:r>
      <w:r w:rsidR="002F0AB4">
        <w:rPr>
          <w:rFonts w:cs="Arial"/>
          <w:b/>
          <w:bCs/>
        </w:rPr>
        <w:t xml:space="preserve">Program approach </w:t>
      </w:r>
      <w:r w:rsidRPr="00621C9E">
        <w:rPr>
          <w:rFonts w:cs="Arial"/>
          <w:b/>
          <w:bCs/>
        </w:rPr>
        <w:t>of using the GoPNG</w:t>
      </w:r>
      <w:r w:rsidR="005E36E0">
        <w:rPr>
          <w:rFonts w:cs="Arial"/>
          <w:b/>
          <w:bCs/>
        </w:rPr>
        <w:t>’s</w:t>
      </w:r>
      <w:r w:rsidRPr="00621C9E">
        <w:rPr>
          <w:rFonts w:cs="Arial"/>
          <w:b/>
          <w:bCs/>
        </w:rPr>
        <w:t xml:space="preserve"> national systems and processes is commendable and aligns well with the Paris Declaration principles of donor alignment.</w:t>
      </w:r>
      <w:r w:rsidRPr="00621C9E">
        <w:rPr>
          <w:rFonts w:cs="Arial"/>
        </w:rPr>
        <w:t xml:space="preserve"> The TSSP2 </w:t>
      </w:r>
      <w:r w:rsidR="002F0AB4">
        <w:rPr>
          <w:rFonts w:cs="Arial"/>
        </w:rPr>
        <w:t xml:space="preserve">approach </w:t>
      </w:r>
      <w:r w:rsidRPr="00621C9E">
        <w:rPr>
          <w:rFonts w:cs="Arial"/>
        </w:rPr>
        <w:t xml:space="preserve">is quite different from methods employed by other donors and </w:t>
      </w:r>
      <w:r w:rsidRPr="00BB42AE">
        <w:rPr>
          <w:rFonts w:cs="Arial"/>
        </w:rPr>
        <w:t>MLB</w:t>
      </w:r>
      <w:r>
        <w:rPr>
          <w:rFonts w:cs="Arial"/>
        </w:rPr>
        <w:t>s</w:t>
      </w:r>
      <w:r w:rsidRPr="00BB42AE">
        <w:rPr>
          <w:rFonts w:cs="Arial"/>
        </w:rPr>
        <w:t>.</w:t>
      </w:r>
      <w:r w:rsidRPr="00621C9E">
        <w:rPr>
          <w:rFonts w:cs="Arial"/>
        </w:rPr>
        <w:t xml:space="preserve"> TSSP2 endeavours to utilise local systems, in keeping with DFAT’s preference to develop local capacity, however, all stakeholder reports indicate that the use of national </w:t>
      </w:r>
      <w:r w:rsidR="008620C7">
        <w:rPr>
          <w:rFonts w:cs="Arial"/>
        </w:rPr>
        <w:t xml:space="preserve">procurement </w:t>
      </w:r>
      <w:r w:rsidRPr="00621C9E">
        <w:rPr>
          <w:rFonts w:cs="Arial"/>
        </w:rPr>
        <w:t>systems has led to immense delays</w:t>
      </w:r>
      <w:bookmarkEnd w:id="30"/>
      <w:r w:rsidRPr="00621C9E">
        <w:rPr>
          <w:rFonts w:cs="Arial"/>
        </w:rPr>
        <w:t xml:space="preserve"> of up to 24 months in some cases</w:t>
      </w:r>
      <w:r w:rsidR="008620C7">
        <w:rPr>
          <w:rFonts w:cs="Arial"/>
        </w:rPr>
        <w:t>,</w:t>
      </w:r>
      <w:r w:rsidRPr="00621C9E">
        <w:rPr>
          <w:rFonts w:cs="Arial"/>
        </w:rPr>
        <w:t xml:space="preserve"> which have had a negative impact on the implementation of the program (</w:t>
      </w:r>
      <w:r w:rsidRPr="00BB42AE">
        <w:rPr>
          <w:rFonts w:cs="Arial"/>
        </w:rPr>
        <w:t xml:space="preserve">see Chapter </w:t>
      </w:r>
      <w:r w:rsidR="00053044">
        <w:rPr>
          <w:rFonts w:cs="Arial"/>
        </w:rPr>
        <w:t>3</w:t>
      </w:r>
      <w:r w:rsidR="00443B0A">
        <w:rPr>
          <w:rFonts w:cs="Arial"/>
        </w:rPr>
        <w:t xml:space="preserve"> KEQ </w:t>
      </w:r>
      <w:r w:rsidR="005B559C">
        <w:rPr>
          <w:rFonts w:cs="Arial"/>
        </w:rPr>
        <w:t>4</w:t>
      </w:r>
      <w:r w:rsidRPr="00621C9E">
        <w:rPr>
          <w:rFonts w:cs="Arial"/>
        </w:rPr>
        <w:t>)</w:t>
      </w:r>
      <w:r>
        <w:rPr>
          <w:rFonts w:cs="Arial"/>
        </w:rPr>
        <w:t>.</w:t>
      </w:r>
    </w:p>
    <w:p w14:paraId="22E4651B" w14:textId="2679348E" w:rsidR="00922ED6" w:rsidRPr="00621C9E" w:rsidRDefault="00D8147D" w:rsidP="006870FF">
      <w:pPr>
        <w:pStyle w:val="BodyText"/>
        <w:rPr>
          <w:rFonts w:cs="Arial"/>
        </w:rPr>
      </w:pPr>
      <w:r w:rsidRPr="00621C9E">
        <w:rPr>
          <w:rFonts w:cs="Arial"/>
          <w:b/>
          <w:bCs/>
        </w:rPr>
        <w:t>T</w:t>
      </w:r>
      <w:r w:rsidR="001063D5" w:rsidRPr="00621C9E">
        <w:rPr>
          <w:rFonts w:cs="Arial"/>
          <w:b/>
          <w:bCs/>
        </w:rPr>
        <w:t>he t</w:t>
      </w:r>
      <w:r w:rsidR="006870FF" w:rsidRPr="00621C9E">
        <w:rPr>
          <w:rFonts w:cs="Arial"/>
          <w:b/>
          <w:bCs/>
        </w:rPr>
        <w:t xml:space="preserve">ransport sector coordination in PNG has worked well under </w:t>
      </w:r>
      <w:r w:rsidR="00290C87" w:rsidRPr="00621C9E">
        <w:rPr>
          <w:rFonts w:cs="Arial"/>
          <w:b/>
          <w:bCs/>
        </w:rPr>
        <w:t xml:space="preserve">the </w:t>
      </w:r>
      <w:r w:rsidR="00531EB1" w:rsidRPr="00621C9E">
        <w:rPr>
          <w:rFonts w:cs="Arial"/>
          <w:b/>
          <w:bCs/>
        </w:rPr>
        <w:t>TSCMIC</w:t>
      </w:r>
      <w:r w:rsidR="00255486">
        <w:rPr>
          <w:rFonts w:cs="Arial"/>
          <w:b/>
          <w:bCs/>
        </w:rPr>
        <w:t>,</w:t>
      </w:r>
      <w:r w:rsidR="0021762E" w:rsidRPr="00621C9E">
        <w:rPr>
          <w:rFonts w:cs="Arial"/>
          <w:b/>
          <w:bCs/>
        </w:rPr>
        <w:t xml:space="preserve"> </w:t>
      </w:r>
      <w:r w:rsidR="00FB1EBE" w:rsidRPr="00621C9E">
        <w:rPr>
          <w:rFonts w:cs="Arial"/>
          <w:b/>
          <w:bCs/>
        </w:rPr>
        <w:t>though the</w:t>
      </w:r>
      <w:r w:rsidR="00255486">
        <w:rPr>
          <w:rFonts w:cs="Arial"/>
          <w:b/>
          <w:bCs/>
        </w:rPr>
        <w:t xml:space="preserve"> mechanism</w:t>
      </w:r>
      <w:r w:rsidR="00FB1EBE" w:rsidRPr="00621C9E">
        <w:rPr>
          <w:rFonts w:cs="Arial"/>
          <w:b/>
          <w:bCs/>
        </w:rPr>
        <w:t xml:space="preserve"> </w:t>
      </w:r>
      <w:r w:rsidR="00255486">
        <w:rPr>
          <w:rFonts w:cs="Arial"/>
          <w:b/>
          <w:bCs/>
        </w:rPr>
        <w:t>could be improved</w:t>
      </w:r>
      <w:r w:rsidR="006870FF" w:rsidRPr="00621C9E">
        <w:rPr>
          <w:rFonts w:cs="Arial"/>
        </w:rPr>
        <w:t xml:space="preserve">. </w:t>
      </w:r>
      <w:r w:rsidR="008B0CD8" w:rsidRPr="00621C9E">
        <w:rPr>
          <w:rFonts w:cs="Arial"/>
        </w:rPr>
        <w:t xml:space="preserve">Some stakeholders </w:t>
      </w:r>
      <w:r w:rsidR="00255486" w:rsidRPr="00621C9E">
        <w:rPr>
          <w:rFonts w:cs="Arial"/>
        </w:rPr>
        <w:t xml:space="preserve">consulted </w:t>
      </w:r>
      <w:r w:rsidR="008B0CD8" w:rsidRPr="00621C9E">
        <w:rPr>
          <w:rFonts w:cs="Arial"/>
        </w:rPr>
        <w:t>from the GoPNG and DFAT reported that t</w:t>
      </w:r>
      <w:r w:rsidR="000873DA" w:rsidRPr="00621C9E">
        <w:rPr>
          <w:rFonts w:cs="Arial"/>
        </w:rPr>
        <w:t xml:space="preserve">he transport sector is one of the </w:t>
      </w:r>
      <w:r w:rsidR="000873DA" w:rsidRPr="00621C9E">
        <w:rPr>
          <w:rFonts w:cs="Arial"/>
        </w:rPr>
        <w:lastRenderedPageBreak/>
        <w:t xml:space="preserve">most </w:t>
      </w:r>
      <w:r w:rsidR="000C2725" w:rsidRPr="00621C9E">
        <w:rPr>
          <w:rFonts w:cs="Arial"/>
        </w:rPr>
        <w:t>well-coordinated</w:t>
      </w:r>
      <w:r w:rsidR="000873DA" w:rsidRPr="00621C9E">
        <w:rPr>
          <w:rFonts w:cs="Arial"/>
        </w:rPr>
        <w:t xml:space="preserve"> </w:t>
      </w:r>
      <w:r w:rsidR="006F095B" w:rsidRPr="00621C9E">
        <w:rPr>
          <w:rFonts w:cs="Arial"/>
        </w:rPr>
        <w:t>sector</w:t>
      </w:r>
      <w:r w:rsidR="00F8195D">
        <w:rPr>
          <w:rFonts w:cs="Arial"/>
        </w:rPr>
        <w:t>s</w:t>
      </w:r>
      <w:r w:rsidR="000C2725" w:rsidRPr="00621C9E">
        <w:rPr>
          <w:rFonts w:cs="Arial"/>
        </w:rPr>
        <w:t xml:space="preserve"> in PNG</w:t>
      </w:r>
      <w:r w:rsidR="00B6227C" w:rsidRPr="00621C9E">
        <w:rPr>
          <w:rFonts w:cs="Arial"/>
        </w:rPr>
        <w:t xml:space="preserve">. TSCMIC through TSSP2 supports monitoring and reporting of all </w:t>
      </w:r>
      <w:r w:rsidR="003D52F7" w:rsidRPr="00621C9E">
        <w:rPr>
          <w:rFonts w:cs="Arial"/>
        </w:rPr>
        <w:t xml:space="preserve">transport sector activities and reports to the </w:t>
      </w:r>
      <w:r w:rsidR="001F590D">
        <w:rPr>
          <w:rFonts w:cs="Arial"/>
        </w:rPr>
        <w:t>GoPNG</w:t>
      </w:r>
      <w:r w:rsidR="003D52F7" w:rsidRPr="00621C9E">
        <w:rPr>
          <w:rFonts w:cs="Arial"/>
        </w:rPr>
        <w:t xml:space="preserve">. </w:t>
      </w:r>
      <w:r w:rsidR="00CD0E8C" w:rsidRPr="00621C9E">
        <w:rPr>
          <w:rFonts w:cs="Arial"/>
        </w:rPr>
        <w:t xml:space="preserve">Even though the </w:t>
      </w:r>
      <w:r w:rsidR="00255486">
        <w:rPr>
          <w:rFonts w:cs="Arial"/>
        </w:rPr>
        <w:t>mechanism</w:t>
      </w:r>
      <w:r w:rsidR="00255486" w:rsidRPr="00621C9E">
        <w:rPr>
          <w:rFonts w:cs="Arial"/>
        </w:rPr>
        <w:t xml:space="preserve"> </w:t>
      </w:r>
      <w:r w:rsidR="00CD0E8C" w:rsidRPr="00621C9E">
        <w:rPr>
          <w:rFonts w:cs="Arial"/>
        </w:rPr>
        <w:t xml:space="preserve">is working well, its </w:t>
      </w:r>
      <w:r w:rsidR="00200707" w:rsidRPr="00621C9E">
        <w:rPr>
          <w:rFonts w:cs="Arial"/>
        </w:rPr>
        <w:t xml:space="preserve">effectiveness could be improved to achieve better coordination and alignment </w:t>
      </w:r>
      <w:r w:rsidR="00335C27" w:rsidRPr="00621C9E">
        <w:rPr>
          <w:rFonts w:cs="Arial"/>
        </w:rPr>
        <w:t xml:space="preserve">between GoPNG and other development partners. </w:t>
      </w:r>
      <w:r w:rsidR="00255486">
        <w:rPr>
          <w:rFonts w:cs="Arial"/>
        </w:rPr>
        <w:t>S</w:t>
      </w:r>
      <w:r w:rsidR="005825E1" w:rsidRPr="00621C9E">
        <w:rPr>
          <w:rFonts w:cs="Arial"/>
        </w:rPr>
        <w:t xml:space="preserve">takeholders reported that there </w:t>
      </w:r>
      <w:r w:rsidR="00B11516" w:rsidRPr="00621C9E">
        <w:rPr>
          <w:rFonts w:cs="Arial"/>
        </w:rPr>
        <w:t>ha</w:t>
      </w:r>
      <w:r w:rsidR="00255486">
        <w:rPr>
          <w:rFonts w:cs="Arial"/>
        </w:rPr>
        <w:t>s</w:t>
      </w:r>
      <w:r w:rsidR="00B11516" w:rsidRPr="00621C9E">
        <w:rPr>
          <w:rFonts w:cs="Arial"/>
        </w:rPr>
        <w:t xml:space="preserve"> been </w:t>
      </w:r>
      <w:r w:rsidR="005F0045" w:rsidRPr="00621C9E">
        <w:rPr>
          <w:rFonts w:cs="Arial"/>
        </w:rPr>
        <w:t>inconsistent</w:t>
      </w:r>
      <w:r w:rsidR="00B11516" w:rsidRPr="00621C9E">
        <w:rPr>
          <w:rFonts w:cs="Arial"/>
        </w:rPr>
        <w:t xml:space="preserve"> partner attendance and the facilitation of the meetings has </w:t>
      </w:r>
      <w:r w:rsidR="001C7CEC" w:rsidRPr="00621C9E">
        <w:rPr>
          <w:rFonts w:cs="Arial"/>
        </w:rPr>
        <w:t xml:space="preserve">not been well managed. </w:t>
      </w:r>
      <w:r w:rsidR="00E85DAA">
        <w:rPr>
          <w:rFonts w:cs="Arial"/>
        </w:rPr>
        <w:t xml:space="preserve">The </w:t>
      </w:r>
      <w:r w:rsidR="00D97228">
        <w:rPr>
          <w:rFonts w:cs="Arial"/>
        </w:rPr>
        <w:t xml:space="preserve">COVID-19 pandemic </w:t>
      </w:r>
      <w:r w:rsidR="00853DA6">
        <w:rPr>
          <w:rFonts w:cs="Arial"/>
        </w:rPr>
        <w:t>ha</w:t>
      </w:r>
      <w:r w:rsidR="00B63BA4">
        <w:rPr>
          <w:rFonts w:cs="Arial"/>
        </w:rPr>
        <w:t>s</w:t>
      </w:r>
      <w:r w:rsidR="00853DA6">
        <w:rPr>
          <w:rFonts w:cs="Arial"/>
        </w:rPr>
        <w:t xml:space="preserve"> further impact</w:t>
      </w:r>
      <w:r w:rsidR="00B63BA4">
        <w:rPr>
          <w:rFonts w:cs="Arial"/>
        </w:rPr>
        <w:t>ed</w:t>
      </w:r>
      <w:r w:rsidR="00853DA6">
        <w:rPr>
          <w:rFonts w:cs="Arial"/>
        </w:rPr>
        <w:t xml:space="preserve"> the</w:t>
      </w:r>
      <w:r w:rsidR="00B63BA4">
        <w:rPr>
          <w:rFonts w:cs="Arial"/>
        </w:rPr>
        <w:t xml:space="preserve"> regularity </w:t>
      </w:r>
      <w:r w:rsidR="0085660F">
        <w:rPr>
          <w:rFonts w:cs="Arial"/>
        </w:rPr>
        <w:t>of meetings attend</w:t>
      </w:r>
      <w:r w:rsidR="00777ADB">
        <w:rPr>
          <w:rFonts w:cs="Arial"/>
        </w:rPr>
        <w:t>ed</w:t>
      </w:r>
      <w:r w:rsidR="00FB4D0C">
        <w:rPr>
          <w:rFonts w:cs="Arial"/>
        </w:rPr>
        <w:t xml:space="preserve"> by the different partners</w:t>
      </w:r>
      <w:r w:rsidR="0085660F">
        <w:rPr>
          <w:rFonts w:cs="Arial"/>
        </w:rPr>
        <w:t>.</w:t>
      </w:r>
      <w:r w:rsidR="00D7050C">
        <w:rPr>
          <w:rFonts w:cs="Arial"/>
        </w:rPr>
        <w:t xml:space="preserve"> </w:t>
      </w:r>
      <w:r w:rsidR="00335C27" w:rsidRPr="00621C9E">
        <w:rPr>
          <w:rFonts w:cs="Arial"/>
        </w:rPr>
        <w:t>For the future</w:t>
      </w:r>
      <w:r w:rsidR="00255486">
        <w:rPr>
          <w:rFonts w:cs="Arial"/>
        </w:rPr>
        <w:t xml:space="preserve"> phase</w:t>
      </w:r>
      <w:r w:rsidR="00335C27" w:rsidRPr="00621C9E">
        <w:rPr>
          <w:rFonts w:cs="Arial"/>
        </w:rPr>
        <w:t xml:space="preserve">, considerations should be given to strengthening TSCMIC through support in agenda setting, meeting facilitation processes, and provision of </w:t>
      </w:r>
      <w:r w:rsidR="00684289" w:rsidRPr="00621C9E">
        <w:rPr>
          <w:rFonts w:cs="Arial"/>
        </w:rPr>
        <w:t xml:space="preserve">incentives </w:t>
      </w:r>
      <w:r w:rsidR="00684289">
        <w:rPr>
          <w:rFonts w:cs="Arial"/>
        </w:rPr>
        <w:t>(</w:t>
      </w:r>
      <w:r w:rsidR="00544296">
        <w:rPr>
          <w:rFonts w:cs="Arial"/>
        </w:rPr>
        <w:t>i.e.,</w:t>
      </w:r>
      <w:r w:rsidR="00684289">
        <w:rPr>
          <w:rFonts w:cs="Arial"/>
        </w:rPr>
        <w:t xml:space="preserve"> key information and lessons are shared, and clear actions are produced) </w:t>
      </w:r>
      <w:r w:rsidR="00684289" w:rsidRPr="00621C9E">
        <w:rPr>
          <w:rFonts w:cs="Arial"/>
        </w:rPr>
        <w:t xml:space="preserve">for </w:t>
      </w:r>
      <w:r w:rsidR="00684289">
        <w:rPr>
          <w:rFonts w:cs="Arial"/>
        </w:rPr>
        <w:t xml:space="preserve">GoPNG </w:t>
      </w:r>
      <w:r w:rsidR="00335C27" w:rsidRPr="00621C9E">
        <w:rPr>
          <w:rFonts w:cs="Arial"/>
        </w:rPr>
        <w:t>senior government officials</w:t>
      </w:r>
      <w:r w:rsidR="00952E25">
        <w:rPr>
          <w:rFonts w:cs="Arial"/>
        </w:rPr>
        <w:t>,</w:t>
      </w:r>
      <w:r w:rsidR="00972332">
        <w:rPr>
          <w:rFonts w:cs="Arial"/>
        </w:rPr>
        <w:t xml:space="preserve"> </w:t>
      </w:r>
      <w:r w:rsidR="00952E25">
        <w:rPr>
          <w:rFonts w:cs="Arial"/>
        </w:rPr>
        <w:t>other donors</w:t>
      </w:r>
      <w:r w:rsidR="00335C27" w:rsidRPr="00621C9E">
        <w:rPr>
          <w:rFonts w:cs="Arial"/>
        </w:rPr>
        <w:t xml:space="preserve"> and DFAT to attend more frequently</w:t>
      </w:r>
      <w:r w:rsidR="00CD202E" w:rsidRPr="00621C9E">
        <w:rPr>
          <w:rFonts w:cs="Arial"/>
        </w:rPr>
        <w:t xml:space="preserve"> and consistently.</w:t>
      </w:r>
    </w:p>
    <w:p w14:paraId="01906E7F" w14:textId="3A128D15" w:rsidR="00291A5B" w:rsidRPr="00621C9E" w:rsidRDefault="00576EBB" w:rsidP="008B1198">
      <w:pPr>
        <w:pStyle w:val="BodyText"/>
        <w:rPr>
          <w:rFonts w:cs="Arial"/>
        </w:rPr>
      </w:pPr>
      <w:bookmarkStart w:id="31" w:name="_Hlk95236213"/>
      <w:r w:rsidRPr="00621C9E">
        <w:rPr>
          <w:rFonts w:cs="Arial"/>
          <w:b/>
          <w:bCs/>
        </w:rPr>
        <w:t xml:space="preserve">The current design </w:t>
      </w:r>
      <w:r w:rsidR="008B74FC" w:rsidRPr="00621C9E">
        <w:rPr>
          <w:rFonts w:cs="Arial"/>
          <w:b/>
          <w:bCs/>
        </w:rPr>
        <w:t>and funding levels for technical assistance</w:t>
      </w:r>
      <w:r w:rsidR="00E740B6" w:rsidRPr="00621C9E">
        <w:rPr>
          <w:rFonts w:cs="Arial"/>
          <w:b/>
          <w:bCs/>
        </w:rPr>
        <w:t xml:space="preserve"> and capacity building </w:t>
      </w:r>
      <w:r w:rsidR="00F81145">
        <w:rPr>
          <w:rFonts w:cs="Arial"/>
          <w:b/>
          <w:bCs/>
        </w:rPr>
        <w:t xml:space="preserve">could be improved </w:t>
      </w:r>
      <w:r w:rsidR="001B730A" w:rsidRPr="00621C9E">
        <w:rPr>
          <w:rFonts w:cs="Arial"/>
          <w:b/>
          <w:bCs/>
        </w:rPr>
        <w:t xml:space="preserve">for the </w:t>
      </w:r>
      <w:r w:rsidR="001A05E7" w:rsidRPr="00621C9E">
        <w:rPr>
          <w:rFonts w:cs="Arial"/>
          <w:b/>
          <w:bCs/>
        </w:rPr>
        <w:t xml:space="preserve">number </w:t>
      </w:r>
      <w:r w:rsidR="0084566A" w:rsidRPr="00621C9E">
        <w:rPr>
          <w:rFonts w:cs="Arial"/>
          <w:b/>
          <w:bCs/>
        </w:rPr>
        <w:t>of GoPNG</w:t>
      </w:r>
      <w:r w:rsidR="001B730A" w:rsidRPr="00621C9E">
        <w:rPr>
          <w:rFonts w:cs="Arial"/>
          <w:b/>
          <w:bCs/>
        </w:rPr>
        <w:t xml:space="preserve"> transport sector agencies </w:t>
      </w:r>
      <w:r w:rsidR="001A05E7" w:rsidRPr="00621C9E">
        <w:rPr>
          <w:rFonts w:cs="Arial"/>
          <w:b/>
          <w:bCs/>
        </w:rPr>
        <w:t xml:space="preserve">that needs support. </w:t>
      </w:r>
      <w:r w:rsidR="0084566A" w:rsidRPr="00621C9E">
        <w:rPr>
          <w:rFonts w:cs="Arial"/>
        </w:rPr>
        <w:t xml:space="preserve">TSSP2 staff and GoPNG </w:t>
      </w:r>
      <w:r w:rsidR="00790F29" w:rsidRPr="00621C9E">
        <w:rPr>
          <w:rFonts w:cs="Arial"/>
        </w:rPr>
        <w:t xml:space="preserve">stakeholders </w:t>
      </w:r>
      <w:r w:rsidR="0084566A" w:rsidRPr="00621C9E">
        <w:rPr>
          <w:rFonts w:cs="Arial"/>
        </w:rPr>
        <w:t>reported that t</w:t>
      </w:r>
      <w:r w:rsidR="004C6E87" w:rsidRPr="00621C9E">
        <w:rPr>
          <w:rFonts w:cs="Arial"/>
        </w:rPr>
        <w:t>he funding levels for TSSP</w:t>
      </w:r>
      <w:r w:rsidR="00BD71FC" w:rsidRPr="00621C9E">
        <w:rPr>
          <w:rFonts w:cs="Arial"/>
        </w:rPr>
        <w:t xml:space="preserve">2 </w:t>
      </w:r>
      <w:r w:rsidR="0085457C">
        <w:rPr>
          <w:rFonts w:cs="Arial"/>
        </w:rPr>
        <w:t>are</w:t>
      </w:r>
      <w:r w:rsidR="00BD71FC" w:rsidRPr="00621C9E">
        <w:rPr>
          <w:rFonts w:cs="Arial"/>
        </w:rPr>
        <w:t xml:space="preserve"> such that </w:t>
      </w:r>
      <w:r w:rsidR="00655ACB" w:rsidRPr="00621C9E">
        <w:rPr>
          <w:rFonts w:cs="Arial"/>
        </w:rPr>
        <w:t xml:space="preserve">the Program can only have a </w:t>
      </w:r>
      <w:r w:rsidR="00BD71FC" w:rsidRPr="00621C9E">
        <w:rPr>
          <w:rFonts w:cs="Arial"/>
        </w:rPr>
        <w:t xml:space="preserve">small number of advisers covering the whole transport sector and, </w:t>
      </w:r>
      <w:r w:rsidR="00655ACB" w:rsidRPr="00621C9E">
        <w:rPr>
          <w:rFonts w:cs="Arial"/>
        </w:rPr>
        <w:t xml:space="preserve">in some </w:t>
      </w:r>
      <w:r w:rsidR="00F71838" w:rsidRPr="00621C9E">
        <w:rPr>
          <w:rFonts w:cs="Arial"/>
        </w:rPr>
        <w:t>cases,</w:t>
      </w:r>
      <w:r w:rsidR="00655ACB" w:rsidRPr="00621C9E">
        <w:rPr>
          <w:rFonts w:cs="Arial"/>
        </w:rPr>
        <w:t xml:space="preserve"> </w:t>
      </w:r>
      <w:r w:rsidR="00F71838" w:rsidRPr="00621C9E">
        <w:rPr>
          <w:rFonts w:cs="Arial"/>
        </w:rPr>
        <w:t xml:space="preserve">reports noted that </w:t>
      </w:r>
      <w:r w:rsidR="00D36C4D" w:rsidRPr="00621C9E">
        <w:rPr>
          <w:rFonts w:cs="Arial"/>
        </w:rPr>
        <w:t xml:space="preserve">there </w:t>
      </w:r>
      <w:r w:rsidR="00655ACB" w:rsidRPr="00621C9E">
        <w:rPr>
          <w:rFonts w:cs="Arial"/>
        </w:rPr>
        <w:t xml:space="preserve">have been </w:t>
      </w:r>
      <w:r w:rsidR="00F73133">
        <w:rPr>
          <w:rFonts w:cs="Arial"/>
        </w:rPr>
        <w:t xml:space="preserve">instances of </w:t>
      </w:r>
      <w:r w:rsidR="00BD71FC" w:rsidRPr="00621C9E">
        <w:rPr>
          <w:rFonts w:cs="Arial"/>
        </w:rPr>
        <w:t xml:space="preserve">one adviser often </w:t>
      </w:r>
      <w:r w:rsidR="00D36C4D" w:rsidRPr="00621C9E">
        <w:rPr>
          <w:rFonts w:cs="Arial"/>
        </w:rPr>
        <w:t xml:space="preserve">supporting multiple </w:t>
      </w:r>
      <w:r w:rsidR="00BD71FC" w:rsidRPr="00621C9E">
        <w:rPr>
          <w:rFonts w:cs="Arial"/>
        </w:rPr>
        <w:t>agencies</w:t>
      </w:r>
      <w:r w:rsidR="0078543D">
        <w:rPr>
          <w:rFonts w:cs="Arial"/>
        </w:rPr>
        <w:t>,</w:t>
      </w:r>
      <w:r w:rsidR="005A3686">
        <w:rPr>
          <w:rFonts w:cs="Arial"/>
        </w:rPr>
        <w:t xml:space="preserve"> </w:t>
      </w:r>
      <w:r w:rsidR="009E549D" w:rsidRPr="00621C9E">
        <w:rPr>
          <w:rFonts w:cs="Arial"/>
        </w:rPr>
        <w:t xml:space="preserve">which is </w:t>
      </w:r>
      <w:r w:rsidR="005A3686">
        <w:rPr>
          <w:rFonts w:cs="Arial"/>
        </w:rPr>
        <w:t xml:space="preserve">an </w:t>
      </w:r>
      <w:r w:rsidR="009E549D" w:rsidRPr="00621C9E">
        <w:rPr>
          <w:rFonts w:cs="Arial"/>
        </w:rPr>
        <w:t xml:space="preserve">unsustainable workload over time. </w:t>
      </w:r>
      <w:bookmarkEnd w:id="31"/>
      <w:r w:rsidR="00011A4E" w:rsidRPr="00621C9E">
        <w:rPr>
          <w:rFonts w:cs="Arial"/>
        </w:rPr>
        <w:t xml:space="preserve">There were calls from </w:t>
      </w:r>
      <w:r w:rsidR="00060B24">
        <w:rPr>
          <w:rFonts w:cs="Arial"/>
        </w:rPr>
        <w:t>stakeholders</w:t>
      </w:r>
      <w:r w:rsidR="00060B24" w:rsidRPr="00621C9E">
        <w:rPr>
          <w:rFonts w:cs="Arial"/>
        </w:rPr>
        <w:t xml:space="preserve"> </w:t>
      </w:r>
      <w:r w:rsidR="00011A4E" w:rsidRPr="00621C9E">
        <w:rPr>
          <w:rFonts w:cs="Arial"/>
        </w:rPr>
        <w:t>interviewed for a</w:t>
      </w:r>
      <w:r w:rsidR="00150A7D">
        <w:rPr>
          <w:rFonts w:cs="Arial"/>
        </w:rPr>
        <w:t>n increase in the</w:t>
      </w:r>
      <w:r w:rsidR="00875DB6" w:rsidRPr="00621C9E">
        <w:rPr>
          <w:rFonts w:cs="Arial"/>
        </w:rPr>
        <w:t xml:space="preserve"> </w:t>
      </w:r>
      <w:r w:rsidR="00A07961" w:rsidRPr="00621C9E">
        <w:rPr>
          <w:rFonts w:cs="Arial"/>
        </w:rPr>
        <w:t xml:space="preserve">technical assistance </w:t>
      </w:r>
      <w:r w:rsidR="00D07C72" w:rsidRPr="00621C9E">
        <w:rPr>
          <w:rFonts w:cs="Arial"/>
        </w:rPr>
        <w:t xml:space="preserve">element of the new design </w:t>
      </w:r>
      <w:r w:rsidR="00F94692" w:rsidRPr="00621C9E">
        <w:rPr>
          <w:rFonts w:cs="Arial"/>
        </w:rPr>
        <w:t xml:space="preserve">that </w:t>
      </w:r>
      <w:r w:rsidR="00B7377E" w:rsidRPr="00621C9E">
        <w:rPr>
          <w:rFonts w:cs="Arial"/>
        </w:rPr>
        <w:t>acknowledges the breadth of the expanding transport sector</w:t>
      </w:r>
      <w:r w:rsidR="00E91474">
        <w:rPr>
          <w:rFonts w:cs="Arial"/>
        </w:rPr>
        <w:t>,</w:t>
      </w:r>
      <w:r w:rsidR="00B7377E" w:rsidRPr="00621C9E">
        <w:rPr>
          <w:rFonts w:cs="Arial"/>
        </w:rPr>
        <w:t xml:space="preserve"> and </w:t>
      </w:r>
      <w:r w:rsidR="00E91474">
        <w:rPr>
          <w:rFonts w:cs="Arial"/>
        </w:rPr>
        <w:t xml:space="preserve">a </w:t>
      </w:r>
      <w:r w:rsidR="00B7377E" w:rsidRPr="00621C9E">
        <w:rPr>
          <w:rFonts w:cs="Arial"/>
        </w:rPr>
        <w:t xml:space="preserve">plan for resources to match the </w:t>
      </w:r>
      <w:r w:rsidR="00D55128" w:rsidRPr="00621C9E">
        <w:rPr>
          <w:rFonts w:cs="Arial"/>
        </w:rPr>
        <w:t xml:space="preserve">needs and </w:t>
      </w:r>
      <w:r w:rsidR="0071376B" w:rsidRPr="00621C9E">
        <w:rPr>
          <w:rFonts w:cs="Arial"/>
        </w:rPr>
        <w:t>gaps</w:t>
      </w:r>
      <w:r w:rsidR="00A9473F" w:rsidRPr="00621C9E">
        <w:rPr>
          <w:rFonts w:cs="Arial"/>
        </w:rPr>
        <w:t xml:space="preserve">. </w:t>
      </w:r>
      <w:r w:rsidR="009D469D" w:rsidRPr="00621C9E">
        <w:rPr>
          <w:rFonts w:cs="Arial"/>
        </w:rPr>
        <w:t xml:space="preserve">This could be explored </w:t>
      </w:r>
      <w:r w:rsidR="00E52720">
        <w:rPr>
          <w:rFonts w:cs="Arial"/>
        </w:rPr>
        <w:t>through</w:t>
      </w:r>
      <w:r w:rsidR="00E52720" w:rsidRPr="00621C9E">
        <w:rPr>
          <w:rFonts w:cs="Arial"/>
        </w:rPr>
        <w:t xml:space="preserve"> </w:t>
      </w:r>
      <w:r w:rsidR="009D469D" w:rsidRPr="00621C9E">
        <w:rPr>
          <w:rFonts w:cs="Arial"/>
        </w:rPr>
        <w:t xml:space="preserve">the </w:t>
      </w:r>
      <w:r w:rsidR="00FC77D6" w:rsidRPr="00621C9E">
        <w:rPr>
          <w:rFonts w:cs="Arial"/>
        </w:rPr>
        <w:t xml:space="preserve">umbrella </w:t>
      </w:r>
      <w:r w:rsidR="007D6325" w:rsidRPr="00621C9E">
        <w:rPr>
          <w:rFonts w:cs="Arial"/>
        </w:rPr>
        <w:t xml:space="preserve">Australia-PNG Government Transport Partnership </w:t>
      </w:r>
      <w:r w:rsidR="00291A5B" w:rsidRPr="00621C9E">
        <w:rPr>
          <w:rFonts w:cs="Arial"/>
        </w:rPr>
        <w:t>arrangements</w:t>
      </w:r>
      <w:r w:rsidR="001F6F81" w:rsidRPr="00621C9E">
        <w:rPr>
          <w:rFonts w:cs="Arial"/>
        </w:rPr>
        <w:t xml:space="preserve">. If funding for technical assistance is not increased or other funding sources </w:t>
      </w:r>
      <w:r w:rsidR="002969E0" w:rsidRPr="00621C9E">
        <w:rPr>
          <w:rFonts w:cs="Arial"/>
        </w:rPr>
        <w:t xml:space="preserve">brought on board, some stakeholders noted that TSSP3 then should radically reduce its mandate </w:t>
      </w:r>
      <w:r w:rsidR="007D5D7A" w:rsidRPr="00621C9E">
        <w:rPr>
          <w:rFonts w:cs="Arial"/>
        </w:rPr>
        <w:t>within the transport sector</w:t>
      </w:r>
      <w:r w:rsidR="009B410A" w:rsidRPr="00621C9E">
        <w:rPr>
          <w:rFonts w:cs="Arial"/>
        </w:rPr>
        <w:t xml:space="preserve">. This shift will not be the best option for Australia </w:t>
      </w:r>
      <w:r w:rsidR="00C46AA8" w:rsidRPr="00621C9E">
        <w:rPr>
          <w:rFonts w:cs="Arial"/>
        </w:rPr>
        <w:t xml:space="preserve">given </w:t>
      </w:r>
      <w:r w:rsidR="009B410A" w:rsidRPr="00621C9E">
        <w:rPr>
          <w:rFonts w:cs="Arial"/>
        </w:rPr>
        <w:t>that the</w:t>
      </w:r>
      <w:r w:rsidR="00C46AA8" w:rsidRPr="00621C9E">
        <w:rPr>
          <w:rFonts w:cs="Arial"/>
        </w:rPr>
        <w:t xml:space="preserve"> capacity of many transport agencies is s</w:t>
      </w:r>
      <w:r w:rsidR="00663F1E" w:rsidRPr="00621C9E">
        <w:rPr>
          <w:rFonts w:cs="Arial"/>
        </w:rPr>
        <w:t>till</w:t>
      </w:r>
      <w:r w:rsidR="00C46AA8" w:rsidRPr="00621C9E">
        <w:rPr>
          <w:rFonts w:cs="Arial"/>
        </w:rPr>
        <w:t xml:space="preserve"> low </w:t>
      </w:r>
      <w:r w:rsidR="008F08DA">
        <w:rPr>
          <w:rFonts w:cs="Arial"/>
        </w:rPr>
        <w:t xml:space="preserve">and </w:t>
      </w:r>
      <w:r w:rsidR="00C46AA8" w:rsidRPr="00621C9E">
        <w:rPr>
          <w:rFonts w:cs="Arial"/>
        </w:rPr>
        <w:t xml:space="preserve">that they effectively need </w:t>
      </w:r>
      <w:r w:rsidR="00663F1E" w:rsidRPr="00621C9E">
        <w:rPr>
          <w:rFonts w:cs="Arial"/>
        </w:rPr>
        <w:t>support to achieve their outcomes</w:t>
      </w:r>
      <w:r w:rsidR="00C46AA8" w:rsidRPr="00621C9E">
        <w:rPr>
          <w:rFonts w:cs="Arial"/>
        </w:rPr>
        <w:t xml:space="preserve">. </w:t>
      </w:r>
      <w:r w:rsidR="00F4279A" w:rsidRPr="00621C9E">
        <w:rPr>
          <w:rFonts w:cs="Arial"/>
        </w:rPr>
        <w:t>Also, two transport sector agencies have been established (PNG Road Fund and PNG Highway Corporation</w:t>
      </w:r>
      <w:r w:rsidR="00835750">
        <w:rPr>
          <w:rFonts w:cs="Arial"/>
        </w:rPr>
        <w:t>)</w:t>
      </w:r>
      <w:r w:rsidR="00F4279A" w:rsidRPr="00621C9E">
        <w:rPr>
          <w:rFonts w:cs="Arial"/>
        </w:rPr>
        <w:t xml:space="preserve"> </w:t>
      </w:r>
      <w:r w:rsidR="003E36EC" w:rsidRPr="00621C9E">
        <w:rPr>
          <w:rFonts w:cs="Arial"/>
        </w:rPr>
        <w:t>meaning that more technical support is needed for them to be established and be operational.</w:t>
      </w:r>
      <w:r w:rsidR="00C46AA8" w:rsidRPr="00621C9E">
        <w:rPr>
          <w:rFonts w:cs="Arial"/>
        </w:rPr>
        <w:t xml:space="preserve"> </w:t>
      </w:r>
    </w:p>
    <w:p w14:paraId="58B88C34" w14:textId="4938AB7C" w:rsidR="00FC20DF" w:rsidRPr="00621C9E" w:rsidRDefault="00F258E0" w:rsidP="00117642">
      <w:pPr>
        <w:pStyle w:val="BodyText"/>
        <w:rPr>
          <w:rFonts w:cs="Arial"/>
        </w:rPr>
      </w:pPr>
      <w:r w:rsidRPr="00621C9E">
        <w:rPr>
          <w:rFonts w:cs="Arial"/>
          <w:b/>
          <w:bCs/>
        </w:rPr>
        <w:t>Cross</w:t>
      </w:r>
      <w:r w:rsidR="00875DB6" w:rsidRPr="00621C9E">
        <w:rPr>
          <w:rFonts w:cs="Arial"/>
          <w:b/>
          <w:bCs/>
        </w:rPr>
        <w:t>-</w:t>
      </w:r>
      <w:r w:rsidRPr="00621C9E">
        <w:rPr>
          <w:rFonts w:cs="Arial"/>
          <w:b/>
          <w:bCs/>
        </w:rPr>
        <w:t xml:space="preserve">cutting issues </w:t>
      </w:r>
      <w:r w:rsidR="00D646B9" w:rsidRPr="00621C9E">
        <w:rPr>
          <w:rFonts w:cs="Arial"/>
          <w:b/>
          <w:bCs/>
        </w:rPr>
        <w:t xml:space="preserve">were </w:t>
      </w:r>
      <w:r w:rsidRPr="00621C9E">
        <w:rPr>
          <w:rFonts w:cs="Arial"/>
          <w:b/>
          <w:bCs/>
        </w:rPr>
        <w:t>not clearly factored in</w:t>
      </w:r>
      <w:r w:rsidR="00F31A2B" w:rsidRPr="00621C9E">
        <w:rPr>
          <w:rFonts w:cs="Arial"/>
          <w:b/>
          <w:bCs/>
        </w:rPr>
        <w:t xml:space="preserve"> the current </w:t>
      </w:r>
      <w:r w:rsidRPr="00621C9E">
        <w:rPr>
          <w:rFonts w:cs="Arial"/>
          <w:b/>
          <w:bCs/>
        </w:rPr>
        <w:t>design</w:t>
      </w:r>
      <w:r w:rsidR="00C626FA">
        <w:rPr>
          <w:rFonts w:cs="Arial"/>
          <w:b/>
          <w:bCs/>
        </w:rPr>
        <w:t>,</w:t>
      </w:r>
      <w:r w:rsidRPr="00621C9E">
        <w:rPr>
          <w:rFonts w:cs="Arial"/>
          <w:b/>
          <w:bCs/>
        </w:rPr>
        <w:t xml:space="preserve"> </w:t>
      </w:r>
      <w:r w:rsidR="00D646B9" w:rsidRPr="00621C9E">
        <w:rPr>
          <w:rFonts w:cs="Arial"/>
          <w:b/>
          <w:bCs/>
        </w:rPr>
        <w:t xml:space="preserve">with scope </w:t>
      </w:r>
      <w:r w:rsidR="0069497F" w:rsidRPr="00621C9E">
        <w:rPr>
          <w:rFonts w:cs="Arial"/>
          <w:b/>
          <w:bCs/>
        </w:rPr>
        <w:t xml:space="preserve">for DFAT </w:t>
      </w:r>
      <w:r w:rsidR="00D646B9" w:rsidRPr="00621C9E">
        <w:rPr>
          <w:rFonts w:cs="Arial"/>
          <w:b/>
          <w:bCs/>
        </w:rPr>
        <w:t xml:space="preserve">to </w:t>
      </w:r>
      <w:r w:rsidR="00F258DA" w:rsidRPr="00621C9E">
        <w:rPr>
          <w:rFonts w:cs="Arial"/>
          <w:b/>
          <w:bCs/>
        </w:rPr>
        <w:t xml:space="preserve">fully </w:t>
      </w:r>
      <w:r w:rsidR="008B0D1F" w:rsidRPr="00621C9E">
        <w:rPr>
          <w:rFonts w:cs="Arial"/>
          <w:b/>
          <w:bCs/>
        </w:rPr>
        <w:t>include them in future designs an</w:t>
      </w:r>
      <w:r w:rsidR="00F258DA" w:rsidRPr="00621C9E">
        <w:rPr>
          <w:rFonts w:cs="Arial"/>
          <w:b/>
          <w:bCs/>
        </w:rPr>
        <w:t>d</w:t>
      </w:r>
      <w:r w:rsidR="008B0D1F" w:rsidRPr="00621C9E">
        <w:rPr>
          <w:rFonts w:cs="Arial"/>
          <w:b/>
          <w:bCs/>
        </w:rPr>
        <w:t xml:space="preserve"> </w:t>
      </w:r>
      <w:r w:rsidR="00DC5DB7">
        <w:rPr>
          <w:rFonts w:cs="Arial"/>
          <w:b/>
          <w:bCs/>
        </w:rPr>
        <w:t>articulate</w:t>
      </w:r>
      <w:r w:rsidR="00DC5DB7" w:rsidRPr="00621C9E">
        <w:rPr>
          <w:rFonts w:cs="Arial"/>
          <w:b/>
          <w:bCs/>
        </w:rPr>
        <w:t xml:space="preserve"> </w:t>
      </w:r>
      <w:r w:rsidR="008B0D1F" w:rsidRPr="00621C9E">
        <w:rPr>
          <w:rFonts w:cs="Arial"/>
          <w:b/>
          <w:bCs/>
        </w:rPr>
        <w:t xml:space="preserve">how they will be resourced, </w:t>
      </w:r>
      <w:r w:rsidR="0069497F" w:rsidRPr="00621C9E">
        <w:rPr>
          <w:rFonts w:cs="Arial"/>
          <w:b/>
          <w:bCs/>
        </w:rPr>
        <w:t>implemented,</w:t>
      </w:r>
      <w:r w:rsidR="008B0D1F" w:rsidRPr="00621C9E">
        <w:rPr>
          <w:rFonts w:cs="Arial"/>
          <w:b/>
          <w:bCs/>
        </w:rPr>
        <w:t xml:space="preserve"> and measured</w:t>
      </w:r>
      <w:r w:rsidR="00D652ED" w:rsidRPr="00621C9E">
        <w:rPr>
          <w:rFonts w:cs="Arial"/>
        </w:rPr>
        <w:t xml:space="preserve">. Some TSSP2 program staff </w:t>
      </w:r>
      <w:r w:rsidR="006F7257" w:rsidRPr="00621C9E">
        <w:rPr>
          <w:rFonts w:cs="Arial"/>
        </w:rPr>
        <w:t xml:space="preserve">and DFAT staff reported </w:t>
      </w:r>
      <w:r w:rsidR="00D652ED" w:rsidRPr="00621C9E">
        <w:rPr>
          <w:rFonts w:cs="Arial"/>
        </w:rPr>
        <w:t xml:space="preserve">that other than the </w:t>
      </w:r>
      <w:r w:rsidR="003F0362" w:rsidRPr="00621C9E">
        <w:rPr>
          <w:rFonts w:cs="Arial"/>
        </w:rPr>
        <w:t xml:space="preserve">M&amp;E and risk management, other cross-cutting areas such as </w:t>
      </w:r>
      <w:r w:rsidR="003C49AF">
        <w:rPr>
          <w:spacing w:val="-2"/>
        </w:rPr>
        <w:t>G</w:t>
      </w:r>
      <w:r w:rsidR="003C49AF" w:rsidRPr="000F1B4F">
        <w:rPr>
          <w:spacing w:val="-2"/>
        </w:rPr>
        <w:t>ender</w:t>
      </w:r>
      <w:r w:rsidR="003C49AF">
        <w:rPr>
          <w:spacing w:val="-2"/>
        </w:rPr>
        <w:t xml:space="preserve"> Equality</w:t>
      </w:r>
      <w:r w:rsidR="003C49AF" w:rsidRPr="000F1B4F">
        <w:rPr>
          <w:spacing w:val="-2"/>
        </w:rPr>
        <w:t xml:space="preserve"> and </w:t>
      </w:r>
      <w:r w:rsidR="003C49AF">
        <w:rPr>
          <w:spacing w:val="-2"/>
        </w:rPr>
        <w:t>S</w:t>
      </w:r>
      <w:r w:rsidR="003C49AF" w:rsidRPr="000F1B4F">
        <w:rPr>
          <w:spacing w:val="-2"/>
        </w:rPr>
        <w:t xml:space="preserve">ocial </w:t>
      </w:r>
      <w:r w:rsidR="003C49AF">
        <w:rPr>
          <w:spacing w:val="-2"/>
        </w:rPr>
        <w:t>I</w:t>
      </w:r>
      <w:r w:rsidR="003C49AF" w:rsidRPr="000F1B4F">
        <w:rPr>
          <w:spacing w:val="-2"/>
        </w:rPr>
        <w:t>nclusion (</w:t>
      </w:r>
      <w:r w:rsidR="00D87D58">
        <w:rPr>
          <w:spacing w:val="-2"/>
        </w:rPr>
        <w:t>GEDSI</w:t>
      </w:r>
      <w:r w:rsidR="003C49AF" w:rsidRPr="000F1B4F">
        <w:rPr>
          <w:spacing w:val="-2"/>
        </w:rPr>
        <w:t xml:space="preserve">) </w:t>
      </w:r>
      <w:r w:rsidR="000224A2" w:rsidRPr="00621C9E">
        <w:rPr>
          <w:rFonts w:cs="Arial"/>
        </w:rPr>
        <w:t xml:space="preserve">and </w:t>
      </w:r>
      <w:r w:rsidR="00FE7719" w:rsidRPr="00621C9E">
        <w:rPr>
          <w:rFonts w:cs="Arial"/>
        </w:rPr>
        <w:t>environmental</w:t>
      </w:r>
      <w:r w:rsidR="000224A2" w:rsidRPr="00621C9E">
        <w:rPr>
          <w:rFonts w:cs="Arial"/>
        </w:rPr>
        <w:t xml:space="preserve"> and social safeguards </w:t>
      </w:r>
      <w:r w:rsidR="00FE7719" w:rsidRPr="00621C9E">
        <w:rPr>
          <w:rFonts w:cs="Arial"/>
        </w:rPr>
        <w:t xml:space="preserve">were silent </w:t>
      </w:r>
      <w:r w:rsidR="000224A2" w:rsidRPr="00621C9E">
        <w:rPr>
          <w:rFonts w:cs="Arial"/>
        </w:rPr>
        <w:t xml:space="preserve">in </w:t>
      </w:r>
      <w:r w:rsidR="00FE7719" w:rsidRPr="00621C9E">
        <w:rPr>
          <w:rFonts w:cs="Arial"/>
        </w:rPr>
        <w:t xml:space="preserve">the </w:t>
      </w:r>
      <w:r w:rsidR="000224A2" w:rsidRPr="00621C9E">
        <w:rPr>
          <w:rFonts w:cs="Arial"/>
        </w:rPr>
        <w:t>TS</w:t>
      </w:r>
      <w:r w:rsidR="00F258DA" w:rsidRPr="00621C9E">
        <w:rPr>
          <w:rFonts w:cs="Arial"/>
        </w:rPr>
        <w:t xml:space="preserve">SP2 design. Even though </w:t>
      </w:r>
      <w:r w:rsidR="00060B24">
        <w:rPr>
          <w:rFonts w:cs="Arial"/>
        </w:rPr>
        <w:t>TSSP2</w:t>
      </w:r>
      <w:r w:rsidR="00F258DA" w:rsidRPr="00621C9E">
        <w:rPr>
          <w:rFonts w:cs="Arial"/>
        </w:rPr>
        <w:t xml:space="preserve"> later recruited resources for </w:t>
      </w:r>
      <w:r w:rsidR="00D87D58">
        <w:rPr>
          <w:rFonts w:cs="Arial"/>
        </w:rPr>
        <w:t>GEDSI</w:t>
      </w:r>
      <w:r w:rsidR="005D046D" w:rsidRPr="00621C9E">
        <w:rPr>
          <w:rFonts w:cs="Arial"/>
        </w:rPr>
        <w:t xml:space="preserve"> and developed </w:t>
      </w:r>
      <w:r w:rsidR="00BA2B14" w:rsidRPr="00621C9E">
        <w:rPr>
          <w:rFonts w:cs="Arial"/>
        </w:rPr>
        <w:t>the Gender and Social Safeguards</w:t>
      </w:r>
      <w:r w:rsidR="00EF4EBC" w:rsidRPr="00621C9E">
        <w:rPr>
          <w:rFonts w:cs="Arial"/>
        </w:rPr>
        <w:t xml:space="preserve"> Strategy 2020-</w:t>
      </w:r>
      <w:r w:rsidR="00C4581D" w:rsidRPr="00621C9E">
        <w:rPr>
          <w:rFonts w:cs="Arial"/>
        </w:rPr>
        <w:t>2022,</w:t>
      </w:r>
      <w:r w:rsidR="00F3010E" w:rsidRPr="00621C9E">
        <w:rPr>
          <w:rFonts w:cs="Arial"/>
        </w:rPr>
        <w:t xml:space="preserve"> this </w:t>
      </w:r>
      <w:r w:rsidR="00301A05">
        <w:rPr>
          <w:rFonts w:cs="Arial"/>
        </w:rPr>
        <w:t>eventuated</w:t>
      </w:r>
      <w:r w:rsidR="00F3010E" w:rsidRPr="00621C9E">
        <w:rPr>
          <w:rFonts w:cs="Arial"/>
        </w:rPr>
        <w:t xml:space="preserve"> as the </w:t>
      </w:r>
      <w:r w:rsidR="000C2A0D">
        <w:rPr>
          <w:rFonts w:cs="Arial"/>
        </w:rPr>
        <w:t xml:space="preserve">Program </w:t>
      </w:r>
      <w:r w:rsidR="00F3010E" w:rsidRPr="00621C9E">
        <w:rPr>
          <w:rFonts w:cs="Arial"/>
        </w:rPr>
        <w:t xml:space="preserve">was coming to an end. </w:t>
      </w:r>
      <w:r w:rsidR="00C4581D" w:rsidRPr="00621C9E">
        <w:rPr>
          <w:rFonts w:cs="Arial"/>
        </w:rPr>
        <w:t xml:space="preserve">TSSP3 design should consider </w:t>
      </w:r>
      <w:r w:rsidR="00F001EF" w:rsidRPr="00621C9E">
        <w:rPr>
          <w:rFonts w:cs="Arial"/>
        </w:rPr>
        <w:t xml:space="preserve">embedding the cross-cutting issues in the design and also </w:t>
      </w:r>
      <w:r w:rsidR="001162D8" w:rsidRPr="00621C9E">
        <w:rPr>
          <w:rFonts w:cs="Arial"/>
        </w:rPr>
        <w:t>earmark resources to implement the</w:t>
      </w:r>
      <w:r w:rsidR="009736E4">
        <w:rPr>
          <w:rFonts w:cs="Arial"/>
        </w:rPr>
        <w:t>m</w:t>
      </w:r>
      <w:r w:rsidR="00181294">
        <w:rPr>
          <w:rFonts w:cs="Arial"/>
        </w:rPr>
        <w:t xml:space="preserve">. Policies such as the </w:t>
      </w:r>
      <w:r w:rsidR="005740A9" w:rsidRPr="00621C9E">
        <w:rPr>
          <w:rFonts w:cs="Arial"/>
        </w:rPr>
        <w:t xml:space="preserve">Gender and Social Safeguards Strategy </w:t>
      </w:r>
      <w:r w:rsidR="001162D8" w:rsidRPr="00621C9E">
        <w:rPr>
          <w:rFonts w:cs="Arial"/>
        </w:rPr>
        <w:t xml:space="preserve">that </w:t>
      </w:r>
      <w:r w:rsidR="00B8458D" w:rsidRPr="00621C9E">
        <w:rPr>
          <w:rFonts w:cs="Arial"/>
        </w:rPr>
        <w:t>has just been developed</w:t>
      </w:r>
      <w:r w:rsidR="00181294">
        <w:rPr>
          <w:rFonts w:cs="Arial"/>
        </w:rPr>
        <w:t xml:space="preserve"> will need to be resourced and implemented</w:t>
      </w:r>
      <w:r w:rsidR="00B8458D" w:rsidRPr="00621C9E">
        <w:rPr>
          <w:rFonts w:cs="Arial"/>
        </w:rPr>
        <w:t xml:space="preserve">. Some TSSP2 staff also noted that the new design should </w:t>
      </w:r>
      <w:r w:rsidR="00FC20DF" w:rsidRPr="00621C9E">
        <w:rPr>
          <w:rFonts w:cs="Arial"/>
        </w:rPr>
        <w:t xml:space="preserve">mainstream </w:t>
      </w:r>
      <w:r w:rsidR="00D87D58">
        <w:rPr>
          <w:rFonts w:cs="Arial"/>
        </w:rPr>
        <w:t>GEDSI</w:t>
      </w:r>
      <w:r w:rsidR="001F7F31">
        <w:rPr>
          <w:rFonts w:cs="Arial"/>
        </w:rPr>
        <w:t xml:space="preserve"> and environmental and </w:t>
      </w:r>
      <w:r w:rsidR="00B8458D" w:rsidRPr="00621C9E">
        <w:rPr>
          <w:rFonts w:cs="Arial"/>
        </w:rPr>
        <w:t xml:space="preserve">social safeguards across the </w:t>
      </w:r>
      <w:r w:rsidR="00B8458D" w:rsidRPr="00BB42AE">
        <w:rPr>
          <w:rFonts w:cs="Arial"/>
        </w:rPr>
        <w:t>EOPOs</w:t>
      </w:r>
      <w:r w:rsidR="00FC20DF" w:rsidRPr="00621C9E">
        <w:rPr>
          <w:rFonts w:cs="Arial"/>
        </w:rPr>
        <w:t>, so that they are embedded in the</w:t>
      </w:r>
      <w:r w:rsidR="00554E02">
        <w:rPr>
          <w:rFonts w:cs="Arial"/>
        </w:rPr>
        <w:t xml:space="preserve"> implementation plans </w:t>
      </w:r>
      <w:r w:rsidR="00E02962">
        <w:rPr>
          <w:rFonts w:cs="Arial"/>
        </w:rPr>
        <w:t xml:space="preserve">and implemented across the </w:t>
      </w:r>
      <w:r w:rsidR="00FC20DF" w:rsidRPr="00621C9E">
        <w:rPr>
          <w:rFonts w:cs="Arial"/>
        </w:rPr>
        <w:t>Program</w:t>
      </w:r>
      <w:r w:rsidR="00E02962">
        <w:rPr>
          <w:rFonts w:cs="Arial"/>
        </w:rPr>
        <w:t xml:space="preserve"> investments.</w:t>
      </w:r>
    </w:p>
    <w:p w14:paraId="71939B5F" w14:textId="77777777" w:rsidR="004F33D4" w:rsidRPr="00621C9E" w:rsidRDefault="004F33D4" w:rsidP="004F33D4">
      <w:pPr>
        <w:pStyle w:val="BodyText"/>
        <w:rPr>
          <w:rFonts w:cs="Arial"/>
        </w:rPr>
      </w:pPr>
      <w:r w:rsidRPr="00827A8C">
        <w:rPr>
          <w:rFonts w:cs="Arial"/>
          <w:color w:val="4C7B9E" w:themeColor="accent2"/>
        </w:rPr>
        <w:t>KEQ 2: Is the current program design fit for purpose?</w:t>
      </w:r>
    </w:p>
    <w:p w14:paraId="35034B8C" w14:textId="21EB26B8" w:rsidR="00252EDF" w:rsidRDefault="004F33D4" w:rsidP="004F33D4">
      <w:pPr>
        <w:pStyle w:val="BodyText"/>
        <w:rPr>
          <w:rFonts w:cs="Arial"/>
        </w:rPr>
      </w:pPr>
      <w:bookmarkStart w:id="32" w:name="_Hlk95236283"/>
      <w:r w:rsidRPr="00621C9E">
        <w:rPr>
          <w:rFonts w:cs="Arial"/>
          <w:b/>
          <w:bCs/>
        </w:rPr>
        <w:t>The program design was fit</w:t>
      </w:r>
      <w:r w:rsidR="00B10FA0">
        <w:rPr>
          <w:rFonts w:cs="Arial"/>
          <w:b/>
          <w:bCs/>
        </w:rPr>
        <w:t xml:space="preserve"> </w:t>
      </w:r>
      <w:r w:rsidRPr="00621C9E">
        <w:rPr>
          <w:rFonts w:cs="Arial"/>
          <w:b/>
          <w:bCs/>
        </w:rPr>
        <w:t>for</w:t>
      </w:r>
      <w:r w:rsidR="00B10FA0">
        <w:rPr>
          <w:rFonts w:cs="Arial"/>
          <w:b/>
          <w:bCs/>
        </w:rPr>
        <w:t xml:space="preserve"> </w:t>
      </w:r>
      <w:r w:rsidRPr="00621C9E">
        <w:rPr>
          <w:rFonts w:cs="Arial"/>
          <w:b/>
          <w:bCs/>
        </w:rPr>
        <w:t>purpose and has remained flexible and responsive to DFAT</w:t>
      </w:r>
      <w:r w:rsidR="00C101CF">
        <w:rPr>
          <w:rFonts w:cs="Arial"/>
          <w:b/>
          <w:bCs/>
        </w:rPr>
        <w:t xml:space="preserve"> and GoPNG</w:t>
      </w:r>
      <w:r w:rsidRPr="00621C9E">
        <w:rPr>
          <w:rFonts w:cs="Arial"/>
          <w:b/>
          <w:bCs/>
        </w:rPr>
        <w:t xml:space="preserve">’s changing priorities for infrastructure investments in PNG, however, a design refresh is </w:t>
      </w:r>
      <w:r w:rsidR="002C5280">
        <w:rPr>
          <w:rFonts w:cs="Arial"/>
          <w:b/>
          <w:bCs/>
        </w:rPr>
        <w:t>needed</w:t>
      </w:r>
      <w:r w:rsidR="002C5280" w:rsidRPr="00621C9E">
        <w:rPr>
          <w:rFonts w:cs="Arial"/>
          <w:b/>
          <w:bCs/>
        </w:rPr>
        <w:t xml:space="preserve"> </w:t>
      </w:r>
      <w:r w:rsidRPr="00621C9E">
        <w:rPr>
          <w:rFonts w:cs="Arial"/>
          <w:b/>
          <w:bCs/>
        </w:rPr>
        <w:t>to accommodate emerging transport sector priorities and needs.</w:t>
      </w:r>
      <w:r w:rsidRPr="00621C9E">
        <w:rPr>
          <w:rFonts w:cs="Arial"/>
        </w:rPr>
        <w:t xml:space="preserve"> Most stakeholders </w:t>
      </w:r>
      <w:r w:rsidR="00060B24" w:rsidRPr="00621C9E">
        <w:rPr>
          <w:rFonts w:cs="Arial"/>
        </w:rPr>
        <w:t xml:space="preserve">consulted </w:t>
      </w:r>
      <w:r w:rsidRPr="00621C9E">
        <w:rPr>
          <w:rFonts w:cs="Arial"/>
        </w:rPr>
        <w:t>from DFAT, other Australian transport agencies and TSSP2 noted that the design focus on the maintenance of PNG’s national priority roads was sound</w:t>
      </w:r>
      <w:r w:rsidR="005D31ED">
        <w:rPr>
          <w:rFonts w:cs="Arial"/>
        </w:rPr>
        <w:t xml:space="preserve"> and good value for money </w:t>
      </w:r>
      <w:r w:rsidRPr="00621C9E">
        <w:rPr>
          <w:rFonts w:cs="Arial"/>
        </w:rPr>
        <w:t>as these roads provide the greatest economic and social benefit to the greatest number of people in PNG</w:t>
      </w:r>
      <w:bookmarkEnd w:id="32"/>
      <w:r w:rsidRPr="00621C9E">
        <w:rPr>
          <w:rFonts w:cs="Arial"/>
        </w:rPr>
        <w:t xml:space="preserve">. Also, given the </w:t>
      </w:r>
      <w:r w:rsidR="00AB4088">
        <w:rPr>
          <w:rFonts w:cs="Arial"/>
        </w:rPr>
        <w:t xml:space="preserve">low </w:t>
      </w:r>
      <w:r w:rsidR="00AD1BBB">
        <w:rPr>
          <w:rFonts w:cs="Arial"/>
        </w:rPr>
        <w:t>funding</w:t>
      </w:r>
      <w:r w:rsidR="00D7050C">
        <w:rPr>
          <w:rFonts w:cs="Arial"/>
        </w:rPr>
        <w:t xml:space="preserve"> </w:t>
      </w:r>
      <w:r w:rsidR="00AB4088">
        <w:rPr>
          <w:rFonts w:cs="Arial"/>
        </w:rPr>
        <w:t>allocation</w:t>
      </w:r>
      <w:r w:rsidR="00D7050C">
        <w:rPr>
          <w:rFonts w:cs="Arial"/>
        </w:rPr>
        <w:t xml:space="preserve"> </w:t>
      </w:r>
      <w:r w:rsidR="00AD1BBB">
        <w:rPr>
          <w:rFonts w:cs="Arial"/>
        </w:rPr>
        <w:t xml:space="preserve">by GoPNG </w:t>
      </w:r>
      <w:r w:rsidR="00E87F87">
        <w:rPr>
          <w:rFonts w:cs="Arial"/>
        </w:rPr>
        <w:t xml:space="preserve">for </w:t>
      </w:r>
      <w:r w:rsidR="007612C5" w:rsidRPr="00621C9E">
        <w:rPr>
          <w:rFonts w:cs="Arial"/>
        </w:rPr>
        <w:t>routine road maintenance</w:t>
      </w:r>
      <w:r w:rsidRPr="00621C9E">
        <w:rPr>
          <w:rFonts w:cs="Arial"/>
        </w:rPr>
        <w:t xml:space="preserve">, a focus on roads maintenance by TSSP2 </w:t>
      </w:r>
      <w:r>
        <w:rPr>
          <w:rFonts w:cs="Arial"/>
        </w:rPr>
        <w:t>ra</w:t>
      </w:r>
      <w:r w:rsidRPr="00621C9E">
        <w:rPr>
          <w:rFonts w:cs="Arial"/>
        </w:rPr>
        <w:t xml:space="preserve">ther than investments in new </w:t>
      </w:r>
      <w:r w:rsidR="00E87F87">
        <w:rPr>
          <w:rFonts w:cs="Arial"/>
        </w:rPr>
        <w:t xml:space="preserve">road </w:t>
      </w:r>
      <w:r w:rsidRPr="00621C9E">
        <w:rPr>
          <w:rFonts w:cs="Arial"/>
        </w:rPr>
        <w:t>assets was deemed appropriate and good value for money for DFAT.</w:t>
      </w:r>
      <w:r w:rsidR="00252EDF">
        <w:rPr>
          <w:rFonts w:cs="Arial"/>
        </w:rPr>
        <w:t xml:space="preserve"> </w:t>
      </w:r>
    </w:p>
    <w:p w14:paraId="0CC13ABB" w14:textId="588B0749" w:rsidR="00D648FF" w:rsidRDefault="00252EDF" w:rsidP="004F33D4">
      <w:pPr>
        <w:pStyle w:val="BodyText"/>
        <w:rPr>
          <w:rFonts w:cs="Arial"/>
        </w:rPr>
      </w:pPr>
      <w:r>
        <w:rPr>
          <w:rFonts w:cs="Arial"/>
        </w:rPr>
        <w:t>S</w:t>
      </w:r>
      <w:r w:rsidR="0099408A">
        <w:rPr>
          <w:rFonts w:cs="Arial"/>
        </w:rPr>
        <w:t xml:space="preserve">ome stakeholders noted that </w:t>
      </w:r>
      <w:r w:rsidR="00DC11AB">
        <w:rPr>
          <w:rFonts w:cs="Arial"/>
        </w:rPr>
        <w:t xml:space="preserve">the </w:t>
      </w:r>
      <w:r w:rsidR="0099408A">
        <w:rPr>
          <w:rFonts w:cs="Arial"/>
        </w:rPr>
        <w:t xml:space="preserve">expansion </w:t>
      </w:r>
      <w:r w:rsidR="00367EEB">
        <w:rPr>
          <w:rFonts w:cs="Arial"/>
        </w:rPr>
        <w:t xml:space="preserve">into </w:t>
      </w:r>
      <w:r>
        <w:rPr>
          <w:rFonts w:cs="Arial"/>
        </w:rPr>
        <w:t xml:space="preserve">the </w:t>
      </w:r>
      <w:r w:rsidR="00367EEB">
        <w:rPr>
          <w:rFonts w:cs="Arial"/>
        </w:rPr>
        <w:t xml:space="preserve">maritime sector </w:t>
      </w:r>
      <w:r w:rsidR="00DC11AB">
        <w:rPr>
          <w:rFonts w:cs="Arial"/>
        </w:rPr>
        <w:t xml:space="preserve">by the Program </w:t>
      </w:r>
      <w:r w:rsidR="00367EEB">
        <w:rPr>
          <w:rFonts w:cs="Arial"/>
        </w:rPr>
        <w:t>was seen as timely and appropriate f</w:t>
      </w:r>
      <w:r w:rsidR="00D648FF" w:rsidRPr="00D648FF">
        <w:rPr>
          <w:rFonts w:cs="Arial"/>
        </w:rPr>
        <w:t xml:space="preserve">rom a socio-economic </w:t>
      </w:r>
      <w:r w:rsidR="00544296" w:rsidRPr="00D648FF">
        <w:rPr>
          <w:rFonts w:cs="Arial"/>
        </w:rPr>
        <w:t>perspective</w:t>
      </w:r>
      <w:r w:rsidR="00544296">
        <w:rPr>
          <w:rFonts w:cs="Arial"/>
        </w:rPr>
        <w:t>. This</w:t>
      </w:r>
      <w:r w:rsidR="00EA1A0F">
        <w:rPr>
          <w:rFonts w:cs="Arial"/>
        </w:rPr>
        <w:t xml:space="preserve"> is because </w:t>
      </w:r>
      <w:r w:rsidR="00D648FF" w:rsidRPr="00D648FF">
        <w:rPr>
          <w:rFonts w:cs="Arial"/>
        </w:rPr>
        <w:t>supporting the maritime sector in PNG beyond road maintenance is not only good value for money for DFAT but also unlocks opportunities for economic</w:t>
      </w:r>
      <w:r w:rsidR="00F466C0">
        <w:rPr>
          <w:rFonts w:cs="Arial"/>
        </w:rPr>
        <w:t xml:space="preserve"> and social development</w:t>
      </w:r>
      <w:r w:rsidR="00D648FF" w:rsidRPr="00D648FF">
        <w:rPr>
          <w:rFonts w:cs="Arial"/>
        </w:rPr>
        <w:t xml:space="preserve"> for a large segment of the population. This is because PNG has a high rural maritime population that needs transport </w:t>
      </w:r>
      <w:r w:rsidR="00DC5DB7">
        <w:rPr>
          <w:rFonts w:cs="Arial"/>
        </w:rPr>
        <w:t>connections</w:t>
      </w:r>
      <w:r w:rsidR="00DC5DB7" w:rsidRPr="00D648FF">
        <w:rPr>
          <w:rFonts w:cs="Arial"/>
        </w:rPr>
        <w:t xml:space="preserve"> </w:t>
      </w:r>
      <w:r w:rsidR="00D648FF" w:rsidRPr="00D648FF">
        <w:rPr>
          <w:rFonts w:cs="Arial"/>
        </w:rPr>
        <w:t>to reap the economic benefits enjoyed by the more developed and connected urban areas</w:t>
      </w:r>
    </w:p>
    <w:p w14:paraId="46BC8D10" w14:textId="7DC51EEF" w:rsidR="004F33D4" w:rsidRPr="00621C9E" w:rsidRDefault="004F33D4" w:rsidP="004F33D4">
      <w:pPr>
        <w:pStyle w:val="BodyText"/>
        <w:rPr>
          <w:rFonts w:cs="Arial"/>
        </w:rPr>
      </w:pPr>
      <w:r w:rsidRPr="00621C9E">
        <w:rPr>
          <w:rFonts w:cs="Arial"/>
        </w:rPr>
        <w:t>The Program’s approach of using the GoPNG systems and processes was reported as a best practice for donor alignment by DFAT and useful in strengthening institutions locally. Though procurement delays have been reported as a consequence of using the national systems and process, GoPNG stakeholders noted that this should continue, and workable mechanisms explored to address procurement inefficiencies</w:t>
      </w:r>
      <w:r w:rsidRPr="00BB42AE">
        <w:rPr>
          <w:rFonts w:cs="Arial"/>
        </w:rPr>
        <w:t xml:space="preserve"> (see Chapter </w:t>
      </w:r>
      <w:r w:rsidR="00C54297">
        <w:rPr>
          <w:rFonts w:cs="Arial"/>
        </w:rPr>
        <w:t>3</w:t>
      </w:r>
      <w:r w:rsidRPr="00BB42AE">
        <w:rPr>
          <w:rFonts w:cs="Arial"/>
        </w:rPr>
        <w:t xml:space="preserve"> KEQ 4 on</w:t>
      </w:r>
      <w:r w:rsidRPr="00364322">
        <w:rPr>
          <w:rFonts w:cs="Arial"/>
        </w:rPr>
        <w:t xml:space="preserve"> procurement)</w:t>
      </w:r>
      <w:r>
        <w:rPr>
          <w:rFonts w:cs="Arial"/>
        </w:rPr>
        <w:t>.</w:t>
      </w:r>
    </w:p>
    <w:p w14:paraId="4A7C7AE6" w14:textId="41A57C6C" w:rsidR="004F33D4" w:rsidRPr="00621C9E" w:rsidRDefault="004F33D4" w:rsidP="004F33D4">
      <w:pPr>
        <w:pStyle w:val="BodyText"/>
        <w:rPr>
          <w:rFonts w:cs="Arial"/>
        </w:rPr>
      </w:pPr>
      <w:r w:rsidRPr="00621C9E">
        <w:rPr>
          <w:rFonts w:cs="Arial"/>
        </w:rPr>
        <w:t>TSSP</w:t>
      </w:r>
      <w:r w:rsidR="00CC083C">
        <w:rPr>
          <w:rFonts w:cs="Arial"/>
        </w:rPr>
        <w:t>2</w:t>
      </w:r>
      <w:r w:rsidRPr="00621C9E">
        <w:rPr>
          <w:rFonts w:cs="Arial"/>
        </w:rPr>
        <w:t>’s capacity</w:t>
      </w:r>
      <w:r w:rsidR="0022305C">
        <w:rPr>
          <w:rFonts w:cs="Arial"/>
        </w:rPr>
        <w:t>-</w:t>
      </w:r>
      <w:r w:rsidRPr="00621C9E">
        <w:rPr>
          <w:rFonts w:cs="Arial"/>
        </w:rPr>
        <w:t>building approach, consisting of targeted technical assistance combined with a program of works implemented through government systems, has provided possibilities to</w:t>
      </w:r>
      <w:r w:rsidR="00ED7660">
        <w:rPr>
          <w:rFonts w:cs="Arial"/>
        </w:rPr>
        <w:t xml:space="preserve"> positively</w:t>
      </w:r>
      <w:r w:rsidRPr="00621C9E">
        <w:rPr>
          <w:rFonts w:cs="Arial"/>
        </w:rPr>
        <w:t xml:space="preserve"> influence GoPNG policies, legislations, and strategies. Through this strategy, TSSP2 has had a powerful influence on </w:t>
      </w:r>
      <w:r>
        <w:rPr>
          <w:rFonts w:cs="Arial"/>
        </w:rPr>
        <w:t xml:space="preserve">transport </w:t>
      </w:r>
      <w:r w:rsidRPr="00621C9E">
        <w:rPr>
          <w:rFonts w:cs="Arial"/>
        </w:rPr>
        <w:t>sector policies and transport-related legislation.</w:t>
      </w:r>
    </w:p>
    <w:p w14:paraId="03D992E3" w14:textId="60C5830F" w:rsidR="00174DCA" w:rsidRPr="00621C9E" w:rsidRDefault="00174DCA" w:rsidP="00174DCA">
      <w:pPr>
        <w:pStyle w:val="BodyText"/>
        <w:rPr>
          <w:rFonts w:cs="Arial"/>
        </w:rPr>
      </w:pPr>
      <w:r w:rsidRPr="00621C9E">
        <w:rPr>
          <w:rFonts w:cs="Arial"/>
        </w:rPr>
        <w:lastRenderedPageBreak/>
        <w:t xml:space="preserve">The Program has been flexible </w:t>
      </w:r>
      <w:r w:rsidR="002E2022">
        <w:rPr>
          <w:rFonts w:cs="Arial"/>
        </w:rPr>
        <w:t xml:space="preserve">and responded to shifts and changes within DFAT such as </w:t>
      </w:r>
      <w:r w:rsidR="00F23D2E">
        <w:rPr>
          <w:rFonts w:cs="Arial"/>
        </w:rPr>
        <w:t xml:space="preserve">responding to </w:t>
      </w:r>
      <w:r w:rsidR="00F23D2E" w:rsidRPr="00F23D2E">
        <w:rPr>
          <w:rFonts w:cs="Arial"/>
        </w:rPr>
        <w:t xml:space="preserve">Pacific Step up and Foreign Policy White Paper </w:t>
      </w:r>
      <w:r w:rsidR="00F23D2E">
        <w:rPr>
          <w:rFonts w:cs="Arial"/>
        </w:rPr>
        <w:t xml:space="preserve">between 2017 and 2019. </w:t>
      </w:r>
      <w:r w:rsidR="00AD418E">
        <w:rPr>
          <w:rFonts w:cs="Arial"/>
        </w:rPr>
        <w:t>Also, the Program designed during Aus</w:t>
      </w:r>
      <w:r w:rsidR="002870B1">
        <w:rPr>
          <w:rFonts w:cs="Arial"/>
        </w:rPr>
        <w:t>AID</w:t>
      </w:r>
      <w:r w:rsidR="00AD418E">
        <w:rPr>
          <w:rFonts w:cs="Arial"/>
        </w:rPr>
        <w:t xml:space="preserve"> was flexible and adjus</w:t>
      </w:r>
      <w:r w:rsidR="00EB5745">
        <w:rPr>
          <w:rFonts w:cs="Arial"/>
        </w:rPr>
        <w:t>ted well to the transition from Aus</w:t>
      </w:r>
      <w:r w:rsidR="002870B1">
        <w:rPr>
          <w:rFonts w:cs="Arial"/>
        </w:rPr>
        <w:t>AID</w:t>
      </w:r>
      <w:r w:rsidR="00EB5745">
        <w:rPr>
          <w:rFonts w:cs="Arial"/>
        </w:rPr>
        <w:t xml:space="preserve"> to DFAT. </w:t>
      </w:r>
      <w:r w:rsidR="00EE09F9">
        <w:rPr>
          <w:rFonts w:cs="Arial"/>
        </w:rPr>
        <w:t>Some stakeholders from DFAT also noted that the Program has been flexible</w:t>
      </w:r>
      <w:r w:rsidR="00821161">
        <w:rPr>
          <w:rFonts w:cs="Arial"/>
        </w:rPr>
        <w:t xml:space="preserve"> in accommodating and providing</w:t>
      </w:r>
      <w:r w:rsidR="00D7050C">
        <w:rPr>
          <w:rFonts w:cs="Arial"/>
        </w:rPr>
        <w:t xml:space="preserve"> </w:t>
      </w:r>
      <w:r w:rsidRPr="00621C9E">
        <w:rPr>
          <w:rFonts w:cs="Arial"/>
        </w:rPr>
        <w:t>preparatory support to the Australian Infrastructure Financing Facility for the Pacific (AIFFP)</w:t>
      </w:r>
      <w:r w:rsidR="00A44BAF">
        <w:rPr>
          <w:rFonts w:cs="Arial"/>
        </w:rPr>
        <w:t>,</w:t>
      </w:r>
      <w:r w:rsidRPr="00621C9E">
        <w:rPr>
          <w:rFonts w:cs="Arial"/>
        </w:rPr>
        <w:t xml:space="preserve"> which is a significant infrastructure investment in PNG. </w:t>
      </w:r>
      <w:r w:rsidR="000339FE">
        <w:rPr>
          <w:rFonts w:cs="Arial"/>
        </w:rPr>
        <w:t xml:space="preserve">Even though AIFFP </w:t>
      </w:r>
      <w:r w:rsidR="00667F6F">
        <w:rPr>
          <w:rFonts w:cs="Arial"/>
        </w:rPr>
        <w:t>was not part of TSSP2</w:t>
      </w:r>
      <w:r w:rsidR="000C6B1A">
        <w:rPr>
          <w:rFonts w:cs="Arial"/>
        </w:rPr>
        <w:t xml:space="preserve"> design, </w:t>
      </w:r>
      <w:r w:rsidR="00667F6F">
        <w:rPr>
          <w:rFonts w:cs="Arial"/>
        </w:rPr>
        <w:t>b</w:t>
      </w:r>
      <w:r w:rsidRPr="00621C9E">
        <w:rPr>
          <w:rFonts w:cs="Arial"/>
        </w:rPr>
        <w:t xml:space="preserve">y supporting </w:t>
      </w:r>
      <w:r w:rsidRPr="00BB42AE">
        <w:rPr>
          <w:rFonts w:cs="Arial"/>
        </w:rPr>
        <w:t>AIFFP</w:t>
      </w:r>
      <w:r w:rsidR="00A44BAF">
        <w:rPr>
          <w:rFonts w:cs="Arial"/>
        </w:rPr>
        <w:t>,</w:t>
      </w:r>
      <w:r w:rsidRPr="00621C9E">
        <w:rPr>
          <w:rFonts w:cs="Arial"/>
        </w:rPr>
        <w:t xml:space="preserve"> which provides infrastructure funding of both loans and grants in PNG and </w:t>
      </w:r>
      <w:r w:rsidR="00430AFB">
        <w:rPr>
          <w:rFonts w:cs="Arial"/>
        </w:rPr>
        <w:t xml:space="preserve">the </w:t>
      </w:r>
      <w:r w:rsidRPr="00621C9E">
        <w:rPr>
          <w:rFonts w:cs="Arial"/>
        </w:rPr>
        <w:t xml:space="preserve">wider Pacific, TSSP2 has </w:t>
      </w:r>
      <w:r w:rsidR="00394EB4">
        <w:rPr>
          <w:rFonts w:cs="Arial"/>
        </w:rPr>
        <w:t xml:space="preserve">had </w:t>
      </w:r>
      <w:r w:rsidRPr="00621C9E">
        <w:rPr>
          <w:rFonts w:cs="Arial"/>
        </w:rPr>
        <w:t xml:space="preserve">access to resources which has facilitated </w:t>
      </w:r>
      <w:r w:rsidR="00782AE6">
        <w:rPr>
          <w:rFonts w:cs="Arial"/>
        </w:rPr>
        <w:t>Australia’s</w:t>
      </w:r>
      <w:r w:rsidR="00782AE6" w:rsidRPr="00621C9E">
        <w:rPr>
          <w:rFonts w:cs="Arial"/>
        </w:rPr>
        <w:t xml:space="preserve"> </w:t>
      </w:r>
      <w:r w:rsidR="00652037">
        <w:rPr>
          <w:rFonts w:cs="Arial"/>
        </w:rPr>
        <w:t xml:space="preserve">remarkable </w:t>
      </w:r>
      <w:r w:rsidRPr="00621C9E">
        <w:rPr>
          <w:rFonts w:cs="Arial"/>
        </w:rPr>
        <w:t>expansion to the maritime sector through preparatory works for the investments in PNG Ports</w:t>
      </w:r>
      <w:r w:rsidR="001A7181">
        <w:rPr>
          <w:rFonts w:cs="Arial"/>
        </w:rPr>
        <w:t xml:space="preserve">. </w:t>
      </w:r>
      <w:r w:rsidR="00530ADD">
        <w:rPr>
          <w:rFonts w:cs="Arial"/>
        </w:rPr>
        <w:t xml:space="preserve">Increased investments </w:t>
      </w:r>
      <w:r w:rsidR="00187C15">
        <w:rPr>
          <w:rFonts w:cs="Arial"/>
        </w:rPr>
        <w:t>in</w:t>
      </w:r>
      <w:r w:rsidR="00D7050C">
        <w:rPr>
          <w:rFonts w:cs="Arial"/>
        </w:rPr>
        <w:t xml:space="preserve"> </w:t>
      </w:r>
      <w:r w:rsidRPr="00621C9E">
        <w:rPr>
          <w:rFonts w:cs="Arial"/>
        </w:rPr>
        <w:t xml:space="preserve">the maritime sector </w:t>
      </w:r>
      <w:r w:rsidR="00BD4F00" w:rsidRPr="00621C9E">
        <w:rPr>
          <w:rFonts w:cs="Arial"/>
        </w:rPr>
        <w:t>are</w:t>
      </w:r>
      <w:r w:rsidRPr="00621C9E">
        <w:rPr>
          <w:rFonts w:cs="Arial"/>
        </w:rPr>
        <w:t xml:space="preserve"> important because better transport access across PNG requires not only improved roads but also improved ports and airports</w:t>
      </w:r>
      <w:r w:rsidR="00D7050C">
        <w:rPr>
          <w:rFonts w:cs="Arial"/>
        </w:rPr>
        <w:t xml:space="preserve"> </w:t>
      </w:r>
      <w:r w:rsidR="004B2AF8">
        <w:rPr>
          <w:rFonts w:cs="Arial"/>
        </w:rPr>
        <w:t>for better socio-economic development</w:t>
      </w:r>
      <w:r w:rsidRPr="00621C9E">
        <w:rPr>
          <w:rFonts w:cs="Arial"/>
        </w:rPr>
        <w:t xml:space="preserve">. </w:t>
      </w:r>
      <w:r w:rsidR="005A62AB">
        <w:rPr>
          <w:rFonts w:cs="Arial"/>
        </w:rPr>
        <w:t xml:space="preserve">For </w:t>
      </w:r>
      <w:r w:rsidR="00A44BAF">
        <w:rPr>
          <w:rFonts w:cs="Arial"/>
        </w:rPr>
        <w:t xml:space="preserve">the </w:t>
      </w:r>
      <w:r w:rsidR="005A62AB">
        <w:rPr>
          <w:rFonts w:cs="Arial"/>
        </w:rPr>
        <w:t>TSSP3 design</w:t>
      </w:r>
      <w:r w:rsidR="00A44BAF">
        <w:rPr>
          <w:rFonts w:cs="Arial"/>
        </w:rPr>
        <w:t>,</w:t>
      </w:r>
      <w:r w:rsidR="005A62AB">
        <w:rPr>
          <w:rFonts w:cs="Arial"/>
        </w:rPr>
        <w:t xml:space="preserve"> workable mechanisms and engagements </w:t>
      </w:r>
      <w:r w:rsidR="00D96D78">
        <w:rPr>
          <w:rFonts w:cs="Arial"/>
        </w:rPr>
        <w:t>with AIFFP need to be explored to</w:t>
      </w:r>
      <w:r w:rsidR="00F1004C">
        <w:rPr>
          <w:rFonts w:cs="Arial"/>
        </w:rPr>
        <w:t xml:space="preserve"> help</w:t>
      </w:r>
      <w:r w:rsidR="00D96D78">
        <w:rPr>
          <w:rFonts w:cs="Arial"/>
        </w:rPr>
        <w:t xml:space="preserve"> ensure complementarity </w:t>
      </w:r>
      <w:r w:rsidR="004B09C3">
        <w:rPr>
          <w:rFonts w:cs="Arial"/>
        </w:rPr>
        <w:t>of efforts and mandate</w:t>
      </w:r>
      <w:r w:rsidR="001A7181">
        <w:rPr>
          <w:rFonts w:cs="Arial"/>
        </w:rPr>
        <w:t xml:space="preserve"> (see Chapter 5). </w:t>
      </w:r>
    </w:p>
    <w:p w14:paraId="4016D1FF" w14:textId="55392F71" w:rsidR="000E3521" w:rsidRDefault="00174DCA" w:rsidP="004F33D4">
      <w:pPr>
        <w:pStyle w:val="BodyText"/>
        <w:rPr>
          <w:rFonts w:cs="Arial"/>
        </w:rPr>
      </w:pPr>
      <w:r w:rsidRPr="00621C9E">
        <w:rPr>
          <w:rFonts w:cs="Arial"/>
        </w:rPr>
        <w:t xml:space="preserve">Even though the design has </w:t>
      </w:r>
      <w:r>
        <w:rPr>
          <w:rFonts w:cs="Arial"/>
        </w:rPr>
        <w:t>been fit</w:t>
      </w:r>
      <w:r w:rsidR="00B10FA0">
        <w:rPr>
          <w:rFonts w:cs="Arial"/>
        </w:rPr>
        <w:t xml:space="preserve"> </w:t>
      </w:r>
      <w:r>
        <w:rPr>
          <w:rFonts w:cs="Arial"/>
        </w:rPr>
        <w:t>for</w:t>
      </w:r>
      <w:r w:rsidR="00B10FA0">
        <w:rPr>
          <w:rFonts w:cs="Arial"/>
        </w:rPr>
        <w:t xml:space="preserve"> </w:t>
      </w:r>
      <w:r>
        <w:rPr>
          <w:rFonts w:cs="Arial"/>
        </w:rPr>
        <w:t xml:space="preserve">purpose </w:t>
      </w:r>
      <w:r w:rsidR="004038A2">
        <w:rPr>
          <w:rFonts w:cs="Arial"/>
        </w:rPr>
        <w:t>throughout</w:t>
      </w:r>
      <w:r>
        <w:rPr>
          <w:rFonts w:cs="Arial"/>
        </w:rPr>
        <w:t xml:space="preserve"> Phase 2</w:t>
      </w:r>
      <w:r w:rsidRPr="00621C9E">
        <w:rPr>
          <w:rFonts w:cs="Arial"/>
        </w:rPr>
        <w:t>, most stakeholders noted that a design refresh is due to accommodate</w:t>
      </w:r>
      <w:r w:rsidR="0012761E">
        <w:rPr>
          <w:rFonts w:cs="Arial"/>
        </w:rPr>
        <w:t xml:space="preserve"> an expanding transport sector mandate </w:t>
      </w:r>
      <w:r w:rsidR="00771C05">
        <w:rPr>
          <w:rFonts w:cs="Arial"/>
        </w:rPr>
        <w:t xml:space="preserve">in PNG </w:t>
      </w:r>
      <w:r w:rsidRPr="00621C9E">
        <w:rPr>
          <w:rFonts w:cs="Arial"/>
        </w:rPr>
        <w:t>as well as DFAT’s strategic intentions for the PNG transport sector. This will help align the Program with GoPNG’s ‘Connect PNG</w:t>
      </w:r>
      <w:r>
        <w:rPr>
          <w:rFonts w:cs="Arial"/>
        </w:rPr>
        <w:t>’</w:t>
      </w:r>
      <w:r w:rsidR="00D7050C">
        <w:rPr>
          <w:rFonts w:cs="Arial"/>
        </w:rPr>
        <w:t xml:space="preserve"> </w:t>
      </w:r>
      <w:r w:rsidR="00E8562B">
        <w:rPr>
          <w:rFonts w:cs="Arial"/>
        </w:rPr>
        <w:t>policy</w:t>
      </w:r>
      <w:r w:rsidR="00BD4F00">
        <w:rPr>
          <w:rFonts w:cs="Arial"/>
        </w:rPr>
        <w:t xml:space="preserve">, </w:t>
      </w:r>
      <w:r w:rsidR="003E1602" w:rsidRPr="003E1602">
        <w:rPr>
          <w:rFonts w:cs="Arial"/>
        </w:rPr>
        <w:t xml:space="preserve">the current GoPNG policy that aims to rebuild the country’s </w:t>
      </w:r>
      <w:r w:rsidR="000852DC">
        <w:rPr>
          <w:rFonts w:cs="Arial"/>
        </w:rPr>
        <w:t xml:space="preserve">multi-modal transport </w:t>
      </w:r>
      <w:r w:rsidR="003E1602" w:rsidRPr="003E1602">
        <w:rPr>
          <w:rFonts w:cs="Arial"/>
        </w:rPr>
        <w:t>infrastructure on a 20-year program</w:t>
      </w:r>
      <w:r w:rsidR="00887164">
        <w:rPr>
          <w:rFonts w:cs="Arial"/>
        </w:rPr>
        <w:t>,</w:t>
      </w:r>
      <w:r w:rsidR="004647FD">
        <w:rPr>
          <w:rFonts w:cs="Arial"/>
        </w:rPr>
        <w:t xml:space="preserve"> and ensure sufficient flexibility</w:t>
      </w:r>
      <w:r w:rsidR="00D14614">
        <w:rPr>
          <w:rFonts w:cs="Arial"/>
        </w:rPr>
        <w:t xml:space="preserve"> to respond as th</w:t>
      </w:r>
      <w:r w:rsidR="008A0CB4">
        <w:rPr>
          <w:rFonts w:cs="Arial"/>
        </w:rPr>
        <w:t>is</w:t>
      </w:r>
      <w:r w:rsidR="00D14614">
        <w:rPr>
          <w:rFonts w:cs="Arial"/>
        </w:rPr>
        <w:t xml:space="preserve"> policy evolves</w:t>
      </w:r>
      <w:r w:rsidR="003E1602" w:rsidRPr="003E1602">
        <w:rPr>
          <w:rFonts w:cs="Arial"/>
        </w:rPr>
        <w:t>.</w:t>
      </w:r>
      <w:r w:rsidRPr="00621C9E">
        <w:rPr>
          <w:rFonts w:cs="Arial"/>
        </w:rPr>
        <w:t xml:space="preserve"> </w:t>
      </w:r>
      <w:r w:rsidR="00296921">
        <w:rPr>
          <w:rFonts w:cs="Arial"/>
        </w:rPr>
        <w:t>The following section presents the findings on how the design for TSSP3 could be refreshed to be fit for purpose and relevant for the PNG’s transport sector agencies’ future directions and community needs.</w:t>
      </w:r>
    </w:p>
    <w:p w14:paraId="317474F2" w14:textId="51791EF1" w:rsidR="004F33D4" w:rsidRPr="00621C9E" w:rsidRDefault="004F33D4" w:rsidP="004F33D4">
      <w:pPr>
        <w:pStyle w:val="BodyText"/>
        <w:rPr>
          <w:rFonts w:cs="Arial"/>
          <w:color w:val="4C7B9E" w:themeColor="background2"/>
        </w:rPr>
      </w:pPr>
      <w:r w:rsidRPr="00827A8C">
        <w:rPr>
          <w:rFonts w:cs="Arial"/>
          <w:color w:val="4C7B9E" w:themeColor="accent2"/>
        </w:rPr>
        <w:t xml:space="preserve">KEQ 3: What can be changed in the current design to make TSSP2 more effective? </w:t>
      </w:r>
    </w:p>
    <w:p w14:paraId="74CF9B98" w14:textId="2C7DEAF5" w:rsidR="00531D75" w:rsidRPr="00621C9E" w:rsidRDefault="00B1371B" w:rsidP="00531D75">
      <w:pPr>
        <w:pStyle w:val="BodyText"/>
        <w:rPr>
          <w:rFonts w:cs="Arial"/>
        </w:rPr>
      </w:pPr>
      <w:r w:rsidRPr="00621C9E">
        <w:rPr>
          <w:rFonts w:cs="Arial"/>
          <w:b/>
          <w:bCs/>
        </w:rPr>
        <w:t>The</w:t>
      </w:r>
      <w:r w:rsidR="004F33D4" w:rsidRPr="00621C9E">
        <w:rPr>
          <w:rFonts w:cs="Arial"/>
          <w:b/>
          <w:bCs/>
        </w:rPr>
        <w:t xml:space="preserve"> </w:t>
      </w:r>
      <w:bookmarkStart w:id="33" w:name="_Hlk95236401"/>
      <w:r w:rsidR="004F33D4" w:rsidRPr="00621C9E">
        <w:rPr>
          <w:rFonts w:cs="Arial"/>
          <w:b/>
          <w:bCs/>
        </w:rPr>
        <w:t>TSSP2 program logic structured around three E</w:t>
      </w:r>
      <w:r w:rsidR="000A212E">
        <w:rPr>
          <w:rFonts w:cs="Arial"/>
          <w:b/>
          <w:bCs/>
        </w:rPr>
        <w:t xml:space="preserve">OPOs </w:t>
      </w:r>
      <w:r w:rsidR="004F33D4" w:rsidRPr="00621C9E">
        <w:rPr>
          <w:rFonts w:cs="Arial"/>
          <w:b/>
          <w:bCs/>
        </w:rPr>
        <w:t>was appropriate with opportunities now for a program logic refresh in the new design to capture changes in the operating contexts in PNG and within DFAT.</w:t>
      </w:r>
      <w:r w:rsidR="00D7050C">
        <w:rPr>
          <w:rFonts w:cs="Arial"/>
        </w:rPr>
        <w:t xml:space="preserve"> </w:t>
      </w:r>
      <w:r w:rsidR="004F33D4" w:rsidRPr="00621C9E">
        <w:rPr>
          <w:rFonts w:cs="Arial"/>
        </w:rPr>
        <w:t>Most stakeholders consulted for this Review reported that the goal and the EOPOs remain ambitious and, in some instances, out of</w:t>
      </w:r>
      <w:r w:rsidR="004F33D4">
        <w:rPr>
          <w:rFonts w:cs="Arial"/>
        </w:rPr>
        <w:t xml:space="preserve"> the</w:t>
      </w:r>
      <w:r w:rsidR="004F33D4" w:rsidRPr="00621C9E">
        <w:rPr>
          <w:rFonts w:cs="Arial"/>
        </w:rPr>
        <w:t xml:space="preserve"> control </w:t>
      </w:r>
      <w:r w:rsidR="004F33D4">
        <w:rPr>
          <w:rFonts w:cs="Arial"/>
        </w:rPr>
        <w:t xml:space="preserve">of </w:t>
      </w:r>
      <w:r w:rsidR="004F33D4" w:rsidRPr="00621C9E">
        <w:rPr>
          <w:rFonts w:cs="Arial"/>
        </w:rPr>
        <w:t>TSSP2</w:t>
      </w:r>
      <w:bookmarkEnd w:id="33"/>
      <w:r w:rsidR="004F33D4" w:rsidRPr="00621C9E">
        <w:rPr>
          <w:rFonts w:cs="Arial"/>
        </w:rPr>
        <w:t xml:space="preserve">. For instance, EOPO1 which states “GoPNG transport agencies have a clear mandate and are effective and functional” though appropriate seems too broad given the number of transport agencies in PNG, which are all at various stages of development, operation, funding, and management. Effectively, at any point of time, EOPO1 is at most likely to be true for only a certain percentage of agencies, rather than all agencies and, as such, it is effectively an unattainable EOPO. This is particularly the case as the first part, “a clear mandate” is relatively easy to achieve while the second part, “effective and functional”, will take many years of concentrated operational and </w:t>
      </w:r>
      <w:r w:rsidR="007F2836">
        <w:rPr>
          <w:rFonts w:cs="Arial"/>
        </w:rPr>
        <w:t>advisory</w:t>
      </w:r>
      <w:r w:rsidR="004F33D4" w:rsidRPr="00621C9E">
        <w:rPr>
          <w:rFonts w:cs="Arial"/>
        </w:rPr>
        <w:t xml:space="preserve"> support in each separate</w:t>
      </w:r>
      <w:r w:rsidR="004F33D4">
        <w:rPr>
          <w:rFonts w:cs="Arial"/>
        </w:rPr>
        <w:t xml:space="preserve"> </w:t>
      </w:r>
      <w:r w:rsidR="00531D75" w:rsidRPr="00621C9E">
        <w:rPr>
          <w:rFonts w:cs="Arial"/>
        </w:rPr>
        <w:t>transport agency. Also, the EOPO’s objective around mandate and function rests with the GoPNG</w:t>
      </w:r>
      <w:r w:rsidR="00531D75">
        <w:rPr>
          <w:rFonts w:cs="Arial"/>
        </w:rPr>
        <w:t>,</w:t>
      </w:r>
      <w:r w:rsidR="00531D75" w:rsidRPr="00621C9E">
        <w:rPr>
          <w:rFonts w:cs="Arial"/>
        </w:rPr>
        <w:t xml:space="preserve"> and a Program such as TSSP2 can only contribute or facilitate but cannot attain. </w:t>
      </w:r>
    </w:p>
    <w:p w14:paraId="5B9105B6" w14:textId="77BC6939" w:rsidR="00531D75" w:rsidRPr="00621C9E" w:rsidRDefault="00531D75" w:rsidP="00531D75">
      <w:pPr>
        <w:pStyle w:val="BodyText"/>
        <w:rPr>
          <w:rFonts w:cs="Arial"/>
        </w:rPr>
      </w:pPr>
      <w:r w:rsidRPr="00621C9E">
        <w:rPr>
          <w:rFonts w:cs="Arial"/>
        </w:rPr>
        <w:t>Similar views were reported for the EOPO2 that states “GoPNG delivers a planned and prioritised road maintenance program”. Some GoPNG stakeholders noted</w:t>
      </w:r>
      <w:r>
        <w:rPr>
          <w:rFonts w:cs="Arial"/>
        </w:rPr>
        <w:t xml:space="preserve"> that</w:t>
      </w:r>
      <w:r w:rsidRPr="00621C9E">
        <w:rPr>
          <w:rFonts w:cs="Arial"/>
        </w:rPr>
        <w:t xml:space="preserve"> in practice</w:t>
      </w:r>
      <w:r>
        <w:rPr>
          <w:rFonts w:cs="Arial"/>
        </w:rPr>
        <w:t>,</w:t>
      </w:r>
      <w:r w:rsidRPr="00621C9E">
        <w:rPr>
          <w:rFonts w:cs="Arial"/>
        </w:rPr>
        <w:t xml:space="preserve"> work done by the Road Sector Group (RSG) under this EOPO almost exclusively focuses on the TSSP-funded sections of the road network and not the DoW road maintenance priorities across the country. Because of this, some stakeholders noted that TSSP2 in reality operates as a mini-DoW on the side instead of being wholly integrated with the DoW’s overall road maintenance work plan. Though </w:t>
      </w:r>
      <w:r w:rsidR="00CE256F">
        <w:rPr>
          <w:rFonts w:cs="Arial"/>
        </w:rPr>
        <w:t>reports</w:t>
      </w:r>
      <w:r w:rsidR="00CE256F" w:rsidRPr="00621C9E">
        <w:rPr>
          <w:rFonts w:cs="Arial"/>
        </w:rPr>
        <w:t xml:space="preserve"> </w:t>
      </w:r>
      <w:r w:rsidRPr="00621C9E">
        <w:rPr>
          <w:rFonts w:cs="Arial"/>
        </w:rPr>
        <w:t xml:space="preserve">were </w:t>
      </w:r>
      <w:r w:rsidR="00CE256F">
        <w:rPr>
          <w:rFonts w:cs="Arial"/>
        </w:rPr>
        <w:t xml:space="preserve">mixed </w:t>
      </w:r>
      <w:r w:rsidRPr="00621C9E">
        <w:rPr>
          <w:rFonts w:cs="Arial"/>
        </w:rPr>
        <w:t>on whether and how TSSP2 is fully integrated within the DoW, this observation calls for better alignment, communication, and coordination between TSSP2 and the DoW and also with the new PNG Road Fund in implementing the road-maint</w:t>
      </w:r>
      <w:r w:rsidR="00111017">
        <w:rPr>
          <w:rFonts w:cs="Arial"/>
        </w:rPr>
        <w:t>e</w:t>
      </w:r>
      <w:r w:rsidRPr="00621C9E">
        <w:rPr>
          <w:rFonts w:cs="Arial"/>
        </w:rPr>
        <w:t>n</w:t>
      </w:r>
      <w:r w:rsidR="002B44B6">
        <w:rPr>
          <w:rFonts w:cs="Arial"/>
        </w:rPr>
        <w:t>ance</w:t>
      </w:r>
      <w:r w:rsidRPr="00621C9E">
        <w:rPr>
          <w:rFonts w:cs="Arial"/>
        </w:rPr>
        <w:t xml:space="preserve"> work plan going into the future.</w:t>
      </w:r>
    </w:p>
    <w:p w14:paraId="6594FBBE" w14:textId="412B8E99" w:rsidR="00531D75" w:rsidRPr="00621C9E" w:rsidRDefault="00531D75" w:rsidP="00531D75">
      <w:pPr>
        <w:pStyle w:val="BodyText"/>
        <w:rPr>
          <w:rFonts w:cs="Arial"/>
        </w:rPr>
      </w:pPr>
      <w:r w:rsidRPr="0022561C">
        <w:rPr>
          <w:rFonts w:cs="Arial"/>
        </w:rPr>
        <w:t>Also, the current separation of TSSP2 outcomes from the agencies</w:t>
      </w:r>
      <w:r w:rsidR="00C748AA">
        <w:rPr>
          <w:rFonts w:cs="Arial"/>
        </w:rPr>
        <w:t>'</w:t>
      </w:r>
      <w:r w:rsidRPr="0022561C">
        <w:rPr>
          <w:rFonts w:cs="Arial"/>
        </w:rPr>
        <w:t xml:space="preserve"> and departments</w:t>
      </w:r>
      <w:r w:rsidR="00C748AA">
        <w:rPr>
          <w:rFonts w:cs="Arial"/>
        </w:rPr>
        <w:t>'</w:t>
      </w:r>
      <w:r w:rsidRPr="0022561C">
        <w:rPr>
          <w:rFonts w:cs="Arial"/>
        </w:rPr>
        <w:t xml:space="preserve"> outcomes is noted as a concern with opportunities for better alignment in the new design. Some</w:t>
      </w:r>
      <w:r w:rsidRPr="00621C9E">
        <w:rPr>
          <w:rFonts w:cs="Arial"/>
        </w:rPr>
        <w:t xml:space="preserve"> stakeholders from GoPNG reported that the program logic should align as much as possible to </w:t>
      </w:r>
      <w:r w:rsidRPr="00BB42AE">
        <w:rPr>
          <w:rFonts w:cs="Arial"/>
        </w:rPr>
        <w:t>DoT and DoW</w:t>
      </w:r>
      <w:r w:rsidRPr="00621C9E">
        <w:rPr>
          <w:rFonts w:cs="Arial"/>
        </w:rPr>
        <w:t xml:space="preserve"> outcomes and not develop separate outcomes</w:t>
      </w:r>
      <w:r>
        <w:rPr>
          <w:rFonts w:cs="Arial"/>
        </w:rPr>
        <w:t>,</w:t>
      </w:r>
      <w:r w:rsidRPr="00621C9E">
        <w:rPr>
          <w:rFonts w:cs="Arial"/>
        </w:rPr>
        <w:t xml:space="preserve"> which is the case with the current design. Because of this, the Program has </w:t>
      </w:r>
      <w:r>
        <w:rPr>
          <w:rFonts w:cs="Arial"/>
        </w:rPr>
        <w:t xml:space="preserve">in some instances </w:t>
      </w:r>
      <w:r w:rsidRPr="00621C9E">
        <w:rPr>
          <w:rFonts w:cs="Arial"/>
        </w:rPr>
        <w:t xml:space="preserve">been </w:t>
      </w:r>
      <w:r>
        <w:rPr>
          <w:rFonts w:cs="Arial"/>
        </w:rPr>
        <w:t xml:space="preserve">seen to be </w:t>
      </w:r>
      <w:r w:rsidRPr="00621C9E">
        <w:rPr>
          <w:rFonts w:cs="Arial"/>
        </w:rPr>
        <w:t>too separated from the individual agencies</w:t>
      </w:r>
      <w:r>
        <w:rPr>
          <w:rFonts w:cs="Arial"/>
        </w:rPr>
        <w:t>’ work and the outcomes they aim to achieve</w:t>
      </w:r>
      <w:r w:rsidRPr="00621C9E">
        <w:rPr>
          <w:rFonts w:cs="Arial"/>
        </w:rPr>
        <w:t>. GoPNG agencies stakeholders reported that TSSP</w:t>
      </w:r>
      <w:r w:rsidR="00CE256F">
        <w:rPr>
          <w:rFonts w:cs="Arial"/>
        </w:rPr>
        <w:t>2</w:t>
      </w:r>
      <w:r>
        <w:rPr>
          <w:rFonts w:cs="Arial"/>
        </w:rPr>
        <w:t xml:space="preserve"> </w:t>
      </w:r>
      <w:r w:rsidRPr="00D35CB9">
        <w:rPr>
          <w:rFonts w:cs="Arial"/>
        </w:rPr>
        <w:t xml:space="preserve">should </w:t>
      </w:r>
      <w:r>
        <w:rPr>
          <w:rFonts w:cs="Arial"/>
        </w:rPr>
        <w:t xml:space="preserve">be </w:t>
      </w:r>
      <w:r w:rsidRPr="00D35CB9">
        <w:rPr>
          <w:rFonts w:cs="Arial"/>
        </w:rPr>
        <w:t>aligned to the agency’s outcomes and strategic goals, or at least more closely aligned, as set out in their programs and Strategic Plans. In this regard, TSSP</w:t>
      </w:r>
      <w:r w:rsidR="00CE256F">
        <w:rPr>
          <w:rFonts w:cs="Arial"/>
        </w:rPr>
        <w:t>2</w:t>
      </w:r>
      <w:r>
        <w:rPr>
          <w:rFonts w:cs="Arial"/>
        </w:rPr>
        <w:t>’s</w:t>
      </w:r>
      <w:r w:rsidRPr="00D35CB9">
        <w:rPr>
          <w:rFonts w:cs="Arial"/>
        </w:rPr>
        <w:t xml:space="preserve"> role is to facilitate</w:t>
      </w:r>
      <w:r>
        <w:rPr>
          <w:rFonts w:cs="Arial"/>
        </w:rPr>
        <w:t>,</w:t>
      </w:r>
      <w:r w:rsidRPr="00D35CB9">
        <w:rPr>
          <w:rFonts w:cs="Arial"/>
        </w:rPr>
        <w:t xml:space="preserve"> through advice and capacity building activities</w:t>
      </w:r>
      <w:r>
        <w:rPr>
          <w:rFonts w:cs="Arial"/>
        </w:rPr>
        <w:t>,</w:t>
      </w:r>
      <w:r w:rsidRPr="00D35CB9">
        <w:rPr>
          <w:rFonts w:cs="Arial"/>
        </w:rPr>
        <w:t xml:space="preserve"> the development and implementation of government policies and programs</w:t>
      </w:r>
      <w:r>
        <w:rPr>
          <w:rFonts w:cs="Arial"/>
        </w:rPr>
        <w:t xml:space="preserve">. </w:t>
      </w:r>
    </w:p>
    <w:p w14:paraId="1F8AA60E" w14:textId="242EEA08" w:rsidR="00531D75" w:rsidRPr="00621C9E" w:rsidRDefault="00531D75" w:rsidP="00531D75">
      <w:pPr>
        <w:pStyle w:val="BodyText"/>
        <w:rPr>
          <w:rFonts w:cs="Arial"/>
        </w:rPr>
      </w:pPr>
      <w:r w:rsidRPr="00621C9E">
        <w:rPr>
          <w:rFonts w:cs="Arial"/>
          <w:b/>
          <w:bCs/>
        </w:rPr>
        <w:t xml:space="preserve">The legislation of the Road (Management and Fund) Act of 2020 shifts road maintenance funding to the PNG Road Fund and future designs should consider and align with this shift. </w:t>
      </w:r>
      <w:r w:rsidR="00CE256F">
        <w:rPr>
          <w:rFonts w:cs="Arial"/>
        </w:rPr>
        <w:t>S</w:t>
      </w:r>
      <w:r w:rsidRPr="00621C9E">
        <w:rPr>
          <w:rFonts w:cs="Arial"/>
        </w:rPr>
        <w:t xml:space="preserve">takeholders </w:t>
      </w:r>
      <w:r w:rsidR="00CE256F">
        <w:rPr>
          <w:rFonts w:cs="Arial"/>
        </w:rPr>
        <w:t xml:space="preserve">consulted </w:t>
      </w:r>
      <w:r w:rsidRPr="00621C9E">
        <w:rPr>
          <w:rFonts w:cs="Arial"/>
        </w:rPr>
        <w:t xml:space="preserve">in GoPNG agencies noted that with the new Act, road maintenance funding by law is now required to be deposited with the PNG Road Fund. While the Road Fund is still in a transitional stage, future designs should explore how funding for road maintenance will be supported under this new arrangement. Currently, the TSSP2 road maintenance funding continues to be placed in a separate </w:t>
      </w:r>
      <w:r w:rsidRPr="00BB42AE">
        <w:rPr>
          <w:rFonts w:cs="Arial"/>
        </w:rPr>
        <w:t>TSSP/DoW</w:t>
      </w:r>
      <w:r w:rsidRPr="00621C9E">
        <w:rPr>
          <w:rFonts w:cs="Arial"/>
        </w:rPr>
        <w:t xml:space="preserve"> Trust Account </w:t>
      </w:r>
      <w:r>
        <w:rPr>
          <w:rFonts w:cs="Arial"/>
        </w:rPr>
        <w:t xml:space="preserve">that is </w:t>
      </w:r>
      <w:r w:rsidRPr="00621C9E">
        <w:rPr>
          <w:rFonts w:cs="Arial"/>
        </w:rPr>
        <w:t xml:space="preserve">effectively under the control of the </w:t>
      </w:r>
      <w:r w:rsidRPr="00BB42AE">
        <w:rPr>
          <w:rFonts w:cs="Arial"/>
        </w:rPr>
        <w:t>RSG</w:t>
      </w:r>
      <w:r w:rsidRPr="00621C9E">
        <w:rPr>
          <w:rFonts w:cs="Arial"/>
        </w:rPr>
        <w:t xml:space="preserve">. At the time of this Review, some stakeholders </w:t>
      </w:r>
      <w:r w:rsidR="001A2939">
        <w:rPr>
          <w:rFonts w:cs="Arial"/>
        </w:rPr>
        <w:t xml:space="preserve">in PNG </w:t>
      </w:r>
      <w:r w:rsidRPr="00621C9E">
        <w:rPr>
          <w:rFonts w:cs="Arial"/>
        </w:rPr>
        <w:t>reported that no arrangements have been put in place to transfer fund management to the Road Fund, although the Act commenced on March 1</w:t>
      </w:r>
      <w:r w:rsidR="0038650B">
        <w:rPr>
          <w:rFonts w:cs="Arial"/>
        </w:rPr>
        <w:t xml:space="preserve">, </w:t>
      </w:r>
      <w:r w:rsidRPr="00621C9E">
        <w:rPr>
          <w:rFonts w:cs="Arial"/>
        </w:rPr>
        <w:t xml:space="preserve">2021 </w:t>
      </w:r>
      <w:r w:rsidRPr="00BB42AE">
        <w:rPr>
          <w:rFonts w:cs="Arial"/>
        </w:rPr>
        <w:t>(</w:t>
      </w:r>
      <w:r>
        <w:rPr>
          <w:rFonts w:cs="Arial"/>
        </w:rPr>
        <w:t>s</w:t>
      </w:r>
      <w:r w:rsidRPr="00BB42AE">
        <w:rPr>
          <w:rFonts w:cs="Arial"/>
        </w:rPr>
        <w:t>ee Chapter 4</w:t>
      </w:r>
      <w:r w:rsidR="006218E5">
        <w:rPr>
          <w:rFonts w:cs="Arial"/>
        </w:rPr>
        <w:t>,</w:t>
      </w:r>
      <w:r w:rsidRPr="00BB42AE">
        <w:rPr>
          <w:rFonts w:cs="Arial"/>
        </w:rPr>
        <w:t xml:space="preserve"> KEQ 6 for more on the PNG Road Fund)</w:t>
      </w:r>
      <w:r>
        <w:rPr>
          <w:rFonts w:cs="Arial"/>
        </w:rPr>
        <w:t>.</w:t>
      </w:r>
    </w:p>
    <w:p w14:paraId="25112E7F" w14:textId="1665C7AE" w:rsidR="00531D75" w:rsidRPr="00621C9E" w:rsidRDefault="001B74E8" w:rsidP="00531D75">
      <w:pPr>
        <w:pStyle w:val="BodyText"/>
        <w:rPr>
          <w:rFonts w:cs="Arial"/>
        </w:rPr>
      </w:pPr>
      <w:r>
        <w:rPr>
          <w:rFonts w:cs="Arial"/>
          <w:b/>
          <w:bCs/>
        </w:rPr>
        <w:lastRenderedPageBreak/>
        <w:t xml:space="preserve">The </w:t>
      </w:r>
      <w:r w:rsidR="00531D75" w:rsidRPr="00621C9E">
        <w:rPr>
          <w:rFonts w:cs="Arial"/>
          <w:b/>
          <w:bCs/>
        </w:rPr>
        <w:t>TSSP3 design should consider expanding funding and support to the maritime sector</w:t>
      </w:r>
      <w:r w:rsidR="00EA32E0">
        <w:rPr>
          <w:rFonts w:cs="Arial"/>
          <w:b/>
          <w:bCs/>
        </w:rPr>
        <w:t xml:space="preserve"> in line with Connect PNG</w:t>
      </w:r>
      <w:r w:rsidR="00B1562B">
        <w:rPr>
          <w:rFonts w:cs="Arial"/>
          <w:b/>
          <w:bCs/>
        </w:rPr>
        <w:t xml:space="preserve">, </w:t>
      </w:r>
      <w:r w:rsidR="00D17937">
        <w:rPr>
          <w:rFonts w:cs="Arial"/>
          <w:b/>
          <w:bCs/>
        </w:rPr>
        <w:t>GoPNG transport policies</w:t>
      </w:r>
      <w:r w:rsidR="00B1562B">
        <w:rPr>
          <w:rFonts w:cs="Arial"/>
          <w:b/>
          <w:bCs/>
        </w:rPr>
        <w:t xml:space="preserve"> </w:t>
      </w:r>
      <w:r w:rsidR="00D57A56">
        <w:rPr>
          <w:rFonts w:cs="Arial"/>
          <w:b/>
          <w:bCs/>
        </w:rPr>
        <w:t>and Australia</w:t>
      </w:r>
      <w:r w:rsidR="00C52113">
        <w:rPr>
          <w:rFonts w:cs="Arial"/>
          <w:b/>
          <w:bCs/>
        </w:rPr>
        <w:t>’s strategic interests</w:t>
      </w:r>
      <w:r w:rsidR="002710BA">
        <w:rPr>
          <w:rFonts w:cs="Arial"/>
          <w:b/>
          <w:bCs/>
        </w:rPr>
        <w:t xml:space="preserve"> for better and sustainable socio-economic outcomes</w:t>
      </w:r>
      <w:r w:rsidR="0038650B">
        <w:rPr>
          <w:rFonts w:cs="Arial"/>
          <w:b/>
          <w:bCs/>
        </w:rPr>
        <w:t>.</w:t>
      </w:r>
      <w:r w:rsidR="00D7050C">
        <w:rPr>
          <w:rFonts w:cs="Arial"/>
          <w:b/>
          <w:bCs/>
        </w:rPr>
        <w:t xml:space="preserve"> </w:t>
      </w:r>
      <w:r w:rsidR="0038650B" w:rsidRPr="0038650B">
        <w:rPr>
          <w:rFonts w:cs="Arial"/>
        </w:rPr>
        <w:t xml:space="preserve">There </w:t>
      </w:r>
      <w:r w:rsidR="00531D75" w:rsidRPr="00621C9E">
        <w:rPr>
          <w:rFonts w:cs="Arial"/>
        </w:rPr>
        <w:t xml:space="preserve">are 15 maritime provinces in PNG </w:t>
      </w:r>
      <w:r w:rsidR="00531D75">
        <w:rPr>
          <w:rFonts w:cs="Arial"/>
        </w:rPr>
        <w:t>comprising</w:t>
      </w:r>
      <w:r w:rsidR="00531D75" w:rsidRPr="00621C9E">
        <w:rPr>
          <w:rFonts w:cs="Arial"/>
        </w:rPr>
        <w:t xml:space="preserve"> more than three-quarters of PNG</w:t>
      </w:r>
      <w:r w:rsidR="00531D75">
        <w:rPr>
          <w:rFonts w:cs="Arial"/>
        </w:rPr>
        <w:t>,</w:t>
      </w:r>
      <w:r w:rsidR="00531D75" w:rsidRPr="00621C9E">
        <w:rPr>
          <w:rFonts w:cs="Arial"/>
        </w:rPr>
        <w:t xml:space="preserve"> though support for the transport sector even under TSSP2 has leaned towards roads and aviation</w:t>
      </w:r>
      <w:r w:rsidR="00531D75">
        <w:rPr>
          <w:rFonts w:cs="Arial"/>
        </w:rPr>
        <w:t xml:space="preserve"> (see Chapter 1 on TSSP2 expenditure)</w:t>
      </w:r>
      <w:r w:rsidR="00531D75" w:rsidRPr="00621C9E">
        <w:rPr>
          <w:rFonts w:cs="Arial"/>
        </w:rPr>
        <w:t xml:space="preserve">. Further investments in maritime will unlock the potential of the high rural maritime population to reap the economic benefits enjoyed by the more developed and connected urban areas. </w:t>
      </w:r>
      <w:r w:rsidR="00531D75">
        <w:rPr>
          <w:rFonts w:cs="Arial"/>
        </w:rPr>
        <w:t xml:space="preserve">At the time of this Review, </w:t>
      </w:r>
      <w:r w:rsidR="00531D75" w:rsidRPr="00621C9E">
        <w:rPr>
          <w:rFonts w:cs="Arial"/>
        </w:rPr>
        <w:t>AIFFP has ramped up investments in PNG Ports</w:t>
      </w:r>
      <w:r w:rsidR="00B1562B">
        <w:rPr>
          <w:rFonts w:cs="Arial"/>
        </w:rPr>
        <w:t>,</w:t>
      </w:r>
      <w:r w:rsidR="00531D75" w:rsidRPr="00621C9E">
        <w:rPr>
          <w:rFonts w:cs="Arial"/>
        </w:rPr>
        <w:t xml:space="preserve"> which is positive (in January 2022, Australia and PNG signed agreements for $580 million in upgrades and refurbishments to several priority ports in PNG) and provides the impetus for further investments towards an integrated transport system that connects roads, air and maritime – an area that the TSSP3 should consider</w:t>
      </w:r>
      <w:r w:rsidR="00531D75">
        <w:rPr>
          <w:rFonts w:cs="Arial"/>
        </w:rPr>
        <w:t xml:space="preserve"> in the new design.</w:t>
      </w:r>
    </w:p>
    <w:p w14:paraId="1F317596" w14:textId="59AA1A9A" w:rsidR="00531D75" w:rsidRPr="00621C9E" w:rsidRDefault="00531D75" w:rsidP="00531D75">
      <w:pPr>
        <w:pStyle w:val="BodyText"/>
        <w:rPr>
          <w:rFonts w:cs="Arial"/>
          <w:b/>
          <w:bCs/>
        </w:rPr>
      </w:pPr>
      <w:r w:rsidRPr="00621C9E">
        <w:rPr>
          <w:rFonts w:cs="Arial"/>
          <w:b/>
          <w:bCs/>
        </w:rPr>
        <w:t xml:space="preserve">TSSP3 design </w:t>
      </w:r>
      <w:r>
        <w:rPr>
          <w:rFonts w:cs="Arial"/>
          <w:b/>
          <w:bCs/>
        </w:rPr>
        <w:t>should</w:t>
      </w:r>
      <w:r w:rsidRPr="00621C9E">
        <w:rPr>
          <w:rFonts w:cs="Arial"/>
          <w:b/>
          <w:bCs/>
        </w:rPr>
        <w:t xml:space="preserve"> better incorporate and align with Bougainville. </w:t>
      </w:r>
      <w:r w:rsidRPr="00621C9E">
        <w:rPr>
          <w:rFonts w:cs="Arial"/>
        </w:rPr>
        <w:t xml:space="preserve">TSSP2 awarded a sub-contract for PMSC Bougainville to Cardno in April 2018 </w:t>
      </w:r>
      <w:r>
        <w:rPr>
          <w:rFonts w:cs="Arial"/>
        </w:rPr>
        <w:t>commencing</w:t>
      </w:r>
      <w:r w:rsidRPr="00621C9E">
        <w:rPr>
          <w:rFonts w:cs="Arial"/>
        </w:rPr>
        <w:t xml:space="preserve"> 1 May 2018 and </w:t>
      </w:r>
      <w:r w:rsidR="00750E55">
        <w:rPr>
          <w:rFonts w:cs="Arial"/>
        </w:rPr>
        <w:t>currently ongoing</w:t>
      </w:r>
      <w:r w:rsidRPr="00621C9E">
        <w:rPr>
          <w:rFonts w:cs="Arial"/>
        </w:rPr>
        <w:t xml:space="preserve">. Under the TSSP2, the PMSC supported the effective and efficient planning and delivery of road maintenance and rehabilitation contracts in the Autonomous Region of Bougainville. However, some stakeholders note that </w:t>
      </w:r>
      <w:r>
        <w:rPr>
          <w:rFonts w:cs="Arial"/>
        </w:rPr>
        <w:t xml:space="preserve">the </w:t>
      </w:r>
      <w:r w:rsidRPr="00621C9E">
        <w:rPr>
          <w:rFonts w:cs="Arial"/>
        </w:rPr>
        <w:t>TSSP3 design need</w:t>
      </w:r>
      <w:r>
        <w:rPr>
          <w:rFonts w:cs="Arial"/>
        </w:rPr>
        <w:t>s</w:t>
      </w:r>
      <w:r w:rsidRPr="00621C9E">
        <w:rPr>
          <w:rFonts w:cs="Arial"/>
        </w:rPr>
        <w:t xml:space="preserve"> to better align with </w:t>
      </w:r>
      <w:r w:rsidR="003B1DDD">
        <w:rPr>
          <w:rFonts w:cs="Arial"/>
        </w:rPr>
        <w:t xml:space="preserve">the Autonomous </w:t>
      </w:r>
      <w:r w:rsidRPr="00621C9E">
        <w:rPr>
          <w:rFonts w:cs="Arial"/>
        </w:rPr>
        <w:t>Bougainville</w:t>
      </w:r>
      <w:r w:rsidR="003B1DDD">
        <w:rPr>
          <w:rFonts w:cs="Arial"/>
        </w:rPr>
        <w:t xml:space="preserve"> Government</w:t>
      </w:r>
      <w:r w:rsidRPr="00621C9E">
        <w:rPr>
          <w:rFonts w:cs="Arial"/>
        </w:rPr>
        <w:t xml:space="preserve">. The current implementation arrangement of having </w:t>
      </w:r>
      <w:r>
        <w:rPr>
          <w:rFonts w:cs="Arial"/>
        </w:rPr>
        <w:t xml:space="preserve">a </w:t>
      </w:r>
      <w:r w:rsidRPr="00621C9E">
        <w:rPr>
          <w:rFonts w:cs="Arial"/>
        </w:rPr>
        <w:t xml:space="preserve">separate sub-contractor (Cardno) from the TSSP2 managing contractor (GHD) needs to be </w:t>
      </w:r>
      <w:r w:rsidR="001B74E8">
        <w:rPr>
          <w:rFonts w:cs="Arial"/>
        </w:rPr>
        <w:t>revisited</w:t>
      </w:r>
      <w:r w:rsidR="001B74E8" w:rsidRPr="00621C9E">
        <w:rPr>
          <w:rFonts w:cs="Arial"/>
        </w:rPr>
        <w:t xml:space="preserve"> </w:t>
      </w:r>
      <w:r w:rsidRPr="00621C9E">
        <w:rPr>
          <w:rFonts w:cs="Arial"/>
        </w:rPr>
        <w:t xml:space="preserve">and </w:t>
      </w:r>
      <w:r w:rsidR="00D82027">
        <w:rPr>
          <w:rFonts w:cs="Arial"/>
        </w:rPr>
        <w:t>consider whether having two separate managing contractors is appropriate (if better alignment is not feasible or expected to be effective).</w:t>
      </w:r>
    </w:p>
    <w:p w14:paraId="4778BEDA" w14:textId="77777777" w:rsidR="00531D75" w:rsidRPr="00621C9E" w:rsidRDefault="00531D75" w:rsidP="004C2507">
      <w:pPr>
        <w:pStyle w:val="Heading2"/>
      </w:pPr>
      <w:bookmarkStart w:id="34" w:name="_Toc99121778"/>
      <w:r w:rsidRPr="00621C9E">
        <w:t>Conclusions</w:t>
      </w:r>
      <w:bookmarkEnd w:id="34"/>
      <w:r w:rsidRPr="00621C9E">
        <w:t xml:space="preserve"> </w:t>
      </w:r>
    </w:p>
    <w:p w14:paraId="7E3E9658" w14:textId="1062C4A7" w:rsidR="00531D75" w:rsidRPr="00621C9E" w:rsidRDefault="00531D75" w:rsidP="00531D75">
      <w:pPr>
        <w:pStyle w:val="BodyText"/>
        <w:rPr>
          <w:rFonts w:cs="Arial"/>
        </w:rPr>
      </w:pPr>
      <w:r w:rsidRPr="00621C9E">
        <w:rPr>
          <w:rFonts w:cs="Arial"/>
        </w:rPr>
        <w:t>The current TSSP design is deemed fairly robust, flexible, and fit for purpose. The design has been responsive in accommodating the changing operating context in the PNG transport sector such as COVID-19</w:t>
      </w:r>
      <w:r w:rsidR="00C76DB2">
        <w:rPr>
          <w:rFonts w:cs="Arial"/>
        </w:rPr>
        <w:t xml:space="preserve"> </w:t>
      </w:r>
      <w:r w:rsidRPr="00621C9E">
        <w:rPr>
          <w:rFonts w:cs="Arial"/>
        </w:rPr>
        <w:t>and the downturn in economic conditions brought about by wider disruptions to transport and trade. Also, the program has worked within a dynamic political environment within PNG, resulting in adjustments within the PNG administrative environment</w:t>
      </w:r>
      <w:r w:rsidR="003D4252">
        <w:rPr>
          <w:rFonts w:cs="Arial"/>
        </w:rPr>
        <w:t>,</w:t>
      </w:r>
      <w:r w:rsidRPr="00621C9E">
        <w:rPr>
          <w:rFonts w:cs="Arial"/>
        </w:rPr>
        <w:t xml:space="preserve"> which has forced the program to revise its road maintenance work plans and focus on specific provinces.</w:t>
      </w:r>
    </w:p>
    <w:p w14:paraId="421AB66A" w14:textId="1E178C64" w:rsidR="00531D75" w:rsidRPr="00621C9E" w:rsidRDefault="00531D75" w:rsidP="00531D75">
      <w:pPr>
        <w:pStyle w:val="BodyText"/>
        <w:rPr>
          <w:rFonts w:cs="Arial"/>
        </w:rPr>
      </w:pPr>
      <w:r w:rsidRPr="00621C9E">
        <w:rPr>
          <w:rFonts w:cs="Arial"/>
        </w:rPr>
        <w:t>Some elements of the design</w:t>
      </w:r>
      <w:r>
        <w:rPr>
          <w:rFonts w:cs="Arial"/>
        </w:rPr>
        <w:t>,</w:t>
      </w:r>
      <w:r w:rsidRPr="00621C9E">
        <w:rPr>
          <w:rFonts w:cs="Arial"/>
        </w:rPr>
        <w:t xml:space="preserve"> such as </w:t>
      </w:r>
      <w:r>
        <w:rPr>
          <w:rFonts w:cs="Arial"/>
        </w:rPr>
        <w:t xml:space="preserve">the </w:t>
      </w:r>
      <w:r w:rsidRPr="00621C9E">
        <w:rPr>
          <w:rFonts w:cs="Arial"/>
        </w:rPr>
        <w:t>use of the national systems and processes</w:t>
      </w:r>
      <w:r>
        <w:rPr>
          <w:rFonts w:cs="Arial"/>
        </w:rPr>
        <w:t>,</w:t>
      </w:r>
      <w:r w:rsidRPr="00621C9E">
        <w:rPr>
          <w:rFonts w:cs="Arial"/>
        </w:rPr>
        <w:t xml:space="preserve"> ha</w:t>
      </w:r>
      <w:r>
        <w:rPr>
          <w:rFonts w:cs="Arial"/>
        </w:rPr>
        <w:t>ve</w:t>
      </w:r>
      <w:r w:rsidRPr="00621C9E">
        <w:rPr>
          <w:rFonts w:cs="Arial"/>
        </w:rPr>
        <w:t xml:space="preserve"> been well received</w:t>
      </w:r>
      <w:r>
        <w:rPr>
          <w:rFonts w:cs="Arial"/>
        </w:rPr>
        <w:t>,</w:t>
      </w:r>
      <w:r w:rsidRPr="00621C9E">
        <w:rPr>
          <w:rFonts w:cs="Arial"/>
        </w:rPr>
        <w:t xml:space="preserve"> as well as the transport sector coordination mandate implemented under TSCMIC. TSSP’s capacity-building approach, consisting of targeted technical assistance combined with a program of works</w:t>
      </w:r>
      <w:r>
        <w:rPr>
          <w:rFonts w:cs="Arial"/>
        </w:rPr>
        <w:t>,</w:t>
      </w:r>
      <w:r w:rsidRPr="00621C9E">
        <w:rPr>
          <w:rFonts w:cs="Arial"/>
        </w:rPr>
        <w:t xml:space="preserve"> has provided opportunities and possibilities to </w:t>
      </w:r>
      <w:r w:rsidR="003D4252">
        <w:rPr>
          <w:rFonts w:cs="Arial"/>
        </w:rPr>
        <w:t xml:space="preserve">positively </w:t>
      </w:r>
      <w:r w:rsidRPr="00621C9E">
        <w:rPr>
          <w:rFonts w:cs="Arial"/>
        </w:rPr>
        <w:t>influence GoPNG policies and legislations</w:t>
      </w:r>
      <w:r w:rsidR="00CD5C44">
        <w:rPr>
          <w:rFonts w:cs="Arial"/>
        </w:rPr>
        <w:t xml:space="preserve"> in line with the EOPOs</w:t>
      </w:r>
      <w:r w:rsidRPr="00621C9E">
        <w:rPr>
          <w:rFonts w:cs="Arial"/>
        </w:rPr>
        <w:t>.</w:t>
      </w:r>
      <w:r>
        <w:rPr>
          <w:rFonts w:cs="Arial"/>
        </w:rPr>
        <w:t xml:space="preserve"> </w:t>
      </w:r>
      <w:r w:rsidRPr="00621C9E">
        <w:rPr>
          <w:rFonts w:cs="Arial"/>
        </w:rPr>
        <w:t xml:space="preserve">At the same time, the design was noted to be silent on cross-cutting issues such as </w:t>
      </w:r>
      <w:r w:rsidR="00D87D58">
        <w:rPr>
          <w:rFonts w:cs="Arial"/>
        </w:rPr>
        <w:t>GEDSI</w:t>
      </w:r>
      <w:r w:rsidRPr="00621C9E">
        <w:rPr>
          <w:rFonts w:cs="Arial"/>
        </w:rPr>
        <w:t xml:space="preserve">, environmental and social safeguards, risk management and to some extent M&amp;E. </w:t>
      </w:r>
    </w:p>
    <w:p w14:paraId="55021B01" w14:textId="63D171F8" w:rsidR="0017557A" w:rsidRPr="00621C9E" w:rsidRDefault="00531D75" w:rsidP="00531D75">
      <w:pPr>
        <w:pStyle w:val="BodyText"/>
        <w:rPr>
          <w:rFonts w:cs="Arial"/>
        </w:rPr>
      </w:pPr>
      <w:r w:rsidRPr="00621C9E">
        <w:rPr>
          <w:rFonts w:cs="Arial"/>
        </w:rPr>
        <w:t xml:space="preserve">The EOPOs were relevant at the time but are now deemed outdated and </w:t>
      </w:r>
      <w:r>
        <w:rPr>
          <w:rFonts w:cs="Arial"/>
        </w:rPr>
        <w:t xml:space="preserve">are </w:t>
      </w:r>
      <w:r w:rsidRPr="00621C9E">
        <w:rPr>
          <w:rFonts w:cs="Arial"/>
        </w:rPr>
        <w:t>due for a refresh</w:t>
      </w:r>
      <w:r w:rsidR="0017557A">
        <w:rPr>
          <w:rFonts w:cs="Arial"/>
        </w:rPr>
        <w:t xml:space="preserve"> to better align with GoPNG’s priorities and outcomes</w:t>
      </w:r>
      <w:r w:rsidR="0017557A" w:rsidRPr="00621C9E">
        <w:rPr>
          <w:rFonts w:cs="Arial"/>
        </w:rPr>
        <w:t xml:space="preserve">. </w:t>
      </w:r>
      <w:r w:rsidR="0017557A">
        <w:rPr>
          <w:rFonts w:cs="Arial"/>
        </w:rPr>
        <w:t>Further, e</w:t>
      </w:r>
      <w:r w:rsidR="0017557A" w:rsidRPr="00621C9E">
        <w:rPr>
          <w:rFonts w:cs="Arial"/>
        </w:rPr>
        <w:t>ngag</w:t>
      </w:r>
      <w:r w:rsidR="0017557A">
        <w:rPr>
          <w:rFonts w:cs="Arial"/>
        </w:rPr>
        <w:t>ement</w:t>
      </w:r>
      <w:r w:rsidR="0017557A" w:rsidRPr="00621C9E">
        <w:rPr>
          <w:rFonts w:cs="Arial"/>
        </w:rPr>
        <w:t xml:space="preserve"> with Bougainville </w:t>
      </w:r>
      <w:r w:rsidR="0017557A">
        <w:rPr>
          <w:rFonts w:cs="Arial"/>
        </w:rPr>
        <w:t xml:space="preserve">should be revisited alongside considerations within the design of how TSSP3 should engage with the </w:t>
      </w:r>
      <w:r w:rsidR="0017557A" w:rsidRPr="00621C9E">
        <w:rPr>
          <w:rFonts w:cs="Arial"/>
        </w:rPr>
        <w:t>AIFFP into the future.</w:t>
      </w:r>
    </w:p>
    <w:p w14:paraId="1EA82825" w14:textId="77777777" w:rsidR="00353386" w:rsidRPr="00621C9E" w:rsidRDefault="00353386" w:rsidP="004C2507">
      <w:pPr>
        <w:pStyle w:val="Heading2"/>
      </w:pPr>
      <w:bookmarkStart w:id="35" w:name="_Toc99121779"/>
      <w:r w:rsidRPr="00621C9E">
        <w:t>Recommendations</w:t>
      </w:r>
      <w:bookmarkEnd w:id="35"/>
      <w:r w:rsidRPr="00621C9E">
        <w:t xml:space="preserve"> </w:t>
      </w:r>
    </w:p>
    <w:p w14:paraId="3418E8F0" w14:textId="2443E0FC" w:rsidR="00353386" w:rsidRPr="00621C9E" w:rsidRDefault="00353386" w:rsidP="00353386">
      <w:pPr>
        <w:pStyle w:val="BodyText"/>
        <w:rPr>
          <w:rFonts w:cs="Arial"/>
        </w:rPr>
      </w:pPr>
      <w:r w:rsidRPr="00621C9E">
        <w:rPr>
          <w:rFonts w:cs="Arial"/>
          <w:b/>
          <w:bCs/>
          <w:color w:val="003478"/>
        </w:rPr>
        <w:t xml:space="preserve">Recommendation </w:t>
      </w:r>
      <w:r w:rsidR="007F7028">
        <w:rPr>
          <w:rFonts w:cs="Arial"/>
          <w:b/>
          <w:bCs/>
          <w:color w:val="003478"/>
        </w:rPr>
        <w:t>2.</w:t>
      </w:r>
      <w:r w:rsidRPr="00621C9E">
        <w:rPr>
          <w:rFonts w:cs="Arial"/>
          <w:b/>
          <w:bCs/>
          <w:color w:val="003478"/>
        </w:rPr>
        <w:t xml:space="preserve">1: </w:t>
      </w:r>
      <w:r w:rsidRPr="00621C9E">
        <w:rPr>
          <w:rFonts w:cs="Arial"/>
        </w:rPr>
        <w:t xml:space="preserve">For </w:t>
      </w:r>
      <w:r w:rsidR="00CD5C44">
        <w:rPr>
          <w:rFonts w:cs="Arial"/>
        </w:rPr>
        <w:t xml:space="preserve">the </w:t>
      </w:r>
      <w:r w:rsidRPr="00621C9E">
        <w:rPr>
          <w:rFonts w:cs="Arial"/>
        </w:rPr>
        <w:t xml:space="preserve">TSSP3 design, DFAT and the </w:t>
      </w:r>
      <w:r w:rsidR="004F2928">
        <w:rPr>
          <w:rFonts w:cs="Arial"/>
        </w:rPr>
        <w:t>P</w:t>
      </w:r>
      <w:r w:rsidRPr="00621C9E">
        <w:rPr>
          <w:rFonts w:cs="Arial"/>
        </w:rPr>
        <w:t xml:space="preserve">rogram should work together to refresh the program’s outcomes and logic. This is an opportunity to reposition the program in an evolving local and regional context and to consider priorities and collaborations in other transport sectors. A refreshed program logic should pay attention to reviewing EOPOs to </w:t>
      </w:r>
      <w:r w:rsidR="00C54187">
        <w:rPr>
          <w:rFonts w:cs="Arial"/>
        </w:rPr>
        <w:t xml:space="preserve">help </w:t>
      </w:r>
      <w:r w:rsidRPr="00621C9E">
        <w:rPr>
          <w:rFonts w:cs="Arial"/>
        </w:rPr>
        <w:t>ensure pathways of change are clear, realistic and th</w:t>
      </w:r>
      <w:r>
        <w:rPr>
          <w:rFonts w:cs="Arial"/>
        </w:rPr>
        <w:t>at</w:t>
      </w:r>
      <w:r w:rsidRPr="00621C9E">
        <w:rPr>
          <w:rFonts w:cs="Arial"/>
        </w:rPr>
        <w:t xml:space="preserve"> results hierarchies articulate what the program can achieve, what the Program contributes to, what the government can achieve, and what can be achieved together. A</w:t>
      </w:r>
      <w:r>
        <w:rPr>
          <w:rFonts w:cs="Arial"/>
        </w:rPr>
        <w:t>s much as possible</w:t>
      </w:r>
      <w:r w:rsidRPr="00621C9E">
        <w:rPr>
          <w:rFonts w:cs="Arial"/>
        </w:rPr>
        <w:t>, the new design EOPOs should be aligned to the departments and agencies</w:t>
      </w:r>
      <w:r>
        <w:rPr>
          <w:rFonts w:cs="Arial"/>
        </w:rPr>
        <w:t>’</w:t>
      </w:r>
      <w:r w:rsidRPr="00621C9E">
        <w:rPr>
          <w:rFonts w:cs="Arial"/>
        </w:rPr>
        <w:t xml:space="preserve"> expected outcomes and </w:t>
      </w:r>
      <w:r>
        <w:rPr>
          <w:rFonts w:cs="Arial"/>
        </w:rPr>
        <w:t xml:space="preserve">should </w:t>
      </w:r>
      <w:r w:rsidRPr="00621C9E">
        <w:rPr>
          <w:rFonts w:cs="Arial"/>
        </w:rPr>
        <w:t>mainstream gender and social safeguards</w:t>
      </w:r>
      <w:r>
        <w:rPr>
          <w:rFonts w:cs="Arial"/>
        </w:rPr>
        <w:t xml:space="preserve"> across all the outcome areas.</w:t>
      </w:r>
    </w:p>
    <w:p w14:paraId="3AACFC54" w14:textId="087191BA" w:rsidR="00353386" w:rsidRPr="00621C9E" w:rsidRDefault="00353386" w:rsidP="00353386">
      <w:pPr>
        <w:pStyle w:val="BodyText"/>
        <w:rPr>
          <w:rFonts w:cs="Arial"/>
        </w:rPr>
      </w:pPr>
      <w:r w:rsidRPr="00621C9E">
        <w:rPr>
          <w:rFonts w:cs="Arial"/>
          <w:b/>
          <w:bCs/>
          <w:color w:val="003478"/>
        </w:rPr>
        <w:t xml:space="preserve">Recommendation </w:t>
      </w:r>
      <w:r w:rsidR="007F7028">
        <w:rPr>
          <w:rFonts w:cs="Arial"/>
          <w:b/>
          <w:bCs/>
          <w:color w:val="003478"/>
        </w:rPr>
        <w:t>2.</w:t>
      </w:r>
      <w:r w:rsidRPr="00621C9E">
        <w:rPr>
          <w:rFonts w:cs="Arial"/>
          <w:b/>
          <w:bCs/>
          <w:color w:val="003478"/>
        </w:rPr>
        <w:t>2:</w:t>
      </w:r>
      <w:r w:rsidR="00D7050C">
        <w:rPr>
          <w:rFonts w:cs="Arial"/>
          <w:b/>
          <w:bCs/>
          <w:color w:val="003478"/>
        </w:rPr>
        <w:t xml:space="preserve"> </w:t>
      </w:r>
      <w:r w:rsidRPr="00621C9E">
        <w:rPr>
          <w:rFonts w:cs="Arial"/>
        </w:rPr>
        <w:t xml:space="preserve">Future designs should include cross-cutting issues of </w:t>
      </w:r>
      <w:r w:rsidR="00D87D58">
        <w:rPr>
          <w:rFonts w:cs="Arial"/>
        </w:rPr>
        <w:t>GEDSI</w:t>
      </w:r>
      <w:r w:rsidRPr="00621C9E">
        <w:rPr>
          <w:rFonts w:cs="Arial"/>
        </w:rPr>
        <w:t xml:space="preserve">, MEL, risk management and environmental and social safeguards and indicate how they will be resourced, implemented and measured </w:t>
      </w:r>
      <w:r>
        <w:rPr>
          <w:rFonts w:cs="Arial"/>
        </w:rPr>
        <w:t>across the life of the Program</w:t>
      </w:r>
    </w:p>
    <w:p w14:paraId="195904C0" w14:textId="56E35474" w:rsidR="00353386" w:rsidRDefault="00353386" w:rsidP="00353386">
      <w:pPr>
        <w:pStyle w:val="BodyText"/>
        <w:rPr>
          <w:rFonts w:cs="Arial"/>
        </w:rPr>
      </w:pPr>
      <w:r w:rsidRPr="00621C9E">
        <w:rPr>
          <w:rFonts w:cs="Arial"/>
          <w:b/>
          <w:bCs/>
          <w:color w:val="003478"/>
        </w:rPr>
        <w:t xml:space="preserve">Recommendation </w:t>
      </w:r>
      <w:r w:rsidR="007F7028">
        <w:rPr>
          <w:rFonts w:cs="Arial"/>
          <w:b/>
          <w:bCs/>
          <w:color w:val="003478"/>
        </w:rPr>
        <w:t>2.</w:t>
      </w:r>
      <w:r w:rsidRPr="00621C9E">
        <w:rPr>
          <w:rFonts w:cs="Arial"/>
          <w:b/>
          <w:bCs/>
          <w:color w:val="003478"/>
        </w:rPr>
        <w:t>3:</w:t>
      </w:r>
      <w:r w:rsidRPr="00621C9E">
        <w:rPr>
          <w:rFonts w:cs="Arial"/>
        </w:rPr>
        <w:t xml:space="preserve"> </w:t>
      </w:r>
      <w:r>
        <w:rPr>
          <w:rFonts w:cs="Arial"/>
        </w:rPr>
        <w:t xml:space="preserve">With the new PNG Road Fund, </w:t>
      </w:r>
      <w:r w:rsidR="00621B2A">
        <w:rPr>
          <w:rFonts w:cs="Arial"/>
        </w:rPr>
        <w:t xml:space="preserve">the </w:t>
      </w:r>
      <w:r w:rsidRPr="00621C9E">
        <w:rPr>
          <w:rFonts w:cs="Arial"/>
        </w:rPr>
        <w:t xml:space="preserve">TSSP3 design should </w:t>
      </w:r>
      <w:r w:rsidRPr="008E7775">
        <w:rPr>
          <w:rFonts w:cs="Arial"/>
        </w:rPr>
        <w:t xml:space="preserve">explore how funding for road maintenance will be supported </w:t>
      </w:r>
      <w:r w:rsidR="00010726">
        <w:rPr>
          <w:rFonts w:cs="Arial"/>
        </w:rPr>
        <w:t xml:space="preserve">by GoPNG </w:t>
      </w:r>
      <w:r w:rsidRPr="008E7775">
        <w:rPr>
          <w:rFonts w:cs="Arial"/>
        </w:rPr>
        <w:t xml:space="preserve">under this </w:t>
      </w:r>
      <w:r>
        <w:rPr>
          <w:rFonts w:cs="Arial"/>
        </w:rPr>
        <w:t xml:space="preserve">new institutional </w:t>
      </w:r>
      <w:r w:rsidRPr="008E7775">
        <w:rPr>
          <w:rFonts w:cs="Arial"/>
        </w:rPr>
        <w:t>arrangement</w:t>
      </w:r>
      <w:r>
        <w:rPr>
          <w:rFonts w:cs="Arial"/>
        </w:rPr>
        <w:t>.</w:t>
      </w:r>
    </w:p>
    <w:p w14:paraId="4EA6AEFE" w14:textId="68A3567B" w:rsidR="00A75D3C" w:rsidRPr="0048162E" w:rsidRDefault="00353386" w:rsidP="00A75D3C">
      <w:pPr>
        <w:pStyle w:val="BodyText"/>
        <w:rPr>
          <w:rFonts w:ascii="Franklin Gothic Demi" w:hAnsi="Franklin Gothic Demi" w:cs="Arial"/>
          <w:color w:val="4C7B9E" w:themeColor="accent2"/>
          <w:sz w:val="18"/>
          <w:szCs w:val="18"/>
        </w:rPr>
      </w:pPr>
      <w:r w:rsidRPr="00621C9E">
        <w:rPr>
          <w:rFonts w:cs="Arial"/>
          <w:b/>
          <w:bCs/>
          <w:color w:val="003478"/>
        </w:rPr>
        <w:t xml:space="preserve">Recommendation </w:t>
      </w:r>
      <w:r w:rsidR="007F7028">
        <w:rPr>
          <w:rFonts w:cs="Arial"/>
          <w:b/>
          <w:bCs/>
          <w:color w:val="003478"/>
        </w:rPr>
        <w:t>2.</w:t>
      </w:r>
      <w:r w:rsidRPr="00621C9E">
        <w:rPr>
          <w:rFonts w:cs="Arial"/>
          <w:b/>
          <w:bCs/>
          <w:color w:val="003478"/>
        </w:rPr>
        <w:t>4:</w:t>
      </w:r>
      <w:r w:rsidR="00D7050C">
        <w:rPr>
          <w:rFonts w:cs="Arial"/>
        </w:rPr>
        <w:t xml:space="preserve"> </w:t>
      </w:r>
      <w:r w:rsidR="00A75D3C" w:rsidRPr="00C62053">
        <w:rPr>
          <w:rFonts w:cs="Arial"/>
        </w:rPr>
        <w:t xml:space="preserve">The TSSP3 design should consider </w:t>
      </w:r>
      <w:r w:rsidR="00EC36A8" w:rsidRPr="00C62053">
        <w:rPr>
          <w:rFonts w:cs="Arial"/>
        </w:rPr>
        <w:t>increasing funding</w:t>
      </w:r>
      <w:r w:rsidR="00A75D3C" w:rsidRPr="00C62053">
        <w:rPr>
          <w:rFonts w:cs="Arial"/>
        </w:rPr>
        <w:t xml:space="preserve"> and support to the </w:t>
      </w:r>
      <w:r w:rsidR="00A75D3C" w:rsidRPr="00C62053">
        <w:rPr>
          <w:rFonts w:cs="Arial"/>
        </w:rPr>
        <w:br/>
        <w:t xml:space="preserve">the maritime sector and explore options for intermodal connectivity with GoPNG’s Connect PNG. From a socio-economic perspective, supporting the maritime sector in PNG beyond road maintenance is not only good value for money for DFAT but also unlocks opportunities for economic for a large segment of the population. This is because PNG has a high rural maritime population that needs transport </w:t>
      </w:r>
      <w:r w:rsidR="00DC5DB7">
        <w:rPr>
          <w:rFonts w:cs="Arial"/>
        </w:rPr>
        <w:t>connections</w:t>
      </w:r>
      <w:r w:rsidR="00DC5DB7" w:rsidRPr="00C62053">
        <w:rPr>
          <w:rFonts w:cs="Arial"/>
        </w:rPr>
        <w:t xml:space="preserve"> </w:t>
      </w:r>
      <w:r w:rsidR="00A75D3C" w:rsidRPr="00C62053">
        <w:rPr>
          <w:rFonts w:cs="Arial"/>
        </w:rPr>
        <w:t>to reap the economic benefits enjoyed by the more developed and connected urban areas</w:t>
      </w:r>
    </w:p>
    <w:p w14:paraId="0717F240" w14:textId="07E5A16D" w:rsidR="00353386" w:rsidRPr="00621C9E" w:rsidRDefault="00353386" w:rsidP="00353386">
      <w:pPr>
        <w:pStyle w:val="BodyText"/>
        <w:rPr>
          <w:rFonts w:cs="Arial"/>
        </w:rPr>
      </w:pPr>
    </w:p>
    <w:p w14:paraId="7462BDC9" w14:textId="157977AB" w:rsidR="00D12234" w:rsidRDefault="00353386" w:rsidP="00353386">
      <w:pPr>
        <w:pStyle w:val="BodyText"/>
        <w:rPr>
          <w:rFonts w:cs="Arial"/>
        </w:rPr>
      </w:pPr>
      <w:r w:rsidRPr="00621C9E">
        <w:rPr>
          <w:rFonts w:cs="Arial"/>
          <w:b/>
          <w:bCs/>
          <w:color w:val="003478"/>
        </w:rPr>
        <w:t xml:space="preserve">Recommendation </w:t>
      </w:r>
      <w:r w:rsidR="007F7028">
        <w:rPr>
          <w:rFonts w:cs="Arial"/>
          <w:b/>
          <w:bCs/>
          <w:color w:val="003478"/>
        </w:rPr>
        <w:t>2.</w:t>
      </w:r>
      <w:r>
        <w:rPr>
          <w:rFonts w:cs="Arial"/>
          <w:b/>
          <w:bCs/>
          <w:color w:val="003478"/>
        </w:rPr>
        <w:t>5</w:t>
      </w:r>
      <w:r w:rsidRPr="00621C9E">
        <w:rPr>
          <w:rFonts w:cs="Arial"/>
          <w:b/>
          <w:bCs/>
          <w:color w:val="003478"/>
        </w:rPr>
        <w:t>:</w:t>
      </w:r>
      <w:r w:rsidRPr="00621C9E">
        <w:rPr>
          <w:rFonts w:cs="Arial"/>
        </w:rPr>
        <w:t xml:space="preserve"> </w:t>
      </w:r>
      <w:r w:rsidR="00D12234" w:rsidRPr="00D12234">
        <w:rPr>
          <w:rFonts w:cs="Arial"/>
        </w:rPr>
        <w:t>Future designs should incorporate and align the Program better with Bougainville</w:t>
      </w:r>
      <w:r w:rsidR="00C62053">
        <w:rPr>
          <w:rFonts w:cs="Arial"/>
        </w:rPr>
        <w:t xml:space="preserve"> </w:t>
      </w:r>
      <w:r w:rsidR="00C62053" w:rsidRPr="00D12234">
        <w:rPr>
          <w:rFonts w:cs="Arial"/>
        </w:rPr>
        <w:t>(sub-contracted to Cardno)</w:t>
      </w:r>
      <w:r w:rsidR="00D12234" w:rsidRPr="00D12234">
        <w:rPr>
          <w:rFonts w:cs="Arial"/>
        </w:rPr>
        <w:t xml:space="preserve"> with opportunities to bring them closer to the national </w:t>
      </w:r>
      <w:r w:rsidR="00EC36A8" w:rsidRPr="00D12234">
        <w:rPr>
          <w:rFonts w:cs="Arial"/>
        </w:rPr>
        <w:t>Program.</w:t>
      </w:r>
      <w:r w:rsidR="00D12234" w:rsidRPr="00D12234">
        <w:rPr>
          <w:rFonts w:cs="Arial"/>
        </w:rPr>
        <w:t xml:space="preserve"> TSSP2 (managed by GHD) works with the D</w:t>
      </w:r>
      <w:r w:rsidR="00DC1F68">
        <w:rPr>
          <w:rFonts w:cs="Arial"/>
        </w:rPr>
        <w:t xml:space="preserve">oW </w:t>
      </w:r>
      <w:r w:rsidR="00D12234" w:rsidRPr="00D12234">
        <w:rPr>
          <w:rFonts w:cs="Arial"/>
        </w:rPr>
        <w:t xml:space="preserve">which is in </w:t>
      </w:r>
      <w:r w:rsidR="00EC36A8" w:rsidRPr="00D12234">
        <w:rPr>
          <w:rFonts w:cs="Arial"/>
        </w:rPr>
        <w:t>the process</w:t>
      </w:r>
      <w:r w:rsidR="00D12234" w:rsidRPr="00D12234">
        <w:rPr>
          <w:rFonts w:cs="Arial"/>
        </w:rPr>
        <w:t xml:space="preserve"> of transferring responsibilities to DTS in Bougainville. </w:t>
      </w:r>
      <w:r w:rsidR="00DC1F68" w:rsidRPr="00D12234">
        <w:rPr>
          <w:rFonts w:cs="Arial"/>
        </w:rPr>
        <w:t>Therefore,</w:t>
      </w:r>
      <w:r w:rsidR="00D12234" w:rsidRPr="00D12234">
        <w:rPr>
          <w:rFonts w:cs="Arial"/>
        </w:rPr>
        <w:t xml:space="preserve"> the current implementation arrangement having two separate managing contractors should be reconsidered as the involvement of a single contractor may enhance and underwrite the transition process</w:t>
      </w:r>
      <w:r w:rsidR="00C62053">
        <w:rPr>
          <w:rFonts w:cs="Arial"/>
        </w:rPr>
        <w:t>.</w:t>
      </w:r>
    </w:p>
    <w:p w14:paraId="4C87588C" w14:textId="77777777" w:rsidR="00B96690" w:rsidRDefault="00B96690">
      <w:pPr>
        <w:rPr>
          <w:rFonts w:cs="Arial"/>
          <w:b/>
          <w:color w:val="003478"/>
          <w:sz w:val="19"/>
          <w:szCs w:val="19"/>
        </w:rPr>
      </w:pPr>
      <w:r>
        <w:rPr>
          <w:sz w:val="19"/>
          <w:szCs w:val="19"/>
        </w:rPr>
        <w:br w:type="page"/>
      </w:r>
    </w:p>
    <w:p w14:paraId="10EA90C8" w14:textId="750E1A39" w:rsidR="008F0266" w:rsidRDefault="00AA0F34" w:rsidP="0024772A">
      <w:pPr>
        <w:pStyle w:val="Heading1"/>
      </w:pPr>
      <w:bookmarkStart w:id="36" w:name="_Toc99121780"/>
      <w:r>
        <w:lastRenderedPageBreak/>
        <w:t xml:space="preserve">Program </w:t>
      </w:r>
      <w:r w:rsidR="00C07CE5">
        <w:t>Implementation</w:t>
      </w:r>
      <w:bookmarkEnd w:id="36"/>
    </w:p>
    <w:p w14:paraId="3C11FD7C" w14:textId="53156225" w:rsidR="001D45A7" w:rsidRDefault="00E61AA0" w:rsidP="00CD55C7">
      <w:pPr>
        <w:pStyle w:val="BodyText"/>
      </w:pPr>
      <w:r w:rsidRPr="00E61AA0">
        <w:t xml:space="preserve">This section presents the key findings on </w:t>
      </w:r>
      <w:r w:rsidR="00592A50">
        <w:t xml:space="preserve">how </w:t>
      </w:r>
      <w:r w:rsidRPr="00E61AA0">
        <w:t xml:space="preserve">TSSP2 </w:t>
      </w:r>
      <w:r w:rsidR="00592A50">
        <w:t xml:space="preserve">was implemented in practice. </w:t>
      </w:r>
      <w:r w:rsidRPr="00E61AA0">
        <w:t xml:space="preserve">The section </w:t>
      </w:r>
      <w:r w:rsidR="00605AE9">
        <w:t>delves into</w:t>
      </w:r>
      <w:r w:rsidR="00051285">
        <w:t xml:space="preserve"> the relationships and interface between the Program and DFAT, </w:t>
      </w:r>
      <w:r w:rsidR="009870AD">
        <w:t>how the Program worked with GoPNG agencies</w:t>
      </w:r>
      <w:r w:rsidR="001D45A7">
        <w:t xml:space="preserve">, </w:t>
      </w:r>
      <w:r w:rsidR="00EA0F58">
        <w:t>h</w:t>
      </w:r>
      <w:r w:rsidR="001D45A7">
        <w:t>ow the Program collaborated with Australian government age</w:t>
      </w:r>
      <w:r w:rsidR="00532116">
        <w:t>ncies</w:t>
      </w:r>
      <w:r w:rsidR="00EA0F58">
        <w:t xml:space="preserve">, </w:t>
      </w:r>
      <w:r w:rsidR="00532116">
        <w:t>other development</w:t>
      </w:r>
      <w:r w:rsidR="00EA0F58">
        <w:t xml:space="preserve"> partners and the private sector.</w:t>
      </w:r>
    </w:p>
    <w:p w14:paraId="40CCBEEE" w14:textId="78955C1C" w:rsidR="00AA0F34" w:rsidRDefault="00AA0F34" w:rsidP="004C2507">
      <w:pPr>
        <w:pStyle w:val="Heading2"/>
      </w:pPr>
      <w:bookmarkStart w:id="37" w:name="_Toc99121781"/>
      <w:r>
        <w:t>Key findings</w:t>
      </w:r>
      <w:bookmarkEnd w:id="37"/>
    </w:p>
    <w:p w14:paraId="14FB8A99" w14:textId="1F78BD44" w:rsidR="00AA0F34" w:rsidRPr="0072195A" w:rsidRDefault="00B62950" w:rsidP="00AA0F34">
      <w:pPr>
        <w:pStyle w:val="BodyText"/>
        <w:rPr>
          <w:color w:val="4C7B9E" w:themeColor="accent2"/>
        </w:rPr>
      </w:pPr>
      <w:r w:rsidRPr="0072195A">
        <w:rPr>
          <w:color w:val="4C7B9E" w:themeColor="accent2"/>
        </w:rPr>
        <w:t>KEQ</w:t>
      </w:r>
      <w:r w:rsidR="00931E62" w:rsidRPr="0072195A">
        <w:rPr>
          <w:color w:val="4C7B9E" w:themeColor="accent2"/>
        </w:rPr>
        <w:t xml:space="preserve"> </w:t>
      </w:r>
      <w:r w:rsidR="00C05AD1" w:rsidRPr="0072195A">
        <w:rPr>
          <w:color w:val="4C7B9E" w:themeColor="accent2"/>
        </w:rPr>
        <w:t>4</w:t>
      </w:r>
      <w:r w:rsidRPr="0072195A">
        <w:rPr>
          <w:color w:val="4C7B9E" w:themeColor="accent2"/>
        </w:rPr>
        <w:t xml:space="preserve">: </w:t>
      </w:r>
      <w:r w:rsidR="003D163C" w:rsidRPr="0072195A">
        <w:rPr>
          <w:color w:val="4C7B9E" w:themeColor="accent2"/>
        </w:rPr>
        <w:t>How have the program’s management arrangements contributed to program performance?</w:t>
      </w:r>
    </w:p>
    <w:p w14:paraId="3AD331EF" w14:textId="1CA252B2" w:rsidR="00F25849" w:rsidRPr="00F25849" w:rsidRDefault="00197F32" w:rsidP="00530B43">
      <w:pPr>
        <w:pStyle w:val="BodyText"/>
      </w:pPr>
      <w:r w:rsidRPr="00530B43">
        <w:rPr>
          <w:b/>
          <w:bCs/>
        </w:rPr>
        <w:t xml:space="preserve">The </w:t>
      </w:r>
      <w:r w:rsidR="006B036E">
        <w:rPr>
          <w:b/>
          <w:bCs/>
        </w:rPr>
        <w:t>P</w:t>
      </w:r>
      <w:r w:rsidRPr="00530B43">
        <w:rPr>
          <w:b/>
          <w:bCs/>
        </w:rPr>
        <w:t xml:space="preserve">rogram’s </w:t>
      </w:r>
      <w:r w:rsidR="00F25849" w:rsidRPr="00530B43">
        <w:rPr>
          <w:b/>
          <w:bCs/>
        </w:rPr>
        <w:t xml:space="preserve">implementation </w:t>
      </w:r>
      <w:r w:rsidRPr="00530B43">
        <w:rPr>
          <w:b/>
          <w:bCs/>
        </w:rPr>
        <w:t xml:space="preserve">was first </w:t>
      </w:r>
      <w:r w:rsidR="00F25849" w:rsidRPr="00530B43">
        <w:rPr>
          <w:b/>
          <w:bCs/>
        </w:rPr>
        <w:t>contracted to SMEC (2014 to 2018) and later GHD (2018 to date)</w:t>
      </w:r>
      <w:r w:rsidRPr="00530B43">
        <w:rPr>
          <w:b/>
          <w:bCs/>
        </w:rPr>
        <w:t xml:space="preserve">. The </w:t>
      </w:r>
      <w:r w:rsidR="006B036E">
        <w:rPr>
          <w:b/>
          <w:bCs/>
        </w:rPr>
        <w:t>P</w:t>
      </w:r>
      <w:r w:rsidRPr="00530B43">
        <w:rPr>
          <w:b/>
          <w:bCs/>
        </w:rPr>
        <w:t>rogram</w:t>
      </w:r>
      <w:r w:rsidR="00F25849" w:rsidRPr="00530B43">
        <w:rPr>
          <w:b/>
          <w:bCs/>
        </w:rPr>
        <w:t xml:space="preserve"> has generally been implemented well with more challenges and delays experienced </w:t>
      </w:r>
      <w:r w:rsidRPr="00530B43">
        <w:rPr>
          <w:b/>
          <w:bCs/>
        </w:rPr>
        <w:t xml:space="preserve">in recent times </w:t>
      </w:r>
      <w:r w:rsidR="005B2B2B" w:rsidRPr="00530B43">
        <w:rPr>
          <w:b/>
          <w:bCs/>
        </w:rPr>
        <w:t xml:space="preserve">primarily </w:t>
      </w:r>
      <w:r w:rsidR="00F25849" w:rsidRPr="00530B43">
        <w:rPr>
          <w:b/>
          <w:bCs/>
        </w:rPr>
        <w:t>due to COVID-19.</w:t>
      </w:r>
      <w:r w:rsidR="00F25849" w:rsidRPr="00F25849">
        <w:t xml:space="preserve"> Other than general implementation delays, COVID-19 travel restrictions have hindered the deployment of advisers to PNG with some stakeholders noting that the failure to deploy advisers and other technical experts to PNG has diminished relationships and achievement of outcomes in the last 18 months. </w:t>
      </w:r>
    </w:p>
    <w:p w14:paraId="5A7C00BA" w14:textId="0CDFB3D5" w:rsidR="00165F42" w:rsidRPr="00F25849" w:rsidRDefault="00165F42" w:rsidP="00530B43">
      <w:pPr>
        <w:pStyle w:val="BodyText"/>
      </w:pPr>
      <w:r w:rsidRPr="00F25849">
        <w:t xml:space="preserve">Compared to TSSP1, TSSP2 is a more streamlined program that is aware of the risk of inefficient use of technical assistance resources, yet assertive enough to expand resourcing capacity in areas it considers essential to maintaining </w:t>
      </w:r>
      <w:r>
        <w:t xml:space="preserve">the </w:t>
      </w:r>
      <w:r w:rsidRPr="00F25849">
        <w:t>program trajectory and effectiveness, such as a reform of legislative policy to enable better management and funding of transport infrastructure and procurement.</w:t>
      </w:r>
    </w:p>
    <w:p w14:paraId="42D898DF" w14:textId="6CD3C076" w:rsidR="00D174C8" w:rsidRDefault="00E00CA3" w:rsidP="00D174C8">
      <w:pPr>
        <w:pStyle w:val="BodyText"/>
      </w:pPr>
      <w:r w:rsidRPr="00530B43">
        <w:rPr>
          <w:b/>
          <w:bCs/>
        </w:rPr>
        <w:t>The utilisation of GoPNG national systems and processes is commendable and valued, however, mitigation strate</w:t>
      </w:r>
      <w:r w:rsidR="008A2285" w:rsidRPr="00530B43">
        <w:rPr>
          <w:b/>
          <w:bCs/>
        </w:rPr>
        <w:t>g</w:t>
      </w:r>
      <w:r w:rsidRPr="00530B43">
        <w:rPr>
          <w:b/>
          <w:bCs/>
        </w:rPr>
        <w:t>ies and workarounds are required to minimise delays and resulting underspends</w:t>
      </w:r>
      <w:r w:rsidR="00B66AF8">
        <w:t xml:space="preserve">. </w:t>
      </w:r>
      <w:r w:rsidR="00165F42" w:rsidRPr="73678F57">
        <w:t>The TSSP2 implementation model is quite different from methods employed by other donors and MLB</w:t>
      </w:r>
      <w:r w:rsidR="00165F42">
        <w:t>s</w:t>
      </w:r>
      <w:r w:rsidR="00165F42" w:rsidRPr="73678F57">
        <w:t xml:space="preserve">. TSSP2 endeavours to utilise local systems, in keeping with DFAT’s preference to develop local capacity. </w:t>
      </w:r>
      <w:r w:rsidR="008E3D26">
        <w:t xml:space="preserve">However, the use of PNG systems has led to </w:t>
      </w:r>
      <w:r w:rsidR="00267895">
        <w:t>delay</w:t>
      </w:r>
      <w:r w:rsidR="006C36EE">
        <w:t>s</w:t>
      </w:r>
      <w:r w:rsidR="000A0C03">
        <w:t xml:space="preserve">. For instance, </w:t>
      </w:r>
      <w:r w:rsidR="000A0C03" w:rsidRPr="000A0C03">
        <w:t xml:space="preserve">some multi-year long-term maintenance contracts (LTMCs) have been held up in the NPC system for up to 2.5 years and are a primary source of program underspend. </w:t>
      </w:r>
      <w:r w:rsidR="00670907" w:rsidRPr="00670907">
        <w:t>These delays are particularly problematic for TSSP2, as it seeks to shift from smaller (&lt;Papua New Guinean Kina (PGK) 10M) short-term maintenance contracts to larger (&gt;PGK30M) multi-year long-term maintenance contracts (LTMCs). From a programming perspective, this shift toward LTMCs is far more efficient. However, this new model is highly susceptible to procurement risk as protracted delays to project implementation tend to result in large variations in annual maintenance expenditure and lower levels of service as entire sections of the road lie unattended without major maintenance for extended periods. If the disruption is significant, the outcome is a higher long-term cost of asset maintenance and higher costs for local communities and business owners.</w:t>
      </w:r>
    </w:p>
    <w:p w14:paraId="7427BFB7" w14:textId="18BC0795" w:rsidR="003F5707" w:rsidRPr="00D174C8" w:rsidRDefault="000A0C03" w:rsidP="00D174C8">
      <w:pPr>
        <w:pStyle w:val="BodyText"/>
      </w:pPr>
      <w:r w:rsidRPr="0066477B">
        <w:rPr>
          <w:rFonts w:cs="Calibri Light"/>
        </w:rPr>
        <w:t>The delays in implementation are also a considerable drag on program performance as substantial corrective effort needs to be invested to rescope, draft and procure a host of smaller short-term road maintenance packages that can be signed off at the Secretary level to address the annual expenditure gap.</w:t>
      </w:r>
      <w:r w:rsidR="006C36EE" w:rsidRPr="0066477B">
        <w:rPr>
          <w:rFonts w:cs="Calibri Light"/>
        </w:rPr>
        <w:t xml:space="preserve"> </w:t>
      </w:r>
      <w:r w:rsidRPr="0066477B">
        <w:rPr>
          <w:rFonts w:cs="Calibri Light"/>
        </w:rPr>
        <w:t>Thus, protracted procurement delays at NPC severely undermine TSSP2 and the agency</w:t>
      </w:r>
      <w:r w:rsidR="00AF7C71">
        <w:rPr>
          <w:rFonts w:cs="Calibri Light"/>
        </w:rPr>
        <w:t>'s</w:t>
      </w:r>
      <w:r w:rsidRPr="0066477B">
        <w:rPr>
          <w:rFonts w:cs="Calibri Light"/>
        </w:rPr>
        <w:t xml:space="preserve"> capacity to progress the long-term transport agenda and immediate action is necessary to resolve the impasse.</w:t>
      </w:r>
      <w:r w:rsidR="00267895" w:rsidRPr="0066477B">
        <w:rPr>
          <w:rFonts w:cs="Calibri Light"/>
        </w:rPr>
        <w:t xml:space="preserve"> </w:t>
      </w:r>
      <w:r w:rsidR="004323C1" w:rsidRPr="0066477B">
        <w:rPr>
          <w:rFonts w:cs="Calibri Light"/>
        </w:rPr>
        <w:t xml:space="preserve">To mitigate some delays, some stakeholders proposed strengthening the NPC through </w:t>
      </w:r>
      <w:r w:rsidR="007F2836" w:rsidRPr="0066477B">
        <w:rPr>
          <w:rFonts w:cs="Calibri Light"/>
        </w:rPr>
        <w:t>advisory</w:t>
      </w:r>
      <w:r w:rsidR="004323C1" w:rsidRPr="0066477B">
        <w:rPr>
          <w:rFonts w:cs="Calibri Light"/>
        </w:rPr>
        <w:t xml:space="preserve"> roles and selective bypassing of procurement requirements for capacity building contracts as possible solutions. </w:t>
      </w:r>
      <w:bookmarkStart w:id="38" w:name="_Hlk95236507"/>
    </w:p>
    <w:p w14:paraId="5174C6D3" w14:textId="0B3B11D5" w:rsidR="00396E9D" w:rsidRDefault="00396E9D" w:rsidP="00530B43">
      <w:pPr>
        <w:pStyle w:val="BodyText"/>
      </w:pPr>
      <w:r w:rsidRPr="00530B43">
        <w:rPr>
          <w:b/>
          <w:bCs/>
        </w:rPr>
        <w:t>Donor coordination, collaboration and harmonisation within the transport sector in PNG is seen as a gap for TSSP2 and DFAT more broadly.</w:t>
      </w:r>
      <w:r w:rsidRPr="00F25849">
        <w:t xml:space="preserve"> The </w:t>
      </w:r>
      <w:r>
        <w:t>P</w:t>
      </w:r>
      <w:r w:rsidRPr="00F25849">
        <w:t xml:space="preserve">rogram could benefit from having a stronger and closer relationship with other donor partners. Donor coordination is important for identifying and aligning interventions to national priorities and avoiding duplication of interventions and efforts. </w:t>
      </w:r>
      <w:bookmarkEnd w:id="38"/>
      <w:r w:rsidRPr="00F25849">
        <w:t xml:space="preserve">Though transport sector coordination takes place through the TSCMIC, the </w:t>
      </w:r>
      <w:r>
        <w:t>mechanism</w:t>
      </w:r>
      <w:r w:rsidRPr="00F25849">
        <w:t xml:space="preserve"> is not seen as effective</w:t>
      </w:r>
      <w:r>
        <w:t xml:space="preserve"> and is preoccupied with operational matters</w:t>
      </w:r>
      <w:r w:rsidRPr="00F25849">
        <w:t>. The onset of COVID-19 has also restricted the ability of the committee to meet between late 2020 and September 2021, with only two meetings held in September and December 2021</w:t>
      </w:r>
    </w:p>
    <w:p w14:paraId="3F55D6FA" w14:textId="0ACBBC53" w:rsidR="00BD026F" w:rsidRPr="00931E62" w:rsidRDefault="00BD026F" w:rsidP="00BD026F">
      <w:pPr>
        <w:pStyle w:val="BodyText"/>
        <w:rPr>
          <w:color w:val="4C7B9E" w:themeColor="background2"/>
        </w:rPr>
      </w:pPr>
      <w:r w:rsidRPr="00827A8C">
        <w:rPr>
          <w:color w:val="4C7B9E" w:themeColor="accent2"/>
        </w:rPr>
        <w:t xml:space="preserve">KEQ 5: What was the working relationship between the </w:t>
      </w:r>
      <w:r w:rsidR="001F5F97" w:rsidRPr="00827A8C">
        <w:rPr>
          <w:color w:val="4C7B9E" w:themeColor="accent2"/>
        </w:rPr>
        <w:t>Australian High Commission (AHC)</w:t>
      </w:r>
      <w:r w:rsidR="001F5F97" w:rsidRPr="00931E62">
        <w:rPr>
          <w:color w:val="4C7B9E" w:themeColor="background2"/>
        </w:rPr>
        <w:t xml:space="preserve"> </w:t>
      </w:r>
      <w:r w:rsidRPr="00827A8C">
        <w:rPr>
          <w:color w:val="4C7B9E" w:themeColor="accent2"/>
        </w:rPr>
        <w:t>and the TSSP2 team?</w:t>
      </w:r>
    </w:p>
    <w:p w14:paraId="7377BDC8" w14:textId="77777777" w:rsidR="000634D4" w:rsidRDefault="000634D4" w:rsidP="00530B43">
      <w:pPr>
        <w:pStyle w:val="BodyText"/>
      </w:pPr>
      <w:r w:rsidRPr="00530B43">
        <w:rPr>
          <w:b/>
          <w:bCs/>
        </w:rPr>
        <w:t>The working relationship between TSSP2, the AHC and GoPNG transport agencies is generally seen as positive, though there are opportunities for improvement.</w:t>
      </w:r>
      <w:r w:rsidRPr="00F25849">
        <w:t xml:space="preserve"> The relationship is characterised by open communication, feedback, and planning. Though positive across the board, there are further suggestions to strengthen this through agile work planning, flexibility in adjusting annual implementation work plans to accommodate emerging </w:t>
      </w:r>
      <w:r>
        <w:t>GoPNG and Australian Government</w:t>
      </w:r>
      <w:r w:rsidRPr="00F25849">
        <w:t xml:space="preserve"> needs and priorities. </w:t>
      </w:r>
    </w:p>
    <w:p w14:paraId="53B89711" w14:textId="007B9801" w:rsidR="000634D4" w:rsidRDefault="000634D4" w:rsidP="00530B43">
      <w:pPr>
        <w:pStyle w:val="BodyText"/>
      </w:pPr>
      <w:r w:rsidRPr="16817DBA">
        <w:rPr>
          <w:b/>
        </w:rPr>
        <w:t xml:space="preserve">TSSP2 is valued by the GoPNG transport agencies. </w:t>
      </w:r>
      <w:r w:rsidRPr="16817DBA">
        <w:t>Feedback from</w:t>
      </w:r>
      <w:r w:rsidRPr="16817DBA">
        <w:rPr>
          <w:b/>
        </w:rPr>
        <w:t xml:space="preserve"> </w:t>
      </w:r>
      <w:r w:rsidRPr="002727CE">
        <w:t>DoW</w:t>
      </w:r>
      <w:r w:rsidRPr="16817DBA">
        <w:t xml:space="preserve">, in particular, was very positive, though the department expressed concerns </w:t>
      </w:r>
      <w:r>
        <w:t>about</w:t>
      </w:r>
      <w:r w:rsidRPr="16817DBA">
        <w:t xml:space="preserve"> the lack of expediency in the recruitment of key advisers. D</w:t>
      </w:r>
      <w:r>
        <w:t>o</w:t>
      </w:r>
      <w:r w:rsidRPr="16817DBA">
        <w:t xml:space="preserve">W also expressed a </w:t>
      </w:r>
      <w:r w:rsidRPr="0E41B39E">
        <w:t>desire for TSSP2 to support the shift in the focus of</w:t>
      </w:r>
      <w:r w:rsidRPr="16817DBA">
        <w:t xml:space="preserve"> TSCMIC toward </w:t>
      </w:r>
      <w:r w:rsidR="00A27A5F">
        <w:t>Go</w:t>
      </w:r>
      <w:r>
        <w:t>PNG priorities and the</w:t>
      </w:r>
      <w:r w:rsidRPr="0E41B39E">
        <w:t xml:space="preserve"> identification of </w:t>
      </w:r>
      <w:r w:rsidRPr="16817DBA">
        <w:t xml:space="preserve">new sources and mechanisms for </w:t>
      </w:r>
      <w:r w:rsidRPr="0E41B39E">
        <w:t xml:space="preserve">road </w:t>
      </w:r>
      <w:r w:rsidRPr="16817DBA">
        <w:t xml:space="preserve">funding </w:t>
      </w:r>
      <w:r w:rsidR="00544296" w:rsidRPr="16817DBA">
        <w:t>e.g.,</w:t>
      </w:r>
      <w:r w:rsidRPr="16817DBA">
        <w:t xml:space="preserve"> the implementation of the</w:t>
      </w:r>
      <w:r w:rsidR="00DC74FB" w:rsidRPr="00DC74FB">
        <w:t xml:space="preserve"> Public</w:t>
      </w:r>
      <w:r w:rsidR="007B4837">
        <w:t>-</w:t>
      </w:r>
      <w:r w:rsidR="00DC74FB" w:rsidRPr="00DC74FB">
        <w:t>Private Partnership</w:t>
      </w:r>
      <w:r w:rsidRPr="16817DBA">
        <w:t xml:space="preserve"> </w:t>
      </w:r>
      <w:r w:rsidR="00A828BB">
        <w:t>(</w:t>
      </w:r>
      <w:r w:rsidRPr="16817DBA">
        <w:t>PPP</w:t>
      </w:r>
      <w:r w:rsidR="00A828BB">
        <w:t>)</w:t>
      </w:r>
      <w:r w:rsidRPr="16817DBA">
        <w:t xml:space="preserve"> Act</w:t>
      </w:r>
      <w:r w:rsidR="00A828BB">
        <w:t xml:space="preserve"> 2014</w:t>
      </w:r>
      <w:r w:rsidRPr="0E41B39E">
        <w:t>.</w:t>
      </w:r>
    </w:p>
    <w:p w14:paraId="6B88594A" w14:textId="20830CAC" w:rsidR="000634D4" w:rsidRPr="002727CE" w:rsidRDefault="000634D4" w:rsidP="00530B43">
      <w:pPr>
        <w:pStyle w:val="BodyText"/>
      </w:pPr>
      <w:r w:rsidRPr="002727CE">
        <w:lastRenderedPageBreak/>
        <w:t xml:space="preserve">GoPNG stakeholders noted a high preference for TSSP2 advisers to be based in the counterpart agencies and co-located with their direct counterparts. In agencies, it was proposed that no advisers or managers should be based in the Secretary or CEO’s office unless they are direct advisers to the Secretary or the CEO. Managing Contractors should also provide adequate training and induction regarding local customs and cultural practices, an overview of </w:t>
      </w:r>
      <w:r w:rsidR="00A27A5F">
        <w:t>Go</w:t>
      </w:r>
      <w:r w:rsidRPr="002727CE">
        <w:t>PNG strategy documents and sub-sector specific policies and laws.</w:t>
      </w:r>
    </w:p>
    <w:p w14:paraId="0227FBE4" w14:textId="77777777" w:rsidR="00BD026F" w:rsidRDefault="00BD026F" w:rsidP="004C2507">
      <w:pPr>
        <w:pStyle w:val="Heading2"/>
      </w:pPr>
      <w:bookmarkStart w:id="39" w:name="_Toc99121782"/>
      <w:r>
        <w:t>Conclusions</w:t>
      </w:r>
      <w:bookmarkEnd w:id="39"/>
      <w:r>
        <w:t xml:space="preserve"> </w:t>
      </w:r>
    </w:p>
    <w:p w14:paraId="2D48E426" w14:textId="0F578295" w:rsidR="00A614C7" w:rsidRPr="002727CE" w:rsidRDefault="00A614C7" w:rsidP="00530B43">
      <w:pPr>
        <w:pStyle w:val="BodyText"/>
      </w:pPr>
      <w:r w:rsidRPr="002727CE">
        <w:t xml:space="preserve">As TSSP2 returns to full strength in its </w:t>
      </w:r>
      <w:r w:rsidR="007F2836">
        <w:t>advisory</w:t>
      </w:r>
      <w:r w:rsidRPr="002727CE">
        <w:t xml:space="preserve"> capacity</w:t>
      </w:r>
      <w:r w:rsidR="00E66EA1" w:rsidRPr="002727CE">
        <w:t xml:space="preserve"> after COVID-19</w:t>
      </w:r>
      <w:r w:rsidRPr="002727CE">
        <w:t xml:space="preserve">, the Review </w:t>
      </w:r>
      <w:r w:rsidR="00E66EA1" w:rsidRPr="002727CE">
        <w:t xml:space="preserve">envisages </w:t>
      </w:r>
      <w:r w:rsidRPr="002727CE">
        <w:t xml:space="preserve">high-level coordination and support for TSCMIC in its efforts to align the National Road and Connect </w:t>
      </w:r>
      <w:r w:rsidR="00330482" w:rsidRPr="002727CE">
        <w:t>PNG</w:t>
      </w:r>
      <w:r w:rsidRPr="002727CE">
        <w:t xml:space="preserve"> Strategies and to assist GoPNG agencies with the identification and development of new funding mechanisms to finance these </w:t>
      </w:r>
      <w:r w:rsidR="00765605">
        <w:t>ambitious</w:t>
      </w:r>
      <w:r w:rsidR="00DA2292">
        <w:t xml:space="preserve"> </w:t>
      </w:r>
      <w:r w:rsidRPr="002727CE">
        <w:t>transport plans.</w:t>
      </w:r>
    </w:p>
    <w:p w14:paraId="606560D7" w14:textId="0BC0620D" w:rsidR="00A614C7" w:rsidRPr="002727CE" w:rsidRDefault="00A614C7" w:rsidP="00530B43">
      <w:pPr>
        <w:pStyle w:val="BodyText"/>
      </w:pPr>
      <w:r w:rsidRPr="002727CE">
        <w:t>The Review also found that whil</w:t>
      </w:r>
      <w:r w:rsidR="003D2CA2">
        <w:t>e</w:t>
      </w:r>
      <w:r w:rsidR="00A828BB">
        <w:t xml:space="preserve"> challenges </w:t>
      </w:r>
      <w:r w:rsidR="003D2CA2">
        <w:t>for</w:t>
      </w:r>
      <w:r w:rsidR="00D7050C">
        <w:t xml:space="preserve"> </w:t>
      </w:r>
      <w:r w:rsidRPr="002727CE">
        <w:t>deploy</w:t>
      </w:r>
      <w:r w:rsidR="003D2CA2">
        <w:t>ing</w:t>
      </w:r>
      <w:r w:rsidRPr="002727CE">
        <w:t xml:space="preserve"> advisers and other technical experts to PNG has diminished relationships and achievement of outcomes in the last 18 months (due to COVID-19), there remains a strong undercurrent of appreciation for the support that TSSP2 has provided to GoPNG agencies over the years. Key GoPNG agencies such as DOW highlighted TSSP2’s innovative approach to implementation </w:t>
      </w:r>
      <w:r w:rsidR="00544296" w:rsidRPr="002727CE">
        <w:t>e.g.,</w:t>
      </w:r>
      <w:r w:rsidRPr="002727CE">
        <w:t xml:space="preserve"> CWA</w:t>
      </w:r>
      <w:r w:rsidR="005612E6">
        <w:t xml:space="preserve">s in </w:t>
      </w:r>
      <w:r w:rsidR="00592465" w:rsidRPr="00592465">
        <w:t>Bougainville</w:t>
      </w:r>
      <w:r w:rsidR="00E50341">
        <w:t xml:space="preserve"> and</w:t>
      </w:r>
      <w:r w:rsidRPr="002727CE">
        <w:t xml:space="preserve"> </w:t>
      </w:r>
      <w:r w:rsidR="00592465">
        <w:t xml:space="preserve">shift to </w:t>
      </w:r>
      <w:r w:rsidRPr="002727CE">
        <w:t xml:space="preserve">LTMCs. </w:t>
      </w:r>
    </w:p>
    <w:p w14:paraId="2C410C8C" w14:textId="6E7E36AE" w:rsidR="00A614C7" w:rsidRPr="002727CE" w:rsidRDefault="00A614C7" w:rsidP="00530B43">
      <w:pPr>
        <w:pStyle w:val="BodyText"/>
      </w:pPr>
      <w:r w:rsidRPr="002727CE">
        <w:t>As with most matters in PNG, strong relationships are critical for the successful and effective implementation of donor-funded programs. The positive feedback underscores the importance of proactively managing relationships throughout implementation and consistent communication across programs, sectors and agencies. This will position TSSP2 to be best placed to provide constructive and trusted advice to GoPNG agencies and</w:t>
      </w:r>
      <w:r w:rsidR="00E50341">
        <w:t xml:space="preserve"> state owned enterprise</w:t>
      </w:r>
      <w:r w:rsidRPr="002727CE">
        <w:t>s to maximise development outcomes and minimise investment risk.</w:t>
      </w:r>
    </w:p>
    <w:p w14:paraId="39AB3400" w14:textId="77777777" w:rsidR="00495DBD" w:rsidRDefault="00495DBD" w:rsidP="004C2507">
      <w:pPr>
        <w:pStyle w:val="Heading2"/>
      </w:pPr>
      <w:bookmarkStart w:id="40" w:name="_Toc99121783"/>
      <w:r>
        <w:t>Recommendations</w:t>
      </w:r>
      <w:bookmarkEnd w:id="40"/>
      <w:r>
        <w:t xml:space="preserve"> </w:t>
      </w:r>
    </w:p>
    <w:p w14:paraId="72FC8AC8" w14:textId="684FAD91" w:rsidR="009A1DE1" w:rsidRPr="004C2507" w:rsidRDefault="00495DBD" w:rsidP="009A1DE1">
      <w:pPr>
        <w:pStyle w:val="BodyText"/>
        <w:spacing w:before="60" w:after="60"/>
        <w:rPr>
          <w:rFonts w:cs="Calibri Light"/>
          <w:sz w:val="18"/>
          <w:szCs w:val="18"/>
        </w:rPr>
      </w:pPr>
      <w:bookmarkStart w:id="41" w:name="_Hlk95227537"/>
      <w:r w:rsidRPr="00530B43">
        <w:rPr>
          <w:rFonts w:cs="Arial"/>
          <w:b/>
          <w:color w:val="003478" w:themeColor="accent1"/>
          <w:szCs w:val="20"/>
        </w:rPr>
        <w:t xml:space="preserve">Recommendation </w:t>
      </w:r>
      <w:r w:rsidR="006C4A88" w:rsidRPr="00530B43">
        <w:rPr>
          <w:rFonts w:cs="Arial"/>
          <w:b/>
          <w:color w:val="003478" w:themeColor="accent1"/>
          <w:szCs w:val="20"/>
        </w:rPr>
        <w:t>3.</w:t>
      </w:r>
      <w:r w:rsidRPr="00530B43">
        <w:rPr>
          <w:rFonts w:cs="Arial"/>
          <w:b/>
          <w:bCs/>
          <w:color w:val="003478" w:themeColor="accent1"/>
          <w:szCs w:val="20"/>
        </w:rPr>
        <w:t xml:space="preserve">1: </w:t>
      </w:r>
      <w:r w:rsidR="00EA6703" w:rsidRPr="00EA6703">
        <w:rPr>
          <w:rFonts w:cs="Calibri Light"/>
          <w:szCs w:val="20"/>
        </w:rPr>
        <w:t>That the Program enhance</w:t>
      </w:r>
      <w:r w:rsidR="00954851">
        <w:rPr>
          <w:rFonts w:cs="Calibri Light"/>
          <w:szCs w:val="20"/>
        </w:rPr>
        <w:t>s</w:t>
      </w:r>
      <w:r w:rsidR="00EA6703" w:rsidRPr="00EA6703">
        <w:rPr>
          <w:rFonts w:cs="Calibri Light"/>
          <w:szCs w:val="20"/>
        </w:rPr>
        <w:t xml:space="preserve"> support for TSCMIC to regularly meet and set agendas that help orient investment toward the achievement of transport strategies such as Connect PNG and to develop the capacity to identify appropriate funding mechanisms to finance national transport plans.</w:t>
      </w:r>
      <w:r w:rsidR="009A1DE1" w:rsidRPr="00972332">
        <w:rPr>
          <w:rFonts w:cs="Calibri Light"/>
          <w:szCs w:val="20"/>
        </w:rPr>
        <w:t xml:space="preserve"> </w:t>
      </w:r>
      <w:r w:rsidR="009337EA" w:rsidRPr="00972332">
        <w:rPr>
          <w:rFonts w:cs="Calibri Light"/>
          <w:szCs w:val="20"/>
        </w:rPr>
        <w:t>T</w:t>
      </w:r>
      <w:r w:rsidR="009A1DE1" w:rsidRPr="00972332">
        <w:rPr>
          <w:rFonts w:cs="Calibri Light"/>
          <w:szCs w:val="20"/>
        </w:rPr>
        <w:t>he Australia-PNG Transport Partnerships Review (conducted along</w:t>
      </w:r>
      <w:r w:rsidR="00972332">
        <w:rPr>
          <w:rFonts w:cs="Calibri Light"/>
          <w:szCs w:val="20"/>
        </w:rPr>
        <w:t>side</w:t>
      </w:r>
      <w:r w:rsidR="009A1DE1" w:rsidRPr="00972332">
        <w:rPr>
          <w:rFonts w:cs="Calibri Light"/>
          <w:szCs w:val="20"/>
        </w:rPr>
        <w:t xml:space="preserve"> this Review) recommends the former Institutional Partnerships Program</w:t>
      </w:r>
      <w:r w:rsidR="00972332">
        <w:rPr>
          <w:rFonts w:cs="Calibri Light"/>
          <w:szCs w:val="20"/>
        </w:rPr>
        <w:t>’s</w:t>
      </w:r>
      <w:r w:rsidR="009A1DE1" w:rsidRPr="00972332">
        <w:rPr>
          <w:rFonts w:cs="Calibri Light"/>
          <w:szCs w:val="20"/>
        </w:rPr>
        <w:t xml:space="preserve"> Infrastructure </w:t>
      </w:r>
      <w:r w:rsidR="00972332">
        <w:rPr>
          <w:rFonts w:cs="Calibri Light"/>
          <w:szCs w:val="20"/>
        </w:rPr>
        <w:t>A</w:t>
      </w:r>
      <w:r w:rsidR="009A1DE1" w:rsidRPr="00972332">
        <w:rPr>
          <w:rFonts w:cs="Calibri Light"/>
          <w:szCs w:val="20"/>
        </w:rPr>
        <w:t xml:space="preserve">dviser position be transferred to TSSP to provide coordination support between Australian and PNG agencies. To this end, the </w:t>
      </w:r>
      <w:r w:rsidR="00972332">
        <w:rPr>
          <w:rFonts w:cs="Calibri Light"/>
          <w:szCs w:val="20"/>
        </w:rPr>
        <w:t>A</w:t>
      </w:r>
      <w:r w:rsidR="009A1DE1" w:rsidRPr="00972332">
        <w:rPr>
          <w:rFonts w:cs="Calibri Light"/>
          <w:szCs w:val="20"/>
        </w:rPr>
        <w:t>dviser would also enhance technical advisory support to TSCMIC.</w:t>
      </w:r>
    </w:p>
    <w:p w14:paraId="565A82C3" w14:textId="77777777" w:rsidR="008B04D2" w:rsidRDefault="00495DBD" w:rsidP="00495DBD">
      <w:pPr>
        <w:pStyle w:val="BodyText"/>
        <w:rPr>
          <w:rFonts w:cs="Calibri Light"/>
          <w:szCs w:val="20"/>
        </w:rPr>
      </w:pPr>
      <w:r w:rsidRPr="00530B43">
        <w:rPr>
          <w:rFonts w:cs="Arial"/>
          <w:b/>
          <w:color w:val="003478" w:themeColor="accent1"/>
          <w:szCs w:val="20"/>
        </w:rPr>
        <w:t xml:space="preserve">Recommendation </w:t>
      </w:r>
      <w:r w:rsidR="006C4A88" w:rsidRPr="00530B43">
        <w:rPr>
          <w:rFonts w:cs="Arial"/>
          <w:b/>
          <w:color w:val="003478" w:themeColor="accent1"/>
          <w:szCs w:val="20"/>
        </w:rPr>
        <w:t>3.</w:t>
      </w:r>
      <w:r w:rsidRPr="00530B43">
        <w:rPr>
          <w:rFonts w:cs="Arial"/>
          <w:b/>
          <w:bCs/>
          <w:color w:val="003478" w:themeColor="accent1"/>
          <w:szCs w:val="20"/>
        </w:rPr>
        <w:t>2</w:t>
      </w:r>
      <w:r w:rsidRPr="00530B43">
        <w:rPr>
          <w:rFonts w:cs="Arial"/>
          <w:b/>
          <w:color w:val="003478" w:themeColor="accent1"/>
          <w:szCs w:val="20"/>
        </w:rPr>
        <w:t xml:space="preserve">: </w:t>
      </w:r>
      <w:r w:rsidR="00EA6703" w:rsidRPr="00EA6703">
        <w:rPr>
          <w:rFonts w:cs="Calibri Light"/>
          <w:szCs w:val="20"/>
        </w:rPr>
        <w:t xml:space="preserve">That the Program deploys advisers and other technical experts to PNG in an accelerated </w:t>
      </w:r>
      <w:r w:rsidR="00F13BC6" w:rsidRPr="00EA6703">
        <w:rPr>
          <w:rFonts w:cs="Calibri Light"/>
          <w:szCs w:val="20"/>
        </w:rPr>
        <w:t>manner once</w:t>
      </w:r>
      <w:r w:rsidR="00EA6703" w:rsidRPr="00EA6703">
        <w:rPr>
          <w:rFonts w:cs="Calibri Light"/>
          <w:szCs w:val="20"/>
        </w:rPr>
        <w:t xml:space="preserve"> COVID-19 travel restrictions are lifted to avoid adverse effects on implementation and relationships built over time. </w:t>
      </w:r>
      <w:r w:rsidR="00A705A8">
        <w:rPr>
          <w:rFonts w:cs="Calibri Light"/>
          <w:szCs w:val="20"/>
        </w:rPr>
        <w:t>Noting</w:t>
      </w:r>
      <w:r w:rsidR="00EA6703" w:rsidRPr="00EA6703">
        <w:rPr>
          <w:rFonts w:cs="Calibri Light"/>
          <w:szCs w:val="20"/>
        </w:rPr>
        <w:t xml:space="preserve"> rapid deployment is critical to continued Program success, TSSP2 will need to be mindful that the rapid deployment of adviser resources will need to work within existing adviser funding caps outlined in the Program contract.</w:t>
      </w:r>
      <w:r w:rsidR="00D7050C">
        <w:rPr>
          <w:rFonts w:cs="Calibri Light"/>
          <w:szCs w:val="20"/>
        </w:rPr>
        <w:t xml:space="preserve"> </w:t>
      </w:r>
    </w:p>
    <w:p w14:paraId="622FD970" w14:textId="688418BE" w:rsidR="00F13BC6" w:rsidRDefault="00495DBD" w:rsidP="00495DBD">
      <w:pPr>
        <w:pStyle w:val="BodyText"/>
        <w:rPr>
          <w:szCs w:val="20"/>
        </w:rPr>
      </w:pPr>
      <w:r w:rsidRPr="00530B43">
        <w:rPr>
          <w:rFonts w:cs="Arial"/>
          <w:b/>
          <w:color w:val="003478" w:themeColor="accent1"/>
          <w:szCs w:val="20"/>
        </w:rPr>
        <w:t xml:space="preserve">Recommendation </w:t>
      </w:r>
      <w:r w:rsidR="006C4A88" w:rsidRPr="00530B43">
        <w:rPr>
          <w:rFonts w:cs="Arial"/>
          <w:b/>
          <w:color w:val="003478" w:themeColor="accent1"/>
          <w:szCs w:val="20"/>
        </w:rPr>
        <w:t>3.3</w:t>
      </w:r>
      <w:r w:rsidRPr="00530B43">
        <w:rPr>
          <w:rFonts w:cs="Arial"/>
          <w:b/>
          <w:color w:val="003478" w:themeColor="accent1"/>
          <w:szCs w:val="20"/>
        </w:rPr>
        <w:t xml:space="preserve">: </w:t>
      </w:r>
      <w:r w:rsidR="00F13BC6" w:rsidRPr="00F13BC6">
        <w:rPr>
          <w:szCs w:val="20"/>
        </w:rPr>
        <w:t xml:space="preserve">If appropriate, that the Program review NPC systems and processes as a basis </w:t>
      </w:r>
      <w:r w:rsidR="00C801B6">
        <w:rPr>
          <w:szCs w:val="20"/>
        </w:rPr>
        <w:t>for</w:t>
      </w:r>
      <w:r w:rsidR="00F13BC6" w:rsidRPr="00F13BC6">
        <w:rPr>
          <w:szCs w:val="20"/>
        </w:rPr>
        <w:t xml:space="preserve"> understanding the benefits and the opportunity costs of using the national procurement system. The review may provide options to either strengthen the NPC through advisory roles and legislative reform or selectively </w:t>
      </w:r>
      <w:r w:rsidR="008B04D2" w:rsidRPr="00F13BC6">
        <w:rPr>
          <w:szCs w:val="20"/>
        </w:rPr>
        <w:t>bypass</w:t>
      </w:r>
      <w:r w:rsidR="00F13BC6" w:rsidRPr="00F13BC6">
        <w:rPr>
          <w:szCs w:val="20"/>
        </w:rPr>
        <w:t xml:space="preserve"> NPC procurement processes</w:t>
      </w:r>
      <w:r w:rsidR="002C4855">
        <w:rPr>
          <w:szCs w:val="20"/>
        </w:rPr>
        <w:t xml:space="preserve"> where delays </w:t>
      </w:r>
      <w:r w:rsidR="00903640">
        <w:rPr>
          <w:szCs w:val="20"/>
        </w:rPr>
        <w:t>are excessive</w:t>
      </w:r>
      <w:r w:rsidR="00F13BC6" w:rsidRPr="00F13BC6">
        <w:rPr>
          <w:szCs w:val="20"/>
        </w:rPr>
        <w:t xml:space="preserve"> to avoid the higher long-term cost of asset maintenance and higher costs for local communities and business owners.</w:t>
      </w:r>
    </w:p>
    <w:bookmarkEnd w:id="41"/>
    <w:p w14:paraId="1880D91A" w14:textId="173DEA98" w:rsidR="00B90C2F" w:rsidRDefault="00B90C2F" w:rsidP="009A1DE1">
      <w:pPr>
        <w:rPr>
          <w:rFonts w:ascii="Helvetica LT Std" w:hAnsi="Helvetica LT Std"/>
          <w:sz w:val="19"/>
          <w:szCs w:val="19"/>
        </w:rPr>
      </w:pPr>
      <w:r>
        <w:br w:type="page"/>
      </w:r>
    </w:p>
    <w:p w14:paraId="731C4B81" w14:textId="097F3AA3" w:rsidR="00E458C5" w:rsidRDefault="00E458C5" w:rsidP="0024772A">
      <w:pPr>
        <w:pStyle w:val="Heading1"/>
      </w:pPr>
      <w:r>
        <w:lastRenderedPageBreak/>
        <w:t xml:space="preserve"> </w:t>
      </w:r>
      <w:bookmarkStart w:id="42" w:name="_Toc99121784"/>
      <w:r>
        <w:t>Program effectiveness</w:t>
      </w:r>
      <w:bookmarkEnd w:id="42"/>
    </w:p>
    <w:p w14:paraId="39B053E9" w14:textId="70F94160" w:rsidR="00BF0646" w:rsidRPr="004C2507" w:rsidRDefault="000923E4" w:rsidP="004C2507">
      <w:pPr>
        <w:pStyle w:val="BodyText"/>
        <w:rPr>
          <w:rFonts w:ascii="Arial" w:hAnsi="Arial"/>
        </w:rPr>
      </w:pPr>
      <w:r w:rsidRPr="005E007B">
        <w:t xml:space="preserve">This </w:t>
      </w:r>
      <w:r>
        <w:t>chapter</w:t>
      </w:r>
      <w:r w:rsidRPr="005E007B">
        <w:t xml:space="preserve"> </w:t>
      </w:r>
      <w:r w:rsidRPr="65B41DC6">
        <w:t>assesses whether</w:t>
      </w:r>
      <w:r w:rsidRPr="005E007B">
        <w:t xml:space="preserve"> the Program </w:t>
      </w:r>
      <w:r>
        <w:t xml:space="preserve">has </w:t>
      </w:r>
      <w:r w:rsidRPr="005E007B">
        <w:t xml:space="preserve">achieved its intended outcomes. The section explores areas the Program has done well and areas that need further improvement </w:t>
      </w:r>
      <w:r>
        <w:t>to</w:t>
      </w:r>
      <w:r w:rsidRPr="005E007B">
        <w:t xml:space="preserve"> effective</w:t>
      </w:r>
      <w:r>
        <w:t>ly achieve outcomes</w:t>
      </w:r>
      <w:r w:rsidRPr="005E007B">
        <w:t xml:space="preserve">. The </w:t>
      </w:r>
      <w:r>
        <w:t>chapter</w:t>
      </w:r>
      <w:r w:rsidRPr="005E007B">
        <w:t xml:space="preserve"> also draws out good practices as well as mechanisms that ha</w:t>
      </w:r>
      <w:r>
        <w:t xml:space="preserve">ve </w:t>
      </w:r>
      <w:r w:rsidRPr="005E007B">
        <w:t xml:space="preserve">facilitated or hindered the effectiveness of the Program. Findings in this </w:t>
      </w:r>
      <w:r>
        <w:t>chapter</w:t>
      </w:r>
      <w:r w:rsidRPr="005E007B">
        <w:t xml:space="preserve"> are grouped </w:t>
      </w:r>
      <w:r>
        <w:t>in line with</w:t>
      </w:r>
      <w:r w:rsidRPr="005E007B">
        <w:t xml:space="preserve"> </w:t>
      </w:r>
      <w:r>
        <w:t>TSSP2</w:t>
      </w:r>
      <w:r w:rsidRPr="005E007B">
        <w:t>’s EOPOs.</w:t>
      </w:r>
      <w:r>
        <w:t xml:space="preserve"> Broader d</w:t>
      </w:r>
      <w:r w:rsidRPr="005E007B">
        <w:t>evelopment outcomes are also explored and unintended outcomes both positive and negative are reported.</w:t>
      </w:r>
    </w:p>
    <w:p w14:paraId="1E066ABA" w14:textId="25AB2B7A" w:rsidR="00E458C5" w:rsidRPr="000F23C9" w:rsidRDefault="00E458C5" w:rsidP="004C2507">
      <w:pPr>
        <w:pStyle w:val="Heading2"/>
      </w:pPr>
      <w:bookmarkStart w:id="43" w:name="_Toc99121785"/>
      <w:r w:rsidRPr="000F23C9">
        <w:t>Key findings</w:t>
      </w:r>
      <w:bookmarkEnd w:id="43"/>
    </w:p>
    <w:p w14:paraId="32AFA417" w14:textId="090E7A54" w:rsidR="002C35AE" w:rsidRPr="000F23C9" w:rsidRDefault="002C35AE" w:rsidP="002C35AE">
      <w:pPr>
        <w:pStyle w:val="BodyText"/>
        <w:rPr>
          <w:rFonts w:cs="Arial"/>
          <w:color w:val="4C7B9E" w:themeColor="background2"/>
        </w:rPr>
      </w:pPr>
      <w:r w:rsidRPr="00827A8C">
        <w:rPr>
          <w:rFonts w:cs="Arial"/>
          <w:color w:val="4C7B9E" w:themeColor="accent2"/>
        </w:rPr>
        <w:t>KEQ</w:t>
      </w:r>
      <w:r w:rsidR="00C05AD1" w:rsidRPr="00827A8C">
        <w:rPr>
          <w:rFonts w:cs="Arial"/>
          <w:color w:val="4C7B9E" w:themeColor="accent2"/>
        </w:rPr>
        <w:t xml:space="preserve"> 6</w:t>
      </w:r>
      <w:r w:rsidRPr="00827A8C">
        <w:rPr>
          <w:rFonts w:cs="Arial"/>
          <w:color w:val="4C7B9E" w:themeColor="accent2"/>
        </w:rPr>
        <w:t xml:space="preserve">: Was TSSP2 effective in </w:t>
      </w:r>
      <w:r w:rsidR="000F23C9" w:rsidRPr="00827A8C">
        <w:rPr>
          <w:rFonts w:cs="Arial"/>
          <w:color w:val="4C7B9E" w:themeColor="accent2"/>
        </w:rPr>
        <w:t xml:space="preserve">the </w:t>
      </w:r>
      <w:r w:rsidRPr="00827A8C">
        <w:rPr>
          <w:rFonts w:cs="Arial"/>
          <w:color w:val="4C7B9E" w:themeColor="accent2"/>
        </w:rPr>
        <w:t>achievement of intended outcomes?</w:t>
      </w:r>
    </w:p>
    <w:p w14:paraId="42369960" w14:textId="5102075A" w:rsidR="00D720AF" w:rsidRDefault="005E007B" w:rsidP="005E007B">
      <w:pPr>
        <w:pStyle w:val="BodyText"/>
        <w:rPr>
          <w:rFonts w:cs="Arial"/>
        </w:rPr>
      </w:pPr>
      <w:r w:rsidRPr="000F23C9">
        <w:rPr>
          <w:rFonts w:cs="Arial"/>
        </w:rPr>
        <w:t xml:space="preserve">This section focuses on the results achieved under each of the EOPOs. It does not report all of the key results achieved given the breadth of </w:t>
      </w:r>
      <w:r w:rsidR="00F23D1C">
        <w:rPr>
          <w:rFonts w:cs="Arial"/>
        </w:rPr>
        <w:t>TSSP2</w:t>
      </w:r>
      <w:r w:rsidRPr="000F23C9">
        <w:rPr>
          <w:rFonts w:cs="Arial"/>
        </w:rPr>
        <w:t xml:space="preserve"> but focuses on outcomes that were reported as most significant </w:t>
      </w:r>
      <w:r w:rsidR="00114468">
        <w:rPr>
          <w:rFonts w:cs="Arial"/>
        </w:rPr>
        <w:t xml:space="preserve">delivered </w:t>
      </w:r>
      <w:r w:rsidRPr="000F23C9">
        <w:rPr>
          <w:rFonts w:cs="Arial"/>
        </w:rPr>
        <w:t xml:space="preserve">under </w:t>
      </w:r>
      <w:r w:rsidR="00C45093">
        <w:rPr>
          <w:rFonts w:cs="Arial"/>
        </w:rPr>
        <w:t>TSSP2</w:t>
      </w:r>
      <w:r w:rsidR="00F00DE5">
        <w:rPr>
          <w:rFonts w:cs="Arial"/>
        </w:rPr>
        <w:t>.</w:t>
      </w:r>
    </w:p>
    <w:p w14:paraId="3C2A3127" w14:textId="77777777" w:rsidR="005E0DCA" w:rsidRPr="00AC0EEB" w:rsidRDefault="005E0DCA" w:rsidP="00530B43">
      <w:pPr>
        <w:pStyle w:val="Heading3"/>
        <w:rPr>
          <w:color w:val="4C7B9E" w:themeColor="accent2"/>
          <w:lang w:eastAsia="ko-KR"/>
        </w:rPr>
      </w:pPr>
      <w:r w:rsidRPr="00AC0EEB">
        <w:rPr>
          <w:color w:val="4C7B9E" w:themeColor="accent2"/>
          <w:lang w:eastAsia="ko-KR"/>
        </w:rPr>
        <w:t>EOPO 1: GoPNG transport agencies have a clear mandate, and are effective and functional</w:t>
      </w:r>
    </w:p>
    <w:p w14:paraId="39AC83CE" w14:textId="50D8424B" w:rsidR="005E0DCA" w:rsidRPr="000F23C9" w:rsidRDefault="00145D8C" w:rsidP="004C2507">
      <w:pPr>
        <w:pStyle w:val="BodyText"/>
        <w:rPr>
          <w:lang w:eastAsia="ko-KR"/>
        </w:rPr>
      </w:pPr>
      <w:r w:rsidRPr="000F23C9">
        <w:rPr>
          <w:b/>
          <w:lang w:eastAsia="ko-KR"/>
        </w:rPr>
        <w:t xml:space="preserve">TSSP2 is </w:t>
      </w:r>
      <w:r w:rsidR="005E0DCA" w:rsidRPr="000F23C9">
        <w:rPr>
          <w:b/>
          <w:lang w:eastAsia="ko-KR"/>
        </w:rPr>
        <w:t>assisting GoPNG in making great strides toward policy and legislative reforms</w:t>
      </w:r>
      <w:r w:rsidR="001C0D3E">
        <w:rPr>
          <w:b/>
          <w:lang w:eastAsia="ko-KR"/>
        </w:rPr>
        <w:t>.</w:t>
      </w:r>
      <w:r w:rsidR="005E0DCA" w:rsidRPr="000F23C9">
        <w:rPr>
          <w:b/>
          <w:lang w:eastAsia="ko-KR"/>
        </w:rPr>
        <w:t xml:space="preserve"> </w:t>
      </w:r>
      <w:r w:rsidR="005E0DCA" w:rsidRPr="000F23C9">
        <w:rPr>
          <w:lang w:eastAsia="ko-KR"/>
        </w:rPr>
        <w:t xml:space="preserve">New enabling legislation </w:t>
      </w:r>
      <w:r w:rsidR="002C65CC">
        <w:rPr>
          <w:lang w:eastAsia="ko-KR"/>
        </w:rPr>
        <w:t>supported by TSSP2</w:t>
      </w:r>
      <w:r w:rsidR="00D7050C">
        <w:rPr>
          <w:lang w:eastAsia="ko-KR"/>
        </w:rPr>
        <w:t xml:space="preserve"> </w:t>
      </w:r>
      <w:r w:rsidR="005E0DCA" w:rsidRPr="000F23C9">
        <w:rPr>
          <w:lang w:eastAsia="ko-KR"/>
        </w:rPr>
        <w:t xml:space="preserve">such as the </w:t>
      </w:r>
      <w:r w:rsidR="005E0DCA" w:rsidRPr="000F23C9">
        <w:rPr>
          <w:i/>
          <w:lang w:eastAsia="ko-KR"/>
        </w:rPr>
        <w:t>Road (Management and Fund) Act 2020</w:t>
      </w:r>
      <w:r w:rsidR="005E0DCA" w:rsidRPr="000F23C9">
        <w:rPr>
          <w:lang w:eastAsia="ko-KR"/>
        </w:rPr>
        <w:t xml:space="preserve"> is a key undertaking as it is designed to empower national, provincial, and district land transport authorities in the financing, coordination, and management of national road assets. </w:t>
      </w:r>
    </w:p>
    <w:p w14:paraId="2A493920" w14:textId="57994BDA" w:rsidR="005E0DCA" w:rsidRPr="000F23C9" w:rsidRDefault="005E0DCA" w:rsidP="004C2507">
      <w:pPr>
        <w:pStyle w:val="BodyText"/>
        <w:rPr>
          <w:lang w:eastAsia="ko-KR"/>
        </w:rPr>
      </w:pPr>
      <w:r w:rsidRPr="000F23C9">
        <w:rPr>
          <w:lang w:eastAsia="ko-KR"/>
        </w:rPr>
        <w:t>This new legislation is designed, in part, to replace the National Road Authority (NRA)</w:t>
      </w:r>
      <w:r w:rsidR="00C57D33">
        <w:rPr>
          <w:lang w:eastAsia="ko-KR"/>
        </w:rPr>
        <w:t>,</w:t>
      </w:r>
      <w:r w:rsidRPr="000F23C9">
        <w:rPr>
          <w:lang w:eastAsia="ko-KR"/>
        </w:rPr>
        <w:t xml:space="preserve"> which was gazetted under the National Roads Authority Act 2003, GoPNG’s most recent attempt at establishing a self-funded road authority. Whil</w:t>
      </w:r>
      <w:r w:rsidR="008A1C56">
        <w:rPr>
          <w:lang w:eastAsia="ko-KR"/>
        </w:rPr>
        <w:t>e</w:t>
      </w:r>
      <w:r w:rsidRPr="000F23C9">
        <w:rPr>
          <w:lang w:eastAsia="ko-KR"/>
        </w:rPr>
        <w:t xml:space="preserve"> the objectives and structure of the two pieces of legislation are broadly similar, the National Roads Authority Act 2003 culminated in a road authority (NRA) that was inadequately financed, poorly integrated (maintenance responsibility was shared with a significant of NRA responsibilities often conferred to </w:t>
      </w:r>
      <w:r w:rsidR="00C35240">
        <w:rPr>
          <w:lang w:eastAsia="ko-KR"/>
        </w:rPr>
        <w:t>DoW</w:t>
      </w:r>
      <w:r w:rsidRPr="000F23C9">
        <w:rPr>
          <w:lang w:eastAsia="ko-KR"/>
        </w:rPr>
        <w:t>), and lacked the essential legislative authority to declare, commission and classify public road infrastructure.</w:t>
      </w:r>
    </w:p>
    <w:p w14:paraId="56213872" w14:textId="53C29573" w:rsidR="005E0DCA" w:rsidRPr="000F23C9" w:rsidRDefault="00284FEF" w:rsidP="004C2507">
      <w:pPr>
        <w:pStyle w:val="BodyText"/>
        <w:rPr>
          <w:lang w:eastAsia="ko-KR"/>
        </w:rPr>
      </w:pPr>
      <w:r w:rsidRPr="000F23C9">
        <w:rPr>
          <w:lang w:eastAsia="ko-KR"/>
        </w:rPr>
        <w:t>By</w:t>
      </w:r>
      <w:r w:rsidR="00B23108">
        <w:rPr>
          <w:lang w:eastAsia="ko-KR"/>
        </w:rPr>
        <w:t xml:space="preserve"> </w:t>
      </w:r>
      <w:r w:rsidR="005E0DCA" w:rsidRPr="000F23C9">
        <w:rPr>
          <w:lang w:eastAsia="ko-KR"/>
        </w:rPr>
        <w:t xml:space="preserve">comparison, the new legislation developed by GoPNG with the support of TSSP2 is relatively broad in scope and offers more detail than its predecessor, particularly in terms of funding arrangements. The new legislation </w:t>
      </w:r>
      <w:r w:rsidR="00EA1765">
        <w:rPr>
          <w:lang w:eastAsia="ko-KR"/>
        </w:rPr>
        <w:t>aims</w:t>
      </w:r>
      <w:r w:rsidR="005E0DCA" w:rsidRPr="000F23C9">
        <w:rPr>
          <w:lang w:eastAsia="ko-KR"/>
        </w:rPr>
        <w:t xml:space="preserve"> to address road maintenance funding challenges through the establishment of a Road Fund that sources revenue from driver licence and registration fees, fuel levies in respect of road users, and (future) road user charges. Whether these existing or forecast revenue streams are adequate to support the functions of the Road Fund whil</w:t>
      </w:r>
      <w:r w:rsidR="00F24873">
        <w:rPr>
          <w:lang w:eastAsia="ko-KR"/>
        </w:rPr>
        <w:t>e</w:t>
      </w:r>
      <w:r w:rsidR="005E0DCA" w:rsidRPr="000F23C9">
        <w:rPr>
          <w:lang w:eastAsia="ko-KR"/>
        </w:rPr>
        <w:t xml:space="preserve"> delivering sustainable maintenance outcomes without the need for ongoing annual GoPNG budget allocations is not </w:t>
      </w:r>
      <w:r w:rsidR="00F24873">
        <w:rPr>
          <w:lang w:eastAsia="ko-KR"/>
        </w:rPr>
        <w:t xml:space="preserve">yet </w:t>
      </w:r>
      <w:r w:rsidR="005E0DCA" w:rsidRPr="000F23C9">
        <w:rPr>
          <w:lang w:eastAsia="ko-KR"/>
        </w:rPr>
        <w:t xml:space="preserve">known. </w:t>
      </w:r>
      <w:r w:rsidR="00F24873">
        <w:rPr>
          <w:lang w:eastAsia="ko-KR"/>
        </w:rPr>
        <w:t>However, i</w:t>
      </w:r>
      <w:r w:rsidR="005E0DCA" w:rsidRPr="000F23C9">
        <w:rPr>
          <w:lang w:eastAsia="ko-KR"/>
        </w:rPr>
        <w:t xml:space="preserve">f history provides any guidance, GoPNG has </w:t>
      </w:r>
      <w:r w:rsidR="00C57D33">
        <w:rPr>
          <w:lang w:eastAsia="ko-KR"/>
        </w:rPr>
        <w:t>not secured</w:t>
      </w:r>
      <w:r w:rsidR="005E0DCA" w:rsidRPr="000F23C9">
        <w:rPr>
          <w:lang w:eastAsia="ko-KR"/>
        </w:rPr>
        <w:t xml:space="preserve"> adequate funding allocation for road maintenance activities</w:t>
      </w:r>
      <w:r w:rsidR="001F51E6" w:rsidRPr="001F51E6">
        <w:rPr>
          <w:lang w:eastAsia="ko-KR"/>
        </w:rPr>
        <w:t xml:space="preserve"> </w:t>
      </w:r>
      <w:r w:rsidR="001F51E6">
        <w:rPr>
          <w:lang w:eastAsia="ko-KR"/>
        </w:rPr>
        <w:t>and this may take some time</w:t>
      </w:r>
      <w:r w:rsidR="005E0DCA" w:rsidRPr="000F23C9">
        <w:rPr>
          <w:lang w:eastAsia="ko-KR"/>
        </w:rPr>
        <w:t xml:space="preserve">. </w:t>
      </w:r>
    </w:p>
    <w:p w14:paraId="537F539E" w14:textId="227F1881" w:rsidR="005E0DCA" w:rsidRPr="000F23C9" w:rsidRDefault="005E0DCA" w:rsidP="004C2507">
      <w:pPr>
        <w:pStyle w:val="BodyText"/>
        <w:rPr>
          <w:lang w:eastAsia="ko-KR"/>
        </w:rPr>
      </w:pPr>
      <w:r w:rsidRPr="000F23C9">
        <w:rPr>
          <w:lang w:eastAsia="ko-KR"/>
        </w:rPr>
        <w:t xml:space="preserve">In contrast, the recently legislated Connect PNG (Implementation and Funding Arrangements) Act 2021 - an infrastructure development initiative of GoPNG - commits a minimum of 5.6% of the annual national budget to road infrastructure development, up to a limit of K20 billion for the life of the program. The PNG National Budget is forecasting K22.175 billion in expenditure in fiscal 2022, equating to K1.24 billion for new infrastructure in 2022. Should this investment in new infrastructure proceed, the value of assets under management and the corresponding increase in demand for maintenance funding will sharply increase. </w:t>
      </w:r>
    </w:p>
    <w:p w14:paraId="56B7A4F2" w14:textId="73A71981" w:rsidR="005E0DCA" w:rsidRPr="000F23C9" w:rsidRDefault="005E0DCA" w:rsidP="004C2507">
      <w:pPr>
        <w:pStyle w:val="BodyText"/>
        <w:rPr>
          <w:lang w:eastAsia="ko-KR"/>
        </w:rPr>
      </w:pPr>
      <w:r w:rsidRPr="000F23C9">
        <w:rPr>
          <w:lang w:eastAsia="ko-KR"/>
        </w:rPr>
        <w:t xml:space="preserve">The legislation also establishes procedures for the declaring, commissioning and classification </w:t>
      </w:r>
      <w:r w:rsidR="00795D84">
        <w:rPr>
          <w:lang w:eastAsia="ko-KR"/>
        </w:rPr>
        <w:t xml:space="preserve">of </w:t>
      </w:r>
      <w:r w:rsidRPr="000F23C9">
        <w:rPr>
          <w:lang w:eastAsia="ko-KR"/>
        </w:rPr>
        <w:t xml:space="preserve">public roads, simplifying the process of land acquisition for the road network, the demarcation of road boundaries and the responsibility for road management of national, provincial and district road authorities. The legislation also grants </w:t>
      </w:r>
      <w:r w:rsidR="00C931B6">
        <w:rPr>
          <w:lang w:eastAsia="ko-KR"/>
        </w:rPr>
        <w:t>GoPNG</w:t>
      </w:r>
      <w:r w:rsidRPr="000F23C9">
        <w:rPr>
          <w:lang w:eastAsia="ko-KR"/>
        </w:rPr>
        <w:t xml:space="preserve"> the power to establish multiple road authorities or companies who may themselves enter into unilateral arrangements to deliver essential activities for public roads. Whil</w:t>
      </w:r>
      <w:r w:rsidR="00284FEF">
        <w:rPr>
          <w:lang w:eastAsia="ko-KR"/>
        </w:rPr>
        <w:t>e</w:t>
      </w:r>
      <w:r w:rsidRPr="000F23C9">
        <w:rPr>
          <w:lang w:eastAsia="ko-KR"/>
        </w:rPr>
        <w:t xml:space="preserve"> such arrangements may build inherent flexibility into the way the national road network is managed, the added complexity may potentially undermine the </w:t>
      </w:r>
      <w:r w:rsidR="00284FEF">
        <w:rPr>
          <w:lang w:eastAsia="ko-KR"/>
        </w:rPr>
        <w:t>deliver</w:t>
      </w:r>
      <w:r w:rsidR="006C36EE">
        <w:rPr>
          <w:lang w:eastAsia="ko-KR"/>
        </w:rPr>
        <w:t>y</w:t>
      </w:r>
      <w:r w:rsidR="00284FEF">
        <w:rPr>
          <w:lang w:eastAsia="ko-KR"/>
        </w:rPr>
        <w:t xml:space="preserve"> of</w:t>
      </w:r>
      <w:r w:rsidRPr="000F23C9">
        <w:rPr>
          <w:lang w:eastAsia="ko-KR"/>
        </w:rPr>
        <w:t xml:space="preserve"> an integrated and sustainable land transport system. </w:t>
      </w:r>
    </w:p>
    <w:p w14:paraId="4E171953" w14:textId="1771024A" w:rsidR="005E0DCA" w:rsidRPr="000F23C9" w:rsidRDefault="00284FEF" w:rsidP="004C2507">
      <w:pPr>
        <w:pStyle w:val="BodyText"/>
        <w:rPr>
          <w:lang w:eastAsia="ko-KR"/>
        </w:rPr>
      </w:pPr>
      <w:r>
        <w:rPr>
          <w:lang w:eastAsia="ko-KR"/>
        </w:rPr>
        <w:t>T</w:t>
      </w:r>
      <w:r w:rsidR="005E0DCA" w:rsidRPr="000F23C9">
        <w:rPr>
          <w:lang w:eastAsia="ko-KR"/>
        </w:rPr>
        <w:t xml:space="preserve">hese measures, heavily supported by TSSP2, aim to empower the government in the management of public road infrastructure, limit PNG’s reliance on donor funding and work to remove the discretionary approach to road maintenance funding appropriation. </w:t>
      </w:r>
      <w:r w:rsidR="00737923" w:rsidRPr="000F23C9">
        <w:rPr>
          <w:lang w:eastAsia="ko-KR"/>
        </w:rPr>
        <w:t xml:space="preserve">All these measures are deemed consistent with </w:t>
      </w:r>
      <w:r w:rsidR="00737923">
        <w:rPr>
          <w:lang w:eastAsia="ko-KR"/>
        </w:rPr>
        <w:t>GoPNG</w:t>
      </w:r>
      <w:r w:rsidR="00737923" w:rsidRPr="000F23C9">
        <w:rPr>
          <w:lang w:eastAsia="ko-KR"/>
        </w:rPr>
        <w:t>’s “Maintenance First” Policy as defined in the National Road Network Strategy. The measures also support the broader reform objectives set out in the Medium-Term Transport Program 2 (MTTP2).</w:t>
      </w:r>
    </w:p>
    <w:p w14:paraId="7B611A95" w14:textId="0C0A4D4F" w:rsidR="00B50148" w:rsidRDefault="005E0DCA" w:rsidP="004C2507">
      <w:pPr>
        <w:pStyle w:val="BodyText"/>
      </w:pPr>
      <w:r w:rsidRPr="00C760F5">
        <w:rPr>
          <w:b/>
          <w:bCs/>
          <w:lang w:eastAsia="ko-KR"/>
        </w:rPr>
        <w:t xml:space="preserve">TSSP2 is supporting the delivery of innovative </w:t>
      </w:r>
      <w:r w:rsidR="006759BB" w:rsidRPr="00C760F5">
        <w:rPr>
          <w:b/>
          <w:bCs/>
          <w:lang w:eastAsia="ko-KR"/>
        </w:rPr>
        <w:t>c</w:t>
      </w:r>
      <w:r w:rsidRPr="00C760F5">
        <w:rPr>
          <w:b/>
          <w:bCs/>
          <w:lang w:eastAsia="ko-KR"/>
        </w:rPr>
        <w:t xml:space="preserve">apacity </w:t>
      </w:r>
      <w:r w:rsidR="00540777" w:rsidRPr="00C760F5">
        <w:rPr>
          <w:b/>
          <w:bCs/>
          <w:lang w:eastAsia="ko-KR"/>
        </w:rPr>
        <w:t xml:space="preserve">strengthening </w:t>
      </w:r>
      <w:r w:rsidRPr="00C760F5">
        <w:rPr>
          <w:b/>
          <w:bCs/>
          <w:lang w:eastAsia="ko-KR"/>
        </w:rPr>
        <w:t>approaches for agency counterparts</w:t>
      </w:r>
      <w:r w:rsidR="00CD3ED4">
        <w:rPr>
          <w:b/>
          <w:bCs/>
          <w:lang w:eastAsia="ko-KR"/>
        </w:rPr>
        <w:t>.</w:t>
      </w:r>
      <w:r w:rsidR="00D7050C">
        <w:rPr>
          <w:b/>
          <w:bCs/>
          <w:lang w:eastAsia="ko-KR"/>
        </w:rPr>
        <w:t xml:space="preserve"> </w:t>
      </w:r>
      <w:r w:rsidRPr="000F23C9">
        <w:rPr>
          <w:lang w:eastAsia="ko-KR"/>
        </w:rPr>
        <w:t xml:space="preserve">Despite the challenging operating context, TSSP2 has also achieved progress in the implementation of improved organisational and financial systems and processes that should leverage efficiency gains proposed under the new Capacity Development Framework 2020-2022 (CDF). These measures are designed to refocus the program on effective development principles in building engagement practices for sustainable and government-owned </w:t>
      </w:r>
      <w:r w:rsidRPr="000F23C9">
        <w:rPr>
          <w:lang w:eastAsia="ko-KR"/>
        </w:rPr>
        <w:lastRenderedPageBreak/>
        <w:t>capacity outcomes.</w:t>
      </w:r>
      <w:r w:rsidRPr="000F23C9">
        <w:t xml:space="preserve"> </w:t>
      </w:r>
      <w:r w:rsidR="00EB65AA">
        <w:t>I</w:t>
      </w:r>
      <w:r w:rsidR="00E94019">
        <w:t>n terms</w:t>
      </w:r>
      <w:r w:rsidR="00EB65AA">
        <w:t xml:space="preserve"> of transport sector coordination TSSP2</w:t>
      </w:r>
      <w:r w:rsidR="00D7050C">
        <w:t xml:space="preserve"> </w:t>
      </w:r>
      <w:r w:rsidR="00B50148" w:rsidRPr="00347379">
        <w:t>continues to provide support to TSCMIC</w:t>
      </w:r>
      <w:r w:rsidR="00EB65AA">
        <w:t xml:space="preserve"> by </w:t>
      </w:r>
      <w:r w:rsidR="00B50148" w:rsidRPr="00347379">
        <w:t>assist</w:t>
      </w:r>
      <w:r w:rsidR="00C760F5">
        <w:t>ing</w:t>
      </w:r>
      <w:r w:rsidR="00B50148" w:rsidRPr="00347379">
        <w:t xml:space="preserve"> DoT to facilitate the six bi-monthly TSCMIC meetings and continue to provide Secretariat support services to TSCMIC</w:t>
      </w:r>
      <w:r w:rsidR="00E079CF">
        <w:t xml:space="preserve">. </w:t>
      </w:r>
      <w:r w:rsidR="00B50148" w:rsidRPr="00347379">
        <w:t>TSCMIC</w:t>
      </w:r>
      <w:r w:rsidR="00B50148" w:rsidRPr="000F23C9">
        <w:t xml:space="preserve"> is well placed and essential</w:t>
      </w:r>
      <w:r w:rsidR="00EE7209">
        <w:t xml:space="preserve"> </w:t>
      </w:r>
      <w:r w:rsidR="00B50148" w:rsidRPr="000F23C9">
        <w:t xml:space="preserve">to </w:t>
      </w:r>
      <w:r w:rsidR="00D91576">
        <w:t xml:space="preserve">enhance donor coordination and </w:t>
      </w:r>
      <w:r w:rsidR="00B50148" w:rsidRPr="000F23C9">
        <w:t xml:space="preserve">avoid </w:t>
      </w:r>
      <w:r w:rsidR="00D91576">
        <w:t xml:space="preserve">donor </w:t>
      </w:r>
      <w:r w:rsidR="00B50148" w:rsidRPr="000F23C9">
        <w:t>duplication</w:t>
      </w:r>
      <w:r w:rsidR="00B50148">
        <w:t xml:space="preserve"> </w:t>
      </w:r>
      <w:r w:rsidR="00E94019">
        <w:t>and donor fragmentation</w:t>
      </w:r>
      <w:r w:rsidR="006C36EE">
        <w:t>,</w:t>
      </w:r>
      <w:r w:rsidR="009B60ED">
        <w:t xml:space="preserve"> however</w:t>
      </w:r>
      <w:r w:rsidR="00F26E17">
        <w:t>,</w:t>
      </w:r>
      <w:r w:rsidR="009B60ED">
        <w:t xml:space="preserve"> more needs to be done to make it more effective and impactful (see Chapter </w:t>
      </w:r>
      <w:r w:rsidR="009B568A">
        <w:t>2, KEQ 1)</w:t>
      </w:r>
      <w:r w:rsidR="00B50148" w:rsidRPr="000F23C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30B43" w:rsidRPr="00530B43" w14:paraId="305F5488" w14:textId="77777777" w:rsidTr="009A2200">
        <w:tc>
          <w:tcPr>
            <w:tcW w:w="9628" w:type="dxa"/>
            <w:shd w:val="clear" w:color="auto" w:fill="EFF3F7"/>
          </w:tcPr>
          <w:p w14:paraId="7E8ADD79" w14:textId="2C4D56B8" w:rsidR="00530B43" w:rsidRPr="00530B43" w:rsidRDefault="00530B43" w:rsidP="004C2507">
            <w:pPr>
              <w:pStyle w:val="BodyText"/>
              <w:rPr>
                <w:rFonts w:ascii="Franklin Gothic Demi" w:hAnsi="Franklin Gothic Demi"/>
                <w:color w:val="4C7B9E" w:themeColor="accent2"/>
                <w:szCs w:val="20"/>
              </w:rPr>
            </w:pPr>
            <w:r w:rsidRPr="009A2200">
              <w:rPr>
                <w:rFonts w:ascii="Franklin Gothic Demi" w:hAnsi="Franklin Gothic Demi"/>
                <w:color w:val="395B76" w:themeColor="accent2" w:themeShade="BF"/>
                <w:szCs w:val="20"/>
              </w:rPr>
              <w:t>Some other examples of TSSP2 support to GoPNG transport agencies include:</w:t>
            </w:r>
          </w:p>
        </w:tc>
      </w:tr>
      <w:tr w:rsidR="00530B43" w14:paraId="6C65E9F4" w14:textId="77777777" w:rsidTr="00530B43">
        <w:tc>
          <w:tcPr>
            <w:tcW w:w="9628" w:type="dxa"/>
            <w:shd w:val="clear" w:color="auto" w:fill="EFF3F7"/>
          </w:tcPr>
          <w:p w14:paraId="05868904" w14:textId="6108ED08" w:rsidR="00530B43" w:rsidRPr="00530B43" w:rsidRDefault="00530B43" w:rsidP="00530B43">
            <w:pPr>
              <w:pStyle w:val="ListBullet"/>
              <w:spacing w:before="60" w:after="60"/>
              <w:ind w:left="357" w:hanging="357"/>
              <w:contextualSpacing w:val="0"/>
              <w:rPr>
                <w:spacing w:val="-2"/>
              </w:rPr>
            </w:pPr>
            <w:r w:rsidRPr="00530B43">
              <w:rPr>
                <w:spacing w:val="-2"/>
              </w:rPr>
              <w:t>TSSP2 provided support to DoT and Do</w:t>
            </w:r>
            <w:r w:rsidR="00AC0EEB">
              <w:rPr>
                <w:spacing w:val="-2"/>
              </w:rPr>
              <w:t>W</w:t>
            </w:r>
            <w:r w:rsidRPr="00530B43">
              <w:rPr>
                <w:spacing w:val="-2"/>
              </w:rPr>
              <w:t xml:space="preserve"> in developing and embedding organisational and corporate plans to ensure ownership of governance systems and processes. Specifically, TSSP</w:t>
            </w:r>
            <w:r w:rsidR="006A12C6">
              <w:rPr>
                <w:spacing w:val="-2"/>
              </w:rPr>
              <w:t>2</w:t>
            </w:r>
            <w:r w:rsidRPr="00530B43">
              <w:rPr>
                <w:spacing w:val="-2"/>
              </w:rPr>
              <w:t xml:space="preserve"> supported the development of the DOW Corporate Plan 2020-2024 with the Secretary of D</w:t>
            </w:r>
            <w:r w:rsidR="006A12C6">
              <w:rPr>
                <w:spacing w:val="-2"/>
              </w:rPr>
              <w:t>o</w:t>
            </w:r>
            <w:r w:rsidRPr="00530B43">
              <w:rPr>
                <w:spacing w:val="-2"/>
              </w:rPr>
              <w:t>W, which is now being progressively implemented by D</w:t>
            </w:r>
            <w:r w:rsidR="006A12C6">
              <w:rPr>
                <w:spacing w:val="-2"/>
              </w:rPr>
              <w:t>o</w:t>
            </w:r>
            <w:r w:rsidRPr="00530B43">
              <w:rPr>
                <w:spacing w:val="-2"/>
              </w:rPr>
              <w:t>W. It sets out a new strategic direction for the department, in line with the institutional reforms.</w:t>
            </w:r>
          </w:p>
          <w:p w14:paraId="15430F76" w14:textId="30377B67" w:rsidR="00530B43" w:rsidRPr="00D0355C" w:rsidRDefault="00530B43" w:rsidP="00530B43">
            <w:pPr>
              <w:pStyle w:val="ListBullet"/>
              <w:spacing w:before="60" w:after="60"/>
              <w:ind w:left="357" w:hanging="357"/>
              <w:contextualSpacing w:val="0"/>
            </w:pPr>
            <w:r w:rsidRPr="00D0355C">
              <w:t>In line with the road sector institutional reforms, TSSP</w:t>
            </w:r>
            <w:r w:rsidR="006A12C6">
              <w:t>2</w:t>
            </w:r>
            <w:r w:rsidRPr="00D0355C">
              <w:t xml:space="preserve"> assisted the D</w:t>
            </w:r>
            <w:r w:rsidR="006A12C6">
              <w:t>o</w:t>
            </w:r>
            <w:r w:rsidRPr="00D0355C">
              <w:t>W Organi</w:t>
            </w:r>
            <w:r w:rsidR="00FE24C7">
              <w:t>s</w:t>
            </w:r>
            <w:r w:rsidRPr="00D0355C">
              <w:t>ational Review Team to restructure D</w:t>
            </w:r>
            <w:r w:rsidR="006A12C6">
              <w:t>o</w:t>
            </w:r>
            <w:r w:rsidRPr="00D0355C">
              <w:t xml:space="preserve">W into the Department of Works and Highways, as the </w:t>
            </w:r>
            <w:r w:rsidR="009356DE">
              <w:t>lead</w:t>
            </w:r>
            <w:r w:rsidRPr="00D0355C">
              <w:t xml:space="preserve"> authority for the National Road Network. The new restructure was approved by DPM on 10 December 2021. This is a strong example of organi</w:t>
            </w:r>
            <w:r w:rsidR="006C446E">
              <w:t>s</w:t>
            </w:r>
            <w:r w:rsidRPr="00D0355C">
              <w:t>ational and staff capacity building as the department for the first time is appropriate</w:t>
            </w:r>
            <w:r>
              <w:t>ly</w:t>
            </w:r>
            <w:r w:rsidRPr="00D0355C">
              <w:t xml:space="preserve"> configured to deliver its policy and legal mandate, while at the same time staff have been trained in organisational analysis, workload analysis, developing job descriptions and conducting workforce planning. </w:t>
            </w:r>
          </w:p>
          <w:p w14:paraId="48B4CD66" w14:textId="12408B68" w:rsidR="00530B43" w:rsidRPr="00D0355C" w:rsidRDefault="00530B43" w:rsidP="00530B43">
            <w:pPr>
              <w:pStyle w:val="ListBullet"/>
              <w:spacing w:before="60" w:after="60"/>
              <w:ind w:left="357" w:hanging="357"/>
              <w:contextualSpacing w:val="0"/>
            </w:pPr>
            <w:r w:rsidRPr="00D0355C">
              <w:t>TSSP</w:t>
            </w:r>
            <w:r w:rsidR="003A4879">
              <w:t>2</w:t>
            </w:r>
            <w:r w:rsidRPr="00D0355C">
              <w:t xml:space="preserve"> supported the establishment of the multi-sector Road </w:t>
            </w:r>
            <w:r>
              <w:t>Advisory</w:t>
            </w:r>
            <w:r w:rsidRPr="00D0355C">
              <w:t xml:space="preserve"> Committee to advise the Minister of Works and to ensure a Whole-of-Government approach to road classification and related matters. </w:t>
            </w:r>
          </w:p>
          <w:p w14:paraId="5B38B059" w14:textId="1DED8732" w:rsidR="00530B43" w:rsidRPr="00D0355C" w:rsidRDefault="00530B43" w:rsidP="00530B43">
            <w:pPr>
              <w:pStyle w:val="ListBullet"/>
              <w:spacing w:before="60" w:after="60"/>
              <w:ind w:left="357" w:hanging="357"/>
              <w:contextualSpacing w:val="0"/>
            </w:pPr>
            <w:r w:rsidRPr="00D0355C">
              <w:t>TSSP</w:t>
            </w:r>
            <w:r w:rsidR="003A4879">
              <w:t>2</w:t>
            </w:r>
            <w:r w:rsidRPr="00D0355C">
              <w:t xml:space="preserve"> contributed to the development of the National Road Management Performance Agreement</w:t>
            </w:r>
            <w:r w:rsidR="00D70817">
              <w:t>,</w:t>
            </w:r>
            <w:r w:rsidRPr="00D0355C">
              <w:t xml:space="preserve"> which was cleared by </w:t>
            </w:r>
            <w:r w:rsidR="00F26E17">
              <w:t xml:space="preserve">the </w:t>
            </w:r>
            <w:r w:rsidRPr="00D0355C">
              <w:t xml:space="preserve">State Solicitor to transfer </w:t>
            </w:r>
            <w:r w:rsidR="006C446E">
              <w:t xml:space="preserve">some </w:t>
            </w:r>
            <w:r w:rsidRPr="00D0355C">
              <w:t xml:space="preserve">road management functions to sub-national authorities and ensure accountability for sub-national roads funding. </w:t>
            </w:r>
          </w:p>
          <w:p w14:paraId="28D22E8F" w14:textId="5D399A27" w:rsidR="00530B43" w:rsidRDefault="00530B43" w:rsidP="00530B43">
            <w:pPr>
              <w:pStyle w:val="ListBullet"/>
              <w:spacing w:before="60" w:after="60"/>
              <w:ind w:left="357" w:hanging="357"/>
              <w:contextualSpacing w:val="0"/>
            </w:pPr>
            <w:r w:rsidRPr="00D0355C">
              <w:t>TSSP</w:t>
            </w:r>
            <w:r w:rsidR="003A4879">
              <w:t>2</w:t>
            </w:r>
            <w:r w:rsidRPr="00D0355C">
              <w:t xml:space="preserve"> provided training in how to classify roads under the new road </w:t>
            </w:r>
            <w:r w:rsidR="00DC5DB7">
              <w:t>legislation</w:t>
            </w:r>
            <w:r w:rsidR="00DC5DB7" w:rsidRPr="00D0355C">
              <w:t xml:space="preserve"> </w:t>
            </w:r>
            <w:r w:rsidRPr="00D0355C">
              <w:t>and now supporting the classification of all roads under the new Act as National, Provincial or District roads to roll out the Road Management Performance Agreement.</w:t>
            </w:r>
          </w:p>
          <w:p w14:paraId="543ABCB2" w14:textId="50F4117B" w:rsidR="00530B43" w:rsidRDefault="00530B43" w:rsidP="003E1297">
            <w:pPr>
              <w:pStyle w:val="ListBullet"/>
              <w:spacing w:before="60" w:after="60"/>
              <w:ind w:left="357" w:hanging="357"/>
              <w:contextualSpacing w:val="0"/>
            </w:pPr>
            <w:r w:rsidRPr="00FE3308">
              <w:t>TSSP2 assisted with the implementation of the Connect PNG Economic Road Transport Infrastructure Development Program 2020-2040 through the development of governance arrangements, legislation, corporate structures, and key NEC policy submissions.</w:t>
            </w:r>
            <w:r w:rsidR="00D7050C">
              <w:t xml:space="preserve"> </w:t>
            </w:r>
          </w:p>
        </w:tc>
      </w:tr>
    </w:tbl>
    <w:p w14:paraId="338F90B9" w14:textId="77777777" w:rsidR="00530B43" w:rsidRPr="000F23C9" w:rsidRDefault="00530B43" w:rsidP="004C2507">
      <w:pPr>
        <w:pStyle w:val="BodyText"/>
      </w:pPr>
    </w:p>
    <w:p w14:paraId="624AA714" w14:textId="77777777" w:rsidR="005E0DCA" w:rsidRPr="00AC0EEB" w:rsidRDefault="005E0DCA" w:rsidP="005E0DCA">
      <w:pPr>
        <w:spacing w:before="120" w:after="120" w:line="245" w:lineRule="auto"/>
        <w:rPr>
          <w:rFonts w:ascii="Franklin Gothic Book" w:eastAsia="Batang" w:hAnsi="Franklin Gothic Book" w:cs="Arial"/>
          <w:b/>
          <w:color w:val="4C7B9E" w:themeColor="accent2"/>
          <w:lang w:eastAsia="ko-KR"/>
        </w:rPr>
      </w:pPr>
      <w:r w:rsidRPr="00AC0EEB">
        <w:rPr>
          <w:rFonts w:ascii="Franklin Gothic Book" w:eastAsia="Batang" w:hAnsi="Franklin Gothic Book" w:cs="Arial"/>
          <w:b/>
          <w:color w:val="4C7B9E" w:themeColor="accent2"/>
          <w:lang w:eastAsia="ko-KR"/>
        </w:rPr>
        <w:t>EOPO 2: GoPNG delivers a planned and prioritised road maintenance program</w:t>
      </w:r>
    </w:p>
    <w:p w14:paraId="64F8890C" w14:textId="07F0454B" w:rsidR="005E0DCA" w:rsidRPr="00442668" w:rsidRDefault="005E0DCA" w:rsidP="004C2507">
      <w:pPr>
        <w:pStyle w:val="BodyText"/>
        <w:rPr>
          <w:lang w:eastAsia="ko-KR"/>
        </w:rPr>
      </w:pPr>
      <w:bookmarkStart w:id="44" w:name="_Hlk95236701"/>
      <w:r w:rsidRPr="004C2507">
        <w:rPr>
          <w:b/>
          <w:bCs/>
          <w:lang w:eastAsia="ko-KR"/>
        </w:rPr>
        <w:t xml:space="preserve">TSSP2 continues to </w:t>
      </w:r>
      <w:r w:rsidR="00AC58A6" w:rsidRPr="004C2507">
        <w:rPr>
          <w:b/>
          <w:bCs/>
          <w:lang w:eastAsia="ko-KR"/>
        </w:rPr>
        <w:t xml:space="preserve">support road maintenance works </w:t>
      </w:r>
      <w:r w:rsidR="00851D58" w:rsidRPr="004C2507">
        <w:rPr>
          <w:b/>
          <w:bCs/>
          <w:lang w:eastAsia="ko-KR"/>
        </w:rPr>
        <w:t xml:space="preserve">in PNG </w:t>
      </w:r>
      <w:r w:rsidR="00910334" w:rsidRPr="004C2507">
        <w:rPr>
          <w:b/>
          <w:bCs/>
          <w:lang w:eastAsia="ko-KR"/>
        </w:rPr>
        <w:t xml:space="preserve">with the latest </w:t>
      </w:r>
      <w:r w:rsidR="002C3EFD" w:rsidRPr="004C2507">
        <w:rPr>
          <w:b/>
          <w:bCs/>
          <w:lang w:eastAsia="ko-KR"/>
        </w:rPr>
        <w:t xml:space="preserve">results showing </w:t>
      </w:r>
      <w:r w:rsidR="004012F9" w:rsidRPr="004C2507">
        <w:rPr>
          <w:b/>
          <w:bCs/>
          <w:lang w:eastAsia="ko-KR"/>
        </w:rPr>
        <w:t>1613</w:t>
      </w:r>
      <w:r w:rsidR="00DC5A49" w:rsidRPr="004C2507">
        <w:rPr>
          <w:b/>
          <w:bCs/>
          <w:lang w:eastAsia="ko-KR"/>
        </w:rPr>
        <w:t>km</w:t>
      </w:r>
      <w:r w:rsidR="002B1E27" w:rsidRPr="004C2507">
        <w:rPr>
          <w:b/>
          <w:bCs/>
          <w:lang w:eastAsia="ko-KR"/>
        </w:rPr>
        <w:t xml:space="preserve"> of</w:t>
      </w:r>
      <w:r w:rsidR="00D70817">
        <w:rPr>
          <w:b/>
          <w:bCs/>
          <w:lang w:eastAsia="ko-KR"/>
        </w:rPr>
        <w:t xml:space="preserve"> “priority” national</w:t>
      </w:r>
      <w:r w:rsidR="002B1E27" w:rsidRPr="004C2507">
        <w:rPr>
          <w:b/>
          <w:bCs/>
          <w:lang w:eastAsia="ko-KR"/>
        </w:rPr>
        <w:t xml:space="preserve"> roads maintained in eight provinces </w:t>
      </w:r>
      <w:r w:rsidR="00442668" w:rsidRPr="004C2507">
        <w:rPr>
          <w:b/>
          <w:bCs/>
          <w:lang w:eastAsia="ko-KR"/>
        </w:rPr>
        <w:t>in 2020.</w:t>
      </w:r>
      <w:r>
        <w:rPr>
          <w:lang w:eastAsia="ko-KR"/>
        </w:rPr>
        <w:t xml:space="preserve"> </w:t>
      </w:r>
      <w:r w:rsidR="001B1C7C">
        <w:rPr>
          <w:lang w:eastAsia="ko-KR"/>
        </w:rPr>
        <w:t>P</w:t>
      </w:r>
      <w:r w:rsidR="001378A0" w:rsidRPr="001378A0">
        <w:rPr>
          <w:lang w:eastAsia="ko-KR"/>
        </w:rPr>
        <w:t xml:space="preserve">rogram reporting indicates that </w:t>
      </w:r>
      <w:r w:rsidR="002C0EE1" w:rsidRPr="00517E1C">
        <w:rPr>
          <w:lang w:eastAsia="ko-KR"/>
        </w:rPr>
        <w:t>TSSP</w:t>
      </w:r>
      <w:r w:rsidR="00D030E1">
        <w:rPr>
          <w:lang w:eastAsia="ko-KR"/>
        </w:rPr>
        <w:t>2</w:t>
      </w:r>
      <w:r w:rsidR="00517E1C" w:rsidRPr="00517E1C">
        <w:rPr>
          <w:lang w:eastAsia="ko-KR"/>
        </w:rPr>
        <w:t xml:space="preserve"> s</w:t>
      </w:r>
      <w:r w:rsidRPr="00517E1C">
        <w:rPr>
          <w:lang w:eastAsia="ko-KR"/>
        </w:rPr>
        <w:t xml:space="preserve">upport </w:t>
      </w:r>
      <w:r w:rsidR="00E7392A">
        <w:rPr>
          <w:lang w:eastAsia="ko-KR"/>
        </w:rPr>
        <w:t>to the</w:t>
      </w:r>
      <w:r w:rsidRPr="000F23C9" w:rsidDel="00C35240">
        <w:rPr>
          <w:lang w:eastAsia="ko-KR"/>
        </w:rPr>
        <w:t xml:space="preserve"> </w:t>
      </w:r>
      <w:r w:rsidRPr="000F23C9">
        <w:rPr>
          <w:lang w:eastAsia="ko-KR"/>
        </w:rPr>
        <w:t xml:space="preserve">planning, delivery, monitoring and reporting of the annual road maintenance program, including the setting of maintenance targets that align with the Road Asset Management System (RAMS) is vital to </w:t>
      </w:r>
      <w:r w:rsidR="00FE1FC0">
        <w:rPr>
          <w:lang w:eastAsia="ko-KR"/>
        </w:rPr>
        <w:t>supporting</w:t>
      </w:r>
      <w:r w:rsidR="00FE1FC0" w:rsidRPr="000F23C9">
        <w:rPr>
          <w:lang w:eastAsia="ko-KR"/>
        </w:rPr>
        <w:t xml:space="preserve"> </w:t>
      </w:r>
      <w:r w:rsidRPr="000F23C9">
        <w:rPr>
          <w:lang w:eastAsia="ko-KR"/>
        </w:rPr>
        <w:t>a well-planned and prioritised road maintenance program</w:t>
      </w:r>
      <w:bookmarkEnd w:id="44"/>
      <w:r w:rsidRPr="000F23C9">
        <w:rPr>
          <w:lang w:eastAsia="ko-KR"/>
        </w:rPr>
        <w:t>.</w:t>
      </w:r>
    </w:p>
    <w:p w14:paraId="2DAE88F2" w14:textId="247A9950" w:rsidR="005E0DCA" w:rsidRPr="000F23C9" w:rsidRDefault="005E0DCA" w:rsidP="00AB72A6">
      <w:pPr>
        <w:pStyle w:val="Caption"/>
      </w:pPr>
      <w:r w:rsidRPr="000F23C9">
        <w:t xml:space="preserve">Table </w:t>
      </w:r>
      <w:fldSimple w:instr=" SEQ Table \* ARABIC ">
        <w:r w:rsidR="00604BD9">
          <w:rPr>
            <w:noProof/>
          </w:rPr>
          <w:t>2</w:t>
        </w:r>
      </w:fldSimple>
      <w:r w:rsidR="00D030E1">
        <w:t>:</w:t>
      </w:r>
      <w:r w:rsidR="00D7050C">
        <w:t xml:space="preserve"> </w:t>
      </w:r>
      <w:r w:rsidRPr="000F23C9">
        <w:t>Length of Papua New Guinea priority roads maintained</w:t>
      </w:r>
    </w:p>
    <w:tbl>
      <w:tblPr>
        <w:tblStyle w:val="ListTable2"/>
        <w:tblW w:w="9639" w:type="dxa"/>
        <w:tblLayout w:type="fixed"/>
        <w:tblLook w:val="04A0" w:firstRow="1" w:lastRow="0" w:firstColumn="1" w:lastColumn="0" w:noHBand="0" w:noVBand="1"/>
      </w:tblPr>
      <w:tblGrid>
        <w:gridCol w:w="1134"/>
        <w:gridCol w:w="1701"/>
        <w:gridCol w:w="1701"/>
        <w:gridCol w:w="1701"/>
        <w:gridCol w:w="1701"/>
        <w:gridCol w:w="1701"/>
      </w:tblGrid>
      <w:tr w:rsidR="00AB72A6" w:rsidRPr="00AB72A6" w14:paraId="1B6F3044" w14:textId="77777777" w:rsidTr="00E2205C">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24" w:space="0" w:color="4C7B9E" w:themeColor="background2"/>
            </w:tcBorders>
            <w:vAlign w:val="center"/>
            <w:hideMark/>
          </w:tcPr>
          <w:p w14:paraId="1BC881DC" w14:textId="77777777" w:rsidR="005E0DCA" w:rsidRPr="00AB72A6" w:rsidRDefault="005E0DCA" w:rsidP="00E2205C">
            <w:pPr>
              <w:spacing w:before="40" w:after="40"/>
              <w:rPr>
                <w:rFonts w:ascii="Franklin Gothic Demi" w:eastAsia="Times New Roman" w:hAnsi="Franklin Gothic Demi" w:cs="Arial"/>
                <w:b w:val="0"/>
                <w:bCs w:val="0"/>
                <w:color w:val="003478" w:themeColor="accent1"/>
                <w:sz w:val="19"/>
                <w:szCs w:val="19"/>
                <w:lang w:eastAsia="en-AU"/>
              </w:rPr>
            </w:pPr>
            <w:r w:rsidRPr="00AB72A6">
              <w:rPr>
                <w:rFonts w:ascii="Franklin Gothic Demi" w:eastAsia="Times New Roman" w:hAnsi="Franklin Gothic Demi" w:cs="Arial"/>
                <w:b w:val="0"/>
                <w:bCs w:val="0"/>
                <w:color w:val="003478" w:themeColor="accent1"/>
                <w:sz w:val="19"/>
                <w:szCs w:val="19"/>
                <w:lang w:eastAsia="en-AU"/>
              </w:rPr>
              <w:t>Year</w:t>
            </w:r>
          </w:p>
        </w:tc>
        <w:tc>
          <w:tcPr>
            <w:tcW w:w="1701" w:type="dxa"/>
            <w:tcBorders>
              <w:top w:val="nil"/>
              <w:bottom w:val="single" w:sz="24" w:space="0" w:color="4C7B9E" w:themeColor="background2"/>
            </w:tcBorders>
            <w:hideMark/>
          </w:tcPr>
          <w:p w14:paraId="762A9582" w14:textId="46D40427" w:rsidR="005E0DCA" w:rsidRPr="00AB72A6" w:rsidRDefault="005E0DCA" w:rsidP="00E2205C">
            <w:pPr>
              <w:spacing w:before="40" w:after="4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accent1"/>
                <w:sz w:val="19"/>
                <w:szCs w:val="19"/>
                <w:lang w:eastAsia="en-AU"/>
              </w:rPr>
            </w:pPr>
            <w:r w:rsidRPr="00AB72A6">
              <w:rPr>
                <w:rFonts w:ascii="Franklin Gothic Demi" w:eastAsia="Times New Roman" w:hAnsi="Franklin Gothic Demi" w:cs="Arial"/>
                <w:b w:val="0"/>
                <w:bCs w:val="0"/>
                <w:color w:val="003478" w:themeColor="accent1"/>
                <w:sz w:val="19"/>
                <w:szCs w:val="19"/>
                <w:lang w:eastAsia="en-AU"/>
              </w:rPr>
              <w:t>Maintenance Expenditure</w:t>
            </w:r>
            <w:r w:rsidR="00114562">
              <w:rPr>
                <w:rFonts w:ascii="Franklin Gothic Demi" w:eastAsia="Times New Roman" w:hAnsi="Franklin Gothic Demi" w:cs="Arial"/>
                <w:b w:val="0"/>
                <w:bCs w:val="0"/>
                <w:color w:val="003478" w:themeColor="accent1"/>
                <w:sz w:val="19"/>
                <w:szCs w:val="19"/>
                <w:lang w:eastAsia="en-AU"/>
              </w:rPr>
              <w:t xml:space="preserve"> </w:t>
            </w:r>
            <w:r w:rsidR="00B91970" w:rsidRPr="00B91970">
              <w:rPr>
                <w:rFonts w:ascii="Franklin Gothic Demi" w:eastAsia="Times New Roman" w:hAnsi="Franklin Gothic Demi"/>
                <w:b w:val="0"/>
                <w:color w:val="003478" w:themeColor="accent1"/>
                <w:sz w:val="19"/>
                <w:szCs w:val="19"/>
                <w:lang w:eastAsia="en-AU"/>
              </w:rPr>
              <w:t>(</w:t>
            </w:r>
            <w:r w:rsidR="00114562" w:rsidRPr="00B91970">
              <w:rPr>
                <w:rFonts w:ascii="Franklin Gothic Demi" w:eastAsia="Times New Roman" w:hAnsi="Franklin Gothic Demi"/>
                <w:b w:val="0"/>
                <w:color w:val="003478" w:themeColor="accent1"/>
                <w:sz w:val="19"/>
                <w:szCs w:val="19"/>
                <w:lang w:eastAsia="en-AU"/>
              </w:rPr>
              <w:t>AUD</w:t>
            </w:r>
            <w:r w:rsidR="00B91970" w:rsidRPr="00B91970">
              <w:rPr>
                <w:rFonts w:ascii="Franklin Gothic Demi" w:eastAsia="Times New Roman" w:hAnsi="Franklin Gothic Demi"/>
                <w:b w:val="0"/>
                <w:color w:val="003478" w:themeColor="accent1"/>
                <w:sz w:val="19"/>
                <w:szCs w:val="19"/>
                <w:lang w:eastAsia="en-AU"/>
              </w:rPr>
              <w:t xml:space="preserve">, </w:t>
            </w:r>
            <w:r w:rsidRPr="00B91970">
              <w:rPr>
                <w:rFonts w:ascii="Franklin Gothic Demi" w:eastAsia="Times New Roman" w:hAnsi="Franklin Gothic Demi" w:cs="Arial"/>
                <w:b w:val="0"/>
                <w:color w:val="003478" w:themeColor="accent1"/>
                <w:sz w:val="19"/>
                <w:szCs w:val="19"/>
                <w:lang w:eastAsia="en-AU"/>
              </w:rPr>
              <w:t>000's)</w:t>
            </w:r>
          </w:p>
        </w:tc>
        <w:tc>
          <w:tcPr>
            <w:tcW w:w="1701" w:type="dxa"/>
            <w:tcBorders>
              <w:top w:val="nil"/>
              <w:bottom w:val="single" w:sz="24" w:space="0" w:color="4C7B9E" w:themeColor="background2"/>
            </w:tcBorders>
            <w:hideMark/>
          </w:tcPr>
          <w:p w14:paraId="5AB68C18" w14:textId="77777777" w:rsidR="005E0DCA" w:rsidRPr="00AB72A6" w:rsidRDefault="005E0DCA" w:rsidP="00E2205C">
            <w:pPr>
              <w:spacing w:before="40" w:after="4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accent1"/>
                <w:sz w:val="19"/>
                <w:szCs w:val="19"/>
                <w:lang w:eastAsia="en-AU"/>
              </w:rPr>
            </w:pPr>
            <w:r w:rsidRPr="00AB72A6">
              <w:rPr>
                <w:rFonts w:ascii="Franklin Gothic Demi" w:eastAsia="Times New Roman" w:hAnsi="Franklin Gothic Demi" w:cs="Arial"/>
                <w:b w:val="0"/>
                <w:bCs w:val="0"/>
                <w:color w:val="003478" w:themeColor="accent1"/>
                <w:sz w:val="19"/>
                <w:szCs w:val="19"/>
                <w:lang w:eastAsia="en-AU"/>
              </w:rPr>
              <w:t>Target Road Maintained (km)</w:t>
            </w:r>
          </w:p>
        </w:tc>
        <w:tc>
          <w:tcPr>
            <w:tcW w:w="1701" w:type="dxa"/>
            <w:tcBorders>
              <w:top w:val="nil"/>
              <w:bottom w:val="single" w:sz="24" w:space="0" w:color="4C7B9E" w:themeColor="background2"/>
            </w:tcBorders>
            <w:hideMark/>
          </w:tcPr>
          <w:p w14:paraId="282955E7" w14:textId="77777777" w:rsidR="005E0DCA" w:rsidRPr="00AB72A6" w:rsidRDefault="005E0DCA" w:rsidP="00E2205C">
            <w:pPr>
              <w:spacing w:before="40" w:after="4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accent1"/>
                <w:sz w:val="19"/>
                <w:szCs w:val="19"/>
                <w:lang w:eastAsia="en-AU"/>
              </w:rPr>
            </w:pPr>
            <w:r w:rsidRPr="00AB72A6">
              <w:rPr>
                <w:rFonts w:ascii="Franklin Gothic Demi" w:eastAsia="Times New Roman" w:hAnsi="Franklin Gothic Demi" w:cs="Arial"/>
                <w:b w:val="0"/>
                <w:bCs w:val="0"/>
                <w:color w:val="003478" w:themeColor="accent1"/>
                <w:sz w:val="19"/>
                <w:szCs w:val="19"/>
                <w:lang w:eastAsia="en-AU"/>
              </w:rPr>
              <w:t>Road Maintained (km)</w:t>
            </w:r>
          </w:p>
        </w:tc>
        <w:tc>
          <w:tcPr>
            <w:tcW w:w="1701" w:type="dxa"/>
            <w:tcBorders>
              <w:top w:val="nil"/>
              <w:bottom w:val="single" w:sz="24" w:space="0" w:color="4C7B9E" w:themeColor="background2"/>
            </w:tcBorders>
            <w:hideMark/>
          </w:tcPr>
          <w:p w14:paraId="54D148F2" w14:textId="77777777" w:rsidR="005E0DCA" w:rsidRPr="00AB72A6" w:rsidRDefault="005E0DCA" w:rsidP="00E2205C">
            <w:pPr>
              <w:spacing w:before="40" w:after="4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accent1"/>
                <w:sz w:val="19"/>
                <w:szCs w:val="19"/>
                <w:lang w:eastAsia="en-AU"/>
              </w:rPr>
            </w:pPr>
            <w:r w:rsidRPr="00AB72A6">
              <w:rPr>
                <w:rFonts w:ascii="Franklin Gothic Demi" w:eastAsia="Times New Roman" w:hAnsi="Franklin Gothic Demi" w:cs="Arial"/>
                <w:b w:val="0"/>
                <w:bCs w:val="0"/>
                <w:color w:val="003478" w:themeColor="accent1"/>
                <w:sz w:val="19"/>
                <w:szCs w:val="19"/>
                <w:lang w:eastAsia="en-AU"/>
              </w:rPr>
              <w:t>Provinces</w:t>
            </w:r>
          </w:p>
        </w:tc>
        <w:tc>
          <w:tcPr>
            <w:tcW w:w="1701" w:type="dxa"/>
            <w:tcBorders>
              <w:top w:val="nil"/>
              <w:bottom w:val="single" w:sz="24" w:space="0" w:color="4C7B9E" w:themeColor="background2"/>
            </w:tcBorders>
            <w:hideMark/>
          </w:tcPr>
          <w:p w14:paraId="7BE8576F" w14:textId="7BB0A73A" w:rsidR="005E0DCA" w:rsidRPr="00AB72A6" w:rsidRDefault="005E0DCA" w:rsidP="00E2205C">
            <w:pPr>
              <w:spacing w:before="40" w:after="40"/>
              <w:jc w:val="center"/>
              <w:cnfStyle w:val="100000000000" w:firstRow="1" w:lastRow="0" w:firstColumn="0" w:lastColumn="0" w:oddVBand="0" w:evenVBand="0" w:oddHBand="0" w:evenHBand="0" w:firstRowFirstColumn="0" w:firstRowLastColumn="0" w:lastRowFirstColumn="0" w:lastRowLastColumn="0"/>
              <w:rPr>
                <w:rFonts w:ascii="Franklin Gothic Demi" w:eastAsia="Times New Roman" w:hAnsi="Franklin Gothic Demi" w:cs="Arial"/>
                <w:b w:val="0"/>
                <w:bCs w:val="0"/>
                <w:color w:val="003478" w:themeColor="accent1"/>
                <w:sz w:val="19"/>
                <w:szCs w:val="19"/>
                <w:lang w:eastAsia="en-AU"/>
              </w:rPr>
            </w:pPr>
            <w:r w:rsidRPr="00AB72A6">
              <w:rPr>
                <w:rFonts w:ascii="Franklin Gothic Demi" w:eastAsia="Times New Roman" w:hAnsi="Franklin Gothic Demi" w:cs="Arial"/>
                <w:b w:val="0"/>
                <w:bCs w:val="0"/>
                <w:color w:val="003478" w:themeColor="accent1"/>
                <w:sz w:val="19"/>
                <w:szCs w:val="19"/>
                <w:lang w:eastAsia="en-AU"/>
              </w:rPr>
              <w:t>Efficiency</w:t>
            </w:r>
            <w:r w:rsidR="00E2205C">
              <w:rPr>
                <w:rFonts w:ascii="Franklin Gothic Demi" w:eastAsia="Times New Roman" w:hAnsi="Franklin Gothic Demi" w:cs="Arial"/>
                <w:b w:val="0"/>
                <w:bCs w:val="0"/>
                <w:color w:val="003478" w:themeColor="accent1"/>
                <w:sz w:val="19"/>
                <w:szCs w:val="19"/>
                <w:lang w:eastAsia="en-AU"/>
              </w:rPr>
              <w:t xml:space="preserve"> </w:t>
            </w:r>
            <w:r w:rsidR="00F36CA3">
              <w:rPr>
                <w:rFonts w:ascii="Franklin Gothic Demi" w:eastAsia="Times New Roman" w:hAnsi="Franklin Gothic Demi" w:cs="Arial"/>
                <w:b w:val="0"/>
                <w:bCs w:val="0"/>
                <w:color w:val="003478" w:themeColor="accent1"/>
                <w:sz w:val="19"/>
                <w:szCs w:val="19"/>
                <w:lang w:eastAsia="en-AU"/>
              </w:rPr>
              <w:t xml:space="preserve"> </w:t>
            </w:r>
            <w:r w:rsidR="00E2205C">
              <w:rPr>
                <w:rFonts w:ascii="Franklin Gothic Demi" w:eastAsia="Times New Roman" w:hAnsi="Franklin Gothic Demi" w:cs="Arial"/>
                <w:b w:val="0"/>
                <w:bCs w:val="0"/>
                <w:color w:val="003478" w:themeColor="accent1"/>
                <w:sz w:val="19"/>
                <w:szCs w:val="19"/>
                <w:lang w:eastAsia="en-AU"/>
              </w:rPr>
              <w:t xml:space="preserve">       </w:t>
            </w:r>
            <w:r w:rsidRPr="00AB72A6">
              <w:rPr>
                <w:rFonts w:ascii="Franklin Gothic Demi" w:eastAsia="Times New Roman" w:hAnsi="Franklin Gothic Demi" w:cs="Arial"/>
                <w:b w:val="0"/>
                <w:bCs w:val="0"/>
                <w:color w:val="003478" w:themeColor="accent1"/>
                <w:sz w:val="19"/>
                <w:szCs w:val="19"/>
                <w:lang w:eastAsia="en-AU"/>
              </w:rPr>
              <w:t>(AU</w:t>
            </w:r>
            <w:r w:rsidR="00E2205C">
              <w:rPr>
                <w:rFonts w:ascii="Franklin Gothic Demi" w:eastAsia="Times New Roman" w:hAnsi="Franklin Gothic Demi" w:cs="Arial"/>
                <w:b w:val="0"/>
                <w:bCs w:val="0"/>
                <w:color w:val="003478" w:themeColor="accent1"/>
                <w:sz w:val="19"/>
                <w:szCs w:val="19"/>
                <w:lang w:eastAsia="en-AU"/>
              </w:rPr>
              <w:t xml:space="preserve">D </w:t>
            </w:r>
            <w:r w:rsidRPr="00AB72A6">
              <w:rPr>
                <w:rFonts w:ascii="Franklin Gothic Demi" w:eastAsia="Times New Roman" w:hAnsi="Franklin Gothic Demi" w:cs="Arial"/>
                <w:b w:val="0"/>
                <w:bCs w:val="0"/>
                <w:color w:val="003478" w:themeColor="accent1"/>
                <w:sz w:val="19"/>
                <w:szCs w:val="19"/>
                <w:lang w:eastAsia="en-AU"/>
              </w:rPr>
              <w:t>000's</w:t>
            </w:r>
            <w:r w:rsidR="00E2205C">
              <w:rPr>
                <w:rFonts w:ascii="Franklin Gothic Demi" w:eastAsia="Times New Roman" w:hAnsi="Franklin Gothic Demi" w:cs="Arial"/>
                <w:b w:val="0"/>
                <w:bCs w:val="0"/>
                <w:color w:val="003478" w:themeColor="accent1"/>
                <w:sz w:val="19"/>
                <w:szCs w:val="19"/>
                <w:lang w:eastAsia="en-AU"/>
              </w:rPr>
              <w:t xml:space="preserve"> </w:t>
            </w:r>
            <w:r w:rsidRPr="00AB72A6">
              <w:rPr>
                <w:rFonts w:ascii="Franklin Gothic Demi" w:eastAsia="Times New Roman" w:hAnsi="Franklin Gothic Demi" w:cs="Arial"/>
                <w:b w:val="0"/>
                <w:bCs w:val="0"/>
                <w:color w:val="003478" w:themeColor="accent1"/>
                <w:sz w:val="19"/>
                <w:szCs w:val="19"/>
                <w:lang w:eastAsia="en-AU"/>
              </w:rPr>
              <w:t>/km)</w:t>
            </w:r>
          </w:p>
        </w:tc>
      </w:tr>
      <w:tr w:rsidR="003B5A54" w:rsidRPr="00AB72A6" w14:paraId="60DFD366" w14:textId="77777777" w:rsidTr="00E220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Borders>
              <w:top w:val="single" w:sz="24" w:space="0" w:color="4C7B9E" w:themeColor="background2"/>
              <w:bottom w:val="dotted" w:sz="4" w:space="0" w:color="A6A6A6" w:themeColor="background1" w:themeShade="A6"/>
            </w:tcBorders>
            <w:shd w:val="clear" w:color="auto" w:fill="F2F2F2" w:themeFill="background1" w:themeFillShade="F2"/>
            <w:noWrap/>
            <w:vAlign w:val="center"/>
            <w:hideMark/>
          </w:tcPr>
          <w:p w14:paraId="139B6CC2" w14:textId="77777777" w:rsidR="005E0DCA" w:rsidRPr="00AB72A6" w:rsidRDefault="005E0DCA" w:rsidP="00530B43">
            <w:pPr>
              <w:spacing w:before="40" w:after="40"/>
              <w:rPr>
                <w:rFonts w:ascii="Franklin Gothic Book" w:eastAsia="Times New Roman" w:hAnsi="Franklin Gothic Book" w:cs="Arial"/>
                <w:b w:val="0"/>
                <w:color w:val="000000"/>
                <w:sz w:val="19"/>
                <w:szCs w:val="19"/>
                <w:lang w:eastAsia="en-AU"/>
              </w:rPr>
            </w:pPr>
            <w:r w:rsidRPr="00AB72A6">
              <w:rPr>
                <w:rFonts w:ascii="Franklin Gothic Book" w:eastAsia="Times New Roman" w:hAnsi="Franklin Gothic Book" w:cs="Arial"/>
                <w:color w:val="000000"/>
                <w:sz w:val="19"/>
                <w:szCs w:val="19"/>
                <w:lang w:eastAsia="en-AU"/>
              </w:rPr>
              <w:t>2016^</w:t>
            </w:r>
          </w:p>
        </w:tc>
        <w:tc>
          <w:tcPr>
            <w:tcW w:w="1701" w:type="dxa"/>
            <w:tcBorders>
              <w:top w:val="single" w:sz="24" w:space="0" w:color="4C7B9E" w:themeColor="background2"/>
              <w:bottom w:val="dotted" w:sz="4" w:space="0" w:color="A6A6A6" w:themeColor="background1" w:themeShade="A6"/>
            </w:tcBorders>
            <w:shd w:val="clear" w:color="auto" w:fill="auto"/>
            <w:noWrap/>
            <w:hideMark/>
          </w:tcPr>
          <w:p w14:paraId="4CA80FF7" w14:textId="77777777" w:rsidR="005E0DCA" w:rsidRPr="00AB72A6" w:rsidRDefault="005E0DCA" w:rsidP="00AB72A6">
            <w:pPr>
              <w:spacing w:before="40" w:after="4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52,325</w:t>
            </w:r>
          </w:p>
        </w:tc>
        <w:tc>
          <w:tcPr>
            <w:tcW w:w="1701" w:type="dxa"/>
            <w:tcBorders>
              <w:top w:val="single" w:sz="24" w:space="0" w:color="4C7B9E" w:themeColor="background2"/>
              <w:bottom w:val="dotted" w:sz="4" w:space="0" w:color="A6A6A6" w:themeColor="background1" w:themeShade="A6"/>
            </w:tcBorders>
            <w:shd w:val="clear" w:color="auto" w:fill="auto"/>
            <w:noWrap/>
            <w:hideMark/>
          </w:tcPr>
          <w:p w14:paraId="66794720"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Not available</w:t>
            </w:r>
          </w:p>
        </w:tc>
        <w:tc>
          <w:tcPr>
            <w:tcW w:w="1701" w:type="dxa"/>
            <w:tcBorders>
              <w:top w:val="single" w:sz="24" w:space="0" w:color="4C7B9E" w:themeColor="background2"/>
              <w:bottom w:val="dotted" w:sz="4" w:space="0" w:color="A6A6A6" w:themeColor="background1" w:themeShade="A6"/>
            </w:tcBorders>
            <w:shd w:val="clear" w:color="auto" w:fill="auto"/>
            <w:noWrap/>
            <w:hideMark/>
          </w:tcPr>
          <w:p w14:paraId="55AA9301"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760</w:t>
            </w:r>
          </w:p>
        </w:tc>
        <w:tc>
          <w:tcPr>
            <w:tcW w:w="1701" w:type="dxa"/>
            <w:tcBorders>
              <w:top w:val="single" w:sz="24" w:space="0" w:color="4C7B9E" w:themeColor="background2"/>
              <w:bottom w:val="dotted" w:sz="4" w:space="0" w:color="A6A6A6" w:themeColor="background1" w:themeShade="A6"/>
            </w:tcBorders>
            <w:shd w:val="clear" w:color="auto" w:fill="auto"/>
            <w:noWrap/>
            <w:hideMark/>
          </w:tcPr>
          <w:p w14:paraId="0BD67B49"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11</w:t>
            </w:r>
          </w:p>
        </w:tc>
        <w:tc>
          <w:tcPr>
            <w:tcW w:w="1701" w:type="dxa"/>
            <w:tcBorders>
              <w:top w:val="single" w:sz="24" w:space="0" w:color="4C7B9E" w:themeColor="background2"/>
              <w:bottom w:val="dotted" w:sz="4" w:space="0" w:color="A6A6A6" w:themeColor="background1" w:themeShade="A6"/>
            </w:tcBorders>
            <w:shd w:val="clear" w:color="auto" w:fill="auto"/>
            <w:noWrap/>
            <w:hideMark/>
          </w:tcPr>
          <w:p w14:paraId="3E4464E7" w14:textId="77777777" w:rsidR="005E0DCA" w:rsidRPr="00AB72A6" w:rsidRDefault="005E0DCA" w:rsidP="00AB72A6">
            <w:pPr>
              <w:spacing w:before="40" w:after="4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69</w:t>
            </w:r>
          </w:p>
        </w:tc>
      </w:tr>
      <w:tr w:rsidR="005E0DCA" w:rsidRPr="00AB72A6" w14:paraId="25B4F251" w14:textId="77777777" w:rsidTr="00E2205C">
        <w:trPr>
          <w:trHeight w:val="255"/>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6A6A6" w:themeColor="background1" w:themeShade="A6"/>
              <w:bottom w:val="dotted" w:sz="4" w:space="0" w:color="A6A6A6" w:themeColor="background1" w:themeShade="A6"/>
            </w:tcBorders>
            <w:shd w:val="clear" w:color="auto" w:fill="F2F2F2" w:themeFill="background1" w:themeFillShade="F2"/>
            <w:noWrap/>
            <w:vAlign w:val="center"/>
            <w:hideMark/>
          </w:tcPr>
          <w:p w14:paraId="05BDD5F6" w14:textId="77777777" w:rsidR="005E0DCA" w:rsidRPr="00AB72A6" w:rsidRDefault="005E0DCA" w:rsidP="00530B43">
            <w:pPr>
              <w:spacing w:before="40" w:after="40"/>
              <w:rPr>
                <w:rFonts w:ascii="Franklin Gothic Book" w:eastAsia="Times New Roman" w:hAnsi="Franklin Gothic Book" w:cs="Arial"/>
                <w:b w:val="0"/>
                <w:color w:val="000000"/>
                <w:sz w:val="19"/>
                <w:szCs w:val="19"/>
                <w:lang w:eastAsia="en-AU"/>
              </w:rPr>
            </w:pPr>
            <w:r w:rsidRPr="00AB72A6">
              <w:rPr>
                <w:rFonts w:ascii="Franklin Gothic Book" w:eastAsia="Times New Roman" w:hAnsi="Franklin Gothic Book" w:cs="Arial"/>
                <w:color w:val="000000"/>
                <w:sz w:val="19"/>
                <w:szCs w:val="19"/>
                <w:lang w:eastAsia="en-AU"/>
              </w:rPr>
              <w:t>2017</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5EC5F30A" w14:textId="77777777" w:rsidR="005E0DCA" w:rsidRPr="00AB72A6" w:rsidRDefault="005E0DCA" w:rsidP="00AB72A6">
            <w:pPr>
              <w:spacing w:before="40" w:after="4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40,555</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6B09BB12" w14:textId="77777777" w:rsidR="005E0DCA" w:rsidRPr="00AB72A6" w:rsidRDefault="005E0DCA" w:rsidP="00AB72A6">
            <w:pPr>
              <w:spacing w:before="40" w:after="40"/>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Not available</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6F5A85B7" w14:textId="77777777" w:rsidR="005E0DCA" w:rsidRPr="00AB72A6" w:rsidRDefault="005E0DCA" w:rsidP="00AB72A6">
            <w:pPr>
              <w:spacing w:before="40" w:after="40"/>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1630</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7EC8B822" w14:textId="77777777" w:rsidR="005E0DCA" w:rsidRPr="00AB72A6" w:rsidRDefault="005E0DCA" w:rsidP="00AB72A6">
            <w:pPr>
              <w:spacing w:before="40" w:after="40"/>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9</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754CFDE3" w14:textId="77777777" w:rsidR="005E0DCA" w:rsidRPr="00AB72A6" w:rsidRDefault="005E0DCA" w:rsidP="00AB72A6">
            <w:pPr>
              <w:spacing w:before="40" w:after="4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25</w:t>
            </w:r>
          </w:p>
        </w:tc>
      </w:tr>
      <w:tr w:rsidR="003B5A54" w:rsidRPr="00AB72A6" w14:paraId="288012D2" w14:textId="77777777" w:rsidTr="00E220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6A6A6" w:themeColor="background1" w:themeShade="A6"/>
              <w:bottom w:val="dotted" w:sz="4" w:space="0" w:color="A6A6A6" w:themeColor="background1" w:themeShade="A6"/>
            </w:tcBorders>
            <w:shd w:val="clear" w:color="auto" w:fill="F2F2F2" w:themeFill="background1" w:themeFillShade="F2"/>
            <w:noWrap/>
            <w:vAlign w:val="center"/>
            <w:hideMark/>
          </w:tcPr>
          <w:p w14:paraId="29C0C2DA" w14:textId="77777777" w:rsidR="005E0DCA" w:rsidRPr="00AB72A6" w:rsidRDefault="005E0DCA" w:rsidP="00530B43">
            <w:pPr>
              <w:spacing w:before="40" w:after="40"/>
              <w:rPr>
                <w:rFonts w:ascii="Franklin Gothic Book" w:eastAsia="Times New Roman" w:hAnsi="Franklin Gothic Book" w:cs="Arial"/>
                <w:b w:val="0"/>
                <w:color w:val="000000"/>
                <w:sz w:val="19"/>
                <w:szCs w:val="19"/>
                <w:lang w:eastAsia="en-AU"/>
              </w:rPr>
            </w:pPr>
            <w:r w:rsidRPr="00AB72A6">
              <w:rPr>
                <w:rFonts w:ascii="Franklin Gothic Book" w:eastAsia="Times New Roman" w:hAnsi="Franklin Gothic Book" w:cs="Arial"/>
                <w:color w:val="000000"/>
                <w:sz w:val="19"/>
                <w:szCs w:val="19"/>
                <w:lang w:eastAsia="en-AU"/>
              </w:rPr>
              <w:t>2018</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62FFEC3A" w14:textId="77777777" w:rsidR="005E0DCA" w:rsidRPr="00AB72A6" w:rsidRDefault="005E0DCA" w:rsidP="00AB72A6">
            <w:pPr>
              <w:spacing w:before="40" w:after="4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54,707</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0F164E68"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1500</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65CA9D62"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1861</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29049BE2"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13</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30DCFA6E" w14:textId="77777777" w:rsidR="005E0DCA" w:rsidRPr="00AB72A6" w:rsidRDefault="005E0DCA" w:rsidP="00AB72A6">
            <w:pPr>
              <w:spacing w:before="40" w:after="4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29</w:t>
            </w:r>
          </w:p>
        </w:tc>
      </w:tr>
      <w:tr w:rsidR="005E0DCA" w:rsidRPr="00AB72A6" w14:paraId="5B1691C1" w14:textId="77777777" w:rsidTr="00E2205C">
        <w:trPr>
          <w:trHeight w:val="255"/>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6A6A6" w:themeColor="background1" w:themeShade="A6"/>
              <w:bottom w:val="dotted" w:sz="4" w:space="0" w:color="A6A6A6" w:themeColor="background1" w:themeShade="A6"/>
            </w:tcBorders>
            <w:shd w:val="clear" w:color="auto" w:fill="F2F2F2" w:themeFill="background1" w:themeFillShade="F2"/>
            <w:noWrap/>
            <w:vAlign w:val="center"/>
            <w:hideMark/>
          </w:tcPr>
          <w:p w14:paraId="545ED95B" w14:textId="77777777" w:rsidR="005E0DCA" w:rsidRPr="00AB72A6" w:rsidRDefault="005E0DCA" w:rsidP="00530B43">
            <w:pPr>
              <w:spacing w:before="40" w:after="40"/>
              <w:rPr>
                <w:rFonts w:ascii="Franklin Gothic Book" w:eastAsia="Times New Roman" w:hAnsi="Franklin Gothic Book" w:cs="Arial"/>
                <w:b w:val="0"/>
                <w:color w:val="000000"/>
                <w:sz w:val="19"/>
                <w:szCs w:val="19"/>
                <w:lang w:eastAsia="en-AU"/>
              </w:rPr>
            </w:pPr>
            <w:r w:rsidRPr="00AB72A6">
              <w:rPr>
                <w:rFonts w:ascii="Franklin Gothic Book" w:eastAsia="Times New Roman" w:hAnsi="Franklin Gothic Book" w:cs="Arial"/>
                <w:color w:val="000000"/>
                <w:sz w:val="19"/>
                <w:szCs w:val="19"/>
                <w:lang w:eastAsia="en-AU"/>
              </w:rPr>
              <w:t>2019</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55C55472" w14:textId="77777777" w:rsidR="005E0DCA" w:rsidRPr="00AB72A6" w:rsidRDefault="005E0DCA" w:rsidP="00AB72A6">
            <w:pPr>
              <w:spacing w:before="40" w:after="4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71,136</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0E4571D5" w14:textId="77777777" w:rsidR="005E0DCA" w:rsidRPr="00AB72A6" w:rsidRDefault="005E0DCA" w:rsidP="00AB72A6">
            <w:pPr>
              <w:spacing w:before="40" w:after="40"/>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1500</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192CB8BF" w14:textId="77777777" w:rsidR="005E0DCA" w:rsidRPr="00AB72A6" w:rsidRDefault="005E0DCA" w:rsidP="00AB72A6">
            <w:pPr>
              <w:spacing w:before="40" w:after="40"/>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1833</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63B82BFC" w14:textId="77777777" w:rsidR="005E0DCA" w:rsidRPr="00AB72A6" w:rsidRDefault="005E0DCA" w:rsidP="00AB72A6">
            <w:pPr>
              <w:spacing w:before="40" w:after="40"/>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12</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2B7C5005" w14:textId="77777777" w:rsidR="005E0DCA" w:rsidRPr="00AB72A6" w:rsidRDefault="005E0DCA" w:rsidP="00AB72A6">
            <w:pPr>
              <w:spacing w:before="40" w:after="40"/>
              <w:jc w:val="right"/>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39</w:t>
            </w:r>
          </w:p>
        </w:tc>
      </w:tr>
      <w:tr w:rsidR="003B5A54" w:rsidRPr="00AB72A6" w14:paraId="049E75B9" w14:textId="77777777" w:rsidTr="00E220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A6A6A6" w:themeColor="background1" w:themeShade="A6"/>
              <w:bottom w:val="dotted" w:sz="4" w:space="0" w:color="A6A6A6" w:themeColor="background1" w:themeShade="A6"/>
            </w:tcBorders>
            <w:shd w:val="clear" w:color="auto" w:fill="F2F2F2" w:themeFill="background1" w:themeFillShade="F2"/>
            <w:noWrap/>
            <w:vAlign w:val="center"/>
            <w:hideMark/>
          </w:tcPr>
          <w:p w14:paraId="0BE26CF6" w14:textId="77777777" w:rsidR="005E0DCA" w:rsidRPr="00AB72A6" w:rsidRDefault="005E0DCA" w:rsidP="00530B43">
            <w:pPr>
              <w:spacing w:before="40" w:after="40"/>
              <w:rPr>
                <w:rFonts w:ascii="Franklin Gothic Book" w:eastAsia="Times New Roman" w:hAnsi="Franklin Gothic Book" w:cs="Arial"/>
                <w:b w:val="0"/>
                <w:color w:val="000000"/>
                <w:sz w:val="19"/>
                <w:szCs w:val="19"/>
                <w:lang w:eastAsia="en-AU"/>
              </w:rPr>
            </w:pPr>
            <w:r w:rsidRPr="00AB72A6">
              <w:rPr>
                <w:rFonts w:ascii="Franklin Gothic Book" w:eastAsia="Times New Roman" w:hAnsi="Franklin Gothic Book" w:cs="Arial"/>
                <w:color w:val="000000"/>
                <w:sz w:val="19"/>
                <w:szCs w:val="19"/>
                <w:lang w:eastAsia="en-AU"/>
              </w:rPr>
              <w:t>2020*</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087AD6AA" w14:textId="77777777" w:rsidR="005E0DCA" w:rsidRPr="00AB72A6" w:rsidRDefault="005E0DCA" w:rsidP="00AB72A6">
            <w:pPr>
              <w:spacing w:before="40" w:after="4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31,245</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6B89DB32"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Not available</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22AB0A26"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1613</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16B10662" w14:textId="77777777" w:rsidR="005E0DCA" w:rsidRPr="00AB72A6" w:rsidRDefault="005E0DCA" w:rsidP="00AB72A6">
            <w:pPr>
              <w:spacing w:before="40" w:after="40"/>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8</w:t>
            </w:r>
          </w:p>
        </w:tc>
        <w:tc>
          <w:tcPr>
            <w:tcW w:w="1701" w:type="dxa"/>
            <w:tcBorders>
              <w:top w:val="dotted" w:sz="4" w:space="0" w:color="A6A6A6" w:themeColor="background1" w:themeShade="A6"/>
              <w:bottom w:val="dotted" w:sz="4" w:space="0" w:color="A6A6A6" w:themeColor="background1" w:themeShade="A6"/>
            </w:tcBorders>
            <w:shd w:val="clear" w:color="auto" w:fill="auto"/>
            <w:noWrap/>
            <w:hideMark/>
          </w:tcPr>
          <w:p w14:paraId="204EA862" w14:textId="77777777" w:rsidR="005E0DCA" w:rsidRPr="00AB72A6" w:rsidRDefault="005E0DCA" w:rsidP="00AB72A6">
            <w:pPr>
              <w:spacing w:before="40" w:after="40"/>
              <w:jc w:val="right"/>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19"/>
                <w:szCs w:val="19"/>
                <w:lang w:eastAsia="en-AU"/>
              </w:rPr>
            </w:pPr>
            <w:r w:rsidRPr="00AB72A6">
              <w:rPr>
                <w:rFonts w:ascii="Franklin Gothic Book" w:eastAsia="Times New Roman" w:hAnsi="Franklin Gothic Book" w:cs="Arial"/>
                <w:color w:val="000000"/>
                <w:sz w:val="19"/>
                <w:szCs w:val="19"/>
                <w:lang w:eastAsia="en-AU"/>
              </w:rPr>
              <w:t>19</w:t>
            </w:r>
          </w:p>
        </w:tc>
      </w:tr>
    </w:tbl>
    <w:p w14:paraId="6E00B614" w14:textId="77777777" w:rsidR="0076011C" w:rsidRPr="0076011C" w:rsidRDefault="0076011C" w:rsidP="00AB72A6">
      <w:pPr>
        <w:spacing w:before="40" w:after="40"/>
        <w:rPr>
          <w:rFonts w:ascii="Franklin Gothic Book" w:eastAsia="Times New Roman" w:hAnsi="Franklin Gothic Book" w:cs="Arial"/>
          <w:color w:val="000000"/>
          <w:sz w:val="16"/>
          <w:szCs w:val="16"/>
          <w:lang w:eastAsia="en-AU"/>
        </w:rPr>
      </w:pPr>
      <w:r w:rsidRPr="0076011C">
        <w:rPr>
          <w:rFonts w:ascii="Franklin Gothic Book" w:eastAsia="Times New Roman" w:hAnsi="Franklin Gothic Book" w:cs="Arial"/>
          <w:color w:val="000000"/>
          <w:sz w:val="16"/>
          <w:szCs w:val="16"/>
          <w:lang w:eastAsia="en-AU"/>
        </w:rPr>
        <w:t xml:space="preserve">^ Oro Bridges Reconstruction Project was finalised in November 2016. Four bridges: Eroro, Girua, Ambogo and Kumusi bridges were rebuilt to withstand floods of greater magnitude than those which followed Cyclone Guba at a total cost of PGK 141.9 million (inclusive of supervision costs) over two years. A total of PGK 38.9 million (exclusive of supervision costs) was spent in 2016. </w:t>
      </w:r>
    </w:p>
    <w:p w14:paraId="2C55FD2D" w14:textId="77777777" w:rsidR="0076011C" w:rsidRPr="0076011C" w:rsidRDefault="0076011C" w:rsidP="00AB72A6">
      <w:pPr>
        <w:spacing w:before="40" w:after="40"/>
        <w:rPr>
          <w:rFonts w:ascii="Franklin Gothic Book" w:eastAsia="Times New Roman" w:hAnsi="Franklin Gothic Book" w:cs="Arial"/>
          <w:color w:val="000000"/>
          <w:sz w:val="16"/>
          <w:szCs w:val="16"/>
          <w:lang w:eastAsia="en-AU"/>
        </w:rPr>
      </w:pPr>
      <w:r w:rsidRPr="0076011C">
        <w:rPr>
          <w:rFonts w:ascii="Franklin Gothic Book" w:eastAsia="Times New Roman" w:hAnsi="Franklin Gothic Book" w:cs="Arial"/>
          <w:color w:val="000000"/>
          <w:sz w:val="16"/>
          <w:szCs w:val="16"/>
          <w:lang w:eastAsia="en-AU"/>
        </w:rPr>
        <w:t>* No target (km) identified in the 2020 TSSP Annual Program Performance Report</w:t>
      </w:r>
    </w:p>
    <w:p w14:paraId="246ED78E" w14:textId="4BB9A4E6" w:rsidR="0076011C" w:rsidRPr="0076011C" w:rsidRDefault="0076011C" w:rsidP="00AB72A6">
      <w:pPr>
        <w:spacing w:before="40" w:after="40"/>
        <w:rPr>
          <w:rFonts w:ascii="Franklin Gothic Book" w:eastAsia="Times New Roman" w:hAnsi="Franklin Gothic Book" w:cs="Arial"/>
          <w:i/>
          <w:iCs/>
          <w:sz w:val="16"/>
          <w:szCs w:val="16"/>
          <w:lang w:eastAsia="en-AU"/>
        </w:rPr>
      </w:pPr>
      <w:r w:rsidRPr="0076011C">
        <w:rPr>
          <w:rFonts w:ascii="Franklin Gothic Book" w:eastAsia="Times New Roman" w:hAnsi="Franklin Gothic Book" w:cs="Arial"/>
          <w:i/>
          <w:iCs/>
          <w:sz w:val="16"/>
          <w:szCs w:val="16"/>
          <w:lang w:eastAsia="en-AU"/>
        </w:rPr>
        <w:t>Source: TSSP Annual Program Performance Report 2016-2020. 2013, 2014 and 2015 reports are unavailable.</w:t>
      </w:r>
    </w:p>
    <w:p w14:paraId="67508506" w14:textId="2A04C119" w:rsidR="00C732B1" w:rsidRPr="007C238B" w:rsidRDefault="00A0799A" w:rsidP="00C732B1">
      <w:pPr>
        <w:spacing w:before="200" w:after="200"/>
        <w:rPr>
          <w:rFonts w:ascii="Franklin Gothic Book" w:hAnsi="Franklin Gothic Book" w:cs="Arial"/>
        </w:rPr>
      </w:pPr>
      <w:r w:rsidRPr="007C238B">
        <w:rPr>
          <w:rFonts w:ascii="Franklin Gothic Book" w:hAnsi="Franklin Gothic Book" w:cs="Arial"/>
        </w:rPr>
        <w:t xml:space="preserve">While the actual number of provinces benefitting from TSSP2 investments in road maintenance tends to vary from year to year, delays associated with COVID-19 notwithstanding, the overall number of kilometres of the priority road network under maintenance has demonstrably increased. The improvement in length of road maintenance is attributable, in part, to a departure by TSSP2 from large development infrastructure projects </w:t>
      </w:r>
      <w:r w:rsidR="00D14338" w:rsidRPr="007C238B">
        <w:rPr>
          <w:rFonts w:ascii="Franklin Gothic Book" w:hAnsi="Franklin Gothic Book" w:cs="Arial"/>
        </w:rPr>
        <w:t>e.g.,</w:t>
      </w:r>
      <w:r w:rsidRPr="007C238B">
        <w:rPr>
          <w:rFonts w:ascii="Franklin Gothic Book" w:hAnsi="Franklin Gothic Book" w:cs="Arial"/>
        </w:rPr>
        <w:t xml:space="preserve"> Oro Bridges, </w:t>
      </w:r>
      <w:r w:rsidRPr="007C238B">
        <w:rPr>
          <w:rFonts w:ascii="Franklin Gothic Book" w:hAnsi="Franklin Gothic Book" w:cs="Arial"/>
        </w:rPr>
        <w:lastRenderedPageBreak/>
        <w:t>which tend to absorb a disproportionate amount of financial resources from perpetually constrained annual road maintenance budgets</w:t>
      </w:r>
      <w:r w:rsidR="00C732B1" w:rsidRPr="007C238B">
        <w:rPr>
          <w:rFonts w:ascii="Franklin Gothic Book" w:hAnsi="Franklin Gothic Book" w:cs="Arial"/>
        </w:rPr>
        <w:t xml:space="preserve">. </w:t>
      </w:r>
    </w:p>
    <w:p w14:paraId="6D6F198F" w14:textId="4165A57E" w:rsidR="000535BA" w:rsidRPr="007C238B" w:rsidRDefault="000535BA" w:rsidP="00A45075">
      <w:pPr>
        <w:spacing w:before="200" w:after="200"/>
        <w:rPr>
          <w:rFonts w:ascii="Franklin Gothic Book" w:hAnsi="Franklin Gothic Book" w:cs="Arial"/>
        </w:rPr>
      </w:pPr>
      <w:r w:rsidRPr="000535BA">
        <w:rPr>
          <w:rFonts w:ascii="Franklin Gothic Book" w:hAnsi="Franklin Gothic Book" w:cs="Arial"/>
        </w:rPr>
        <w:t>It is also worth noting that in 2020 the Program maint</w:t>
      </w:r>
      <w:r w:rsidR="004D1FE7">
        <w:rPr>
          <w:rFonts w:ascii="Franklin Gothic Book" w:hAnsi="Franklin Gothic Book" w:cs="Arial"/>
        </w:rPr>
        <w:t xml:space="preserve">ained </w:t>
      </w:r>
      <w:r w:rsidRPr="000535BA">
        <w:rPr>
          <w:rFonts w:ascii="Franklin Gothic Book" w:hAnsi="Franklin Gothic Book" w:cs="Arial"/>
        </w:rPr>
        <w:t xml:space="preserve">1,613 km of roads across 8 </w:t>
      </w:r>
      <w:r w:rsidR="00D71FDE" w:rsidRPr="000535BA">
        <w:rPr>
          <w:rFonts w:ascii="Franklin Gothic Book" w:hAnsi="Franklin Gothic Book" w:cs="Arial"/>
        </w:rPr>
        <w:t>provinces</w:t>
      </w:r>
      <w:r w:rsidR="00D71FDE">
        <w:rPr>
          <w:rFonts w:ascii="Franklin Gothic Book" w:hAnsi="Franklin Gothic Book" w:cs="Arial"/>
        </w:rPr>
        <w:t>.</w:t>
      </w:r>
      <w:r w:rsidRPr="000535BA">
        <w:rPr>
          <w:rFonts w:ascii="Franklin Gothic Book" w:hAnsi="Franklin Gothic Book" w:cs="Arial"/>
        </w:rPr>
        <w:t xml:space="preserve"> Whil</w:t>
      </w:r>
      <w:r w:rsidR="00EC6974">
        <w:rPr>
          <w:rFonts w:ascii="Franklin Gothic Book" w:hAnsi="Franklin Gothic Book" w:cs="Arial"/>
        </w:rPr>
        <w:t>e</w:t>
      </w:r>
      <w:r w:rsidRPr="000535BA">
        <w:rPr>
          <w:rFonts w:ascii="Franklin Gothic Book" w:hAnsi="Franklin Gothic Book" w:cs="Arial"/>
        </w:rPr>
        <w:t xml:space="preserve"> this </w:t>
      </w:r>
      <w:r w:rsidR="00D71FDE" w:rsidRPr="000535BA">
        <w:rPr>
          <w:rFonts w:ascii="Franklin Gothic Book" w:hAnsi="Franklin Gothic Book" w:cs="Arial"/>
        </w:rPr>
        <w:t>was below</w:t>
      </w:r>
      <w:r w:rsidRPr="000535BA">
        <w:rPr>
          <w:rFonts w:ascii="Franklin Gothic Book" w:hAnsi="Franklin Gothic Book" w:cs="Arial"/>
        </w:rPr>
        <w:t xml:space="preserve"> the original target, a figure that was not identified in the TSSP2 2020 annual report, </w:t>
      </w:r>
      <w:r w:rsidR="00453CCA">
        <w:rPr>
          <w:rFonts w:ascii="Franklin Gothic Book" w:hAnsi="Franklin Gothic Book" w:cs="Arial"/>
        </w:rPr>
        <w:t xml:space="preserve">this was an </w:t>
      </w:r>
      <w:r w:rsidRPr="000535BA">
        <w:rPr>
          <w:rFonts w:ascii="Franklin Gothic Book" w:hAnsi="Franklin Gothic Book" w:cs="Arial"/>
        </w:rPr>
        <w:t>impressive result considering the constraints on delivery due to the impact of COVID-19 and its associated effects on contractor payments (DoW)</w:t>
      </w:r>
      <w:r w:rsidR="00CB591C">
        <w:rPr>
          <w:rFonts w:ascii="Franklin Gothic Book" w:hAnsi="Franklin Gothic Book" w:cs="Arial"/>
        </w:rPr>
        <w:t xml:space="preserve"> and</w:t>
      </w:r>
      <w:r w:rsidRPr="000535BA">
        <w:rPr>
          <w:rFonts w:ascii="Franklin Gothic Book" w:hAnsi="Franklin Gothic Book" w:cs="Arial"/>
        </w:rPr>
        <w:t xml:space="preserve"> procurement (NPC</w:t>
      </w:r>
      <w:r w:rsidR="00D71FDE" w:rsidRPr="000535BA">
        <w:rPr>
          <w:rFonts w:ascii="Franklin Gothic Book" w:hAnsi="Franklin Gothic Book" w:cs="Arial"/>
        </w:rPr>
        <w:t>).</w:t>
      </w:r>
      <w:r w:rsidR="00D71FDE">
        <w:rPr>
          <w:rFonts w:ascii="Franklin Gothic Book" w:hAnsi="Franklin Gothic Book" w:cs="Arial"/>
        </w:rPr>
        <w:t xml:space="preserve"> </w:t>
      </w:r>
      <w:r w:rsidRPr="000535BA">
        <w:rPr>
          <w:rFonts w:ascii="Franklin Gothic Book" w:hAnsi="Franklin Gothic Book" w:cs="Arial"/>
        </w:rPr>
        <w:t>This result was also delivered during a period of widespread supply chain disruptions and inflationary price pressures in the contracting industry in PNG.</w:t>
      </w:r>
    </w:p>
    <w:p w14:paraId="21D77F72" w14:textId="6EC6BD9A" w:rsidR="0020489B" w:rsidRPr="007C238B" w:rsidRDefault="00A56CBA" w:rsidP="0020489B">
      <w:pPr>
        <w:spacing w:before="200" w:after="200"/>
        <w:rPr>
          <w:rFonts w:ascii="Franklin Gothic Book" w:hAnsi="Franklin Gothic Book" w:cs="Arial"/>
        </w:rPr>
      </w:pPr>
      <w:r w:rsidRPr="007C238B">
        <w:rPr>
          <w:rFonts w:ascii="Franklin Gothic Book" w:hAnsi="Franklin Gothic Book" w:cs="Arial"/>
          <w:b/>
          <w:bCs/>
        </w:rPr>
        <w:t>TSSP</w:t>
      </w:r>
      <w:r w:rsidR="007C238B" w:rsidRPr="007C238B">
        <w:rPr>
          <w:rFonts w:ascii="Franklin Gothic Book" w:hAnsi="Franklin Gothic Book" w:cs="Arial"/>
          <w:b/>
          <w:bCs/>
        </w:rPr>
        <w:t>2 road maintenance works ha</w:t>
      </w:r>
      <w:r w:rsidR="008B3D97">
        <w:rPr>
          <w:rFonts w:ascii="Franklin Gothic Book" w:hAnsi="Franklin Gothic Book" w:cs="Arial"/>
          <w:b/>
          <w:bCs/>
        </w:rPr>
        <w:t>ve</w:t>
      </w:r>
      <w:r w:rsidR="007C238B" w:rsidRPr="007C238B">
        <w:rPr>
          <w:rFonts w:ascii="Franklin Gothic Book" w:hAnsi="Franklin Gothic Book" w:cs="Arial"/>
          <w:b/>
          <w:bCs/>
        </w:rPr>
        <w:t xml:space="preserve"> enhanced access to mar</w:t>
      </w:r>
      <w:r w:rsidR="00C26254">
        <w:rPr>
          <w:rFonts w:ascii="Franklin Gothic Book" w:hAnsi="Franklin Gothic Book" w:cs="Arial"/>
          <w:b/>
          <w:bCs/>
        </w:rPr>
        <w:t>k</w:t>
      </w:r>
      <w:r w:rsidR="007C238B" w:rsidRPr="007C238B">
        <w:rPr>
          <w:rFonts w:ascii="Franklin Gothic Book" w:hAnsi="Franklin Gothic Book" w:cs="Arial"/>
          <w:b/>
          <w:bCs/>
        </w:rPr>
        <w:t xml:space="preserve">ets. </w:t>
      </w:r>
      <w:r w:rsidR="0062019C" w:rsidRPr="007C238B">
        <w:rPr>
          <w:rFonts w:ascii="Franklin Gothic Book" w:hAnsi="Franklin Gothic Book" w:cs="Arial"/>
        </w:rPr>
        <w:t xml:space="preserve">TSSP2 defines access as having the means or opportunity to approach or enter a market – a space where vendors convene to sell their goods. </w:t>
      </w:r>
      <w:r w:rsidR="0020489B" w:rsidRPr="007C238B">
        <w:rPr>
          <w:rFonts w:ascii="Franklin Gothic Book" w:hAnsi="Franklin Gothic Book" w:cs="Arial"/>
        </w:rPr>
        <w:t xml:space="preserve">According to the TSSP2 Annual Program Performance Reports (2016-2020), 486,584 women and 527,131 men had better access to markets in eight provinces in 2020. The figures bring a total number of people accessing markets to 1,013, 715 which surpassed the target set by the Program of 900,000 people in 2020. </w:t>
      </w:r>
      <w:r w:rsidR="00FB41EA" w:rsidRPr="007C238B">
        <w:rPr>
          <w:rFonts w:ascii="Franklin Gothic Book" w:hAnsi="Franklin Gothic Book" w:cs="Arial"/>
        </w:rPr>
        <w:t>Gender d</w:t>
      </w:r>
      <w:r w:rsidR="0020489B" w:rsidRPr="007C238B">
        <w:rPr>
          <w:rFonts w:ascii="Franklin Gothic Book" w:hAnsi="Franklin Gothic Book" w:cs="Arial"/>
        </w:rPr>
        <w:t xml:space="preserve">isaggregated data for people accessing markets was not available from 2016 to 2019 though a total of 1,048,706 people </w:t>
      </w:r>
      <w:r w:rsidR="00BB5FD9">
        <w:rPr>
          <w:rFonts w:ascii="Franklin Gothic Book" w:hAnsi="Franklin Gothic Book" w:cs="Arial"/>
        </w:rPr>
        <w:t>in 2019 a</w:t>
      </w:r>
      <w:r w:rsidR="002D5D59">
        <w:rPr>
          <w:rFonts w:ascii="Franklin Gothic Book" w:hAnsi="Franklin Gothic Book" w:cs="Arial"/>
        </w:rPr>
        <w:t xml:space="preserve">nd </w:t>
      </w:r>
      <w:r w:rsidR="00BB5FD9" w:rsidRPr="00BB5FD9">
        <w:rPr>
          <w:rFonts w:ascii="Franklin Gothic Book" w:hAnsi="Franklin Gothic Book" w:cs="Arial"/>
        </w:rPr>
        <w:t xml:space="preserve">1,017,174 </w:t>
      </w:r>
      <w:r w:rsidR="0078064E">
        <w:rPr>
          <w:rFonts w:ascii="Franklin Gothic Book" w:hAnsi="Franklin Gothic Book" w:cs="Arial"/>
        </w:rPr>
        <w:t xml:space="preserve">people in 2018 </w:t>
      </w:r>
      <w:r w:rsidR="00A7281F">
        <w:rPr>
          <w:rFonts w:ascii="Franklin Gothic Book" w:hAnsi="Franklin Gothic Book" w:cs="Arial"/>
        </w:rPr>
        <w:t xml:space="preserve">were reported to have </w:t>
      </w:r>
      <w:r w:rsidR="0020489B" w:rsidRPr="007C238B">
        <w:rPr>
          <w:rFonts w:ascii="Franklin Gothic Book" w:hAnsi="Franklin Gothic Book" w:cs="Arial"/>
        </w:rPr>
        <w:t xml:space="preserve">had better access to markets </w:t>
      </w:r>
    </w:p>
    <w:p w14:paraId="011084F6" w14:textId="552D1341" w:rsidR="005E0DCA" w:rsidRDefault="005E0DCA" w:rsidP="004C2507">
      <w:pPr>
        <w:pStyle w:val="BodyText"/>
        <w:rPr>
          <w:szCs w:val="20"/>
        </w:rPr>
      </w:pPr>
      <w:r w:rsidRPr="007C238B">
        <w:rPr>
          <w:szCs w:val="20"/>
        </w:rPr>
        <w:t xml:space="preserve">Whilst </w:t>
      </w:r>
      <w:r w:rsidR="00924B65">
        <w:rPr>
          <w:szCs w:val="20"/>
        </w:rPr>
        <w:t xml:space="preserve">access to markets </w:t>
      </w:r>
      <w:r w:rsidRPr="007C238B">
        <w:rPr>
          <w:szCs w:val="20"/>
        </w:rPr>
        <w:t xml:space="preserve">data does not form part of standard asset management calculations, </w:t>
      </w:r>
      <w:r w:rsidR="000A1DCC">
        <w:rPr>
          <w:szCs w:val="20"/>
        </w:rPr>
        <w:t xml:space="preserve">literature shows that </w:t>
      </w:r>
      <w:r w:rsidRPr="007C238B">
        <w:rPr>
          <w:szCs w:val="20"/>
        </w:rPr>
        <w:t>an understanding of the population serviced by a section of transport infrastructure can lead to more efficient social and economic outcomes, particularly in a constrained budget investment scenario</w:t>
      </w:r>
      <w:r w:rsidR="000A1DCC">
        <w:rPr>
          <w:szCs w:val="20"/>
        </w:rPr>
        <w:t xml:space="preserve">. </w:t>
      </w:r>
      <w:r w:rsidRPr="007C238B">
        <w:rPr>
          <w:szCs w:val="20"/>
        </w:rPr>
        <w:t xml:space="preserve">Also, the data can be particularly useful where large and severely disadvantaged populations (particularly women) reside within proximity to poorly maintained road infrastructure </w:t>
      </w:r>
      <w:r w:rsidR="00D14338" w:rsidRPr="007C238B">
        <w:rPr>
          <w:szCs w:val="20"/>
        </w:rPr>
        <w:t>e.g.,</w:t>
      </w:r>
      <w:r w:rsidRPr="007C238B">
        <w:rPr>
          <w:szCs w:val="20"/>
        </w:rPr>
        <w:t xml:space="preserve"> Sepik Highway</w:t>
      </w:r>
      <w:r w:rsidR="00A04AA1">
        <w:rPr>
          <w:szCs w:val="20"/>
        </w:rPr>
        <w:t xml:space="preserve"> in PNG. The Review notes </w:t>
      </w:r>
      <w:r w:rsidR="005820DC">
        <w:rPr>
          <w:szCs w:val="20"/>
        </w:rPr>
        <w:t>good efforts by</w:t>
      </w:r>
      <w:r w:rsidR="00D7050C">
        <w:rPr>
          <w:szCs w:val="20"/>
        </w:rPr>
        <w:t xml:space="preserve"> </w:t>
      </w:r>
      <w:r w:rsidRPr="007C238B">
        <w:rPr>
          <w:szCs w:val="20"/>
        </w:rPr>
        <w:t xml:space="preserve">TSSP2 </w:t>
      </w:r>
      <w:r w:rsidR="005820DC">
        <w:rPr>
          <w:szCs w:val="20"/>
        </w:rPr>
        <w:t>in</w:t>
      </w:r>
      <w:r w:rsidRPr="007C238B">
        <w:rPr>
          <w:szCs w:val="20"/>
        </w:rPr>
        <w:t xml:space="preserve"> undertaking important research such as the Coastal and Sepik Highway Impact Study and developing a system of collecting and reporting on investment beneficiary data that may inform future investment decisions.</w:t>
      </w:r>
      <w:r w:rsidR="00C44046">
        <w:rPr>
          <w:szCs w:val="20"/>
        </w:rPr>
        <w:t xml:space="preserve"> Doing this will provide data for the Program to assess </w:t>
      </w:r>
      <w:r w:rsidR="008B3D97">
        <w:rPr>
          <w:szCs w:val="20"/>
        </w:rPr>
        <w:t xml:space="preserve">the </w:t>
      </w:r>
      <w:r w:rsidR="00C44046">
        <w:rPr>
          <w:szCs w:val="20"/>
        </w:rPr>
        <w:t>socio-economic benefits of the road infrast</w:t>
      </w:r>
      <w:r w:rsidR="005A4A02">
        <w:rPr>
          <w:szCs w:val="20"/>
        </w:rPr>
        <w:t xml:space="preserve">ructure. </w:t>
      </w:r>
    </w:p>
    <w:p w14:paraId="71C98956" w14:textId="77777777" w:rsidR="005E0DCA" w:rsidRPr="000738A7" w:rsidRDefault="005E0DCA" w:rsidP="005E0DCA">
      <w:pPr>
        <w:spacing w:before="40" w:after="40" w:line="245" w:lineRule="auto"/>
        <w:rPr>
          <w:rFonts w:ascii="Franklin Gothic Book" w:eastAsia="Batang" w:hAnsi="Franklin Gothic Book" w:cs="Arial"/>
          <w:b/>
          <w:color w:val="4C7B9E" w:themeColor="background2"/>
          <w:lang w:eastAsia="ko-KR"/>
        </w:rPr>
      </w:pPr>
      <w:r w:rsidRPr="0076011C">
        <w:rPr>
          <w:rFonts w:ascii="Franklin Gothic Book" w:eastAsia="Batang" w:hAnsi="Franklin Gothic Book" w:cs="Arial"/>
          <w:b/>
          <w:color w:val="4C7B9E" w:themeColor="accent2"/>
          <w:lang w:eastAsia="ko-KR"/>
        </w:rPr>
        <w:t>EOPO 3: GoPNG aviation and maritime agencies deliver improved safety and security, and improved regulatory compliance.</w:t>
      </w:r>
    </w:p>
    <w:p w14:paraId="24BC5610" w14:textId="5B85FAE1" w:rsidR="0074029B" w:rsidRDefault="008943A9" w:rsidP="00F065B2">
      <w:pPr>
        <w:pStyle w:val="BodyText"/>
      </w:pPr>
      <w:r w:rsidRPr="004C2507">
        <w:rPr>
          <w:b/>
          <w:bCs/>
        </w:rPr>
        <w:t xml:space="preserve">Though underinvested </w:t>
      </w:r>
      <w:r w:rsidR="00D61EBD" w:rsidRPr="004C2507">
        <w:rPr>
          <w:b/>
          <w:bCs/>
        </w:rPr>
        <w:t xml:space="preserve">in </w:t>
      </w:r>
      <w:r w:rsidRPr="004C2507">
        <w:rPr>
          <w:b/>
          <w:bCs/>
        </w:rPr>
        <w:t>by TSSP</w:t>
      </w:r>
      <w:r w:rsidR="00D91807">
        <w:rPr>
          <w:b/>
          <w:bCs/>
        </w:rPr>
        <w:t>2</w:t>
      </w:r>
      <w:r w:rsidR="00BE714F" w:rsidRPr="004C2507">
        <w:rPr>
          <w:b/>
          <w:bCs/>
        </w:rPr>
        <w:t>, in some instances</w:t>
      </w:r>
      <w:r w:rsidR="00D91807">
        <w:rPr>
          <w:b/>
          <w:bCs/>
        </w:rPr>
        <w:t xml:space="preserve"> the Program</w:t>
      </w:r>
      <w:r w:rsidR="003342B9" w:rsidRPr="004C2507">
        <w:rPr>
          <w:b/>
          <w:bCs/>
        </w:rPr>
        <w:t xml:space="preserve"> </w:t>
      </w:r>
      <w:r w:rsidR="00550018" w:rsidRPr="004C2507">
        <w:rPr>
          <w:b/>
          <w:bCs/>
        </w:rPr>
        <w:t>has supported</w:t>
      </w:r>
      <w:r w:rsidR="003342B9" w:rsidRPr="004C2507">
        <w:rPr>
          <w:b/>
          <w:bCs/>
        </w:rPr>
        <w:t xml:space="preserve"> aviation and maritime safety and security investments </w:t>
      </w:r>
      <w:r w:rsidR="005844D3">
        <w:rPr>
          <w:b/>
          <w:bCs/>
        </w:rPr>
        <w:t xml:space="preserve">under the overarching transport sector MOU </w:t>
      </w:r>
      <w:r w:rsidR="003342B9" w:rsidRPr="004C2507">
        <w:rPr>
          <w:b/>
          <w:bCs/>
        </w:rPr>
        <w:t>commitments</w:t>
      </w:r>
      <w:r w:rsidR="001A3193">
        <w:rPr>
          <w:b/>
          <w:bCs/>
        </w:rPr>
        <w:t>,</w:t>
      </w:r>
      <w:r w:rsidR="003342B9" w:rsidRPr="000F23C9">
        <w:t xml:space="preserve"> including related activities that expand preparation of PNG Ports</w:t>
      </w:r>
      <w:r w:rsidR="00CB591C">
        <w:t xml:space="preserve"> </w:t>
      </w:r>
      <w:r w:rsidR="003342B9" w:rsidRPr="000F23C9">
        <w:t xml:space="preserve">preparation for earmarked investment in development infrastructure. These activities include TSSP2 support for the establishment of a multiagency TSCMIC maritime governance Sub Committee, port development masterplans and </w:t>
      </w:r>
      <w:r w:rsidR="003342B9">
        <w:t xml:space="preserve">the </w:t>
      </w:r>
      <w:r w:rsidR="003342B9" w:rsidRPr="000F23C9">
        <w:t xml:space="preserve">National Shipping Services Program. </w:t>
      </w:r>
      <w:r w:rsidR="00864094">
        <w:t xml:space="preserve">Less </w:t>
      </w:r>
      <w:r w:rsidR="00A308BF">
        <w:t>funding</w:t>
      </w:r>
      <w:r w:rsidR="00864094">
        <w:t xml:space="preserve"> allocation</w:t>
      </w:r>
      <w:r w:rsidR="00F36CA3">
        <w:t xml:space="preserve"> </w:t>
      </w:r>
      <w:r w:rsidR="00FD1460">
        <w:t>in the maritime sector</w:t>
      </w:r>
      <w:r w:rsidR="0014731D">
        <w:t xml:space="preserve"> </w:t>
      </w:r>
      <w:r w:rsidR="0014731D" w:rsidRPr="00C333C2">
        <w:t>(see Chapter 1 on TSSP2 expenditure)</w:t>
      </w:r>
      <w:r w:rsidR="0014731D">
        <w:t xml:space="preserve"> </w:t>
      </w:r>
      <w:r w:rsidR="00FD1460">
        <w:t>was flagged by DFAT and GoPNG stakeholders and</w:t>
      </w:r>
      <w:r w:rsidR="00307E45">
        <w:t xml:space="preserve"> </w:t>
      </w:r>
      <w:r w:rsidR="00A837F3">
        <w:t xml:space="preserve">an economic case </w:t>
      </w:r>
      <w:r w:rsidR="00307E45">
        <w:t>ha</w:t>
      </w:r>
      <w:r w:rsidR="003F7F78">
        <w:t>s</w:t>
      </w:r>
      <w:r w:rsidR="00307E45">
        <w:t xml:space="preserve"> been put forward to </w:t>
      </w:r>
      <w:r w:rsidR="00A308BF">
        <w:t>increase</w:t>
      </w:r>
      <w:r w:rsidR="00F36CA3">
        <w:t xml:space="preserve"> </w:t>
      </w:r>
      <w:r w:rsidR="00307E45">
        <w:t>investments in this sector (</w:t>
      </w:r>
      <w:r w:rsidR="00A21597">
        <w:t>see Chapter 2 KEQ 3)</w:t>
      </w:r>
      <w:r w:rsidR="00A837F3">
        <w:t xml:space="preserve">. </w:t>
      </w:r>
      <w:r w:rsidR="00F065B2">
        <w:t xml:space="preserve">Investing in maritime transport </w:t>
      </w:r>
      <w:r w:rsidR="00F065B2" w:rsidRPr="00F065B2">
        <w:t xml:space="preserve">will unlock the </w:t>
      </w:r>
      <w:r w:rsidR="00F065B2">
        <w:t xml:space="preserve">economic potential of maritime communities </w:t>
      </w:r>
      <w:r w:rsidR="00F065B2" w:rsidRPr="00F065B2">
        <w:t xml:space="preserve">to reap the economic benefits </w:t>
      </w:r>
      <w:r w:rsidR="0089249A">
        <w:t xml:space="preserve">through access to better markets </w:t>
      </w:r>
      <w:r w:rsidR="0074029B">
        <w:t>and other business opportunities</w:t>
      </w:r>
      <w:r w:rsidR="00AD4BCB">
        <w:t>.</w:t>
      </w:r>
    </w:p>
    <w:p w14:paraId="22C0119C" w14:textId="279F14FB" w:rsidR="006910E4" w:rsidRDefault="006910E4" w:rsidP="00F065B2">
      <w:pPr>
        <w:pStyle w:val="BodyText"/>
      </w:pPr>
      <w:r w:rsidRPr="00530B43">
        <w:rPr>
          <w:b/>
          <w:bCs/>
        </w:rPr>
        <w:t xml:space="preserve">The Bougainville </w:t>
      </w:r>
      <w:r w:rsidR="00F77071">
        <w:rPr>
          <w:b/>
          <w:bCs/>
        </w:rPr>
        <w:t xml:space="preserve">component of TSSP2 </w:t>
      </w:r>
      <w:r w:rsidR="00861FA1">
        <w:rPr>
          <w:b/>
          <w:bCs/>
        </w:rPr>
        <w:t xml:space="preserve">has worked well and </w:t>
      </w:r>
      <w:r w:rsidRPr="00530B43">
        <w:rPr>
          <w:b/>
          <w:bCs/>
        </w:rPr>
        <w:t>achieved good developmental and socio-economic outcomes.</w:t>
      </w:r>
      <w:r>
        <w:t xml:space="preserve"> </w:t>
      </w:r>
      <w:r w:rsidRPr="00564F62">
        <w:t xml:space="preserve">TSSP2 </w:t>
      </w:r>
      <w:r w:rsidR="00FF00C7">
        <w:t xml:space="preserve">focus on </w:t>
      </w:r>
      <w:r w:rsidRPr="00564F62">
        <w:t xml:space="preserve">social safeguards </w:t>
      </w:r>
      <w:r w:rsidR="00FF00C7">
        <w:t>in</w:t>
      </w:r>
      <w:r w:rsidRPr="00564F62">
        <w:t xml:space="preserve"> Bougainville through the PMSC</w:t>
      </w:r>
      <w:r w:rsidRPr="00BF66A3">
        <w:t xml:space="preserve"> (Cardno)</w:t>
      </w:r>
      <w:r>
        <w:t xml:space="preserve"> is a good example of leveraging investment in infrastructure to maximise benefits to the community. </w:t>
      </w:r>
      <w:r w:rsidRPr="00D653B8">
        <w:t>TSSP2</w:t>
      </w:r>
      <w:r>
        <w:t xml:space="preserve"> sub-contracted the </w:t>
      </w:r>
      <w:r w:rsidRPr="00D653B8">
        <w:t>PMSC Bougainville to Cardno from 2018</w:t>
      </w:r>
      <w:r>
        <w:t>-2020</w:t>
      </w:r>
      <w:r w:rsidRPr="00D653B8">
        <w:t>. Under the TSSP2, the PMSC supported the effective and efficient planning and delivery of road maintenance and rehabilitation contracts in the Autonomous Region of Bougainville</w:t>
      </w:r>
      <w:r>
        <w:t xml:space="preserve">. </w:t>
      </w:r>
      <w:r w:rsidRPr="005D7DFE">
        <w:t>The Community Work Arrangements (CWA) is one of the components of PMSC Bougainville</w:t>
      </w:r>
      <w:r w:rsidR="00F419F4">
        <w:t>'s</w:t>
      </w:r>
      <w:r w:rsidRPr="005D7DFE">
        <w:t xml:space="preserve"> scope of services. Program reports note that CWAs is an important component of the road maintenance program spending approximately 20 </w:t>
      </w:r>
      <w:r>
        <w:t>to</w:t>
      </w:r>
      <w:r w:rsidRPr="005D7DFE">
        <w:t xml:space="preserve"> 24% of the maintenance budget program. CWAs perform grass cutting and drain cleaning</w:t>
      </w:r>
      <w:r w:rsidR="003F7F78">
        <w:t>,</w:t>
      </w:r>
      <w:r w:rsidRPr="005D7DFE">
        <w:t xml:space="preserve"> which is an integral part of the road maintenance program by ensuring water can drain off the road appropriately </w:t>
      </w:r>
      <w:r w:rsidR="00481F15">
        <w:t>so</w:t>
      </w:r>
      <w:r w:rsidRPr="005D7DFE">
        <w:t xml:space="preserve"> the road stays in better condition longer. </w:t>
      </w:r>
      <w:r w:rsidRPr="00F34572">
        <w:t>Over the course of TSSP2</w:t>
      </w:r>
      <w:r>
        <w:t>,</w:t>
      </w:r>
      <w:r w:rsidRPr="00F34572">
        <w:t xml:space="preserve"> </w:t>
      </w:r>
      <w:r>
        <w:t xml:space="preserve">reporting indicates that </w:t>
      </w:r>
      <w:r w:rsidRPr="00F34572">
        <w:t>the use of CWAs not only provided valuable income to everyday Bougainvilleans but increased access for both women and men to the benefits of financial services (via access to MiCash accounts).</w:t>
      </w:r>
      <w:r>
        <w:t xml:space="preserve"> </w:t>
      </w:r>
      <w:r w:rsidR="0002301E">
        <w:t xml:space="preserve">Reports note that </w:t>
      </w:r>
      <w:r w:rsidR="007612C7">
        <w:t xml:space="preserve">in </w:t>
      </w:r>
      <w:r w:rsidR="009F0915" w:rsidRPr="009F0915">
        <w:t xml:space="preserve">Bougainville </w:t>
      </w:r>
      <w:r w:rsidR="008B3D97">
        <w:t xml:space="preserve">9,750 </w:t>
      </w:r>
      <w:r w:rsidR="009F0915" w:rsidRPr="009F0915">
        <w:t>women participating in community works have seen an increase in their income, which has enabled them to open bank accounts and increase their daily income.</w:t>
      </w:r>
    </w:p>
    <w:p w14:paraId="74395928" w14:textId="15D6B600" w:rsidR="00566EE1" w:rsidRPr="000F23C9" w:rsidRDefault="00566EE1" w:rsidP="004C2507">
      <w:pPr>
        <w:pStyle w:val="Heading2"/>
      </w:pPr>
      <w:bookmarkStart w:id="45" w:name="_Toc99121786"/>
      <w:r w:rsidRPr="000F23C9">
        <w:t>Conclusions</w:t>
      </w:r>
      <w:bookmarkEnd w:id="45"/>
      <w:r w:rsidRPr="000F23C9">
        <w:t xml:space="preserve"> </w:t>
      </w:r>
    </w:p>
    <w:p w14:paraId="3A6AE7DE" w14:textId="303C8596" w:rsidR="004E7381" w:rsidRPr="000F23C9" w:rsidRDefault="004E7381" w:rsidP="004C2507">
      <w:pPr>
        <w:pStyle w:val="BodyText"/>
      </w:pPr>
      <w:r w:rsidRPr="000F23C9">
        <w:t>A deteriorating fiscal environment, challenging political context, complex and fragmented governance and implementation framework ha</w:t>
      </w:r>
      <w:r w:rsidR="009830FE">
        <w:t>s</w:t>
      </w:r>
      <w:r w:rsidRPr="000F23C9">
        <w:t xml:space="preserve"> made it very challenging for TSSP2 to progress </w:t>
      </w:r>
      <w:r w:rsidR="00C72D40">
        <w:t>their EOPOs</w:t>
      </w:r>
      <w:r w:rsidR="00516BA2" w:rsidRPr="000F23C9">
        <w:t xml:space="preserve">. </w:t>
      </w:r>
      <w:r w:rsidRPr="000F23C9">
        <w:t>But despite these challenges, and more recently in the face of a considerable interruption to business continuity as a result of COVID-19, TSSP2 continues to deliver essential and highly valued support for land transport, maritime, and aviation sectors and sustained support for organisation reform, engagement, and performance.</w:t>
      </w:r>
    </w:p>
    <w:p w14:paraId="324E104F" w14:textId="12506451" w:rsidR="004E7381" w:rsidRPr="000F23C9" w:rsidRDefault="004E7381" w:rsidP="004C2507">
      <w:pPr>
        <w:pStyle w:val="BodyText"/>
      </w:pPr>
      <w:r w:rsidRPr="000F23C9">
        <w:t>Technical Assistance (TA) remains a critical component underpinning TSSP2’s investment in transport</w:t>
      </w:r>
      <w:r w:rsidR="00955F00">
        <w:t xml:space="preserve"> </w:t>
      </w:r>
      <w:r w:rsidRPr="000F23C9">
        <w:t>infrastructure, though reports tend to be mixed as to the effectiveness of</w:t>
      </w:r>
      <w:r w:rsidR="009B45CF">
        <w:t xml:space="preserve"> the support. However, there is</w:t>
      </w:r>
      <w:r w:rsidRPr="000F23C9">
        <w:t xml:space="preserve"> </w:t>
      </w:r>
      <w:r w:rsidRPr="000F23C9">
        <w:lastRenderedPageBreak/>
        <w:t xml:space="preserve">consensus that an efficient deployment of TA that works to strengthen government systems and strategies such as Connect PNG and prepare SOEs such as PNG Port’s for earmarked investment is seen by GoPNG as essential to the program achieving its long-term objectives. </w:t>
      </w:r>
    </w:p>
    <w:p w14:paraId="6910D931" w14:textId="51F12982" w:rsidR="004E7381" w:rsidRPr="000F23C9" w:rsidRDefault="004E7381" w:rsidP="004C2507">
      <w:pPr>
        <w:pStyle w:val="BodyText"/>
      </w:pPr>
      <w:r w:rsidRPr="000F23C9">
        <w:t xml:space="preserve">The provision of technical expertise that leveraged established trusted relationships provided the best conditions for progress and stakeholder reports indicate that the relationship between the </w:t>
      </w:r>
      <w:r w:rsidR="00507381">
        <w:t xml:space="preserve">technical </w:t>
      </w:r>
      <w:r w:rsidR="00EF41CF">
        <w:t>adviser</w:t>
      </w:r>
      <w:r w:rsidR="00507381">
        <w:t>s</w:t>
      </w:r>
      <w:r w:rsidRPr="000F23C9">
        <w:t xml:space="preserve"> and agency representatives remains very positive.</w:t>
      </w:r>
    </w:p>
    <w:p w14:paraId="0B71CE8F" w14:textId="771F8CCE" w:rsidR="00566EE1" w:rsidRPr="000F23C9" w:rsidRDefault="00566EE1" w:rsidP="004C2507">
      <w:pPr>
        <w:pStyle w:val="Heading2"/>
      </w:pPr>
      <w:bookmarkStart w:id="46" w:name="_Toc99121787"/>
      <w:r w:rsidRPr="000F23C9">
        <w:t>Recommendations</w:t>
      </w:r>
      <w:bookmarkEnd w:id="46"/>
      <w:r w:rsidRPr="000F23C9">
        <w:t xml:space="preserve"> </w:t>
      </w:r>
    </w:p>
    <w:p w14:paraId="57FBD21A" w14:textId="4642E565" w:rsidR="004E7381" w:rsidRDefault="004E7381" w:rsidP="004C2507">
      <w:pPr>
        <w:pStyle w:val="BodyText"/>
      </w:pPr>
      <w:r w:rsidRPr="000F23C9">
        <w:rPr>
          <w:b/>
          <w:color w:val="003478"/>
        </w:rPr>
        <w:t xml:space="preserve">Recommendation </w:t>
      </w:r>
      <w:r w:rsidR="00611201">
        <w:rPr>
          <w:b/>
          <w:color w:val="003478"/>
        </w:rPr>
        <w:t>4.</w:t>
      </w:r>
      <w:r w:rsidR="00E25C19">
        <w:rPr>
          <w:b/>
          <w:color w:val="003478"/>
        </w:rPr>
        <w:t>1</w:t>
      </w:r>
      <w:r w:rsidR="00611201">
        <w:rPr>
          <w:b/>
          <w:color w:val="003478"/>
        </w:rPr>
        <w:t>:</w:t>
      </w:r>
      <w:r w:rsidRPr="000F23C9">
        <w:rPr>
          <w:b/>
          <w:bCs/>
          <w:color w:val="003478"/>
        </w:rPr>
        <w:t xml:space="preserve"> </w:t>
      </w:r>
      <w:r w:rsidR="00FC159C">
        <w:t>That</w:t>
      </w:r>
      <w:r w:rsidRPr="000F23C9">
        <w:t xml:space="preserve"> TSSP2 continue to develop a standardised financial reporting framework that rationalises TSSP2 program expenditure into activities that can be linked directly to the EOPOs. It would also be useful for TSSP2 annual reports to include GoPNG performance data </w:t>
      </w:r>
      <w:r w:rsidR="00D14338" w:rsidRPr="000F23C9">
        <w:t>e.g.,</w:t>
      </w:r>
      <w:r w:rsidRPr="000F23C9">
        <w:t xml:space="preserve"> expenditure and km</w:t>
      </w:r>
      <w:r w:rsidR="00F76AD1">
        <w:t xml:space="preserve"> are</w:t>
      </w:r>
      <w:r w:rsidRPr="000F23C9">
        <w:t xml:space="preserve"> maintained by DoW itself, in order for TSSP2 to </w:t>
      </w:r>
      <w:r w:rsidR="00704FCB" w:rsidRPr="000F23C9">
        <w:t>monitor</w:t>
      </w:r>
      <w:r w:rsidRPr="000F23C9">
        <w:t xml:space="preserve"> the impact of program activities on the whole network maintenance program, not just those km’s </w:t>
      </w:r>
      <w:r w:rsidR="000A4F00">
        <w:t xml:space="preserve">funded and </w:t>
      </w:r>
      <w:r w:rsidRPr="000F23C9">
        <w:t>maintained by TSSP.</w:t>
      </w:r>
    </w:p>
    <w:p w14:paraId="23DAEB18" w14:textId="234CE282" w:rsidR="00E15F55" w:rsidRPr="000F23C9" w:rsidRDefault="00E15F55" w:rsidP="00F31BFE">
      <w:pPr>
        <w:pStyle w:val="BodyText"/>
      </w:pPr>
      <w:r w:rsidRPr="000F23C9">
        <w:rPr>
          <w:b/>
          <w:color w:val="003478"/>
        </w:rPr>
        <w:t xml:space="preserve">Recommendation </w:t>
      </w:r>
      <w:r>
        <w:rPr>
          <w:b/>
          <w:color w:val="003478"/>
        </w:rPr>
        <w:t>4.2:</w:t>
      </w:r>
      <w:r w:rsidRPr="000F23C9">
        <w:rPr>
          <w:b/>
          <w:bCs/>
          <w:color w:val="003478"/>
        </w:rPr>
        <w:t xml:space="preserve"> </w:t>
      </w:r>
      <w:r w:rsidR="0020500D">
        <w:t>With new road policies and legislations</w:t>
      </w:r>
      <w:r w:rsidR="00606B93">
        <w:t xml:space="preserve"> passed</w:t>
      </w:r>
      <w:r w:rsidR="0020500D">
        <w:t xml:space="preserve">, </w:t>
      </w:r>
      <w:r w:rsidRPr="000F23C9">
        <w:t xml:space="preserve">TSSP2 </w:t>
      </w:r>
      <w:r w:rsidR="0069578A">
        <w:t xml:space="preserve">should </w:t>
      </w:r>
      <w:r w:rsidR="00CC4A2C">
        <w:t xml:space="preserve">support </w:t>
      </w:r>
      <w:r>
        <w:t xml:space="preserve">the </w:t>
      </w:r>
      <w:r w:rsidR="0020500D">
        <w:t xml:space="preserve">establishment </w:t>
      </w:r>
      <w:r w:rsidR="00687118">
        <w:t xml:space="preserve">and operationalisation of </w:t>
      </w:r>
      <w:r w:rsidR="00606B93">
        <w:t xml:space="preserve">these new </w:t>
      </w:r>
      <w:r w:rsidR="00687118">
        <w:t xml:space="preserve">road </w:t>
      </w:r>
      <w:r w:rsidR="00CC4A2C">
        <w:t xml:space="preserve">transport </w:t>
      </w:r>
      <w:r w:rsidR="00687118">
        <w:t xml:space="preserve">agencies formed such as the PNG Road Fund. This will </w:t>
      </w:r>
      <w:r w:rsidR="007D5C29">
        <w:t xml:space="preserve">help </w:t>
      </w:r>
      <w:r w:rsidR="00687118">
        <w:t>ensure that the gains</w:t>
      </w:r>
      <w:r w:rsidR="00F31BFE">
        <w:t xml:space="preserve"> through</w:t>
      </w:r>
      <w:r w:rsidR="00C825EE">
        <w:t xml:space="preserve"> these</w:t>
      </w:r>
      <w:r w:rsidR="00D7050C">
        <w:t xml:space="preserve"> </w:t>
      </w:r>
      <w:r w:rsidR="00F31BFE">
        <w:t>legislations are not eroded</w:t>
      </w:r>
      <w:r w:rsidR="00606B93">
        <w:t xml:space="preserve"> but rather supported so that they get implemented. </w:t>
      </w:r>
    </w:p>
    <w:p w14:paraId="72B80DDA" w14:textId="31DD3A1D" w:rsidR="004E7381" w:rsidRPr="000F23C9" w:rsidRDefault="004E7381" w:rsidP="004C2507">
      <w:pPr>
        <w:pStyle w:val="BodyText"/>
      </w:pPr>
      <w:r w:rsidRPr="000F23C9">
        <w:rPr>
          <w:b/>
          <w:color w:val="003478"/>
        </w:rPr>
        <w:t xml:space="preserve">Recommendation </w:t>
      </w:r>
      <w:r w:rsidR="00611201">
        <w:rPr>
          <w:b/>
          <w:color w:val="003478"/>
        </w:rPr>
        <w:t>4.3</w:t>
      </w:r>
      <w:r w:rsidRPr="000F23C9">
        <w:rPr>
          <w:b/>
          <w:color w:val="003478"/>
        </w:rPr>
        <w:t xml:space="preserve">: </w:t>
      </w:r>
      <w:r w:rsidR="008375AE" w:rsidRPr="00BB42AE">
        <w:t>That</w:t>
      </w:r>
      <w:r w:rsidR="000A4F00" w:rsidRPr="00BB42AE">
        <w:t xml:space="preserve"> TSSP2</w:t>
      </w:r>
      <w:r w:rsidR="000A4F00">
        <w:rPr>
          <w:b/>
          <w:bCs/>
          <w:color w:val="003478"/>
        </w:rPr>
        <w:t xml:space="preserve"> </w:t>
      </w:r>
      <w:r w:rsidR="000A4F00">
        <w:t>c</w:t>
      </w:r>
      <w:r w:rsidRPr="000F23C9">
        <w:t>ontinue</w:t>
      </w:r>
      <w:r w:rsidR="008B47D0">
        <w:t>s</w:t>
      </w:r>
      <w:r w:rsidRPr="000F23C9">
        <w:t xml:space="preserve"> to invest in the DoW asset management function commenced in 2019 with the delivery of initial road condition data collection processes and </w:t>
      </w:r>
      <w:r w:rsidR="00635AB9">
        <w:t xml:space="preserve">continuous engagement </w:t>
      </w:r>
      <w:r w:rsidR="00995071">
        <w:t>w</w:t>
      </w:r>
      <w:r w:rsidR="00635AB9">
        <w:t xml:space="preserve">ith </w:t>
      </w:r>
      <w:r w:rsidRPr="000F23C9">
        <w:t xml:space="preserve">DoW’s Asset Management Branch with TSSP2 Advisers. This should be viewed as a long-term and essential road network management function, which will support the legislative reforms to be implemented in 2020/2021 and </w:t>
      </w:r>
      <w:r w:rsidR="00965EB4">
        <w:t xml:space="preserve">help to </w:t>
      </w:r>
      <w:r w:rsidRPr="000F23C9">
        <w:t xml:space="preserve">ensure maximum efficiency in the management of the national </w:t>
      </w:r>
      <w:r w:rsidRPr="009830FE">
        <w:t>road network.</w:t>
      </w:r>
    </w:p>
    <w:p w14:paraId="05785F4D" w14:textId="2FBFABB1" w:rsidR="002A6329" w:rsidRDefault="00B17EBB" w:rsidP="0024772A">
      <w:pPr>
        <w:pStyle w:val="Heading1"/>
      </w:pPr>
      <w:bookmarkStart w:id="47" w:name="_Toc99121788"/>
      <w:r w:rsidRPr="004C2507">
        <w:t>Complementarity</w:t>
      </w:r>
      <w:r>
        <w:t xml:space="preserve"> </w:t>
      </w:r>
      <w:r w:rsidRPr="0024772A">
        <w:t>between</w:t>
      </w:r>
      <w:r w:rsidR="002A6329">
        <w:t xml:space="preserve"> </w:t>
      </w:r>
      <w:r w:rsidR="004B513D">
        <w:t>TSSP2 and AIFFP</w:t>
      </w:r>
      <w:bookmarkEnd w:id="47"/>
      <w:r w:rsidR="001826CF">
        <w:t xml:space="preserve"> </w:t>
      </w:r>
    </w:p>
    <w:p w14:paraId="5FF80E3C" w14:textId="7305F50F" w:rsidR="008B0621" w:rsidRPr="004C2507" w:rsidRDefault="004E2848" w:rsidP="008B0621">
      <w:pPr>
        <w:pStyle w:val="BodyText"/>
      </w:pPr>
      <w:r w:rsidRPr="00796B89">
        <w:t xml:space="preserve">This </w:t>
      </w:r>
      <w:r>
        <w:t>chapter</w:t>
      </w:r>
      <w:r w:rsidRPr="00796B89">
        <w:t xml:space="preserve"> assesses TSSP</w:t>
      </w:r>
      <w:r>
        <w:t>2’s</w:t>
      </w:r>
      <w:r w:rsidRPr="00796B89">
        <w:t xml:space="preserve"> recent </w:t>
      </w:r>
      <w:r>
        <w:t xml:space="preserve">engagement with </w:t>
      </w:r>
      <w:r w:rsidRPr="00796B89">
        <w:t>the AIFFP, including</w:t>
      </w:r>
      <w:r>
        <w:t xml:space="preserve"> the provision of support</w:t>
      </w:r>
      <w:r w:rsidRPr="00796B89">
        <w:t xml:space="preserve"> for project preparation</w:t>
      </w:r>
      <w:r>
        <w:t>. The ch</w:t>
      </w:r>
      <w:r w:rsidR="006C36EE">
        <w:t>ap</w:t>
      </w:r>
      <w:r>
        <w:t>ter also provides areas for consideration and issues to be considered when designing TSSP</w:t>
      </w:r>
      <w:r w:rsidRPr="00796B89">
        <w:t xml:space="preserve">3. </w:t>
      </w:r>
    </w:p>
    <w:p w14:paraId="5DCF39D1" w14:textId="308C27D8" w:rsidR="004B513D" w:rsidRPr="00796B89" w:rsidRDefault="004B513D" w:rsidP="004C2507">
      <w:pPr>
        <w:pStyle w:val="Heading2"/>
      </w:pPr>
      <w:bookmarkStart w:id="48" w:name="_Toc99121789"/>
      <w:r w:rsidRPr="00796B89">
        <w:t>Key findings</w:t>
      </w:r>
      <w:bookmarkEnd w:id="48"/>
    </w:p>
    <w:p w14:paraId="7114D06F" w14:textId="6FBDDE3E" w:rsidR="00AB4BC4" w:rsidRDefault="00A47D71" w:rsidP="004C2507">
      <w:pPr>
        <w:pStyle w:val="BodyText"/>
      </w:pPr>
      <w:r w:rsidRPr="0076011C">
        <w:rPr>
          <w:rFonts w:cs="Arial"/>
          <w:color w:val="4C7B9E" w:themeColor="accent2"/>
        </w:rPr>
        <w:t>KEQ</w:t>
      </w:r>
      <w:r w:rsidR="00C05AD1" w:rsidRPr="0076011C">
        <w:rPr>
          <w:rFonts w:cs="Arial"/>
          <w:color w:val="4C7B9E" w:themeColor="accent2"/>
        </w:rPr>
        <w:t xml:space="preserve"> 7</w:t>
      </w:r>
      <w:r w:rsidRPr="0076011C">
        <w:rPr>
          <w:rFonts w:cs="Arial"/>
          <w:color w:val="4C7B9E" w:themeColor="accent2"/>
        </w:rPr>
        <w:t>: How can the work between TSSP and AIFFP be improved to ensure complementarity between the two programs?</w:t>
      </w:r>
      <w:r w:rsidR="00491F73" w:rsidRPr="00796B89">
        <w:rPr>
          <w:rFonts w:cs="Arial"/>
          <w:color w:val="4C7B9E" w:themeColor="background2"/>
        </w:rPr>
        <w:t xml:space="preserve"> </w:t>
      </w:r>
      <w:r w:rsidR="00AB4BC4" w:rsidRPr="00796B89">
        <w:t xml:space="preserve">TSSP2 has been working with </w:t>
      </w:r>
      <w:r w:rsidR="002846FA">
        <w:t xml:space="preserve">the </w:t>
      </w:r>
      <w:r w:rsidR="00AB4BC4" w:rsidRPr="00796B89">
        <w:t xml:space="preserve">AIFFP in PNG since 2019, leveraging TSSP2 local knowledge in pursuit of </w:t>
      </w:r>
      <w:r w:rsidR="00AB4BC4" w:rsidRPr="004C2507">
        <w:t>infrastructure</w:t>
      </w:r>
      <w:r w:rsidR="00AB4BC4" w:rsidRPr="00796B89">
        <w:t xml:space="preserve"> opportunities that broaden DFAT’s investment portfolio in transport infrastructure (beyond the maintenance of road infrastructure) and facilitate involvement in GoPNG’s national infrastructure aspirations e.g., Connect</w:t>
      </w:r>
      <w:r w:rsidR="00157428">
        <w:t xml:space="preserve"> </w:t>
      </w:r>
      <w:r w:rsidR="00AB4BC4" w:rsidRPr="00796B89">
        <w:t xml:space="preserve">PNG. </w:t>
      </w:r>
    </w:p>
    <w:p w14:paraId="468D2856" w14:textId="73939BFC" w:rsidR="00AB4BC4" w:rsidRPr="00796B89" w:rsidRDefault="00781F4B" w:rsidP="00AB4BC4">
      <w:pPr>
        <w:pStyle w:val="BodyText"/>
        <w:rPr>
          <w:rFonts w:cs="Arial"/>
        </w:rPr>
      </w:pPr>
      <w:r w:rsidRPr="00995071">
        <w:rPr>
          <w:rFonts w:cs="Arial"/>
        </w:rPr>
        <w:t xml:space="preserve">The collaboration between TSSP2 and AIFFP since 2019 has leveraged TSSP2’s local knowledge in pursuit of both road and maritime infrastructure opportunities that have broadened DFAT’s investment portfolio in transport infrastructure in PNG. TSSP2 and DFAT staff reported that the prospect of AIFFP financing will enableTSSP2 to significantly increase its investments </w:t>
      </w:r>
      <w:r w:rsidR="00E424E8" w:rsidRPr="00995071">
        <w:rPr>
          <w:rFonts w:cs="Arial"/>
        </w:rPr>
        <w:t xml:space="preserve">in the </w:t>
      </w:r>
      <w:r w:rsidRPr="00995071">
        <w:rPr>
          <w:rFonts w:cs="Arial"/>
        </w:rPr>
        <w:t>maritime infrastructure</w:t>
      </w:r>
      <w:r w:rsidR="000C57B9" w:rsidRPr="00995071">
        <w:rPr>
          <w:rFonts w:cs="Arial"/>
        </w:rPr>
        <w:t xml:space="preserve"> (see Chapter 1)</w:t>
      </w:r>
      <w:r w:rsidR="00A728BD">
        <w:rPr>
          <w:rFonts w:cs="Arial"/>
        </w:rPr>
        <w:t>.</w:t>
      </w:r>
      <w:r w:rsidR="000C57B9" w:rsidRPr="00995071">
        <w:rPr>
          <w:rFonts w:cs="Arial"/>
        </w:rPr>
        <w:t xml:space="preserve"> </w:t>
      </w:r>
      <w:r w:rsidR="00AB4BC4" w:rsidRPr="00796B89">
        <w:rPr>
          <w:rFonts w:cs="Arial"/>
        </w:rPr>
        <w:t>For example, AIFFP</w:t>
      </w:r>
      <w:r w:rsidR="00D7050C">
        <w:rPr>
          <w:rFonts w:cs="Arial"/>
        </w:rPr>
        <w:t xml:space="preserve"> </w:t>
      </w:r>
      <w:r w:rsidR="00332EF3">
        <w:rPr>
          <w:rFonts w:cs="Arial"/>
        </w:rPr>
        <w:t xml:space="preserve">and GoPNG </w:t>
      </w:r>
      <w:r w:rsidR="00D96C27">
        <w:rPr>
          <w:rFonts w:cs="Arial"/>
        </w:rPr>
        <w:t xml:space="preserve">have as of 21 January 2022 </w:t>
      </w:r>
      <w:r w:rsidR="00802296">
        <w:rPr>
          <w:rFonts w:cs="Arial"/>
        </w:rPr>
        <w:t>entered</w:t>
      </w:r>
      <w:r w:rsidR="00D96C27">
        <w:rPr>
          <w:rFonts w:cs="Arial"/>
        </w:rPr>
        <w:t xml:space="preserve"> into an agreement </w:t>
      </w:r>
      <w:r w:rsidR="00AB4BC4" w:rsidRPr="00796B89">
        <w:rPr>
          <w:rFonts w:cs="Arial"/>
        </w:rPr>
        <w:t xml:space="preserve">to </w:t>
      </w:r>
      <w:r w:rsidR="00802296">
        <w:rPr>
          <w:rFonts w:cs="Arial"/>
        </w:rPr>
        <w:t>provide</w:t>
      </w:r>
      <w:r w:rsidR="00F36CA3">
        <w:rPr>
          <w:rFonts w:cs="Arial"/>
        </w:rPr>
        <w:t xml:space="preserve"> </w:t>
      </w:r>
      <w:r w:rsidR="00F97BB4" w:rsidRPr="00796B89">
        <w:rPr>
          <w:rFonts w:cs="Arial"/>
        </w:rPr>
        <w:t>AUD</w:t>
      </w:r>
      <w:r w:rsidR="00A728BD">
        <w:rPr>
          <w:rFonts w:cs="Arial"/>
        </w:rPr>
        <w:t>580</w:t>
      </w:r>
      <w:r w:rsidR="00F97BB4">
        <w:rPr>
          <w:rFonts w:cs="Arial"/>
        </w:rPr>
        <w:t xml:space="preserve"> million</w:t>
      </w:r>
      <w:r w:rsidR="006C36EE">
        <w:rPr>
          <w:rFonts w:cs="Arial"/>
        </w:rPr>
        <w:t xml:space="preserve"> </w:t>
      </w:r>
      <w:r w:rsidR="00AB4BC4" w:rsidRPr="00796B89">
        <w:rPr>
          <w:rFonts w:cs="Arial"/>
        </w:rPr>
        <w:t>to improve 6</w:t>
      </w:r>
      <w:r w:rsidR="00766205">
        <w:rPr>
          <w:rFonts w:cs="Arial"/>
        </w:rPr>
        <w:t xml:space="preserve"> </w:t>
      </w:r>
      <w:r w:rsidR="00AB4BC4" w:rsidRPr="00796B89">
        <w:rPr>
          <w:rFonts w:cs="Arial"/>
        </w:rPr>
        <w:t>to 7 ports owned by PNG Ports Corporation. TSSP2 assisted with the preparatory work to support AIFFP reach an investment decision</w:t>
      </w:r>
      <w:r w:rsidR="008A1B68">
        <w:rPr>
          <w:rFonts w:cs="Arial"/>
        </w:rPr>
        <w:t xml:space="preserve"> for funding to PNG Ports</w:t>
      </w:r>
      <w:r w:rsidR="00AB4BC4" w:rsidRPr="00796B89">
        <w:rPr>
          <w:rFonts w:cs="Arial"/>
        </w:rPr>
        <w:t xml:space="preserve">. TSSP2 has also provided similar functions to support AIFFP’s proposed investment in the Trans-Island Highway. </w:t>
      </w:r>
    </w:p>
    <w:p w14:paraId="71D1D7E9" w14:textId="486D1432" w:rsidR="00995071" w:rsidRDefault="00AB4BC4" w:rsidP="00AB4BC4">
      <w:pPr>
        <w:pStyle w:val="BodyText"/>
        <w:rPr>
          <w:rFonts w:cs="Arial"/>
        </w:rPr>
      </w:pPr>
      <w:r w:rsidRPr="00796B89">
        <w:rPr>
          <w:rFonts w:cs="Arial"/>
        </w:rPr>
        <w:t xml:space="preserve">The support for port development is a good example of TSSP2 leveraging internal technical capacity and external sources of funding to support an expansion into transport modes outside of the traditional investment </w:t>
      </w:r>
      <w:r w:rsidR="00E21E61">
        <w:rPr>
          <w:rFonts w:cs="Arial"/>
        </w:rPr>
        <w:t xml:space="preserve">in </w:t>
      </w:r>
      <w:r w:rsidRPr="00796B89">
        <w:rPr>
          <w:rFonts w:cs="Arial"/>
        </w:rPr>
        <w:t xml:space="preserve">inland transportation. The expansion into port development will provide critical transport services in remote regions </w:t>
      </w:r>
      <w:r w:rsidR="00E21E61">
        <w:rPr>
          <w:rFonts w:cs="Arial"/>
        </w:rPr>
        <w:t xml:space="preserve">and </w:t>
      </w:r>
      <w:r w:rsidRPr="00796B89">
        <w:rPr>
          <w:rFonts w:cs="Arial"/>
        </w:rPr>
        <w:t xml:space="preserve">in locations where the construction and maintenance of a traditional road network </w:t>
      </w:r>
      <w:r w:rsidR="00173A02">
        <w:rPr>
          <w:rFonts w:cs="Arial"/>
        </w:rPr>
        <w:t>w</w:t>
      </w:r>
      <w:r w:rsidR="00FE2FA2">
        <w:rPr>
          <w:rFonts w:cs="Arial"/>
        </w:rPr>
        <w:t>ere</w:t>
      </w:r>
      <w:r w:rsidR="00173A02">
        <w:rPr>
          <w:rFonts w:cs="Arial"/>
        </w:rPr>
        <w:t xml:space="preserve"> </w:t>
      </w:r>
      <w:r w:rsidR="007F25E2">
        <w:rPr>
          <w:rFonts w:cs="Arial"/>
        </w:rPr>
        <w:t xml:space="preserve">considered </w:t>
      </w:r>
      <w:r w:rsidRPr="00796B89">
        <w:rPr>
          <w:rFonts w:cs="Arial"/>
        </w:rPr>
        <w:t xml:space="preserve">both impractical and </w:t>
      </w:r>
      <w:r w:rsidR="00D14338" w:rsidRPr="00796B89">
        <w:rPr>
          <w:rFonts w:cs="Arial"/>
        </w:rPr>
        <w:t>cost</w:t>
      </w:r>
      <w:r w:rsidR="000C6954">
        <w:rPr>
          <w:rFonts w:cs="Arial"/>
        </w:rPr>
        <w:t>-</w:t>
      </w:r>
      <w:r w:rsidR="00D14338">
        <w:rPr>
          <w:rFonts w:cs="Arial"/>
        </w:rPr>
        <w:t>prohibitive</w:t>
      </w:r>
      <w:r w:rsidR="00995071">
        <w:rPr>
          <w:rFonts w:cs="Arial"/>
        </w:rPr>
        <w:t>.</w:t>
      </w:r>
    </w:p>
    <w:p w14:paraId="3D50EA13" w14:textId="00D3FC80" w:rsidR="00A05942" w:rsidRPr="00796B89" w:rsidRDefault="00F71399" w:rsidP="00AB4BC4">
      <w:pPr>
        <w:pStyle w:val="BodyText"/>
        <w:rPr>
          <w:rFonts w:cs="Arial"/>
        </w:rPr>
      </w:pPr>
      <w:r>
        <w:rPr>
          <w:rFonts w:cs="Arial"/>
        </w:rPr>
        <w:t xml:space="preserve">Some DFAT and AIFFP stakeholders reported that </w:t>
      </w:r>
      <w:r w:rsidR="00901E96" w:rsidRPr="00796B89">
        <w:rPr>
          <w:rFonts w:cs="Arial"/>
        </w:rPr>
        <w:t xml:space="preserve">the </w:t>
      </w:r>
      <w:r w:rsidR="00AB4BC4" w:rsidRPr="00796B89">
        <w:rPr>
          <w:rFonts w:cs="Arial"/>
        </w:rPr>
        <w:t>AIFFP and TSSP2 have delineated roles. AIFFP can only fund discrete projects e.g., a port, approved at the highest levels of the government</w:t>
      </w:r>
      <w:r w:rsidR="00AC4655">
        <w:rPr>
          <w:rFonts w:cs="Arial"/>
        </w:rPr>
        <w:t>.</w:t>
      </w:r>
    </w:p>
    <w:p w14:paraId="2D697E8E" w14:textId="1CF4A6A5" w:rsidR="00AB4BC4" w:rsidRPr="00796B89" w:rsidRDefault="00AB4BC4" w:rsidP="00AB4BC4">
      <w:pPr>
        <w:pStyle w:val="BodyText"/>
        <w:rPr>
          <w:rFonts w:cs="Arial"/>
        </w:rPr>
      </w:pPr>
      <w:r w:rsidRPr="00796B89">
        <w:rPr>
          <w:rFonts w:cs="Arial"/>
        </w:rPr>
        <w:t>AIFFP is</w:t>
      </w:r>
      <w:r w:rsidR="00AC4655">
        <w:rPr>
          <w:rFonts w:cs="Arial"/>
        </w:rPr>
        <w:t xml:space="preserve"> a separate Australian Government</w:t>
      </w:r>
      <w:r w:rsidR="00DE425F">
        <w:rPr>
          <w:rFonts w:cs="Arial"/>
        </w:rPr>
        <w:t xml:space="preserve"> facility</w:t>
      </w:r>
      <w:r w:rsidRPr="00796B89">
        <w:rPr>
          <w:rFonts w:cs="Arial"/>
        </w:rPr>
        <w:t xml:space="preserve"> that is not dependent on TSSP2</w:t>
      </w:r>
      <w:r w:rsidR="00FF07AF">
        <w:rPr>
          <w:rFonts w:cs="Arial"/>
        </w:rPr>
        <w:t>’s</w:t>
      </w:r>
      <w:r w:rsidRPr="00796B89">
        <w:rPr>
          <w:rFonts w:cs="Arial"/>
        </w:rPr>
        <w:t xml:space="preserve"> capabilities to plan and deliver infrastructure investments. The requirements to obtain AIFFP </w:t>
      </w:r>
      <w:r w:rsidR="002473DC">
        <w:rPr>
          <w:rFonts w:cs="Arial"/>
        </w:rPr>
        <w:t>B</w:t>
      </w:r>
      <w:r w:rsidRPr="00796B89">
        <w:rPr>
          <w:rFonts w:cs="Arial"/>
        </w:rPr>
        <w:t xml:space="preserve">oard endorsement and Australian </w:t>
      </w:r>
      <w:r w:rsidR="008E3DA1">
        <w:rPr>
          <w:rFonts w:cs="Arial"/>
        </w:rPr>
        <w:t>G</w:t>
      </w:r>
      <w:r w:rsidR="008E3DA1" w:rsidRPr="00796B89">
        <w:rPr>
          <w:rFonts w:cs="Arial"/>
        </w:rPr>
        <w:t xml:space="preserve">overnment </w:t>
      </w:r>
      <w:r w:rsidRPr="00796B89">
        <w:rPr>
          <w:rFonts w:cs="Arial"/>
        </w:rPr>
        <w:t>approval for an AIFFP</w:t>
      </w:r>
      <w:r w:rsidR="009E2D74">
        <w:rPr>
          <w:rFonts w:cs="Arial"/>
        </w:rPr>
        <w:t>-</w:t>
      </w:r>
      <w:r w:rsidRPr="00796B89">
        <w:rPr>
          <w:rFonts w:cs="Arial"/>
        </w:rPr>
        <w:t xml:space="preserve">financed investment are not subject to DFAT aid delivery standards, though they do share many of the same principles </w:t>
      </w:r>
      <w:r w:rsidR="00D14338" w:rsidRPr="00796B89">
        <w:rPr>
          <w:rFonts w:cs="Arial"/>
        </w:rPr>
        <w:t>i.e.,</w:t>
      </w:r>
      <w:r w:rsidRPr="00796B89">
        <w:rPr>
          <w:rFonts w:cs="Arial"/>
        </w:rPr>
        <w:t xml:space="preserve"> </w:t>
      </w:r>
      <w:r w:rsidR="00FA3490">
        <w:rPr>
          <w:rFonts w:cs="Arial"/>
        </w:rPr>
        <w:t xml:space="preserve">environmental and social </w:t>
      </w:r>
      <w:r w:rsidRPr="00796B89">
        <w:rPr>
          <w:rFonts w:cs="Arial"/>
        </w:rPr>
        <w:t xml:space="preserve">safeguards, </w:t>
      </w:r>
      <w:r w:rsidR="00D87D58">
        <w:rPr>
          <w:rFonts w:cs="Arial"/>
        </w:rPr>
        <w:t>GEDSI</w:t>
      </w:r>
      <w:r w:rsidR="00FA3490">
        <w:rPr>
          <w:rFonts w:cs="Arial"/>
        </w:rPr>
        <w:t xml:space="preserve">, </w:t>
      </w:r>
      <w:r w:rsidRPr="00796B89">
        <w:rPr>
          <w:rFonts w:cs="Arial"/>
        </w:rPr>
        <w:t>inclusion</w:t>
      </w:r>
      <w:r w:rsidR="00FA3490">
        <w:rPr>
          <w:rFonts w:cs="Arial"/>
        </w:rPr>
        <w:t xml:space="preserve"> and </w:t>
      </w:r>
      <w:r w:rsidRPr="00796B89">
        <w:rPr>
          <w:rFonts w:cs="Arial"/>
        </w:rPr>
        <w:t xml:space="preserve">transparency. </w:t>
      </w:r>
    </w:p>
    <w:p w14:paraId="66B9055B" w14:textId="063B6C61" w:rsidR="004F5F5D" w:rsidRDefault="004D03E7" w:rsidP="00AB4BC4">
      <w:pPr>
        <w:pStyle w:val="BodyText"/>
        <w:rPr>
          <w:rFonts w:cs="Arial"/>
        </w:rPr>
      </w:pPr>
      <w:r>
        <w:rPr>
          <w:rFonts w:cs="Arial"/>
        </w:rPr>
        <w:lastRenderedPageBreak/>
        <w:t xml:space="preserve">AIFFP stakeholders </w:t>
      </w:r>
      <w:r w:rsidR="008650C2">
        <w:rPr>
          <w:rFonts w:cs="Arial"/>
        </w:rPr>
        <w:t xml:space="preserve">noted that </w:t>
      </w:r>
      <w:r w:rsidR="004F5F5D" w:rsidRPr="004F5F5D">
        <w:rPr>
          <w:rFonts w:cs="Arial"/>
        </w:rPr>
        <w:t>AIFFP leverages and augments TSSP’s arrangements and teams while leve</w:t>
      </w:r>
      <w:r w:rsidR="000C6954">
        <w:rPr>
          <w:rFonts w:cs="Arial"/>
        </w:rPr>
        <w:t>l</w:t>
      </w:r>
      <w:r w:rsidR="004F5F5D" w:rsidRPr="004F5F5D">
        <w:rPr>
          <w:rFonts w:cs="Arial"/>
        </w:rPr>
        <w:t>ling</w:t>
      </w:r>
      <w:r w:rsidR="008650C2">
        <w:rPr>
          <w:rFonts w:cs="Arial"/>
        </w:rPr>
        <w:t xml:space="preserve"> </w:t>
      </w:r>
      <w:r w:rsidR="004F5F5D" w:rsidRPr="004F5F5D">
        <w:rPr>
          <w:rFonts w:cs="Arial"/>
        </w:rPr>
        <w:t xml:space="preserve">up the norms and standards of Australia’s transport project preparation in PNG to align with international lender standards. Examples include AIFFP working to strengthen TSSP’s approach to environmental impact management in line with </w:t>
      </w:r>
      <w:r w:rsidR="00354255" w:rsidRPr="004F5F5D">
        <w:rPr>
          <w:rFonts w:cs="Arial"/>
        </w:rPr>
        <w:t>I</w:t>
      </w:r>
      <w:r w:rsidR="00354255">
        <w:rPr>
          <w:rFonts w:cs="Arial"/>
        </w:rPr>
        <w:t>nternational</w:t>
      </w:r>
      <w:r w:rsidR="00E43945">
        <w:rPr>
          <w:rFonts w:cs="Arial"/>
        </w:rPr>
        <w:t xml:space="preserve"> </w:t>
      </w:r>
      <w:r w:rsidR="004F5F5D" w:rsidRPr="004F5F5D">
        <w:rPr>
          <w:rFonts w:cs="Arial"/>
        </w:rPr>
        <w:t>F</w:t>
      </w:r>
      <w:r w:rsidR="00E43945">
        <w:rPr>
          <w:rFonts w:cs="Arial"/>
        </w:rPr>
        <w:t xml:space="preserve">inance </w:t>
      </w:r>
      <w:r w:rsidR="004F5F5D" w:rsidRPr="004F5F5D">
        <w:rPr>
          <w:rFonts w:cs="Arial"/>
        </w:rPr>
        <w:t>C</w:t>
      </w:r>
      <w:r w:rsidR="00E43945">
        <w:rPr>
          <w:rFonts w:cs="Arial"/>
        </w:rPr>
        <w:t>orporation (IFC)</w:t>
      </w:r>
      <w:r w:rsidR="004F5F5D" w:rsidRPr="004F5F5D">
        <w:rPr>
          <w:rFonts w:cs="Arial"/>
        </w:rPr>
        <w:t xml:space="preserve"> standards (</w:t>
      </w:r>
      <w:r w:rsidR="00D14338" w:rsidRPr="004F5F5D">
        <w:rPr>
          <w:rFonts w:cs="Arial"/>
        </w:rPr>
        <w:t>e</w:t>
      </w:r>
      <w:r w:rsidR="00D14338">
        <w:rPr>
          <w:rFonts w:cs="Arial"/>
        </w:rPr>
        <w:t>.</w:t>
      </w:r>
      <w:r w:rsidR="00D14338" w:rsidRPr="004F5F5D">
        <w:rPr>
          <w:rFonts w:cs="Arial"/>
        </w:rPr>
        <w:t>g</w:t>
      </w:r>
      <w:r w:rsidR="00D14338">
        <w:rPr>
          <w:rFonts w:cs="Arial"/>
        </w:rPr>
        <w:t>.,</w:t>
      </w:r>
      <w:r w:rsidR="00E43945">
        <w:rPr>
          <w:rFonts w:cs="Arial"/>
        </w:rPr>
        <w:t xml:space="preserve"> </w:t>
      </w:r>
      <w:r w:rsidR="004F5F5D" w:rsidRPr="004F5F5D">
        <w:rPr>
          <w:rFonts w:cs="Arial"/>
        </w:rPr>
        <w:t xml:space="preserve">aggregate sourcing on roads maintenance, increasing the specificity and practicality of gender equality and social inclusion action plans, and originating innovative sectoral </w:t>
      </w:r>
      <w:r w:rsidR="00DE425F">
        <w:rPr>
          <w:rFonts w:cs="Arial"/>
        </w:rPr>
        <w:t>environment and sustainability</w:t>
      </w:r>
      <w:r w:rsidR="004F5F5D" w:rsidRPr="004F5F5D">
        <w:rPr>
          <w:rFonts w:cs="Arial"/>
        </w:rPr>
        <w:t xml:space="preserve"> assessments to orient TSSP’s work on project-level </w:t>
      </w:r>
      <w:r w:rsidR="00C83974">
        <w:rPr>
          <w:rFonts w:cs="Arial"/>
        </w:rPr>
        <w:t>environment and sustainability impact assessments (</w:t>
      </w:r>
      <w:r w:rsidR="004F5F5D" w:rsidRPr="004F5F5D">
        <w:rPr>
          <w:rFonts w:cs="Arial"/>
        </w:rPr>
        <w:t>ESIAs</w:t>
      </w:r>
      <w:r w:rsidR="00C83974">
        <w:rPr>
          <w:rFonts w:cs="Arial"/>
        </w:rPr>
        <w:t>)</w:t>
      </w:r>
      <w:r w:rsidR="004F5F5D" w:rsidRPr="004F5F5D">
        <w:rPr>
          <w:rFonts w:cs="Arial"/>
        </w:rPr>
        <w:t xml:space="preserve">. </w:t>
      </w:r>
      <w:r w:rsidR="003D7B95">
        <w:rPr>
          <w:rFonts w:cs="Arial"/>
        </w:rPr>
        <w:t xml:space="preserve">Overall, </w:t>
      </w:r>
      <w:r w:rsidR="004F5F5D" w:rsidRPr="004F5F5D">
        <w:rPr>
          <w:rFonts w:cs="Arial"/>
        </w:rPr>
        <w:t>TSSP2 is convenient and complementary for AIFFP purposes</w:t>
      </w:r>
    </w:p>
    <w:p w14:paraId="59604964" w14:textId="16BCDAB2" w:rsidR="004B5B13" w:rsidRPr="004C2507" w:rsidRDefault="009046FD" w:rsidP="00A47D71">
      <w:pPr>
        <w:pStyle w:val="BodyText"/>
        <w:rPr>
          <w:bCs/>
        </w:rPr>
      </w:pPr>
      <w:r>
        <w:t xml:space="preserve">Most stakeholders consulted noted that </w:t>
      </w:r>
      <w:r w:rsidR="007C1878" w:rsidRPr="00BB42AE">
        <w:t xml:space="preserve">AIFFP and TSSP2 </w:t>
      </w:r>
      <w:r w:rsidR="007C1878">
        <w:t>should</w:t>
      </w:r>
      <w:r w:rsidR="007C1878" w:rsidRPr="00BB42AE">
        <w:t xml:space="preserve"> work together to leverage the goodwill that TSSP2 has fostered with local agencies over the past decade.</w:t>
      </w:r>
      <w:r w:rsidR="007C1878" w:rsidRPr="00B905A0">
        <w:t xml:space="preserve"> </w:t>
      </w:r>
      <w:r w:rsidR="007C1878" w:rsidRPr="00B905A0">
        <w:rPr>
          <w:bCs/>
        </w:rPr>
        <w:t xml:space="preserve">This </w:t>
      </w:r>
      <w:r w:rsidR="00EF41CE">
        <w:rPr>
          <w:bCs/>
        </w:rPr>
        <w:t>goodwill</w:t>
      </w:r>
      <w:r w:rsidR="007C1878" w:rsidRPr="00B905A0">
        <w:rPr>
          <w:bCs/>
        </w:rPr>
        <w:t xml:space="preserve"> </w:t>
      </w:r>
      <w:r w:rsidR="007C1878">
        <w:rPr>
          <w:bCs/>
        </w:rPr>
        <w:t>is valuable</w:t>
      </w:r>
      <w:r w:rsidR="007C1878" w:rsidRPr="00B905A0">
        <w:rPr>
          <w:bCs/>
        </w:rPr>
        <w:t xml:space="preserve"> as it will </w:t>
      </w:r>
      <w:r w:rsidR="00EF41CE">
        <w:rPr>
          <w:bCs/>
        </w:rPr>
        <w:t xml:space="preserve">expedite </w:t>
      </w:r>
      <w:r w:rsidR="00972332">
        <w:rPr>
          <w:bCs/>
        </w:rPr>
        <w:t xml:space="preserve">a more </w:t>
      </w:r>
      <w:r w:rsidR="007C1878" w:rsidRPr="00B905A0">
        <w:rPr>
          <w:bCs/>
        </w:rPr>
        <w:t>seamless implementation of AIFFP</w:t>
      </w:r>
      <w:r w:rsidR="00BB1BB1">
        <w:rPr>
          <w:bCs/>
        </w:rPr>
        <w:t>-</w:t>
      </w:r>
      <w:r w:rsidR="007C1878" w:rsidRPr="00B905A0">
        <w:rPr>
          <w:bCs/>
        </w:rPr>
        <w:t xml:space="preserve">financed </w:t>
      </w:r>
      <w:r w:rsidR="00BB1BB1">
        <w:rPr>
          <w:bCs/>
        </w:rPr>
        <w:t>investments</w:t>
      </w:r>
      <w:r w:rsidR="007C1878" w:rsidRPr="00B905A0">
        <w:rPr>
          <w:bCs/>
        </w:rPr>
        <w:t xml:space="preserve"> to stakeholder expectations</w:t>
      </w:r>
      <w:r w:rsidR="00262520">
        <w:rPr>
          <w:bCs/>
        </w:rPr>
        <w:t>. H</w:t>
      </w:r>
      <w:r w:rsidR="00B409E8">
        <w:rPr>
          <w:rFonts w:cs="Arial"/>
        </w:rPr>
        <w:t xml:space="preserve">aving AIFFP </w:t>
      </w:r>
      <w:r w:rsidR="00C73136">
        <w:rPr>
          <w:rFonts w:cs="Arial"/>
        </w:rPr>
        <w:t xml:space="preserve">resourcing </w:t>
      </w:r>
      <w:r w:rsidR="00262520">
        <w:rPr>
          <w:rFonts w:cs="Arial"/>
        </w:rPr>
        <w:t xml:space="preserve">on the ground </w:t>
      </w:r>
      <w:r w:rsidR="00B409E8">
        <w:rPr>
          <w:rFonts w:cs="Arial"/>
        </w:rPr>
        <w:t>in PNG</w:t>
      </w:r>
      <w:r w:rsidR="00262520">
        <w:rPr>
          <w:rFonts w:cs="Arial"/>
        </w:rPr>
        <w:t xml:space="preserve"> </w:t>
      </w:r>
      <w:r w:rsidR="00F45488">
        <w:rPr>
          <w:rFonts w:cs="Arial"/>
        </w:rPr>
        <w:t>will</w:t>
      </w:r>
      <w:r w:rsidR="00262520">
        <w:rPr>
          <w:rFonts w:cs="Arial"/>
        </w:rPr>
        <w:t xml:space="preserve"> help facilitate </w:t>
      </w:r>
      <w:r w:rsidR="005B103B">
        <w:rPr>
          <w:rFonts w:cs="Arial"/>
        </w:rPr>
        <w:t>close</w:t>
      </w:r>
      <w:r w:rsidR="00770B01">
        <w:rPr>
          <w:rFonts w:cs="Arial"/>
        </w:rPr>
        <w:t>r</w:t>
      </w:r>
      <w:r w:rsidR="005B103B">
        <w:rPr>
          <w:rFonts w:cs="Arial"/>
        </w:rPr>
        <w:t xml:space="preserve"> </w:t>
      </w:r>
      <w:r w:rsidR="00F45488">
        <w:rPr>
          <w:rFonts w:cs="Arial"/>
        </w:rPr>
        <w:t xml:space="preserve">engagement </w:t>
      </w:r>
      <w:r w:rsidR="005B103B">
        <w:rPr>
          <w:rFonts w:cs="Arial"/>
        </w:rPr>
        <w:t>and collaboration between T</w:t>
      </w:r>
      <w:r w:rsidR="00F45488">
        <w:rPr>
          <w:rFonts w:cs="Arial"/>
        </w:rPr>
        <w:t>SSP and AIFFP</w:t>
      </w:r>
      <w:r w:rsidR="00A45DEB">
        <w:rPr>
          <w:rFonts w:cs="Arial"/>
        </w:rPr>
        <w:t>.</w:t>
      </w:r>
    </w:p>
    <w:p w14:paraId="72551F8F" w14:textId="06072B5C" w:rsidR="004B513D" w:rsidRPr="00796B89" w:rsidRDefault="004B513D" w:rsidP="004C2507">
      <w:pPr>
        <w:pStyle w:val="Heading2"/>
      </w:pPr>
      <w:bookmarkStart w:id="49" w:name="_Toc99121790"/>
      <w:r w:rsidRPr="00796B89">
        <w:t>Conclusions</w:t>
      </w:r>
      <w:bookmarkEnd w:id="49"/>
    </w:p>
    <w:p w14:paraId="3C554A85" w14:textId="6777E16F" w:rsidR="00B72283" w:rsidRPr="00796B89" w:rsidRDefault="00B72283" w:rsidP="00B72283">
      <w:pPr>
        <w:pStyle w:val="BodyText"/>
        <w:rPr>
          <w:rFonts w:cs="Arial"/>
        </w:rPr>
      </w:pPr>
      <w:r w:rsidRPr="00796B89">
        <w:rPr>
          <w:rFonts w:cs="Arial"/>
        </w:rPr>
        <w:t xml:space="preserve">The complementarity of </w:t>
      </w:r>
      <w:r>
        <w:rPr>
          <w:rFonts w:cs="Arial"/>
        </w:rPr>
        <w:t xml:space="preserve">TSSP2 and AIFFP </w:t>
      </w:r>
      <w:r w:rsidRPr="00796B89">
        <w:rPr>
          <w:rFonts w:cs="Arial"/>
        </w:rPr>
        <w:t>activities to support a whole</w:t>
      </w:r>
      <w:r>
        <w:rPr>
          <w:rFonts w:cs="Arial"/>
        </w:rPr>
        <w:t>-of-</w:t>
      </w:r>
      <w:r w:rsidRPr="00796B89">
        <w:rPr>
          <w:rFonts w:cs="Arial"/>
        </w:rPr>
        <w:t xml:space="preserve">Australian </w:t>
      </w:r>
      <w:r>
        <w:rPr>
          <w:rFonts w:cs="Arial"/>
        </w:rPr>
        <w:t>G</w:t>
      </w:r>
      <w:r w:rsidRPr="00796B89">
        <w:rPr>
          <w:rFonts w:cs="Arial"/>
        </w:rPr>
        <w:t>overnment approach</w:t>
      </w:r>
      <w:r>
        <w:rPr>
          <w:rFonts w:cs="Arial"/>
        </w:rPr>
        <w:t xml:space="preserve"> c</w:t>
      </w:r>
      <w:r w:rsidRPr="00796B89">
        <w:rPr>
          <w:rFonts w:cs="Arial"/>
        </w:rPr>
        <w:t xml:space="preserve">ombined with TSSP2’s extensive local knowledge of geological and environmental conditions, government and contracting industry capabilities and asset management principles </w:t>
      </w:r>
      <w:r>
        <w:rPr>
          <w:rFonts w:cs="Arial"/>
        </w:rPr>
        <w:t>means there is a strong rationale</w:t>
      </w:r>
      <w:r w:rsidRPr="00796B89">
        <w:rPr>
          <w:rFonts w:cs="Arial"/>
        </w:rPr>
        <w:t xml:space="preserve"> for AIFFP and TSSP2 to </w:t>
      </w:r>
      <w:r w:rsidR="00AB2DC5">
        <w:rPr>
          <w:rFonts w:cs="Arial"/>
        </w:rPr>
        <w:t xml:space="preserve">collaborate </w:t>
      </w:r>
      <w:r w:rsidRPr="00796B89">
        <w:rPr>
          <w:rFonts w:cs="Arial"/>
        </w:rPr>
        <w:t>to inform the decision</w:t>
      </w:r>
      <w:r>
        <w:rPr>
          <w:rFonts w:cs="Arial"/>
        </w:rPr>
        <w:t>-making</w:t>
      </w:r>
      <w:r w:rsidRPr="00796B89">
        <w:rPr>
          <w:rFonts w:cs="Arial"/>
        </w:rPr>
        <w:t xml:space="preserve"> process</w:t>
      </w:r>
      <w:r>
        <w:rPr>
          <w:rFonts w:cs="Arial"/>
        </w:rPr>
        <w:t>es</w:t>
      </w:r>
      <w:r w:rsidRPr="00796B89">
        <w:rPr>
          <w:rFonts w:cs="Arial"/>
        </w:rPr>
        <w:t xml:space="preserve"> and to </w:t>
      </w:r>
      <w:r>
        <w:rPr>
          <w:rFonts w:cs="Arial"/>
        </w:rPr>
        <w:t>manage</w:t>
      </w:r>
      <w:r w:rsidRPr="00796B89">
        <w:rPr>
          <w:rFonts w:cs="Arial"/>
        </w:rPr>
        <w:t xml:space="preserve"> investment risk. In this sense, TSSP2</w:t>
      </w:r>
      <w:r>
        <w:rPr>
          <w:rFonts w:cs="Arial"/>
        </w:rPr>
        <w:t>’s</w:t>
      </w:r>
      <w:r w:rsidRPr="00796B89">
        <w:rPr>
          <w:rFonts w:cs="Arial"/>
        </w:rPr>
        <w:t xml:space="preserve"> technical support </w:t>
      </w:r>
      <w:r>
        <w:rPr>
          <w:rFonts w:cs="Arial"/>
        </w:rPr>
        <w:t xml:space="preserve">is valuable and contributes to the </w:t>
      </w:r>
      <w:r w:rsidRPr="00796B89">
        <w:rPr>
          <w:rFonts w:cs="Arial"/>
        </w:rPr>
        <w:t xml:space="preserve">long-term success of AIFFP activities. </w:t>
      </w:r>
    </w:p>
    <w:p w14:paraId="5C1719CC" w14:textId="2436ABB8" w:rsidR="00FD5A6A" w:rsidRPr="00796B89" w:rsidRDefault="00D96C28" w:rsidP="00D96C28">
      <w:pPr>
        <w:pStyle w:val="BodyText"/>
        <w:rPr>
          <w:rFonts w:cs="Arial"/>
        </w:rPr>
      </w:pPr>
      <w:r w:rsidRPr="00796B89">
        <w:rPr>
          <w:rFonts w:cs="Arial"/>
        </w:rPr>
        <w:t>With AIFFP's financial support, TSSP2 has the potential to both improve and expand the quality and scope of PNG transport services to achieve the evolving objectives of the PNG-Australia Partnership for Development. There are differing views and expectations on how AIFFP and TSSP2 can work together. On one hand, there is the opinion that AIFFP and TSSP2 should work together but have clear roles and responsibilities while on the other hand, there is the view that TSSP2 and AIFFP</w:t>
      </w:r>
      <w:r w:rsidR="00AE5983">
        <w:rPr>
          <w:rFonts w:cs="Arial"/>
        </w:rPr>
        <w:t>,</w:t>
      </w:r>
      <w:r w:rsidRPr="00796B89">
        <w:rPr>
          <w:rFonts w:cs="Arial"/>
        </w:rPr>
        <w:t xml:space="preserve"> though working in the same sector</w:t>
      </w:r>
      <w:r w:rsidR="00AE5983">
        <w:rPr>
          <w:rFonts w:cs="Arial"/>
        </w:rPr>
        <w:t>,</w:t>
      </w:r>
      <w:r w:rsidRPr="00796B89">
        <w:rPr>
          <w:rFonts w:cs="Arial"/>
        </w:rPr>
        <w:t xml:space="preserve"> have separate objectives and funding models and should work separately.</w:t>
      </w:r>
      <w:r w:rsidR="002B3DC4" w:rsidRPr="002B3DC4">
        <w:t xml:space="preserve"> </w:t>
      </w:r>
      <w:r w:rsidR="008912F2">
        <w:t xml:space="preserve">At the time of this Review, </w:t>
      </w:r>
      <w:r w:rsidR="008912F2">
        <w:rPr>
          <w:rFonts w:cs="Arial"/>
        </w:rPr>
        <w:t>t</w:t>
      </w:r>
      <w:r w:rsidR="002B3DC4" w:rsidRPr="002B3DC4">
        <w:rPr>
          <w:rFonts w:cs="Arial"/>
        </w:rPr>
        <w:t xml:space="preserve">here seems to be merit, energy, and willingness for AIFFP and </w:t>
      </w:r>
      <w:r w:rsidR="004F4B05" w:rsidRPr="002B3DC4">
        <w:rPr>
          <w:rFonts w:cs="Arial"/>
        </w:rPr>
        <w:t>TSSP2</w:t>
      </w:r>
      <w:r w:rsidR="002B3DC4" w:rsidRPr="002B3DC4">
        <w:rPr>
          <w:rFonts w:cs="Arial"/>
        </w:rPr>
        <w:t xml:space="preserve"> collaboration especially since AIFFP provides funding that TSSP2 can leverage to advance transport sector investments in PNG.</w:t>
      </w:r>
    </w:p>
    <w:p w14:paraId="231FE4DA" w14:textId="7B73D0A6" w:rsidR="004B513D" w:rsidRPr="00796B89" w:rsidRDefault="004B513D" w:rsidP="004C2507">
      <w:pPr>
        <w:pStyle w:val="Heading2"/>
      </w:pPr>
      <w:bookmarkStart w:id="50" w:name="_Toc99121791"/>
      <w:r w:rsidRPr="00796B89">
        <w:t>Recommendations</w:t>
      </w:r>
      <w:bookmarkEnd w:id="50"/>
      <w:r w:rsidRPr="00796B89">
        <w:t xml:space="preserve"> </w:t>
      </w:r>
    </w:p>
    <w:p w14:paraId="77A69CC2" w14:textId="77777777" w:rsidR="00231AFA" w:rsidRPr="00796B89" w:rsidRDefault="00231AFA" w:rsidP="00231AFA">
      <w:pPr>
        <w:pStyle w:val="BodyText"/>
        <w:spacing w:after="60" w:line="235" w:lineRule="auto"/>
        <w:rPr>
          <w:rFonts w:cs="Arial"/>
        </w:rPr>
      </w:pPr>
      <w:r w:rsidRPr="00796B89">
        <w:rPr>
          <w:rFonts w:cs="Arial"/>
        </w:rPr>
        <w:t>Whil</w:t>
      </w:r>
      <w:r>
        <w:rPr>
          <w:rFonts w:cs="Arial"/>
        </w:rPr>
        <w:t>e</w:t>
      </w:r>
      <w:r w:rsidRPr="00796B89">
        <w:rPr>
          <w:rFonts w:cs="Arial"/>
        </w:rPr>
        <w:t xml:space="preserve"> a separate review of the AIFFP is concurrently being undertaken, a couple of </w:t>
      </w:r>
      <w:r>
        <w:rPr>
          <w:rFonts w:cs="Arial"/>
        </w:rPr>
        <w:t>options for consideration were</w:t>
      </w:r>
      <w:r w:rsidRPr="00796B89">
        <w:rPr>
          <w:rFonts w:cs="Arial"/>
        </w:rPr>
        <w:t xml:space="preserve"> proposed:</w:t>
      </w:r>
    </w:p>
    <w:p w14:paraId="079EC03D" w14:textId="0005C101" w:rsidR="00E6107D" w:rsidRPr="00B905A0" w:rsidRDefault="00B56E3F" w:rsidP="004C2507">
      <w:pPr>
        <w:pStyle w:val="BodyText"/>
      </w:pPr>
      <w:r w:rsidRPr="00796B89">
        <w:rPr>
          <w:rFonts w:cs="Arial"/>
          <w:b/>
          <w:color w:val="003478"/>
        </w:rPr>
        <w:t xml:space="preserve">Recommendation </w:t>
      </w:r>
      <w:r w:rsidR="00965A75">
        <w:rPr>
          <w:rFonts w:cs="Arial"/>
          <w:b/>
          <w:color w:val="003478"/>
        </w:rPr>
        <w:t>5.</w:t>
      </w:r>
      <w:r w:rsidR="009234CA">
        <w:rPr>
          <w:rFonts w:cs="Arial"/>
          <w:b/>
          <w:color w:val="003478"/>
        </w:rPr>
        <w:t>1</w:t>
      </w:r>
      <w:r w:rsidR="006C4F6D">
        <w:rPr>
          <w:rFonts w:cs="Arial"/>
          <w:b/>
          <w:color w:val="003478"/>
        </w:rPr>
        <w:t>:</w:t>
      </w:r>
      <w:r w:rsidRPr="00796B89">
        <w:rPr>
          <w:rFonts w:cs="Arial"/>
          <w:b/>
          <w:color w:val="003478"/>
        </w:rPr>
        <w:t xml:space="preserve"> </w:t>
      </w:r>
      <w:r w:rsidR="00E6107D" w:rsidRPr="006C4F6D">
        <w:t xml:space="preserve">Should AIFFP choose to work with TSSP2, </w:t>
      </w:r>
      <w:r w:rsidR="00E6107D" w:rsidRPr="00BB42AE">
        <w:t>it</w:t>
      </w:r>
      <w:r w:rsidR="00E6107D" w:rsidRPr="006C4F6D">
        <w:t xml:space="preserve"> is imperative that TSSP2 retains the discretion to continue its important work in stakeholder engagement, capacity building, maintenance, and institutional reform.</w:t>
      </w:r>
      <w:r w:rsidR="00E6107D" w:rsidRPr="00B905A0">
        <w:t xml:space="preserve"> These essential activities are critical to the efficacy of the national transport network but also </w:t>
      </w:r>
      <w:r w:rsidR="007D5C29">
        <w:t xml:space="preserve">help </w:t>
      </w:r>
      <w:r w:rsidR="00E6107D" w:rsidRPr="00B905A0">
        <w:t>ensure institutional preparedness to implement and administer new infrastructure investments.</w:t>
      </w:r>
      <w:r w:rsidR="00E6107D">
        <w:t xml:space="preserve"> </w:t>
      </w:r>
      <w:r w:rsidR="00E6107D" w:rsidRPr="006C4F6D">
        <w:t>TSSP2’s understanding of DFAT processes and familiarity with PNG institutional and private sector capacity provides ground to facilitate the preparatory work that AIFFP requires to finance transport infrastructure investments.</w:t>
      </w:r>
      <w:r w:rsidR="009234CA" w:rsidRPr="009234CA">
        <w:t xml:space="preserve"> </w:t>
      </w:r>
      <w:r w:rsidR="009234CA" w:rsidRPr="006C4F6D">
        <w:t xml:space="preserve">Also, TSSP2 should be adequately resourced to support AIFFP in the rollout of these investment projects, especially where the activities are considered to be synergetic and highly complementary. </w:t>
      </w:r>
    </w:p>
    <w:p w14:paraId="4A2AC2BD" w14:textId="70A9CA07" w:rsidR="00B56E3F" w:rsidRPr="00B905A0" w:rsidRDefault="00B56E3F" w:rsidP="004C2507">
      <w:pPr>
        <w:pStyle w:val="BodyText"/>
      </w:pPr>
      <w:r w:rsidRPr="00796B89">
        <w:rPr>
          <w:rFonts w:cs="Arial"/>
          <w:b/>
          <w:color w:val="003478"/>
        </w:rPr>
        <w:t xml:space="preserve">Recommendation </w:t>
      </w:r>
      <w:r w:rsidR="00965A75">
        <w:rPr>
          <w:rFonts w:cs="Arial"/>
          <w:b/>
          <w:color w:val="003478"/>
        </w:rPr>
        <w:t>5.</w:t>
      </w:r>
      <w:r w:rsidR="009234CA">
        <w:rPr>
          <w:rFonts w:cs="Arial"/>
          <w:b/>
          <w:color w:val="003478"/>
        </w:rPr>
        <w:t>2</w:t>
      </w:r>
      <w:r w:rsidRPr="00796B89">
        <w:rPr>
          <w:rFonts w:cs="Arial"/>
          <w:b/>
          <w:color w:val="003478"/>
        </w:rPr>
        <w:t>:</w:t>
      </w:r>
      <w:r w:rsidR="00930516">
        <w:t xml:space="preserve"> </w:t>
      </w:r>
      <w:r w:rsidR="00930516" w:rsidRPr="00930516">
        <w:t xml:space="preserve">TSSP2 and AIFFP should collaborate and develop systems that </w:t>
      </w:r>
      <w:r w:rsidR="00397FAB">
        <w:t xml:space="preserve">support </w:t>
      </w:r>
      <w:r w:rsidR="00930516" w:rsidRPr="00930516">
        <w:t>complementarity in these shared objectives. Where AIFFP is focused on transport infrastructure, it should collaborate and work closely with TSSP2 due to the technical knowledge and relationships/networks</w:t>
      </w:r>
      <w:r w:rsidR="00E22CE4">
        <w:t xml:space="preserve"> it has in PNG</w:t>
      </w:r>
      <w:r w:rsidR="00930516" w:rsidRPr="00930516">
        <w:t>.</w:t>
      </w:r>
    </w:p>
    <w:p w14:paraId="657D9869" w14:textId="7107420D" w:rsidR="00B56E3F" w:rsidRDefault="00B56E3F" w:rsidP="004C2507">
      <w:pPr>
        <w:pStyle w:val="BodyText"/>
        <w:rPr>
          <w:bCs/>
        </w:rPr>
      </w:pPr>
      <w:r w:rsidRPr="00796B89">
        <w:rPr>
          <w:rFonts w:cs="Arial"/>
          <w:b/>
          <w:color w:val="003478"/>
        </w:rPr>
        <w:t xml:space="preserve">Recommendation </w:t>
      </w:r>
      <w:r w:rsidR="00965A75">
        <w:rPr>
          <w:rFonts w:cs="Arial"/>
          <w:b/>
          <w:color w:val="003478"/>
        </w:rPr>
        <w:t>5.</w:t>
      </w:r>
      <w:r w:rsidR="009234CA">
        <w:rPr>
          <w:rFonts w:cs="Arial"/>
          <w:b/>
          <w:color w:val="003478"/>
        </w:rPr>
        <w:t>3</w:t>
      </w:r>
      <w:r w:rsidRPr="00796B89">
        <w:rPr>
          <w:rFonts w:cs="Arial"/>
          <w:b/>
          <w:color w:val="003478"/>
        </w:rPr>
        <w:t xml:space="preserve">: </w:t>
      </w:r>
      <w:r w:rsidR="00A86414" w:rsidRPr="00746E14">
        <w:rPr>
          <w:rFonts w:cs="Arial"/>
          <w:color w:val="000000" w:themeColor="text1"/>
        </w:rPr>
        <w:t>As long as AIFFP has investments</w:t>
      </w:r>
      <w:r w:rsidR="001417AD" w:rsidRPr="00746E14">
        <w:rPr>
          <w:rFonts w:cs="Arial"/>
          <w:color w:val="000000" w:themeColor="text1"/>
        </w:rPr>
        <w:t xml:space="preserve"> in PNG, </w:t>
      </w:r>
      <w:r w:rsidRPr="00BB42AE">
        <w:t xml:space="preserve">AIFFP should have </w:t>
      </w:r>
      <w:r w:rsidR="00940883">
        <w:t>appropriate staffing levels</w:t>
      </w:r>
      <w:r w:rsidRPr="00BB42AE">
        <w:t xml:space="preserve"> based in </w:t>
      </w:r>
      <w:r w:rsidR="00D976A7">
        <w:t>the Australian High Commission (AHC)</w:t>
      </w:r>
      <w:r w:rsidR="00D8267E">
        <w:t xml:space="preserve"> to engage with</w:t>
      </w:r>
      <w:r w:rsidR="00DD016C">
        <w:t xml:space="preserve"> partners and implement programs</w:t>
      </w:r>
      <w:r w:rsidRPr="00BB42AE">
        <w:t>.</w:t>
      </w:r>
      <w:r w:rsidRPr="00B905A0">
        <w:t xml:space="preserve"> </w:t>
      </w:r>
      <w:r w:rsidRPr="00B905A0">
        <w:rPr>
          <w:bCs/>
        </w:rPr>
        <w:t>Though current</w:t>
      </w:r>
      <w:r w:rsidR="00292489">
        <w:rPr>
          <w:bCs/>
        </w:rPr>
        <w:t xml:space="preserve"> in-country</w:t>
      </w:r>
      <w:r w:rsidRPr="00B905A0">
        <w:rPr>
          <w:bCs/>
        </w:rPr>
        <w:t xml:space="preserve"> support to AIFFP has been absorbed by the infrastructure team in AHC, future AIFFP investments in PNG should be matched by increased designated resource</w:t>
      </w:r>
      <w:r>
        <w:rPr>
          <w:bCs/>
        </w:rPr>
        <w:t>s</w:t>
      </w:r>
      <w:r w:rsidRPr="00B905A0">
        <w:rPr>
          <w:bCs/>
        </w:rPr>
        <w:t xml:space="preserve"> at the</w:t>
      </w:r>
      <w:r>
        <w:rPr>
          <w:bCs/>
        </w:rPr>
        <w:t xml:space="preserve"> </w:t>
      </w:r>
      <w:r w:rsidR="00530ADB">
        <w:rPr>
          <w:bCs/>
        </w:rPr>
        <w:t>AHC</w:t>
      </w:r>
      <w:r w:rsidR="00530ADB" w:rsidRPr="00B905A0">
        <w:rPr>
          <w:bCs/>
        </w:rPr>
        <w:t>.</w:t>
      </w:r>
    </w:p>
    <w:p w14:paraId="14162AAE" w14:textId="05B660BB" w:rsidR="000E4097" w:rsidRDefault="000E4097">
      <w:pPr>
        <w:rPr>
          <w:rFonts w:cs="Arial"/>
          <w:sz w:val="19"/>
          <w:szCs w:val="19"/>
        </w:rPr>
      </w:pPr>
      <w:r>
        <w:rPr>
          <w:rFonts w:cs="Arial"/>
          <w:sz w:val="19"/>
          <w:szCs w:val="19"/>
        </w:rPr>
        <w:br w:type="page"/>
      </w:r>
    </w:p>
    <w:p w14:paraId="3EAED1D2" w14:textId="339258AD" w:rsidR="000C15F8" w:rsidRDefault="004D262C" w:rsidP="0024772A">
      <w:pPr>
        <w:pStyle w:val="Heading1"/>
      </w:pPr>
      <w:bookmarkStart w:id="51" w:name="_Toc99121792"/>
      <w:r>
        <w:lastRenderedPageBreak/>
        <w:t>Cross-cutting issues</w:t>
      </w:r>
      <w:bookmarkEnd w:id="51"/>
    </w:p>
    <w:p w14:paraId="32233F21" w14:textId="3CB85053" w:rsidR="001464D3" w:rsidRPr="00CA34B8" w:rsidRDefault="006F73B8" w:rsidP="004C2507">
      <w:pPr>
        <w:pStyle w:val="BodyText"/>
      </w:pPr>
      <w:r w:rsidRPr="00CA34B8">
        <w:t>This</w:t>
      </w:r>
      <w:r w:rsidR="00EE1449">
        <w:t xml:space="preserve"> chapter</w:t>
      </w:r>
      <w:r w:rsidR="00A059AE">
        <w:t xml:space="preserve"> </w:t>
      </w:r>
      <w:r w:rsidR="002802A3">
        <w:t xml:space="preserve">assesses </w:t>
      </w:r>
      <w:r w:rsidR="0058178D">
        <w:t>how TSSP2 factored and imple</w:t>
      </w:r>
      <w:r w:rsidR="0005412E">
        <w:t xml:space="preserve">mented </w:t>
      </w:r>
      <w:r w:rsidR="0058178D">
        <w:t>cross-cutting issues</w:t>
      </w:r>
      <w:r w:rsidR="00D82C64">
        <w:t xml:space="preserve"> across its programming</w:t>
      </w:r>
      <w:r w:rsidR="0005412E">
        <w:t xml:space="preserve">. Cross-cutting issues in this section refer to </w:t>
      </w:r>
      <w:r w:rsidR="00DB5E54" w:rsidRPr="00DD0839">
        <w:t>gender and social inclusion</w:t>
      </w:r>
      <w:r w:rsidR="00DB5E54">
        <w:t xml:space="preserve"> (</w:t>
      </w:r>
      <w:r w:rsidR="00D87D58">
        <w:t>GEDSI</w:t>
      </w:r>
      <w:r w:rsidR="00805E2D">
        <w:t>);</w:t>
      </w:r>
      <w:r w:rsidR="00D2213E">
        <w:t xml:space="preserve"> </w:t>
      </w:r>
      <w:r w:rsidR="00DB5E54">
        <w:t xml:space="preserve">monitoring, evaluation and learning (MEL); </w:t>
      </w:r>
      <w:r w:rsidR="00DB5E54" w:rsidRPr="00DD0839">
        <w:t>risk management</w:t>
      </w:r>
      <w:r w:rsidR="00DB5E54">
        <w:t>;</w:t>
      </w:r>
      <w:r w:rsidR="00DB5E54" w:rsidRPr="00DD0839">
        <w:t xml:space="preserve"> and environmental and social safeguards.</w:t>
      </w:r>
    </w:p>
    <w:p w14:paraId="1D420AD1" w14:textId="0C81EE21" w:rsidR="00CA34B8" w:rsidRPr="00CA34B8" w:rsidRDefault="00CA34B8" w:rsidP="004C2507">
      <w:pPr>
        <w:pStyle w:val="Heading2"/>
      </w:pPr>
      <w:bookmarkStart w:id="52" w:name="_Toc99121793"/>
      <w:r w:rsidRPr="00CA34B8">
        <w:t>Key Findings</w:t>
      </w:r>
      <w:bookmarkEnd w:id="52"/>
      <w:r w:rsidRPr="00CA34B8">
        <w:t xml:space="preserve"> </w:t>
      </w:r>
    </w:p>
    <w:p w14:paraId="08A79A23" w14:textId="4E969D1E" w:rsidR="00236F89" w:rsidRPr="00BB42AE" w:rsidRDefault="00236F89" w:rsidP="00236F89">
      <w:pPr>
        <w:pStyle w:val="BodyText"/>
        <w:rPr>
          <w:color w:val="4C7B9E" w:themeColor="background2"/>
        </w:rPr>
      </w:pPr>
      <w:r w:rsidRPr="0076011C">
        <w:rPr>
          <w:color w:val="4C7B9E" w:themeColor="accent2"/>
        </w:rPr>
        <w:t>KEQ</w:t>
      </w:r>
      <w:r w:rsidR="00B22BEB">
        <w:rPr>
          <w:color w:val="4C7B9E" w:themeColor="accent2"/>
        </w:rPr>
        <w:t xml:space="preserve"> </w:t>
      </w:r>
      <w:r w:rsidR="00762D49" w:rsidRPr="0076011C">
        <w:rPr>
          <w:color w:val="4C7B9E" w:themeColor="accent2"/>
        </w:rPr>
        <w:t>8</w:t>
      </w:r>
      <w:r w:rsidRPr="0076011C">
        <w:rPr>
          <w:color w:val="4C7B9E" w:themeColor="accent2"/>
        </w:rPr>
        <w:t>: Have cross-cutting issues been appropriately integrated into program design and delivery?</w:t>
      </w:r>
    </w:p>
    <w:p w14:paraId="07EBB824" w14:textId="05EE5BA5" w:rsidR="004E3046" w:rsidRPr="001F4A81" w:rsidRDefault="00D87D58" w:rsidP="0024772A">
      <w:pPr>
        <w:pStyle w:val="Heading3"/>
      </w:pPr>
      <w:bookmarkStart w:id="53" w:name="_Hlk91070174"/>
      <w:r>
        <w:t>GEDSI</w:t>
      </w:r>
    </w:p>
    <w:p w14:paraId="2783A582" w14:textId="46898D18" w:rsidR="004E3046" w:rsidRPr="00464922" w:rsidRDefault="004E3046" w:rsidP="004E3046">
      <w:pPr>
        <w:pStyle w:val="BodyText"/>
      </w:pPr>
      <w:r w:rsidRPr="00464922">
        <w:t>There is a concerted effort</w:t>
      </w:r>
      <w:r w:rsidR="00070141" w:rsidRPr="00464922">
        <w:t xml:space="preserve"> by TSSP</w:t>
      </w:r>
      <w:r w:rsidR="004C2383" w:rsidRPr="00464922">
        <w:t>2 to</w:t>
      </w:r>
      <w:r w:rsidRPr="00464922">
        <w:t xml:space="preserve"> strengthen and mainstream </w:t>
      </w:r>
      <w:r w:rsidR="00D87D58">
        <w:t>GEDSI</w:t>
      </w:r>
      <w:r w:rsidRPr="00464922">
        <w:t xml:space="preserve"> across TSSP2 and the GoPNG transport agencies’ programming and operations. GoPNG</w:t>
      </w:r>
      <w:r w:rsidR="004A2C47" w:rsidRPr="00464922">
        <w:t>’s</w:t>
      </w:r>
      <w:r w:rsidRPr="00464922">
        <w:t xml:space="preserve"> National Strategy to Prevent and Respond to </w:t>
      </w:r>
      <w:r w:rsidR="0019059E" w:rsidRPr="00464922">
        <w:t>Gender-</w:t>
      </w:r>
      <w:r w:rsidR="00ED4FAA" w:rsidRPr="00464922">
        <w:t>B</w:t>
      </w:r>
      <w:r w:rsidR="0019059E" w:rsidRPr="00464922">
        <w:t xml:space="preserve">ased </w:t>
      </w:r>
      <w:r w:rsidR="00ED4FAA" w:rsidRPr="00464922">
        <w:t>V</w:t>
      </w:r>
      <w:r w:rsidR="0019059E" w:rsidRPr="00464922">
        <w:t>iolence (</w:t>
      </w:r>
      <w:r w:rsidRPr="00464922">
        <w:t>GBV</w:t>
      </w:r>
      <w:r w:rsidR="0019059E" w:rsidRPr="00464922">
        <w:t>)</w:t>
      </w:r>
      <w:r w:rsidRPr="00464922">
        <w:t xml:space="preserve"> 2016-2025 calls for all government agencies to mainstream </w:t>
      </w:r>
      <w:r w:rsidR="00D87D58">
        <w:t>GEDSI</w:t>
      </w:r>
      <w:r w:rsidRPr="00464922">
        <w:t xml:space="preserve"> within their workplaces.</w:t>
      </w:r>
      <w:r w:rsidRPr="00464922">
        <w:rPr>
          <w:rStyle w:val="FootnoteReference"/>
        </w:rPr>
        <w:footnoteReference w:id="4"/>
      </w:r>
      <w:r w:rsidRPr="00464922">
        <w:t xml:space="preserve"> Stakeholders consulted report that TSSP</w:t>
      </w:r>
      <w:r w:rsidR="00434287" w:rsidRPr="00464922">
        <w:t>2</w:t>
      </w:r>
      <w:r w:rsidRPr="00464922">
        <w:t xml:space="preserve"> has played a key role in mainstreaming </w:t>
      </w:r>
      <w:r w:rsidR="00D87D58">
        <w:t>GEDSI</w:t>
      </w:r>
      <w:r w:rsidRPr="00464922">
        <w:t xml:space="preserve"> values and principles to support transport sector agencies including DoW and D</w:t>
      </w:r>
      <w:r w:rsidR="00AD2F6E" w:rsidRPr="00464922">
        <w:t>o</w:t>
      </w:r>
      <w:r w:rsidRPr="00464922">
        <w:t xml:space="preserve">T in aligning their social inclusion policies, resources and systems with this policy. Some organisational restructure exercises have commenced involving the creation of </w:t>
      </w:r>
      <w:r w:rsidR="00D87D58">
        <w:t>GEDSI</w:t>
      </w:r>
      <w:r w:rsidRPr="00464922">
        <w:t xml:space="preserve">-specific positions. These positions will provide the program with a focus for future </w:t>
      </w:r>
      <w:r w:rsidR="00D87D58">
        <w:t>GEDSI</w:t>
      </w:r>
      <w:r w:rsidRPr="00464922">
        <w:t xml:space="preserve"> activities with counterpart agencies</w:t>
      </w:r>
      <w:r w:rsidRPr="00464922" w:rsidDel="00AD2F6E">
        <w:t xml:space="preserve">. </w:t>
      </w:r>
    </w:p>
    <w:p w14:paraId="00714146" w14:textId="67A24C0A" w:rsidR="004E3046" w:rsidRPr="00750AEC" w:rsidRDefault="004E3046" w:rsidP="004E3046">
      <w:pPr>
        <w:pStyle w:val="BodyText"/>
      </w:pPr>
      <w:r w:rsidRPr="00464922">
        <w:t xml:space="preserve">The </w:t>
      </w:r>
      <w:r w:rsidR="00D87D58">
        <w:t>GEDSI</w:t>
      </w:r>
      <w:r w:rsidRPr="00464922">
        <w:t xml:space="preserve"> initiatives are also guided by the TSSP2 Gender and Social Safeguards Strategy 2020-2022</w:t>
      </w:r>
      <w:r w:rsidR="00D46CF3">
        <w:t>,</w:t>
      </w:r>
      <w:r w:rsidRPr="00464922">
        <w:t xml:space="preserve"> </w:t>
      </w:r>
      <w:r w:rsidR="00D33922" w:rsidRPr="00464922">
        <w:t>which</w:t>
      </w:r>
      <w:r w:rsidRPr="00464922">
        <w:t xml:space="preserve"> provides parameters and strategies for inclusion. At the time of this Review, the Strategy varies in its implementation stages. Most stakeholders noted the significant improvement </w:t>
      </w:r>
      <w:r w:rsidR="00A006FF" w:rsidRPr="00464922">
        <w:t>of</w:t>
      </w:r>
      <w:r w:rsidRPr="00464922">
        <w:t xml:space="preserve"> </w:t>
      </w:r>
      <w:r w:rsidR="00D87D58">
        <w:t>GEDSI</w:t>
      </w:r>
      <w:r w:rsidRPr="00464922">
        <w:t xml:space="preserve"> awareness observed across the transport and relevant agencies within GoPNG as spearheaded by the TSSP2 </w:t>
      </w:r>
      <w:r w:rsidR="00D87D58">
        <w:t>GEDSI</w:t>
      </w:r>
      <w:r w:rsidRPr="00464922">
        <w:t xml:space="preserve"> </w:t>
      </w:r>
      <w:r w:rsidR="00EF41CF" w:rsidRPr="00464922">
        <w:t>Adviser</w:t>
      </w:r>
      <w:r w:rsidRPr="00464922">
        <w:t xml:space="preserve">. The </w:t>
      </w:r>
      <w:r w:rsidR="00EF41CF" w:rsidRPr="00464922">
        <w:t>adviser</w:t>
      </w:r>
      <w:r w:rsidR="009053D8" w:rsidRPr="00464922">
        <w:t xml:space="preserve"> </w:t>
      </w:r>
      <w:r w:rsidRPr="00464922">
        <w:t>is well connected with PNG transport secto</w:t>
      </w:r>
      <w:r w:rsidRPr="00323F9A">
        <w:t>r agencies and the Department for Personnel Management (DPM), although d</w:t>
      </w:r>
      <w:r w:rsidRPr="0002126F">
        <w:t>elays in appointing heads of agencies and</w:t>
      </w:r>
      <w:r w:rsidRPr="00323F9A">
        <w:t xml:space="preserve"> a</w:t>
      </w:r>
      <w:r w:rsidRPr="0002126F">
        <w:t xml:space="preserve"> lack of dedicat</w:t>
      </w:r>
      <w:r w:rsidRPr="00323F9A">
        <w:t>ed</w:t>
      </w:r>
      <w:r w:rsidRPr="0002126F">
        <w:t xml:space="preserve"> personnel have impacted</w:t>
      </w:r>
      <w:r w:rsidRPr="00323F9A">
        <w:t xml:space="preserve"> TSSP</w:t>
      </w:r>
      <w:r>
        <w:t>2</w:t>
      </w:r>
      <w:r w:rsidRPr="00323F9A">
        <w:t xml:space="preserve">’s efforts to support </w:t>
      </w:r>
      <w:r w:rsidR="00D87D58">
        <w:t>GEDSI</w:t>
      </w:r>
      <w:r w:rsidRPr="00323F9A">
        <w:t xml:space="preserve"> socialisation activities across agencies. With agency consultation, the </w:t>
      </w:r>
      <w:r w:rsidR="00EF41CF">
        <w:t>adviser</w:t>
      </w:r>
      <w:r w:rsidR="000A7A71">
        <w:t xml:space="preserve"> </w:t>
      </w:r>
      <w:r w:rsidRPr="00323F9A">
        <w:t xml:space="preserve">has also created a </w:t>
      </w:r>
      <w:r w:rsidR="00D87D58">
        <w:t>GEDSI</w:t>
      </w:r>
      <w:r w:rsidRPr="00323F9A">
        <w:t xml:space="preserve"> community of practice and assisted agencies in nominating male representatives to join a male advocacy network within the transport sector. In partnership with Business Coalition for Women, the </w:t>
      </w:r>
      <w:r w:rsidR="00D87D58">
        <w:t>GEDSI</w:t>
      </w:r>
      <w:r w:rsidRPr="00323F9A">
        <w:t xml:space="preserve"> </w:t>
      </w:r>
      <w:r w:rsidR="0069455D">
        <w:t>A</w:t>
      </w:r>
      <w:r w:rsidR="0069455D" w:rsidRPr="00323F9A">
        <w:t>dvis</w:t>
      </w:r>
      <w:r w:rsidR="0069455D">
        <w:t>e</w:t>
      </w:r>
      <w:r w:rsidR="0069455D" w:rsidRPr="00323F9A">
        <w:t xml:space="preserve">r </w:t>
      </w:r>
      <w:r w:rsidRPr="00323F9A">
        <w:t>has also developed a Family and Sexual Violence (FSV) Policy to support TSSP</w:t>
      </w:r>
      <w:r>
        <w:t>2</w:t>
      </w:r>
      <w:r w:rsidRPr="00323F9A">
        <w:t xml:space="preserve"> program staff experiencing FSV in their home environment, and there is potential to replicate the development of the FSV policy within PNG transport sector agencies including </w:t>
      </w:r>
      <w:r w:rsidRPr="0002126F">
        <w:t>CASA</w:t>
      </w:r>
      <w:r w:rsidRPr="00323F9A">
        <w:t xml:space="preserve"> </w:t>
      </w:r>
      <w:r w:rsidRPr="0002126F">
        <w:t>PNG</w:t>
      </w:r>
      <w:r w:rsidRPr="00323F9A">
        <w:t>.</w:t>
      </w:r>
    </w:p>
    <w:p w14:paraId="13E1D421" w14:textId="79D9A8C6" w:rsidR="004E3046" w:rsidRPr="00323F9A" w:rsidRDefault="004E3046" w:rsidP="004E3046">
      <w:pPr>
        <w:pStyle w:val="BodyText"/>
      </w:pPr>
      <w:r w:rsidRPr="00323F9A">
        <w:t>Stakeholders report</w:t>
      </w:r>
      <w:r w:rsidR="00C760E4">
        <w:t>ed</w:t>
      </w:r>
      <w:r w:rsidRPr="00323F9A">
        <w:t xml:space="preserve"> that more women are being trained in technical capabilities and </w:t>
      </w:r>
      <w:r>
        <w:t xml:space="preserve">are accessing </w:t>
      </w:r>
      <w:r w:rsidRPr="00323F9A">
        <w:t>opportunities</w:t>
      </w:r>
      <w:r w:rsidRPr="0002126F">
        <w:t xml:space="preserve"> to work </w:t>
      </w:r>
      <w:r w:rsidRPr="00323F9A">
        <w:t xml:space="preserve">in </w:t>
      </w:r>
      <w:r>
        <w:t>decision-making and</w:t>
      </w:r>
      <w:r w:rsidRPr="00323F9A">
        <w:t xml:space="preserve"> leadership positions</w:t>
      </w:r>
      <w:r w:rsidRPr="00323F9A" w:rsidDel="00EE53F9">
        <w:t>.</w:t>
      </w:r>
      <w:r w:rsidRPr="00323F9A">
        <w:t xml:space="preserve"> A Women in Transport Network has existed since 2017 and consists of 11 transport sector agency representatives. It was noted that this could be effective for promoting women in leadership and women's empowerment with </w:t>
      </w:r>
      <w:r w:rsidR="007F2836">
        <w:t>advisory</w:t>
      </w:r>
      <w:r w:rsidRPr="00323F9A">
        <w:t xml:space="preserve"> support to institutionalise the network in GoPNG agencies and to</w:t>
      </w:r>
      <w:r w:rsidR="004C5ACC">
        <w:t xml:space="preserve"> help</w:t>
      </w:r>
      <w:r w:rsidRPr="00323F9A">
        <w:t xml:space="preserve"> ensure agency funding arrangements for their work plans.</w:t>
      </w:r>
    </w:p>
    <w:p w14:paraId="12EA7F56" w14:textId="584C0D99" w:rsidR="001F6158" w:rsidRPr="00F34760" w:rsidRDefault="004E3046" w:rsidP="004E3046">
      <w:pPr>
        <w:pStyle w:val="BodyText"/>
      </w:pPr>
      <w:r>
        <w:t>The impact of these outcomes and policies is yet to be known though t</w:t>
      </w:r>
      <w:r w:rsidRPr="006D014E">
        <w:t xml:space="preserve">here is evidence on the impacts and benefits of </w:t>
      </w:r>
      <w:r>
        <w:t xml:space="preserve">well-maintained </w:t>
      </w:r>
      <w:r w:rsidRPr="006D014E">
        <w:t xml:space="preserve">roads for women and men, particularly on </w:t>
      </w:r>
      <w:r>
        <w:t xml:space="preserve">economic empowerment </w:t>
      </w:r>
      <w:r w:rsidRPr="006D014E">
        <w:t>and enabling access to markets</w:t>
      </w:r>
      <w:r>
        <w:t xml:space="preserve">, </w:t>
      </w:r>
      <w:r w:rsidRPr="006D014E">
        <w:t xml:space="preserve">health, and education services. </w:t>
      </w:r>
      <w:r>
        <w:t xml:space="preserve">One key </w:t>
      </w:r>
      <w:r w:rsidR="00D87D58">
        <w:t>GEDSI</w:t>
      </w:r>
      <w:r>
        <w:t xml:space="preserve"> outcome has been observed under the Bougainville CWAs </w:t>
      </w:r>
      <w:r w:rsidR="00EA50B3">
        <w:t>(see Chapter 4</w:t>
      </w:r>
      <w:r w:rsidR="008E7C6D">
        <w:t xml:space="preserve">, </w:t>
      </w:r>
      <w:r w:rsidR="00EA50B3">
        <w:t>KE</w:t>
      </w:r>
      <w:r w:rsidR="008E7C6D">
        <w:t>Q</w:t>
      </w:r>
      <w:r w:rsidR="00EA50B3">
        <w:t xml:space="preserve"> 6) </w:t>
      </w:r>
      <w:r>
        <w:t>where women participating in community works have seen increase</w:t>
      </w:r>
      <w:r w:rsidR="00536873">
        <w:t>d income</w:t>
      </w:r>
      <w:r w:rsidR="008E7C6D">
        <w:t>s</w:t>
      </w:r>
      <w:r w:rsidR="00536873">
        <w:t xml:space="preserve"> </w:t>
      </w:r>
      <w:r w:rsidR="00F34760">
        <w:t>which ha</w:t>
      </w:r>
      <w:r w:rsidR="00DF1B75">
        <w:t>ve</w:t>
      </w:r>
      <w:r w:rsidR="00F34760">
        <w:t xml:space="preserve"> </w:t>
      </w:r>
      <w:r w:rsidR="008E7C6D">
        <w:t xml:space="preserve">enhanced </w:t>
      </w:r>
      <w:r w:rsidR="00F34760">
        <w:t xml:space="preserve">their financial inclusion efforts. </w:t>
      </w:r>
      <w:r>
        <w:t>Reporting on disability is limited although plans are underway to e</w:t>
      </w:r>
      <w:r w:rsidRPr="00992256">
        <w:rPr>
          <w:rFonts w:cs="Arial"/>
          <w:bCs/>
          <w:spacing w:val="-2"/>
        </w:rPr>
        <w:t>ngag</w:t>
      </w:r>
      <w:r>
        <w:rPr>
          <w:rFonts w:cs="Arial"/>
          <w:bCs/>
          <w:spacing w:val="-2"/>
        </w:rPr>
        <w:t xml:space="preserve">e </w:t>
      </w:r>
      <w:r w:rsidRPr="00992256">
        <w:rPr>
          <w:rFonts w:cs="Arial"/>
          <w:bCs/>
          <w:spacing w:val="-2"/>
        </w:rPr>
        <w:t xml:space="preserve">PNG Disability Association to conduct a baseline study on disability in the </w:t>
      </w:r>
      <w:r>
        <w:rPr>
          <w:rFonts w:cs="Arial"/>
          <w:bCs/>
          <w:spacing w:val="-2"/>
        </w:rPr>
        <w:t xml:space="preserve">transport </w:t>
      </w:r>
      <w:r w:rsidRPr="00992256">
        <w:rPr>
          <w:rFonts w:cs="Arial"/>
          <w:bCs/>
          <w:spacing w:val="-2"/>
        </w:rPr>
        <w:t>sector</w:t>
      </w:r>
      <w:r w:rsidR="00EE53F9">
        <w:rPr>
          <w:rFonts w:cs="Arial"/>
          <w:bCs/>
          <w:spacing w:val="-2"/>
        </w:rPr>
        <w:t>.</w:t>
      </w:r>
    </w:p>
    <w:p w14:paraId="07902B86" w14:textId="741A83A8" w:rsidR="006C5080" w:rsidRPr="004105ED" w:rsidRDefault="006C5080" w:rsidP="006C5080">
      <w:pPr>
        <w:pStyle w:val="BodyText"/>
        <w:rPr>
          <w:szCs w:val="20"/>
        </w:rPr>
      </w:pPr>
      <w:r w:rsidRPr="004105ED">
        <w:rPr>
          <w:szCs w:val="20"/>
        </w:rPr>
        <w:t>Current limitations in TSSP2 reporting mechanisms also constrain the program’s current ability to measure the social</w:t>
      </w:r>
      <w:r w:rsidR="004105ED">
        <w:rPr>
          <w:szCs w:val="20"/>
        </w:rPr>
        <w:t>-</w:t>
      </w:r>
      <w:r w:rsidRPr="004105ED">
        <w:rPr>
          <w:szCs w:val="20"/>
        </w:rPr>
        <w:t xml:space="preserve">economic benefits of TSSP2 activities at the community level. A 2018 ODE evaluation found that gender had become largely invisible in project reporting and recommended steps to “define some modest, concrete and achievable outcomes that can be realised with available resources from a defined baseline. More can be done to highlight gender impacts of the program without necessarily applying significant additional resources.” While </w:t>
      </w:r>
      <w:r w:rsidR="00D87D58">
        <w:rPr>
          <w:szCs w:val="20"/>
        </w:rPr>
        <w:t>GEDSI</w:t>
      </w:r>
      <w:r w:rsidRPr="004105ED">
        <w:rPr>
          <w:szCs w:val="20"/>
        </w:rPr>
        <w:t xml:space="preserve"> inputs are now captured in the revised annual Program Implementation Plan (PIP), current reporting continues to emphasise quantitative indicators such as road completions over sex-disaggregated data or </w:t>
      </w:r>
      <w:r w:rsidR="00D87D58">
        <w:rPr>
          <w:szCs w:val="20"/>
        </w:rPr>
        <w:t>GEDSI</w:t>
      </w:r>
      <w:r w:rsidRPr="004105ED">
        <w:rPr>
          <w:szCs w:val="20"/>
        </w:rPr>
        <w:t xml:space="preserve"> indicators. This presents an opportunity for TSSP</w:t>
      </w:r>
      <w:r w:rsidR="00205B80" w:rsidRPr="004105ED">
        <w:rPr>
          <w:szCs w:val="20"/>
        </w:rPr>
        <w:t>2</w:t>
      </w:r>
      <w:r w:rsidRPr="004105ED">
        <w:rPr>
          <w:szCs w:val="20"/>
        </w:rPr>
        <w:t xml:space="preserve"> to improve understanding of </w:t>
      </w:r>
      <w:r w:rsidR="00D87D58">
        <w:rPr>
          <w:szCs w:val="20"/>
        </w:rPr>
        <w:t>GEDSI</w:t>
      </w:r>
      <w:r w:rsidRPr="004105ED">
        <w:rPr>
          <w:szCs w:val="20"/>
        </w:rPr>
        <w:t xml:space="preserve"> reporting requirements and improve the quality of </w:t>
      </w:r>
      <w:r w:rsidR="00D87D58">
        <w:rPr>
          <w:szCs w:val="20"/>
        </w:rPr>
        <w:t>GEDSI</w:t>
      </w:r>
      <w:r w:rsidRPr="004105ED">
        <w:rPr>
          <w:szCs w:val="20"/>
        </w:rPr>
        <w:t xml:space="preserve"> data being captured.</w:t>
      </w:r>
    </w:p>
    <w:p w14:paraId="40E25B78" w14:textId="7EE24291" w:rsidR="006C5080" w:rsidRPr="004105ED" w:rsidRDefault="00D87D58" w:rsidP="006C5080">
      <w:pPr>
        <w:spacing w:after="120"/>
        <w:rPr>
          <w:rFonts w:ascii="Franklin Gothic Book" w:hAnsi="Franklin Gothic Book" w:cs="Arial"/>
          <w:bCs/>
          <w:spacing w:val="-2"/>
        </w:rPr>
      </w:pPr>
      <w:r>
        <w:rPr>
          <w:rFonts w:ascii="Franklin Gothic Book" w:hAnsi="Franklin Gothic Book" w:cs="Arial"/>
          <w:bCs/>
          <w:spacing w:val="-2"/>
        </w:rPr>
        <w:t>GEDSI</w:t>
      </w:r>
      <w:r w:rsidR="006C5080" w:rsidRPr="004105ED">
        <w:rPr>
          <w:rFonts w:ascii="Franklin Gothic Book" w:hAnsi="Franklin Gothic Book" w:cs="Arial"/>
          <w:bCs/>
          <w:spacing w:val="-2"/>
        </w:rPr>
        <w:t xml:space="preserve"> reporting could be improved by revising the current format of the PIP in line with DFAT recommendations that reporting on </w:t>
      </w:r>
      <w:r>
        <w:rPr>
          <w:rFonts w:ascii="Franklin Gothic Book" w:hAnsi="Franklin Gothic Book" w:cs="Arial"/>
          <w:bCs/>
          <w:spacing w:val="-2"/>
        </w:rPr>
        <w:t>GEDSI</w:t>
      </w:r>
      <w:r w:rsidR="006C5080" w:rsidRPr="004105ED">
        <w:rPr>
          <w:rFonts w:ascii="Franklin Gothic Book" w:hAnsi="Franklin Gothic Book" w:cs="Arial"/>
          <w:bCs/>
          <w:spacing w:val="-2"/>
        </w:rPr>
        <w:t xml:space="preserve"> performance information be explicit and visible under each program component, and also include a separate section detailing progress against the gender strategy or gender components that includes lessons learned and good practice examples.</w:t>
      </w:r>
      <w:r w:rsidR="006C5080" w:rsidRPr="004105ED">
        <w:rPr>
          <w:rFonts w:ascii="Franklin Gothic Book" w:hAnsi="Franklin Gothic Book"/>
          <w:vertAlign w:val="superscript"/>
        </w:rPr>
        <w:footnoteReference w:id="5"/>
      </w:r>
      <w:r w:rsidR="006C5080" w:rsidRPr="004105ED">
        <w:rPr>
          <w:rFonts w:ascii="Franklin Gothic Book" w:hAnsi="Franklin Gothic Book" w:cs="Arial"/>
          <w:bCs/>
          <w:spacing w:val="-2"/>
        </w:rPr>
        <w:t xml:space="preserve"> Future PIP development could ensure </w:t>
      </w:r>
      <w:r>
        <w:rPr>
          <w:rFonts w:ascii="Franklin Gothic Book" w:hAnsi="Franklin Gothic Book" w:cs="Arial"/>
          <w:bCs/>
          <w:spacing w:val="-2"/>
        </w:rPr>
        <w:t>GEDSI</w:t>
      </w:r>
      <w:r w:rsidR="006C5080" w:rsidRPr="004105ED">
        <w:rPr>
          <w:rFonts w:ascii="Franklin Gothic Book" w:hAnsi="Franklin Gothic Book" w:cs="Arial"/>
          <w:bCs/>
          <w:spacing w:val="-2"/>
        </w:rPr>
        <w:t xml:space="preserve"> components are embedded </w:t>
      </w:r>
      <w:r w:rsidR="006C5080" w:rsidRPr="004105ED">
        <w:rPr>
          <w:rFonts w:ascii="Franklin Gothic Book" w:hAnsi="Franklin Gothic Book" w:cs="Arial"/>
          <w:bCs/>
          <w:spacing w:val="-2"/>
        </w:rPr>
        <w:lastRenderedPageBreak/>
        <w:t xml:space="preserve">across all EOPOs and that there is </w:t>
      </w:r>
      <w:r w:rsidR="004105ED" w:rsidRPr="004105ED">
        <w:rPr>
          <w:rFonts w:ascii="Franklin Gothic Book" w:hAnsi="Franklin Gothic Book" w:cs="Arial"/>
          <w:bCs/>
          <w:spacing w:val="-2"/>
        </w:rPr>
        <w:t xml:space="preserve">an </w:t>
      </w:r>
      <w:r w:rsidR="006C5080" w:rsidRPr="004105ED">
        <w:rPr>
          <w:rFonts w:ascii="Franklin Gothic Book" w:hAnsi="Franklin Gothic Book" w:cs="Arial"/>
          <w:bCs/>
          <w:spacing w:val="-2"/>
        </w:rPr>
        <w:t xml:space="preserve">explicit reference to advocacy and awareness </w:t>
      </w:r>
      <w:r w:rsidR="00DC5DB7">
        <w:rPr>
          <w:rFonts w:ascii="Franklin Gothic Book" w:hAnsi="Franklin Gothic Book" w:cs="Arial"/>
          <w:bCs/>
          <w:spacing w:val="-2"/>
        </w:rPr>
        <w:t>of</w:t>
      </w:r>
      <w:r w:rsidR="00DC5DB7" w:rsidRPr="004105ED">
        <w:rPr>
          <w:rFonts w:ascii="Franklin Gothic Book" w:hAnsi="Franklin Gothic Book" w:cs="Arial"/>
          <w:bCs/>
          <w:spacing w:val="-2"/>
        </w:rPr>
        <w:t xml:space="preserve"> </w:t>
      </w:r>
      <w:r w:rsidR="006C5080" w:rsidRPr="004105ED">
        <w:rPr>
          <w:rFonts w:ascii="Franklin Gothic Book" w:hAnsi="Franklin Gothic Book" w:cs="Arial"/>
          <w:bCs/>
          <w:spacing w:val="-2"/>
        </w:rPr>
        <w:t>DFAT social safeguards requirements to contractors. This could also be paired with on-the-ground compliance checks to</w:t>
      </w:r>
      <w:r w:rsidR="000D7432">
        <w:rPr>
          <w:rFonts w:ascii="Franklin Gothic Book" w:hAnsi="Franklin Gothic Book" w:cs="Arial"/>
          <w:bCs/>
          <w:spacing w:val="-2"/>
        </w:rPr>
        <w:t xml:space="preserve"> help</w:t>
      </w:r>
      <w:r w:rsidR="006C5080" w:rsidRPr="004105ED">
        <w:rPr>
          <w:rFonts w:ascii="Franklin Gothic Book" w:hAnsi="Franklin Gothic Book" w:cs="Arial"/>
          <w:bCs/>
          <w:spacing w:val="-2"/>
        </w:rPr>
        <w:t xml:space="preserve"> ensure social safeguards are being implemented by contractors.</w:t>
      </w:r>
    </w:p>
    <w:p w14:paraId="36D9A261" w14:textId="74CF0FC3" w:rsidR="00964792" w:rsidRPr="004105ED" w:rsidRDefault="006C5080" w:rsidP="0024772A">
      <w:pPr>
        <w:spacing w:after="120"/>
        <w:rPr>
          <w:rFonts w:ascii="Franklin Gothic Book" w:hAnsi="Franklin Gothic Book" w:cs="Arial"/>
          <w:bCs/>
          <w:spacing w:val="-2"/>
        </w:rPr>
      </w:pPr>
      <w:r w:rsidRPr="004105ED">
        <w:rPr>
          <w:rFonts w:ascii="Franklin Gothic Book" w:hAnsi="Franklin Gothic Book" w:cs="Arial"/>
          <w:bCs/>
          <w:spacing w:val="-2"/>
        </w:rPr>
        <w:t xml:space="preserve">Reflecting the importance of </w:t>
      </w:r>
      <w:r w:rsidR="00D87D58">
        <w:rPr>
          <w:rFonts w:ascii="Franklin Gothic Book" w:hAnsi="Franklin Gothic Book" w:cs="Arial"/>
          <w:bCs/>
          <w:spacing w:val="-2"/>
        </w:rPr>
        <w:t>GEDSI</w:t>
      </w:r>
      <w:r w:rsidRPr="004105ED">
        <w:rPr>
          <w:rFonts w:ascii="Franklin Gothic Book" w:hAnsi="Franklin Gothic Book" w:cs="Arial"/>
          <w:bCs/>
          <w:spacing w:val="-2"/>
        </w:rPr>
        <w:t xml:space="preserve"> as a cross-cutting issue, stakeholders consulted also recommended an adjustment to TSSP2 reporting lines so the </w:t>
      </w:r>
      <w:r w:rsidR="00D87D58">
        <w:rPr>
          <w:rFonts w:ascii="Franklin Gothic Book" w:hAnsi="Franklin Gothic Book" w:cs="Arial"/>
          <w:bCs/>
          <w:spacing w:val="-2"/>
        </w:rPr>
        <w:t>GEDSI</w:t>
      </w:r>
      <w:r w:rsidRPr="004105ED">
        <w:rPr>
          <w:rFonts w:ascii="Franklin Gothic Book" w:hAnsi="Franklin Gothic Book" w:cs="Arial"/>
          <w:bCs/>
          <w:spacing w:val="-2"/>
        </w:rPr>
        <w:t xml:space="preserve"> </w:t>
      </w:r>
      <w:r w:rsidR="00EF41CF" w:rsidRPr="004105ED">
        <w:rPr>
          <w:rFonts w:ascii="Franklin Gothic Book" w:hAnsi="Franklin Gothic Book" w:cs="Arial"/>
          <w:bCs/>
          <w:spacing w:val="-2"/>
        </w:rPr>
        <w:t>adviser</w:t>
      </w:r>
      <w:r w:rsidRPr="004105ED">
        <w:rPr>
          <w:rFonts w:ascii="Franklin Gothic Book" w:hAnsi="Franklin Gothic Book" w:cs="Arial"/>
          <w:bCs/>
          <w:spacing w:val="-2"/>
        </w:rPr>
        <w:t xml:space="preserve"> reports directly to the team leader. This would improve the mainstreaming of </w:t>
      </w:r>
      <w:r w:rsidR="00D87D58">
        <w:rPr>
          <w:rFonts w:ascii="Franklin Gothic Book" w:hAnsi="Franklin Gothic Book" w:cs="Arial"/>
          <w:bCs/>
          <w:spacing w:val="-2"/>
        </w:rPr>
        <w:t>GEDSI</w:t>
      </w:r>
      <w:r w:rsidRPr="004105ED">
        <w:rPr>
          <w:rFonts w:ascii="Franklin Gothic Book" w:hAnsi="Franklin Gothic Book" w:cs="Arial"/>
          <w:bCs/>
          <w:spacing w:val="-2"/>
        </w:rPr>
        <w:t xml:space="preserve"> across the different work streams given its overlap with agency support, enhance oversight of contractor compliance with </w:t>
      </w:r>
      <w:r w:rsidR="00D87D58">
        <w:rPr>
          <w:rFonts w:ascii="Franklin Gothic Book" w:hAnsi="Franklin Gothic Book" w:cs="Arial"/>
          <w:bCs/>
          <w:spacing w:val="-2"/>
        </w:rPr>
        <w:t>GEDSI</w:t>
      </w:r>
      <w:r w:rsidRPr="004105ED">
        <w:rPr>
          <w:rFonts w:ascii="Franklin Gothic Book" w:hAnsi="Franklin Gothic Book" w:cs="Arial"/>
          <w:bCs/>
          <w:spacing w:val="-2"/>
        </w:rPr>
        <w:t xml:space="preserve"> and social safeguards requirements, and better position the program for community-level engagements planned for the future. </w:t>
      </w:r>
    </w:p>
    <w:p w14:paraId="3D2D11C2" w14:textId="6BB67D3F" w:rsidR="004E3046" w:rsidRPr="00464922" w:rsidRDefault="004E3046" w:rsidP="0024772A">
      <w:pPr>
        <w:pStyle w:val="Heading3"/>
        <w:rPr>
          <w:rFonts w:ascii="Franklin Gothic Book" w:hAnsi="Franklin Gothic Book"/>
          <w:b/>
          <w:bCs w:val="0"/>
          <w:szCs w:val="20"/>
        </w:rPr>
      </w:pPr>
      <w:r w:rsidRPr="00464922">
        <w:rPr>
          <w:rFonts w:ascii="Franklin Gothic Book" w:hAnsi="Franklin Gothic Book"/>
          <w:b/>
          <w:bCs w:val="0"/>
          <w:szCs w:val="20"/>
        </w:rPr>
        <w:t>M</w:t>
      </w:r>
      <w:r w:rsidR="001F4A81" w:rsidRPr="00464922">
        <w:rPr>
          <w:rFonts w:ascii="Franklin Gothic Book" w:hAnsi="Franklin Gothic Book"/>
          <w:b/>
          <w:bCs w:val="0"/>
          <w:szCs w:val="20"/>
        </w:rPr>
        <w:t>onitoring, Evaluation and Learning (MEL)</w:t>
      </w:r>
    </w:p>
    <w:p w14:paraId="69693203" w14:textId="0416E259" w:rsidR="00C47F98" w:rsidRPr="004105ED" w:rsidRDefault="00C47F98" w:rsidP="004E3046">
      <w:pPr>
        <w:pStyle w:val="BodyText"/>
        <w:rPr>
          <w:szCs w:val="20"/>
        </w:rPr>
      </w:pPr>
      <w:r w:rsidRPr="004105ED">
        <w:rPr>
          <w:szCs w:val="20"/>
        </w:rPr>
        <w:t xml:space="preserve">TSSP2 has a program logic </w:t>
      </w:r>
      <w:r w:rsidR="008E0EA4" w:rsidRPr="004105ED">
        <w:rPr>
          <w:szCs w:val="20"/>
        </w:rPr>
        <w:t>that include</w:t>
      </w:r>
      <w:r w:rsidR="00BD3DC6" w:rsidRPr="004105ED">
        <w:rPr>
          <w:szCs w:val="20"/>
        </w:rPr>
        <w:t>s</w:t>
      </w:r>
      <w:r w:rsidR="008E0EA4" w:rsidRPr="004105ED">
        <w:rPr>
          <w:szCs w:val="20"/>
        </w:rPr>
        <w:t xml:space="preserve"> </w:t>
      </w:r>
      <w:r w:rsidR="00D472F2" w:rsidRPr="004105ED">
        <w:rPr>
          <w:szCs w:val="20"/>
        </w:rPr>
        <w:t xml:space="preserve">three </w:t>
      </w:r>
      <w:r w:rsidR="008E0EA4" w:rsidRPr="004105ED">
        <w:rPr>
          <w:szCs w:val="20"/>
        </w:rPr>
        <w:t xml:space="preserve">EOPOs. TSSP2 </w:t>
      </w:r>
      <w:r w:rsidRPr="004105ED">
        <w:rPr>
          <w:szCs w:val="20"/>
        </w:rPr>
        <w:t>staff use</w:t>
      </w:r>
      <w:r w:rsidR="00A63CBF" w:rsidRPr="004105ED">
        <w:rPr>
          <w:szCs w:val="20"/>
        </w:rPr>
        <w:t>d</w:t>
      </w:r>
      <w:r w:rsidRPr="004105ED">
        <w:rPr>
          <w:szCs w:val="20"/>
        </w:rPr>
        <w:t xml:space="preserve"> this program logic to inform the structure of the program’s comprehensive MEL framework; guide the program’s analysis, reporting and accountability to DFAT; and support the program’s annual reflections</w:t>
      </w:r>
      <w:r w:rsidR="00897FC9" w:rsidRPr="004105ED">
        <w:rPr>
          <w:szCs w:val="20"/>
        </w:rPr>
        <w:t>,</w:t>
      </w:r>
      <w:r w:rsidR="00D7050C">
        <w:rPr>
          <w:szCs w:val="20"/>
        </w:rPr>
        <w:t xml:space="preserve"> </w:t>
      </w:r>
      <w:r w:rsidRPr="004105ED">
        <w:rPr>
          <w:szCs w:val="20"/>
        </w:rPr>
        <w:t xml:space="preserve">learning </w:t>
      </w:r>
      <w:r w:rsidR="008E0EA4" w:rsidRPr="004105ED">
        <w:rPr>
          <w:szCs w:val="20"/>
        </w:rPr>
        <w:t>and adaptive management processes.</w:t>
      </w:r>
    </w:p>
    <w:p w14:paraId="2DE69A23" w14:textId="1C3A1B71" w:rsidR="004E3046" w:rsidRPr="004105ED" w:rsidRDefault="001835B9" w:rsidP="004E3046">
      <w:pPr>
        <w:pStyle w:val="BodyText"/>
        <w:rPr>
          <w:szCs w:val="20"/>
        </w:rPr>
      </w:pPr>
      <w:r w:rsidRPr="004105ED">
        <w:rPr>
          <w:szCs w:val="20"/>
        </w:rPr>
        <w:t>Currently, the TSSP2</w:t>
      </w:r>
      <w:r w:rsidR="004E3046" w:rsidRPr="004105ED">
        <w:rPr>
          <w:szCs w:val="20"/>
        </w:rPr>
        <w:t xml:space="preserve"> </w:t>
      </w:r>
      <w:r w:rsidR="00A2424C" w:rsidRPr="004105ED">
        <w:rPr>
          <w:szCs w:val="20"/>
        </w:rPr>
        <w:t>MEL</w:t>
      </w:r>
      <w:r w:rsidRPr="004105ED">
        <w:rPr>
          <w:szCs w:val="20"/>
        </w:rPr>
        <w:t xml:space="preserve"> function is well resourced and capable to advance the Program’s reporting, learning, and accountability mandate. TSSP2 MEL is guided by the TSSP2 MEL Plan (MELP) that was revised and updated in 2019. The MELP articulates the Program Logic, the EOPOs, the Performance Assessment Framework as well as the program’s learning agenda, research, and implementation arrangements. </w:t>
      </w:r>
    </w:p>
    <w:p w14:paraId="02B3F009" w14:textId="06E7DD02" w:rsidR="004E3046" w:rsidRPr="004105ED" w:rsidRDefault="004E3046" w:rsidP="004E3046">
      <w:pPr>
        <w:pStyle w:val="BodyText"/>
        <w:rPr>
          <w:szCs w:val="20"/>
        </w:rPr>
      </w:pPr>
      <w:r w:rsidRPr="004105ED">
        <w:rPr>
          <w:szCs w:val="20"/>
        </w:rPr>
        <w:t>With the review of the MELP in 2019, TSSP2 has since been reporting progress made towards the achievement of EOPOs in its annual reporting which has been useful in providing evidence and insights on the progress of the program relating to effectiveness.</w:t>
      </w:r>
      <w:r w:rsidRPr="004105ED">
        <w:rPr>
          <w:rFonts w:eastAsia="Times New Roman" w:cs="Calibri"/>
          <w:color w:val="000000"/>
          <w:szCs w:val="20"/>
        </w:rPr>
        <w:t xml:space="preserve"> </w:t>
      </w:r>
      <w:r w:rsidR="004F539A" w:rsidRPr="004105ED">
        <w:rPr>
          <w:szCs w:val="20"/>
        </w:rPr>
        <w:t>TSSP2 MEL staff noted that a</w:t>
      </w:r>
      <w:r w:rsidRPr="004105ED">
        <w:rPr>
          <w:szCs w:val="20"/>
        </w:rPr>
        <w:t>n additional MEL Action Plan 2020-2022 was developed to target key areas that have not been addressed in existing reporting (such as roads and cross-cutting issues).</w:t>
      </w:r>
      <w:r w:rsidR="00550995" w:rsidRPr="004105ED">
        <w:rPr>
          <w:szCs w:val="20"/>
        </w:rPr>
        <w:t xml:space="preserve"> </w:t>
      </w:r>
      <w:r w:rsidRPr="004105ED">
        <w:rPr>
          <w:szCs w:val="20"/>
        </w:rPr>
        <w:t>The plan also includes a participatory approach to partnerships to enable the identification of sectoral priorities and agency capacities that need further strengthening.</w:t>
      </w:r>
    </w:p>
    <w:p w14:paraId="1D92D67F" w14:textId="1E142BFA" w:rsidR="00F52304" w:rsidRPr="004105ED" w:rsidRDefault="00F52304" w:rsidP="00F52304">
      <w:pPr>
        <w:pStyle w:val="BodyText"/>
        <w:spacing w:line="235" w:lineRule="auto"/>
        <w:rPr>
          <w:szCs w:val="20"/>
        </w:rPr>
      </w:pPr>
      <w:r w:rsidRPr="004105ED">
        <w:rPr>
          <w:szCs w:val="20"/>
        </w:rPr>
        <w:t xml:space="preserve">TSSP2 </w:t>
      </w:r>
      <w:r w:rsidR="00DA1068" w:rsidRPr="004105ED">
        <w:rPr>
          <w:szCs w:val="20"/>
        </w:rPr>
        <w:t>MEL</w:t>
      </w:r>
      <w:r w:rsidR="00456AB7" w:rsidRPr="004105ED">
        <w:rPr>
          <w:szCs w:val="20"/>
        </w:rPr>
        <w:t xml:space="preserve"> processes</w:t>
      </w:r>
      <w:r w:rsidR="004E3046" w:rsidRPr="004105ED">
        <w:rPr>
          <w:szCs w:val="20"/>
        </w:rPr>
        <w:t xml:space="preserve"> ha</w:t>
      </w:r>
      <w:r w:rsidR="00456AB7" w:rsidRPr="004105ED">
        <w:rPr>
          <w:szCs w:val="20"/>
        </w:rPr>
        <w:t>ve</w:t>
      </w:r>
      <w:r w:rsidRPr="004105ED">
        <w:rPr>
          <w:szCs w:val="20"/>
        </w:rPr>
        <w:t xml:space="preserve"> been nimble which has provided the program</w:t>
      </w:r>
      <w:r w:rsidR="00C425A6" w:rsidRPr="004105ED">
        <w:rPr>
          <w:szCs w:val="20"/>
        </w:rPr>
        <w:t xml:space="preserve"> flexibility</w:t>
      </w:r>
      <w:r w:rsidRPr="004105ED">
        <w:rPr>
          <w:szCs w:val="20"/>
        </w:rPr>
        <w:t xml:space="preserve"> through the annual planning and budgeting process room to adjust priorities and course-correct initiatives throughout the year. Even though the annual work planning has improved over time,</w:t>
      </w:r>
      <w:r w:rsidR="00B4798B" w:rsidRPr="004105ED">
        <w:rPr>
          <w:szCs w:val="20"/>
        </w:rPr>
        <w:t xml:space="preserve"> DFAT </w:t>
      </w:r>
      <w:r w:rsidRPr="004105ED">
        <w:rPr>
          <w:szCs w:val="20"/>
        </w:rPr>
        <w:t xml:space="preserve">stakeholders consulted noted that there is more room for TSSP2 to remain flexible, and in some instances, move away from the annual implementation plan and be more accommodative of emerging priorities from </w:t>
      </w:r>
      <w:r w:rsidR="00550995" w:rsidRPr="004105ED">
        <w:rPr>
          <w:szCs w:val="20"/>
        </w:rPr>
        <w:t xml:space="preserve">the </w:t>
      </w:r>
      <w:r w:rsidRPr="004105ED">
        <w:rPr>
          <w:szCs w:val="20"/>
        </w:rPr>
        <w:t xml:space="preserve">GoPNG. </w:t>
      </w:r>
    </w:p>
    <w:p w14:paraId="4C0C290A" w14:textId="7D26A8C1" w:rsidR="004E3046" w:rsidRPr="004105ED" w:rsidRDefault="00E25DC9" w:rsidP="004E3046">
      <w:pPr>
        <w:pStyle w:val="BodyText"/>
        <w:spacing w:line="235" w:lineRule="auto"/>
        <w:rPr>
          <w:szCs w:val="20"/>
        </w:rPr>
      </w:pPr>
      <w:r w:rsidRPr="004105ED">
        <w:rPr>
          <w:szCs w:val="20"/>
        </w:rPr>
        <w:t xml:space="preserve">Senior GoPNG officials have also expressed a desire </w:t>
      </w:r>
      <w:r w:rsidR="00827776" w:rsidRPr="004105ED">
        <w:rPr>
          <w:szCs w:val="20"/>
        </w:rPr>
        <w:t>for</w:t>
      </w:r>
      <w:r w:rsidRPr="004105ED">
        <w:rPr>
          <w:szCs w:val="20"/>
        </w:rPr>
        <w:t xml:space="preserve"> more national </w:t>
      </w:r>
      <w:r w:rsidR="00EF41CF" w:rsidRPr="004105ED">
        <w:rPr>
          <w:szCs w:val="20"/>
        </w:rPr>
        <w:t>adviser</w:t>
      </w:r>
      <w:r w:rsidRPr="004105ED">
        <w:rPr>
          <w:szCs w:val="20"/>
        </w:rPr>
        <w:t>s</w:t>
      </w:r>
      <w:r w:rsidR="0089122F" w:rsidRPr="004105ED">
        <w:rPr>
          <w:szCs w:val="20"/>
        </w:rPr>
        <w:t xml:space="preserve"> rather than international </w:t>
      </w:r>
      <w:r w:rsidR="00EF41CF" w:rsidRPr="004105ED">
        <w:rPr>
          <w:szCs w:val="20"/>
        </w:rPr>
        <w:t>adviser</w:t>
      </w:r>
      <w:r w:rsidR="0089122F" w:rsidRPr="004105ED">
        <w:rPr>
          <w:szCs w:val="20"/>
        </w:rPr>
        <w:t>s</w:t>
      </w:r>
      <w:r w:rsidRPr="004105ED">
        <w:rPr>
          <w:szCs w:val="20"/>
        </w:rPr>
        <w:t xml:space="preserve"> to fulfil M&amp;E functions within </w:t>
      </w:r>
      <w:r w:rsidR="00B97905" w:rsidRPr="004105ED">
        <w:rPr>
          <w:szCs w:val="20"/>
        </w:rPr>
        <w:t>Go</w:t>
      </w:r>
      <w:r w:rsidRPr="004105ED">
        <w:rPr>
          <w:szCs w:val="20"/>
        </w:rPr>
        <w:t xml:space="preserve">PNG </w:t>
      </w:r>
      <w:r w:rsidR="003172AD" w:rsidRPr="004105ED">
        <w:rPr>
          <w:szCs w:val="20"/>
        </w:rPr>
        <w:t>agencies</w:t>
      </w:r>
      <w:r w:rsidRPr="004105ED">
        <w:rPr>
          <w:szCs w:val="20"/>
        </w:rPr>
        <w:t>.</w:t>
      </w:r>
      <w:r w:rsidR="00046A29" w:rsidRPr="004105ED">
        <w:rPr>
          <w:szCs w:val="20"/>
        </w:rPr>
        <w:t xml:space="preserve"> </w:t>
      </w:r>
      <w:r w:rsidR="00B97905" w:rsidRPr="004105ED">
        <w:rPr>
          <w:szCs w:val="20"/>
        </w:rPr>
        <w:t>The</w:t>
      </w:r>
      <w:r w:rsidR="006E4E1D" w:rsidRPr="004105ED">
        <w:rPr>
          <w:szCs w:val="20"/>
        </w:rPr>
        <w:t xml:space="preserve">y noted </w:t>
      </w:r>
      <w:r w:rsidR="00B97905" w:rsidRPr="004105ED">
        <w:rPr>
          <w:szCs w:val="20"/>
        </w:rPr>
        <w:t>that this will be important in building and retaining MEL capacities in-country</w:t>
      </w:r>
      <w:r w:rsidR="00EB7806" w:rsidRPr="004105ED">
        <w:rPr>
          <w:szCs w:val="20"/>
        </w:rPr>
        <w:t>. Though the funding of these national MEL positions was not clearly articulated</w:t>
      </w:r>
      <w:r w:rsidR="00B7565B" w:rsidRPr="004105ED">
        <w:rPr>
          <w:szCs w:val="20"/>
        </w:rPr>
        <w:t xml:space="preserve">, their importance was </w:t>
      </w:r>
      <w:r w:rsidR="00641998" w:rsidRPr="004105ED">
        <w:rPr>
          <w:szCs w:val="20"/>
        </w:rPr>
        <w:t xml:space="preserve">noted by most agencies consulted. </w:t>
      </w:r>
      <w:r w:rsidR="00113478" w:rsidRPr="004105ED">
        <w:rPr>
          <w:szCs w:val="20"/>
        </w:rPr>
        <w:t xml:space="preserve">As discussed in Chapter </w:t>
      </w:r>
      <w:r w:rsidR="00FD410F" w:rsidRPr="004105ED">
        <w:rPr>
          <w:szCs w:val="20"/>
        </w:rPr>
        <w:t>2</w:t>
      </w:r>
      <w:r w:rsidR="00245E97" w:rsidRPr="004105ED">
        <w:rPr>
          <w:szCs w:val="20"/>
        </w:rPr>
        <w:t xml:space="preserve">, </w:t>
      </w:r>
      <w:r w:rsidR="00FC51CE" w:rsidRPr="004105ED">
        <w:rPr>
          <w:szCs w:val="20"/>
        </w:rPr>
        <w:t>KEQ 3</w:t>
      </w:r>
      <w:r w:rsidR="00113478" w:rsidRPr="004105ED">
        <w:rPr>
          <w:szCs w:val="20"/>
        </w:rPr>
        <w:t xml:space="preserve"> </w:t>
      </w:r>
      <w:r w:rsidR="00A6718E" w:rsidRPr="004105ED">
        <w:rPr>
          <w:szCs w:val="20"/>
        </w:rPr>
        <w:t xml:space="preserve">the </w:t>
      </w:r>
      <w:r w:rsidR="001608F0" w:rsidRPr="004105ED">
        <w:rPr>
          <w:szCs w:val="20"/>
        </w:rPr>
        <w:t xml:space="preserve">program </w:t>
      </w:r>
      <w:r w:rsidR="00A6718E" w:rsidRPr="004105ED">
        <w:rPr>
          <w:szCs w:val="20"/>
        </w:rPr>
        <w:t xml:space="preserve">logic for </w:t>
      </w:r>
      <w:r w:rsidR="001608F0" w:rsidRPr="004105ED">
        <w:rPr>
          <w:szCs w:val="20"/>
        </w:rPr>
        <w:t xml:space="preserve">TSSP2 </w:t>
      </w:r>
      <w:r w:rsidR="00A6718E" w:rsidRPr="004105ED">
        <w:rPr>
          <w:szCs w:val="20"/>
        </w:rPr>
        <w:t>is due for</w:t>
      </w:r>
      <w:r w:rsidR="00FC51CE" w:rsidRPr="004105ED">
        <w:rPr>
          <w:szCs w:val="20"/>
        </w:rPr>
        <w:t xml:space="preserve"> a</w:t>
      </w:r>
      <w:r w:rsidR="00A6718E" w:rsidRPr="004105ED">
        <w:rPr>
          <w:szCs w:val="20"/>
        </w:rPr>
        <w:t xml:space="preserve"> refresh to </w:t>
      </w:r>
      <w:r w:rsidR="00360941" w:rsidRPr="004105ED">
        <w:rPr>
          <w:szCs w:val="20"/>
        </w:rPr>
        <w:t xml:space="preserve">enable better articulation of EOPOs that are relevant to the current context and priorities in PNG. </w:t>
      </w:r>
      <w:r w:rsidR="008369B0" w:rsidRPr="004105ED">
        <w:rPr>
          <w:szCs w:val="20"/>
        </w:rPr>
        <w:t>Therefore,</w:t>
      </w:r>
      <w:r w:rsidR="00CC3B4B" w:rsidRPr="004105ED">
        <w:rPr>
          <w:szCs w:val="20"/>
        </w:rPr>
        <w:t xml:space="preserve"> </w:t>
      </w:r>
      <w:r w:rsidR="00AE7202" w:rsidRPr="004105ED">
        <w:rPr>
          <w:szCs w:val="20"/>
        </w:rPr>
        <w:t xml:space="preserve">TSSP3 design should work with the TSSP2 MEL component to help reshape and reformulate EOPOs </w:t>
      </w:r>
      <w:r w:rsidR="00EB58F1" w:rsidRPr="004105ED">
        <w:rPr>
          <w:szCs w:val="20"/>
        </w:rPr>
        <w:t>reflecting</w:t>
      </w:r>
      <w:r w:rsidR="003C365F" w:rsidRPr="004105ED">
        <w:rPr>
          <w:szCs w:val="20"/>
        </w:rPr>
        <w:t xml:space="preserve"> their </w:t>
      </w:r>
      <w:r w:rsidR="00EB58F1" w:rsidRPr="004105ED">
        <w:rPr>
          <w:szCs w:val="20"/>
        </w:rPr>
        <w:t xml:space="preserve">experience, </w:t>
      </w:r>
      <w:r w:rsidR="003C365F" w:rsidRPr="004105ED">
        <w:rPr>
          <w:szCs w:val="20"/>
        </w:rPr>
        <w:t>insights and lessons learned</w:t>
      </w:r>
      <w:r w:rsidR="00233166" w:rsidRPr="004105ED">
        <w:rPr>
          <w:szCs w:val="20"/>
        </w:rPr>
        <w:t>.</w:t>
      </w:r>
    </w:p>
    <w:p w14:paraId="4E2C04B5" w14:textId="77777777" w:rsidR="004E3046" w:rsidRPr="00BB42AE" w:rsidRDefault="004E3046" w:rsidP="0024772A">
      <w:pPr>
        <w:pStyle w:val="Heading3"/>
      </w:pPr>
      <w:bookmarkStart w:id="54" w:name="_Toc91071207"/>
      <w:r w:rsidRPr="00BB42AE">
        <w:t>Risk management</w:t>
      </w:r>
      <w:bookmarkEnd w:id="54"/>
      <w:r w:rsidRPr="00BB42AE">
        <w:t xml:space="preserve"> </w:t>
      </w:r>
    </w:p>
    <w:p w14:paraId="43644EEB" w14:textId="5A6DE3B0" w:rsidR="004E3046" w:rsidRPr="00BB2238" w:rsidRDefault="00543C8B" w:rsidP="00BB2238">
      <w:pPr>
        <w:pStyle w:val="BodyText"/>
        <w:spacing w:line="235" w:lineRule="auto"/>
      </w:pPr>
      <w:r w:rsidRPr="00BB2238">
        <w:t xml:space="preserve">Program reporting and TSSP2 </w:t>
      </w:r>
      <w:r w:rsidR="00BB2238">
        <w:t>staff</w:t>
      </w:r>
      <w:r w:rsidRPr="00BB2238">
        <w:t xml:space="preserve"> consulted </w:t>
      </w:r>
      <w:r w:rsidR="00BB2238">
        <w:t>confirm</w:t>
      </w:r>
      <w:r w:rsidR="00B50C13">
        <w:t>ed</w:t>
      </w:r>
      <w:r w:rsidR="00BB2238">
        <w:t xml:space="preserve"> </w:t>
      </w:r>
      <w:r w:rsidRPr="00BB2238">
        <w:t xml:space="preserve">that </w:t>
      </w:r>
      <w:r w:rsidR="004E3046" w:rsidRPr="00BB2238">
        <w:t>TSSP2 has adequate systems in place for risk management. The program maintains a risk matrix that guides program implementation</w:t>
      </w:r>
      <w:r w:rsidRPr="00BB2238">
        <w:t>. The Program also</w:t>
      </w:r>
      <w:r w:rsidR="004E3046" w:rsidRPr="00BB2238">
        <w:t xml:space="preserve"> updates its Risk Management Plan as part of its annual work planning. </w:t>
      </w:r>
      <w:r w:rsidRPr="00BB2238">
        <w:t xml:space="preserve">In addition, the </w:t>
      </w:r>
      <w:r w:rsidR="0086165B" w:rsidRPr="00BB2238">
        <w:t>Pr</w:t>
      </w:r>
      <w:r w:rsidR="004E3046" w:rsidRPr="00BB2238">
        <w:t xml:space="preserve">ogram also pro-actively manages health and safety risks through its updated Business Continuity Plan. This proactive risk management approach has mitigated </w:t>
      </w:r>
      <w:r w:rsidR="007F102B">
        <w:t>and</w:t>
      </w:r>
      <w:r w:rsidR="004E3046" w:rsidRPr="00BB2238">
        <w:t xml:space="preserve"> </w:t>
      </w:r>
      <w:r w:rsidR="00120FFE" w:rsidRPr="00BB2238">
        <w:t xml:space="preserve">enabled </w:t>
      </w:r>
      <w:r w:rsidR="001B36EF" w:rsidRPr="00BB2238">
        <w:t>program continuity</w:t>
      </w:r>
      <w:r w:rsidR="00217A9B">
        <w:t xml:space="preserve">, </w:t>
      </w:r>
      <w:r w:rsidR="00000327">
        <w:t>though more could be done. For instance, risk management could be embedded into the program design</w:t>
      </w:r>
      <w:r w:rsidR="00E54191">
        <w:t>.</w:t>
      </w:r>
      <w:r w:rsidR="00000327">
        <w:t xml:space="preserve"> </w:t>
      </w:r>
      <w:r w:rsidR="004E3046">
        <w:t xml:space="preserve">Stakeholders consulted also mentioned that remote working models necessitated by COVID-19 carried some </w:t>
      </w:r>
      <w:r w:rsidR="004E3046" w:rsidRPr="0046097E">
        <w:t>risks in terms of reduced oversight of quality control,</w:t>
      </w:r>
      <w:r w:rsidR="004E3046">
        <w:t xml:space="preserve"> although this is</w:t>
      </w:r>
      <w:r w:rsidR="004E3046" w:rsidRPr="0046097E">
        <w:t xml:space="preserve"> </w:t>
      </w:r>
      <w:r w:rsidR="004E3046">
        <w:t xml:space="preserve">offset by a strengthening of partnerships </w:t>
      </w:r>
      <w:r w:rsidR="004E3046" w:rsidRPr="0046097E">
        <w:t xml:space="preserve">and </w:t>
      </w:r>
      <w:r w:rsidR="004E3046">
        <w:t xml:space="preserve">collaboration </w:t>
      </w:r>
      <w:r w:rsidR="00DF4D13">
        <w:t xml:space="preserve">made possible </w:t>
      </w:r>
      <w:r w:rsidR="00FF2D55">
        <w:t>through</w:t>
      </w:r>
      <w:r w:rsidR="004E3046">
        <w:t xml:space="preserve"> more regular tele</w:t>
      </w:r>
      <w:r w:rsidR="004E3046" w:rsidRPr="0046097E">
        <w:t>communication</w:t>
      </w:r>
      <w:r w:rsidR="004E3046">
        <w:t>.</w:t>
      </w:r>
      <w:r w:rsidR="004E3046" w:rsidRPr="0046097E">
        <w:t xml:space="preserve"> </w:t>
      </w:r>
    </w:p>
    <w:p w14:paraId="6FA778F0" w14:textId="65A974F6" w:rsidR="004D6553" w:rsidRDefault="004E3046" w:rsidP="004E3046">
      <w:pPr>
        <w:pStyle w:val="BodyText"/>
        <w:spacing w:line="235" w:lineRule="auto"/>
      </w:pPr>
      <w:r w:rsidRPr="00BB2238">
        <w:t>TSSP</w:t>
      </w:r>
      <w:r w:rsidR="00493500" w:rsidRPr="00BB2238">
        <w:t>2</w:t>
      </w:r>
      <w:r w:rsidRPr="00BB2238">
        <w:t xml:space="preserve"> continues to monitor external risks such as the PNG political situation, the domestic budget (particularly for the transport sector) and organisational changes in counterpart agencies. </w:t>
      </w:r>
      <w:r>
        <w:t xml:space="preserve">These </w:t>
      </w:r>
      <w:r w:rsidRPr="0046097E">
        <w:t>approaches</w:t>
      </w:r>
      <w:r w:rsidRPr="00123EAC">
        <w:t xml:space="preserve"> have resulted in no reported </w:t>
      </w:r>
      <w:r w:rsidRPr="0046097E">
        <w:t>safety and security issue</w:t>
      </w:r>
      <w:r>
        <w:t>s</w:t>
      </w:r>
      <w:r w:rsidRPr="0046097E">
        <w:t xml:space="preserve"> </w:t>
      </w:r>
      <w:r w:rsidRPr="00123EAC">
        <w:t>with</w:t>
      </w:r>
      <w:r w:rsidRPr="0046097E">
        <w:t xml:space="preserve">in the last </w:t>
      </w:r>
      <w:r w:rsidR="000225F8">
        <w:t>three</w:t>
      </w:r>
      <w:r w:rsidR="006219A6">
        <w:t xml:space="preserve"> </w:t>
      </w:r>
      <w:r w:rsidRPr="0046097E">
        <w:t>years</w:t>
      </w:r>
      <w:r>
        <w:t>,</w:t>
      </w:r>
      <w:r w:rsidRPr="003C1D53">
        <w:t xml:space="preserve"> </w:t>
      </w:r>
      <w:r>
        <w:t>although stakeholders noted that the C</w:t>
      </w:r>
      <w:r w:rsidR="0050774A">
        <w:t>WA</w:t>
      </w:r>
      <w:r w:rsidR="000225F8">
        <w:t>s</w:t>
      </w:r>
      <w:r>
        <w:t xml:space="preserve"> in Bougainville contains risks for fraud in its </w:t>
      </w:r>
      <w:r w:rsidR="00A43DDA">
        <w:t>implementation arrangements</w:t>
      </w:r>
      <w:r>
        <w:t>.</w:t>
      </w:r>
      <w:r w:rsidR="00B11D3B">
        <w:t xml:space="preserve"> </w:t>
      </w:r>
    </w:p>
    <w:p w14:paraId="0100EC50" w14:textId="77777777" w:rsidR="004E3046" w:rsidRPr="001F4A81" w:rsidRDefault="004E3046" w:rsidP="0024772A">
      <w:pPr>
        <w:pStyle w:val="Heading3"/>
      </w:pPr>
      <w:bookmarkStart w:id="55" w:name="_Toc91071208"/>
      <w:r w:rsidRPr="001F4A81">
        <w:t>Environmental and social safeguards</w:t>
      </w:r>
      <w:bookmarkEnd w:id="55"/>
      <w:r w:rsidRPr="001F4A81">
        <w:t xml:space="preserve"> </w:t>
      </w:r>
    </w:p>
    <w:p w14:paraId="232F2EC0" w14:textId="2174B2DE" w:rsidR="004E3046" w:rsidRDefault="004E3046" w:rsidP="004B513D">
      <w:pPr>
        <w:pStyle w:val="BodyText"/>
      </w:pPr>
      <w:bookmarkStart w:id="56" w:name="_Hlk95237208"/>
      <w:r w:rsidRPr="0002126F">
        <w:t>TSSP</w:t>
      </w:r>
      <w:r w:rsidRPr="00CB15E9">
        <w:t>2</w:t>
      </w:r>
      <w:r w:rsidRPr="0002126F">
        <w:t xml:space="preserve"> has</w:t>
      </w:r>
      <w:r w:rsidRPr="00CB15E9">
        <w:t xml:space="preserve"> developed </w:t>
      </w:r>
      <w:r>
        <w:t xml:space="preserve">an </w:t>
      </w:r>
      <w:r w:rsidRPr="0006491A">
        <w:t>Environmental Safeguards and Climate Change and Disaster</w:t>
      </w:r>
      <w:r>
        <w:t xml:space="preserve"> </w:t>
      </w:r>
      <w:r w:rsidRPr="0006491A">
        <w:t>Resilience Strategy</w:t>
      </w:r>
      <w:r w:rsidRPr="0006491A">
        <w:br/>
        <w:t>2020-2022</w:t>
      </w:r>
      <w:r>
        <w:t>,</w:t>
      </w:r>
      <w:r w:rsidRPr="0006491A">
        <w:t xml:space="preserve"> </w:t>
      </w:r>
      <w:r w:rsidRPr="0002126F">
        <w:t xml:space="preserve">in consultation with relevant </w:t>
      </w:r>
      <w:r w:rsidR="006873EA" w:rsidRPr="0002126F">
        <w:t>G</w:t>
      </w:r>
      <w:r w:rsidR="006873EA">
        <w:t>o</w:t>
      </w:r>
      <w:r w:rsidR="006873EA" w:rsidRPr="0002126F">
        <w:t xml:space="preserve">PNG </w:t>
      </w:r>
      <w:r w:rsidRPr="0002126F">
        <w:t>agencies</w:t>
      </w:r>
      <w:r>
        <w:t xml:space="preserve"> and</w:t>
      </w:r>
      <w:r w:rsidRPr="0002126F">
        <w:t xml:space="preserve"> </w:t>
      </w:r>
      <w:r>
        <w:t xml:space="preserve">partnership with the </w:t>
      </w:r>
      <w:r w:rsidRPr="0002126F">
        <w:t>Australia</w:t>
      </w:r>
      <w:r>
        <w:t xml:space="preserve"> Pacific C</w:t>
      </w:r>
      <w:r w:rsidRPr="0002126F">
        <w:t xml:space="preserve">limate </w:t>
      </w:r>
      <w:r>
        <w:t>P</w:t>
      </w:r>
      <w:r w:rsidRPr="0002126F">
        <w:t>artnership</w:t>
      </w:r>
      <w:bookmarkEnd w:id="56"/>
      <w:r>
        <w:t xml:space="preserve">. The COVID-19 pandemic has delayed </w:t>
      </w:r>
      <w:r w:rsidR="006219A6">
        <w:t xml:space="preserve">the </w:t>
      </w:r>
      <w:r>
        <w:t xml:space="preserve">recruitment </w:t>
      </w:r>
      <w:r w:rsidR="00DB0190">
        <w:t>of</w:t>
      </w:r>
      <w:r>
        <w:t xml:space="preserve"> an </w:t>
      </w:r>
      <w:r w:rsidR="00EF41CF">
        <w:t>adviser</w:t>
      </w:r>
      <w:r>
        <w:t xml:space="preserve"> </w:t>
      </w:r>
      <w:r w:rsidRPr="000B77D0">
        <w:t>whose intended function is to be a key resource for transport sector agencies to draw upon in realising</w:t>
      </w:r>
      <w:r>
        <w:t xml:space="preserve"> </w:t>
      </w:r>
      <w:r w:rsidRPr="000B77D0">
        <w:t>their environmental safeguards, climate change and disaster resilience obligations and priorities.</w:t>
      </w:r>
      <w:r>
        <w:t xml:space="preserve"> </w:t>
      </w:r>
      <w:r w:rsidR="0097544A">
        <w:t>Stakeholders report that</w:t>
      </w:r>
      <w:r>
        <w:t xml:space="preserve"> TSSP2 has been able to draw on social safeguard resources from other sources (such as AIFFP for the Transnational Highway) to mainstream </w:t>
      </w:r>
      <w:r>
        <w:lastRenderedPageBreak/>
        <w:t>these priorities, and subcontractors</w:t>
      </w:r>
      <w:r w:rsidRPr="007F1C10">
        <w:t xml:space="preserve"> </w:t>
      </w:r>
      <w:r w:rsidRPr="0046097E">
        <w:t xml:space="preserve">are implementing basic </w:t>
      </w:r>
      <w:r>
        <w:t>e</w:t>
      </w:r>
      <w:r w:rsidRPr="0046097E">
        <w:t xml:space="preserve">nvironmental </w:t>
      </w:r>
      <w:r>
        <w:t>s</w:t>
      </w:r>
      <w:r w:rsidRPr="0046097E">
        <w:t>afeguards</w:t>
      </w:r>
      <w:r>
        <w:t xml:space="preserve">, but </w:t>
      </w:r>
      <w:r w:rsidR="00B372A5">
        <w:t xml:space="preserve">more </w:t>
      </w:r>
      <w:r w:rsidRPr="0046097E">
        <w:t>skilled resource</w:t>
      </w:r>
      <w:r>
        <w:t>s are needed</w:t>
      </w:r>
      <w:r w:rsidRPr="0046097E">
        <w:t xml:space="preserve"> </w:t>
      </w:r>
      <w:r>
        <w:t>for full implementation of the strategy.</w:t>
      </w:r>
    </w:p>
    <w:p w14:paraId="416FB1A8" w14:textId="04E5E548" w:rsidR="004B513D" w:rsidRDefault="008B18B6" w:rsidP="004C2507">
      <w:pPr>
        <w:pStyle w:val="Heading2"/>
      </w:pPr>
      <w:bookmarkStart w:id="57" w:name="_Toc99121794"/>
      <w:bookmarkEnd w:id="53"/>
      <w:r>
        <w:t>Conclusions</w:t>
      </w:r>
      <w:bookmarkEnd w:id="57"/>
    </w:p>
    <w:p w14:paraId="0502427F" w14:textId="2E2498B1" w:rsidR="00406EA0" w:rsidRPr="00406EA0" w:rsidRDefault="007C71DB" w:rsidP="00406EA0">
      <w:pPr>
        <w:pStyle w:val="BodyText"/>
      </w:pPr>
      <w:r>
        <w:t xml:space="preserve">The future sustainability of </w:t>
      </w:r>
      <w:r w:rsidR="00D87D58">
        <w:t>GEDSI</w:t>
      </w:r>
      <w:r>
        <w:t xml:space="preserve"> activities warrants some consideration. While TSSP2 has recruited the right person with the right mix of skills for its </w:t>
      </w:r>
      <w:r w:rsidR="00D87D58">
        <w:t>GEDSI</w:t>
      </w:r>
      <w:r>
        <w:t xml:space="preserve"> function, stakeholders consulted have expressed concern that sustained </w:t>
      </w:r>
      <w:r w:rsidR="00D87D58">
        <w:t>GEDSI</w:t>
      </w:r>
      <w:r>
        <w:t xml:space="preserve"> engagements may not continue in the event of the current short-term </w:t>
      </w:r>
      <w:r w:rsidR="00EF41CF">
        <w:t>adviser</w:t>
      </w:r>
      <w:r>
        <w:t xml:space="preserve"> departing from the role</w:t>
      </w:r>
      <w:r w:rsidR="00983986">
        <w:t xml:space="preserve">. </w:t>
      </w:r>
      <w:r w:rsidR="00F85FE8">
        <w:t>Some m</w:t>
      </w:r>
      <w:r>
        <w:t xml:space="preserve">easures are in place to </w:t>
      </w:r>
      <w:r w:rsidR="000D7432">
        <w:t xml:space="preserve">support </w:t>
      </w:r>
      <w:r w:rsidR="006219A6">
        <w:t xml:space="preserve">the </w:t>
      </w:r>
      <w:r>
        <w:t xml:space="preserve">sustainability of </w:t>
      </w:r>
      <w:r w:rsidR="00D87D58">
        <w:t>GEDSI</w:t>
      </w:r>
      <w:r>
        <w:t xml:space="preserve"> activities (i.e. involving the Operations and Office Managers in the implementation of the FSV policy and its referral processes) but more needs to be done to </w:t>
      </w:r>
      <w:r w:rsidR="00570BED">
        <w:t xml:space="preserve">help </w:t>
      </w:r>
      <w:r>
        <w:t>ensure the longevity of existing policies, systems and processes beyond the departure of the current STA.</w:t>
      </w:r>
      <w:r w:rsidR="00406EA0">
        <w:t xml:space="preserve"> </w:t>
      </w:r>
      <w:r w:rsidR="00406EA0" w:rsidRPr="00406EA0">
        <w:t xml:space="preserve">Stakeholders consulted also expressed a need for more </w:t>
      </w:r>
      <w:r w:rsidR="00D87D58">
        <w:t>GEDSI</w:t>
      </w:r>
      <w:r w:rsidR="00406EA0" w:rsidRPr="00406EA0">
        <w:t xml:space="preserve"> awareness training with frontline staff within transport sector agencies given the role that transport plays in </w:t>
      </w:r>
      <w:r w:rsidR="00D87D58">
        <w:t>GEDSI</w:t>
      </w:r>
      <w:r w:rsidR="00406EA0" w:rsidRPr="00406EA0">
        <w:t xml:space="preserve"> issues including human trafficking, child protection and gender-based violence. </w:t>
      </w:r>
    </w:p>
    <w:p w14:paraId="2B4B4AE4" w14:textId="4D0278BF" w:rsidR="004C2245" w:rsidRDefault="004C2245" w:rsidP="004C2245">
      <w:pPr>
        <w:pStyle w:val="BodyText"/>
      </w:pPr>
      <w:r>
        <w:t xml:space="preserve">There is </w:t>
      </w:r>
      <w:r w:rsidR="00E40F9A">
        <w:t xml:space="preserve">also </w:t>
      </w:r>
      <w:r>
        <w:t xml:space="preserve">room for further outcome and impact reporting of the TSSP2 and the MEL </w:t>
      </w:r>
      <w:r w:rsidR="00EF41CF">
        <w:t>Adviser</w:t>
      </w:r>
      <w:r>
        <w:t xml:space="preserve">s have planned for this. As TSSP2 draws to an end, there are plans to conduct roads impacts studies through case studies that showcase economic benefits because of good and well-maintained roads. Also, there are planned studies on community perceptions of the cross-cutting impacts of </w:t>
      </w:r>
      <w:r w:rsidR="00D87D58">
        <w:t>GEDSI</w:t>
      </w:r>
      <w:r>
        <w:t xml:space="preserve"> and social safeguards.</w:t>
      </w:r>
    </w:p>
    <w:p w14:paraId="584BB4CA" w14:textId="33313164" w:rsidR="00E171E6" w:rsidRDefault="00E171E6" w:rsidP="00E171E6">
      <w:pPr>
        <w:pStyle w:val="BodyText"/>
      </w:pPr>
      <w:r>
        <w:t xml:space="preserve">In terms of risk management, the program </w:t>
      </w:r>
      <w:r w:rsidR="00494BBD">
        <w:t>can</w:t>
      </w:r>
      <w:r>
        <w:t xml:space="preserve"> respond well given available resources. In terms of MEL, stakeholders consulted report a reluctance within Australian agencies to share activity work</w:t>
      </w:r>
      <w:r w:rsidR="00494BBD">
        <w:t xml:space="preserve"> </w:t>
      </w:r>
      <w:r>
        <w:t>plans or performance results with TSSP</w:t>
      </w:r>
      <w:r w:rsidR="00B31BA1">
        <w:t>2</w:t>
      </w:r>
      <w:r>
        <w:t xml:space="preserve">, which can impact the program’s ability to meet DFAT’s timeframes for ASA reporting requirements. This suggests an opportunity for TSSP to undertake capacity building with agencies to improve their understanding, appreciation and ownership of evaluation concepts and practices including creating a culture of </w:t>
      </w:r>
      <w:r w:rsidR="00B31BA1">
        <w:t xml:space="preserve">evidence, </w:t>
      </w:r>
      <w:r>
        <w:t>learning and sharing.</w:t>
      </w:r>
    </w:p>
    <w:p w14:paraId="2BB133FE" w14:textId="7E686179" w:rsidR="008B18B6" w:rsidRDefault="008B18B6" w:rsidP="004C2507">
      <w:pPr>
        <w:pStyle w:val="Heading2"/>
      </w:pPr>
      <w:bookmarkStart w:id="58" w:name="_Toc99121795"/>
      <w:r>
        <w:t>Recommendations</w:t>
      </w:r>
      <w:bookmarkEnd w:id="58"/>
      <w:r>
        <w:t xml:space="preserve"> </w:t>
      </w:r>
    </w:p>
    <w:p w14:paraId="5E58DE27" w14:textId="70CD44F3" w:rsidR="003E1A01" w:rsidRPr="0024772A" w:rsidRDefault="00FB5D41" w:rsidP="004C2507">
      <w:pPr>
        <w:pStyle w:val="BodyText"/>
        <w:rPr>
          <w:szCs w:val="20"/>
        </w:rPr>
      </w:pPr>
      <w:r w:rsidRPr="0024772A">
        <w:rPr>
          <w:rFonts w:cs="Arial"/>
          <w:b/>
          <w:bCs/>
          <w:color w:val="003478"/>
          <w:szCs w:val="20"/>
        </w:rPr>
        <w:t>Recommendation</w:t>
      </w:r>
      <w:r w:rsidRPr="0024772A">
        <w:rPr>
          <w:rFonts w:cs="Arial"/>
          <w:b/>
          <w:color w:val="003478"/>
          <w:szCs w:val="20"/>
        </w:rPr>
        <w:t xml:space="preserve"> </w:t>
      </w:r>
      <w:r w:rsidR="00491D30" w:rsidRPr="0024772A">
        <w:rPr>
          <w:rFonts w:cs="Arial"/>
          <w:b/>
          <w:color w:val="003478"/>
          <w:szCs w:val="20"/>
        </w:rPr>
        <w:t>6.1</w:t>
      </w:r>
      <w:r w:rsidRPr="0024772A">
        <w:rPr>
          <w:rFonts w:cs="Arial"/>
          <w:b/>
          <w:color w:val="003478"/>
          <w:szCs w:val="20"/>
        </w:rPr>
        <w:t xml:space="preserve">: </w:t>
      </w:r>
      <w:r w:rsidR="008A6123" w:rsidRPr="0024772A">
        <w:rPr>
          <w:rFonts w:cs="Arial"/>
          <w:bCs/>
          <w:spacing w:val="-2"/>
          <w:szCs w:val="20"/>
        </w:rPr>
        <w:t>TSSP2 in collaboration with GoPNG</w:t>
      </w:r>
      <w:r w:rsidR="008A6123" w:rsidRPr="0024772A">
        <w:rPr>
          <w:rFonts w:cs="Arial"/>
          <w:bCs/>
          <w:color w:val="003478"/>
          <w:szCs w:val="20"/>
        </w:rPr>
        <w:t xml:space="preserve"> </w:t>
      </w:r>
      <w:r w:rsidR="00A65A22">
        <w:rPr>
          <w:rFonts w:cs="Arial"/>
          <w:bCs/>
          <w:spacing w:val="-2"/>
          <w:szCs w:val="20"/>
        </w:rPr>
        <w:t>should</w:t>
      </w:r>
      <w:r w:rsidR="008A6123" w:rsidRPr="0024772A">
        <w:rPr>
          <w:rFonts w:cs="Arial"/>
          <w:b/>
          <w:color w:val="003478"/>
          <w:szCs w:val="20"/>
        </w:rPr>
        <w:t xml:space="preserve"> </w:t>
      </w:r>
      <w:r w:rsidR="008A6123" w:rsidRPr="0024772A">
        <w:rPr>
          <w:szCs w:val="20"/>
        </w:rPr>
        <w:t>i</w:t>
      </w:r>
      <w:r w:rsidR="00406EA0" w:rsidRPr="0024772A">
        <w:rPr>
          <w:szCs w:val="20"/>
        </w:rPr>
        <w:t xml:space="preserve">ncrease delivery of </w:t>
      </w:r>
      <w:r w:rsidR="00D87D58">
        <w:rPr>
          <w:szCs w:val="20"/>
        </w:rPr>
        <w:t>GEDSI</w:t>
      </w:r>
      <w:r w:rsidR="003E1A01" w:rsidRPr="0024772A">
        <w:rPr>
          <w:szCs w:val="20"/>
        </w:rPr>
        <w:t xml:space="preserve"> awareness training with frontline staff within transport sector agencies </w:t>
      </w:r>
      <w:r w:rsidR="00123B5E" w:rsidRPr="0024772A">
        <w:rPr>
          <w:szCs w:val="20"/>
        </w:rPr>
        <w:t xml:space="preserve">to improve understanding of </w:t>
      </w:r>
      <w:r w:rsidR="003E1A01" w:rsidRPr="0024772A">
        <w:rPr>
          <w:szCs w:val="20"/>
        </w:rPr>
        <w:t xml:space="preserve">the role that transport plays in </w:t>
      </w:r>
      <w:r w:rsidR="00D87D58">
        <w:rPr>
          <w:szCs w:val="20"/>
        </w:rPr>
        <w:t>GEDSI</w:t>
      </w:r>
      <w:r w:rsidR="003E1A01" w:rsidRPr="0024772A">
        <w:rPr>
          <w:szCs w:val="20"/>
        </w:rPr>
        <w:t xml:space="preserve"> issues including human trafficking, child protection and gender-based violence (GBV). </w:t>
      </w:r>
    </w:p>
    <w:p w14:paraId="124F6C77" w14:textId="7A25702F" w:rsidR="003E1A01" w:rsidRPr="0024772A" w:rsidRDefault="00FB5D41" w:rsidP="004C2507">
      <w:pPr>
        <w:pStyle w:val="BodyText"/>
        <w:rPr>
          <w:szCs w:val="20"/>
        </w:rPr>
      </w:pPr>
      <w:r w:rsidRPr="0024772A">
        <w:rPr>
          <w:b/>
          <w:color w:val="003478"/>
          <w:szCs w:val="20"/>
        </w:rPr>
        <w:t xml:space="preserve">Recommendation </w:t>
      </w:r>
      <w:r w:rsidR="00686366" w:rsidRPr="0024772A">
        <w:rPr>
          <w:b/>
          <w:color w:val="003478"/>
          <w:szCs w:val="20"/>
        </w:rPr>
        <w:t>6.2</w:t>
      </w:r>
      <w:r w:rsidRPr="0024772A">
        <w:rPr>
          <w:b/>
          <w:color w:val="003478"/>
          <w:szCs w:val="20"/>
        </w:rPr>
        <w:t xml:space="preserve">: </w:t>
      </w:r>
      <w:r w:rsidR="0035317C" w:rsidRPr="0024772A">
        <w:rPr>
          <w:szCs w:val="20"/>
        </w:rPr>
        <w:t>TSSP2 to c</w:t>
      </w:r>
      <w:r w:rsidR="004340EA" w:rsidRPr="0024772A">
        <w:rPr>
          <w:szCs w:val="20"/>
        </w:rPr>
        <w:t>o</w:t>
      </w:r>
      <w:r w:rsidR="003E1A01" w:rsidRPr="0024772A">
        <w:rPr>
          <w:szCs w:val="20"/>
        </w:rPr>
        <w:t xml:space="preserve">ntinue </w:t>
      </w:r>
      <w:r w:rsidR="002372D0">
        <w:rPr>
          <w:szCs w:val="20"/>
        </w:rPr>
        <w:t xml:space="preserve">socialising </w:t>
      </w:r>
      <w:r w:rsidR="004340EA" w:rsidRPr="0024772A">
        <w:rPr>
          <w:szCs w:val="20"/>
        </w:rPr>
        <w:t xml:space="preserve">the TSSP2 </w:t>
      </w:r>
      <w:r w:rsidR="003E1A01" w:rsidRPr="0024772A">
        <w:rPr>
          <w:szCs w:val="20"/>
        </w:rPr>
        <w:t>Gender and Social Safeguards Strategy</w:t>
      </w:r>
      <w:r w:rsidR="004340EA" w:rsidRPr="0024772A">
        <w:rPr>
          <w:szCs w:val="20"/>
        </w:rPr>
        <w:t xml:space="preserve"> to </w:t>
      </w:r>
      <w:r w:rsidR="003E1A01" w:rsidRPr="0024772A">
        <w:rPr>
          <w:szCs w:val="20"/>
        </w:rPr>
        <w:t xml:space="preserve">enhance understanding </w:t>
      </w:r>
      <w:r w:rsidR="00A05F16" w:rsidRPr="0024772A">
        <w:rPr>
          <w:szCs w:val="20"/>
        </w:rPr>
        <w:t xml:space="preserve">of </w:t>
      </w:r>
      <w:r w:rsidR="00D87D58">
        <w:rPr>
          <w:szCs w:val="20"/>
        </w:rPr>
        <w:t>GEDSI</w:t>
      </w:r>
      <w:r w:rsidR="00A05F16" w:rsidRPr="0024772A">
        <w:rPr>
          <w:szCs w:val="20"/>
        </w:rPr>
        <w:t xml:space="preserve"> issues </w:t>
      </w:r>
      <w:r w:rsidR="003E1A01" w:rsidRPr="0024772A">
        <w:rPr>
          <w:szCs w:val="20"/>
        </w:rPr>
        <w:t xml:space="preserve">and </w:t>
      </w:r>
      <w:r w:rsidR="0067768D">
        <w:rPr>
          <w:szCs w:val="20"/>
        </w:rPr>
        <w:t>promote</w:t>
      </w:r>
      <w:r w:rsidR="003E1A01" w:rsidRPr="0024772A">
        <w:rPr>
          <w:szCs w:val="20"/>
        </w:rPr>
        <w:t xml:space="preserve"> ownership amongst program staff in continued monitoring and oversight of </w:t>
      </w:r>
      <w:r w:rsidR="00D87D58">
        <w:rPr>
          <w:szCs w:val="20"/>
        </w:rPr>
        <w:t>GEDSI</w:t>
      </w:r>
      <w:r w:rsidR="003E1A01" w:rsidRPr="0024772A">
        <w:rPr>
          <w:szCs w:val="20"/>
        </w:rPr>
        <w:t xml:space="preserve"> activities.</w:t>
      </w:r>
    </w:p>
    <w:p w14:paraId="0C00D319" w14:textId="03FFBC99" w:rsidR="003E1A01" w:rsidRPr="0024772A" w:rsidRDefault="00F75DB7" w:rsidP="004C2507">
      <w:pPr>
        <w:pStyle w:val="BodyText"/>
        <w:rPr>
          <w:szCs w:val="20"/>
        </w:rPr>
      </w:pPr>
      <w:r w:rsidRPr="0024772A">
        <w:rPr>
          <w:b/>
          <w:color w:val="003478"/>
          <w:szCs w:val="20"/>
        </w:rPr>
        <w:t xml:space="preserve">Recommendation </w:t>
      </w:r>
      <w:r w:rsidR="00686366" w:rsidRPr="0024772A">
        <w:rPr>
          <w:b/>
          <w:color w:val="003478"/>
          <w:szCs w:val="20"/>
        </w:rPr>
        <w:t>6.3</w:t>
      </w:r>
      <w:r w:rsidRPr="0024772A">
        <w:rPr>
          <w:b/>
          <w:color w:val="003478"/>
          <w:szCs w:val="20"/>
        </w:rPr>
        <w:t xml:space="preserve">: </w:t>
      </w:r>
      <w:r w:rsidR="0035317C" w:rsidRPr="0024772A">
        <w:rPr>
          <w:szCs w:val="20"/>
        </w:rPr>
        <w:t>T</w:t>
      </w:r>
      <w:r w:rsidR="00143592">
        <w:rPr>
          <w:szCs w:val="20"/>
        </w:rPr>
        <w:t xml:space="preserve">hat </w:t>
      </w:r>
      <w:r w:rsidR="00143592" w:rsidRPr="00143592">
        <w:rPr>
          <w:szCs w:val="20"/>
        </w:rPr>
        <w:t xml:space="preserve">TSSP2 MEL reporting systems, frameworks and tools are improved to best capture </w:t>
      </w:r>
      <w:r w:rsidR="00D87D58">
        <w:rPr>
          <w:szCs w:val="20"/>
        </w:rPr>
        <w:t>GEDSI</w:t>
      </w:r>
      <w:r w:rsidR="00143592" w:rsidRPr="00143592">
        <w:rPr>
          <w:szCs w:val="20"/>
        </w:rPr>
        <w:t xml:space="preserve"> outcomes through better data capture and gender</w:t>
      </w:r>
      <w:r w:rsidR="005D63FA">
        <w:rPr>
          <w:szCs w:val="20"/>
        </w:rPr>
        <w:t>-</w:t>
      </w:r>
      <w:r w:rsidR="00143592" w:rsidRPr="00143592">
        <w:rPr>
          <w:szCs w:val="20"/>
        </w:rPr>
        <w:t>dis</w:t>
      </w:r>
      <w:r w:rsidR="005D63FA">
        <w:rPr>
          <w:szCs w:val="20"/>
        </w:rPr>
        <w:t>aggregat</w:t>
      </w:r>
      <w:r w:rsidR="00143592" w:rsidRPr="00143592">
        <w:rPr>
          <w:szCs w:val="20"/>
        </w:rPr>
        <w:t>ed data across all EOPOs.</w:t>
      </w:r>
      <w:r w:rsidR="00143592">
        <w:rPr>
          <w:szCs w:val="20"/>
        </w:rPr>
        <w:t xml:space="preserve"> This will</w:t>
      </w:r>
      <w:r w:rsidR="00B80C50">
        <w:rPr>
          <w:szCs w:val="20"/>
        </w:rPr>
        <w:t xml:space="preserve"> help to</w:t>
      </w:r>
      <w:r w:rsidR="00143592">
        <w:rPr>
          <w:szCs w:val="20"/>
        </w:rPr>
        <w:t xml:space="preserve"> ensure </w:t>
      </w:r>
      <w:r w:rsidR="00FB6FCD">
        <w:rPr>
          <w:szCs w:val="20"/>
        </w:rPr>
        <w:t>that</w:t>
      </w:r>
      <w:r w:rsidR="00D7050C">
        <w:rPr>
          <w:szCs w:val="20"/>
        </w:rPr>
        <w:t xml:space="preserve"> </w:t>
      </w:r>
      <w:r w:rsidR="00D87D58">
        <w:rPr>
          <w:szCs w:val="20"/>
        </w:rPr>
        <w:t>GEDSI</w:t>
      </w:r>
      <w:r w:rsidR="003E1A01" w:rsidRPr="0024772A">
        <w:rPr>
          <w:szCs w:val="20"/>
        </w:rPr>
        <w:t xml:space="preserve"> components are embedded across all EOPOs and that there is </w:t>
      </w:r>
      <w:r w:rsidR="005D63FA">
        <w:rPr>
          <w:szCs w:val="20"/>
        </w:rPr>
        <w:t xml:space="preserve">an </w:t>
      </w:r>
      <w:r w:rsidR="003E1A01" w:rsidRPr="0024772A">
        <w:rPr>
          <w:szCs w:val="20"/>
        </w:rPr>
        <w:t xml:space="preserve">explicit reference to advocacy and awareness on DFAT social safeguards requirements to contractors. This could also be paired with on-the-ground compliance checks to </w:t>
      </w:r>
      <w:r w:rsidR="00B80C50">
        <w:rPr>
          <w:szCs w:val="20"/>
        </w:rPr>
        <w:t xml:space="preserve">help </w:t>
      </w:r>
      <w:r w:rsidR="003E1A01" w:rsidRPr="0024772A">
        <w:rPr>
          <w:szCs w:val="20"/>
        </w:rPr>
        <w:t xml:space="preserve">ensure social safeguards are being implemented by </w:t>
      </w:r>
      <w:r w:rsidR="00F65558" w:rsidRPr="0024772A">
        <w:rPr>
          <w:szCs w:val="20"/>
        </w:rPr>
        <w:t>contractors.</w:t>
      </w:r>
    </w:p>
    <w:p w14:paraId="277D93A7" w14:textId="582485F8" w:rsidR="003B5E29" w:rsidRPr="0024772A" w:rsidRDefault="004175D6" w:rsidP="00765004">
      <w:pPr>
        <w:pStyle w:val="BodyText"/>
        <w:rPr>
          <w:rFonts w:cs="Arial"/>
          <w:bCs/>
          <w:spacing w:val="-2"/>
          <w:szCs w:val="20"/>
        </w:rPr>
      </w:pPr>
      <w:r w:rsidRPr="0024772A">
        <w:rPr>
          <w:rFonts w:cs="Arial"/>
          <w:b/>
          <w:bCs/>
          <w:color w:val="003478"/>
          <w:szCs w:val="20"/>
        </w:rPr>
        <w:t xml:space="preserve">Recommendation </w:t>
      </w:r>
      <w:r w:rsidR="00686366" w:rsidRPr="0024772A">
        <w:rPr>
          <w:rFonts w:cs="Arial"/>
          <w:b/>
          <w:bCs/>
          <w:color w:val="003478"/>
          <w:szCs w:val="20"/>
        </w:rPr>
        <w:t>6.</w:t>
      </w:r>
      <w:r w:rsidR="004D1468">
        <w:rPr>
          <w:rFonts w:cs="Arial"/>
          <w:b/>
          <w:bCs/>
          <w:color w:val="003478"/>
          <w:szCs w:val="20"/>
        </w:rPr>
        <w:t>4</w:t>
      </w:r>
      <w:r w:rsidRPr="0024772A">
        <w:rPr>
          <w:rFonts w:cs="Arial"/>
          <w:bCs/>
          <w:spacing w:val="-2"/>
          <w:szCs w:val="20"/>
        </w:rPr>
        <w:t xml:space="preserve">: </w:t>
      </w:r>
      <w:r w:rsidR="004D1468">
        <w:rPr>
          <w:rFonts w:cs="Arial"/>
          <w:bCs/>
          <w:spacing w:val="-2"/>
          <w:szCs w:val="20"/>
        </w:rPr>
        <w:t xml:space="preserve">That </w:t>
      </w:r>
      <w:r w:rsidR="005A7049" w:rsidRPr="0024772A">
        <w:rPr>
          <w:rFonts w:cs="Arial"/>
          <w:bCs/>
          <w:spacing w:val="-2"/>
          <w:szCs w:val="20"/>
        </w:rPr>
        <w:t>TSSP2 to f</w:t>
      </w:r>
      <w:r w:rsidR="003B5E29" w:rsidRPr="0024772A">
        <w:rPr>
          <w:rFonts w:cs="Arial"/>
          <w:bCs/>
          <w:spacing w:val="-2"/>
          <w:szCs w:val="20"/>
        </w:rPr>
        <w:t xml:space="preserve">inalise recruitment of an environmental and social safeguards </w:t>
      </w:r>
      <w:r w:rsidR="00EF41CF" w:rsidRPr="0024772A">
        <w:rPr>
          <w:rFonts w:cs="Arial"/>
          <w:bCs/>
          <w:spacing w:val="-2"/>
          <w:szCs w:val="20"/>
        </w:rPr>
        <w:t>adviser</w:t>
      </w:r>
      <w:r w:rsidR="00936778" w:rsidRPr="0024772A">
        <w:rPr>
          <w:rFonts w:cs="Arial"/>
          <w:bCs/>
          <w:spacing w:val="-2"/>
          <w:szCs w:val="20"/>
        </w:rPr>
        <w:t xml:space="preserve"> to support </w:t>
      </w:r>
      <w:r w:rsidR="005D63FA">
        <w:rPr>
          <w:rFonts w:cs="Arial"/>
          <w:bCs/>
          <w:spacing w:val="-2"/>
          <w:szCs w:val="20"/>
        </w:rPr>
        <w:t xml:space="preserve">the </w:t>
      </w:r>
      <w:r w:rsidR="00936778" w:rsidRPr="0024772A">
        <w:rPr>
          <w:rFonts w:cs="Arial"/>
          <w:bCs/>
          <w:spacing w:val="-2"/>
          <w:szCs w:val="20"/>
        </w:rPr>
        <w:t>implementation of the TSSP2 Environmental Safeguards and Climate Change and Disaster Resilience Strategy</w:t>
      </w:r>
      <w:r w:rsidR="007A1189">
        <w:rPr>
          <w:rFonts w:cs="Arial"/>
          <w:bCs/>
          <w:spacing w:val="-2"/>
          <w:szCs w:val="20"/>
        </w:rPr>
        <w:t>,</w:t>
      </w:r>
      <w:r w:rsidR="00A1462A">
        <w:rPr>
          <w:rFonts w:cs="Arial"/>
          <w:bCs/>
          <w:spacing w:val="-2"/>
          <w:szCs w:val="20"/>
        </w:rPr>
        <w:t xml:space="preserve"> which is yet to be fully operationalised.</w:t>
      </w:r>
    </w:p>
    <w:p w14:paraId="1159E33E" w14:textId="1C915BAD" w:rsidR="001E3305" w:rsidRDefault="001E3305" w:rsidP="000D277F">
      <w:pPr>
        <w:pStyle w:val="BodyText"/>
      </w:pPr>
      <w:r>
        <w:br w:type="page"/>
      </w:r>
    </w:p>
    <w:p w14:paraId="280F8E97" w14:textId="3B3A7E73" w:rsidR="00D00DB8" w:rsidRPr="00165C55" w:rsidRDefault="001A479B" w:rsidP="0024772A">
      <w:pPr>
        <w:pStyle w:val="Heading1"/>
        <w:rPr>
          <w:spacing w:val="-2"/>
        </w:rPr>
      </w:pPr>
      <w:bookmarkStart w:id="59" w:name="_Toc99121796"/>
      <w:r w:rsidRPr="00165C55">
        <w:rPr>
          <w:spacing w:val="-2"/>
        </w:rPr>
        <w:lastRenderedPageBreak/>
        <w:t>Overall conclusions and future directions</w:t>
      </w:r>
      <w:bookmarkEnd w:id="59"/>
    </w:p>
    <w:p w14:paraId="680EF8FA" w14:textId="71D822FE" w:rsidR="001A479B" w:rsidRDefault="001A479B" w:rsidP="0024772A">
      <w:pPr>
        <w:pStyle w:val="Heading2"/>
      </w:pPr>
      <w:bookmarkStart w:id="60" w:name="_Toc99121797"/>
      <w:r>
        <w:t>Conclusions</w:t>
      </w:r>
      <w:bookmarkEnd w:id="60"/>
    </w:p>
    <w:p w14:paraId="27DA31B1" w14:textId="49E1049D" w:rsidR="00743E67" w:rsidRDefault="00743E67" w:rsidP="0024772A">
      <w:pPr>
        <w:pStyle w:val="BodyText"/>
        <w:spacing w:line="240" w:lineRule="auto"/>
      </w:pPr>
      <w:r w:rsidRPr="00CF2F64">
        <w:t xml:space="preserve">In line with DFAT’s strategic priorities and intentions for PNG, funding to the transport sector </w:t>
      </w:r>
      <w:r>
        <w:t xml:space="preserve">in PNG </w:t>
      </w:r>
      <w:r w:rsidRPr="00CF2F64">
        <w:t>is likely to continue</w:t>
      </w:r>
      <w:r>
        <w:t xml:space="preserve"> and/or </w:t>
      </w:r>
      <w:r w:rsidRPr="00CF2F64">
        <w:t xml:space="preserve">increase as a significant part of its </w:t>
      </w:r>
      <w:r>
        <w:t xml:space="preserve">overall </w:t>
      </w:r>
      <w:r w:rsidRPr="00CF2F64">
        <w:t>investments in PNG.</w:t>
      </w:r>
      <w:r>
        <w:t xml:space="preserve"> Given the good performance of the TSSP2 </w:t>
      </w:r>
      <w:r w:rsidR="008242A5">
        <w:t>concerning</w:t>
      </w:r>
      <w:r>
        <w:t xml:space="preserve"> achieving its objectives and its importance to the GoPNG, there is merit and value to recalibrate TSSP3 to enhance programmatic and development effectiveness in line with </w:t>
      </w:r>
      <w:r w:rsidR="008242A5">
        <w:t xml:space="preserve">the </w:t>
      </w:r>
      <w:r>
        <w:t xml:space="preserve">Australian Government as well as GoPNG’s priorities and needs. </w:t>
      </w:r>
    </w:p>
    <w:p w14:paraId="78B127BE" w14:textId="74176B81" w:rsidR="00743E67" w:rsidRDefault="00743E67" w:rsidP="0024772A">
      <w:pPr>
        <w:pStyle w:val="BodyText"/>
        <w:spacing w:line="240" w:lineRule="auto"/>
      </w:pPr>
      <w:r w:rsidRPr="00E729F4">
        <w:t xml:space="preserve">TSSP2 enjoys the broad and positive support of stakeholders from both </w:t>
      </w:r>
      <w:r w:rsidR="00E57783">
        <w:t>Australia and PNG</w:t>
      </w:r>
      <w:r w:rsidR="00781AF2">
        <w:t xml:space="preserve">. </w:t>
      </w:r>
      <w:r w:rsidRPr="00E729F4">
        <w:t xml:space="preserve">Its </w:t>
      </w:r>
      <w:r>
        <w:t>activities are</w:t>
      </w:r>
      <w:r w:rsidRPr="00E729F4">
        <w:t xml:space="preserve"> highly valued, progressive, and critical to the day-to-day functioning of the PNG transport network</w:t>
      </w:r>
      <w:r>
        <w:t>, in particular the land and roads network</w:t>
      </w:r>
      <w:r w:rsidRPr="00E729F4">
        <w:t xml:space="preserve">. Hence, the </w:t>
      </w:r>
      <w:r w:rsidR="00781AF2">
        <w:t xml:space="preserve">TSSP3 </w:t>
      </w:r>
      <w:r w:rsidRPr="00E729F4">
        <w:t xml:space="preserve">design </w:t>
      </w:r>
      <w:r>
        <w:t>should build on the lessons learned and best practices of TSSP2 while adapting the program logic and implementation arrangements and giving consideration to the broader environment including n</w:t>
      </w:r>
      <w:r w:rsidRPr="00E729F4">
        <w:t>ew investment</w:t>
      </w:r>
      <w:r>
        <w:t>s</w:t>
      </w:r>
      <w:r w:rsidRPr="00E729F4">
        <w:t xml:space="preserve"> by AIFFP</w:t>
      </w:r>
      <w:r>
        <w:t>, GoPNG</w:t>
      </w:r>
      <w:r w:rsidRPr="00E729F4">
        <w:t xml:space="preserve"> and other development partners.</w:t>
      </w:r>
    </w:p>
    <w:p w14:paraId="3F4E9910" w14:textId="300E7DC7" w:rsidR="00743E67" w:rsidRDefault="00743E67" w:rsidP="0024772A">
      <w:pPr>
        <w:pStyle w:val="BodyText"/>
        <w:spacing w:line="240" w:lineRule="auto"/>
      </w:pPr>
      <w:r w:rsidRPr="00E729F4">
        <w:t>TSSP2</w:t>
      </w:r>
      <w:r>
        <w:t>’</w:t>
      </w:r>
      <w:r w:rsidRPr="00E729F4">
        <w:t>s deep understanding of DFAT and GoPNG processes and systems and the strength of its working relationships provide a sound platform for future investment in large</w:t>
      </w:r>
      <w:r>
        <w:t>-</w:t>
      </w:r>
      <w:r w:rsidRPr="00E729F4">
        <w:t xml:space="preserve">scale infrastructure projects. </w:t>
      </w:r>
      <w:r>
        <w:t>T</w:t>
      </w:r>
      <w:r w:rsidRPr="00E729F4">
        <w:t xml:space="preserve">o respond to the evolving objectives and aspirations of the partnership, TSSP </w:t>
      </w:r>
      <w:r>
        <w:t xml:space="preserve">should </w:t>
      </w:r>
      <w:r w:rsidRPr="00E729F4">
        <w:t>continue its progressive legislative reform and capacity development to maximise the ability of GoPNG transport agencies to plan, fund</w:t>
      </w:r>
      <w:r>
        <w:t>,</w:t>
      </w:r>
      <w:r w:rsidRPr="00E729F4">
        <w:t xml:space="preserve"> and manage </w:t>
      </w:r>
      <w:r>
        <w:t xml:space="preserve">transport </w:t>
      </w:r>
      <w:r w:rsidRPr="00E729F4">
        <w:t xml:space="preserve">infrastructure assets. </w:t>
      </w:r>
      <w:r>
        <w:t xml:space="preserve">Further support should also be provided to support GoPNG implement the legislation passed and policies and plans developed. </w:t>
      </w:r>
    </w:p>
    <w:p w14:paraId="64BFEE7D" w14:textId="77777777" w:rsidR="00081DD9" w:rsidRDefault="00FE56B2" w:rsidP="00081DD9">
      <w:pPr>
        <w:pStyle w:val="BodyText"/>
        <w:spacing w:line="240" w:lineRule="auto"/>
      </w:pPr>
      <w:r w:rsidRPr="00E729F4">
        <w:t xml:space="preserve">The introduction of large donor financing for new infrastructure introduces a seismic shift in the existing </w:t>
      </w:r>
      <w:r>
        <w:t>development</w:t>
      </w:r>
      <w:r w:rsidRPr="00E729F4">
        <w:t xml:space="preserve"> paradigm. Despite years of investment in capacity to administer transport infrastructure in the Pacific, national road maintenance funding in countries such as PNG remains highly dependent on foreign aid which is itself cyclical, increasingly fragmented, and unpredictable. </w:t>
      </w:r>
    </w:p>
    <w:p w14:paraId="5B8D3CBE" w14:textId="03FAEED2" w:rsidR="00081DD9" w:rsidRPr="00081DD9" w:rsidRDefault="00DB4C0E" w:rsidP="00081DD9">
      <w:pPr>
        <w:pStyle w:val="BodyText"/>
        <w:spacing w:line="240" w:lineRule="auto"/>
      </w:pPr>
      <w:r w:rsidRPr="00081DD9">
        <w:rPr>
          <w:bCs/>
        </w:rPr>
        <w:t xml:space="preserve">The Review comes at a time when the design for </w:t>
      </w:r>
      <w:r w:rsidR="00A9547B" w:rsidRPr="00081DD9">
        <w:rPr>
          <w:bCs/>
        </w:rPr>
        <w:t xml:space="preserve">the </w:t>
      </w:r>
      <w:r w:rsidRPr="00081DD9">
        <w:rPr>
          <w:bCs/>
        </w:rPr>
        <w:t xml:space="preserve">next phase of TSSP (TSSP3) is under consideration </w:t>
      </w:r>
      <w:r w:rsidR="00972332">
        <w:rPr>
          <w:bCs/>
        </w:rPr>
        <w:t xml:space="preserve">and in </w:t>
      </w:r>
      <w:r w:rsidR="005176E1">
        <w:rPr>
          <w:bCs/>
        </w:rPr>
        <w:t xml:space="preserve">the context of </w:t>
      </w:r>
      <w:r w:rsidRPr="00081DD9">
        <w:rPr>
          <w:bCs/>
        </w:rPr>
        <w:t xml:space="preserve">a marked increase in donor investment in development infrastructure. While PNG is clearly in need of connective transport infrastructure, the range of economic, financial and social risks are broad and relatively high should GoPNG fail to meet </w:t>
      </w:r>
      <w:r w:rsidR="00006DC3" w:rsidRPr="00081DD9">
        <w:rPr>
          <w:bCs/>
        </w:rPr>
        <w:t>its</w:t>
      </w:r>
      <w:r w:rsidRPr="00081DD9">
        <w:rPr>
          <w:bCs/>
        </w:rPr>
        <w:t xml:space="preserve"> commitment to self-fund maintenance work. It is the view of this </w:t>
      </w:r>
      <w:r w:rsidR="00AC3003" w:rsidRPr="00081DD9">
        <w:rPr>
          <w:bCs/>
        </w:rPr>
        <w:t>R</w:t>
      </w:r>
      <w:r w:rsidRPr="00081DD9">
        <w:rPr>
          <w:bCs/>
        </w:rPr>
        <w:t>eview panel that</w:t>
      </w:r>
      <w:r w:rsidR="00A45080" w:rsidRPr="00081DD9">
        <w:rPr>
          <w:bCs/>
        </w:rPr>
        <w:t xml:space="preserve"> future p</w:t>
      </w:r>
      <w:r w:rsidR="008D61CE" w:rsidRPr="00081DD9">
        <w:rPr>
          <w:bCs/>
        </w:rPr>
        <w:t>rogram</w:t>
      </w:r>
      <w:r w:rsidR="00D7050C" w:rsidRPr="00081DD9">
        <w:rPr>
          <w:bCs/>
        </w:rPr>
        <w:t xml:space="preserve"> </w:t>
      </w:r>
      <w:r w:rsidR="008B0760" w:rsidRPr="00081DD9">
        <w:rPr>
          <w:bCs/>
        </w:rPr>
        <w:t xml:space="preserve">funding </w:t>
      </w:r>
      <w:r w:rsidR="00727EA3" w:rsidRPr="00081DD9">
        <w:rPr>
          <w:bCs/>
        </w:rPr>
        <w:t xml:space="preserve">and related investment decisions for new infrastructure incorporate realistic maintenance funding projections to </w:t>
      </w:r>
      <w:r w:rsidR="00784BDA">
        <w:rPr>
          <w:bCs/>
        </w:rPr>
        <w:t>support</w:t>
      </w:r>
      <w:r w:rsidR="00F65B2D">
        <w:rPr>
          <w:bCs/>
        </w:rPr>
        <w:t xml:space="preserve"> </w:t>
      </w:r>
      <w:r w:rsidR="00727EA3" w:rsidRPr="00081DD9">
        <w:rPr>
          <w:bCs/>
        </w:rPr>
        <w:t xml:space="preserve">GoPNG </w:t>
      </w:r>
      <w:r w:rsidR="00784BDA">
        <w:rPr>
          <w:bCs/>
        </w:rPr>
        <w:t>to</w:t>
      </w:r>
      <w:r w:rsidR="00727EA3" w:rsidRPr="00081DD9">
        <w:rPr>
          <w:bCs/>
        </w:rPr>
        <w:t xml:space="preserve"> meet its current and future maintenance funding obligations.</w:t>
      </w:r>
      <w:r w:rsidRPr="00081DD9">
        <w:rPr>
          <w:bCs/>
        </w:rPr>
        <w:t xml:space="preserve"> </w:t>
      </w:r>
    </w:p>
    <w:p w14:paraId="24E96937" w14:textId="080FA72E" w:rsidR="001A479B" w:rsidRPr="00081DD9" w:rsidRDefault="001A479B" w:rsidP="005861A5">
      <w:pPr>
        <w:pStyle w:val="Heading2"/>
      </w:pPr>
      <w:bookmarkStart w:id="61" w:name="_Toc99121798"/>
      <w:r w:rsidRPr="00081DD9">
        <w:t>Future directions</w:t>
      </w:r>
      <w:bookmarkEnd w:id="61"/>
      <w:r w:rsidRPr="00081DD9">
        <w:t xml:space="preserve"> </w:t>
      </w:r>
    </w:p>
    <w:p w14:paraId="5F46A811" w14:textId="041EA13D" w:rsidR="006B45EA" w:rsidRPr="006B45EA" w:rsidRDefault="006B45EA" w:rsidP="006B45EA">
      <w:pPr>
        <w:pStyle w:val="BodyText"/>
        <w:rPr>
          <w:b/>
          <w:bCs/>
          <w:lang w:val="en-US"/>
        </w:rPr>
      </w:pPr>
      <w:r w:rsidRPr="006B45EA">
        <w:rPr>
          <w:b/>
          <w:bCs/>
          <w:lang w:val="en-US"/>
        </w:rPr>
        <w:t xml:space="preserve">Strategy and policy direction </w:t>
      </w:r>
    </w:p>
    <w:p w14:paraId="7C630FCE" w14:textId="54E34064" w:rsidR="23289CDA" w:rsidRDefault="23289CDA" w:rsidP="0024772A">
      <w:pPr>
        <w:pStyle w:val="BodyText"/>
        <w:spacing w:line="240" w:lineRule="auto"/>
      </w:pPr>
      <w:r>
        <w:t>TSSP2’s role in assisting PNG in the planning and financing of road maintenance ha</w:t>
      </w:r>
      <w:r w:rsidR="00006DC3">
        <w:t>s</w:t>
      </w:r>
      <w:r>
        <w:t xml:space="preserve"> always rep</w:t>
      </w:r>
      <w:r w:rsidR="5B0D8C75">
        <w:t>resented</w:t>
      </w:r>
      <w:r w:rsidR="3A5FFF0E">
        <w:t xml:space="preserve"> sound value for money, </w:t>
      </w:r>
      <w:r w:rsidR="1C5A6E2A">
        <w:t xml:space="preserve">improving social and economic outcomes for </w:t>
      </w:r>
      <w:r w:rsidR="16FC3C0A">
        <w:t xml:space="preserve">everyday </w:t>
      </w:r>
      <w:r w:rsidR="1C5A6E2A">
        <w:t xml:space="preserve">Papua New Guineans whilst </w:t>
      </w:r>
      <w:r w:rsidR="3A5FFF0E">
        <w:t xml:space="preserve">underwriting </w:t>
      </w:r>
      <w:r w:rsidR="7DA69EB1">
        <w:t xml:space="preserve">national </w:t>
      </w:r>
      <w:r w:rsidR="2D5A8CBA">
        <w:t xml:space="preserve">stability and </w:t>
      </w:r>
      <w:r w:rsidR="3A5FFF0E">
        <w:t>economic performance</w:t>
      </w:r>
      <w:r w:rsidR="27A7791D">
        <w:t xml:space="preserve">. </w:t>
      </w:r>
      <w:r w:rsidR="4C0E5C32">
        <w:t xml:space="preserve">But </w:t>
      </w:r>
      <w:r w:rsidR="0088675E">
        <w:t xml:space="preserve">it remains that </w:t>
      </w:r>
      <w:r w:rsidR="4C0E5C32">
        <w:t xml:space="preserve">maintenance projects </w:t>
      </w:r>
      <w:r w:rsidR="0088675E">
        <w:t>tend to</w:t>
      </w:r>
      <w:r w:rsidR="0028075D">
        <w:t xml:space="preserve"> be prioritised </w:t>
      </w:r>
      <w:r w:rsidR="0088675E">
        <w:t xml:space="preserve">less </w:t>
      </w:r>
      <w:r w:rsidR="2B60CECB">
        <w:t xml:space="preserve">in </w:t>
      </w:r>
      <w:r w:rsidR="6C4019E2">
        <w:t xml:space="preserve">PNG’s </w:t>
      </w:r>
      <w:r w:rsidR="4C0E5C32">
        <w:t>political economy</w:t>
      </w:r>
      <w:r w:rsidR="00531B32">
        <w:t>. Therefore,</w:t>
      </w:r>
      <w:r w:rsidR="00531B32" w:rsidRPr="00531B32">
        <w:t xml:space="preserve"> </w:t>
      </w:r>
      <w:r w:rsidR="00531B32">
        <w:t>u</w:t>
      </w:r>
      <w:r w:rsidR="00531B32" w:rsidRPr="00531B32">
        <w:t>ntil such time that GoPNG earmarks resources to fund and manage the maintenance of the entire road network, there is little reason for DFAT to depart from TSSP2’s core strategic objectives and delivery mechanisms as they represent sound value for money for everyday Papua New Guineans</w:t>
      </w:r>
      <w:r w:rsidR="00D66FA1">
        <w:t>.</w:t>
      </w:r>
      <w:r w:rsidR="00D7050C">
        <w:t xml:space="preserve"> </w:t>
      </w:r>
    </w:p>
    <w:p w14:paraId="6CE81EB9" w14:textId="2BF89DB9" w:rsidR="009B0B55" w:rsidRDefault="00CB7811" w:rsidP="0024772A">
      <w:pPr>
        <w:pStyle w:val="BodyText"/>
        <w:spacing w:line="240" w:lineRule="auto"/>
      </w:pPr>
      <w:r>
        <w:t xml:space="preserve">The </w:t>
      </w:r>
      <w:r w:rsidR="1BA526DA">
        <w:t xml:space="preserve">Program’s </w:t>
      </w:r>
      <w:r>
        <w:t xml:space="preserve">investments </w:t>
      </w:r>
      <w:r w:rsidR="005D42C7">
        <w:t xml:space="preserve">in </w:t>
      </w:r>
      <w:r w:rsidR="07409419">
        <w:t xml:space="preserve">road </w:t>
      </w:r>
      <w:r w:rsidR="42351883">
        <w:t xml:space="preserve">maintenance </w:t>
      </w:r>
      <w:r w:rsidR="00C64904">
        <w:t>are</w:t>
      </w:r>
      <w:r w:rsidR="00143A64">
        <w:t xml:space="preserve"> </w:t>
      </w:r>
      <w:r w:rsidR="004321CD">
        <w:t xml:space="preserve">encouraged with </w:t>
      </w:r>
      <w:r w:rsidR="009B0B55">
        <w:t xml:space="preserve">room to expand to other sectors such as maritime and ports. </w:t>
      </w:r>
      <w:r w:rsidR="005F1AD9">
        <w:t>As mentioned above</w:t>
      </w:r>
      <w:r w:rsidR="007F7FE5">
        <w:t>,</w:t>
      </w:r>
      <w:r w:rsidR="005F1AD9">
        <w:t xml:space="preserve"> DFAT </w:t>
      </w:r>
      <w:r w:rsidR="005E3479">
        <w:t>should no</w:t>
      </w:r>
      <w:r w:rsidR="007F7FE5">
        <w:t>t</w:t>
      </w:r>
      <w:r w:rsidR="005E3479">
        <w:t xml:space="preserve"> depart from its core strategic objectives but be open to </w:t>
      </w:r>
      <w:r w:rsidR="00B23F25">
        <w:t xml:space="preserve">broadening </w:t>
      </w:r>
      <w:r w:rsidR="0028404E">
        <w:t xml:space="preserve">the </w:t>
      </w:r>
      <w:r w:rsidR="00B23F25">
        <w:t xml:space="preserve">scope to include new transport </w:t>
      </w:r>
      <w:r w:rsidR="00B3560A">
        <w:t>assets. For instance, DFAT investments</w:t>
      </w:r>
      <w:r w:rsidR="00D7050C">
        <w:t xml:space="preserve"> </w:t>
      </w:r>
      <w:r w:rsidR="00B3560A">
        <w:t>in select</w:t>
      </w:r>
      <w:r w:rsidR="00D7050C">
        <w:t xml:space="preserve"> </w:t>
      </w:r>
      <w:r w:rsidR="008241F2">
        <w:t xml:space="preserve">new </w:t>
      </w:r>
      <w:r w:rsidR="00B3560A" w:rsidRPr="00B3560A">
        <w:t>investments, founded in sound development economic principles may well provide TSSP2 with the opportunity to leverage its technical abilities</w:t>
      </w:r>
      <w:r w:rsidR="00880DA3">
        <w:t xml:space="preserve"> </w:t>
      </w:r>
      <w:r w:rsidR="00242A56">
        <w:t xml:space="preserve">and </w:t>
      </w:r>
      <w:r w:rsidR="00880DA3">
        <w:t>positively influence GoPNG</w:t>
      </w:r>
      <w:r w:rsidR="002E1A7D">
        <w:t xml:space="preserve"> to leverage opportunities</w:t>
      </w:r>
      <w:r w:rsidR="00B3560A" w:rsidRPr="00B3560A">
        <w:t xml:space="preserve"> to achieve a well-maintained transport infrastructure network.</w:t>
      </w:r>
    </w:p>
    <w:p w14:paraId="3ED6155E" w14:textId="69CF172D" w:rsidR="00DB7C4A" w:rsidRPr="00DB7C4A" w:rsidRDefault="00DB7C4A" w:rsidP="0024772A">
      <w:pPr>
        <w:pStyle w:val="BodyText"/>
        <w:spacing w:line="240" w:lineRule="auto"/>
        <w:rPr>
          <w:b/>
          <w:bCs/>
        </w:rPr>
      </w:pPr>
      <w:r w:rsidRPr="00DB7C4A">
        <w:rPr>
          <w:b/>
          <w:bCs/>
        </w:rPr>
        <w:t xml:space="preserve">Approach and ways of working </w:t>
      </w:r>
    </w:p>
    <w:p w14:paraId="46C29304" w14:textId="4427EC02" w:rsidR="00520BA8" w:rsidRPr="00E729F4" w:rsidRDefault="00520BA8" w:rsidP="0024772A">
      <w:pPr>
        <w:pStyle w:val="BodyText"/>
        <w:spacing w:line="240" w:lineRule="auto"/>
      </w:pPr>
      <w:r w:rsidRPr="00E729F4">
        <w:t>At the macro</w:t>
      </w:r>
      <w:r w:rsidR="006F69FE">
        <w:t xml:space="preserve"> </w:t>
      </w:r>
      <w:r w:rsidRPr="00E729F4">
        <w:t>level, it</w:t>
      </w:r>
      <w:r w:rsidR="00FB0EE2">
        <w:t xml:space="preserve"> i</w:t>
      </w:r>
      <w:r w:rsidRPr="00E729F4">
        <w:t xml:space="preserve">s also important to acknowledge that </w:t>
      </w:r>
      <w:r w:rsidR="00006DC3">
        <w:t xml:space="preserve">the </w:t>
      </w:r>
      <w:r w:rsidRPr="00E729F4">
        <w:t xml:space="preserve">Australian </w:t>
      </w:r>
      <w:r>
        <w:t>Government</w:t>
      </w:r>
      <w:r w:rsidR="00FB0EE2">
        <w:t>’s</w:t>
      </w:r>
      <w:r>
        <w:t xml:space="preserve"> </w:t>
      </w:r>
      <w:r w:rsidRPr="00E729F4">
        <w:t xml:space="preserve">agencies will not be the only players operating in the infrastructure </w:t>
      </w:r>
      <w:r>
        <w:t>sector</w:t>
      </w:r>
      <w:r w:rsidRPr="00E729F4">
        <w:t xml:space="preserve"> in PNG during the lifecycle of </w:t>
      </w:r>
      <w:r>
        <w:t xml:space="preserve">TSSP3 during which time </w:t>
      </w:r>
      <w:r w:rsidRPr="00E729F4">
        <w:t>there will be a considerable shift in the way infrastructure is managed and implemented</w:t>
      </w:r>
      <w:r>
        <w:t>. Under these circumstances</w:t>
      </w:r>
      <w:r w:rsidR="00702BB0">
        <w:t>,</w:t>
      </w:r>
      <w:r w:rsidRPr="00E729F4">
        <w:t xml:space="preserve"> DFAT would do well to </w:t>
      </w:r>
      <w:r w:rsidR="00F824A2">
        <w:t>encourage adequate</w:t>
      </w:r>
      <w:r w:rsidRPr="00E729F4">
        <w:t xml:space="preserve"> GoPNG resourc</w:t>
      </w:r>
      <w:r w:rsidR="00CE36C4">
        <w:t>ing</w:t>
      </w:r>
      <w:r w:rsidRPr="00E729F4">
        <w:t xml:space="preserve"> to navigate </w:t>
      </w:r>
      <w:r>
        <w:t xml:space="preserve">this </w:t>
      </w:r>
      <w:r w:rsidRPr="00E729F4">
        <w:t xml:space="preserve">new territory. </w:t>
      </w:r>
    </w:p>
    <w:p w14:paraId="7B4FD53D" w14:textId="4D70B4A8" w:rsidR="00955C5F" w:rsidRDefault="00955C5F" w:rsidP="0024772A">
      <w:pPr>
        <w:pStyle w:val="BodyText"/>
        <w:spacing w:line="240" w:lineRule="auto"/>
      </w:pPr>
      <w:r w:rsidRPr="00955C5F">
        <w:t xml:space="preserve">An increasing level of investment in a multi-modal transport network by a wide range of stakeholders and development partners outlined in Connect PNG will increase the complexity in which transport infrastructure is funded, managed, and implemented in PNG. </w:t>
      </w:r>
      <w:r w:rsidR="00F23EC8" w:rsidRPr="00F23EC8">
        <w:t xml:space="preserve">As a partner of choice with a unique interest in developing PNG’s capacity to both develop and maintain its infrastructure, DFAT’s provision of technical assistance and advisory support to DoT should be sustained. The technical assistance and advisory support will </w:t>
      </w:r>
      <w:r w:rsidR="004D734D">
        <w:t xml:space="preserve">help </w:t>
      </w:r>
      <w:r w:rsidR="00F23EC8" w:rsidRPr="00F23EC8">
        <w:t xml:space="preserve">ensure that TSSP3 works to strengthen PNG’s ability to develop sustainable transportation strategies that address PNG’s maintenance obligations whilst </w:t>
      </w:r>
      <w:r w:rsidR="007B0826">
        <w:t xml:space="preserve">supporting </w:t>
      </w:r>
      <w:r w:rsidR="00F23EC8" w:rsidRPr="00F23EC8">
        <w:t xml:space="preserve">inclusive, safe and environmental transport outcomes for all transport </w:t>
      </w:r>
      <w:r w:rsidR="00F23EC8" w:rsidRPr="00F23EC8">
        <w:lastRenderedPageBreak/>
        <w:t>users. The technical and advisory support will also allow TSSP3 to monitor and play a central role in the harmonisation of infrastructure activities by GoPNG and its investment partners.</w:t>
      </w:r>
    </w:p>
    <w:p w14:paraId="515075CC" w14:textId="1C664FE5" w:rsidR="00520BA8" w:rsidRPr="00E729F4" w:rsidRDefault="00520BA8" w:rsidP="0024772A">
      <w:pPr>
        <w:pStyle w:val="BodyText"/>
        <w:spacing w:line="240" w:lineRule="auto"/>
      </w:pPr>
      <w:r w:rsidRPr="00E729F4">
        <w:t xml:space="preserve">This contribution will allow Australia to have a more direct imprint in this complementary space, similar to </w:t>
      </w:r>
      <w:r>
        <w:t xml:space="preserve">the </w:t>
      </w:r>
      <w:r w:rsidRPr="00E729F4">
        <w:t>role the Pacific Region Infrastructure Facility (PRIF</w:t>
      </w:r>
      <w:r w:rsidR="00337F5A">
        <w:rPr>
          <w:rStyle w:val="FootnoteReference"/>
        </w:rPr>
        <w:footnoteReference w:id="6"/>
      </w:r>
      <w:r w:rsidRPr="00E729F4">
        <w:t>) provides for infrastructure investment in the Pacific. This model, incorporating a range of donors and facilitators, could be a good best practice example to apply to PNG.</w:t>
      </w:r>
    </w:p>
    <w:p w14:paraId="654FC17F" w14:textId="6AD96377" w:rsidR="00E97F8F" w:rsidRDefault="006A7E56" w:rsidP="005328C6">
      <w:pPr>
        <w:pStyle w:val="BodyText"/>
        <w:spacing w:line="240" w:lineRule="auto"/>
      </w:pPr>
      <w:r>
        <w:t>If e</w:t>
      </w:r>
      <w:r w:rsidR="00520BA8" w:rsidRPr="00E729F4">
        <w:t xml:space="preserve">xecuted </w:t>
      </w:r>
      <w:r>
        <w:t>with</w:t>
      </w:r>
      <w:r w:rsidR="00520BA8" w:rsidRPr="00E729F4">
        <w:t xml:space="preserve"> an inclusive and supportive approach, TSSP3 will foster confidence in GoPNG’s ability to finance, implement and manage infrastructure assets, improve the potential for the future financing of national building infrastructure investments, and </w:t>
      </w:r>
      <w:r w:rsidR="004D734D">
        <w:t>support</w:t>
      </w:r>
      <w:r w:rsidR="00520BA8" w:rsidRPr="00E729F4">
        <w:t xml:space="preserve"> Australia </w:t>
      </w:r>
      <w:r w:rsidR="004D734D">
        <w:t xml:space="preserve">to </w:t>
      </w:r>
      <w:r w:rsidR="00520BA8" w:rsidRPr="00E729F4">
        <w:t>remain a partner of choice.</w:t>
      </w:r>
      <w:bookmarkEnd w:id="11"/>
      <w:bookmarkEnd w:id="12"/>
      <w:bookmarkEnd w:id="13"/>
      <w:bookmarkEnd w:id="14"/>
      <w:bookmarkEnd w:id="15"/>
      <w:bookmarkEnd w:id="16"/>
      <w:bookmarkEnd w:id="17"/>
      <w:bookmarkEnd w:id="18"/>
      <w:bookmarkEnd w:id="19"/>
    </w:p>
    <w:p w14:paraId="3A3D3E72" w14:textId="4921B64A" w:rsidR="00957489" w:rsidRDefault="00957489" w:rsidP="00957489">
      <w:pPr>
        <w:pStyle w:val="BodyText"/>
        <w:spacing w:line="240" w:lineRule="auto"/>
      </w:pPr>
      <w:r w:rsidRPr="00E729F4">
        <w:t xml:space="preserve">TSSP3, together with </w:t>
      </w:r>
      <w:r w:rsidR="00F875B8">
        <w:t xml:space="preserve">partners </w:t>
      </w:r>
      <w:r w:rsidRPr="00E729F4">
        <w:t xml:space="preserve">such as AIFFP </w:t>
      </w:r>
      <w:r w:rsidR="0075165B">
        <w:t>and other development partners (i.e. MLBs), s</w:t>
      </w:r>
      <w:r>
        <w:t xml:space="preserve">hould </w:t>
      </w:r>
      <w:r w:rsidRPr="00E729F4">
        <w:t xml:space="preserve">assist PNG to strike a balance between maintenance and investment, </w:t>
      </w:r>
      <w:r>
        <w:t>regardless of the type of transport infrastructure investment, or</w:t>
      </w:r>
      <w:r w:rsidRPr="00E729F4">
        <w:t xml:space="preserve"> they impose a financial burden on project recipients </w:t>
      </w:r>
      <w:r>
        <w:t xml:space="preserve">that </w:t>
      </w:r>
      <w:r w:rsidRPr="00E729F4">
        <w:t>culminates in the protracted involvement of large maintenance focussed programs such as TSSP2.</w:t>
      </w:r>
      <w:r w:rsidRPr="004B3BA4">
        <w:t xml:space="preserve"> </w:t>
      </w:r>
      <w:r w:rsidRPr="00E729F4">
        <w:t>If programs such as TSSP</w:t>
      </w:r>
      <w:r>
        <w:t>2</w:t>
      </w:r>
      <w:r w:rsidRPr="00E729F4">
        <w:t xml:space="preserve"> are to achieve </w:t>
      </w:r>
      <w:r w:rsidR="00702BB0">
        <w:t>their</w:t>
      </w:r>
      <w:r w:rsidRPr="00E729F4">
        <w:t xml:space="preserve"> objective such as an autonomous, well</w:t>
      </w:r>
      <w:r>
        <w:t>-</w:t>
      </w:r>
      <w:r w:rsidRPr="00E729F4">
        <w:t xml:space="preserve">planned and prioritised road maintenance program, then the economics of large-scale infrastructure investment must factor in the cost of maintaining new infrastructure. </w:t>
      </w:r>
    </w:p>
    <w:p w14:paraId="5A915DB9" w14:textId="3088B6B4" w:rsidR="00957489" w:rsidRPr="00E729F4" w:rsidRDefault="00957489" w:rsidP="00957489">
      <w:pPr>
        <w:pStyle w:val="BodyText"/>
        <w:spacing w:line="240" w:lineRule="auto"/>
      </w:pPr>
      <w:r w:rsidRPr="00E729F4">
        <w:t xml:space="preserve">Further, TSSP3 </w:t>
      </w:r>
      <w:r>
        <w:t>should</w:t>
      </w:r>
      <w:r w:rsidRPr="00E729F4">
        <w:t xml:space="preserve"> work with </w:t>
      </w:r>
      <w:r w:rsidR="00535BAF">
        <w:t xml:space="preserve">development </w:t>
      </w:r>
      <w:r w:rsidRPr="00E729F4">
        <w:t>partners to guard against the potential for designated maintenance funding to be diverted to new infrastructure projects as this invites serious implications for aid</w:t>
      </w:r>
      <w:r>
        <w:t>-</w:t>
      </w:r>
      <w:r w:rsidRPr="00E729F4">
        <w:t xml:space="preserve">dependent countries and </w:t>
      </w:r>
      <w:r>
        <w:t xml:space="preserve">how they manage </w:t>
      </w:r>
      <w:r w:rsidRPr="00E729F4">
        <w:t>ag</w:t>
      </w:r>
      <w:r w:rsidR="00777F5F">
        <w:t>e</w:t>
      </w:r>
      <w:r w:rsidRPr="00E729F4">
        <w:t xml:space="preserve">ing infrastructure. </w:t>
      </w:r>
    </w:p>
    <w:p w14:paraId="6C0FC864" w14:textId="3DEE9F9C" w:rsidR="000D53A3" w:rsidRPr="000D53A3" w:rsidRDefault="000D53A3" w:rsidP="000D53A3">
      <w:pPr>
        <w:pStyle w:val="BodyText"/>
      </w:pPr>
      <w:r w:rsidRPr="000D53A3">
        <w:t xml:space="preserve">Given the burgeoning scope of infrastructure under management, TSSP3 will also need to broaden GoPNG’s asset management capability beyond ensuring that funding and resources are adequate to meet the needs of the network under normal operating conditions. Under TSSP3, GoPNG asset management will need to be adequately resourced to quantify the effects of potentially adverse climatic conditions caused by climate change. Though notoriously difficult to forecast, such capabilities will be essential to mitigating operational risk for new and existing marine structures such as ports as well as informing the design and upgrade </w:t>
      </w:r>
      <w:r w:rsidR="00DB0325" w:rsidRPr="000D53A3">
        <w:t>of roads</w:t>
      </w:r>
      <w:r w:rsidRPr="000D53A3">
        <w:t xml:space="preserve"> and bridge structures in low-lying or coastal environments. </w:t>
      </w:r>
    </w:p>
    <w:p w14:paraId="53BBB83D" w14:textId="271A3B3B" w:rsidR="00957489" w:rsidRPr="00E729F4" w:rsidRDefault="00957489" w:rsidP="00957489">
      <w:pPr>
        <w:pStyle w:val="BodyText"/>
        <w:spacing w:line="240" w:lineRule="auto"/>
      </w:pPr>
      <w:r w:rsidRPr="00E729F4">
        <w:t>The expansion of TSSP3 into marine infrastructure development will also facilitate an enhanced understanding of multi-modal network</w:t>
      </w:r>
      <w:r>
        <w:t>s</w:t>
      </w:r>
      <w:r w:rsidRPr="00E729F4">
        <w:t xml:space="preserve"> in rural areas. For example, planning activities for future port infrastructure should allow TSSP3 and GoPNG to broaden their understanding of transport movements for people and cargo in areas at the fringe of the existing transport network, such as East Sepik Province, Sandaun, and Western Province. Enhanced understanding will not only inform the design and planning of this infrastructure but </w:t>
      </w:r>
      <w:r w:rsidR="008E464C">
        <w:t xml:space="preserve">help </w:t>
      </w:r>
      <w:r w:rsidRPr="00E729F4">
        <w:t>ensure that the transport network is inclusive and interconnected in locations where both elements are severely lacking. This will improve resilience to pandemic challenges as well as general access to services and commercial opportunities.</w:t>
      </w:r>
    </w:p>
    <w:p w14:paraId="357D8E7B" w14:textId="77777777" w:rsidR="00315323" w:rsidRDefault="00315323" w:rsidP="005328C6">
      <w:pPr>
        <w:pStyle w:val="BodyText"/>
        <w:spacing w:line="240" w:lineRule="auto"/>
        <w:rPr>
          <w:rFonts w:cs="Arial"/>
        </w:rPr>
      </w:pPr>
    </w:p>
    <w:p w14:paraId="1EFF27A4" w14:textId="6020A149" w:rsidR="00F84454" w:rsidRDefault="00F84454" w:rsidP="005328C6">
      <w:pPr>
        <w:pStyle w:val="BodyText"/>
        <w:spacing w:line="240" w:lineRule="auto"/>
        <w:rPr>
          <w:rFonts w:cs="Arial"/>
          <w:sz w:val="19"/>
        </w:rPr>
      </w:pPr>
      <w:r>
        <w:rPr>
          <w:rFonts w:cs="Arial"/>
        </w:rPr>
        <w:br w:type="page"/>
      </w:r>
    </w:p>
    <w:p w14:paraId="5EAC13F5" w14:textId="6B202C05" w:rsidR="00C0738E" w:rsidRDefault="00F84454" w:rsidP="00165C55">
      <w:pPr>
        <w:pStyle w:val="AnnexTitle"/>
      </w:pPr>
      <w:bookmarkStart w:id="62" w:name="_Toc99121799"/>
      <w:r w:rsidRPr="119AA9D8">
        <w:lastRenderedPageBreak/>
        <w:t xml:space="preserve">Annex 1: </w:t>
      </w:r>
      <w:r w:rsidR="005A1249">
        <w:t>M</w:t>
      </w:r>
      <w:r w:rsidR="00C0738E" w:rsidRPr="119AA9D8">
        <w:t>ethodology</w:t>
      </w:r>
      <w:r w:rsidR="009567F2">
        <w:t>, limitations</w:t>
      </w:r>
      <w:r w:rsidR="00C0738E" w:rsidRPr="119AA9D8">
        <w:t xml:space="preserve"> and stakeholders </w:t>
      </w:r>
      <w:bookmarkEnd w:id="62"/>
    </w:p>
    <w:p w14:paraId="22DCB6FC" w14:textId="7B29EB54" w:rsidR="00C0738E" w:rsidRPr="0024772A" w:rsidRDefault="00C0738E" w:rsidP="0024772A">
      <w:pPr>
        <w:pStyle w:val="AnnexSubheading"/>
      </w:pPr>
      <w:r w:rsidRPr="0076011C">
        <w:rPr>
          <w:color w:val="4C7B9E" w:themeColor="accent2"/>
        </w:rPr>
        <w:t>Data collection methods</w:t>
      </w:r>
    </w:p>
    <w:p w14:paraId="08649A32" w14:textId="7B29EB54" w:rsidR="00C0738E" w:rsidRPr="003F5707" w:rsidRDefault="00C0738E" w:rsidP="0024772A">
      <w:pPr>
        <w:pStyle w:val="BodyText"/>
        <w:spacing w:after="0"/>
        <w:rPr>
          <w:rFonts w:cs="Arial"/>
        </w:rPr>
      </w:pPr>
      <w:r w:rsidRPr="003F5707">
        <w:rPr>
          <w:rFonts w:cs="Arial"/>
        </w:rPr>
        <w:t>The Review team utilised the data collection methods and tools shown below.</w:t>
      </w:r>
    </w:p>
    <w:tbl>
      <w:tblPr>
        <w:tblStyle w:val="McLLTableGeneralText3"/>
        <w:tblW w:w="4927" w:type="pct"/>
        <w:tblBorders>
          <w:top w:val="single" w:sz="4" w:space="0" w:color="5482AB"/>
          <w:left w:val="none" w:sz="0" w:space="0" w:color="auto"/>
          <w:bottom w:val="single" w:sz="4" w:space="0" w:color="5482AB"/>
          <w:right w:val="none" w:sz="0" w:space="0" w:color="auto"/>
          <w:insideH w:val="single" w:sz="4" w:space="0" w:color="5482AB"/>
          <w:insideV w:val="none" w:sz="0" w:space="0" w:color="auto"/>
        </w:tblBorders>
        <w:tblLook w:val="04A0" w:firstRow="1" w:lastRow="0" w:firstColumn="1" w:lastColumn="0" w:noHBand="0" w:noVBand="1"/>
      </w:tblPr>
      <w:tblGrid>
        <w:gridCol w:w="1559"/>
        <w:gridCol w:w="7938"/>
      </w:tblGrid>
      <w:tr w:rsidR="00C0738E" w:rsidRPr="0024772A" w14:paraId="141472B6" w14:textId="77777777" w:rsidTr="0024772A">
        <w:trPr>
          <w:trHeight w:val="85"/>
          <w:tblHeader/>
        </w:trPr>
        <w:tc>
          <w:tcPr>
            <w:tcW w:w="821" w:type="pct"/>
            <w:tcBorders>
              <w:top w:val="nil"/>
              <w:bottom w:val="single" w:sz="18" w:space="0" w:color="4C7B9E" w:themeColor="accent2"/>
            </w:tcBorders>
            <w:shd w:val="clear" w:color="auto" w:fill="auto"/>
            <w:vAlign w:val="center"/>
          </w:tcPr>
          <w:p w14:paraId="167C2FEE" w14:textId="77777777" w:rsidR="00C0738E" w:rsidRPr="0024772A" w:rsidRDefault="00C0738E" w:rsidP="006F252C">
            <w:pPr>
              <w:spacing w:before="80" w:after="80" w:line="252" w:lineRule="auto"/>
              <w:rPr>
                <w:rFonts w:ascii="Franklin Gothic Demi" w:hAnsi="Franklin Gothic Demi" w:cs="Arial"/>
                <w:bCs/>
                <w:color w:val="003478" w:themeColor="text2"/>
                <w:lang w:eastAsia="en-AU"/>
              </w:rPr>
            </w:pPr>
            <w:r w:rsidRPr="0024772A">
              <w:rPr>
                <w:rFonts w:ascii="Franklin Gothic Demi" w:hAnsi="Franklin Gothic Demi" w:cs="Arial"/>
                <w:bCs/>
                <w:color w:val="003478" w:themeColor="text2"/>
                <w:lang w:eastAsia="en-AU"/>
              </w:rPr>
              <w:t>Method / tool</w:t>
            </w:r>
          </w:p>
        </w:tc>
        <w:tc>
          <w:tcPr>
            <w:tcW w:w="4179" w:type="pct"/>
            <w:tcBorders>
              <w:top w:val="nil"/>
              <w:bottom w:val="single" w:sz="18" w:space="0" w:color="4C7B9E" w:themeColor="accent2"/>
            </w:tcBorders>
            <w:shd w:val="clear" w:color="auto" w:fill="auto"/>
          </w:tcPr>
          <w:p w14:paraId="3547870B" w14:textId="249A4514" w:rsidR="00C0738E" w:rsidRPr="0024772A" w:rsidRDefault="00C0738E" w:rsidP="006F252C">
            <w:pPr>
              <w:spacing w:before="80" w:after="80" w:line="252" w:lineRule="auto"/>
              <w:rPr>
                <w:rFonts w:ascii="Franklin Gothic Demi" w:hAnsi="Franklin Gothic Demi" w:cs="Arial"/>
                <w:bCs/>
                <w:color w:val="003478" w:themeColor="text2"/>
                <w:lang w:eastAsia="en-AU"/>
              </w:rPr>
            </w:pPr>
            <w:r w:rsidRPr="0024772A">
              <w:rPr>
                <w:rFonts w:ascii="Franklin Gothic Demi" w:hAnsi="Franklin Gothic Demi" w:cs="Arial"/>
                <w:bCs/>
                <w:color w:val="003478" w:themeColor="text2"/>
                <w:lang w:eastAsia="en-AU"/>
              </w:rPr>
              <w:t xml:space="preserve">How it </w:t>
            </w:r>
            <w:r w:rsidR="00782893" w:rsidRPr="0024772A">
              <w:rPr>
                <w:rFonts w:ascii="Franklin Gothic Demi" w:hAnsi="Franklin Gothic Demi" w:cs="Arial"/>
                <w:bCs/>
                <w:color w:val="003478" w:themeColor="text2"/>
                <w:lang w:eastAsia="en-AU"/>
              </w:rPr>
              <w:t>was done</w:t>
            </w:r>
          </w:p>
        </w:tc>
      </w:tr>
      <w:tr w:rsidR="00C0738E" w:rsidRPr="0024772A" w14:paraId="0D872BEE" w14:textId="77777777" w:rsidTr="0024772A">
        <w:tc>
          <w:tcPr>
            <w:tcW w:w="821" w:type="pct"/>
            <w:tcBorders>
              <w:top w:val="single" w:sz="18" w:space="0" w:color="4C7B9E" w:themeColor="accent2"/>
              <w:bottom w:val="dotted" w:sz="4" w:space="0" w:color="A6A6A6" w:themeColor="background1" w:themeShade="A6"/>
            </w:tcBorders>
            <w:shd w:val="clear" w:color="auto" w:fill="F2F2F2" w:themeFill="background1" w:themeFillShade="F2"/>
          </w:tcPr>
          <w:p w14:paraId="56088FE5" w14:textId="4061A43F" w:rsidR="00C0738E" w:rsidRPr="0024772A" w:rsidRDefault="00C0738E" w:rsidP="006F252C">
            <w:pPr>
              <w:spacing w:before="80" w:after="80"/>
              <w:rPr>
                <w:rFonts w:ascii="Franklin Gothic Demi" w:hAnsi="Franklin Gothic Demi" w:cs="Arial"/>
                <w:bCs/>
                <w:sz w:val="17"/>
                <w:szCs w:val="17"/>
                <w:lang w:eastAsia="en-AU"/>
              </w:rPr>
            </w:pPr>
            <w:r w:rsidRPr="0024772A">
              <w:rPr>
                <w:rFonts w:ascii="Franklin Gothic Demi" w:hAnsi="Franklin Gothic Demi" w:cs="Arial"/>
                <w:bCs/>
                <w:sz w:val="17"/>
                <w:szCs w:val="17"/>
                <w:lang w:eastAsia="en-AU"/>
              </w:rPr>
              <w:t>Documentation review &amp; contextual analysis</w:t>
            </w:r>
          </w:p>
        </w:tc>
        <w:tc>
          <w:tcPr>
            <w:tcW w:w="4179" w:type="pct"/>
            <w:tcBorders>
              <w:top w:val="single" w:sz="18" w:space="0" w:color="4C7B9E" w:themeColor="accent2"/>
              <w:bottom w:val="dotted" w:sz="4" w:space="0" w:color="A6A6A6" w:themeColor="background1" w:themeShade="A6"/>
            </w:tcBorders>
            <w:shd w:val="clear" w:color="auto" w:fill="FFFFFF" w:themeFill="background1"/>
          </w:tcPr>
          <w:p w14:paraId="281084B3" w14:textId="7A0342AB" w:rsidR="00C0738E" w:rsidRPr="0024772A" w:rsidRDefault="00C0738E" w:rsidP="006F252C">
            <w:pPr>
              <w:spacing w:before="80" w:after="80"/>
              <w:rPr>
                <w:rFonts w:ascii="Franklin Gothic Book" w:hAnsi="Franklin Gothic Book" w:cs="Arial"/>
                <w:sz w:val="17"/>
                <w:szCs w:val="17"/>
                <w:lang w:eastAsia="en-AU"/>
              </w:rPr>
            </w:pPr>
            <w:r w:rsidRPr="0024772A">
              <w:rPr>
                <w:rFonts w:ascii="Franklin Gothic Book" w:hAnsi="Franklin Gothic Book" w:cs="Arial"/>
                <w:sz w:val="17"/>
                <w:szCs w:val="17"/>
                <w:lang w:eastAsia="en-AU"/>
              </w:rPr>
              <w:t xml:space="preserve">The Review team conducted a thorough desktop review of both operational and reporting data for TSSP2 and analysed the secondary data against the analytical framework to generate initial findings and where primary data collection should focus. </w:t>
            </w:r>
          </w:p>
          <w:p w14:paraId="3A77A554" w14:textId="3A3281B5" w:rsidR="00C0738E" w:rsidRPr="0024772A" w:rsidRDefault="00B823AA" w:rsidP="00C0738E">
            <w:pPr>
              <w:spacing w:before="80" w:after="80"/>
              <w:rPr>
                <w:rFonts w:ascii="Franklin Gothic Book" w:hAnsi="Franklin Gothic Book" w:cs="Arial"/>
                <w:sz w:val="17"/>
                <w:szCs w:val="17"/>
                <w:lang w:eastAsia="en-AU"/>
              </w:rPr>
            </w:pPr>
            <w:r>
              <w:rPr>
                <w:rFonts w:ascii="Franklin Gothic Book" w:hAnsi="Franklin Gothic Book" w:cs="Arial"/>
                <w:sz w:val="17"/>
                <w:szCs w:val="17"/>
                <w:lang w:eastAsia="en-AU"/>
              </w:rPr>
              <w:t>A c</w:t>
            </w:r>
            <w:r w:rsidR="00C0738E" w:rsidRPr="0024772A">
              <w:rPr>
                <w:rFonts w:ascii="Franklin Gothic Book" w:hAnsi="Franklin Gothic Book" w:cs="Arial"/>
                <w:sz w:val="17"/>
                <w:szCs w:val="17"/>
                <w:lang w:eastAsia="en-AU"/>
              </w:rPr>
              <w:t>ontextual analysis was undertaken to help provide a holistic view of the context; the whole environment in which the TSSP2 operates. The environment span</w:t>
            </w:r>
            <w:r w:rsidR="009074B3" w:rsidRPr="0024772A">
              <w:rPr>
                <w:rFonts w:ascii="Franklin Gothic Book" w:hAnsi="Franklin Gothic Book" w:cs="Arial"/>
                <w:sz w:val="17"/>
                <w:szCs w:val="17"/>
                <w:lang w:eastAsia="en-AU"/>
              </w:rPr>
              <w:t>ned</w:t>
            </w:r>
            <w:r w:rsidR="00C0738E" w:rsidRPr="0024772A">
              <w:rPr>
                <w:rFonts w:ascii="Franklin Gothic Book" w:hAnsi="Franklin Gothic Book" w:cs="Arial"/>
                <w:sz w:val="17"/>
                <w:szCs w:val="17"/>
                <w:lang w:eastAsia="en-AU"/>
              </w:rPr>
              <w:t xml:space="preserve"> all the policies, institutions and processes including the private sector and the social, cultural, environmental and economic aspects of areas of intervention by the Program. Noting limitations with data availabil</w:t>
            </w:r>
            <w:r w:rsidR="00777F5F">
              <w:rPr>
                <w:rFonts w:ascii="Franklin Gothic Book" w:hAnsi="Franklin Gothic Book" w:cs="Arial"/>
                <w:sz w:val="17"/>
                <w:szCs w:val="17"/>
                <w:lang w:eastAsia="en-AU"/>
              </w:rPr>
              <w:t>i</w:t>
            </w:r>
            <w:r w:rsidR="00C0738E" w:rsidRPr="0024772A">
              <w:rPr>
                <w:rFonts w:ascii="Franklin Gothic Book" w:hAnsi="Franklin Gothic Book" w:cs="Arial"/>
                <w:sz w:val="17"/>
                <w:szCs w:val="17"/>
                <w:lang w:eastAsia="en-AU"/>
              </w:rPr>
              <w:t xml:space="preserve">ty, financial analysis explored contributions to the transport sector by other donors, multilateral development banks, GoPNG and the private sector to identify areas or sectors that TSSP can invest in. </w:t>
            </w:r>
          </w:p>
          <w:p w14:paraId="21852FCA" w14:textId="49F554B7" w:rsidR="00C0738E" w:rsidRPr="0024772A" w:rsidRDefault="00C0738E" w:rsidP="00C0738E">
            <w:pPr>
              <w:spacing w:before="80" w:after="80"/>
              <w:rPr>
                <w:rFonts w:ascii="Franklin Gothic Book" w:hAnsi="Franklin Gothic Book" w:cs="Arial"/>
                <w:sz w:val="17"/>
                <w:szCs w:val="17"/>
                <w:lang w:eastAsia="en-AU"/>
              </w:rPr>
            </w:pPr>
            <w:r w:rsidRPr="0024772A">
              <w:rPr>
                <w:rFonts w:ascii="Franklin Gothic Book" w:hAnsi="Franklin Gothic Book" w:cs="Arial"/>
                <w:sz w:val="17"/>
                <w:szCs w:val="17"/>
                <w:lang w:eastAsia="en-AU"/>
              </w:rPr>
              <w:t>The contextual analysis helped the assessment of contributions and attributions of the TSSP2 and identify areas or sectors the future iteration of TSSP can invest in.</w:t>
            </w:r>
          </w:p>
        </w:tc>
      </w:tr>
      <w:tr w:rsidR="00C0738E" w:rsidRPr="0024772A" w14:paraId="77A332D6" w14:textId="77777777" w:rsidTr="0024772A">
        <w:tc>
          <w:tcPr>
            <w:tcW w:w="821" w:type="pct"/>
            <w:tcBorders>
              <w:top w:val="dotted" w:sz="4" w:space="0" w:color="A6A6A6" w:themeColor="background1" w:themeShade="A6"/>
              <w:bottom w:val="dotted" w:sz="4" w:space="0" w:color="A6A6A6" w:themeColor="background1" w:themeShade="A6"/>
            </w:tcBorders>
            <w:shd w:val="clear" w:color="auto" w:fill="F2F2F2" w:themeFill="background1" w:themeFillShade="F2"/>
          </w:tcPr>
          <w:p w14:paraId="1FC2933D" w14:textId="69808A7C" w:rsidR="00C0738E" w:rsidRPr="0024772A" w:rsidRDefault="00C0738E" w:rsidP="006F252C">
            <w:pPr>
              <w:spacing w:before="80" w:after="80"/>
              <w:rPr>
                <w:rFonts w:ascii="Franklin Gothic Demi" w:hAnsi="Franklin Gothic Demi" w:cs="Arial"/>
                <w:bCs/>
                <w:sz w:val="17"/>
                <w:szCs w:val="17"/>
                <w:lang w:eastAsia="en-AU"/>
              </w:rPr>
            </w:pPr>
            <w:r w:rsidRPr="0024772A">
              <w:rPr>
                <w:rFonts w:ascii="Franklin Gothic Demi" w:hAnsi="Franklin Gothic Demi" w:cs="Arial"/>
                <w:bCs/>
                <w:sz w:val="17"/>
                <w:szCs w:val="17"/>
                <w:lang w:eastAsia="en-AU"/>
              </w:rPr>
              <w:t xml:space="preserve">Rapid literature </w:t>
            </w:r>
            <w:r w:rsidR="00B2337A" w:rsidRPr="0024772A">
              <w:rPr>
                <w:rFonts w:ascii="Franklin Gothic Demi" w:hAnsi="Franklin Gothic Demi" w:cs="Arial"/>
                <w:bCs/>
                <w:sz w:val="17"/>
                <w:szCs w:val="17"/>
                <w:lang w:eastAsia="en-AU"/>
              </w:rPr>
              <w:t>scan</w:t>
            </w:r>
          </w:p>
        </w:tc>
        <w:tc>
          <w:tcPr>
            <w:tcW w:w="4179" w:type="pct"/>
            <w:tcBorders>
              <w:top w:val="dotted" w:sz="4" w:space="0" w:color="A6A6A6" w:themeColor="background1" w:themeShade="A6"/>
              <w:bottom w:val="dotted" w:sz="4" w:space="0" w:color="A6A6A6" w:themeColor="background1" w:themeShade="A6"/>
            </w:tcBorders>
            <w:shd w:val="clear" w:color="auto" w:fill="FFFFFF" w:themeFill="background1"/>
          </w:tcPr>
          <w:p w14:paraId="06975BA3" w14:textId="7B888299" w:rsidR="00C0738E" w:rsidRPr="0024772A" w:rsidRDefault="00C0738E" w:rsidP="006F252C">
            <w:pPr>
              <w:spacing w:before="80" w:after="80"/>
              <w:rPr>
                <w:rFonts w:ascii="Franklin Gothic Book" w:hAnsi="Franklin Gothic Book" w:cs="Arial"/>
                <w:sz w:val="17"/>
                <w:szCs w:val="17"/>
                <w:lang w:eastAsia="en-AU"/>
              </w:rPr>
            </w:pPr>
            <w:r w:rsidRPr="0024772A">
              <w:rPr>
                <w:rFonts w:ascii="Franklin Gothic Book" w:hAnsi="Franklin Gothic Book" w:cs="Arial"/>
                <w:sz w:val="17"/>
                <w:szCs w:val="17"/>
                <w:lang w:eastAsia="en-AU"/>
              </w:rPr>
              <w:t xml:space="preserve">The Review Team undertook a rapid literature scan to capture literature and reporting from similar DFAT-funded and other donor-funded transport investments in PNG and the Pacific region. The team </w:t>
            </w:r>
            <w:r w:rsidR="00B2337A" w:rsidRPr="0024772A">
              <w:rPr>
                <w:rFonts w:ascii="Franklin Gothic Book" w:hAnsi="Franklin Gothic Book" w:cs="Arial"/>
                <w:sz w:val="17"/>
                <w:szCs w:val="17"/>
                <w:lang w:eastAsia="en-AU"/>
              </w:rPr>
              <w:t>referred</w:t>
            </w:r>
            <w:r w:rsidRPr="0024772A">
              <w:rPr>
                <w:rFonts w:ascii="Franklin Gothic Book" w:hAnsi="Franklin Gothic Book" w:cs="Arial"/>
                <w:sz w:val="17"/>
                <w:szCs w:val="17"/>
                <w:lang w:eastAsia="en-AU"/>
              </w:rPr>
              <w:t xml:space="preserve"> to the literature </w:t>
            </w:r>
            <w:r w:rsidR="00B2337A" w:rsidRPr="0024772A">
              <w:rPr>
                <w:rFonts w:ascii="Franklin Gothic Book" w:hAnsi="Franklin Gothic Book" w:cs="Arial"/>
                <w:sz w:val="17"/>
                <w:szCs w:val="17"/>
                <w:lang w:eastAsia="en-AU"/>
              </w:rPr>
              <w:t>to help</w:t>
            </w:r>
            <w:r w:rsidRPr="0024772A">
              <w:rPr>
                <w:rFonts w:ascii="Franklin Gothic Book" w:hAnsi="Franklin Gothic Book" w:cs="Arial"/>
                <w:sz w:val="17"/>
                <w:szCs w:val="17"/>
                <w:lang w:eastAsia="en-AU"/>
              </w:rPr>
              <w:t xml:space="preserve"> answer specific </w:t>
            </w:r>
            <w:r w:rsidR="00B2337A" w:rsidRPr="0024772A">
              <w:rPr>
                <w:rFonts w:ascii="Franklin Gothic Book" w:hAnsi="Franklin Gothic Book" w:cs="Arial"/>
                <w:sz w:val="17"/>
                <w:szCs w:val="17"/>
                <w:lang w:eastAsia="en-AU"/>
              </w:rPr>
              <w:t xml:space="preserve">evaluation </w:t>
            </w:r>
            <w:r w:rsidRPr="0024772A">
              <w:rPr>
                <w:rFonts w:ascii="Franklin Gothic Book" w:hAnsi="Franklin Gothic Book" w:cs="Arial"/>
                <w:sz w:val="17"/>
                <w:szCs w:val="17"/>
                <w:lang w:eastAsia="en-AU"/>
              </w:rPr>
              <w:t>questions or triangulate findings from the primary data collection. It explored transport financing trends in PNG looking at the past, present, and future trends.</w:t>
            </w:r>
          </w:p>
        </w:tc>
      </w:tr>
      <w:tr w:rsidR="00C0738E" w:rsidRPr="0024772A" w14:paraId="198E01D0" w14:textId="77777777" w:rsidTr="0024772A">
        <w:tc>
          <w:tcPr>
            <w:tcW w:w="821" w:type="pct"/>
            <w:tcBorders>
              <w:top w:val="dotted" w:sz="4" w:space="0" w:color="A6A6A6" w:themeColor="background1" w:themeShade="A6"/>
              <w:bottom w:val="dotted" w:sz="4" w:space="0" w:color="A6A6A6" w:themeColor="background1" w:themeShade="A6"/>
            </w:tcBorders>
            <w:shd w:val="clear" w:color="auto" w:fill="F2F2F2" w:themeFill="background1" w:themeFillShade="F2"/>
          </w:tcPr>
          <w:p w14:paraId="75DF0704" w14:textId="77777777" w:rsidR="00C0738E" w:rsidRPr="0024772A" w:rsidRDefault="00C0738E" w:rsidP="006F252C">
            <w:pPr>
              <w:spacing w:before="80" w:after="80"/>
              <w:rPr>
                <w:rFonts w:ascii="Franklin Gothic Demi" w:hAnsi="Franklin Gothic Demi" w:cs="Arial"/>
                <w:bCs/>
                <w:sz w:val="17"/>
                <w:szCs w:val="17"/>
                <w:lang w:eastAsia="en-AU"/>
              </w:rPr>
            </w:pPr>
            <w:r w:rsidRPr="0024772A">
              <w:rPr>
                <w:rFonts w:ascii="Franklin Gothic Demi" w:hAnsi="Franklin Gothic Demi" w:cs="Arial"/>
                <w:bCs/>
                <w:sz w:val="17"/>
                <w:szCs w:val="17"/>
                <w:lang w:eastAsia="en-AU"/>
              </w:rPr>
              <w:t xml:space="preserve">Key informant interviews </w:t>
            </w:r>
          </w:p>
        </w:tc>
        <w:tc>
          <w:tcPr>
            <w:tcW w:w="4179" w:type="pct"/>
            <w:tcBorders>
              <w:top w:val="dotted" w:sz="4" w:space="0" w:color="A6A6A6" w:themeColor="background1" w:themeShade="A6"/>
              <w:bottom w:val="dotted" w:sz="4" w:space="0" w:color="A6A6A6" w:themeColor="background1" w:themeShade="A6"/>
            </w:tcBorders>
            <w:shd w:val="clear" w:color="auto" w:fill="FFFFFF" w:themeFill="background1"/>
          </w:tcPr>
          <w:p w14:paraId="5EAFCE66" w14:textId="3EA6C669" w:rsidR="00C0738E" w:rsidRPr="0024772A" w:rsidRDefault="00C0738E" w:rsidP="003F5707">
            <w:pPr>
              <w:spacing w:before="80" w:after="80"/>
              <w:rPr>
                <w:rFonts w:ascii="Franklin Gothic Book" w:hAnsi="Franklin Gothic Book" w:cs="Arial"/>
                <w:sz w:val="17"/>
                <w:szCs w:val="17"/>
                <w:lang w:eastAsia="en-AU"/>
              </w:rPr>
            </w:pPr>
            <w:r w:rsidRPr="0024772A">
              <w:rPr>
                <w:rFonts w:ascii="Franklin Gothic Book" w:hAnsi="Franklin Gothic Book" w:cs="Arial"/>
                <w:sz w:val="17"/>
                <w:szCs w:val="17"/>
                <w:lang w:eastAsia="en-AU"/>
              </w:rPr>
              <w:t xml:space="preserve">Interviews </w:t>
            </w:r>
            <w:r w:rsidR="00AF5465" w:rsidRPr="0024772A">
              <w:rPr>
                <w:rFonts w:ascii="Franklin Gothic Book" w:hAnsi="Franklin Gothic Book" w:cs="Arial"/>
                <w:sz w:val="17"/>
                <w:szCs w:val="17"/>
                <w:lang w:eastAsia="en-AU"/>
              </w:rPr>
              <w:t>were</w:t>
            </w:r>
            <w:r w:rsidRPr="0024772A">
              <w:rPr>
                <w:rFonts w:ascii="Franklin Gothic Book" w:hAnsi="Franklin Gothic Book" w:cs="Arial"/>
                <w:sz w:val="17"/>
                <w:szCs w:val="17"/>
                <w:lang w:eastAsia="en-AU"/>
              </w:rPr>
              <w:t xml:space="preserve"> used flexibly to gather data to answer the evaluation questions, understand stakeholder perspectives</w:t>
            </w:r>
            <w:r w:rsidR="00AF5465" w:rsidRPr="0024772A">
              <w:rPr>
                <w:rFonts w:ascii="Franklin Gothic Book" w:hAnsi="Franklin Gothic Book" w:cs="Arial"/>
                <w:sz w:val="17"/>
                <w:szCs w:val="17"/>
                <w:lang w:eastAsia="en-AU"/>
              </w:rPr>
              <w:t>,</w:t>
            </w:r>
            <w:r w:rsidRPr="0024772A">
              <w:rPr>
                <w:rFonts w:ascii="Franklin Gothic Book" w:hAnsi="Franklin Gothic Book" w:cs="Arial"/>
                <w:sz w:val="17"/>
                <w:szCs w:val="17"/>
                <w:lang w:eastAsia="en-AU"/>
              </w:rPr>
              <w:t xml:space="preserve"> and </w:t>
            </w:r>
            <w:r w:rsidR="00AF5465" w:rsidRPr="0024772A">
              <w:rPr>
                <w:rFonts w:ascii="Franklin Gothic Book" w:hAnsi="Franklin Gothic Book" w:cs="Arial"/>
                <w:sz w:val="17"/>
                <w:szCs w:val="17"/>
                <w:lang w:eastAsia="en-AU"/>
              </w:rPr>
              <w:t>were conducted through a combination of</w:t>
            </w:r>
            <w:r w:rsidRPr="0024772A">
              <w:rPr>
                <w:rFonts w:ascii="Franklin Gothic Book" w:hAnsi="Franklin Gothic Book" w:cs="Arial"/>
                <w:sz w:val="17"/>
                <w:szCs w:val="17"/>
                <w:lang w:eastAsia="en-AU"/>
              </w:rPr>
              <w:t xml:space="preserve"> remote and face-to-face interviews (more</w:t>
            </w:r>
            <w:r w:rsidR="00777F5F">
              <w:rPr>
                <w:rFonts w:ascii="Franklin Gothic Book" w:hAnsi="Franklin Gothic Book" w:cs="Arial"/>
                <w:sz w:val="17"/>
                <w:szCs w:val="17"/>
                <w:lang w:eastAsia="en-AU"/>
              </w:rPr>
              <w:t xml:space="preserve"> </w:t>
            </w:r>
            <w:r w:rsidRPr="0024772A">
              <w:rPr>
                <w:rFonts w:ascii="Franklin Gothic Book" w:hAnsi="Franklin Gothic Book" w:cs="Arial"/>
                <w:sz w:val="17"/>
                <w:szCs w:val="17"/>
                <w:lang w:eastAsia="en-AU"/>
              </w:rPr>
              <w:t xml:space="preserve">so in PNG) where our local team members lead the consultations. During the interviews, the </w:t>
            </w:r>
            <w:r w:rsidR="00794F23" w:rsidRPr="0024772A">
              <w:rPr>
                <w:rFonts w:ascii="Franklin Gothic Book" w:hAnsi="Franklin Gothic Book" w:cs="Arial"/>
                <w:sz w:val="17"/>
                <w:szCs w:val="17"/>
                <w:lang w:eastAsia="en-AU"/>
              </w:rPr>
              <w:t>R</w:t>
            </w:r>
            <w:r w:rsidRPr="0024772A">
              <w:rPr>
                <w:rFonts w:ascii="Franklin Gothic Book" w:hAnsi="Franklin Gothic Book" w:cs="Arial"/>
                <w:sz w:val="17"/>
                <w:szCs w:val="17"/>
                <w:lang w:eastAsia="en-AU"/>
              </w:rPr>
              <w:t xml:space="preserve">eview team </w:t>
            </w:r>
            <w:r w:rsidR="00794F23" w:rsidRPr="0024772A">
              <w:rPr>
                <w:rFonts w:ascii="Franklin Gothic Book" w:hAnsi="Franklin Gothic Book" w:cs="Arial"/>
                <w:sz w:val="17"/>
                <w:szCs w:val="17"/>
                <w:lang w:eastAsia="en-AU"/>
              </w:rPr>
              <w:t>explained</w:t>
            </w:r>
            <w:r w:rsidRPr="0024772A">
              <w:rPr>
                <w:rFonts w:ascii="Franklin Gothic Book" w:hAnsi="Franklin Gothic Book" w:cs="Arial"/>
                <w:sz w:val="17"/>
                <w:szCs w:val="17"/>
                <w:lang w:eastAsia="en-AU"/>
              </w:rPr>
              <w:t xml:space="preserve"> that they </w:t>
            </w:r>
            <w:r w:rsidR="00794F23" w:rsidRPr="0024772A">
              <w:rPr>
                <w:rFonts w:ascii="Franklin Gothic Book" w:hAnsi="Franklin Gothic Book" w:cs="Arial"/>
                <w:sz w:val="17"/>
                <w:szCs w:val="17"/>
                <w:lang w:eastAsia="en-AU"/>
              </w:rPr>
              <w:t>were</w:t>
            </w:r>
            <w:r w:rsidR="00032629" w:rsidRPr="0024772A">
              <w:rPr>
                <w:rFonts w:ascii="Franklin Gothic Book" w:hAnsi="Franklin Gothic Book" w:cs="Arial"/>
                <w:sz w:val="17"/>
                <w:szCs w:val="17"/>
                <w:lang w:eastAsia="en-AU"/>
              </w:rPr>
              <w:t xml:space="preserve"> </w:t>
            </w:r>
            <w:r w:rsidRPr="0024772A">
              <w:rPr>
                <w:rFonts w:ascii="Franklin Gothic Book" w:hAnsi="Franklin Gothic Book" w:cs="Arial"/>
                <w:sz w:val="17"/>
                <w:szCs w:val="17"/>
                <w:lang w:eastAsia="en-AU"/>
              </w:rPr>
              <w:t xml:space="preserve">conducting two reviews simultaneously while reiterating the differences between the two reviews and the objective and purpose of each one of them. </w:t>
            </w:r>
            <w:r w:rsidR="00032629" w:rsidRPr="0024772A">
              <w:rPr>
                <w:rFonts w:ascii="Franklin Gothic Book" w:hAnsi="Franklin Gothic Book" w:cs="Arial"/>
                <w:sz w:val="17"/>
                <w:szCs w:val="17"/>
                <w:lang w:eastAsia="en-AU"/>
              </w:rPr>
              <w:t>Our local team members mapped stakeholders and undertook consultations in a culturally appropriate manner to enable participation and ultimately the inclusion of their perspectives and experience in findings.</w:t>
            </w:r>
          </w:p>
        </w:tc>
      </w:tr>
      <w:tr w:rsidR="00C0738E" w:rsidRPr="0024772A" w14:paraId="299E4834" w14:textId="77777777" w:rsidTr="0024772A">
        <w:tc>
          <w:tcPr>
            <w:tcW w:w="821" w:type="pct"/>
            <w:tcBorders>
              <w:top w:val="dotted" w:sz="4" w:space="0" w:color="A6A6A6" w:themeColor="background1" w:themeShade="A6"/>
              <w:bottom w:val="dotted" w:sz="4" w:space="0" w:color="A6A6A6" w:themeColor="background1" w:themeShade="A6"/>
            </w:tcBorders>
            <w:shd w:val="clear" w:color="auto" w:fill="F2F2F2" w:themeFill="background1" w:themeFillShade="F2"/>
          </w:tcPr>
          <w:p w14:paraId="77E84B78" w14:textId="77777777" w:rsidR="00C0738E" w:rsidRPr="0024772A" w:rsidRDefault="00C0738E" w:rsidP="006F252C">
            <w:pPr>
              <w:spacing w:before="80" w:after="80"/>
              <w:rPr>
                <w:rFonts w:ascii="Franklin Gothic Demi" w:hAnsi="Franklin Gothic Demi" w:cs="Arial"/>
                <w:bCs/>
                <w:sz w:val="17"/>
                <w:szCs w:val="17"/>
                <w:lang w:eastAsia="en-AU"/>
              </w:rPr>
            </w:pPr>
            <w:r w:rsidRPr="0024772A">
              <w:rPr>
                <w:rFonts w:ascii="Franklin Gothic Demi" w:hAnsi="Franklin Gothic Demi" w:cs="Arial"/>
                <w:bCs/>
                <w:sz w:val="17"/>
                <w:szCs w:val="17"/>
                <w:lang w:eastAsia="en-AU"/>
              </w:rPr>
              <w:t>Focus group discussions</w:t>
            </w:r>
          </w:p>
        </w:tc>
        <w:tc>
          <w:tcPr>
            <w:tcW w:w="4179" w:type="pct"/>
            <w:tcBorders>
              <w:top w:val="dotted" w:sz="4" w:space="0" w:color="A6A6A6" w:themeColor="background1" w:themeShade="A6"/>
              <w:bottom w:val="dotted" w:sz="4" w:space="0" w:color="A6A6A6" w:themeColor="background1" w:themeShade="A6"/>
            </w:tcBorders>
            <w:shd w:val="clear" w:color="auto" w:fill="FFFFFF" w:themeFill="background1"/>
          </w:tcPr>
          <w:p w14:paraId="25A442AA" w14:textId="3E5BE8AB" w:rsidR="00C0738E" w:rsidRPr="0024772A" w:rsidRDefault="00C0738E" w:rsidP="006F252C">
            <w:pPr>
              <w:spacing w:before="80" w:after="80"/>
              <w:rPr>
                <w:rFonts w:ascii="Franklin Gothic Book" w:hAnsi="Franklin Gothic Book" w:cs="Arial"/>
                <w:sz w:val="17"/>
                <w:szCs w:val="17"/>
                <w:lang w:eastAsia="en-AU"/>
              </w:rPr>
            </w:pPr>
            <w:r w:rsidRPr="0024772A">
              <w:rPr>
                <w:rFonts w:ascii="Franklin Gothic Book" w:hAnsi="Franklin Gothic Book" w:cs="Arial"/>
                <w:sz w:val="17"/>
                <w:szCs w:val="17"/>
                <w:lang w:eastAsia="en-AU"/>
              </w:rPr>
              <w:t xml:space="preserve">In some cases, it </w:t>
            </w:r>
            <w:r w:rsidR="0099397F" w:rsidRPr="0024772A">
              <w:rPr>
                <w:rFonts w:ascii="Franklin Gothic Book" w:hAnsi="Franklin Gothic Book" w:cs="Arial"/>
                <w:sz w:val="17"/>
                <w:szCs w:val="17"/>
                <w:lang w:eastAsia="en-AU"/>
              </w:rPr>
              <w:t>was</w:t>
            </w:r>
            <w:r w:rsidRPr="0024772A">
              <w:rPr>
                <w:rFonts w:ascii="Franklin Gothic Book" w:hAnsi="Franklin Gothic Book" w:cs="Arial"/>
                <w:sz w:val="17"/>
                <w:szCs w:val="17"/>
                <w:lang w:eastAsia="en-AU"/>
              </w:rPr>
              <w:t xml:space="preserve"> appropriate to group people together to enable more people to contribute, and for the group to interact with each other. </w:t>
            </w:r>
            <w:r w:rsidR="00032629" w:rsidRPr="0024772A">
              <w:rPr>
                <w:rFonts w:ascii="Franklin Gothic Book" w:hAnsi="Franklin Gothic Book" w:cs="Arial"/>
                <w:sz w:val="17"/>
                <w:szCs w:val="17"/>
                <w:lang w:eastAsia="en-AU"/>
              </w:rPr>
              <w:t>Our local team members undertook consultations in a culturally appropriate manner to enable participation and ultimately the inclusion of their perspectives and experience in findings.</w:t>
            </w:r>
          </w:p>
        </w:tc>
      </w:tr>
    </w:tbl>
    <w:p w14:paraId="7D588FC4" w14:textId="77777777" w:rsidR="009567F2" w:rsidRPr="002523E8" w:rsidRDefault="009567F2" w:rsidP="0024772A">
      <w:pPr>
        <w:pStyle w:val="AnnexSubheading"/>
        <w:spacing w:before="240"/>
      </w:pPr>
      <w:r w:rsidRPr="0076011C">
        <w:rPr>
          <w:color w:val="4C7B9E" w:themeColor="accent2"/>
        </w:rPr>
        <w:t xml:space="preserve">Limitations and challenges </w:t>
      </w:r>
    </w:p>
    <w:p w14:paraId="4990407F" w14:textId="77777777" w:rsidR="009567F2" w:rsidRPr="002523E8" w:rsidRDefault="009567F2" w:rsidP="0024772A">
      <w:pPr>
        <w:pStyle w:val="BodyText"/>
        <w:spacing w:before="0" w:after="0"/>
      </w:pPr>
      <w:r w:rsidRPr="002523E8">
        <w:t>Below are some of the key challenges and limitations faced during the Review.</w:t>
      </w:r>
    </w:p>
    <w:tbl>
      <w:tblPr>
        <w:tblStyle w:val="CoffeyGrey11"/>
        <w:tblW w:w="4927" w:type="pct"/>
        <w:tblLook w:val="01E0" w:firstRow="1" w:lastRow="1" w:firstColumn="1" w:lastColumn="1" w:noHBand="0" w:noVBand="0"/>
      </w:tblPr>
      <w:tblGrid>
        <w:gridCol w:w="1559"/>
        <w:gridCol w:w="7938"/>
      </w:tblGrid>
      <w:tr w:rsidR="009567F2" w:rsidRPr="0024772A" w14:paraId="3DD9372C" w14:textId="77777777" w:rsidTr="003F5707">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821" w:type="pct"/>
          </w:tcPr>
          <w:p w14:paraId="3E07305D" w14:textId="77777777" w:rsidR="009567F2" w:rsidRPr="0024772A" w:rsidRDefault="009567F2" w:rsidP="005F2F5E">
            <w:pPr>
              <w:spacing w:line="240" w:lineRule="atLeast"/>
              <w:rPr>
                <w:rFonts w:ascii="Franklin Gothic Demi" w:hAnsi="Franklin Gothic Demi" w:cs="Arial"/>
                <w:b w:val="0"/>
                <w:szCs w:val="19"/>
                <w:lang w:val="en-NZ" w:eastAsia="en-AU"/>
              </w:rPr>
            </w:pPr>
            <w:bookmarkStart w:id="63" w:name="_Hlk56955970"/>
            <w:r w:rsidRPr="0024772A">
              <w:rPr>
                <w:rFonts w:ascii="Franklin Gothic Demi" w:hAnsi="Franklin Gothic Demi" w:cs="Arial"/>
                <w:b w:val="0"/>
                <w:szCs w:val="19"/>
                <w:lang w:val="en-NZ" w:eastAsia="en-AU"/>
              </w:rPr>
              <w:t>Challenge / Limitation</w:t>
            </w:r>
          </w:p>
        </w:tc>
        <w:tc>
          <w:tcPr>
            <w:tcW w:w="4179" w:type="pct"/>
          </w:tcPr>
          <w:p w14:paraId="34D72CAA" w14:textId="77777777" w:rsidR="009567F2" w:rsidRPr="0024772A" w:rsidRDefault="009567F2" w:rsidP="005F2F5E">
            <w:pPr>
              <w:spacing w:line="240" w:lineRule="atLeast"/>
              <w:cnfStyle w:val="100000000000" w:firstRow="1" w:lastRow="0" w:firstColumn="0" w:lastColumn="0" w:oddVBand="0" w:evenVBand="0" w:oddHBand="0" w:evenHBand="0" w:firstRowFirstColumn="0" w:firstRowLastColumn="0" w:lastRowFirstColumn="0" w:lastRowLastColumn="0"/>
              <w:rPr>
                <w:rFonts w:ascii="Franklin Gothic Demi" w:hAnsi="Franklin Gothic Demi" w:cs="Arial"/>
                <w:b w:val="0"/>
                <w:szCs w:val="19"/>
                <w:lang w:val="en-NZ" w:eastAsia="en-AU"/>
              </w:rPr>
            </w:pPr>
            <w:r w:rsidRPr="0024772A">
              <w:rPr>
                <w:rFonts w:ascii="Franklin Gothic Demi" w:hAnsi="Franklin Gothic Demi" w:cs="Arial"/>
                <w:b w:val="0"/>
                <w:szCs w:val="19"/>
                <w:lang w:val="en-NZ" w:eastAsia="en-AU"/>
              </w:rPr>
              <w:t>Details</w:t>
            </w:r>
          </w:p>
        </w:tc>
      </w:tr>
      <w:tr w:rsidR="009567F2" w:rsidRPr="0024772A" w14:paraId="50C86BD5" w14:textId="77777777" w:rsidTr="003F5707">
        <w:trPr>
          <w:trHeight w:val="223"/>
        </w:trPr>
        <w:tc>
          <w:tcPr>
            <w:cnfStyle w:val="001000000000" w:firstRow="0" w:lastRow="0" w:firstColumn="1" w:lastColumn="0" w:oddVBand="0" w:evenVBand="0" w:oddHBand="0" w:evenHBand="0" w:firstRowFirstColumn="0" w:firstRowLastColumn="0" w:lastRowFirstColumn="0" w:lastRowLastColumn="0"/>
            <w:tcW w:w="821" w:type="pct"/>
          </w:tcPr>
          <w:p w14:paraId="34929751" w14:textId="77777777" w:rsidR="009567F2" w:rsidRPr="0024772A" w:rsidRDefault="009567F2" w:rsidP="0024772A">
            <w:pPr>
              <w:spacing w:before="60" w:after="60" w:line="240" w:lineRule="auto"/>
              <w:rPr>
                <w:rFonts w:ascii="Franklin Gothic Demi" w:hAnsi="Franklin Gothic Demi" w:cs="Arial"/>
                <w:b w:val="0"/>
                <w:sz w:val="17"/>
                <w:szCs w:val="17"/>
                <w:lang w:eastAsia="en-AU"/>
              </w:rPr>
            </w:pPr>
            <w:r w:rsidRPr="0024772A">
              <w:rPr>
                <w:rFonts w:ascii="Franklin Gothic Demi" w:hAnsi="Franklin Gothic Demi" w:cs="Arial"/>
                <w:b w:val="0"/>
                <w:sz w:val="17"/>
                <w:szCs w:val="17"/>
                <w:lang w:eastAsia="en-AU"/>
              </w:rPr>
              <w:t>Remote interview scheduling challenges</w:t>
            </w:r>
          </w:p>
        </w:tc>
        <w:tc>
          <w:tcPr>
            <w:tcW w:w="4179" w:type="pct"/>
          </w:tcPr>
          <w:p w14:paraId="76C3CE25" w14:textId="77777777" w:rsidR="009567F2" w:rsidRPr="0024772A" w:rsidRDefault="009567F2" w:rsidP="0024772A">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7"/>
                <w:szCs w:val="17"/>
                <w:lang w:eastAsia="en-AU"/>
              </w:rPr>
            </w:pPr>
            <w:r w:rsidRPr="0024772A">
              <w:rPr>
                <w:rFonts w:ascii="Franklin Gothic Book" w:hAnsi="Franklin Gothic Book" w:cs="Arial"/>
                <w:sz w:val="17"/>
                <w:szCs w:val="17"/>
                <w:lang w:eastAsia="en-AU"/>
              </w:rPr>
              <w:t>Given that the majority of interviews were conducted remotely, the team anticipated interview scheduling challenges. To mitigate this, the review team in consultation with DFAT developed a list of relevant people to be interviewed and contacted early in the review process. The team provided options for interviews to ensure that they had adequate time to schedule a meeting that will not conflict with their other formal or informal commitments.</w:t>
            </w:r>
          </w:p>
        </w:tc>
      </w:tr>
      <w:tr w:rsidR="009567F2" w:rsidRPr="0024772A" w14:paraId="5C30114A" w14:textId="77777777" w:rsidTr="003F5707">
        <w:trPr>
          <w:trHeight w:val="223"/>
        </w:trPr>
        <w:tc>
          <w:tcPr>
            <w:cnfStyle w:val="001000000000" w:firstRow="0" w:lastRow="0" w:firstColumn="1" w:lastColumn="0" w:oddVBand="0" w:evenVBand="0" w:oddHBand="0" w:evenHBand="0" w:firstRowFirstColumn="0" w:firstRowLastColumn="0" w:lastRowFirstColumn="0" w:lastRowLastColumn="0"/>
            <w:tcW w:w="821" w:type="pct"/>
          </w:tcPr>
          <w:p w14:paraId="33DDB71A" w14:textId="77777777" w:rsidR="009567F2" w:rsidRPr="0024772A" w:rsidRDefault="009567F2" w:rsidP="0024772A">
            <w:pPr>
              <w:spacing w:before="60" w:after="60" w:line="240" w:lineRule="auto"/>
              <w:rPr>
                <w:rFonts w:ascii="Franklin Gothic Demi" w:eastAsia="Times New Roman" w:hAnsi="Franklin Gothic Demi" w:cs="Arial"/>
                <w:b w:val="0"/>
                <w:color w:val="000000"/>
                <w:sz w:val="17"/>
                <w:szCs w:val="17"/>
                <w:lang w:val="en-NZ" w:eastAsia="en-AU"/>
              </w:rPr>
            </w:pPr>
            <w:r w:rsidRPr="0024772A">
              <w:rPr>
                <w:rFonts w:ascii="Franklin Gothic Demi" w:hAnsi="Franklin Gothic Demi" w:cs="Arial"/>
                <w:b w:val="0"/>
                <w:sz w:val="17"/>
                <w:szCs w:val="17"/>
                <w:lang w:eastAsia="en-AU"/>
              </w:rPr>
              <w:t>Unavailability of stakeholders for interviews</w:t>
            </w:r>
          </w:p>
        </w:tc>
        <w:tc>
          <w:tcPr>
            <w:tcW w:w="4179" w:type="pct"/>
          </w:tcPr>
          <w:p w14:paraId="5BC6296D" w14:textId="4DE2A494" w:rsidR="009567F2" w:rsidRPr="0024772A" w:rsidRDefault="009567F2" w:rsidP="0024772A">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7"/>
                <w:szCs w:val="17"/>
                <w:lang w:eastAsia="en-AU"/>
              </w:rPr>
            </w:pPr>
            <w:r w:rsidRPr="0024772A">
              <w:rPr>
                <w:rFonts w:ascii="Franklin Gothic Book" w:hAnsi="Franklin Gothic Book" w:cs="Arial"/>
                <w:sz w:val="17"/>
                <w:szCs w:val="17"/>
                <w:lang w:eastAsia="en-AU"/>
              </w:rPr>
              <w:t xml:space="preserve">There were very few stakeholders who were unavailable for the interviews due to prior commitments or were unavailable in December- the period when most interviews were conducted. The team undertook several approaches to reduce these challenges including providing advance notice of meeting dates and coordinating with relevant DFAT staff in Port Moresby to ensure more scheduling flexibility. </w:t>
            </w:r>
          </w:p>
        </w:tc>
      </w:tr>
      <w:tr w:rsidR="009567F2" w:rsidRPr="0024772A" w14:paraId="40DFF946" w14:textId="77777777" w:rsidTr="003F5707">
        <w:trPr>
          <w:trHeight w:val="223"/>
        </w:trPr>
        <w:tc>
          <w:tcPr>
            <w:cnfStyle w:val="001000000000" w:firstRow="0" w:lastRow="0" w:firstColumn="1" w:lastColumn="0" w:oddVBand="0" w:evenVBand="0" w:oddHBand="0" w:evenHBand="0" w:firstRowFirstColumn="0" w:firstRowLastColumn="0" w:lastRowFirstColumn="0" w:lastRowLastColumn="0"/>
            <w:tcW w:w="821" w:type="pct"/>
          </w:tcPr>
          <w:p w14:paraId="3B1423CB" w14:textId="77777777" w:rsidR="009567F2" w:rsidRPr="0024772A" w:rsidRDefault="009567F2" w:rsidP="0024772A">
            <w:pPr>
              <w:spacing w:before="60" w:after="60" w:line="240" w:lineRule="auto"/>
              <w:rPr>
                <w:rFonts w:ascii="Franklin Gothic Demi" w:eastAsia="Times New Roman" w:hAnsi="Franklin Gothic Demi" w:cs="Arial"/>
                <w:b w:val="0"/>
                <w:color w:val="000000"/>
                <w:sz w:val="17"/>
                <w:szCs w:val="17"/>
                <w:lang w:val="en-NZ" w:eastAsia="en-AU"/>
              </w:rPr>
            </w:pPr>
            <w:r w:rsidRPr="0024772A">
              <w:rPr>
                <w:rFonts w:ascii="Franklin Gothic Demi" w:eastAsia="Times New Roman" w:hAnsi="Franklin Gothic Demi" w:cs="Arial"/>
                <w:b w:val="0"/>
                <w:color w:val="000000"/>
                <w:sz w:val="17"/>
                <w:szCs w:val="17"/>
                <w:lang w:val="en-NZ" w:eastAsia="en-AU"/>
              </w:rPr>
              <w:t xml:space="preserve">Data quality </w:t>
            </w:r>
          </w:p>
        </w:tc>
        <w:tc>
          <w:tcPr>
            <w:tcW w:w="4179" w:type="pct"/>
          </w:tcPr>
          <w:p w14:paraId="0EADE968" w14:textId="77777777" w:rsidR="009567F2" w:rsidRPr="0024772A" w:rsidRDefault="009567F2" w:rsidP="0024772A">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7"/>
                <w:szCs w:val="17"/>
                <w:lang w:eastAsia="en-AU"/>
              </w:rPr>
            </w:pPr>
            <w:r w:rsidRPr="0024772A">
              <w:rPr>
                <w:rFonts w:ascii="Franklin Gothic Book" w:hAnsi="Franklin Gothic Book" w:cs="Arial"/>
                <w:sz w:val="17"/>
                <w:szCs w:val="17"/>
                <w:lang w:eastAsia="en-AU"/>
              </w:rPr>
              <w:t xml:space="preserve">Accessing and verifying the authenticity of data was a challenge. Some data sources did not provide up-to-date data and some data points were missing, limiting the ability to assess trends. In many cases, there was no baseline data which limited the evaluation ability to assess targets achieved. </w:t>
            </w:r>
          </w:p>
        </w:tc>
      </w:tr>
      <w:tr w:rsidR="009567F2" w:rsidRPr="0024772A" w14:paraId="69E880B2" w14:textId="77777777" w:rsidTr="003F5707">
        <w:trPr>
          <w:trHeight w:val="223"/>
        </w:trPr>
        <w:tc>
          <w:tcPr>
            <w:cnfStyle w:val="001000000000" w:firstRow="0" w:lastRow="0" w:firstColumn="1" w:lastColumn="0" w:oddVBand="0" w:evenVBand="0" w:oddHBand="0" w:evenHBand="0" w:firstRowFirstColumn="0" w:firstRowLastColumn="0" w:lastRowFirstColumn="0" w:lastRowLastColumn="0"/>
            <w:tcW w:w="821" w:type="pct"/>
          </w:tcPr>
          <w:p w14:paraId="6B6AB8A3" w14:textId="77777777" w:rsidR="009567F2" w:rsidRPr="0024772A" w:rsidRDefault="009567F2" w:rsidP="0024772A">
            <w:pPr>
              <w:spacing w:before="60" w:after="60" w:line="240" w:lineRule="auto"/>
              <w:rPr>
                <w:rFonts w:ascii="Franklin Gothic Demi" w:eastAsia="Times New Roman" w:hAnsi="Franklin Gothic Demi" w:cs="Arial"/>
                <w:b w:val="0"/>
                <w:color w:val="000000"/>
                <w:sz w:val="17"/>
                <w:szCs w:val="17"/>
                <w:lang w:val="en-NZ" w:eastAsia="en-AU"/>
              </w:rPr>
            </w:pPr>
            <w:r w:rsidRPr="0024772A">
              <w:rPr>
                <w:rFonts w:ascii="Franklin Gothic Demi" w:hAnsi="Franklin Gothic Demi" w:cs="Arial"/>
                <w:b w:val="0"/>
                <w:sz w:val="17"/>
                <w:szCs w:val="17"/>
                <w:lang w:eastAsia="en-AU"/>
              </w:rPr>
              <w:t xml:space="preserve">High staff turnover </w:t>
            </w:r>
          </w:p>
        </w:tc>
        <w:tc>
          <w:tcPr>
            <w:tcW w:w="4179" w:type="pct"/>
          </w:tcPr>
          <w:p w14:paraId="783A269E" w14:textId="77777777" w:rsidR="009567F2" w:rsidRPr="0024772A" w:rsidRDefault="009567F2" w:rsidP="0024772A">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7"/>
                <w:szCs w:val="17"/>
                <w:lang w:eastAsia="en-AU"/>
              </w:rPr>
            </w:pPr>
            <w:r w:rsidRPr="0024772A">
              <w:rPr>
                <w:rFonts w:ascii="Franklin Gothic Book" w:hAnsi="Franklin Gothic Book" w:cs="Arial"/>
                <w:sz w:val="17"/>
                <w:szCs w:val="17"/>
                <w:lang w:eastAsia="en-AU"/>
              </w:rPr>
              <w:t xml:space="preserve">Where Programs have been in implementation for a long time such as TSSP2 (since 2014), there is likely a high turnover of staff. This means that some staff who might have been part of the activities have left by the time of this Review. Through a snowball approach, we asked the current staff of former staff members they believed warrant engaging. We then reach out if the staff had extensive knowledge of the activities implemented and/or were deemed important to the review. </w:t>
            </w:r>
          </w:p>
        </w:tc>
      </w:tr>
      <w:tr w:rsidR="009567F2" w:rsidRPr="0024772A" w14:paraId="6EC1AD49" w14:textId="77777777" w:rsidTr="003F5707">
        <w:trPr>
          <w:trHeight w:val="223"/>
        </w:trPr>
        <w:tc>
          <w:tcPr>
            <w:cnfStyle w:val="001000000000" w:firstRow="0" w:lastRow="0" w:firstColumn="1" w:lastColumn="0" w:oddVBand="0" w:evenVBand="0" w:oddHBand="0" w:evenHBand="0" w:firstRowFirstColumn="0" w:firstRowLastColumn="0" w:lastRowFirstColumn="0" w:lastRowLastColumn="0"/>
            <w:tcW w:w="821" w:type="pct"/>
          </w:tcPr>
          <w:p w14:paraId="179E0BE7" w14:textId="77777777" w:rsidR="009567F2" w:rsidRPr="0024772A" w:rsidRDefault="009567F2" w:rsidP="0024772A">
            <w:pPr>
              <w:spacing w:before="60" w:after="60" w:line="240" w:lineRule="auto"/>
              <w:rPr>
                <w:rFonts w:ascii="Franklin Gothic Demi" w:hAnsi="Franklin Gothic Demi" w:cs="Arial"/>
                <w:b w:val="0"/>
                <w:sz w:val="17"/>
                <w:szCs w:val="17"/>
                <w:lang w:eastAsia="en-AU"/>
              </w:rPr>
            </w:pPr>
            <w:r w:rsidRPr="0024772A">
              <w:rPr>
                <w:rFonts w:ascii="Franklin Gothic Demi" w:hAnsi="Franklin Gothic Demi" w:cs="Arial"/>
                <w:b w:val="0"/>
                <w:sz w:val="17"/>
                <w:szCs w:val="17"/>
                <w:lang w:eastAsia="en-AU"/>
              </w:rPr>
              <w:t xml:space="preserve">Lack of access to financial data </w:t>
            </w:r>
          </w:p>
        </w:tc>
        <w:tc>
          <w:tcPr>
            <w:tcW w:w="4179" w:type="pct"/>
          </w:tcPr>
          <w:p w14:paraId="253B4B3A" w14:textId="77777777" w:rsidR="009567F2" w:rsidRPr="0024772A" w:rsidRDefault="009567F2" w:rsidP="0024772A">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 w:val="17"/>
                <w:szCs w:val="17"/>
                <w:lang w:eastAsia="en-AU"/>
              </w:rPr>
            </w:pPr>
            <w:r w:rsidRPr="0024772A">
              <w:rPr>
                <w:rFonts w:ascii="Franklin Gothic Book" w:hAnsi="Franklin Gothic Book" w:cs="Arial"/>
                <w:sz w:val="17"/>
                <w:szCs w:val="17"/>
                <w:lang w:eastAsia="en-AU"/>
              </w:rPr>
              <w:t>The Review struggled to access the PNG transport sector financial data from GoPNG agencies as well as the other development partners. This limited the ability of the Review to assess trends in transport financing and sectors that partners are investing in. Given that DFAT wanted to understand the transport financing landscape, the Review could not provide this other than noting partners investing in the transport sector (see Chapter 1 on TSSP2 expenditure)</w:t>
            </w:r>
          </w:p>
        </w:tc>
      </w:tr>
      <w:bookmarkEnd w:id="63"/>
    </w:tbl>
    <w:p w14:paraId="0B989F7B" w14:textId="2F8C6E61" w:rsidR="00F84454" w:rsidRPr="0024772A" w:rsidRDefault="00032629" w:rsidP="0024772A">
      <w:pPr>
        <w:pStyle w:val="AnnexSubheading"/>
      </w:pPr>
      <w:r w:rsidRPr="77E09824">
        <w:rPr>
          <w:rFonts w:cstheme="minorBidi"/>
        </w:rPr>
        <w:br w:type="page"/>
      </w:r>
      <w:r w:rsidR="00F84454" w:rsidRPr="0076011C">
        <w:rPr>
          <w:color w:val="4C7B9E" w:themeColor="accent2"/>
        </w:rPr>
        <w:lastRenderedPageBreak/>
        <w:t xml:space="preserve">Stakeholder Consultation List </w:t>
      </w:r>
    </w:p>
    <w:tbl>
      <w:tblPr>
        <w:tblStyle w:val="GridTable5Dark-Accent3"/>
        <w:tblW w:w="5000" w:type="pct"/>
        <w:tblLook w:val="04A0" w:firstRow="1" w:lastRow="0" w:firstColumn="1" w:lastColumn="0" w:noHBand="0" w:noVBand="1"/>
      </w:tblPr>
      <w:tblGrid>
        <w:gridCol w:w="4961"/>
        <w:gridCol w:w="3123"/>
        <w:gridCol w:w="1554"/>
      </w:tblGrid>
      <w:tr w:rsidR="0024772A" w:rsidRPr="0024772A" w14:paraId="3DC8B8A6" w14:textId="77777777" w:rsidTr="0076011C">
        <w:trPr>
          <w:cnfStyle w:val="100000000000" w:firstRow="1" w:lastRow="0" w:firstColumn="0" w:lastColumn="0" w:oddVBand="0" w:evenVBand="0" w:oddHBand="0" w:evenHBand="0" w:firstRowFirstColumn="0" w:firstRowLastColumn="0" w:lastRowFirstColumn="0" w:lastRowLastColumn="0"/>
          <w:trHeight w:val="636"/>
          <w:tblHeader/>
        </w:trPr>
        <w:tc>
          <w:tcPr>
            <w:cnfStyle w:val="001000000000" w:firstRow="0" w:lastRow="0" w:firstColumn="1" w:lastColumn="0" w:oddVBand="0" w:evenVBand="0" w:oddHBand="0" w:evenHBand="0" w:firstRowFirstColumn="0" w:firstRowLastColumn="0" w:lastRowFirstColumn="0" w:lastRowLastColumn="0"/>
            <w:tcW w:w="2574" w:type="pct"/>
            <w:tcBorders>
              <w:top w:val="nil"/>
              <w:left w:val="nil"/>
              <w:bottom w:val="single" w:sz="24" w:space="0" w:color="4C7B9E" w:themeColor="accent2"/>
            </w:tcBorders>
            <w:shd w:val="clear" w:color="auto" w:fill="auto"/>
            <w:vAlign w:val="center"/>
            <w:hideMark/>
          </w:tcPr>
          <w:p w14:paraId="792AEF32" w14:textId="77777777" w:rsidR="00F84454" w:rsidRPr="0024772A" w:rsidRDefault="00F84454" w:rsidP="0024772A">
            <w:pPr>
              <w:pStyle w:val="BodyText"/>
              <w:spacing w:before="60" w:after="60"/>
              <w:rPr>
                <w:rFonts w:ascii="Franklin Gothic Demi" w:hAnsi="Franklin Gothic Demi"/>
                <w:b w:val="0"/>
                <w:bCs w:val="0"/>
                <w:color w:val="003478" w:themeColor="text2"/>
                <w:sz w:val="19"/>
              </w:rPr>
            </w:pPr>
            <w:r w:rsidRPr="0024772A">
              <w:rPr>
                <w:rFonts w:ascii="Franklin Gothic Demi" w:hAnsi="Franklin Gothic Demi"/>
                <w:b w:val="0"/>
                <w:bCs w:val="0"/>
                <w:color w:val="003478" w:themeColor="text2"/>
                <w:sz w:val="19"/>
                <w:bdr w:val="none" w:sz="0" w:space="0" w:color="auto" w:frame="1"/>
              </w:rPr>
              <w:t>Agency</w:t>
            </w:r>
          </w:p>
        </w:tc>
        <w:tc>
          <w:tcPr>
            <w:tcW w:w="1620" w:type="pct"/>
            <w:tcBorders>
              <w:top w:val="nil"/>
              <w:bottom w:val="single" w:sz="24" w:space="0" w:color="4C7B9E" w:themeColor="accent2"/>
            </w:tcBorders>
            <w:shd w:val="clear" w:color="auto" w:fill="auto"/>
            <w:vAlign w:val="center"/>
            <w:hideMark/>
          </w:tcPr>
          <w:p w14:paraId="7F27563C" w14:textId="2E7E32EE" w:rsidR="00F84454" w:rsidRPr="0024772A" w:rsidRDefault="00BB7703" w:rsidP="0024772A">
            <w:pPr>
              <w:pStyle w:val="BodyText"/>
              <w:spacing w:before="60" w:after="6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bCs w:val="0"/>
                <w:color w:val="003478" w:themeColor="text2"/>
                <w:sz w:val="19"/>
              </w:rPr>
            </w:pPr>
            <w:r w:rsidRPr="0024772A">
              <w:rPr>
                <w:rFonts w:ascii="Franklin Gothic Demi" w:hAnsi="Franklin Gothic Demi"/>
                <w:b w:val="0"/>
                <w:bCs w:val="0"/>
                <w:color w:val="003478" w:themeColor="text2"/>
                <w:sz w:val="19"/>
                <w:bdr w:val="none" w:sz="0" w:space="0" w:color="auto" w:frame="1"/>
              </w:rPr>
              <w:t xml:space="preserve">Number of </w:t>
            </w:r>
            <w:r w:rsidR="000E4097">
              <w:rPr>
                <w:rFonts w:ascii="Franklin Gothic Demi" w:hAnsi="Franklin Gothic Demi"/>
                <w:b w:val="0"/>
                <w:bCs w:val="0"/>
                <w:color w:val="003478" w:themeColor="text2"/>
                <w:sz w:val="19"/>
                <w:bdr w:val="none" w:sz="0" w:space="0" w:color="auto" w:frame="1"/>
              </w:rPr>
              <w:t>s</w:t>
            </w:r>
            <w:r w:rsidR="00F84454" w:rsidRPr="0024772A">
              <w:rPr>
                <w:rFonts w:ascii="Franklin Gothic Demi" w:hAnsi="Franklin Gothic Demi"/>
                <w:b w:val="0"/>
                <w:bCs w:val="0"/>
                <w:color w:val="003478" w:themeColor="text2"/>
                <w:sz w:val="19"/>
                <w:bdr w:val="none" w:sz="0" w:space="0" w:color="auto" w:frame="1"/>
              </w:rPr>
              <w:t>takeholder</w:t>
            </w:r>
            <w:r w:rsidRPr="0024772A">
              <w:rPr>
                <w:rFonts w:ascii="Franklin Gothic Demi" w:hAnsi="Franklin Gothic Demi"/>
                <w:b w:val="0"/>
                <w:bCs w:val="0"/>
                <w:color w:val="003478" w:themeColor="text2"/>
                <w:sz w:val="19"/>
                <w:bdr w:val="none" w:sz="0" w:space="0" w:color="auto" w:frame="1"/>
              </w:rPr>
              <w:t>s</w:t>
            </w:r>
            <w:r w:rsidR="00F84454" w:rsidRPr="0024772A">
              <w:rPr>
                <w:rFonts w:ascii="Franklin Gothic Demi" w:hAnsi="Franklin Gothic Demi"/>
                <w:b w:val="0"/>
                <w:bCs w:val="0"/>
                <w:color w:val="003478" w:themeColor="text2"/>
                <w:sz w:val="19"/>
                <w:bdr w:val="none" w:sz="0" w:space="0" w:color="auto" w:frame="1"/>
              </w:rPr>
              <w:t xml:space="preserve"> </w:t>
            </w:r>
            <w:r w:rsidR="000E4097">
              <w:rPr>
                <w:rFonts w:ascii="Franklin Gothic Demi" w:hAnsi="Franklin Gothic Demi"/>
                <w:b w:val="0"/>
                <w:bCs w:val="0"/>
                <w:color w:val="003478" w:themeColor="text2"/>
                <w:sz w:val="19"/>
                <w:bdr w:val="none" w:sz="0" w:space="0" w:color="auto" w:frame="1"/>
              </w:rPr>
              <w:t>i</w:t>
            </w:r>
            <w:r w:rsidR="00F84454" w:rsidRPr="0024772A">
              <w:rPr>
                <w:rFonts w:ascii="Franklin Gothic Demi" w:hAnsi="Franklin Gothic Demi"/>
                <w:b w:val="0"/>
                <w:bCs w:val="0"/>
                <w:color w:val="003478" w:themeColor="text2"/>
                <w:sz w:val="19"/>
                <w:bdr w:val="none" w:sz="0" w:space="0" w:color="auto" w:frame="1"/>
              </w:rPr>
              <w:t>nterviewed</w:t>
            </w:r>
          </w:p>
        </w:tc>
        <w:tc>
          <w:tcPr>
            <w:tcW w:w="806" w:type="pct"/>
            <w:tcBorders>
              <w:top w:val="nil"/>
              <w:bottom w:val="single" w:sz="24" w:space="0" w:color="4C7B9E" w:themeColor="accent2"/>
              <w:right w:val="nil"/>
            </w:tcBorders>
            <w:shd w:val="clear" w:color="auto" w:fill="auto"/>
            <w:vAlign w:val="center"/>
            <w:hideMark/>
          </w:tcPr>
          <w:p w14:paraId="23242C6B" w14:textId="13F093F3" w:rsidR="00F84454" w:rsidRPr="0024772A" w:rsidRDefault="00BB7703" w:rsidP="0024772A">
            <w:pPr>
              <w:pStyle w:val="BodyText"/>
              <w:spacing w:before="60" w:after="6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bCs w:val="0"/>
                <w:color w:val="003478" w:themeColor="text2"/>
                <w:sz w:val="19"/>
              </w:rPr>
            </w:pPr>
            <w:r w:rsidRPr="0024772A">
              <w:rPr>
                <w:rFonts w:ascii="Franklin Gothic Demi" w:hAnsi="Franklin Gothic Demi"/>
                <w:b w:val="0"/>
                <w:bCs w:val="0"/>
                <w:color w:val="003478" w:themeColor="text2"/>
                <w:sz w:val="19"/>
                <w:bdr w:val="none" w:sz="0" w:space="0" w:color="auto" w:frame="1"/>
              </w:rPr>
              <w:t>Type</w:t>
            </w:r>
            <w:r w:rsidR="00FC36F5" w:rsidRPr="0024772A">
              <w:rPr>
                <w:rFonts w:ascii="Franklin Gothic Demi" w:hAnsi="Franklin Gothic Demi"/>
                <w:b w:val="0"/>
                <w:bCs w:val="0"/>
                <w:color w:val="003478" w:themeColor="text2"/>
                <w:sz w:val="19"/>
                <w:bdr w:val="none" w:sz="0" w:space="0" w:color="auto" w:frame="1"/>
              </w:rPr>
              <w:t xml:space="preserve"> of interview</w:t>
            </w:r>
            <w:r w:rsidR="00C01B43" w:rsidRPr="0024772A">
              <w:rPr>
                <w:rFonts w:ascii="Franklin Gothic Demi" w:hAnsi="Franklin Gothic Demi"/>
                <w:b w:val="0"/>
                <w:bCs w:val="0"/>
                <w:color w:val="003478" w:themeColor="text2"/>
                <w:sz w:val="19"/>
                <w:bdr w:val="none" w:sz="0" w:space="0" w:color="auto" w:frame="1"/>
              </w:rPr>
              <w:t>*</w:t>
            </w:r>
          </w:p>
        </w:tc>
      </w:tr>
      <w:tr w:rsidR="0024772A" w:rsidRPr="0024772A" w14:paraId="0907A752" w14:textId="77777777" w:rsidTr="00B5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single" w:sz="24" w:space="0" w:color="4C7B9E" w:themeColor="accent2"/>
              <w:left w:val="nil"/>
              <w:bottom w:val="dotted" w:sz="4" w:space="0" w:color="A6A6A6" w:themeColor="background1" w:themeShade="A6"/>
              <w:right w:val="nil"/>
            </w:tcBorders>
            <w:shd w:val="clear" w:color="auto" w:fill="D9E4ED" w:themeFill="accent2" w:themeFillTint="33"/>
            <w:vAlign w:val="center"/>
          </w:tcPr>
          <w:p w14:paraId="504C6DB8" w14:textId="77777777" w:rsidR="0076011C" w:rsidRPr="0076011C" w:rsidRDefault="0076011C" w:rsidP="0024772A">
            <w:pPr>
              <w:pStyle w:val="BodyText"/>
              <w:spacing w:before="60" w:after="60"/>
              <w:rPr>
                <w:rFonts w:eastAsia="Calibri"/>
                <w:color w:val="395B76" w:themeColor="accent2" w:themeShade="BF"/>
                <w:sz w:val="18"/>
                <w:szCs w:val="18"/>
                <w:lang w:eastAsia="en-GB"/>
              </w:rPr>
            </w:pPr>
            <w:r w:rsidRPr="0076011C">
              <w:rPr>
                <w:rFonts w:eastAsia="Calibri"/>
                <w:color w:val="395B76" w:themeColor="accent2" w:themeShade="BF"/>
                <w:sz w:val="18"/>
                <w:szCs w:val="18"/>
                <w:lang w:eastAsia="en-GB"/>
              </w:rPr>
              <w:t>Australian Government</w:t>
            </w:r>
          </w:p>
        </w:tc>
        <w:tc>
          <w:tcPr>
            <w:tcW w:w="1620" w:type="pct"/>
            <w:tcBorders>
              <w:top w:val="single" w:sz="24" w:space="0" w:color="4C7B9E" w:themeColor="accent2"/>
              <w:left w:val="nil"/>
              <w:bottom w:val="dotted" w:sz="4" w:space="0" w:color="A6A6A6" w:themeColor="background1" w:themeShade="A6"/>
              <w:right w:val="nil"/>
            </w:tcBorders>
            <w:shd w:val="clear" w:color="auto" w:fill="D9E4ED" w:themeFill="accent2" w:themeFillTint="33"/>
            <w:vAlign w:val="center"/>
          </w:tcPr>
          <w:p w14:paraId="1F1A1293" w14:textId="77777777" w:rsidR="0076011C" w:rsidRPr="0024772A" w:rsidRDefault="0076011C"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color w:val="4C7B9E" w:themeColor="background2"/>
                <w:sz w:val="18"/>
                <w:szCs w:val="18"/>
                <w:lang w:eastAsia="en-GB"/>
              </w:rPr>
            </w:pPr>
          </w:p>
        </w:tc>
        <w:tc>
          <w:tcPr>
            <w:tcW w:w="806" w:type="pct"/>
            <w:tcBorders>
              <w:top w:val="single" w:sz="24" w:space="0" w:color="4C7B9E" w:themeColor="accent2"/>
              <w:left w:val="nil"/>
              <w:bottom w:val="dotted" w:sz="4" w:space="0" w:color="A6A6A6" w:themeColor="background1" w:themeShade="A6"/>
              <w:right w:val="nil"/>
            </w:tcBorders>
            <w:shd w:val="clear" w:color="auto" w:fill="D9E4ED" w:themeFill="accent2" w:themeFillTint="33"/>
            <w:vAlign w:val="center"/>
          </w:tcPr>
          <w:p w14:paraId="58607F7C" w14:textId="5D4C39A6" w:rsidR="00F84454" w:rsidRPr="0024772A" w:rsidRDefault="00F84454"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b/>
                <w:color w:val="4C7B9E" w:themeColor="background2"/>
                <w:sz w:val="18"/>
                <w:szCs w:val="18"/>
                <w:lang w:eastAsia="en-GB"/>
              </w:rPr>
            </w:pPr>
          </w:p>
        </w:tc>
      </w:tr>
      <w:tr w:rsidR="00FC36F5" w:rsidRPr="0024772A" w14:paraId="68C559B4"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hideMark/>
          </w:tcPr>
          <w:p w14:paraId="05AA9E27"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Department of Infrastructure, Transport, Regional Development and Communications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hideMark/>
          </w:tcPr>
          <w:p w14:paraId="7D81FBD5" w14:textId="25763685" w:rsidR="00F84454" w:rsidRPr="0024772A" w:rsidRDefault="00FC36F5"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r w:rsidR="00F84454" w:rsidRPr="0024772A">
              <w:rPr>
                <w:rFonts w:eastAsia="Calibri"/>
                <w:sz w:val="18"/>
                <w:szCs w:val="18"/>
                <w:lang w:eastAsia="en-GB"/>
              </w:rPr>
              <w:t xml:space="preserve"> </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7EA70705" w14:textId="2B08F090" w:rsidR="00F84454" w:rsidRPr="0024772A" w:rsidRDefault="00FC36F5"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4772A">
              <w:rPr>
                <w:sz w:val="18"/>
                <w:szCs w:val="18"/>
              </w:rPr>
              <w:t>FGD</w:t>
            </w:r>
          </w:p>
        </w:tc>
      </w:tr>
      <w:tr w:rsidR="001867B4" w:rsidRPr="0024772A" w14:paraId="70DEDE5B"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7DA8F1C7" w14:textId="035295E1" w:rsidR="00F84454" w:rsidRPr="0024772A" w:rsidRDefault="00FC36F5"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Australian Maritime Safety Authority</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555063C4" w14:textId="43D4B967" w:rsidR="00F84454" w:rsidRPr="0024772A" w:rsidRDefault="00FC36F5"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08103571" w14:textId="36893895" w:rsidR="00F84454" w:rsidRPr="0024772A" w:rsidRDefault="00FC36F5"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24772A">
              <w:rPr>
                <w:sz w:val="18"/>
                <w:szCs w:val="18"/>
              </w:rPr>
              <w:t>FGD</w:t>
            </w:r>
          </w:p>
        </w:tc>
      </w:tr>
      <w:tr w:rsidR="00FC36F5" w:rsidRPr="0024772A" w14:paraId="7523BE57"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hideMark/>
          </w:tcPr>
          <w:p w14:paraId="31052CA4"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 xml:space="preserve">Civil Aviation Safety Authority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2E8E527E" w14:textId="0F015E70" w:rsidR="00F84454" w:rsidRPr="0024772A" w:rsidRDefault="00FC36F5"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24FF671E" w14:textId="51FF2A01" w:rsidR="00F84454" w:rsidRPr="0024772A" w:rsidRDefault="00FC36F5"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4772A">
              <w:rPr>
                <w:sz w:val="18"/>
                <w:szCs w:val="18"/>
              </w:rPr>
              <w:t>FGD</w:t>
            </w:r>
          </w:p>
        </w:tc>
      </w:tr>
      <w:tr w:rsidR="00FC36F5" w:rsidRPr="0024772A" w14:paraId="21754F6E"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32CC0FE2"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Airservices Australia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598A1369" w14:textId="23AF2B48" w:rsidR="00F84454" w:rsidRPr="0024772A" w:rsidRDefault="00FC36F5"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3</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211799D5" w14:textId="5714D77E" w:rsidR="00F84454" w:rsidRPr="0024772A" w:rsidRDefault="00FC36F5"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24772A">
              <w:rPr>
                <w:sz w:val="18"/>
                <w:szCs w:val="18"/>
              </w:rPr>
              <w:t>FGD</w:t>
            </w:r>
          </w:p>
        </w:tc>
      </w:tr>
      <w:tr w:rsidR="00FC36F5" w:rsidRPr="0024772A" w14:paraId="65020ACC"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08C19D90"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 xml:space="preserve">Australian Transport Safety Bureau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06C66313" w14:textId="792E70EF" w:rsidR="00F84454" w:rsidRPr="0024772A" w:rsidRDefault="00FC36F5"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03D38781" w14:textId="6F58F30B" w:rsidR="00F84454" w:rsidRPr="0024772A" w:rsidRDefault="00FC36F5"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4772A">
              <w:rPr>
                <w:sz w:val="18"/>
                <w:szCs w:val="18"/>
              </w:rPr>
              <w:t>FGD</w:t>
            </w:r>
          </w:p>
        </w:tc>
      </w:tr>
      <w:tr w:rsidR="001867B4" w:rsidRPr="0024772A" w14:paraId="20D75164"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6513F549"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Bureau of Meteorology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49B5EA01" w14:textId="51F1F27D" w:rsidR="00F84454" w:rsidRPr="0024772A" w:rsidRDefault="00FC36F5"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4</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62DF0533" w14:textId="4B3CAEC9" w:rsidR="00F84454" w:rsidRPr="0024772A" w:rsidRDefault="00FC36F5"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24772A">
              <w:rPr>
                <w:sz w:val="18"/>
                <w:szCs w:val="18"/>
              </w:rPr>
              <w:t>FGD</w:t>
            </w:r>
          </w:p>
        </w:tc>
      </w:tr>
      <w:tr w:rsidR="00650A47" w:rsidRPr="0024772A" w14:paraId="4E553D31"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4EB836B0"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DFAT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0C16CE57" w14:textId="18796C42" w:rsidR="00F84454" w:rsidRPr="0024772A" w:rsidRDefault="00680502"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10</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61F6A643" w14:textId="0C7FBAC9" w:rsidR="00F84454" w:rsidRPr="0024772A" w:rsidRDefault="00680502"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4772A">
              <w:rPr>
                <w:sz w:val="18"/>
                <w:szCs w:val="18"/>
              </w:rPr>
              <w:t>FGD</w:t>
            </w:r>
          </w:p>
        </w:tc>
      </w:tr>
      <w:tr w:rsidR="009C4DAE" w:rsidRPr="0024772A" w14:paraId="562E737E"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37196D5F"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 xml:space="preserve">GHD/TSSP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6585B6EB" w14:textId="0C9043A6" w:rsidR="00F84454" w:rsidRPr="0024772A" w:rsidRDefault="00D3477B"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10</w:t>
            </w:r>
            <w:r w:rsidR="00F84454" w:rsidRPr="0024772A">
              <w:rPr>
                <w:rFonts w:eastAsia="Calibri"/>
                <w:sz w:val="18"/>
                <w:szCs w:val="18"/>
                <w:lang w:eastAsia="en-GB"/>
              </w:rPr>
              <w:t xml:space="preserve"> </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55C7344E" w14:textId="142A7C47" w:rsidR="00F84454" w:rsidRPr="0024772A" w:rsidRDefault="00D3477B"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 and KII</w:t>
            </w:r>
          </w:p>
        </w:tc>
      </w:tr>
      <w:tr w:rsidR="00C75D11" w:rsidRPr="0024772A" w14:paraId="154C17B6"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4F119CD6"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 xml:space="preserve">Australian High Commission Port Moresby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71BAA571" w14:textId="7BAE0AD8" w:rsidR="00F84454" w:rsidRPr="0024772A" w:rsidRDefault="00C75D11"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10</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2069C8E1" w14:textId="57BAFC07" w:rsidR="00F84454" w:rsidRPr="0024772A" w:rsidRDefault="00C75D11"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 and KII</w:t>
            </w:r>
          </w:p>
        </w:tc>
      </w:tr>
      <w:tr w:rsidR="0024772A" w:rsidRPr="0024772A" w14:paraId="40C8C434" w14:textId="77777777" w:rsidTr="00B5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right w:val="nil"/>
            </w:tcBorders>
            <w:shd w:val="clear" w:color="auto" w:fill="D9E4ED" w:themeFill="accent2" w:themeFillTint="33"/>
            <w:vAlign w:val="center"/>
          </w:tcPr>
          <w:p w14:paraId="0E39E087" w14:textId="77777777" w:rsidR="0076011C" w:rsidRPr="0076011C" w:rsidRDefault="0076011C" w:rsidP="0024772A">
            <w:pPr>
              <w:pStyle w:val="BodyText"/>
              <w:spacing w:before="60" w:after="60"/>
              <w:rPr>
                <w:rFonts w:eastAsia="Calibri"/>
                <w:color w:val="395B76" w:themeColor="accent2" w:themeShade="BF"/>
                <w:sz w:val="18"/>
                <w:szCs w:val="18"/>
                <w:lang w:eastAsia="en-GB"/>
              </w:rPr>
            </w:pPr>
            <w:r w:rsidRPr="0076011C">
              <w:rPr>
                <w:rFonts w:eastAsia="Calibri"/>
                <w:color w:val="395B76" w:themeColor="accent2" w:themeShade="BF"/>
                <w:sz w:val="18"/>
                <w:szCs w:val="18"/>
                <w:lang w:eastAsia="en-GB"/>
              </w:rPr>
              <w:t>Government of Papua New Guinea</w:t>
            </w:r>
          </w:p>
        </w:tc>
        <w:tc>
          <w:tcPr>
            <w:tcW w:w="1620" w:type="pct"/>
            <w:tcBorders>
              <w:top w:val="dotted" w:sz="4" w:space="0" w:color="A6A6A6" w:themeColor="background1" w:themeShade="A6"/>
              <w:left w:val="nil"/>
              <w:bottom w:val="dotted" w:sz="4" w:space="0" w:color="A6A6A6" w:themeColor="background1" w:themeShade="A6"/>
              <w:right w:val="nil"/>
            </w:tcBorders>
            <w:shd w:val="clear" w:color="auto" w:fill="D9E4ED" w:themeFill="accent2" w:themeFillTint="33"/>
            <w:vAlign w:val="center"/>
          </w:tcPr>
          <w:p w14:paraId="5D675ACE" w14:textId="77777777" w:rsidR="0076011C" w:rsidRPr="0024772A" w:rsidRDefault="0076011C"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b/>
                <w:bCs/>
                <w:color w:val="4C7B9E" w:themeColor="background2"/>
                <w:sz w:val="18"/>
                <w:szCs w:val="18"/>
                <w:lang w:eastAsia="en-GB"/>
              </w:rPr>
            </w:pPr>
          </w:p>
        </w:tc>
        <w:tc>
          <w:tcPr>
            <w:tcW w:w="806" w:type="pct"/>
            <w:tcBorders>
              <w:top w:val="dotted" w:sz="4" w:space="0" w:color="A6A6A6" w:themeColor="background1" w:themeShade="A6"/>
              <w:left w:val="nil"/>
              <w:bottom w:val="dotted" w:sz="4" w:space="0" w:color="A6A6A6" w:themeColor="background1" w:themeShade="A6"/>
              <w:right w:val="nil"/>
            </w:tcBorders>
            <w:shd w:val="clear" w:color="auto" w:fill="D9E4ED" w:themeFill="accent2" w:themeFillTint="33"/>
            <w:vAlign w:val="center"/>
          </w:tcPr>
          <w:p w14:paraId="12361B7A" w14:textId="6F118576" w:rsidR="00F84454" w:rsidRPr="0024772A" w:rsidRDefault="00F84454"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color w:val="4C7B9E" w:themeColor="background2"/>
                <w:sz w:val="18"/>
                <w:szCs w:val="18"/>
                <w:lang w:eastAsia="en-GB"/>
              </w:rPr>
            </w:pPr>
          </w:p>
        </w:tc>
      </w:tr>
      <w:tr w:rsidR="00FC36F5" w:rsidRPr="0024772A" w14:paraId="6612CAA4"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711BD129"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Department of Transport</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5333FCAB" w14:textId="16ED6615" w:rsidR="00F84454" w:rsidRPr="0024772A" w:rsidRDefault="009201ED"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0C70FFD2" w14:textId="0956E8F0" w:rsidR="00F84454" w:rsidRPr="0024772A" w:rsidRDefault="009201ED"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9201ED" w:rsidRPr="0024772A" w14:paraId="5F471335"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7FD02F00" w14:textId="1A57F6F0" w:rsidR="009201ED" w:rsidRPr="0024772A" w:rsidRDefault="0056391C"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Department of Prime Minister &amp; National Executive Council</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70A80EB4" w14:textId="41E134A9" w:rsidR="009201ED" w:rsidRPr="0024772A" w:rsidRDefault="000D5A4B"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5</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7A490B65" w14:textId="24F686BA" w:rsidR="009201ED" w:rsidRPr="0024772A" w:rsidRDefault="000D5A4B"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0D3163" w:rsidRPr="0024772A" w14:paraId="77E7F506"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4869C489"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PNG Accident Investigation Commission</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1CA5910A" w14:textId="6CD4D1BC" w:rsidR="00F84454" w:rsidRPr="0024772A" w:rsidRDefault="000D3163"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16B9FB3C" w14:textId="2007B08A" w:rsidR="00F84454" w:rsidRPr="0024772A" w:rsidRDefault="000D3163"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292776" w:rsidRPr="0024772A" w14:paraId="4609469A"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3740B319"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Civil Aviation Safety Authority</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4823913C" w14:textId="23D809EF" w:rsidR="00F84454" w:rsidRPr="0024772A" w:rsidRDefault="00292776"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6</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17878BC2" w14:textId="320C617F" w:rsidR="00F84454" w:rsidRPr="0024772A" w:rsidRDefault="00292776"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301E7D" w:rsidRPr="0024772A" w14:paraId="498E2D7C"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4F738E3A"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NiuSky</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1F241C57" w14:textId="07E0F00B" w:rsidR="00F84454" w:rsidRPr="0024772A" w:rsidRDefault="00301E7D"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4</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47600435" w14:textId="01BFB732" w:rsidR="00F84454" w:rsidRPr="0024772A" w:rsidRDefault="00301E7D"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E358F1" w:rsidRPr="0024772A" w14:paraId="0F27CFB9"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405F573C" w14:textId="77777777"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National Maritime Safety Authority</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24A27AF4" w14:textId="0AE37EDC" w:rsidR="00F84454" w:rsidRPr="0024772A" w:rsidRDefault="00E358F1"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4</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0853BA89" w14:textId="48A7CA09" w:rsidR="00F84454" w:rsidRPr="0024772A" w:rsidRDefault="00E358F1"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844002" w:rsidRPr="0024772A" w14:paraId="3DCC7FBE"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350615F7" w14:textId="02B626C0" w:rsidR="00844002" w:rsidRPr="0024772A" w:rsidRDefault="00CA6B98"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Road Traffic Authority</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458562FF" w14:textId="048D3D09" w:rsidR="00844002" w:rsidRPr="0024772A" w:rsidRDefault="00320E7A"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7</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2933A84E" w14:textId="7DD0AD6D" w:rsidR="00844002" w:rsidRPr="0024772A" w:rsidRDefault="001B2BFC"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FC36F5" w:rsidRPr="0024772A" w14:paraId="79AD3BD6"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10AECB92" w14:textId="3281B304" w:rsidR="00F84454" w:rsidRPr="0024772A" w:rsidRDefault="00F84454"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 xml:space="preserve">Department of Works </w:t>
            </w:r>
          </w:p>
        </w:tc>
        <w:tc>
          <w:tcPr>
            <w:tcW w:w="1620" w:type="pct"/>
            <w:tcBorders>
              <w:top w:val="dotted" w:sz="4" w:space="0" w:color="A6A6A6" w:themeColor="background1" w:themeShade="A6"/>
              <w:bottom w:val="dotted" w:sz="4" w:space="0" w:color="A6A6A6" w:themeColor="background1" w:themeShade="A6"/>
            </w:tcBorders>
            <w:shd w:val="clear" w:color="auto" w:fill="auto"/>
            <w:vAlign w:val="center"/>
          </w:tcPr>
          <w:p w14:paraId="1CC45FBB" w14:textId="752128FF" w:rsidR="00F84454" w:rsidRPr="0024772A" w:rsidRDefault="00971BB3"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w:t>
            </w:r>
          </w:p>
        </w:tc>
        <w:tc>
          <w:tcPr>
            <w:tcW w:w="806" w:type="pct"/>
            <w:tcBorders>
              <w:top w:val="dotted" w:sz="4" w:space="0" w:color="A6A6A6" w:themeColor="background1" w:themeShade="A6"/>
              <w:bottom w:val="dotted" w:sz="4" w:space="0" w:color="A6A6A6" w:themeColor="background1" w:themeShade="A6"/>
              <w:right w:val="nil"/>
            </w:tcBorders>
            <w:shd w:val="clear" w:color="auto" w:fill="auto"/>
            <w:vAlign w:val="center"/>
          </w:tcPr>
          <w:p w14:paraId="3499570C" w14:textId="575500BF" w:rsidR="00F84454" w:rsidRPr="0024772A" w:rsidRDefault="00971BB3"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KII</w:t>
            </w:r>
          </w:p>
        </w:tc>
      </w:tr>
      <w:tr w:rsidR="00325731" w:rsidRPr="0024772A" w14:paraId="426319C7"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tcPr>
          <w:p w14:paraId="748E68CA" w14:textId="74B5CC5C" w:rsidR="00325731" w:rsidRPr="0024772A" w:rsidRDefault="00325731"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Department of National Planning &amp; Monitoring</w:t>
            </w:r>
          </w:p>
        </w:tc>
        <w:tc>
          <w:tcPr>
            <w:tcW w:w="1620" w:type="pct"/>
            <w:tcBorders>
              <w:top w:val="dotted" w:sz="4" w:space="0" w:color="A6A6A6" w:themeColor="background1" w:themeShade="A6"/>
              <w:bottom w:val="dotted" w:sz="4" w:space="0" w:color="A6A6A6" w:themeColor="background1" w:themeShade="A6"/>
            </w:tcBorders>
            <w:shd w:val="clear" w:color="auto" w:fill="auto"/>
          </w:tcPr>
          <w:p w14:paraId="1656FBAE" w14:textId="42F1D6E5" w:rsidR="00325731" w:rsidRPr="0024772A" w:rsidRDefault="00650A47"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w:t>
            </w:r>
          </w:p>
        </w:tc>
        <w:tc>
          <w:tcPr>
            <w:tcW w:w="806" w:type="pct"/>
            <w:tcBorders>
              <w:top w:val="dotted" w:sz="4" w:space="0" w:color="A6A6A6" w:themeColor="background1" w:themeShade="A6"/>
              <w:bottom w:val="dotted" w:sz="4" w:space="0" w:color="A6A6A6" w:themeColor="background1" w:themeShade="A6"/>
              <w:right w:val="nil"/>
            </w:tcBorders>
            <w:shd w:val="clear" w:color="auto" w:fill="auto"/>
          </w:tcPr>
          <w:p w14:paraId="22020413" w14:textId="766E989E" w:rsidR="00325731" w:rsidRPr="0024772A" w:rsidRDefault="00650A47"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KII</w:t>
            </w:r>
          </w:p>
        </w:tc>
      </w:tr>
      <w:tr w:rsidR="00325731" w:rsidRPr="0024772A" w14:paraId="786F214B"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tcPr>
          <w:p w14:paraId="43EBD6FB" w14:textId="63E2B92A" w:rsidR="00325731" w:rsidRPr="0024772A" w:rsidRDefault="00325731"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PNG Ports Limited</w:t>
            </w:r>
          </w:p>
        </w:tc>
        <w:tc>
          <w:tcPr>
            <w:tcW w:w="1620" w:type="pct"/>
            <w:tcBorders>
              <w:top w:val="dotted" w:sz="4" w:space="0" w:color="A6A6A6" w:themeColor="background1" w:themeShade="A6"/>
              <w:bottom w:val="dotted" w:sz="4" w:space="0" w:color="A6A6A6" w:themeColor="background1" w:themeShade="A6"/>
            </w:tcBorders>
            <w:shd w:val="clear" w:color="auto" w:fill="auto"/>
          </w:tcPr>
          <w:p w14:paraId="49A32417" w14:textId="3DD6C795" w:rsidR="00325731" w:rsidRPr="0024772A" w:rsidRDefault="00650A47"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w:t>
            </w:r>
          </w:p>
        </w:tc>
        <w:tc>
          <w:tcPr>
            <w:tcW w:w="806" w:type="pct"/>
            <w:tcBorders>
              <w:top w:val="dotted" w:sz="4" w:space="0" w:color="A6A6A6" w:themeColor="background1" w:themeShade="A6"/>
              <w:bottom w:val="dotted" w:sz="4" w:space="0" w:color="A6A6A6" w:themeColor="background1" w:themeShade="A6"/>
              <w:right w:val="nil"/>
            </w:tcBorders>
            <w:shd w:val="clear" w:color="auto" w:fill="auto"/>
          </w:tcPr>
          <w:p w14:paraId="12AC5615" w14:textId="759F2657" w:rsidR="00325731" w:rsidRPr="0024772A" w:rsidRDefault="00650A47"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KII</w:t>
            </w:r>
          </w:p>
        </w:tc>
      </w:tr>
      <w:tr w:rsidR="0024772A" w:rsidRPr="0024772A" w14:paraId="0F06E848" w14:textId="77777777" w:rsidTr="00B57958">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right w:val="nil"/>
            </w:tcBorders>
            <w:shd w:val="clear" w:color="auto" w:fill="D9E4ED" w:themeFill="accent2" w:themeFillTint="33"/>
          </w:tcPr>
          <w:p w14:paraId="5C4FE51D" w14:textId="77777777" w:rsidR="0076011C" w:rsidRPr="0076011C" w:rsidRDefault="0076011C" w:rsidP="0024772A">
            <w:pPr>
              <w:pStyle w:val="BodyText"/>
              <w:spacing w:before="60" w:after="60"/>
              <w:rPr>
                <w:rFonts w:eastAsia="Calibri"/>
                <w:color w:val="395B76" w:themeColor="accent2" w:themeShade="BF"/>
                <w:sz w:val="18"/>
                <w:szCs w:val="18"/>
                <w:lang w:eastAsia="en-GB"/>
              </w:rPr>
            </w:pPr>
            <w:r w:rsidRPr="0076011C">
              <w:rPr>
                <w:rFonts w:eastAsia="Calibri"/>
                <w:color w:val="395B76" w:themeColor="accent2" w:themeShade="BF"/>
                <w:sz w:val="18"/>
                <w:szCs w:val="18"/>
                <w:lang w:eastAsia="en-GB"/>
              </w:rPr>
              <w:t>Other stakeholders</w:t>
            </w:r>
          </w:p>
        </w:tc>
        <w:tc>
          <w:tcPr>
            <w:tcW w:w="1620" w:type="pct"/>
            <w:tcBorders>
              <w:top w:val="dotted" w:sz="4" w:space="0" w:color="A6A6A6" w:themeColor="background1" w:themeShade="A6"/>
              <w:left w:val="nil"/>
              <w:bottom w:val="dotted" w:sz="4" w:space="0" w:color="A6A6A6" w:themeColor="background1" w:themeShade="A6"/>
              <w:right w:val="nil"/>
            </w:tcBorders>
            <w:shd w:val="clear" w:color="auto" w:fill="D9E4ED" w:themeFill="accent2" w:themeFillTint="33"/>
          </w:tcPr>
          <w:p w14:paraId="001578F5" w14:textId="77777777" w:rsidR="0076011C" w:rsidRPr="0024772A" w:rsidRDefault="0076011C"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cs="Arial"/>
                <w:b/>
                <w:bCs/>
                <w:color w:val="4C7B9E" w:themeColor="background2"/>
                <w:sz w:val="18"/>
                <w:szCs w:val="18"/>
                <w:lang w:eastAsia="en-GB"/>
              </w:rPr>
            </w:pPr>
          </w:p>
        </w:tc>
        <w:tc>
          <w:tcPr>
            <w:tcW w:w="806" w:type="pct"/>
            <w:tcBorders>
              <w:top w:val="dotted" w:sz="4" w:space="0" w:color="A6A6A6" w:themeColor="background1" w:themeShade="A6"/>
              <w:left w:val="nil"/>
              <w:bottom w:val="dotted" w:sz="4" w:space="0" w:color="A6A6A6" w:themeColor="background1" w:themeShade="A6"/>
              <w:right w:val="nil"/>
            </w:tcBorders>
            <w:shd w:val="clear" w:color="auto" w:fill="D9E4ED" w:themeFill="accent2" w:themeFillTint="33"/>
          </w:tcPr>
          <w:p w14:paraId="73A15355" w14:textId="7875DA98" w:rsidR="00650A47" w:rsidRPr="0024772A" w:rsidRDefault="00650A47"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cs="Arial"/>
                <w:color w:val="4C7B9E" w:themeColor="background2"/>
                <w:sz w:val="18"/>
                <w:szCs w:val="18"/>
                <w:lang w:eastAsia="en-GB"/>
              </w:rPr>
            </w:pPr>
          </w:p>
        </w:tc>
      </w:tr>
      <w:tr w:rsidR="008549C9" w:rsidRPr="0024772A" w14:paraId="0732422F"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tcPr>
          <w:p w14:paraId="265463C9" w14:textId="2DFDE050" w:rsidR="008549C9" w:rsidRPr="0024772A" w:rsidRDefault="008549C9"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Department of Transport</w:t>
            </w:r>
          </w:p>
        </w:tc>
        <w:tc>
          <w:tcPr>
            <w:tcW w:w="1620" w:type="pct"/>
            <w:tcBorders>
              <w:top w:val="dotted" w:sz="4" w:space="0" w:color="A6A6A6" w:themeColor="background1" w:themeShade="A6"/>
              <w:bottom w:val="dotted" w:sz="4" w:space="0" w:color="A6A6A6" w:themeColor="background1" w:themeShade="A6"/>
            </w:tcBorders>
            <w:shd w:val="clear" w:color="auto" w:fill="auto"/>
          </w:tcPr>
          <w:p w14:paraId="0E84E273" w14:textId="024DA54B" w:rsidR="008549C9" w:rsidRPr="0024772A" w:rsidRDefault="00650A47"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w:t>
            </w:r>
          </w:p>
        </w:tc>
        <w:tc>
          <w:tcPr>
            <w:tcW w:w="806" w:type="pct"/>
            <w:tcBorders>
              <w:top w:val="dotted" w:sz="4" w:space="0" w:color="A6A6A6" w:themeColor="background1" w:themeShade="A6"/>
              <w:bottom w:val="dotted" w:sz="4" w:space="0" w:color="A6A6A6" w:themeColor="background1" w:themeShade="A6"/>
              <w:right w:val="nil"/>
            </w:tcBorders>
            <w:shd w:val="clear" w:color="auto" w:fill="auto"/>
          </w:tcPr>
          <w:p w14:paraId="1AF013BF" w14:textId="3F533016" w:rsidR="008549C9" w:rsidRPr="0024772A" w:rsidRDefault="00650A47"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KII</w:t>
            </w:r>
          </w:p>
        </w:tc>
      </w:tr>
      <w:tr w:rsidR="008549C9" w:rsidRPr="0024772A" w14:paraId="5038F9DF"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777AD914" w14:textId="166667CA" w:rsidR="008549C9" w:rsidRPr="0024772A" w:rsidRDefault="008549C9"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WINGS Education</w:t>
            </w:r>
          </w:p>
        </w:tc>
        <w:tc>
          <w:tcPr>
            <w:tcW w:w="1620" w:type="pct"/>
            <w:tcBorders>
              <w:top w:val="dotted" w:sz="4" w:space="0" w:color="A6A6A6" w:themeColor="background1" w:themeShade="A6"/>
              <w:bottom w:val="dotted" w:sz="4" w:space="0" w:color="A6A6A6" w:themeColor="background1" w:themeShade="A6"/>
            </w:tcBorders>
            <w:shd w:val="clear" w:color="auto" w:fill="auto"/>
          </w:tcPr>
          <w:p w14:paraId="3EE6D538" w14:textId="474629B1" w:rsidR="008549C9" w:rsidRPr="0024772A" w:rsidRDefault="00650A47"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tcPr>
          <w:p w14:paraId="388E900C" w14:textId="19B6DB88" w:rsidR="008549C9" w:rsidRPr="0024772A" w:rsidRDefault="00650A47"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8549C9" w:rsidRPr="0024772A" w14:paraId="5BAFC01C"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52DE152C" w14:textId="4B1B8FD5" w:rsidR="008549C9" w:rsidRPr="0024772A" w:rsidRDefault="008549C9"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Cardno</w:t>
            </w:r>
          </w:p>
        </w:tc>
        <w:tc>
          <w:tcPr>
            <w:tcW w:w="1620" w:type="pct"/>
            <w:tcBorders>
              <w:top w:val="dotted" w:sz="4" w:space="0" w:color="A6A6A6" w:themeColor="background1" w:themeShade="A6"/>
              <w:bottom w:val="dotted" w:sz="4" w:space="0" w:color="A6A6A6" w:themeColor="background1" w:themeShade="A6"/>
            </w:tcBorders>
            <w:shd w:val="clear" w:color="auto" w:fill="auto"/>
          </w:tcPr>
          <w:p w14:paraId="2CDF2B41" w14:textId="2A643DA0" w:rsidR="008549C9" w:rsidRPr="0024772A" w:rsidRDefault="00650A47"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tcPr>
          <w:p w14:paraId="088B1BA2" w14:textId="21339721" w:rsidR="008549C9" w:rsidRPr="0024772A" w:rsidRDefault="00650A47"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FGD</w:t>
            </w:r>
          </w:p>
        </w:tc>
      </w:tr>
      <w:tr w:rsidR="008549C9" w:rsidRPr="0024772A" w14:paraId="27B86094"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vAlign w:val="center"/>
          </w:tcPr>
          <w:p w14:paraId="0BBE3CCC" w14:textId="675DDE50" w:rsidR="008549C9" w:rsidRPr="0024772A" w:rsidRDefault="008549C9"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Business Coalition for Women</w:t>
            </w:r>
          </w:p>
        </w:tc>
        <w:tc>
          <w:tcPr>
            <w:tcW w:w="1620" w:type="pct"/>
            <w:tcBorders>
              <w:top w:val="dotted" w:sz="4" w:space="0" w:color="A6A6A6" w:themeColor="background1" w:themeShade="A6"/>
              <w:bottom w:val="dotted" w:sz="4" w:space="0" w:color="A6A6A6" w:themeColor="background1" w:themeShade="A6"/>
            </w:tcBorders>
            <w:shd w:val="clear" w:color="auto" w:fill="auto"/>
          </w:tcPr>
          <w:p w14:paraId="1C2F2166" w14:textId="63BF5BD6" w:rsidR="008549C9" w:rsidRPr="0024772A" w:rsidRDefault="00650A47"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2</w:t>
            </w:r>
          </w:p>
        </w:tc>
        <w:tc>
          <w:tcPr>
            <w:tcW w:w="806" w:type="pct"/>
            <w:tcBorders>
              <w:top w:val="dotted" w:sz="4" w:space="0" w:color="A6A6A6" w:themeColor="background1" w:themeShade="A6"/>
              <w:bottom w:val="dotted" w:sz="4" w:space="0" w:color="A6A6A6" w:themeColor="background1" w:themeShade="A6"/>
              <w:right w:val="nil"/>
            </w:tcBorders>
            <w:shd w:val="clear" w:color="auto" w:fill="auto"/>
          </w:tcPr>
          <w:p w14:paraId="5720FDE0" w14:textId="58D64F04" w:rsidR="008549C9" w:rsidRPr="0024772A" w:rsidRDefault="00650A47" w:rsidP="0024772A">
            <w:pPr>
              <w:spacing w:before="60" w:after="60"/>
              <w:cnfStyle w:val="000000000000" w:firstRow="0" w:lastRow="0" w:firstColumn="0" w:lastColumn="0" w:oddVBand="0" w:evenVBand="0" w:oddHBand="0" w:evenHBand="0" w:firstRowFirstColumn="0" w:firstRowLastColumn="0" w:lastRowFirstColumn="0" w:lastRowLastColumn="0"/>
              <w:rPr>
                <w:rFonts w:ascii="Franklin Gothic Book" w:eastAsia="Calibri" w:hAnsi="Franklin Gothic Book"/>
                <w:sz w:val="18"/>
                <w:szCs w:val="18"/>
                <w:lang w:eastAsia="en-GB"/>
              </w:rPr>
            </w:pPr>
            <w:r w:rsidRPr="0024772A">
              <w:rPr>
                <w:rFonts w:ascii="Franklin Gothic Book" w:eastAsia="Calibri" w:hAnsi="Franklin Gothic Book"/>
                <w:sz w:val="18"/>
                <w:szCs w:val="18"/>
                <w:lang w:eastAsia="en-GB"/>
              </w:rPr>
              <w:t>FGD</w:t>
            </w:r>
          </w:p>
        </w:tc>
      </w:tr>
      <w:tr w:rsidR="008549C9" w:rsidRPr="0024772A" w14:paraId="6487202F" w14:textId="77777777" w:rsidTr="00760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left w:val="nil"/>
              <w:bottom w:val="dotted" w:sz="4" w:space="0" w:color="A6A6A6" w:themeColor="background1" w:themeShade="A6"/>
            </w:tcBorders>
            <w:shd w:val="clear" w:color="auto" w:fill="F2F2F2" w:themeFill="background1" w:themeFillShade="F2"/>
          </w:tcPr>
          <w:p w14:paraId="22F30DC6" w14:textId="2EEA9074" w:rsidR="008549C9" w:rsidRPr="0024772A" w:rsidRDefault="008549C9"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JBS Consulting</w:t>
            </w:r>
          </w:p>
        </w:tc>
        <w:tc>
          <w:tcPr>
            <w:tcW w:w="1620" w:type="pct"/>
            <w:tcBorders>
              <w:top w:val="dotted" w:sz="4" w:space="0" w:color="A6A6A6" w:themeColor="background1" w:themeShade="A6"/>
              <w:bottom w:val="dotted" w:sz="4" w:space="0" w:color="A6A6A6" w:themeColor="background1" w:themeShade="A6"/>
            </w:tcBorders>
            <w:shd w:val="clear" w:color="auto" w:fill="auto"/>
          </w:tcPr>
          <w:p w14:paraId="6164340D" w14:textId="1DAB6DE7" w:rsidR="008549C9" w:rsidRPr="0024772A" w:rsidRDefault="00650A47" w:rsidP="0024772A">
            <w:pPr>
              <w:pStyle w:val="BodyText"/>
              <w:spacing w:before="60" w:after="6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w:t>
            </w:r>
          </w:p>
        </w:tc>
        <w:tc>
          <w:tcPr>
            <w:tcW w:w="806" w:type="pct"/>
            <w:tcBorders>
              <w:top w:val="dotted" w:sz="4" w:space="0" w:color="A6A6A6" w:themeColor="background1" w:themeShade="A6"/>
              <w:bottom w:val="dotted" w:sz="4" w:space="0" w:color="A6A6A6" w:themeColor="background1" w:themeShade="A6"/>
              <w:right w:val="nil"/>
            </w:tcBorders>
            <w:shd w:val="clear" w:color="auto" w:fill="auto"/>
          </w:tcPr>
          <w:p w14:paraId="5C2DCFBB" w14:textId="2FB7529D" w:rsidR="008549C9" w:rsidRPr="0024772A" w:rsidRDefault="00650A47" w:rsidP="0024772A">
            <w:pPr>
              <w:spacing w:before="60" w:after="60"/>
              <w:cnfStyle w:val="000000100000" w:firstRow="0" w:lastRow="0" w:firstColumn="0" w:lastColumn="0" w:oddVBand="0" w:evenVBand="0" w:oddHBand="1" w:evenHBand="0" w:firstRowFirstColumn="0" w:firstRowLastColumn="0" w:lastRowFirstColumn="0" w:lastRowLastColumn="0"/>
              <w:rPr>
                <w:rFonts w:ascii="Franklin Gothic Book" w:eastAsia="Calibri" w:hAnsi="Franklin Gothic Book"/>
                <w:sz w:val="18"/>
                <w:szCs w:val="18"/>
                <w:lang w:eastAsia="en-GB"/>
              </w:rPr>
            </w:pPr>
            <w:r w:rsidRPr="0024772A">
              <w:rPr>
                <w:rFonts w:ascii="Franklin Gothic Book" w:eastAsia="Calibri" w:hAnsi="Franklin Gothic Book"/>
                <w:sz w:val="18"/>
                <w:szCs w:val="18"/>
                <w:lang w:eastAsia="en-GB"/>
              </w:rPr>
              <w:t>KII</w:t>
            </w:r>
          </w:p>
        </w:tc>
      </w:tr>
      <w:tr w:rsidR="008549C9" w:rsidRPr="0024772A" w14:paraId="6FA99B09" w14:textId="77777777" w:rsidTr="0076011C">
        <w:tc>
          <w:tcPr>
            <w:cnfStyle w:val="001000000000" w:firstRow="0" w:lastRow="0" w:firstColumn="1" w:lastColumn="0" w:oddVBand="0" w:evenVBand="0" w:oddHBand="0" w:evenHBand="0" w:firstRowFirstColumn="0" w:firstRowLastColumn="0" w:lastRowFirstColumn="0" w:lastRowLastColumn="0"/>
            <w:tcW w:w="2574" w:type="pct"/>
            <w:tcBorders>
              <w:top w:val="dotted" w:sz="4" w:space="0" w:color="A6A6A6" w:themeColor="background1" w:themeShade="A6"/>
            </w:tcBorders>
            <w:shd w:val="clear" w:color="auto" w:fill="F2F2F2" w:themeFill="background1" w:themeFillShade="F2"/>
          </w:tcPr>
          <w:p w14:paraId="6017CAD3" w14:textId="58ADAA7E" w:rsidR="008549C9" w:rsidRPr="0024772A" w:rsidRDefault="008549C9" w:rsidP="0024772A">
            <w:pPr>
              <w:pStyle w:val="BodyText"/>
              <w:spacing w:before="60" w:after="60"/>
              <w:rPr>
                <w:rFonts w:ascii="Franklin Gothic Demi" w:eastAsia="Calibri" w:hAnsi="Franklin Gothic Demi"/>
                <w:b w:val="0"/>
                <w:bCs w:val="0"/>
                <w:color w:val="auto"/>
                <w:sz w:val="18"/>
                <w:szCs w:val="18"/>
                <w:lang w:eastAsia="en-GB"/>
              </w:rPr>
            </w:pPr>
            <w:r w:rsidRPr="0024772A">
              <w:rPr>
                <w:rFonts w:ascii="Franklin Gothic Demi" w:eastAsia="Calibri" w:hAnsi="Franklin Gothic Demi"/>
                <w:b w:val="0"/>
                <w:bCs w:val="0"/>
                <w:color w:val="auto"/>
                <w:sz w:val="18"/>
                <w:szCs w:val="18"/>
                <w:lang w:eastAsia="en-GB"/>
              </w:rPr>
              <w:t>Asian Development Bank</w:t>
            </w:r>
          </w:p>
        </w:tc>
        <w:tc>
          <w:tcPr>
            <w:tcW w:w="1620" w:type="pct"/>
            <w:tcBorders>
              <w:top w:val="dotted" w:sz="4" w:space="0" w:color="A6A6A6" w:themeColor="background1" w:themeShade="A6"/>
            </w:tcBorders>
            <w:shd w:val="clear" w:color="auto" w:fill="auto"/>
          </w:tcPr>
          <w:p w14:paraId="0BCCFBEA" w14:textId="5963CD74" w:rsidR="008549C9" w:rsidRPr="0024772A" w:rsidRDefault="00650A47" w:rsidP="0024772A">
            <w:pPr>
              <w:pStyle w:val="BodyText"/>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24772A">
              <w:rPr>
                <w:rFonts w:eastAsia="Calibri"/>
                <w:sz w:val="18"/>
                <w:szCs w:val="18"/>
                <w:lang w:eastAsia="en-GB"/>
              </w:rPr>
              <w:t>1</w:t>
            </w:r>
          </w:p>
        </w:tc>
        <w:tc>
          <w:tcPr>
            <w:tcW w:w="806" w:type="pct"/>
            <w:tcBorders>
              <w:top w:val="dotted" w:sz="4" w:space="0" w:color="A6A6A6" w:themeColor="background1" w:themeShade="A6"/>
            </w:tcBorders>
            <w:shd w:val="clear" w:color="auto" w:fill="auto"/>
          </w:tcPr>
          <w:p w14:paraId="51E8EBC4" w14:textId="4279B4CC" w:rsidR="008549C9" w:rsidRPr="0024772A" w:rsidRDefault="00650A47" w:rsidP="0024772A">
            <w:pPr>
              <w:spacing w:before="60" w:after="60"/>
              <w:cnfStyle w:val="000000000000" w:firstRow="0" w:lastRow="0" w:firstColumn="0" w:lastColumn="0" w:oddVBand="0" w:evenVBand="0" w:oddHBand="0" w:evenHBand="0" w:firstRowFirstColumn="0" w:firstRowLastColumn="0" w:lastRowFirstColumn="0" w:lastRowLastColumn="0"/>
              <w:rPr>
                <w:rFonts w:ascii="Franklin Gothic Book" w:eastAsia="Calibri" w:hAnsi="Franklin Gothic Book"/>
                <w:sz w:val="18"/>
                <w:szCs w:val="18"/>
                <w:lang w:eastAsia="en-GB"/>
              </w:rPr>
            </w:pPr>
            <w:r w:rsidRPr="0024772A">
              <w:rPr>
                <w:rFonts w:ascii="Franklin Gothic Book" w:eastAsia="Calibri" w:hAnsi="Franklin Gothic Book"/>
                <w:sz w:val="18"/>
                <w:szCs w:val="18"/>
                <w:lang w:eastAsia="en-GB"/>
              </w:rPr>
              <w:t>KII</w:t>
            </w:r>
          </w:p>
        </w:tc>
      </w:tr>
    </w:tbl>
    <w:p w14:paraId="05DD8C73" w14:textId="728F38C8" w:rsidR="00F84454" w:rsidRDefault="00F84454" w:rsidP="6859E41F">
      <w:pPr>
        <w:shd w:val="clear" w:color="auto" w:fill="FFFFFF" w:themeFill="background1"/>
        <w:rPr>
          <w:rFonts w:eastAsia="Times New Roman"/>
          <w:color w:val="201F1E"/>
          <w:sz w:val="17"/>
          <w:szCs w:val="17"/>
        </w:rPr>
      </w:pPr>
    </w:p>
    <w:p w14:paraId="2365396B" w14:textId="57A63430" w:rsidR="00C01B43" w:rsidRPr="0024772A" w:rsidRDefault="00C01B43" w:rsidP="6859E41F">
      <w:pPr>
        <w:shd w:val="clear" w:color="auto" w:fill="FFFFFF" w:themeFill="background1"/>
        <w:rPr>
          <w:rFonts w:ascii="Franklin Gothic Book" w:eastAsia="Times New Roman" w:hAnsi="Franklin Gothic Book"/>
          <w:color w:val="201F1E"/>
          <w:sz w:val="17"/>
          <w:szCs w:val="17"/>
        </w:rPr>
      </w:pPr>
      <w:r w:rsidRPr="0024772A">
        <w:rPr>
          <w:rFonts w:ascii="Franklin Gothic Book" w:eastAsia="Times New Roman" w:hAnsi="Franklin Gothic Book"/>
          <w:color w:val="201F1E"/>
          <w:sz w:val="17"/>
          <w:szCs w:val="17"/>
        </w:rPr>
        <w:t>*</w:t>
      </w:r>
      <w:r w:rsidR="009C4DAE" w:rsidRPr="0024772A">
        <w:rPr>
          <w:rFonts w:ascii="Franklin Gothic Book" w:eastAsia="Times New Roman" w:hAnsi="Franklin Gothic Book"/>
          <w:color w:val="201F1E"/>
          <w:sz w:val="17"/>
          <w:szCs w:val="17"/>
        </w:rPr>
        <w:t>Focus Group Discussions (FGDs) or Key Informant Interviews (KII)</w:t>
      </w:r>
    </w:p>
    <w:sectPr w:rsidR="00C01B43" w:rsidRPr="0024772A" w:rsidSect="004B3290">
      <w:headerReference w:type="default" r:id="rId16"/>
      <w:footerReference w:type="default" r:id="rId17"/>
      <w:pgSz w:w="11906" w:h="16838" w:code="9"/>
      <w:pgMar w:top="1276" w:right="1134" w:bottom="1134" w:left="1134"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0F495" w14:textId="77777777" w:rsidR="00155EE1" w:rsidRDefault="00155EE1" w:rsidP="00063D14">
      <w:r>
        <w:separator/>
      </w:r>
    </w:p>
    <w:p w14:paraId="54B3ABE7" w14:textId="77777777" w:rsidR="00155EE1" w:rsidRDefault="00155EE1"/>
    <w:p w14:paraId="0BD6AA77" w14:textId="77777777" w:rsidR="00155EE1" w:rsidRDefault="00155EE1"/>
    <w:p w14:paraId="45566023" w14:textId="77777777" w:rsidR="00155EE1" w:rsidRDefault="00155EE1"/>
  </w:endnote>
  <w:endnote w:type="continuationSeparator" w:id="0">
    <w:p w14:paraId="747222B7" w14:textId="77777777" w:rsidR="00155EE1" w:rsidRDefault="00155EE1" w:rsidP="00063D14">
      <w:r>
        <w:continuationSeparator/>
      </w:r>
    </w:p>
    <w:p w14:paraId="59AAB320" w14:textId="77777777" w:rsidR="00155EE1" w:rsidRDefault="00155EE1"/>
    <w:p w14:paraId="04A6BB27" w14:textId="77777777" w:rsidR="00155EE1" w:rsidRDefault="00155EE1"/>
    <w:p w14:paraId="0B66898F" w14:textId="77777777" w:rsidR="00155EE1" w:rsidRDefault="00155EE1"/>
  </w:endnote>
  <w:endnote w:type="continuationNotice" w:id="1">
    <w:p w14:paraId="64ADF9AA" w14:textId="77777777" w:rsidR="00155EE1" w:rsidRDefault="00155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00"/>
    <w:family w:val="swiss"/>
    <w:notTrueType/>
    <w:pitch w:val="variable"/>
    <w:sig w:usb0="00000203" w:usb1="00000000" w:usb2="00000000" w:usb3="00000000" w:csb0="00000005" w:csb1="00000000"/>
  </w:font>
  <w:font w:name="Minion Pro">
    <w:altName w:val="Cambria"/>
    <w:panose1 w:val="00000000000000000000"/>
    <w:charset w:val="00"/>
    <w:family w:val="roman"/>
    <w:notTrueType/>
    <w:pitch w:val="variable"/>
    <w:sig w:usb0="E00002AF" w:usb1="5000205B" w:usb2="00000000" w:usb3="00000000" w:csb0="0000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C50D1" w14:textId="19387337" w:rsidR="00C72889" w:rsidRPr="001D60B3" w:rsidRDefault="00C72889" w:rsidP="001D60B3">
    <w:pPr>
      <w:pStyle w:val="Footer"/>
      <w:jc w:val="right"/>
      <w:rPr>
        <w:rFonts w:ascii="Helvetica LT Std" w:hAnsi="Helvetica LT Std"/>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Franklin Gothic Book" w:hAnsi="Franklin Gothic Book"/>
        <w:sz w:val="17"/>
        <w:szCs w:val="17"/>
      </w:rPr>
      <w:id w:val="258494174"/>
      <w:docPartObj>
        <w:docPartGallery w:val="Page Numbers (Bottom of Page)"/>
        <w:docPartUnique/>
      </w:docPartObj>
    </w:sdtPr>
    <w:sdtEndPr>
      <w:rPr>
        <w:noProof/>
      </w:rPr>
    </w:sdtEndPr>
    <w:sdtContent>
      <w:p w14:paraId="7633A85C" w14:textId="65BA006B" w:rsidR="00C72889" w:rsidRPr="004C2507" w:rsidRDefault="00C72889" w:rsidP="001D60B3">
        <w:pPr>
          <w:pStyle w:val="Footer"/>
          <w:jc w:val="right"/>
          <w:rPr>
            <w:rFonts w:ascii="Franklin Gothic Book" w:hAnsi="Franklin Gothic Book"/>
            <w:sz w:val="17"/>
            <w:szCs w:val="17"/>
          </w:rPr>
        </w:pPr>
        <w:r>
          <w:rPr>
            <w:rFonts w:ascii="Franklin Gothic Book" w:hAnsi="Franklin Gothic Book"/>
            <w:sz w:val="17"/>
            <w:szCs w:val="17"/>
          </w:rPr>
          <w:t xml:space="preserve">Tetra Tech International Development </w:t>
        </w:r>
        <w:r w:rsidRPr="004C2507">
          <w:rPr>
            <w:rFonts w:ascii="Franklin Gothic Book" w:hAnsi="Franklin Gothic Book"/>
            <w:sz w:val="17"/>
            <w:szCs w:val="17"/>
          </w:rPr>
          <w:t xml:space="preserve">| Page </w:t>
        </w:r>
        <w:r w:rsidRPr="004C2507">
          <w:rPr>
            <w:rFonts w:ascii="Franklin Gothic Book" w:hAnsi="Franklin Gothic Book"/>
            <w:sz w:val="17"/>
            <w:szCs w:val="17"/>
          </w:rPr>
          <w:fldChar w:fldCharType="begin"/>
        </w:r>
        <w:r w:rsidRPr="004C2507">
          <w:rPr>
            <w:rFonts w:ascii="Franklin Gothic Book" w:hAnsi="Franklin Gothic Book"/>
            <w:sz w:val="17"/>
            <w:szCs w:val="17"/>
          </w:rPr>
          <w:instrText xml:space="preserve"> PAGE   \* MERGEFORMAT </w:instrText>
        </w:r>
        <w:r w:rsidRPr="004C2507">
          <w:rPr>
            <w:rFonts w:ascii="Franklin Gothic Book" w:hAnsi="Franklin Gothic Book"/>
            <w:sz w:val="17"/>
            <w:szCs w:val="17"/>
          </w:rPr>
          <w:fldChar w:fldCharType="separate"/>
        </w:r>
        <w:r w:rsidRPr="004C2507">
          <w:rPr>
            <w:rFonts w:ascii="Franklin Gothic Book" w:hAnsi="Franklin Gothic Book"/>
            <w:noProof/>
            <w:sz w:val="17"/>
            <w:szCs w:val="17"/>
          </w:rPr>
          <w:t>ii</w:t>
        </w:r>
        <w:r w:rsidRPr="004C2507">
          <w:rPr>
            <w:rFonts w:ascii="Franklin Gothic Book" w:hAnsi="Franklin Gothic Book"/>
            <w:noProof/>
            <w:sz w:val="17"/>
            <w:szCs w:val="17"/>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A7D54" w14:textId="77777777" w:rsidR="00155EE1" w:rsidRDefault="00155EE1" w:rsidP="00063D14">
      <w:r>
        <w:separator/>
      </w:r>
    </w:p>
  </w:footnote>
  <w:footnote w:type="continuationSeparator" w:id="0">
    <w:p w14:paraId="487A8090" w14:textId="77777777" w:rsidR="00155EE1" w:rsidRDefault="00155EE1" w:rsidP="00063D14">
      <w:r>
        <w:continuationSeparator/>
      </w:r>
    </w:p>
    <w:p w14:paraId="1EA302AF" w14:textId="77777777" w:rsidR="00155EE1" w:rsidRDefault="00155EE1"/>
    <w:p w14:paraId="6EAABC67" w14:textId="77777777" w:rsidR="00155EE1" w:rsidRDefault="00155EE1"/>
    <w:p w14:paraId="270AAA8A" w14:textId="77777777" w:rsidR="00155EE1" w:rsidRDefault="00155EE1"/>
  </w:footnote>
  <w:footnote w:type="continuationNotice" w:id="1">
    <w:p w14:paraId="49B3D083" w14:textId="77777777" w:rsidR="00155EE1" w:rsidRDefault="00155EE1"/>
  </w:footnote>
  <w:footnote w:id="2">
    <w:p w14:paraId="352D7E48" w14:textId="25DAC191" w:rsidR="00C72889" w:rsidRPr="009725FE" w:rsidRDefault="00C72889" w:rsidP="004C2507">
      <w:pPr>
        <w:pStyle w:val="FootnoteText"/>
        <w:spacing w:before="40" w:after="40" w:line="252" w:lineRule="auto"/>
        <w:rPr>
          <w:sz w:val="16"/>
          <w:szCs w:val="16"/>
        </w:rPr>
      </w:pPr>
      <w:r w:rsidRPr="009725FE">
        <w:rPr>
          <w:rStyle w:val="FootnoteReference"/>
          <w:sz w:val="16"/>
          <w:szCs w:val="16"/>
        </w:rPr>
        <w:footnoteRef/>
      </w:r>
      <w:r w:rsidRPr="009725FE">
        <w:rPr>
          <w:sz w:val="16"/>
          <w:szCs w:val="16"/>
        </w:rPr>
        <w:t xml:space="preserve"> Slattery et al (2018)</w:t>
      </w:r>
      <w:r w:rsidRPr="009725FE">
        <w:rPr>
          <w:i/>
          <w:sz w:val="16"/>
          <w:szCs w:val="16"/>
        </w:rPr>
        <w:t xml:space="preserve"> Road Management in Papua New Guinea: An evaluation of a decade of Australian support 2007–2017</w:t>
      </w:r>
      <w:r w:rsidRPr="009725FE">
        <w:rPr>
          <w:sz w:val="16"/>
          <w:szCs w:val="16"/>
        </w:rPr>
        <w:t>, Australian Government Department of Foreign Affairs and Trade, Canberra.</w:t>
      </w:r>
    </w:p>
  </w:footnote>
  <w:footnote w:id="3">
    <w:p w14:paraId="2CA7397C" w14:textId="77777777" w:rsidR="00C72889" w:rsidRPr="009725FE" w:rsidRDefault="00C72889" w:rsidP="004C2507">
      <w:pPr>
        <w:pStyle w:val="FootnoteText"/>
        <w:spacing w:before="40" w:after="40" w:line="252" w:lineRule="auto"/>
        <w:rPr>
          <w:sz w:val="16"/>
          <w:szCs w:val="16"/>
        </w:rPr>
      </w:pPr>
      <w:r w:rsidRPr="009725FE">
        <w:rPr>
          <w:rStyle w:val="FootnoteReference"/>
          <w:sz w:val="16"/>
          <w:szCs w:val="16"/>
        </w:rPr>
        <w:footnoteRef/>
      </w:r>
      <w:r w:rsidRPr="009725FE">
        <w:rPr>
          <w:sz w:val="16"/>
          <w:szCs w:val="16"/>
        </w:rPr>
        <w:t xml:space="preserve"> Throughout this Review Report, the term “road maintenance” refers predominately to the repair of the road surface and associated infrastructure. There are two main types of road maintenance, routine and periodic. Routine maintenance, which is commonly scheduled and undertaken in an annual cycle, involves gravel regrading and reshaping, pothole repairs, edge patching, vegetation control, drainage clearing, line marking, road furniture repair, bridge repainting and other minor repairs. Periodic maintenance, which includes major works such as re-gravelling, resealing, major drainage, pavement and bridge repairs and carried out on a condition-responsive basis. Periodic maintenance expenditures vary more with levels of traffic than do routine maintenance, which depends on the type of construction and weather conditions. In PNG, periodic maintenance is often undertaken as “emergency works”, in response to damage as a result of either inclement weather events or a failure to undertake adequate routine or periodic maintenance. </w:t>
      </w:r>
    </w:p>
  </w:footnote>
  <w:footnote w:id="4">
    <w:p w14:paraId="6D8F326A" w14:textId="77777777" w:rsidR="00C72889" w:rsidRPr="009725FE" w:rsidRDefault="00C72889" w:rsidP="004C2507">
      <w:pPr>
        <w:pStyle w:val="FootnoteText"/>
        <w:spacing w:before="40" w:after="40" w:line="252" w:lineRule="auto"/>
        <w:rPr>
          <w:sz w:val="16"/>
          <w:szCs w:val="16"/>
          <w:lang w:val="en-US"/>
        </w:rPr>
      </w:pPr>
      <w:r w:rsidRPr="009725FE">
        <w:rPr>
          <w:rStyle w:val="FootnoteReference"/>
          <w:sz w:val="16"/>
          <w:szCs w:val="16"/>
        </w:rPr>
        <w:footnoteRef/>
      </w:r>
      <w:r w:rsidRPr="009725FE">
        <w:rPr>
          <w:sz w:val="16"/>
          <w:szCs w:val="16"/>
        </w:rPr>
        <w:t xml:space="preserve"> Government of Papua New Guinea (2016) </w:t>
      </w:r>
      <w:r w:rsidRPr="009725FE">
        <w:rPr>
          <w:i/>
          <w:sz w:val="16"/>
          <w:szCs w:val="16"/>
        </w:rPr>
        <w:t>National Strategy to Prevent and Respond to Gender Based Violence 2016-2025</w:t>
      </w:r>
      <w:r w:rsidRPr="009725FE">
        <w:rPr>
          <w:sz w:val="16"/>
          <w:szCs w:val="16"/>
        </w:rPr>
        <w:t>, p79</w:t>
      </w:r>
    </w:p>
  </w:footnote>
  <w:footnote w:id="5">
    <w:p w14:paraId="5EA79FC0" w14:textId="77777777" w:rsidR="00C72889" w:rsidRPr="009725FE" w:rsidRDefault="00C72889" w:rsidP="004C2507">
      <w:pPr>
        <w:pStyle w:val="FootnoteText"/>
        <w:spacing w:before="40" w:after="40" w:line="252" w:lineRule="auto"/>
        <w:rPr>
          <w:sz w:val="16"/>
          <w:szCs w:val="16"/>
          <w:lang w:val="en-US"/>
        </w:rPr>
      </w:pPr>
      <w:r w:rsidRPr="009725FE">
        <w:rPr>
          <w:rStyle w:val="FootnoteReference"/>
          <w:sz w:val="16"/>
          <w:szCs w:val="16"/>
        </w:rPr>
        <w:footnoteRef/>
      </w:r>
      <w:r w:rsidRPr="009725FE">
        <w:rPr>
          <w:sz w:val="16"/>
          <w:szCs w:val="16"/>
        </w:rPr>
        <w:t xml:space="preserve"> </w:t>
      </w:r>
      <w:r w:rsidRPr="009725FE">
        <w:rPr>
          <w:sz w:val="16"/>
          <w:szCs w:val="16"/>
          <w:lang w:val="en-US"/>
        </w:rPr>
        <w:t>DFAT (2020) ‘</w:t>
      </w:r>
      <w:r w:rsidRPr="009725FE">
        <w:rPr>
          <w:sz w:val="16"/>
          <w:szCs w:val="16"/>
        </w:rPr>
        <w:t>Gender Equality In Monitoring And Evaluation And Reporting: Good Practice Note’ (Accessed 1 February 2022)</w:t>
      </w:r>
    </w:p>
  </w:footnote>
  <w:footnote w:id="6">
    <w:p w14:paraId="1C13CD8C" w14:textId="650303FB" w:rsidR="00C72889" w:rsidRPr="0048162E" w:rsidRDefault="00C72889">
      <w:pPr>
        <w:pStyle w:val="FootnoteText"/>
        <w:rPr>
          <w:sz w:val="16"/>
          <w:szCs w:val="16"/>
          <w:lang w:val="en-US"/>
        </w:rPr>
      </w:pPr>
      <w:r w:rsidRPr="009725FE">
        <w:rPr>
          <w:rStyle w:val="FootnoteReference"/>
          <w:sz w:val="16"/>
          <w:szCs w:val="16"/>
        </w:rPr>
        <w:footnoteRef/>
      </w:r>
      <w:r w:rsidRPr="009725FE">
        <w:rPr>
          <w:sz w:val="16"/>
          <w:szCs w:val="16"/>
        </w:rPr>
        <w:t xml:space="preserve"> https://www.theprif.org/what-we-do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240B7" w14:textId="2C294C5F" w:rsidR="00C72889" w:rsidRDefault="00C72889" w:rsidP="00845355">
    <w:pPr>
      <w:pStyle w:val="Header"/>
      <w:jc w:val="left"/>
      <w:rPr>
        <w:rFonts w:ascii="Franklin Gothic Book" w:hAnsi="Franklin Gothic Book"/>
        <w:color w:val="7F7F7F" w:themeColor="accent6"/>
        <w:sz w:val="17"/>
        <w:szCs w:val="17"/>
      </w:rPr>
    </w:pPr>
    <w:r w:rsidRPr="00464922">
      <w:rPr>
        <w:rFonts w:ascii="Franklin Gothic Demi" w:hAnsi="Franklin Gothic Demi"/>
        <w:color w:val="8B7341" w:themeColor="accent5"/>
        <w:sz w:val="17"/>
        <w:szCs w:val="17"/>
      </w:rPr>
      <w:t>Re</w:t>
    </w:r>
    <w:r w:rsidRPr="0005695D">
      <w:rPr>
        <w:rFonts w:ascii="Franklin Gothic Demi" w:hAnsi="Franklin Gothic Demi"/>
        <w:color w:val="8B7341" w:themeColor="accent5"/>
        <w:sz w:val="17"/>
        <w:szCs w:val="17"/>
      </w:rPr>
      <w:t>view of the PNG-Australia Transport Sector Support Program Phase 2 (TSSP2)</w:t>
    </w:r>
    <w:r>
      <w:rPr>
        <w:rFonts w:ascii="Franklin Gothic Demi" w:hAnsi="Franklin Gothic Demi"/>
        <w:color w:val="8B7341" w:themeColor="accent5"/>
        <w:sz w:val="17"/>
        <w:szCs w:val="17"/>
      </w:rPr>
      <w:t xml:space="preserve"> </w:t>
    </w:r>
  </w:p>
  <w:p w14:paraId="67F1173D" w14:textId="4E1D0736" w:rsidR="00C72889" w:rsidRPr="0048162E" w:rsidRDefault="00C72889" w:rsidP="00845355">
    <w:pPr>
      <w:pStyle w:val="Header"/>
      <w:jc w:val="left"/>
      <w:rPr>
        <w:color w:val="595959" w:themeColor="text1" w:themeTint="A6"/>
        <w:sz w:val="16"/>
        <w:szCs w:val="16"/>
      </w:rPr>
    </w:pPr>
    <w:r w:rsidRPr="0048162E">
      <w:rPr>
        <w:rFonts w:ascii="Franklin Gothic Demi" w:hAnsi="Franklin Gothic Demi"/>
        <w:color w:val="595959" w:themeColor="text1" w:themeTint="A6"/>
        <w:sz w:val="16"/>
        <w:szCs w:val="16"/>
      </w:rPr>
      <w:t>Review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4C8E02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hybridMultilevel"/>
    <w:tmpl w:val="934AEF78"/>
    <w:lvl w:ilvl="0" w:tplc="A2F2973C">
      <w:start w:val="1"/>
      <w:numFmt w:val="bullet"/>
      <w:pStyle w:val="ListBullet"/>
      <w:lvlText w:val=""/>
      <w:lvlJc w:val="left"/>
      <w:pPr>
        <w:tabs>
          <w:tab w:val="num" w:pos="360"/>
        </w:tabs>
        <w:ind w:left="360" w:hanging="360"/>
      </w:pPr>
      <w:rPr>
        <w:rFonts w:ascii="Symbol" w:hAnsi="Symbol" w:hint="default"/>
      </w:rPr>
    </w:lvl>
    <w:lvl w:ilvl="1" w:tplc="4784E5DA">
      <w:numFmt w:val="decimal"/>
      <w:lvlText w:val=""/>
      <w:lvlJc w:val="left"/>
    </w:lvl>
    <w:lvl w:ilvl="2" w:tplc="9C887BD8">
      <w:numFmt w:val="decimal"/>
      <w:lvlText w:val=""/>
      <w:lvlJc w:val="left"/>
    </w:lvl>
    <w:lvl w:ilvl="3" w:tplc="B3869A0E">
      <w:numFmt w:val="decimal"/>
      <w:lvlText w:val=""/>
      <w:lvlJc w:val="left"/>
    </w:lvl>
    <w:lvl w:ilvl="4" w:tplc="9580E80E">
      <w:numFmt w:val="decimal"/>
      <w:lvlText w:val=""/>
      <w:lvlJc w:val="left"/>
    </w:lvl>
    <w:lvl w:ilvl="5" w:tplc="23B2E356">
      <w:numFmt w:val="decimal"/>
      <w:lvlText w:val=""/>
      <w:lvlJc w:val="left"/>
    </w:lvl>
    <w:lvl w:ilvl="6" w:tplc="E17A8F06">
      <w:numFmt w:val="decimal"/>
      <w:lvlText w:val=""/>
      <w:lvlJc w:val="left"/>
    </w:lvl>
    <w:lvl w:ilvl="7" w:tplc="540CBB6A">
      <w:numFmt w:val="decimal"/>
      <w:lvlText w:val=""/>
      <w:lvlJc w:val="left"/>
    </w:lvl>
    <w:lvl w:ilvl="8" w:tplc="647ED398">
      <w:numFmt w:val="decimal"/>
      <w:lvlText w:val=""/>
      <w:lvlJc w:val="left"/>
    </w:lvl>
  </w:abstractNum>
  <w:abstractNum w:abstractNumId="2" w15:restartNumberingAfterBreak="0">
    <w:nsid w:val="03C01B7A"/>
    <w:multiLevelType w:val="hybridMultilevel"/>
    <w:tmpl w:val="38E86D04"/>
    <w:lvl w:ilvl="0" w:tplc="98B27164">
      <w:start w:val="1"/>
      <w:numFmt w:val="bullet"/>
      <w:lvlText w:val="•"/>
      <w:lvlJc w:val="left"/>
      <w:pPr>
        <w:tabs>
          <w:tab w:val="num" w:pos="720"/>
        </w:tabs>
        <w:ind w:left="720" w:hanging="360"/>
      </w:pPr>
      <w:rPr>
        <w:rFonts w:ascii="Arial" w:hAnsi="Arial" w:hint="default"/>
      </w:rPr>
    </w:lvl>
    <w:lvl w:ilvl="1" w:tplc="A566C524">
      <w:numFmt w:val="bullet"/>
      <w:lvlText w:val="•"/>
      <w:lvlJc w:val="left"/>
      <w:pPr>
        <w:tabs>
          <w:tab w:val="num" w:pos="1440"/>
        </w:tabs>
        <w:ind w:left="1440" w:hanging="360"/>
      </w:pPr>
      <w:rPr>
        <w:rFonts w:ascii="Arial" w:hAnsi="Arial" w:hint="default"/>
      </w:rPr>
    </w:lvl>
    <w:lvl w:ilvl="2" w:tplc="B33480B0" w:tentative="1">
      <w:start w:val="1"/>
      <w:numFmt w:val="bullet"/>
      <w:lvlText w:val="•"/>
      <w:lvlJc w:val="left"/>
      <w:pPr>
        <w:tabs>
          <w:tab w:val="num" w:pos="2160"/>
        </w:tabs>
        <w:ind w:left="2160" w:hanging="360"/>
      </w:pPr>
      <w:rPr>
        <w:rFonts w:ascii="Arial" w:hAnsi="Arial" w:hint="default"/>
      </w:rPr>
    </w:lvl>
    <w:lvl w:ilvl="3" w:tplc="6456BFCC" w:tentative="1">
      <w:start w:val="1"/>
      <w:numFmt w:val="bullet"/>
      <w:lvlText w:val="•"/>
      <w:lvlJc w:val="left"/>
      <w:pPr>
        <w:tabs>
          <w:tab w:val="num" w:pos="2880"/>
        </w:tabs>
        <w:ind w:left="2880" w:hanging="360"/>
      </w:pPr>
      <w:rPr>
        <w:rFonts w:ascii="Arial" w:hAnsi="Arial" w:hint="default"/>
      </w:rPr>
    </w:lvl>
    <w:lvl w:ilvl="4" w:tplc="7E48369C" w:tentative="1">
      <w:start w:val="1"/>
      <w:numFmt w:val="bullet"/>
      <w:lvlText w:val="•"/>
      <w:lvlJc w:val="left"/>
      <w:pPr>
        <w:tabs>
          <w:tab w:val="num" w:pos="3600"/>
        </w:tabs>
        <w:ind w:left="3600" w:hanging="360"/>
      </w:pPr>
      <w:rPr>
        <w:rFonts w:ascii="Arial" w:hAnsi="Arial" w:hint="default"/>
      </w:rPr>
    </w:lvl>
    <w:lvl w:ilvl="5" w:tplc="610EC21E" w:tentative="1">
      <w:start w:val="1"/>
      <w:numFmt w:val="bullet"/>
      <w:lvlText w:val="•"/>
      <w:lvlJc w:val="left"/>
      <w:pPr>
        <w:tabs>
          <w:tab w:val="num" w:pos="4320"/>
        </w:tabs>
        <w:ind w:left="4320" w:hanging="360"/>
      </w:pPr>
      <w:rPr>
        <w:rFonts w:ascii="Arial" w:hAnsi="Arial" w:hint="default"/>
      </w:rPr>
    </w:lvl>
    <w:lvl w:ilvl="6" w:tplc="8BAE3070" w:tentative="1">
      <w:start w:val="1"/>
      <w:numFmt w:val="bullet"/>
      <w:lvlText w:val="•"/>
      <w:lvlJc w:val="left"/>
      <w:pPr>
        <w:tabs>
          <w:tab w:val="num" w:pos="5040"/>
        </w:tabs>
        <w:ind w:left="5040" w:hanging="360"/>
      </w:pPr>
      <w:rPr>
        <w:rFonts w:ascii="Arial" w:hAnsi="Arial" w:hint="default"/>
      </w:rPr>
    </w:lvl>
    <w:lvl w:ilvl="7" w:tplc="84E2625C" w:tentative="1">
      <w:start w:val="1"/>
      <w:numFmt w:val="bullet"/>
      <w:lvlText w:val="•"/>
      <w:lvlJc w:val="left"/>
      <w:pPr>
        <w:tabs>
          <w:tab w:val="num" w:pos="5760"/>
        </w:tabs>
        <w:ind w:left="5760" w:hanging="360"/>
      </w:pPr>
      <w:rPr>
        <w:rFonts w:ascii="Arial" w:hAnsi="Arial" w:hint="default"/>
      </w:rPr>
    </w:lvl>
    <w:lvl w:ilvl="8" w:tplc="D0C0EC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1D0A5C"/>
    <w:multiLevelType w:val="hybridMultilevel"/>
    <w:tmpl w:val="3ECE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C0849"/>
    <w:multiLevelType w:val="multilevel"/>
    <w:tmpl w:val="3B2C6D9E"/>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4C7B9E" w:themeColor="accent2"/>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2B8628E"/>
    <w:multiLevelType w:val="hybridMultilevel"/>
    <w:tmpl w:val="7930A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E44FA9"/>
    <w:multiLevelType w:val="hybridMultilevel"/>
    <w:tmpl w:val="9990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F70A2"/>
    <w:multiLevelType w:val="hybridMultilevel"/>
    <w:tmpl w:val="C16002BE"/>
    <w:styleLink w:val="ListBullets"/>
    <w:lvl w:ilvl="0" w:tplc="CAD03B08">
      <w:start w:val="1"/>
      <w:numFmt w:val="bullet"/>
      <w:lvlText w:val=""/>
      <w:lvlJc w:val="left"/>
      <w:pPr>
        <w:ind w:left="714" w:hanging="357"/>
      </w:pPr>
      <w:rPr>
        <w:rFonts w:ascii="Symbol" w:hAnsi="Symbol" w:hint="default"/>
      </w:rPr>
    </w:lvl>
    <w:lvl w:ilvl="1" w:tplc="2072384C">
      <w:start w:val="1"/>
      <w:numFmt w:val="bullet"/>
      <w:lvlText w:val=""/>
      <w:lvlJc w:val="left"/>
      <w:pPr>
        <w:ind w:left="1071" w:hanging="357"/>
      </w:pPr>
      <w:rPr>
        <w:rFonts w:ascii="Wingdings" w:hAnsi="Wingdings" w:hint="default"/>
      </w:rPr>
    </w:lvl>
    <w:lvl w:ilvl="2" w:tplc="1E5C2116">
      <w:start w:val="1"/>
      <w:numFmt w:val="bullet"/>
      <w:lvlText w:val=""/>
      <w:lvlJc w:val="left"/>
      <w:pPr>
        <w:ind w:left="1428" w:hanging="357"/>
      </w:pPr>
      <w:rPr>
        <w:rFonts w:ascii="Symbol" w:hAnsi="Symbol" w:hint="default"/>
      </w:rPr>
    </w:lvl>
    <w:lvl w:ilvl="3" w:tplc="D24C6A2C">
      <w:start w:val="1"/>
      <w:numFmt w:val="none"/>
      <w:lvlText w:val=""/>
      <w:lvlJc w:val="left"/>
      <w:pPr>
        <w:ind w:left="1785" w:hanging="357"/>
      </w:pPr>
      <w:rPr>
        <w:rFonts w:hint="default"/>
      </w:rPr>
    </w:lvl>
    <w:lvl w:ilvl="4" w:tplc="B8A4E722">
      <w:start w:val="1"/>
      <w:numFmt w:val="none"/>
      <w:lvlText w:val=""/>
      <w:lvlJc w:val="left"/>
      <w:pPr>
        <w:ind w:left="2142" w:hanging="357"/>
      </w:pPr>
      <w:rPr>
        <w:rFonts w:hint="default"/>
      </w:rPr>
    </w:lvl>
    <w:lvl w:ilvl="5" w:tplc="A7285648">
      <w:start w:val="1"/>
      <w:numFmt w:val="none"/>
      <w:lvlText w:val=""/>
      <w:lvlJc w:val="left"/>
      <w:pPr>
        <w:ind w:left="2499" w:hanging="357"/>
      </w:pPr>
      <w:rPr>
        <w:rFonts w:hint="default"/>
      </w:rPr>
    </w:lvl>
    <w:lvl w:ilvl="6" w:tplc="6F988E9E">
      <w:start w:val="1"/>
      <w:numFmt w:val="none"/>
      <w:lvlText w:val="%7"/>
      <w:lvlJc w:val="left"/>
      <w:pPr>
        <w:ind w:left="2856" w:hanging="357"/>
      </w:pPr>
      <w:rPr>
        <w:rFonts w:hint="default"/>
      </w:rPr>
    </w:lvl>
    <w:lvl w:ilvl="7" w:tplc="D3B682DE">
      <w:start w:val="1"/>
      <w:numFmt w:val="none"/>
      <w:lvlText w:val="%8"/>
      <w:lvlJc w:val="left"/>
      <w:pPr>
        <w:ind w:left="3213" w:hanging="357"/>
      </w:pPr>
      <w:rPr>
        <w:rFonts w:hint="default"/>
      </w:rPr>
    </w:lvl>
    <w:lvl w:ilvl="8" w:tplc="EFAE89BE">
      <w:start w:val="1"/>
      <w:numFmt w:val="none"/>
      <w:lvlText w:val="%9"/>
      <w:lvlJc w:val="left"/>
      <w:pPr>
        <w:ind w:left="3570" w:hanging="357"/>
      </w:pPr>
      <w:rPr>
        <w:rFonts w:hint="default"/>
      </w:rPr>
    </w:lvl>
  </w:abstractNum>
  <w:abstractNum w:abstractNumId="8" w15:restartNumberingAfterBreak="0">
    <w:nsid w:val="18593A99"/>
    <w:multiLevelType w:val="hybridMultilevel"/>
    <w:tmpl w:val="6AE8C4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F2218CF"/>
    <w:multiLevelType w:val="hybridMultilevel"/>
    <w:tmpl w:val="0C09001D"/>
    <w:styleLink w:val="NewBullet"/>
    <w:lvl w:ilvl="0" w:tplc="BD2A9A18">
      <w:start w:val="1"/>
      <w:numFmt w:val="bullet"/>
      <w:lvlText w:val=""/>
      <w:lvlJc w:val="left"/>
      <w:pPr>
        <w:ind w:left="360" w:hanging="360"/>
      </w:pPr>
      <w:rPr>
        <w:rFonts w:ascii="Symbol" w:hAnsi="Symbol" w:hint="default"/>
      </w:rPr>
    </w:lvl>
    <w:lvl w:ilvl="1" w:tplc="36D62ABC">
      <w:start w:val="1"/>
      <w:numFmt w:val="bullet"/>
      <w:lvlText w:val=""/>
      <w:lvlJc w:val="left"/>
      <w:pPr>
        <w:ind w:left="720" w:hanging="360"/>
      </w:pPr>
      <w:rPr>
        <w:rFonts w:ascii="Symbol" w:hAnsi="Symbol" w:hint="default"/>
      </w:rPr>
    </w:lvl>
    <w:lvl w:ilvl="2" w:tplc="C538723C">
      <w:start w:val="1"/>
      <w:numFmt w:val="bullet"/>
      <w:lvlText w:val=""/>
      <w:lvlJc w:val="left"/>
      <w:pPr>
        <w:ind w:left="1080" w:hanging="360"/>
      </w:pPr>
      <w:rPr>
        <w:rFonts w:ascii="Symbol" w:hAnsi="Symbol" w:hint="default"/>
      </w:rPr>
    </w:lvl>
    <w:lvl w:ilvl="3" w:tplc="F35C98BE">
      <w:start w:val="1"/>
      <w:numFmt w:val="none"/>
      <w:lvlText w:val="%4"/>
      <w:lvlJc w:val="left"/>
      <w:pPr>
        <w:ind w:left="1440" w:hanging="360"/>
      </w:pPr>
      <w:rPr>
        <w:rFonts w:ascii="Symbol" w:hAnsi="Symbol" w:hint="default"/>
        <w:color w:val="auto"/>
      </w:rPr>
    </w:lvl>
    <w:lvl w:ilvl="4" w:tplc="285E2C20">
      <w:start w:val="1"/>
      <w:numFmt w:val="none"/>
      <w:lvlText w:val="%5"/>
      <w:lvlJc w:val="left"/>
      <w:pPr>
        <w:ind w:left="1800" w:hanging="360"/>
      </w:pPr>
      <w:rPr>
        <w:rFonts w:ascii="Symbol" w:hAnsi="Symbol" w:hint="default"/>
        <w:color w:val="auto"/>
      </w:rPr>
    </w:lvl>
    <w:lvl w:ilvl="5" w:tplc="1884C0C8">
      <w:start w:val="1"/>
      <w:numFmt w:val="none"/>
      <w:lvlText w:val="%6"/>
      <w:lvlJc w:val="left"/>
      <w:pPr>
        <w:ind w:left="2160" w:hanging="360"/>
      </w:pPr>
      <w:rPr>
        <w:rFonts w:ascii="Symbol" w:hAnsi="Symbol" w:hint="default"/>
        <w:color w:val="auto"/>
      </w:rPr>
    </w:lvl>
    <w:lvl w:ilvl="6" w:tplc="498E34D6">
      <w:start w:val="1"/>
      <w:numFmt w:val="none"/>
      <w:lvlText w:val="%7"/>
      <w:lvlJc w:val="left"/>
      <w:pPr>
        <w:ind w:left="2520" w:hanging="360"/>
      </w:pPr>
      <w:rPr>
        <w:rFonts w:ascii="Symbol" w:hAnsi="Symbol" w:hint="default"/>
      </w:rPr>
    </w:lvl>
    <w:lvl w:ilvl="7" w:tplc="7608B2CA">
      <w:start w:val="1"/>
      <w:numFmt w:val="none"/>
      <w:lvlText w:val="%8"/>
      <w:lvlJc w:val="left"/>
      <w:pPr>
        <w:ind w:left="2880" w:hanging="360"/>
      </w:pPr>
      <w:rPr>
        <w:rFonts w:ascii="Symbol" w:hAnsi="Symbol" w:hint="default"/>
      </w:rPr>
    </w:lvl>
    <w:lvl w:ilvl="8" w:tplc="6982065E">
      <w:start w:val="1"/>
      <w:numFmt w:val="none"/>
      <w:lvlText w:val="%9"/>
      <w:lvlJc w:val="left"/>
      <w:pPr>
        <w:ind w:left="3240" w:hanging="360"/>
      </w:pPr>
      <w:rPr>
        <w:rFonts w:ascii="Symbol" w:hAnsi="Symbol" w:hint="default"/>
      </w:rPr>
    </w:lvl>
  </w:abstractNum>
  <w:abstractNum w:abstractNumId="10" w15:restartNumberingAfterBreak="0">
    <w:nsid w:val="281C664B"/>
    <w:multiLevelType w:val="hybridMultilevel"/>
    <w:tmpl w:val="147402C8"/>
    <w:styleLink w:val="CoffeyBullets"/>
    <w:lvl w:ilvl="0" w:tplc="580C51C6">
      <w:start w:val="1"/>
      <w:numFmt w:val="bullet"/>
      <w:pStyle w:val="BodyBullets"/>
      <w:lvlText w:val=""/>
      <w:lvlJc w:val="left"/>
      <w:pPr>
        <w:tabs>
          <w:tab w:val="num" w:pos="357"/>
        </w:tabs>
        <w:ind w:left="360" w:hanging="360"/>
      </w:pPr>
      <w:rPr>
        <w:rFonts w:ascii="Symbol" w:hAnsi="Symbol" w:hint="default"/>
        <w:color w:val="auto"/>
      </w:rPr>
    </w:lvl>
    <w:lvl w:ilvl="1" w:tplc="982C3F26">
      <w:start w:val="1"/>
      <w:numFmt w:val="bullet"/>
      <w:lvlText w:val=""/>
      <w:lvlJc w:val="left"/>
      <w:pPr>
        <w:tabs>
          <w:tab w:val="num" w:pos="720"/>
        </w:tabs>
        <w:ind w:left="720" w:hanging="360"/>
      </w:pPr>
      <w:rPr>
        <w:rFonts w:ascii="Wingdings" w:hAnsi="Wingdings" w:hint="default"/>
        <w:color w:val="auto"/>
        <w:sz w:val="12"/>
      </w:rPr>
    </w:lvl>
    <w:lvl w:ilvl="2" w:tplc="FF8887EC">
      <w:start w:val="1"/>
      <w:numFmt w:val="bullet"/>
      <w:lvlText w:val=""/>
      <w:lvlJc w:val="left"/>
      <w:pPr>
        <w:tabs>
          <w:tab w:val="num" w:pos="1077"/>
        </w:tabs>
        <w:ind w:left="1080" w:hanging="360"/>
      </w:pPr>
      <w:rPr>
        <w:rFonts w:ascii="Symbol" w:hAnsi="Symbol" w:hint="default"/>
        <w:color w:val="auto"/>
      </w:rPr>
    </w:lvl>
    <w:lvl w:ilvl="3" w:tplc="0D74636E">
      <w:start w:val="1"/>
      <w:numFmt w:val="decimal"/>
      <w:lvlText w:val="(%4)"/>
      <w:lvlJc w:val="left"/>
      <w:pPr>
        <w:ind w:left="1440" w:hanging="360"/>
      </w:pPr>
      <w:rPr>
        <w:rFonts w:hint="default"/>
      </w:rPr>
    </w:lvl>
    <w:lvl w:ilvl="4" w:tplc="0F8E08DC">
      <w:start w:val="1"/>
      <w:numFmt w:val="lowerLetter"/>
      <w:lvlText w:val="(%5)"/>
      <w:lvlJc w:val="left"/>
      <w:pPr>
        <w:ind w:left="1800" w:hanging="360"/>
      </w:pPr>
      <w:rPr>
        <w:rFonts w:hint="default"/>
      </w:rPr>
    </w:lvl>
    <w:lvl w:ilvl="5" w:tplc="61B49722">
      <w:start w:val="1"/>
      <w:numFmt w:val="lowerRoman"/>
      <w:lvlText w:val="(%6)"/>
      <w:lvlJc w:val="left"/>
      <w:pPr>
        <w:ind w:left="2160" w:hanging="360"/>
      </w:pPr>
      <w:rPr>
        <w:rFonts w:hint="default"/>
      </w:rPr>
    </w:lvl>
    <w:lvl w:ilvl="6" w:tplc="715430F6">
      <w:start w:val="1"/>
      <w:numFmt w:val="decimal"/>
      <w:lvlText w:val="%7."/>
      <w:lvlJc w:val="left"/>
      <w:pPr>
        <w:ind w:left="2520" w:hanging="360"/>
      </w:pPr>
      <w:rPr>
        <w:rFonts w:hint="default"/>
      </w:rPr>
    </w:lvl>
    <w:lvl w:ilvl="7" w:tplc="95F67CE6">
      <w:start w:val="1"/>
      <w:numFmt w:val="lowerLetter"/>
      <w:lvlText w:val="%8."/>
      <w:lvlJc w:val="left"/>
      <w:pPr>
        <w:ind w:left="2880" w:hanging="360"/>
      </w:pPr>
      <w:rPr>
        <w:rFonts w:hint="default"/>
      </w:rPr>
    </w:lvl>
    <w:lvl w:ilvl="8" w:tplc="0A687EAA">
      <w:start w:val="1"/>
      <w:numFmt w:val="lowerRoman"/>
      <w:lvlText w:val="%9."/>
      <w:lvlJc w:val="left"/>
      <w:pPr>
        <w:ind w:left="3240" w:hanging="360"/>
      </w:pPr>
      <w:rPr>
        <w:rFonts w:hint="default"/>
      </w:rPr>
    </w:lvl>
  </w:abstractNum>
  <w:abstractNum w:abstractNumId="11" w15:restartNumberingAfterBreak="0">
    <w:nsid w:val="2B5E6F31"/>
    <w:multiLevelType w:val="hybridMultilevel"/>
    <w:tmpl w:val="02942230"/>
    <w:lvl w:ilvl="0" w:tplc="E79CDA74">
      <w:start w:val="1"/>
      <w:numFmt w:val="bullet"/>
      <w:pStyle w:val="2ndLevelBullets"/>
      <w:lvlText w:val=""/>
      <w:lvlJc w:val="left"/>
      <w:pPr>
        <w:ind w:left="360" w:hanging="360"/>
      </w:pPr>
      <w:rPr>
        <w:rFonts w:ascii="Symbol" w:hAnsi="Symbol" w:hint="default"/>
        <w:sz w:val="19"/>
        <w:szCs w:val="19"/>
      </w:rPr>
    </w:lvl>
    <w:lvl w:ilvl="1" w:tplc="4DE6F1DA" w:tentative="1">
      <w:start w:val="1"/>
      <w:numFmt w:val="lowerLetter"/>
      <w:lvlText w:val="%2."/>
      <w:lvlJc w:val="left"/>
      <w:pPr>
        <w:ind w:left="1080" w:hanging="360"/>
      </w:pPr>
    </w:lvl>
    <w:lvl w:ilvl="2" w:tplc="C97E7B56" w:tentative="1">
      <w:start w:val="1"/>
      <w:numFmt w:val="lowerRoman"/>
      <w:lvlText w:val="%3."/>
      <w:lvlJc w:val="right"/>
      <w:pPr>
        <w:ind w:left="1800" w:hanging="180"/>
      </w:pPr>
    </w:lvl>
    <w:lvl w:ilvl="3" w:tplc="372E6AFA" w:tentative="1">
      <w:start w:val="1"/>
      <w:numFmt w:val="decimal"/>
      <w:lvlText w:val="%4."/>
      <w:lvlJc w:val="left"/>
      <w:pPr>
        <w:ind w:left="2520" w:hanging="360"/>
      </w:pPr>
    </w:lvl>
    <w:lvl w:ilvl="4" w:tplc="5EFA2F82" w:tentative="1">
      <w:start w:val="1"/>
      <w:numFmt w:val="lowerLetter"/>
      <w:lvlText w:val="%5."/>
      <w:lvlJc w:val="left"/>
      <w:pPr>
        <w:ind w:left="3240" w:hanging="360"/>
      </w:pPr>
    </w:lvl>
    <w:lvl w:ilvl="5" w:tplc="DBF0473C" w:tentative="1">
      <w:start w:val="1"/>
      <w:numFmt w:val="lowerRoman"/>
      <w:lvlText w:val="%6."/>
      <w:lvlJc w:val="right"/>
      <w:pPr>
        <w:ind w:left="3960" w:hanging="180"/>
      </w:pPr>
    </w:lvl>
    <w:lvl w:ilvl="6" w:tplc="3118E16A" w:tentative="1">
      <w:start w:val="1"/>
      <w:numFmt w:val="decimal"/>
      <w:lvlText w:val="%7."/>
      <w:lvlJc w:val="left"/>
      <w:pPr>
        <w:ind w:left="4680" w:hanging="360"/>
      </w:pPr>
    </w:lvl>
    <w:lvl w:ilvl="7" w:tplc="379A7464" w:tentative="1">
      <w:start w:val="1"/>
      <w:numFmt w:val="lowerLetter"/>
      <w:lvlText w:val="%8."/>
      <w:lvlJc w:val="left"/>
      <w:pPr>
        <w:ind w:left="5400" w:hanging="360"/>
      </w:pPr>
    </w:lvl>
    <w:lvl w:ilvl="8" w:tplc="9A9CFF7A" w:tentative="1">
      <w:start w:val="1"/>
      <w:numFmt w:val="lowerRoman"/>
      <w:lvlText w:val="%9."/>
      <w:lvlJc w:val="right"/>
      <w:pPr>
        <w:ind w:left="6120" w:hanging="180"/>
      </w:pPr>
    </w:lvl>
  </w:abstractNum>
  <w:abstractNum w:abstractNumId="12" w15:restartNumberingAfterBreak="0">
    <w:nsid w:val="2D1A6B17"/>
    <w:multiLevelType w:val="hybridMultilevel"/>
    <w:tmpl w:val="CFB26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3558E"/>
    <w:multiLevelType w:val="hybridMultilevel"/>
    <w:tmpl w:val="0640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37954"/>
    <w:multiLevelType w:val="hybridMultilevel"/>
    <w:tmpl w:val="EB14F7AC"/>
    <w:lvl w:ilvl="0" w:tplc="2D08112E">
      <w:start w:val="1"/>
      <w:numFmt w:val="bullet"/>
      <w:pStyle w:val="Box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5" w15:restartNumberingAfterBreak="0">
    <w:nsid w:val="2E750939"/>
    <w:multiLevelType w:val="hybridMultilevel"/>
    <w:tmpl w:val="F4E47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A60982"/>
    <w:multiLevelType w:val="hybridMultilevel"/>
    <w:tmpl w:val="D4A2EB2E"/>
    <w:lvl w:ilvl="0" w:tplc="B4B06008">
      <w:start w:val="1"/>
      <w:numFmt w:val="bullet"/>
      <w:pStyle w:val="Table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FC5F58"/>
    <w:multiLevelType w:val="hybridMultilevel"/>
    <w:tmpl w:val="1638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35D60"/>
    <w:multiLevelType w:val="hybridMultilevel"/>
    <w:tmpl w:val="B39A8824"/>
    <w:lvl w:ilvl="0" w:tplc="7A06AF44">
      <w:start w:val="1"/>
      <w:numFmt w:val="bullet"/>
      <w:pStyle w:val="BulletPoints"/>
      <w:lvlText w:val=""/>
      <w:lvlJc w:val="left"/>
      <w:pPr>
        <w:tabs>
          <w:tab w:val="num" w:pos="198"/>
        </w:tabs>
        <w:ind w:left="720" w:hanging="238"/>
      </w:pPr>
      <w:rPr>
        <w:rFonts w:ascii="Symbol" w:hAnsi="Symbol" w:hint="default"/>
      </w:rPr>
    </w:lvl>
    <w:lvl w:ilvl="1" w:tplc="6D409B08" w:tentative="1">
      <w:start w:val="1"/>
      <w:numFmt w:val="bullet"/>
      <w:lvlText w:val="o"/>
      <w:lvlJc w:val="left"/>
      <w:pPr>
        <w:tabs>
          <w:tab w:val="num" w:pos="1440"/>
        </w:tabs>
        <w:ind w:left="1440" w:hanging="360"/>
      </w:pPr>
      <w:rPr>
        <w:rFonts w:ascii="Courier New" w:hAnsi="Courier New" w:cs="Courier New" w:hint="default"/>
      </w:rPr>
    </w:lvl>
    <w:lvl w:ilvl="2" w:tplc="2C9CD43C" w:tentative="1">
      <w:start w:val="1"/>
      <w:numFmt w:val="bullet"/>
      <w:lvlText w:val=""/>
      <w:lvlJc w:val="left"/>
      <w:pPr>
        <w:tabs>
          <w:tab w:val="num" w:pos="2160"/>
        </w:tabs>
        <w:ind w:left="2160" w:hanging="360"/>
      </w:pPr>
      <w:rPr>
        <w:rFonts w:ascii="Wingdings" w:hAnsi="Wingdings" w:hint="default"/>
      </w:rPr>
    </w:lvl>
    <w:lvl w:ilvl="3" w:tplc="ADAAC9FA" w:tentative="1">
      <w:start w:val="1"/>
      <w:numFmt w:val="bullet"/>
      <w:lvlText w:val=""/>
      <w:lvlJc w:val="left"/>
      <w:pPr>
        <w:tabs>
          <w:tab w:val="num" w:pos="2880"/>
        </w:tabs>
        <w:ind w:left="2880" w:hanging="360"/>
      </w:pPr>
      <w:rPr>
        <w:rFonts w:ascii="Symbol" w:hAnsi="Symbol" w:hint="default"/>
      </w:rPr>
    </w:lvl>
    <w:lvl w:ilvl="4" w:tplc="07D00096" w:tentative="1">
      <w:start w:val="1"/>
      <w:numFmt w:val="bullet"/>
      <w:lvlText w:val="o"/>
      <w:lvlJc w:val="left"/>
      <w:pPr>
        <w:tabs>
          <w:tab w:val="num" w:pos="3600"/>
        </w:tabs>
        <w:ind w:left="3600" w:hanging="360"/>
      </w:pPr>
      <w:rPr>
        <w:rFonts w:ascii="Courier New" w:hAnsi="Courier New" w:cs="Courier New" w:hint="default"/>
      </w:rPr>
    </w:lvl>
    <w:lvl w:ilvl="5" w:tplc="F9409DAA" w:tentative="1">
      <w:start w:val="1"/>
      <w:numFmt w:val="bullet"/>
      <w:lvlText w:val=""/>
      <w:lvlJc w:val="left"/>
      <w:pPr>
        <w:tabs>
          <w:tab w:val="num" w:pos="4320"/>
        </w:tabs>
        <w:ind w:left="4320" w:hanging="360"/>
      </w:pPr>
      <w:rPr>
        <w:rFonts w:ascii="Wingdings" w:hAnsi="Wingdings" w:hint="default"/>
      </w:rPr>
    </w:lvl>
    <w:lvl w:ilvl="6" w:tplc="FFFC2D56" w:tentative="1">
      <w:start w:val="1"/>
      <w:numFmt w:val="bullet"/>
      <w:lvlText w:val=""/>
      <w:lvlJc w:val="left"/>
      <w:pPr>
        <w:tabs>
          <w:tab w:val="num" w:pos="5040"/>
        </w:tabs>
        <w:ind w:left="5040" w:hanging="360"/>
      </w:pPr>
      <w:rPr>
        <w:rFonts w:ascii="Symbol" w:hAnsi="Symbol" w:hint="default"/>
      </w:rPr>
    </w:lvl>
    <w:lvl w:ilvl="7" w:tplc="A3F21F64" w:tentative="1">
      <w:start w:val="1"/>
      <w:numFmt w:val="bullet"/>
      <w:lvlText w:val="o"/>
      <w:lvlJc w:val="left"/>
      <w:pPr>
        <w:tabs>
          <w:tab w:val="num" w:pos="5760"/>
        </w:tabs>
        <w:ind w:left="5760" w:hanging="360"/>
      </w:pPr>
      <w:rPr>
        <w:rFonts w:ascii="Courier New" w:hAnsi="Courier New" w:cs="Courier New" w:hint="default"/>
      </w:rPr>
    </w:lvl>
    <w:lvl w:ilvl="8" w:tplc="8B5602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D23918"/>
    <w:multiLevelType w:val="hybridMultilevel"/>
    <w:tmpl w:val="24F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920D0A"/>
    <w:multiLevelType w:val="hybridMultilevel"/>
    <w:tmpl w:val="B5C03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1A4535"/>
    <w:multiLevelType w:val="hybridMultilevel"/>
    <w:tmpl w:val="0948843E"/>
    <w:lvl w:ilvl="0" w:tplc="90744D4E">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2CD7E66"/>
    <w:multiLevelType w:val="hybridMultilevel"/>
    <w:tmpl w:val="A2CE4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07B06"/>
    <w:multiLevelType w:val="hybridMultilevel"/>
    <w:tmpl w:val="7F963E1A"/>
    <w:styleLink w:val="CoffeyNumbers"/>
    <w:lvl w:ilvl="0" w:tplc="30582584">
      <w:start w:val="1"/>
      <w:numFmt w:val="decimal"/>
      <w:pStyle w:val="CoffeyNumbersL1"/>
      <w:lvlText w:val="%1."/>
      <w:lvlJc w:val="left"/>
      <w:pPr>
        <w:tabs>
          <w:tab w:val="num" w:pos="357"/>
        </w:tabs>
        <w:ind w:left="360" w:hanging="360"/>
      </w:pPr>
      <w:rPr>
        <w:rFonts w:hint="default"/>
      </w:rPr>
    </w:lvl>
    <w:lvl w:ilvl="1" w:tplc="96F2539E">
      <w:start w:val="1"/>
      <w:numFmt w:val="lowerLetter"/>
      <w:pStyle w:val="CoffeyNumbersL2"/>
      <w:lvlText w:val="%2."/>
      <w:lvlJc w:val="left"/>
      <w:pPr>
        <w:tabs>
          <w:tab w:val="num" w:pos="720"/>
        </w:tabs>
        <w:ind w:left="720" w:hanging="360"/>
      </w:pPr>
      <w:rPr>
        <w:rFonts w:hint="default"/>
      </w:rPr>
    </w:lvl>
    <w:lvl w:ilvl="2" w:tplc="4D40FB5E">
      <w:start w:val="1"/>
      <w:numFmt w:val="lowerRoman"/>
      <w:pStyle w:val="CoffeyNumbersL3"/>
      <w:lvlText w:val="%3."/>
      <w:lvlJc w:val="left"/>
      <w:pPr>
        <w:tabs>
          <w:tab w:val="num" w:pos="1077"/>
        </w:tabs>
        <w:ind w:left="1080" w:hanging="360"/>
      </w:pPr>
      <w:rPr>
        <w:rFonts w:hint="default"/>
      </w:rPr>
    </w:lvl>
    <w:lvl w:ilvl="3" w:tplc="EF90EB70">
      <w:start w:val="1"/>
      <w:numFmt w:val="decimal"/>
      <w:lvlText w:val="(%4)"/>
      <w:lvlJc w:val="left"/>
      <w:pPr>
        <w:ind w:left="1440" w:hanging="360"/>
      </w:pPr>
      <w:rPr>
        <w:rFonts w:hint="default"/>
      </w:rPr>
    </w:lvl>
    <w:lvl w:ilvl="4" w:tplc="A9B41250">
      <w:start w:val="1"/>
      <w:numFmt w:val="lowerLetter"/>
      <w:lvlText w:val="(%5)"/>
      <w:lvlJc w:val="left"/>
      <w:pPr>
        <w:ind w:left="1800" w:hanging="360"/>
      </w:pPr>
      <w:rPr>
        <w:rFonts w:hint="default"/>
      </w:rPr>
    </w:lvl>
    <w:lvl w:ilvl="5" w:tplc="0CA805B6">
      <w:start w:val="1"/>
      <w:numFmt w:val="lowerRoman"/>
      <w:lvlText w:val="(%6)"/>
      <w:lvlJc w:val="left"/>
      <w:pPr>
        <w:ind w:left="2160" w:hanging="360"/>
      </w:pPr>
      <w:rPr>
        <w:rFonts w:hint="default"/>
      </w:rPr>
    </w:lvl>
    <w:lvl w:ilvl="6" w:tplc="9216F92C">
      <w:start w:val="1"/>
      <w:numFmt w:val="decimal"/>
      <w:lvlText w:val="%7."/>
      <w:lvlJc w:val="left"/>
      <w:pPr>
        <w:ind w:left="2520" w:hanging="360"/>
      </w:pPr>
      <w:rPr>
        <w:rFonts w:hint="default"/>
      </w:rPr>
    </w:lvl>
    <w:lvl w:ilvl="7" w:tplc="9A2E64CA">
      <w:start w:val="1"/>
      <w:numFmt w:val="lowerLetter"/>
      <w:lvlText w:val="%8."/>
      <w:lvlJc w:val="left"/>
      <w:pPr>
        <w:ind w:left="2880" w:hanging="360"/>
      </w:pPr>
      <w:rPr>
        <w:rFonts w:hint="default"/>
      </w:rPr>
    </w:lvl>
    <w:lvl w:ilvl="8" w:tplc="2E7A5E0E">
      <w:start w:val="1"/>
      <w:numFmt w:val="lowerRoman"/>
      <w:lvlText w:val="%9."/>
      <w:lvlJc w:val="left"/>
      <w:pPr>
        <w:ind w:left="3240" w:hanging="360"/>
      </w:pPr>
      <w:rPr>
        <w:rFonts w:hint="default"/>
      </w:rPr>
    </w:lvl>
  </w:abstractNum>
  <w:abstractNum w:abstractNumId="24" w15:restartNumberingAfterBreak="0">
    <w:nsid w:val="4C71554F"/>
    <w:multiLevelType w:val="hybridMultilevel"/>
    <w:tmpl w:val="FB94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206AC"/>
    <w:multiLevelType w:val="multilevel"/>
    <w:tmpl w:val="20D25D6E"/>
    <w:lvl w:ilvl="0">
      <w:start w:val="1"/>
      <w:numFmt w:val="decimal"/>
      <w:pStyle w:val="Heading1NoNumbers"/>
      <w:lvlText w:val="%1"/>
      <w:lvlJc w:val="left"/>
      <w:pPr>
        <w:ind w:left="432" w:hanging="432"/>
      </w:pPr>
    </w:lvl>
    <w:lvl w:ilvl="1">
      <w:start w:val="1"/>
      <w:numFmt w:val="decimal"/>
      <w:pStyle w:val="Heading2NoNumbers"/>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pStyle w:val="AppendixHeading"/>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7" w15:restartNumberingAfterBreak="0">
    <w:nsid w:val="5C642855"/>
    <w:multiLevelType w:val="hybridMultilevel"/>
    <w:tmpl w:val="FB64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A168B1"/>
    <w:multiLevelType w:val="hybridMultilevel"/>
    <w:tmpl w:val="5960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16770F"/>
    <w:multiLevelType w:val="multilevel"/>
    <w:tmpl w:val="9B70A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3E5C87"/>
    <w:multiLevelType w:val="hybridMultilevel"/>
    <w:tmpl w:val="FA58B8FC"/>
    <w:styleLink w:val="ListNumbers"/>
    <w:lvl w:ilvl="0" w:tplc="49883306">
      <w:start w:val="1"/>
      <w:numFmt w:val="decimal"/>
      <w:lvlText w:val="%1."/>
      <w:lvlJc w:val="left"/>
      <w:pPr>
        <w:ind w:left="714" w:hanging="357"/>
      </w:pPr>
      <w:rPr>
        <w:rFonts w:hint="default"/>
      </w:rPr>
    </w:lvl>
    <w:lvl w:ilvl="1" w:tplc="DEEECFA0">
      <w:start w:val="1"/>
      <w:numFmt w:val="lowerLetter"/>
      <w:lvlText w:val="%2."/>
      <w:lvlJc w:val="left"/>
      <w:pPr>
        <w:ind w:left="1071" w:hanging="357"/>
      </w:pPr>
      <w:rPr>
        <w:rFonts w:hint="default"/>
      </w:rPr>
    </w:lvl>
    <w:lvl w:ilvl="2" w:tplc="DF80B8DC">
      <w:start w:val="1"/>
      <w:numFmt w:val="lowerRoman"/>
      <w:lvlText w:val="%3."/>
      <w:lvlJc w:val="left"/>
      <w:pPr>
        <w:ind w:left="1428" w:hanging="357"/>
      </w:pPr>
      <w:rPr>
        <w:rFonts w:hint="default"/>
      </w:rPr>
    </w:lvl>
    <w:lvl w:ilvl="3" w:tplc="82DEE2F0">
      <w:start w:val="1"/>
      <w:numFmt w:val="none"/>
      <w:lvlText w:val=""/>
      <w:lvlJc w:val="left"/>
      <w:pPr>
        <w:ind w:left="1785" w:hanging="357"/>
      </w:pPr>
      <w:rPr>
        <w:rFonts w:hint="default"/>
      </w:rPr>
    </w:lvl>
    <w:lvl w:ilvl="4" w:tplc="A0F0A47E">
      <w:start w:val="1"/>
      <w:numFmt w:val="none"/>
      <w:lvlText w:val=""/>
      <w:lvlJc w:val="left"/>
      <w:pPr>
        <w:ind w:left="2142" w:hanging="357"/>
      </w:pPr>
      <w:rPr>
        <w:rFonts w:hint="default"/>
      </w:rPr>
    </w:lvl>
    <w:lvl w:ilvl="5" w:tplc="27042372">
      <w:start w:val="1"/>
      <w:numFmt w:val="none"/>
      <w:lvlText w:val=""/>
      <w:lvlJc w:val="left"/>
      <w:pPr>
        <w:ind w:left="2499" w:hanging="357"/>
      </w:pPr>
      <w:rPr>
        <w:rFonts w:hint="default"/>
      </w:rPr>
    </w:lvl>
    <w:lvl w:ilvl="6" w:tplc="237CCFC0">
      <w:start w:val="1"/>
      <w:numFmt w:val="none"/>
      <w:lvlText w:val=""/>
      <w:lvlJc w:val="left"/>
      <w:pPr>
        <w:ind w:left="2856" w:hanging="357"/>
      </w:pPr>
      <w:rPr>
        <w:rFonts w:hint="default"/>
      </w:rPr>
    </w:lvl>
    <w:lvl w:ilvl="7" w:tplc="B85054BE">
      <w:start w:val="1"/>
      <w:numFmt w:val="none"/>
      <w:lvlText w:val=""/>
      <w:lvlJc w:val="left"/>
      <w:pPr>
        <w:ind w:left="3213" w:hanging="357"/>
      </w:pPr>
      <w:rPr>
        <w:rFonts w:hint="default"/>
      </w:rPr>
    </w:lvl>
    <w:lvl w:ilvl="8" w:tplc="55448E72">
      <w:start w:val="1"/>
      <w:numFmt w:val="none"/>
      <w:lvlText w:val=""/>
      <w:lvlJc w:val="left"/>
      <w:pPr>
        <w:ind w:left="3570" w:hanging="357"/>
      </w:pPr>
      <w:rPr>
        <w:rFonts w:hint="default"/>
      </w:rPr>
    </w:lvl>
  </w:abstractNum>
  <w:abstractNum w:abstractNumId="31" w15:restartNumberingAfterBreak="0">
    <w:nsid w:val="73C400B5"/>
    <w:multiLevelType w:val="hybridMultilevel"/>
    <w:tmpl w:val="9E940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B067C2"/>
    <w:multiLevelType w:val="hybridMultilevel"/>
    <w:tmpl w:val="0E40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A567A"/>
    <w:multiLevelType w:val="hybridMultilevel"/>
    <w:tmpl w:val="002A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D2D25"/>
    <w:multiLevelType w:val="hybridMultilevel"/>
    <w:tmpl w:val="09F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D07685"/>
    <w:multiLevelType w:val="multilevel"/>
    <w:tmpl w:val="87B4A53E"/>
    <w:lvl w:ilvl="0">
      <w:start w:val="1"/>
      <w:numFmt w:val="bullet"/>
      <w:pStyle w:val="BodyBullet"/>
      <w:lvlText w:val="»"/>
      <w:lvlJc w:val="left"/>
      <w:pPr>
        <w:tabs>
          <w:tab w:val="num" w:pos="360"/>
        </w:tabs>
        <w:ind w:left="360" w:hanging="360"/>
      </w:pPr>
      <w:rPr>
        <w:rFonts w:ascii="Calibri" w:hAnsi="Calibri" w:cs="Times New Roman" w:hint="default"/>
        <w:color w:val="B5582D"/>
        <w:w w:val="99"/>
        <w:sz w:val="24"/>
      </w:rPr>
    </w:lvl>
    <w:lvl w:ilvl="1">
      <w:numFmt w:val="bullet"/>
      <w:lvlText w:val="-"/>
      <w:lvlJc w:val="left"/>
      <w:pPr>
        <w:tabs>
          <w:tab w:val="num" w:pos="1080"/>
        </w:tabs>
        <w:ind w:left="1080" w:hanging="360"/>
      </w:pPr>
      <w:rPr>
        <w:rFonts w:ascii="Calibri" w:eastAsia="Calibri" w:hAnsi="Calibri"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16"/>
  </w:num>
  <w:num w:numId="3">
    <w:abstractNumId w:val="11"/>
  </w:num>
  <w:num w:numId="4">
    <w:abstractNumId w:val="9"/>
  </w:num>
  <w:num w:numId="5">
    <w:abstractNumId w:val="7"/>
  </w:num>
  <w:num w:numId="6">
    <w:abstractNumId w:val="30"/>
  </w:num>
  <w:num w:numId="7">
    <w:abstractNumId w:val="23"/>
  </w:num>
  <w:num w:numId="8">
    <w:abstractNumId w:val="26"/>
  </w:num>
  <w:num w:numId="9">
    <w:abstractNumId w:val="14"/>
  </w:num>
  <w:num w:numId="10">
    <w:abstractNumId w:val="25"/>
  </w:num>
  <w:num w:numId="11">
    <w:abstractNumId w:val="4"/>
  </w:num>
  <w:num w:numId="12">
    <w:abstractNumId w:val="10"/>
  </w:num>
  <w:num w:numId="13">
    <w:abstractNumId w:val="18"/>
  </w:num>
  <w:num w:numId="14">
    <w:abstractNumId w:val="10"/>
    <w:lvlOverride w:ilvl="0">
      <w:lvl w:ilvl="0" w:tplc="580C51C6">
        <w:start w:val="1"/>
        <w:numFmt w:val="bullet"/>
        <w:pStyle w:val="BodyBullets"/>
        <w:lvlText w:val=""/>
        <w:lvlJc w:val="left"/>
        <w:pPr>
          <w:tabs>
            <w:tab w:val="num" w:pos="357"/>
          </w:tabs>
          <w:ind w:left="360" w:hanging="360"/>
        </w:pPr>
        <w:rPr>
          <w:rFonts w:ascii="Symbol" w:hAnsi="Symbol" w:hint="default"/>
          <w:color w:val="8FB0C9" w:themeColor="background2" w:themeTint="99"/>
        </w:rPr>
      </w:lvl>
    </w:lvlOverride>
    <w:lvlOverride w:ilvl="1">
      <w:lvl w:ilvl="1" w:tplc="982C3F26">
        <w:start w:val="1"/>
        <w:numFmt w:val="bullet"/>
        <w:lvlText w:val=""/>
        <w:lvlJc w:val="left"/>
        <w:pPr>
          <w:tabs>
            <w:tab w:val="num" w:pos="720"/>
          </w:tabs>
          <w:ind w:left="720" w:hanging="360"/>
        </w:pPr>
        <w:rPr>
          <w:rFonts w:ascii="Wingdings" w:hAnsi="Wingdings" w:hint="default"/>
          <w:color w:val="auto"/>
          <w:sz w:val="12"/>
        </w:rPr>
      </w:lvl>
    </w:lvlOverride>
    <w:lvlOverride w:ilvl="2">
      <w:lvl w:ilvl="2" w:tplc="FF8887EC">
        <w:start w:val="1"/>
        <w:numFmt w:val="bullet"/>
        <w:lvlText w:val=""/>
        <w:lvlJc w:val="left"/>
        <w:pPr>
          <w:tabs>
            <w:tab w:val="num" w:pos="1077"/>
          </w:tabs>
          <w:ind w:left="1080" w:hanging="360"/>
        </w:pPr>
        <w:rPr>
          <w:rFonts w:ascii="Symbol" w:hAnsi="Symbol" w:hint="default"/>
          <w:color w:val="auto"/>
        </w:rPr>
      </w:lvl>
    </w:lvlOverride>
    <w:lvlOverride w:ilvl="3">
      <w:lvl w:ilvl="3" w:tplc="0D74636E">
        <w:start w:val="1"/>
        <w:numFmt w:val="decimal"/>
        <w:lvlText w:val="(%4)"/>
        <w:lvlJc w:val="left"/>
        <w:pPr>
          <w:ind w:left="1440" w:hanging="360"/>
        </w:pPr>
        <w:rPr>
          <w:rFonts w:hint="default"/>
        </w:rPr>
      </w:lvl>
    </w:lvlOverride>
    <w:lvlOverride w:ilvl="4">
      <w:lvl w:ilvl="4" w:tplc="0F8E08DC">
        <w:start w:val="1"/>
        <w:numFmt w:val="lowerLetter"/>
        <w:lvlText w:val="(%5)"/>
        <w:lvlJc w:val="left"/>
        <w:pPr>
          <w:ind w:left="1800" w:hanging="360"/>
        </w:pPr>
        <w:rPr>
          <w:rFonts w:hint="default"/>
        </w:rPr>
      </w:lvl>
    </w:lvlOverride>
    <w:lvlOverride w:ilvl="5">
      <w:lvl w:ilvl="5" w:tplc="61B49722">
        <w:start w:val="1"/>
        <w:numFmt w:val="lowerRoman"/>
        <w:lvlText w:val="(%6)"/>
        <w:lvlJc w:val="left"/>
        <w:pPr>
          <w:ind w:left="2160" w:hanging="360"/>
        </w:pPr>
        <w:rPr>
          <w:rFonts w:hint="default"/>
        </w:rPr>
      </w:lvl>
    </w:lvlOverride>
    <w:lvlOverride w:ilvl="6">
      <w:lvl w:ilvl="6" w:tplc="715430F6">
        <w:start w:val="1"/>
        <w:numFmt w:val="decimal"/>
        <w:lvlText w:val="%7."/>
        <w:lvlJc w:val="left"/>
        <w:pPr>
          <w:ind w:left="2520" w:hanging="360"/>
        </w:pPr>
        <w:rPr>
          <w:rFonts w:hint="default"/>
        </w:rPr>
      </w:lvl>
    </w:lvlOverride>
    <w:lvlOverride w:ilvl="7">
      <w:lvl w:ilvl="7" w:tplc="95F67CE6">
        <w:start w:val="1"/>
        <w:numFmt w:val="lowerLetter"/>
        <w:lvlText w:val="%8."/>
        <w:lvlJc w:val="left"/>
        <w:pPr>
          <w:ind w:left="2880" w:hanging="360"/>
        </w:pPr>
        <w:rPr>
          <w:rFonts w:hint="default"/>
        </w:rPr>
      </w:lvl>
    </w:lvlOverride>
    <w:lvlOverride w:ilvl="8">
      <w:lvl w:ilvl="8" w:tplc="0A687EAA">
        <w:start w:val="1"/>
        <w:numFmt w:val="lowerRoman"/>
        <w:lvlText w:val="%9."/>
        <w:lvlJc w:val="left"/>
        <w:pPr>
          <w:ind w:left="3240" w:hanging="360"/>
        </w:pPr>
        <w:rPr>
          <w:rFonts w:hint="default"/>
        </w:rPr>
      </w:lvl>
    </w:lvlOverride>
  </w:num>
  <w:num w:numId="15">
    <w:abstractNumId w:val="1"/>
  </w:num>
  <w:num w:numId="16">
    <w:abstractNumId w:val="22"/>
  </w:num>
  <w:num w:numId="17">
    <w:abstractNumId w:val="6"/>
  </w:num>
  <w:num w:numId="18">
    <w:abstractNumId w:val="20"/>
  </w:num>
  <w:num w:numId="19">
    <w:abstractNumId w:val="31"/>
  </w:num>
  <w:num w:numId="20">
    <w:abstractNumId w:val="5"/>
  </w:num>
  <w:num w:numId="21">
    <w:abstractNumId w:val="8"/>
  </w:num>
  <w:num w:numId="22">
    <w:abstractNumId w:val="12"/>
  </w:num>
  <w:num w:numId="23">
    <w:abstractNumId w:val="27"/>
  </w:num>
  <w:num w:numId="24">
    <w:abstractNumId w:val="32"/>
  </w:num>
  <w:num w:numId="25">
    <w:abstractNumId w:val="33"/>
  </w:num>
  <w:num w:numId="26">
    <w:abstractNumId w:val="24"/>
  </w:num>
  <w:num w:numId="27">
    <w:abstractNumId w:val="13"/>
  </w:num>
  <w:num w:numId="28">
    <w:abstractNumId w:val="3"/>
  </w:num>
  <w:num w:numId="29">
    <w:abstractNumId w:val="2"/>
  </w:num>
  <w:num w:numId="30">
    <w:abstractNumId w:val="35"/>
  </w:num>
  <w:num w:numId="31">
    <w:abstractNumId w:val="15"/>
  </w:num>
  <w:num w:numId="32">
    <w:abstractNumId w:val="35"/>
  </w:num>
  <w:num w:numId="33">
    <w:abstractNumId w:val="4"/>
  </w:num>
  <w:num w:numId="34">
    <w:abstractNumId w:val="4"/>
  </w:num>
  <w:num w:numId="35">
    <w:abstractNumId w:val="17"/>
  </w:num>
  <w:num w:numId="36">
    <w:abstractNumId w:val="4"/>
  </w:num>
  <w:num w:numId="37">
    <w:abstractNumId w:val="28"/>
  </w:num>
  <w:num w:numId="38">
    <w:abstractNumId w:val="19"/>
  </w:num>
  <w:num w:numId="39">
    <w:abstractNumId w:val="34"/>
  </w:num>
  <w:num w:numId="40">
    <w:abstractNumId w:val="4"/>
    <w:lvlOverride w:ilvl="0">
      <w:startOverride w:val="1"/>
    </w:lvlOverride>
    <w:lvlOverride w:ilvl="1">
      <w:startOverride w:val="1"/>
    </w:lvlOverride>
  </w:num>
  <w:num w:numId="41">
    <w:abstractNumId w:val="4"/>
  </w:num>
  <w:num w:numId="42">
    <w:abstractNumId w:val="4"/>
  </w:num>
  <w:num w:numId="43">
    <w:abstractNumId w:val="4"/>
  </w:num>
  <w:num w:numId="44">
    <w:abstractNumId w:val="4"/>
    <w:lvlOverride w:ilvl="0">
      <w:startOverride w:val="2"/>
    </w:lvlOverride>
    <w:lvlOverride w:ilvl="1">
      <w:startOverride w:val="1"/>
    </w:lvlOverride>
  </w:num>
  <w:num w:numId="45">
    <w:abstractNumId w:val="4"/>
    <w:lvlOverride w:ilvl="0">
      <w:startOverride w:val="2"/>
    </w:lvlOverride>
    <w:lvlOverride w:ilvl="1">
      <w:startOverride w:val="1"/>
    </w:lvlOverride>
  </w:num>
  <w:num w:numId="46">
    <w:abstractNumId w:val="21"/>
  </w:num>
  <w:num w:numId="47">
    <w:abstractNumId w:val="4"/>
  </w:num>
  <w:num w:numId="48">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zMDO1tDA2MTIxNDFX0lEKTi0uzszPAykwNK0FALV6Lb8tAAAA"/>
  </w:docVars>
  <w:rsids>
    <w:rsidRoot w:val="003B6EFC"/>
    <w:rsid w:val="00000327"/>
    <w:rsid w:val="0000067A"/>
    <w:rsid w:val="00000944"/>
    <w:rsid w:val="00000A23"/>
    <w:rsid w:val="000011C9"/>
    <w:rsid w:val="00001423"/>
    <w:rsid w:val="000014D4"/>
    <w:rsid w:val="000015F5"/>
    <w:rsid w:val="00001B66"/>
    <w:rsid w:val="00001D9C"/>
    <w:rsid w:val="00002361"/>
    <w:rsid w:val="00002513"/>
    <w:rsid w:val="0000288B"/>
    <w:rsid w:val="00002A8E"/>
    <w:rsid w:val="00002DBE"/>
    <w:rsid w:val="00002DD7"/>
    <w:rsid w:val="00002E4F"/>
    <w:rsid w:val="00003093"/>
    <w:rsid w:val="0000317E"/>
    <w:rsid w:val="00003910"/>
    <w:rsid w:val="00003A13"/>
    <w:rsid w:val="0000401B"/>
    <w:rsid w:val="000042CA"/>
    <w:rsid w:val="0000464E"/>
    <w:rsid w:val="00004E53"/>
    <w:rsid w:val="0000516B"/>
    <w:rsid w:val="0000527D"/>
    <w:rsid w:val="000054CE"/>
    <w:rsid w:val="000057DF"/>
    <w:rsid w:val="00005DFB"/>
    <w:rsid w:val="00006DC3"/>
    <w:rsid w:val="00006DF4"/>
    <w:rsid w:val="000070AE"/>
    <w:rsid w:val="00007B27"/>
    <w:rsid w:val="0001009C"/>
    <w:rsid w:val="0001011B"/>
    <w:rsid w:val="00010726"/>
    <w:rsid w:val="00010E4A"/>
    <w:rsid w:val="000111BB"/>
    <w:rsid w:val="000112C4"/>
    <w:rsid w:val="0001145E"/>
    <w:rsid w:val="000117A2"/>
    <w:rsid w:val="00011A4E"/>
    <w:rsid w:val="00011B78"/>
    <w:rsid w:val="00011D24"/>
    <w:rsid w:val="00011E5F"/>
    <w:rsid w:val="0001223E"/>
    <w:rsid w:val="000122EA"/>
    <w:rsid w:val="00013458"/>
    <w:rsid w:val="000134B9"/>
    <w:rsid w:val="00013650"/>
    <w:rsid w:val="00013661"/>
    <w:rsid w:val="00013689"/>
    <w:rsid w:val="0001374E"/>
    <w:rsid w:val="000137A5"/>
    <w:rsid w:val="00013DD6"/>
    <w:rsid w:val="00014009"/>
    <w:rsid w:val="0001445B"/>
    <w:rsid w:val="00014959"/>
    <w:rsid w:val="00014E35"/>
    <w:rsid w:val="00014FCB"/>
    <w:rsid w:val="0001513B"/>
    <w:rsid w:val="00015905"/>
    <w:rsid w:val="000159B0"/>
    <w:rsid w:val="00015D1D"/>
    <w:rsid w:val="00016222"/>
    <w:rsid w:val="0001716B"/>
    <w:rsid w:val="00020468"/>
    <w:rsid w:val="00020F6E"/>
    <w:rsid w:val="000215E7"/>
    <w:rsid w:val="00021AF0"/>
    <w:rsid w:val="00021E7A"/>
    <w:rsid w:val="000224A2"/>
    <w:rsid w:val="000225F8"/>
    <w:rsid w:val="00022686"/>
    <w:rsid w:val="0002301E"/>
    <w:rsid w:val="0002322A"/>
    <w:rsid w:val="00023BF0"/>
    <w:rsid w:val="000248AA"/>
    <w:rsid w:val="00024B7F"/>
    <w:rsid w:val="00024C99"/>
    <w:rsid w:val="00024DC9"/>
    <w:rsid w:val="000257AD"/>
    <w:rsid w:val="000258F8"/>
    <w:rsid w:val="00025AA4"/>
    <w:rsid w:val="00025C71"/>
    <w:rsid w:val="00026352"/>
    <w:rsid w:val="000267CC"/>
    <w:rsid w:val="00026BFE"/>
    <w:rsid w:val="00027F65"/>
    <w:rsid w:val="00030584"/>
    <w:rsid w:val="00031286"/>
    <w:rsid w:val="000319E1"/>
    <w:rsid w:val="00031E7A"/>
    <w:rsid w:val="00032629"/>
    <w:rsid w:val="000328B5"/>
    <w:rsid w:val="00032A69"/>
    <w:rsid w:val="00032A90"/>
    <w:rsid w:val="00032CD7"/>
    <w:rsid w:val="00032E57"/>
    <w:rsid w:val="00032FE8"/>
    <w:rsid w:val="00033476"/>
    <w:rsid w:val="00033743"/>
    <w:rsid w:val="0003386E"/>
    <w:rsid w:val="00033941"/>
    <w:rsid w:val="000339FE"/>
    <w:rsid w:val="00033A2B"/>
    <w:rsid w:val="00034452"/>
    <w:rsid w:val="00035254"/>
    <w:rsid w:val="0003569A"/>
    <w:rsid w:val="00035BAD"/>
    <w:rsid w:val="00036033"/>
    <w:rsid w:val="00036492"/>
    <w:rsid w:val="000369EA"/>
    <w:rsid w:val="00036BA5"/>
    <w:rsid w:val="00036E7F"/>
    <w:rsid w:val="00036FDB"/>
    <w:rsid w:val="00036FFD"/>
    <w:rsid w:val="00040383"/>
    <w:rsid w:val="000407F9"/>
    <w:rsid w:val="00040B95"/>
    <w:rsid w:val="00041626"/>
    <w:rsid w:val="000417C8"/>
    <w:rsid w:val="000419EA"/>
    <w:rsid w:val="00041CE0"/>
    <w:rsid w:val="00041E82"/>
    <w:rsid w:val="00041F57"/>
    <w:rsid w:val="00042143"/>
    <w:rsid w:val="000421E0"/>
    <w:rsid w:val="00042F26"/>
    <w:rsid w:val="000434B2"/>
    <w:rsid w:val="00043A63"/>
    <w:rsid w:val="00043F76"/>
    <w:rsid w:val="0004467F"/>
    <w:rsid w:val="0004483A"/>
    <w:rsid w:val="00044B31"/>
    <w:rsid w:val="00045C05"/>
    <w:rsid w:val="00046095"/>
    <w:rsid w:val="00046A29"/>
    <w:rsid w:val="00046B92"/>
    <w:rsid w:val="00046CF1"/>
    <w:rsid w:val="00046D6B"/>
    <w:rsid w:val="000477C9"/>
    <w:rsid w:val="000478BD"/>
    <w:rsid w:val="00047D92"/>
    <w:rsid w:val="000501F7"/>
    <w:rsid w:val="00050B00"/>
    <w:rsid w:val="00050D41"/>
    <w:rsid w:val="00051282"/>
    <w:rsid w:val="00051285"/>
    <w:rsid w:val="00051348"/>
    <w:rsid w:val="00051A31"/>
    <w:rsid w:val="00051A61"/>
    <w:rsid w:val="00051C63"/>
    <w:rsid w:val="00051D98"/>
    <w:rsid w:val="00051E88"/>
    <w:rsid w:val="00051ED2"/>
    <w:rsid w:val="00052546"/>
    <w:rsid w:val="00052813"/>
    <w:rsid w:val="00052AB9"/>
    <w:rsid w:val="00052BDA"/>
    <w:rsid w:val="00053044"/>
    <w:rsid w:val="0005313A"/>
    <w:rsid w:val="0005313B"/>
    <w:rsid w:val="000533BB"/>
    <w:rsid w:val="0005341C"/>
    <w:rsid w:val="000535BA"/>
    <w:rsid w:val="000537E8"/>
    <w:rsid w:val="0005412E"/>
    <w:rsid w:val="000543CE"/>
    <w:rsid w:val="00054630"/>
    <w:rsid w:val="000550DD"/>
    <w:rsid w:val="000550FC"/>
    <w:rsid w:val="00055145"/>
    <w:rsid w:val="0005563A"/>
    <w:rsid w:val="000556FC"/>
    <w:rsid w:val="000566DC"/>
    <w:rsid w:val="0005695D"/>
    <w:rsid w:val="00056C60"/>
    <w:rsid w:val="0005731B"/>
    <w:rsid w:val="00057502"/>
    <w:rsid w:val="000577E4"/>
    <w:rsid w:val="00057847"/>
    <w:rsid w:val="00057A13"/>
    <w:rsid w:val="00057BC6"/>
    <w:rsid w:val="00057F0B"/>
    <w:rsid w:val="000603E2"/>
    <w:rsid w:val="000605BE"/>
    <w:rsid w:val="00060A7E"/>
    <w:rsid w:val="00060B24"/>
    <w:rsid w:val="00060E44"/>
    <w:rsid w:val="0006107B"/>
    <w:rsid w:val="00061361"/>
    <w:rsid w:val="00061370"/>
    <w:rsid w:val="00062470"/>
    <w:rsid w:val="00062919"/>
    <w:rsid w:val="00062AE7"/>
    <w:rsid w:val="00062C7D"/>
    <w:rsid w:val="000634D4"/>
    <w:rsid w:val="00063D14"/>
    <w:rsid w:val="00064A67"/>
    <w:rsid w:val="00064AD3"/>
    <w:rsid w:val="00065A74"/>
    <w:rsid w:val="00065ABE"/>
    <w:rsid w:val="00066188"/>
    <w:rsid w:val="000662C3"/>
    <w:rsid w:val="0006649B"/>
    <w:rsid w:val="00066928"/>
    <w:rsid w:val="0006708D"/>
    <w:rsid w:val="00067281"/>
    <w:rsid w:val="00067391"/>
    <w:rsid w:val="00067965"/>
    <w:rsid w:val="000679A4"/>
    <w:rsid w:val="00067A17"/>
    <w:rsid w:val="00070141"/>
    <w:rsid w:val="0007026D"/>
    <w:rsid w:val="00070293"/>
    <w:rsid w:val="000708C2"/>
    <w:rsid w:val="000708F1"/>
    <w:rsid w:val="00070B5D"/>
    <w:rsid w:val="00070D9D"/>
    <w:rsid w:val="00071C6A"/>
    <w:rsid w:val="00072618"/>
    <w:rsid w:val="000727A9"/>
    <w:rsid w:val="00072B15"/>
    <w:rsid w:val="000738A7"/>
    <w:rsid w:val="00073ACE"/>
    <w:rsid w:val="00073C0C"/>
    <w:rsid w:val="00073DCC"/>
    <w:rsid w:val="00073DFD"/>
    <w:rsid w:val="00073F84"/>
    <w:rsid w:val="000742A1"/>
    <w:rsid w:val="00074716"/>
    <w:rsid w:val="0007508D"/>
    <w:rsid w:val="000751B3"/>
    <w:rsid w:val="000752C0"/>
    <w:rsid w:val="00075C1F"/>
    <w:rsid w:val="00075D55"/>
    <w:rsid w:val="000760C7"/>
    <w:rsid w:val="000763CA"/>
    <w:rsid w:val="00076849"/>
    <w:rsid w:val="000768E4"/>
    <w:rsid w:val="00076C31"/>
    <w:rsid w:val="00077DA3"/>
    <w:rsid w:val="00077E96"/>
    <w:rsid w:val="000803B9"/>
    <w:rsid w:val="000803F2"/>
    <w:rsid w:val="000813DD"/>
    <w:rsid w:val="0008164D"/>
    <w:rsid w:val="00081DD9"/>
    <w:rsid w:val="00081E28"/>
    <w:rsid w:val="0008250B"/>
    <w:rsid w:val="00082CB2"/>
    <w:rsid w:val="00083159"/>
    <w:rsid w:val="00083A4A"/>
    <w:rsid w:val="0008449F"/>
    <w:rsid w:val="00084B8A"/>
    <w:rsid w:val="00084F85"/>
    <w:rsid w:val="00085026"/>
    <w:rsid w:val="00085282"/>
    <w:rsid w:val="000852CA"/>
    <w:rsid w:val="000852DC"/>
    <w:rsid w:val="00085A58"/>
    <w:rsid w:val="00085F74"/>
    <w:rsid w:val="00086925"/>
    <w:rsid w:val="00086AE8"/>
    <w:rsid w:val="00086BCF"/>
    <w:rsid w:val="000873DA"/>
    <w:rsid w:val="00087A2D"/>
    <w:rsid w:val="00087A7B"/>
    <w:rsid w:val="0009084A"/>
    <w:rsid w:val="00090D74"/>
    <w:rsid w:val="000915D0"/>
    <w:rsid w:val="00091D2A"/>
    <w:rsid w:val="000923E4"/>
    <w:rsid w:val="000924CA"/>
    <w:rsid w:val="00092EE4"/>
    <w:rsid w:val="00093154"/>
    <w:rsid w:val="00093691"/>
    <w:rsid w:val="0009385A"/>
    <w:rsid w:val="000943ED"/>
    <w:rsid w:val="000956E8"/>
    <w:rsid w:val="0009670F"/>
    <w:rsid w:val="00096F73"/>
    <w:rsid w:val="000970A7"/>
    <w:rsid w:val="000977A0"/>
    <w:rsid w:val="00097914"/>
    <w:rsid w:val="000A083F"/>
    <w:rsid w:val="000A0C03"/>
    <w:rsid w:val="000A11DC"/>
    <w:rsid w:val="000A12E9"/>
    <w:rsid w:val="000A16E9"/>
    <w:rsid w:val="000A1D5A"/>
    <w:rsid w:val="000A1D66"/>
    <w:rsid w:val="000A1DCC"/>
    <w:rsid w:val="000A1ECC"/>
    <w:rsid w:val="000A212E"/>
    <w:rsid w:val="000A2CBB"/>
    <w:rsid w:val="000A3A2E"/>
    <w:rsid w:val="000A3C00"/>
    <w:rsid w:val="000A3F2C"/>
    <w:rsid w:val="000A4282"/>
    <w:rsid w:val="000A43D8"/>
    <w:rsid w:val="000A4931"/>
    <w:rsid w:val="000A4F00"/>
    <w:rsid w:val="000A51DF"/>
    <w:rsid w:val="000A5554"/>
    <w:rsid w:val="000A5782"/>
    <w:rsid w:val="000A5D9B"/>
    <w:rsid w:val="000A61C0"/>
    <w:rsid w:val="000A6F69"/>
    <w:rsid w:val="000A737C"/>
    <w:rsid w:val="000A73CC"/>
    <w:rsid w:val="000A740F"/>
    <w:rsid w:val="000A7854"/>
    <w:rsid w:val="000A7A71"/>
    <w:rsid w:val="000A7EEA"/>
    <w:rsid w:val="000B03A1"/>
    <w:rsid w:val="000B03A3"/>
    <w:rsid w:val="000B09E5"/>
    <w:rsid w:val="000B0A05"/>
    <w:rsid w:val="000B0AEE"/>
    <w:rsid w:val="000B0B79"/>
    <w:rsid w:val="000B0EB8"/>
    <w:rsid w:val="000B1368"/>
    <w:rsid w:val="000B16A5"/>
    <w:rsid w:val="000B2E7F"/>
    <w:rsid w:val="000B38BE"/>
    <w:rsid w:val="000B3963"/>
    <w:rsid w:val="000B4900"/>
    <w:rsid w:val="000B5058"/>
    <w:rsid w:val="000B5087"/>
    <w:rsid w:val="000B5132"/>
    <w:rsid w:val="000B5156"/>
    <w:rsid w:val="000B5746"/>
    <w:rsid w:val="000B5BE6"/>
    <w:rsid w:val="000B6044"/>
    <w:rsid w:val="000B63EF"/>
    <w:rsid w:val="000B6418"/>
    <w:rsid w:val="000B68C5"/>
    <w:rsid w:val="000B7802"/>
    <w:rsid w:val="000B7E3A"/>
    <w:rsid w:val="000C05DA"/>
    <w:rsid w:val="000C06BA"/>
    <w:rsid w:val="000C0AAE"/>
    <w:rsid w:val="000C10A4"/>
    <w:rsid w:val="000C1291"/>
    <w:rsid w:val="000C1536"/>
    <w:rsid w:val="000C15F8"/>
    <w:rsid w:val="000C1B7E"/>
    <w:rsid w:val="000C1E06"/>
    <w:rsid w:val="000C1E0E"/>
    <w:rsid w:val="000C1E1F"/>
    <w:rsid w:val="000C2249"/>
    <w:rsid w:val="000C236E"/>
    <w:rsid w:val="000C2437"/>
    <w:rsid w:val="000C2725"/>
    <w:rsid w:val="000C276B"/>
    <w:rsid w:val="000C2A0D"/>
    <w:rsid w:val="000C2AFE"/>
    <w:rsid w:val="000C2DF9"/>
    <w:rsid w:val="000C304E"/>
    <w:rsid w:val="000C3C61"/>
    <w:rsid w:val="000C3FD1"/>
    <w:rsid w:val="000C4036"/>
    <w:rsid w:val="000C40AC"/>
    <w:rsid w:val="000C486D"/>
    <w:rsid w:val="000C4959"/>
    <w:rsid w:val="000C4D9D"/>
    <w:rsid w:val="000C4F83"/>
    <w:rsid w:val="000C5205"/>
    <w:rsid w:val="000C57B9"/>
    <w:rsid w:val="000C5FFA"/>
    <w:rsid w:val="000C6954"/>
    <w:rsid w:val="000C6A14"/>
    <w:rsid w:val="000C6B1A"/>
    <w:rsid w:val="000C6DE6"/>
    <w:rsid w:val="000C76B2"/>
    <w:rsid w:val="000C77F7"/>
    <w:rsid w:val="000C7C87"/>
    <w:rsid w:val="000D0209"/>
    <w:rsid w:val="000D0F00"/>
    <w:rsid w:val="000D140E"/>
    <w:rsid w:val="000D18AE"/>
    <w:rsid w:val="000D195C"/>
    <w:rsid w:val="000D1BF8"/>
    <w:rsid w:val="000D1D60"/>
    <w:rsid w:val="000D2293"/>
    <w:rsid w:val="000D271D"/>
    <w:rsid w:val="000D277F"/>
    <w:rsid w:val="000D3163"/>
    <w:rsid w:val="000D3228"/>
    <w:rsid w:val="000D3D4D"/>
    <w:rsid w:val="000D426B"/>
    <w:rsid w:val="000D4A4E"/>
    <w:rsid w:val="000D53A3"/>
    <w:rsid w:val="000D5A4B"/>
    <w:rsid w:val="000D617F"/>
    <w:rsid w:val="000D7062"/>
    <w:rsid w:val="000D728C"/>
    <w:rsid w:val="000D7432"/>
    <w:rsid w:val="000E013D"/>
    <w:rsid w:val="000E1250"/>
    <w:rsid w:val="000E1322"/>
    <w:rsid w:val="000E26E4"/>
    <w:rsid w:val="000E3268"/>
    <w:rsid w:val="000E3434"/>
    <w:rsid w:val="000E3521"/>
    <w:rsid w:val="000E356A"/>
    <w:rsid w:val="000E35E5"/>
    <w:rsid w:val="000E3BFD"/>
    <w:rsid w:val="000E3E87"/>
    <w:rsid w:val="000E3FD8"/>
    <w:rsid w:val="000E4097"/>
    <w:rsid w:val="000E4142"/>
    <w:rsid w:val="000E4576"/>
    <w:rsid w:val="000E4A14"/>
    <w:rsid w:val="000E4CD5"/>
    <w:rsid w:val="000E537E"/>
    <w:rsid w:val="000E5561"/>
    <w:rsid w:val="000E58C6"/>
    <w:rsid w:val="000E5EFB"/>
    <w:rsid w:val="000E6310"/>
    <w:rsid w:val="000E68E8"/>
    <w:rsid w:val="000E6AE7"/>
    <w:rsid w:val="000E7DFD"/>
    <w:rsid w:val="000E7ED1"/>
    <w:rsid w:val="000F0404"/>
    <w:rsid w:val="000F0AB0"/>
    <w:rsid w:val="000F0E93"/>
    <w:rsid w:val="000F107F"/>
    <w:rsid w:val="000F1B4F"/>
    <w:rsid w:val="000F203D"/>
    <w:rsid w:val="000F23C9"/>
    <w:rsid w:val="000F3494"/>
    <w:rsid w:val="000F3AC1"/>
    <w:rsid w:val="000F3C62"/>
    <w:rsid w:val="000F4B1F"/>
    <w:rsid w:val="000F4BCE"/>
    <w:rsid w:val="000F53E9"/>
    <w:rsid w:val="000F54AA"/>
    <w:rsid w:val="000F56EA"/>
    <w:rsid w:val="000F6050"/>
    <w:rsid w:val="000F6465"/>
    <w:rsid w:val="000F708A"/>
    <w:rsid w:val="0010002C"/>
    <w:rsid w:val="00100947"/>
    <w:rsid w:val="001019E0"/>
    <w:rsid w:val="00101B1D"/>
    <w:rsid w:val="00101C72"/>
    <w:rsid w:val="00101EC6"/>
    <w:rsid w:val="00101EEC"/>
    <w:rsid w:val="001021D2"/>
    <w:rsid w:val="0010223A"/>
    <w:rsid w:val="00102266"/>
    <w:rsid w:val="001023B1"/>
    <w:rsid w:val="001023B4"/>
    <w:rsid w:val="00102BA1"/>
    <w:rsid w:val="00103238"/>
    <w:rsid w:val="00103899"/>
    <w:rsid w:val="00103B67"/>
    <w:rsid w:val="001041A1"/>
    <w:rsid w:val="001041A8"/>
    <w:rsid w:val="0010462F"/>
    <w:rsid w:val="00104695"/>
    <w:rsid w:val="001047C6"/>
    <w:rsid w:val="00104C6B"/>
    <w:rsid w:val="00104E68"/>
    <w:rsid w:val="00104F68"/>
    <w:rsid w:val="00105054"/>
    <w:rsid w:val="00105D93"/>
    <w:rsid w:val="00105FB1"/>
    <w:rsid w:val="001063D5"/>
    <w:rsid w:val="00106BEC"/>
    <w:rsid w:val="00106F6B"/>
    <w:rsid w:val="0010715E"/>
    <w:rsid w:val="00107302"/>
    <w:rsid w:val="00107345"/>
    <w:rsid w:val="00107ACD"/>
    <w:rsid w:val="00107CD7"/>
    <w:rsid w:val="00107D7D"/>
    <w:rsid w:val="00107E3C"/>
    <w:rsid w:val="001100C9"/>
    <w:rsid w:val="00110187"/>
    <w:rsid w:val="00110E04"/>
    <w:rsid w:val="00111017"/>
    <w:rsid w:val="00111147"/>
    <w:rsid w:val="001118CC"/>
    <w:rsid w:val="00111A74"/>
    <w:rsid w:val="00111B2D"/>
    <w:rsid w:val="00111D2A"/>
    <w:rsid w:val="00112156"/>
    <w:rsid w:val="001121FB"/>
    <w:rsid w:val="001128A0"/>
    <w:rsid w:val="00112C31"/>
    <w:rsid w:val="00112F65"/>
    <w:rsid w:val="0011304E"/>
    <w:rsid w:val="00113478"/>
    <w:rsid w:val="001134C9"/>
    <w:rsid w:val="001134FB"/>
    <w:rsid w:val="00113755"/>
    <w:rsid w:val="00113D0A"/>
    <w:rsid w:val="00114468"/>
    <w:rsid w:val="00114562"/>
    <w:rsid w:val="001148A4"/>
    <w:rsid w:val="001149A1"/>
    <w:rsid w:val="00114EBF"/>
    <w:rsid w:val="00115133"/>
    <w:rsid w:val="001151BD"/>
    <w:rsid w:val="0011523D"/>
    <w:rsid w:val="00115D02"/>
    <w:rsid w:val="00115E31"/>
    <w:rsid w:val="00115EBE"/>
    <w:rsid w:val="001162D8"/>
    <w:rsid w:val="00116905"/>
    <w:rsid w:val="00116913"/>
    <w:rsid w:val="00116F1B"/>
    <w:rsid w:val="001173A3"/>
    <w:rsid w:val="00117400"/>
    <w:rsid w:val="00117642"/>
    <w:rsid w:val="001178D7"/>
    <w:rsid w:val="00117A49"/>
    <w:rsid w:val="00117B31"/>
    <w:rsid w:val="00117BC1"/>
    <w:rsid w:val="00117DF7"/>
    <w:rsid w:val="0012004A"/>
    <w:rsid w:val="00120626"/>
    <w:rsid w:val="001209EC"/>
    <w:rsid w:val="00120B7C"/>
    <w:rsid w:val="00120E94"/>
    <w:rsid w:val="00120FFE"/>
    <w:rsid w:val="0012176A"/>
    <w:rsid w:val="0012274A"/>
    <w:rsid w:val="00122A0C"/>
    <w:rsid w:val="00123763"/>
    <w:rsid w:val="0012384B"/>
    <w:rsid w:val="00123AEA"/>
    <w:rsid w:val="00123B5E"/>
    <w:rsid w:val="00123CCE"/>
    <w:rsid w:val="00124040"/>
    <w:rsid w:val="00124604"/>
    <w:rsid w:val="001246B9"/>
    <w:rsid w:val="001252AF"/>
    <w:rsid w:val="001255D1"/>
    <w:rsid w:val="00125B87"/>
    <w:rsid w:val="00125E79"/>
    <w:rsid w:val="00125F6D"/>
    <w:rsid w:val="001266BC"/>
    <w:rsid w:val="00126A3F"/>
    <w:rsid w:val="00126CDA"/>
    <w:rsid w:val="00126E6C"/>
    <w:rsid w:val="00126EA8"/>
    <w:rsid w:val="001270D6"/>
    <w:rsid w:val="0012728C"/>
    <w:rsid w:val="001272B6"/>
    <w:rsid w:val="0012761E"/>
    <w:rsid w:val="0013070F"/>
    <w:rsid w:val="0013079D"/>
    <w:rsid w:val="0013086E"/>
    <w:rsid w:val="00131064"/>
    <w:rsid w:val="00131230"/>
    <w:rsid w:val="001313BB"/>
    <w:rsid w:val="00131B26"/>
    <w:rsid w:val="00131D2B"/>
    <w:rsid w:val="001325B1"/>
    <w:rsid w:val="00132A40"/>
    <w:rsid w:val="00132E36"/>
    <w:rsid w:val="00133940"/>
    <w:rsid w:val="0013445F"/>
    <w:rsid w:val="001345CC"/>
    <w:rsid w:val="001348C0"/>
    <w:rsid w:val="0013496A"/>
    <w:rsid w:val="00134D0E"/>
    <w:rsid w:val="00134DAE"/>
    <w:rsid w:val="001352E9"/>
    <w:rsid w:val="00135798"/>
    <w:rsid w:val="00135958"/>
    <w:rsid w:val="00136038"/>
    <w:rsid w:val="00136373"/>
    <w:rsid w:val="001366D3"/>
    <w:rsid w:val="00136E55"/>
    <w:rsid w:val="00137214"/>
    <w:rsid w:val="00137478"/>
    <w:rsid w:val="001378A0"/>
    <w:rsid w:val="00137A69"/>
    <w:rsid w:val="00140AE2"/>
    <w:rsid w:val="00140CAA"/>
    <w:rsid w:val="00140E53"/>
    <w:rsid w:val="00141164"/>
    <w:rsid w:val="0014168D"/>
    <w:rsid w:val="001417AD"/>
    <w:rsid w:val="001419DF"/>
    <w:rsid w:val="00142237"/>
    <w:rsid w:val="001425A7"/>
    <w:rsid w:val="001425FE"/>
    <w:rsid w:val="00143592"/>
    <w:rsid w:val="0014372B"/>
    <w:rsid w:val="00143A64"/>
    <w:rsid w:val="00143EDA"/>
    <w:rsid w:val="001441B5"/>
    <w:rsid w:val="00144572"/>
    <w:rsid w:val="00144C1E"/>
    <w:rsid w:val="00145C57"/>
    <w:rsid w:val="00145D8C"/>
    <w:rsid w:val="00145DB7"/>
    <w:rsid w:val="001464D3"/>
    <w:rsid w:val="001469C0"/>
    <w:rsid w:val="00146D5A"/>
    <w:rsid w:val="0014731D"/>
    <w:rsid w:val="001479E4"/>
    <w:rsid w:val="0015009B"/>
    <w:rsid w:val="001502DC"/>
    <w:rsid w:val="001505DB"/>
    <w:rsid w:val="00150A14"/>
    <w:rsid w:val="00150A7D"/>
    <w:rsid w:val="00150CA7"/>
    <w:rsid w:val="00150E83"/>
    <w:rsid w:val="0015116E"/>
    <w:rsid w:val="0015119F"/>
    <w:rsid w:val="001515B1"/>
    <w:rsid w:val="00151BC5"/>
    <w:rsid w:val="00151C2C"/>
    <w:rsid w:val="00151ED4"/>
    <w:rsid w:val="001524F5"/>
    <w:rsid w:val="001528FF"/>
    <w:rsid w:val="00152955"/>
    <w:rsid w:val="00152FCA"/>
    <w:rsid w:val="0015321E"/>
    <w:rsid w:val="001536BE"/>
    <w:rsid w:val="00153E26"/>
    <w:rsid w:val="00153FC7"/>
    <w:rsid w:val="001540C9"/>
    <w:rsid w:val="001541A8"/>
    <w:rsid w:val="001545B4"/>
    <w:rsid w:val="001546F6"/>
    <w:rsid w:val="0015476A"/>
    <w:rsid w:val="001547D7"/>
    <w:rsid w:val="00154D12"/>
    <w:rsid w:val="00154FC4"/>
    <w:rsid w:val="00154FE2"/>
    <w:rsid w:val="001551F6"/>
    <w:rsid w:val="00155666"/>
    <w:rsid w:val="00155EE1"/>
    <w:rsid w:val="00156042"/>
    <w:rsid w:val="00156AD3"/>
    <w:rsid w:val="00156C7F"/>
    <w:rsid w:val="00157186"/>
    <w:rsid w:val="00157428"/>
    <w:rsid w:val="00160137"/>
    <w:rsid w:val="00160403"/>
    <w:rsid w:val="001604D0"/>
    <w:rsid w:val="001605D2"/>
    <w:rsid w:val="001608F0"/>
    <w:rsid w:val="001615FD"/>
    <w:rsid w:val="00161751"/>
    <w:rsid w:val="00161863"/>
    <w:rsid w:val="001619D7"/>
    <w:rsid w:val="00161A18"/>
    <w:rsid w:val="00161F93"/>
    <w:rsid w:val="00162152"/>
    <w:rsid w:val="0016255E"/>
    <w:rsid w:val="00162951"/>
    <w:rsid w:val="001629A2"/>
    <w:rsid w:val="00163484"/>
    <w:rsid w:val="0016459A"/>
    <w:rsid w:val="00164739"/>
    <w:rsid w:val="00164A7D"/>
    <w:rsid w:val="001653D1"/>
    <w:rsid w:val="00165C55"/>
    <w:rsid w:val="00165F42"/>
    <w:rsid w:val="0016609E"/>
    <w:rsid w:val="001663A9"/>
    <w:rsid w:val="001667D1"/>
    <w:rsid w:val="0016683E"/>
    <w:rsid w:val="0016699A"/>
    <w:rsid w:val="00166D65"/>
    <w:rsid w:val="00166FA3"/>
    <w:rsid w:val="001670AE"/>
    <w:rsid w:val="001671A3"/>
    <w:rsid w:val="0016737A"/>
    <w:rsid w:val="001673EE"/>
    <w:rsid w:val="001678BF"/>
    <w:rsid w:val="00167CBD"/>
    <w:rsid w:val="0017018E"/>
    <w:rsid w:val="001708FD"/>
    <w:rsid w:val="0017179C"/>
    <w:rsid w:val="00172137"/>
    <w:rsid w:val="00172611"/>
    <w:rsid w:val="00172666"/>
    <w:rsid w:val="0017275F"/>
    <w:rsid w:val="0017293F"/>
    <w:rsid w:val="00172E12"/>
    <w:rsid w:val="00172EC3"/>
    <w:rsid w:val="0017370B"/>
    <w:rsid w:val="001739D4"/>
    <w:rsid w:val="00173A02"/>
    <w:rsid w:val="00173AC8"/>
    <w:rsid w:val="00173F70"/>
    <w:rsid w:val="001748D2"/>
    <w:rsid w:val="00174981"/>
    <w:rsid w:val="00174DCA"/>
    <w:rsid w:val="00174FA4"/>
    <w:rsid w:val="00175072"/>
    <w:rsid w:val="00175138"/>
    <w:rsid w:val="0017557A"/>
    <w:rsid w:val="0017592D"/>
    <w:rsid w:val="0017598D"/>
    <w:rsid w:val="001759E5"/>
    <w:rsid w:val="00175C72"/>
    <w:rsid w:val="00175FA9"/>
    <w:rsid w:val="001760B4"/>
    <w:rsid w:val="0017663A"/>
    <w:rsid w:val="00176D5C"/>
    <w:rsid w:val="001772AA"/>
    <w:rsid w:val="001772B4"/>
    <w:rsid w:val="00177AB8"/>
    <w:rsid w:val="00180070"/>
    <w:rsid w:val="00180787"/>
    <w:rsid w:val="00180B3A"/>
    <w:rsid w:val="00181096"/>
    <w:rsid w:val="00181294"/>
    <w:rsid w:val="00181313"/>
    <w:rsid w:val="001813E7"/>
    <w:rsid w:val="0018156E"/>
    <w:rsid w:val="001820F2"/>
    <w:rsid w:val="001824E3"/>
    <w:rsid w:val="0018252F"/>
    <w:rsid w:val="001826C7"/>
    <w:rsid w:val="001826CF"/>
    <w:rsid w:val="001828AC"/>
    <w:rsid w:val="00182ABA"/>
    <w:rsid w:val="00182D68"/>
    <w:rsid w:val="0018315A"/>
    <w:rsid w:val="001832FF"/>
    <w:rsid w:val="001835B9"/>
    <w:rsid w:val="00183C36"/>
    <w:rsid w:val="00184983"/>
    <w:rsid w:val="00184CE6"/>
    <w:rsid w:val="00185186"/>
    <w:rsid w:val="00185841"/>
    <w:rsid w:val="0018585C"/>
    <w:rsid w:val="00185889"/>
    <w:rsid w:val="00186087"/>
    <w:rsid w:val="00186574"/>
    <w:rsid w:val="001865E7"/>
    <w:rsid w:val="001867B4"/>
    <w:rsid w:val="00187366"/>
    <w:rsid w:val="00187BF2"/>
    <w:rsid w:val="00187C15"/>
    <w:rsid w:val="001900A9"/>
    <w:rsid w:val="001900AF"/>
    <w:rsid w:val="0019059E"/>
    <w:rsid w:val="00190634"/>
    <w:rsid w:val="001906A7"/>
    <w:rsid w:val="00190C2E"/>
    <w:rsid w:val="00190E51"/>
    <w:rsid w:val="00190EAC"/>
    <w:rsid w:val="0019151A"/>
    <w:rsid w:val="001916AF"/>
    <w:rsid w:val="0019215B"/>
    <w:rsid w:val="00192319"/>
    <w:rsid w:val="00192324"/>
    <w:rsid w:val="001926D8"/>
    <w:rsid w:val="0019292F"/>
    <w:rsid w:val="001930B8"/>
    <w:rsid w:val="001932A4"/>
    <w:rsid w:val="00193AD6"/>
    <w:rsid w:val="00193B4E"/>
    <w:rsid w:val="00193C08"/>
    <w:rsid w:val="00193EC7"/>
    <w:rsid w:val="001940C9"/>
    <w:rsid w:val="00194291"/>
    <w:rsid w:val="0019429B"/>
    <w:rsid w:val="001946E7"/>
    <w:rsid w:val="0019491C"/>
    <w:rsid w:val="00194C55"/>
    <w:rsid w:val="001950F4"/>
    <w:rsid w:val="00195285"/>
    <w:rsid w:val="00195C98"/>
    <w:rsid w:val="00196435"/>
    <w:rsid w:val="0019646D"/>
    <w:rsid w:val="001972C1"/>
    <w:rsid w:val="00197846"/>
    <w:rsid w:val="00197F32"/>
    <w:rsid w:val="001A000A"/>
    <w:rsid w:val="001A0346"/>
    <w:rsid w:val="001A05E7"/>
    <w:rsid w:val="001A0602"/>
    <w:rsid w:val="001A076E"/>
    <w:rsid w:val="001A0D48"/>
    <w:rsid w:val="001A1097"/>
    <w:rsid w:val="001A10D0"/>
    <w:rsid w:val="001A11B5"/>
    <w:rsid w:val="001A1B28"/>
    <w:rsid w:val="001A1EEB"/>
    <w:rsid w:val="001A26D7"/>
    <w:rsid w:val="001A2939"/>
    <w:rsid w:val="001A316C"/>
    <w:rsid w:val="001A3193"/>
    <w:rsid w:val="001A3813"/>
    <w:rsid w:val="001A3E74"/>
    <w:rsid w:val="001A3E84"/>
    <w:rsid w:val="001A479B"/>
    <w:rsid w:val="001A49D4"/>
    <w:rsid w:val="001A4AF4"/>
    <w:rsid w:val="001A5D98"/>
    <w:rsid w:val="001A5F1B"/>
    <w:rsid w:val="001A612E"/>
    <w:rsid w:val="001A632C"/>
    <w:rsid w:val="001A63CB"/>
    <w:rsid w:val="001A6897"/>
    <w:rsid w:val="001A7181"/>
    <w:rsid w:val="001A7370"/>
    <w:rsid w:val="001A7AE9"/>
    <w:rsid w:val="001B016A"/>
    <w:rsid w:val="001B04E8"/>
    <w:rsid w:val="001B09B1"/>
    <w:rsid w:val="001B0EAB"/>
    <w:rsid w:val="001B10B3"/>
    <w:rsid w:val="001B138D"/>
    <w:rsid w:val="001B1795"/>
    <w:rsid w:val="001B1C7C"/>
    <w:rsid w:val="001B1D59"/>
    <w:rsid w:val="001B2332"/>
    <w:rsid w:val="001B2BFC"/>
    <w:rsid w:val="001B2FC7"/>
    <w:rsid w:val="001B323D"/>
    <w:rsid w:val="001B3433"/>
    <w:rsid w:val="001B34F6"/>
    <w:rsid w:val="001B36EF"/>
    <w:rsid w:val="001B3778"/>
    <w:rsid w:val="001B3E5E"/>
    <w:rsid w:val="001B472D"/>
    <w:rsid w:val="001B4803"/>
    <w:rsid w:val="001B4EC6"/>
    <w:rsid w:val="001B4F6A"/>
    <w:rsid w:val="001B5354"/>
    <w:rsid w:val="001B68AC"/>
    <w:rsid w:val="001B730A"/>
    <w:rsid w:val="001B74E8"/>
    <w:rsid w:val="001C0031"/>
    <w:rsid w:val="001C01D5"/>
    <w:rsid w:val="001C02AF"/>
    <w:rsid w:val="001C0D3E"/>
    <w:rsid w:val="001C0F6C"/>
    <w:rsid w:val="001C104A"/>
    <w:rsid w:val="001C1311"/>
    <w:rsid w:val="001C1A7C"/>
    <w:rsid w:val="001C1CA0"/>
    <w:rsid w:val="001C1CAD"/>
    <w:rsid w:val="001C258F"/>
    <w:rsid w:val="001C26EA"/>
    <w:rsid w:val="001C282B"/>
    <w:rsid w:val="001C2F99"/>
    <w:rsid w:val="001C319D"/>
    <w:rsid w:val="001C4451"/>
    <w:rsid w:val="001C4757"/>
    <w:rsid w:val="001C51EF"/>
    <w:rsid w:val="001C73F2"/>
    <w:rsid w:val="001C7521"/>
    <w:rsid w:val="001C767C"/>
    <w:rsid w:val="001C76AF"/>
    <w:rsid w:val="001C7CE6"/>
    <w:rsid w:val="001C7CEC"/>
    <w:rsid w:val="001D026F"/>
    <w:rsid w:val="001D02E4"/>
    <w:rsid w:val="001D0AFF"/>
    <w:rsid w:val="001D0CA3"/>
    <w:rsid w:val="001D0F13"/>
    <w:rsid w:val="001D1426"/>
    <w:rsid w:val="001D1682"/>
    <w:rsid w:val="001D2296"/>
    <w:rsid w:val="001D278B"/>
    <w:rsid w:val="001D2E7C"/>
    <w:rsid w:val="001D3454"/>
    <w:rsid w:val="001D3695"/>
    <w:rsid w:val="001D378D"/>
    <w:rsid w:val="001D3EFC"/>
    <w:rsid w:val="001D43BE"/>
    <w:rsid w:val="001D45A7"/>
    <w:rsid w:val="001D47A2"/>
    <w:rsid w:val="001D4B92"/>
    <w:rsid w:val="001D5389"/>
    <w:rsid w:val="001D595C"/>
    <w:rsid w:val="001D60B3"/>
    <w:rsid w:val="001D6222"/>
    <w:rsid w:val="001D6817"/>
    <w:rsid w:val="001D6B5E"/>
    <w:rsid w:val="001D7211"/>
    <w:rsid w:val="001D76EF"/>
    <w:rsid w:val="001D778B"/>
    <w:rsid w:val="001D79B2"/>
    <w:rsid w:val="001D7A3C"/>
    <w:rsid w:val="001E051D"/>
    <w:rsid w:val="001E0AFF"/>
    <w:rsid w:val="001E0E2B"/>
    <w:rsid w:val="001E1794"/>
    <w:rsid w:val="001E19B4"/>
    <w:rsid w:val="001E1EC8"/>
    <w:rsid w:val="001E1F1F"/>
    <w:rsid w:val="001E2263"/>
    <w:rsid w:val="001E2451"/>
    <w:rsid w:val="001E25E9"/>
    <w:rsid w:val="001E32A4"/>
    <w:rsid w:val="001E3305"/>
    <w:rsid w:val="001E3360"/>
    <w:rsid w:val="001E36E6"/>
    <w:rsid w:val="001E3A54"/>
    <w:rsid w:val="001E3C42"/>
    <w:rsid w:val="001E3EC2"/>
    <w:rsid w:val="001E4191"/>
    <w:rsid w:val="001E4495"/>
    <w:rsid w:val="001E490E"/>
    <w:rsid w:val="001E4A55"/>
    <w:rsid w:val="001E5031"/>
    <w:rsid w:val="001E55B3"/>
    <w:rsid w:val="001E5EE2"/>
    <w:rsid w:val="001E5F8E"/>
    <w:rsid w:val="001E6548"/>
    <w:rsid w:val="001E6D55"/>
    <w:rsid w:val="001E72B3"/>
    <w:rsid w:val="001F04F6"/>
    <w:rsid w:val="001F059F"/>
    <w:rsid w:val="001F1204"/>
    <w:rsid w:val="001F1227"/>
    <w:rsid w:val="001F1B79"/>
    <w:rsid w:val="001F2489"/>
    <w:rsid w:val="001F2F69"/>
    <w:rsid w:val="001F2FD8"/>
    <w:rsid w:val="001F3338"/>
    <w:rsid w:val="001F33D7"/>
    <w:rsid w:val="001F3401"/>
    <w:rsid w:val="001F3405"/>
    <w:rsid w:val="001F35E1"/>
    <w:rsid w:val="001F3889"/>
    <w:rsid w:val="001F3996"/>
    <w:rsid w:val="001F39C3"/>
    <w:rsid w:val="001F4336"/>
    <w:rsid w:val="001F45C9"/>
    <w:rsid w:val="001F49BB"/>
    <w:rsid w:val="001F4A81"/>
    <w:rsid w:val="001F5099"/>
    <w:rsid w:val="001F51E6"/>
    <w:rsid w:val="001F569C"/>
    <w:rsid w:val="001F590D"/>
    <w:rsid w:val="001F5F97"/>
    <w:rsid w:val="001F60CC"/>
    <w:rsid w:val="001F6158"/>
    <w:rsid w:val="001F61C7"/>
    <w:rsid w:val="001F6331"/>
    <w:rsid w:val="001F6449"/>
    <w:rsid w:val="001F6521"/>
    <w:rsid w:val="001F653A"/>
    <w:rsid w:val="001F667A"/>
    <w:rsid w:val="001F6C7E"/>
    <w:rsid w:val="001F6F81"/>
    <w:rsid w:val="001F713D"/>
    <w:rsid w:val="001F7455"/>
    <w:rsid w:val="001F7F31"/>
    <w:rsid w:val="00200282"/>
    <w:rsid w:val="002003F7"/>
    <w:rsid w:val="00200707"/>
    <w:rsid w:val="002012F1"/>
    <w:rsid w:val="0020160A"/>
    <w:rsid w:val="00201C82"/>
    <w:rsid w:val="0020273A"/>
    <w:rsid w:val="00203000"/>
    <w:rsid w:val="00203064"/>
    <w:rsid w:val="00203270"/>
    <w:rsid w:val="00203995"/>
    <w:rsid w:val="002039A8"/>
    <w:rsid w:val="0020437A"/>
    <w:rsid w:val="002046C1"/>
    <w:rsid w:val="00204780"/>
    <w:rsid w:val="0020481D"/>
    <w:rsid w:val="0020489B"/>
    <w:rsid w:val="002049CF"/>
    <w:rsid w:val="0020500D"/>
    <w:rsid w:val="002050C3"/>
    <w:rsid w:val="00205572"/>
    <w:rsid w:val="002056B3"/>
    <w:rsid w:val="00205B80"/>
    <w:rsid w:val="00205C4F"/>
    <w:rsid w:val="00205D5F"/>
    <w:rsid w:val="00206CD4"/>
    <w:rsid w:val="00211484"/>
    <w:rsid w:val="002114E7"/>
    <w:rsid w:val="00211797"/>
    <w:rsid w:val="00211D6E"/>
    <w:rsid w:val="00212182"/>
    <w:rsid w:val="002125CF"/>
    <w:rsid w:val="00212688"/>
    <w:rsid w:val="0021271D"/>
    <w:rsid w:val="00212B10"/>
    <w:rsid w:val="00212B84"/>
    <w:rsid w:val="00212BB4"/>
    <w:rsid w:val="002130FB"/>
    <w:rsid w:val="0021355E"/>
    <w:rsid w:val="0021374C"/>
    <w:rsid w:val="00213A11"/>
    <w:rsid w:val="0021451B"/>
    <w:rsid w:val="00214A3F"/>
    <w:rsid w:val="0021528B"/>
    <w:rsid w:val="0021529C"/>
    <w:rsid w:val="00215D82"/>
    <w:rsid w:val="00215D89"/>
    <w:rsid w:val="00215F53"/>
    <w:rsid w:val="0021649F"/>
    <w:rsid w:val="00216C0D"/>
    <w:rsid w:val="00216CAC"/>
    <w:rsid w:val="00217287"/>
    <w:rsid w:val="00217576"/>
    <w:rsid w:val="0021762E"/>
    <w:rsid w:val="00217696"/>
    <w:rsid w:val="002177C2"/>
    <w:rsid w:val="00217A9B"/>
    <w:rsid w:val="00220464"/>
    <w:rsid w:val="0022083F"/>
    <w:rsid w:val="00220E93"/>
    <w:rsid w:val="0022177B"/>
    <w:rsid w:val="002217D6"/>
    <w:rsid w:val="00222216"/>
    <w:rsid w:val="002224A0"/>
    <w:rsid w:val="0022274D"/>
    <w:rsid w:val="00222946"/>
    <w:rsid w:val="00222CAF"/>
    <w:rsid w:val="00222D53"/>
    <w:rsid w:val="0022305C"/>
    <w:rsid w:val="0022329B"/>
    <w:rsid w:val="002232CC"/>
    <w:rsid w:val="002235F8"/>
    <w:rsid w:val="00223779"/>
    <w:rsid w:val="002244FE"/>
    <w:rsid w:val="002245A6"/>
    <w:rsid w:val="00224605"/>
    <w:rsid w:val="00224731"/>
    <w:rsid w:val="00224DB7"/>
    <w:rsid w:val="00225274"/>
    <w:rsid w:val="002254B4"/>
    <w:rsid w:val="0022561C"/>
    <w:rsid w:val="00225A63"/>
    <w:rsid w:val="0022607C"/>
    <w:rsid w:val="0022646C"/>
    <w:rsid w:val="0022670F"/>
    <w:rsid w:val="00226F9D"/>
    <w:rsid w:val="002270FD"/>
    <w:rsid w:val="00227309"/>
    <w:rsid w:val="002274D2"/>
    <w:rsid w:val="002274E0"/>
    <w:rsid w:val="00227F96"/>
    <w:rsid w:val="002305FE"/>
    <w:rsid w:val="00230976"/>
    <w:rsid w:val="00230B6E"/>
    <w:rsid w:val="00230FDD"/>
    <w:rsid w:val="00231090"/>
    <w:rsid w:val="002311AE"/>
    <w:rsid w:val="00231305"/>
    <w:rsid w:val="002313A1"/>
    <w:rsid w:val="0023171F"/>
    <w:rsid w:val="00231AFA"/>
    <w:rsid w:val="002324F0"/>
    <w:rsid w:val="00232AFB"/>
    <w:rsid w:val="00232CE6"/>
    <w:rsid w:val="00233166"/>
    <w:rsid w:val="0023351B"/>
    <w:rsid w:val="00233831"/>
    <w:rsid w:val="002339F4"/>
    <w:rsid w:val="00233A9A"/>
    <w:rsid w:val="00233B22"/>
    <w:rsid w:val="002342F9"/>
    <w:rsid w:val="00234326"/>
    <w:rsid w:val="002343D7"/>
    <w:rsid w:val="00234620"/>
    <w:rsid w:val="00234785"/>
    <w:rsid w:val="00235E9E"/>
    <w:rsid w:val="0023640E"/>
    <w:rsid w:val="00236477"/>
    <w:rsid w:val="002368DC"/>
    <w:rsid w:val="00236900"/>
    <w:rsid w:val="00236AB2"/>
    <w:rsid w:val="00236DA5"/>
    <w:rsid w:val="00236F10"/>
    <w:rsid w:val="00236F89"/>
    <w:rsid w:val="002372D0"/>
    <w:rsid w:val="002375F4"/>
    <w:rsid w:val="00237C27"/>
    <w:rsid w:val="00237CEB"/>
    <w:rsid w:val="00237D36"/>
    <w:rsid w:val="0023BB71"/>
    <w:rsid w:val="0024017E"/>
    <w:rsid w:val="00240367"/>
    <w:rsid w:val="0024080A"/>
    <w:rsid w:val="00240BB0"/>
    <w:rsid w:val="002415FA"/>
    <w:rsid w:val="00241BD0"/>
    <w:rsid w:val="00242034"/>
    <w:rsid w:val="002426C5"/>
    <w:rsid w:val="00242823"/>
    <w:rsid w:val="00242A56"/>
    <w:rsid w:val="00242B9C"/>
    <w:rsid w:val="00242BDF"/>
    <w:rsid w:val="00242CB6"/>
    <w:rsid w:val="00242F7F"/>
    <w:rsid w:val="00243C73"/>
    <w:rsid w:val="00243DD9"/>
    <w:rsid w:val="00243E13"/>
    <w:rsid w:val="00243EC5"/>
    <w:rsid w:val="00244805"/>
    <w:rsid w:val="002448E4"/>
    <w:rsid w:val="00244BC3"/>
    <w:rsid w:val="00245356"/>
    <w:rsid w:val="00245E97"/>
    <w:rsid w:val="00245ED4"/>
    <w:rsid w:val="0024628B"/>
    <w:rsid w:val="00246C39"/>
    <w:rsid w:val="00246E5D"/>
    <w:rsid w:val="00246EB6"/>
    <w:rsid w:val="002473DC"/>
    <w:rsid w:val="0024772A"/>
    <w:rsid w:val="00247B90"/>
    <w:rsid w:val="00247C95"/>
    <w:rsid w:val="00250442"/>
    <w:rsid w:val="00250784"/>
    <w:rsid w:val="00250F63"/>
    <w:rsid w:val="00251548"/>
    <w:rsid w:val="002516F9"/>
    <w:rsid w:val="0025197E"/>
    <w:rsid w:val="00251AF1"/>
    <w:rsid w:val="00251E5A"/>
    <w:rsid w:val="002522F1"/>
    <w:rsid w:val="002523E8"/>
    <w:rsid w:val="00252EDF"/>
    <w:rsid w:val="00253388"/>
    <w:rsid w:val="002533FE"/>
    <w:rsid w:val="0025388C"/>
    <w:rsid w:val="0025399C"/>
    <w:rsid w:val="00253D24"/>
    <w:rsid w:val="00253EC4"/>
    <w:rsid w:val="00253FA2"/>
    <w:rsid w:val="00253FC6"/>
    <w:rsid w:val="00254663"/>
    <w:rsid w:val="00254B68"/>
    <w:rsid w:val="00254D6A"/>
    <w:rsid w:val="0025542F"/>
    <w:rsid w:val="00255486"/>
    <w:rsid w:val="00255BD3"/>
    <w:rsid w:val="00256535"/>
    <w:rsid w:val="00256A38"/>
    <w:rsid w:val="00256AD4"/>
    <w:rsid w:val="00256D14"/>
    <w:rsid w:val="00257B76"/>
    <w:rsid w:val="00257C5E"/>
    <w:rsid w:val="002605C8"/>
    <w:rsid w:val="002607E6"/>
    <w:rsid w:val="00262181"/>
    <w:rsid w:val="002622ED"/>
    <w:rsid w:val="00262520"/>
    <w:rsid w:val="00262686"/>
    <w:rsid w:val="0026299B"/>
    <w:rsid w:val="00263272"/>
    <w:rsid w:val="002632A0"/>
    <w:rsid w:val="002632B7"/>
    <w:rsid w:val="002634EB"/>
    <w:rsid w:val="00263DA1"/>
    <w:rsid w:val="00263EA2"/>
    <w:rsid w:val="00264848"/>
    <w:rsid w:val="00264A34"/>
    <w:rsid w:val="00264D83"/>
    <w:rsid w:val="00265131"/>
    <w:rsid w:val="00265228"/>
    <w:rsid w:val="002653D4"/>
    <w:rsid w:val="002658F9"/>
    <w:rsid w:val="00265DA3"/>
    <w:rsid w:val="00265EF2"/>
    <w:rsid w:val="002668B6"/>
    <w:rsid w:val="00266970"/>
    <w:rsid w:val="00266B49"/>
    <w:rsid w:val="00266C66"/>
    <w:rsid w:val="00266FD4"/>
    <w:rsid w:val="00267690"/>
    <w:rsid w:val="0026781D"/>
    <w:rsid w:val="00267895"/>
    <w:rsid w:val="00270784"/>
    <w:rsid w:val="002710BA"/>
    <w:rsid w:val="00271338"/>
    <w:rsid w:val="00271D75"/>
    <w:rsid w:val="002727CE"/>
    <w:rsid w:val="00272B0E"/>
    <w:rsid w:val="00272F62"/>
    <w:rsid w:val="0027305D"/>
    <w:rsid w:val="00273597"/>
    <w:rsid w:val="002738BF"/>
    <w:rsid w:val="00274314"/>
    <w:rsid w:val="002748A8"/>
    <w:rsid w:val="00274B24"/>
    <w:rsid w:val="00274E02"/>
    <w:rsid w:val="00275678"/>
    <w:rsid w:val="00275821"/>
    <w:rsid w:val="00275EC0"/>
    <w:rsid w:val="002763F8"/>
    <w:rsid w:val="00276C7D"/>
    <w:rsid w:val="002773E4"/>
    <w:rsid w:val="002802A3"/>
    <w:rsid w:val="0028075D"/>
    <w:rsid w:val="00280CA8"/>
    <w:rsid w:val="00280F23"/>
    <w:rsid w:val="00281126"/>
    <w:rsid w:val="002812CD"/>
    <w:rsid w:val="0028149B"/>
    <w:rsid w:val="002819B8"/>
    <w:rsid w:val="00281E30"/>
    <w:rsid w:val="00282EB6"/>
    <w:rsid w:val="00283106"/>
    <w:rsid w:val="00283642"/>
    <w:rsid w:val="00283EF5"/>
    <w:rsid w:val="0028404E"/>
    <w:rsid w:val="002844F2"/>
    <w:rsid w:val="002846FA"/>
    <w:rsid w:val="0028481C"/>
    <w:rsid w:val="00284E1F"/>
    <w:rsid w:val="00284FEF"/>
    <w:rsid w:val="002850FD"/>
    <w:rsid w:val="002851A0"/>
    <w:rsid w:val="00285528"/>
    <w:rsid w:val="002855AD"/>
    <w:rsid w:val="0028597D"/>
    <w:rsid w:val="00286028"/>
    <w:rsid w:val="002861EE"/>
    <w:rsid w:val="0028658F"/>
    <w:rsid w:val="00286ABA"/>
    <w:rsid w:val="00286C3F"/>
    <w:rsid w:val="002870B1"/>
    <w:rsid w:val="002875B8"/>
    <w:rsid w:val="00287784"/>
    <w:rsid w:val="00287ACC"/>
    <w:rsid w:val="00287B36"/>
    <w:rsid w:val="00287B99"/>
    <w:rsid w:val="00290558"/>
    <w:rsid w:val="00290724"/>
    <w:rsid w:val="00290893"/>
    <w:rsid w:val="002908A7"/>
    <w:rsid w:val="00290A11"/>
    <w:rsid w:val="00290B15"/>
    <w:rsid w:val="00290C87"/>
    <w:rsid w:val="00290DB2"/>
    <w:rsid w:val="00291090"/>
    <w:rsid w:val="00291A5B"/>
    <w:rsid w:val="002920B6"/>
    <w:rsid w:val="00292489"/>
    <w:rsid w:val="00292651"/>
    <w:rsid w:val="00292776"/>
    <w:rsid w:val="00292939"/>
    <w:rsid w:val="002936FC"/>
    <w:rsid w:val="002937B2"/>
    <w:rsid w:val="00293A4B"/>
    <w:rsid w:val="00294088"/>
    <w:rsid w:val="0029413C"/>
    <w:rsid w:val="00294349"/>
    <w:rsid w:val="00294E86"/>
    <w:rsid w:val="00294F9E"/>
    <w:rsid w:val="0029510C"/>
    <w:rsid w:val="002952EA"/>
    <w:rsid w:val="00295778"/>
    <w:rsid w:val="00296921"/>
    <w:rsid w:val="00296945"/>
    <w:rsid w:val="002969E0"/>
    <w:rsid w:val="00296DB9"/>
    <w:rsid w:val="002973B3"/>
    <w:rsid w:val="0029757C"/>
    <w:rsid w:val="002979D1"/>
    <w:rsid w:val="002A05DB"/>
    <w:rsid w:val="002A070E"/>
    <w:rsid w:val="002A0C30"/>
    <w:rsid w:val="002A0F10"/>
    <w:rsid w:val="002A0F85"/>
    <w:rsid w:val="002A10E1"/>
    <w:rsid w:val="002A19D3"/>
    <w:rsid w:val="002A1CF6"/>
    <w:rsid w:val="002A23E1"/>
    <w:rsid w:val="002A28F4"/>
    <w:rsid w:val="002A2F19"/>
    <w:rsid w:val="002A2F70"/>
    <w:rsid w:val="002A35CD"/>
    <w:rsid w:val="002A3732"/>
    <w:rsid w:val="002A3829"/>
    <w:rsid w:val="002A3A6E"/>
    <w:rsid w:val="002A3BD8"/>
    <w:rsid w:val="002A3C04"/>
    <w:rsid w:val="002A4937"/>
    <w:rsid w:val="002A49BE"/>
    <w:rsid w:val="002A5094"/>
    <w:rsid w:val="002A50D6"/>
    <w:rsid w:val="002A5413"/>
    <w:rsid w:val="002A5423"/>
    <w:rsid w:val="002A5906"/>
    <w:rsid w:val="002A5F4A"/>
    <w:rsid w:val="002A6329"/>
    <w:rsid w:val="002A6756"/>
    <w:rsid w:val="002A6A87"/>
    <w:rsid w:val="002A6C54"/>
    <w:rsid w:val="002A6D4A"/>
    <w:rsid w:val="002A6EA4"/>
    <w:rsid w:val="002B004A"/>
    <w:rsid w:val="002B05A3"/>
    <w:rsid w:val="002B06DB"/>
    <w:rsid w:val="002B07AF"/>
    <w:rsid w:val="002B089E"/>
    <w:rsid w:val="002B1021"/>
    <w:rsid w:val="002B1485"/>
    <w:rsid w:val="002B1582"/>
    <w:rsid w:val="002B1835"/>
    <w:rsid w:val="002B1E27"/>
    <w:rsid w:val="002B2421"/>
    <w:rsid w:val="002B25D6"/>
    <w:rsid w:val="002B2DA2"/>
    <w:rsid w:val="002B3399"/>
    <w:rsid w:val="002B339A"/>
    <w:rsid w:val="002B3D53"/>
    <w:rsid w:val="002B3DC4"/>
    <w:rsid w:val="002B403F"/>
    <w:rsid w:val="002B42B0"/>
    <w:rsid w:val="002B4446"/>
    <w:rsid w:val="002B4499"/>
    <w:rsid w:val="002B44B6"/>
    <w:rsid w:val="002B4612"/>
    <w:rsid w:val="002B4816"/>
    <w:rsid w:val="002B50DA"/>
    <w:rsid w:val="002B531E"/>
    <w:rsid w:val="002B582B"/>
    <w:rsid w:val="002B58BF"/>
    <w:rsid w:val="002B59F6"/>
    <w:rsid w:val="002B5A7D"/>
    <w:rsid w:val="002B5DDD"/>
    <w:rsid w:val="002B73CA"/>
    <w:rsid w:val="002B773B"/>
    <w:rsid w:val="002B77B5"/>
    <w:rsid w:val="002B785C"/>
    <w:rsid w:val="002C06D2"/>
    <w:rsid w:val="002C07F0"/>
    <w:rsid w:val="002C0BA3"/>
    <w:rsid w:val="002C0EE1"/>
    <w:rsid w:val="002C12B1"/>
    <w:rsid w:val="002C136E"/>
    <w:rsid w:val="002C1385"/>
    <w:rsid w:val="002C146D"/>
    <w:rsid w:val="002C15D3"/>
    <w:rsid w:val="002C1A5A"/>
    <w:rsid w:val="002C20D7"/>
    <w:rsid w:val="002C2BF6"/>
    <w:rsid w:val="002C2E34"/>
    <w:rsid w:val="002C318B"/>
    <w:rsid w:val="002C3510"/>
    <w:rsid w:val="002C35AE"/>
    <w:rsid w:val="002C3745"/>
    <w:rsid w:val="002C37FD"/>
    <w:rsid w:val="002C3A23"/>
    <w:rsid w:val="002C3D12"/>
    <w:rsid w:val="002C3EFD"/>
    <w:rsid w:val="002C406F"/>
    <w:rsid w:val="002C40A8"/>
    <w:rsid w:val="002C4855"/>
    <w:rsid w:val="002C5280"/>
    <w:rsid w:val="002C535D"/>
    <w:rsid w:val="002C569C"/>
    <w:rsid w:val="002C5981"/>
    <w:rsid w:val="002C654B"/>
    <w:rsid w:val="002C65CC"/>
    <w:rsid w:val="002C6DA0"/>
    <w:rsid w:val="002C709B"/>
    <w:rsid w:val="002C719D"/>
    <w:rsid w:val="002C74B8"/>
    <w:rsid w:val="002C7D29"/>
    <w:rsid w:val="002C7FE2"/>
    <w:rsid w:val="002D0132"/>
    <w:rsid w:val="002D025A"/>
    <w:rsid w:val="002D040C"/>
    <w:rsid w:val="002D0B10"/>
    <w:rsid w:val="002D1538"/>
    <w:rsid w:val="002D1FC8"/>
    <w:rsid w:val="002D22AA"/>
    <w:rsid w:val="002D27BB"/>
    <w:rsid w:val="002D295B"/>
    <w:rsid w:val="002D3048"/>
    <w:rsid w:val="002D310D"/>
    <w:rsid w:val="002D327A"/>
    <w:rsid w:val="002D361A"/>
    <w:rsid w:val="002D38C3"/>
    <w:rsid w:val="002D3B8A"/>
    <w:rsid w:val="002D407C"/>
    <w:rsid w:val="002D4C7F"/>
    <w:rsid w:val="002D5162"/>
    <w:rsid w:val="002D5D59"/>
    <w:rsid w:val="002D6405"/>
    <w:rsid w:val="002D6890"/>
    <w:rsid w:val="002D6B1C"/>
    <w:rsid w:val="002D6DD6"/>
    <w:rsid w:val="002D6FE1"/>
    <w:rsid w:val="002D7286"/>
    <w:rsid w:val="002D7842"/>
    <w:rsid w:val="002D7984"/>
    <w:rsid w:val="002D7E26"/>
    <w:rsid w:val="002E040E"/>
    <w:rsid w:val="002E0D81"/>
    <w:rsid w:val="002E1A7D"/>
    <w:rsid w:val="002E2022"/>
    <w:rsid w:val="002E2FF6"/>
    <w:rsid w:val="002E3A11"/>
    <w:rsid w:val="002E5036"/>
    <w:rsid w:val="002E5196"/>
    <w:rsid w:val="002E5712"/>
    <w:rsid w:val="002E5DA4"/>
    <w:rsid w:val="002E5FCC"/>
    <w:rsid w:val="002E601C"/>
    <w:rsid w:val="002E64B3"/>
    <w:rsid w:val="002E6C8D"/>
    <w:rsid w:val="002E6F88"/>
    <w:rsid w:val="002E7098"/>
    <w:rsid w:val="002E7276"/>
    <w:rsid w:val="002E7BF1"/>
    <w:rsid w:val="002F0329"/>
    <w:rsid w:val="002F0AB4"/>
    <w:rsid w:val="002F0D4D"/>
    <w:rsid w:val="002F1ED5"/>
    <w:rsid w:val="002F2280"/>
    <w:rsid w:val="002F2571"/>
    <w:rsid w:val="002F2574"/>
    <w:rsid w:val="002F25F7"/>
    <w:rsid w:val="002F2D38"/>
    <w:rsid w:val="002F3084"/>
    <w:rsid w:val="002F399D"/>
    <w:rsid w:val="002F39D4"/>
    <w:rsid w:val="002F4554"/>
    <w:rsid w:val="002F4B04"/>
    <w:rsid w:val="002F5159"/>
    <w:rsid w:val="002F5DF3"/>
    <w:rsid w:val="002F633D"/>
    <w:rsid w:val="002F6AD0"/>
    <w:rsid w:val="002F6DE7"/>
    <w:rsid w:val="002F73D9"/>
    <w:rsid w:val="0030035F"/>
    <w:rsid w:val="003006B7"/>
    <w:rsid w:val="0030082B"/>
    <w:rsid w:val="00300A78"/>
    <w:rsid w:val="00300C81"/>
    <w:rsid w:val="00300EAC"/>
    <w:rsid w:val="00300EB4"/>
    <w:rsid w:val="00301123"/>
    <w:rsid w:val="003017E8"/>
    <w:rsid w:val="00301909"/>
    <w:rsid w:val="00301A05"/>
    <w:rsid w:val="00301E7D"/>
    <w:rsid w:val="00302661"/>
    <w:rsid w:val="00302D5B"/>
    <w:rsid w:val="00303014"/>
    <w:rsid w:val="003034D3"/>
    <w:rsid w:val="0030370E"/>
    <w:rsid w:val="00303997"/>
    <w:rsid w:val="00303D35"/>
    <w:rsid w:val="00303EFD"/>
    <w:rsid w:val="00303F5B"/>
    <w:rsid w:val="0030400D"/>
    <w:rsid w:val="00304028"/>
    <w:rsid w:val="00304127"/>
    <w:rsid w:val="00304179"/>
    <w:rsid w:val="00304580"/>
    <w:rsid w:val="00304C92"/>
    <w:rsid w:val="00305000"/>
    <w:rsid w:val="00305171"/>
    <w:rsid w:val="0030541E"/>
    <w:rsid w:val="00305459"/>
    <w:rsid w:val="003056FA"/>
    <w:rsid w:val="00306823"/>
    <w:rsid w:val="0030695B"/>
    <w:rsid w:val="00306AB5"/>
    <w:rsid w:val="00306C2B"/>
    <w:rsid w:val="00307199"/>
    <w:rsid w:val="00307344"/>
    <w:rsid w:val="003073D9"/>
    <w:rsid w:val="00307480"/>
    <w:rsid w:val="003079DD"/>
    <w:rsid w:val="00307E45"/>
    <w:rsid w:val="00310822"/>
    <w:rsid w:val="003111DC"/>
    <w:rsid w:val="0031130A"/>
    <w:rsid w:val="00312325"/>
    <w:rsid w:val="003125D5"/>
    <w:rsid w:val="00312620"/>
    <w:rsid w:val="0031271F"/>
    <w:rsid w:val="00312875"/>
    <w:rsid w:val="00312D10"/>
    <w:rsid w:val="00312D13"/>
    <w:rsid w:val="00312F63"/>
    <w:rsid w:val="00313418"/>
    <w:rsid w:val="003138D9"/>
    <w:rsid w:val="00313A88"/>
    <w:rsid w:val="00313FD3"/>
    <w:rsid w:val="00314863"/>
    <w:rsid w:val="00314C42"/>
    <w:rsid w:val="00314D5F"/>
    <w:rsid w:val="00315323"/>
    <w:rsid w:val="003153B5"/>
    <w:rsid w:val="00315E55"/>
    <w:rsid w:val="00315F7B"/>
    <w:rsid w:val="003160D2"/>
    <w:rsid w:val="003161FE"/>
    <w:rsid w:val="00316230"/>
    <w:rsid w:val="00316471"/>
    <w:rsid w:val="0031653E"/>
    <w:rsid w:val="00316624"/>
    <w:rsid w:val="003172AD"/>
    <w:rsid w:val="00317517"/>
    <w:rsid w:val="003179D7"/>
    <w:rsid w:val="00317D76"/>
    <w:rsid w:val="00320872"/>
    <w:rsid w:val="00320C51"/>
    <w:rsid w:val="00320E7A"/>
    <w:rsid w:val="003211DA"/>
    <w:rsid w:val="003216C9"/>
    <w:rsid w:val="00321731"/>
    <w:rsid w:val="00321A15"/>
    <w:rsid w:val="00321BAE"/>
    <w:rsid w:val="00321E1C"/>
    <w:rsid w:val="00322FC8"/>
    <w:rsid w:val="003230C8"/>
    <w:rsid w:val="003231FB"/>
    <w:rsid w:val="003236F2"/>
    <w:rsid w:val="00323C5A"/>
    <w:rsid w:val="00323E07"/>
    <w:rsid w:val="0032423B"/>
    <w:rsid w:val="003254CE"/>
    <w:rsid w:val="00325731"/>
    <w:rsid w:val="00325BCE"/>
    <w:rsid w:val="00325D91"/>
    <w:rsid w:val="00325E35"/>
    <w:rsid w:val="0032643D"/>
    <w:rsid w:val="00326628"/>
    <w:rsid w:val="00326C2D"/>
    <w:rsid w:val="0032743C"/>
    <w:rsid w:val="00327563"/>
    <w:rsid w:val="00327645"/>
    <w:rsid w:val="00327D70"/>
    <w:rsid w:val="00330482"/>
    <w:rsid w:val="003307C4"/>
    <w:rsid w:val="00330945"/>
    <w:rsid w:val="00330A0C"/>
    <w:rsid w:val="00331130"/>
    <w:rsid w:val="003314DF"/>
    <w:rsid w:val="003324C5"/>
    <w:rsid w:val="00332993"/>
    <w:rsid w:val="00332E69"/>
    <w:rsid w:val="00332EC6"/>
    <w:rsid w:val="00332EF3"/>
    <w:rsid w:val="0033357B"/>
    <w:rsid w:val="00333642"/>
    <w:rsid w:val="00333CED"/>
    <w:rsid w:val="00333F0D"/>
    <w:rsid w:val="00333FFA"/>
    <w:rsid w:val="003342B9"/>
    <w:rsid w:val="00334B1D"/>
    <w:rsid w:val="00334D59"/>
    <w:rsid w:val="0033535B"/>
    <w:rsid w:val="00335C27"/>
    <w:rsid w:val="00335F24"/>
    <w:rsid w:val="00336622"/>
    <w:rsid w:val="00336D37"/>
    <w:rsid w:val="003375F0"/>
    <w:rsid w:val="00337764"/>
    <w:rsid w:val="00337F5A"/>
    <w:rsid w:val="00340388"/>
    <w:rsid w:val="00340714"/>
    <w:rsid w:val="00340980"/>
    <w:rsid w:val="00340A41"/>
    <w:rsid w:val="00340F4F"/>
    <w:rsid w:val="00341A2C"/>
    <w:rsid w:val="00341F52"/>
    <w:rsid w:val="003424EB"/>
    <w:rsid w:val="00342555"/>
    <w:rsid w:val="003428B0"/>
    <w:rsid w:val="00342E65"/>
    <w:rsid w:val="00343658"/>
    <w:rsid w:val="0034369F"/>
    <w:rsid w:val="00343753"/>
    <w:rsid w:val="003439D9"/>
    <w:rsid w:val="00343A7D"/>
    <w:rsid w:val="00344BAF"/>
    <w:rsid w:val="00344D0A"/>
    <w:rsid w:val="003453FE"/>
    <w:rsid w:val="00345C79"/>
    <w:rsid w:val="00345F0F"/>
    <w:rsid w:val="003469A6"/>
    <w:rsid w:val="00346E55"/>
    <w:rsid w:val="00347379"/>
    <w:rsid w:val="003479E2"/>
    <w:rsid w:val="00347DAC"/>
    <w:rsid w:val="00347FC1"/>
    <w:rsid w:val="0034EC7F"/>
    <w:rsid w:val="0035083D"/>
    <w:rsid w:val="00350AA0"/>
    <w:rsid w:val="00350ED5"/>
    <w:rsid w:val="00351335"/>
    <w:rsid w:val="003515FE"/>
    <w:rsid w:val="00351BDF"/>
    <w:rsid w:val="00351EB4"/>
    <w:rsid w:val="003524AD"/>
    <w:rsid w:val="003525F9"/>
    <w:rsid w:val="00352788"/>
    <w:rsid w:val="003527B5"/>
    <w:rsid w:val="00352E7E"/>
    <w:rsid w:val="0035317C"/>
    <w:rsid w:val="0035318E"/>
    <w:rsid w:val="00353386"/>
    <w:rsid w:val="00353D38"/>
    <w:rsid w:val="00353ED7"/>
    <w:rsid w:val="00354255"/>
    <w:rsid w:val="003542F6"/>
    <w:rsid w:val="00354860"/>
    <w:rsid w:val="00355104"/>
    <w:rsid w:val="003552C4"/>
    <w:rsid w:val="003557C1"/>
    <w:rsid w:val="00356044"/>
    <w:rsid w:val="003569D0"/>
    <w:rsid w:val="00356C55"/>
    <w:rsid w:val="00357449"/>
    <w:rsid w:val="00357690"/>
    <w:rsid w:val="00357A06"/>
    <w:rsid w:val="00357F07"/>
    <w:rsid w:val="00357FC7"/>
    <w:rsid w:val="003600D5"/>
    <w:rsid w:val="0036014D"/>
    <w:rsid w:val="00360941"/>
    <w:rsid w:val="00360B06"/>
    <w:rsid w:val="00361490"/>
    <w:rsid w:val="00361719"/>
    <w:rsid w:val="00361ED2"/>
    <w:rsid w:val="00362D01"/>
    <w:rsid w:val="00362EC9"/>
    <w:rsid w:val="00362F42"/>
    <w:rsid w:val="00363176"/>
    <w:rsid w:val="00363354"/>
    <w:rsid w:val="003635DA"/>
    <w:rsid w:val="00363BF4"/>
    <w:rsid w:val="00364190"/>
    <w:rsid w:val="0036423D"/>
    <w:rsid w:val="00364322"/>
    <w:rsid w:val="00364728"/>
    <w:rsid w:val="003647AC"/>
    <w:rsid w:val="00364F58"/>
    <w:rsid w:val="003650D1"/>
    <w:rsid w:val="0036516C"/>
    <w:rsid w:val="003651B8"/>
    <w:rsid w:val="00365D9A"/>
    <w:rsid w:val="0036616F"/>
    <w:rsid w:val="003665F0"/>
    <w:rsid w:val="00366D25"/>
    <w:rsid w:val="00366EF3"/>
    <w:rsid w:val="00367158"/>
    <w:rsid w:val="0036721F"/>
    <w:rsid w:val="00367382"/>
    <w:rsid w:val="003674A7"/>
    <w:rsid w:val="003677A0"/>
    <w:rsid w:val="00367866"/>
    <w:rsid w:val="00367CBF"/>
    <w:rsid w:val="00367D16"/>
    <w:rsid w:val="00367DE9"/>
    <w:rsid w:val="00367EB8"/>
    <w:rsid w:val="00367EEB"/>
    <w:rsid w:val="00370015"/>
    <w:rsid w:val="00370C76"/>
    <w:rsid w:val="00371AD6"/>
    <w:rsid w:val="00371D12"/>
    <w:rsid w:val="00371E23"/>
    <w:rsid w:val="00372074"/>
    <w:rsid w:val="003723B1"/>
    <w:rsid w:val="00372535"/>
    <w:rsid w:val="0037282E"/>
    <w:rsid w:val="00372C62"/>
    <w:rsid w:val="00372CB5"/>
    <w:rsid w:val="00372F03"/>
    <w:rsid w:val="0037317B"/>
    <w:rsid w:val="0037367D"/>
    <w:rsid w:val="00373DFB"/>
    <w:rsid w:val="00374349"/>
    <w:rsid w:val="003748CA"/>
    <w:rsid w:val="00374E81"/>
    <w:rsid w:val="003754D9"/>
    <w:rsid w:val="0037584D"/>
    <w:rsid w:val="00375DFA"/>
    <w:rsid w:val="00377026"/>
    <w:rsid w:val="00377A54"/>
    <w:rsid w:val="00377C80"/>
    <w:rsid w:val="003804CD"/>
    <w:rsid w:val="00380CDF"/>
    <w:rsid w:val="0038107F"/>
    <w:rsid w:val="003815EE"/>
    <w:rsid w:val="00381603"/>
    <w:rsid w:val="00381625"/>
    <w:rsid w:val="0038188C"/>
    <w:rsid w:val="0038261B"/>
    <w:rsid w:val="00382750"/>
    <w:rsid w:val="00382DCA"/>
    <w:rsid w:val="00383A3E"/>
    <w:rsid w:val="00383B0B"/>
    <w:rsid w:val="0038433B"/>
    <w:rsid w:val="00384B7A"/>
    <w:rsid w:val="00385098"/>
    <w:rsid w:val="00385657"/>
    <w:rsid w:val="00385B1A"/>
    <w:rsid w:val="00386191"/>
    <w:rsid w:val="003862CA"/>
    <w:rsid w:val="003864A3"/>
    <w:rsid w:val="0038650B"/>
    <w:rsid w:val="003868DA"/>
    <w:rsid w:val="00386A4C"/>
    <w:rsid w:val="00386E52"/>
    <w:rsid w:val="00386EE2"/>
    <w:rsid w:val="00387785"/>
    <w:rsid w:val="00387ED4"/>
    <w:rsid w:val="0039004A"/>
    <w:rsid w:val="0039013B"/>
    <w:rsid w:val="00390562"/>
    <w:rsid w:val="00390BCE"/>
    <w:rsid w:val="003911F3"/>
    <w:rsid w:val="00391663"/>
    <w:rsid w:val="003919C4"/>
    <w:rsid w:val="00391D08"/>
    <w:rsid w:val="00391EF1"/>
    <w:rsid w:val="0039242A"/>
    <w:rsid w:val="00392C01"/>
    <w:rsid w:val="00394061"/>
    <w:rsid w:val="0039486F"/>
    <w:rsid w:val="00394EB4"/>
    <w:rsid w:val="0039546C"/>
    <w:rsid w:val="003954CF"/>
    <w:rsid w:val="00395A86"/>
    <w:rsid w:val="003964C5"/>
    <w:rsid w:val="00396587"/>
    <w:rsid w:val="00396BDF"/>
    <w:rsid w:val="00396E9D"/>
    <w:rsid w:val="00396EDE"/>
    <w:rsid w:val="003972F2"/>
    <w:rsid w:val="00397480"/>
    <w:rsid w:val="00397D3F"/>
    <w:rsid w:val="00397EED"/>
    <w:rsid w:val="00397FAB"/>
    <w:rsid w:val="003A0094"/>
    <w:rsid w:val="003A00C0"/>
    <w:rsid w:val="003A069E"/>
    <w:rsid w:val="003A06CB"/>
    <w:rsid w:val="003A16B4"/>
    <w:rsid w:val="003A1FAA"/>
    <w:rsid w:val="003A2534"/>
    <w:rsid w:val="003A2E87"/>
    <w:rsid w:val="003A39BF"/>
    <w:rsid w:val="003A41DC"/>
    <w:rsid w:val="003A4879"/>
    <w:rsid w:val="003A5C8E"/>
    <w:rsid w:val="003A6011"/>
    <w:rsid w:val="003A604A"/>
    <w:rsid w:val="003A616C"/>
    <w:rsid w:val="003A6AD1"/>
    <w:rsid w:val="003A75D1"/>
    <w:rsid w:val="003A7827"/>
    <w:rsid w:val="003A7BAA"/>
    <w:rsid w:val="003B0443"/>
    <w:rsid w:val="003B0AA5"/>
    <w:rsid w:val="003B0B1A"/>
    <w:rsid w:val="003B15A6"/>
    <w:rsid w:val="003B1685"/>
    <w:rsid w:val="003B184C"/>
    <w:rsid w:val="003B1884"/>
    <w:rsid w:val="003B1BBF"/>
    <w:rsid w:val="003B1C1A"/>
    <w:rsid w:val="003B1DC4"/>
    <w:rsid w:val="003B1DDD"/>
    <w:rsid w:val="003B2326"/>
    <w:rsid w:val="003B2424"/>
    <w:rsid w:val="003B2AE9"/>
    <w:rsid w:val="003B2E1E"/>
    <w:rsid w:val="003B2EAA"/>
    <w:rsid w:val="003B2F7C"/>
    <w:rsid w:val="003B3087"/>
    <w:rsid w:val="003B321E"/>
    <w:rsid w:val="003B3CFD"/>
    <w:rsid w:val="003B40DB"/>
    <w:rsid w:val="003B470F"/>
    <w:rsid w:val="003B4EFB"/>
    <w:rsid w:val="003B553F"/>
    <w:rsid w:val="003B5A54"/>
    <w:rsid w:val="003B5E29"/>
    <w:rsid w:val="003B5E9E"/>
    <w:rsid w:val="003B6A32"/>
    <w:rsid w:val="003B6A43"/>
    <w:rsid w:val="003B6D20"/>
    <w:rsid w:val="003B6EFC"/>
    <w:rsid w:val="003B76DA"/>
    <w:rsid w:val="003B7EDD"/>
    <w:rsid w:val="003B7F35"/>
    <w:rsid w:val="003C013E"/>
    <w:rsid w:val="003C0391"/>
    <w:rsid w:val="003C0AA1"/>
    <w:rsid w:val="003C0D20"/>
    <w:rsid w:val="003C16DE"/>
    <w:rsid w:val="003C1CED"/>
    <w:rsid w:val="003C200C"/>
    <w:rsid w:val="003C2787"/>
    <w:rsid w:val="003C2BA5"/>
    <w:rsid w:val="003C2EA6"/>
    <w:rsid w:val="003C365F"/>
    <w:rsid w:val="003C3F7F"/>
    <w:rsid w:val="003C3F9A"/>
    <w:rsid w:val="003C4009"/>
    <w:rsid w:val="003C4426"/>
    <w:rsid w:val="003C45CD"/>
    <w:rsid w:val="003C480A"/>
    <w:rsid w:val="003C49AF"/>
    <w:rsid w:val="003C4EB5"/>
    <w:rsid w:val="003C508F"/>
    <w:rsid w:val="003C53F8"/>
    <w:rsid w:val="003C57B9"/>
    <w:rsid w:val="003C5881"/>
    <w:rsid w:val="003C5942"/>
    <w:rsid w:val="003C5AF7"/>
    <w:rsid w:val="003C5C8B"/>
    <w:rsid w:val="003C60C7"/>
    <w:rsid w:val="003C696F"/>
    <w:rsid w:val="003C6F68"/>
    <w:rsid w:val="003C7260"/>
    <w:rsid w:val="003C7EAE"/>
    <w:rsid w:val="003D016B"/>
    <w:rsid w:val="003D01E9"/>
    <w:rsid w:val="003D0377"/>
    <w:rsid w:val="003D0828"/>
    <w:rsid w:val="003D11E0"/>
    <w:rsid w:val="003D163C"/>
    <w:rsid w:val="003D1EEC"/>
    <w:rsid w:val="003D2421"/>
    <w:rsid w:val="003D2CA2"/>
    <w:rsid w:val="003D3BDA"/>
    <w:rsid w:val="003D3C5D"/>
    <w:rsid w:val="003D4252"/>
    <w:rsid w:val="003D4ED0"/>
    <w:rsid w:val="003D4F6F"/>
    <w:rsid w:val="003D52F7"/>
    <w:rsid w:val="003D5519"/>
    <w:rsid w:val="003D5946"/>
    <w:rsid w:val="003D5BF2"/>
    <w:rsid w:val="003D5CAD"/>
    <w:rsid w:val="003D6702"/>
    <w:rsid w:val="003D676B"/>
    <w:rsid w:val="003D71A0"/>
    <w:rsid w:val="003D73A0"/>
    <w:rsid w:val="003D7AD6"/>
    <w:rsid w:val="003D7B95"/>
    <w:rsid w:val="003D7E25"/>
    <w:rsid w:val="003E0962"/>
    <w:rsid w:val="003E0AED"/>
    <w:rsid w:val="003E0BF1"/>
    <w:rsid w:val="003E0ED7"/>
    <w:rsid w:val="003E1297"/>
    <w:rsid w:val="003E1602"/>
    <w:rsid w:val="003E179A"/>
    <w:rsid w:val="003E1A01"/>
    <w:rsid w:val="003E1BF5"/>
    <w:rsid w:val="003E24EA"/>
    <w:rsid w:val="003E290F"/>
    <w:rsid w:val="003E36EC"/>
    <w:rsid w:val="003E3F05"/>
    <w:rsid w:val="003E3FA9"/>
    <w:rsid w:val="003E40FE"/>
    <w:rsid w:val="003E4860"/>
    <w:rsid w:val="003E4AEF"/>
    <w:rsid w:val="003E54B3"/>
    <w:rsid w:val="003E55B4"/>
    <w:rsid w:val="003E5C4A"/>
    <w:rsid w:val="003E5D8B"/>
    <w:rsid w:val="003E6009"/>
    <w:rsid w:val="003E641E"/>
    <w:rsid w:val="003E6515"/>
    <w:rsid w:val="003E683C"/>
    <w:rsid w:val="003E6992"/>
    <w:rsid w:val="003E6E84"/>
    <w:rsid w:val="003E6EAC"/>
    <w:rsid w:val="003E6F51"/>
    <w:rsid w:val="003E75B2"/>
    <w:rsid w:val="003E76AF"/>
    <w:rsid w:val="003F0362"/>
    <w:rsid w:val="003F07EF"/>
    <w:rsid w:val="003F1881"/>
    <w:rsid w:val="003F18E6"/>
    <w:rsid w:val="003F195F"/>
    <w:rsid w:val="003F23FC"/>
    <w:rsid w:val="003F252D"/>
    <w:rsid w:val="003F3103"/>
    <w:rsid w:val="003F3170"/>
    <w:rsid w:val="003F353F"/>
    <w:rsid w:val="003F357C"/>
    <w:rsid w:val="003F3609"/>
    <w:rsid w:val="003F3E3F"/>
    <w:rsid w:val="003F4B6E"/>
    <w:rsid w:val="003F4D52"/>
    <w:rsid w:val="003F5343"/>
    <w:rsid w:val="003F5707"/>
    <w:rsid w:val="003F59B1"/>
    <w:rsid w:val="003F5B38"/>
    <w:rsid w:val="003F69CE"/>
    <w:rsid w:val="003F6C06"/>
    <w:rsid w:val="003F701D"/>
    <w:rsid w:val="003F73E3"/>
    <w:rsid w:val="003F74F0"/>
    <w:rsid w:val="003F7F78"/>
    <w:rsid w:val="00400A66"/>
    <w:rsid w:val="00401001"/>
    <w:rsid w:val="00401159"/>
    <w:rsid w:val="004012F9"/>
    <w:rsid w:val="004013C4"/>
    <w:rsid w:val="00401DB6"/>
    <w:rsid w:val="004022BD"/>
    <w:rsid w:val="00402F46"/>
    <w:rsid w:val="004032D6"/>
    <w:rsid w:val="004038A2"/>
    <w:rsid w:val="00403CD9"/>
    <w:rsid w:val="00403D06"/>
    <w:rsid w:val="0040479E"/>
    <w:rsid w:val="00405377"/>
    <w:rsid w:val="004055D8"/>
    <w:rsid w:val="00405691"/>
    <w:rsid w:val="00405B6F"/>
    <w:rsid w:val="00405F5C"/>
    <w:rsid w:val="00406499"/>
    <w:rsid w:val="0040672F"/>
    <w:rsid w:val="0040678D"/>
    <w:rsid w:val="00406A33"/>
    <w:rsid w:val="00406EA0"/>
    <w:rsid w:val="0040795A"/>
    <w:rsid w:val="00410316"/>
    <w:rsid w:val="00410573"/>
    <w:rsid w:val="004105ED"/>
    <w:rsid w:val="00410ECB"/>
    <w:rsid w:val="004111EF"/>
    <w:rsid w:val="00411388"/>
    <w:rsid w:val="00411636"/>
    <w:rsid w:val="00411E94"/>
    <w:rsid w:val="004120BC"/>
    <w:rsid w:val="00412911"/>
    <w:rsid w:val="0041291B"/>
    <w:rsid w:val="00412D0E"/>
    <w:rsid w:val="0041379E"/>
    <w:rsid w:val="00413BFB"/>
    <w:rsid w:val="004143D4"/>
    <w:rsid w:val="00414730"/>
    <w:rsid w:val="004148AA"/>
    <w:rsid w:val="00414ACB"/>
    <w:rsid w:val="00415426"/>
    <w:rsid w:val="00415471"/>
    <w:rsid w:val="004155D8"/>
    <w:rsid w:val="00415B36"/>
    <w:rsid w:val="00416688"/>
    <w:rsid w:val="004169DA"/>
    <w:rsid w:val="00416B48"/>
    <w:rsid w:val="004175D6"/>
    <w:rsid w:val="00417EB5"/>
    <w:rsid w:val="00417F70"/>
    <w:rsid w:val="00420137"/>
    <w:rsid w:val="004209B4"/>
    <w:rsid w:val="00420B46"/>
    <w:rsid w:val="00420DBA"/>
    <w:rsid w:val="00420EE9"/>
    <w:rsid w:val="0042127F"/>
    <w:rsid w:val="004212B8"/>
    <w:rsid w:val="004212F9"/>
    <w:rsid w:val="004215F4"/>
    <w:rsid w:val="0042160D"/>
    <w:rsid w:val="00421B9B"/>
    <w:rsid w:val="00422AB3"/>
    <w:rsid w:val="00423DE0"/>
    <w:rsid w:val="00423F13"/>
    <w:rsid w:val="00424070"/>
    <w:rsid w:val="00424115"/>
    <w:rsid w:val="004244E1"/>
    <w:rsid w:val="004247B1"/>
    <w:rsid w:val="00424A83"/>
    <w:rsid w:val="004250D5"/>
    <w:rsid w:val="00425674"/>
    <w:rsid w:val="00425C0C"/>
    <w:rsid w:val="00425DC1"/>
    <w:rsid w:val="00426054"/>
    <w:rsid w:val="004263B2"/>
    <w:rsid w:val="00426764"/>
    <w:rsid w:val="00426854"/>
    <w:rsid w:val="0042690C"/>
    <w:rsid w:val="00426AA6"/>
    <w:rsid w:val="004270E8"/>
    <w:rsid w:val="00427411"/>
    <w:rsid w:val="0042784E"/>
    <w:rsid w:val="004278EB"/>
    <w:rsid w:val="004305E9"/>
    <w:rsid w:val="0043076E"/>
    <w:rsid w:val="00430AFB"/>
    <w:rsid w:val="0043176D"/>
    <w:rsid w:val="004321CD"/>
    <w:rsid w:val="0043237A"/>
    <w:rsid w:val="004323C1"/>
    <w:rsid w:val="00432805"/>
    <w:rsid w:val="00433205"/>
    <w:rsid w:val="00433FA0"/>
    <w:rsid w:val="004340EA"/>
    <w:rsid w:val="00434287"/>
    <w:rsid w:val="00434A1D"/>
    <w:rsid w:val="00435594"/>
    <w:rsid w:val="00435664"/>
    <w:rsid w:val="00435A40"/>
    <w:rsid w:val="00436F9A"/>
    <w:rsid w:val="00437344"/>
    <w:rsid w:val="00437B19"/>
    <w:rsid w:val="00437F54"/>
    <w:rsid w:val="004405A1"/>
    <w:rsid w:val="00440D75"/>
    <w:rsid w:val="00441216"/>
    <w:rsid w:val="0044199D"/>
    <w:rsid w:val="00441F8A"/>
    <w:rsid w:val="00442668"/>
    <w:rsid w:val="0044270C"/>
    <w:rsid w:val="004427CD"/>
    <w:rsid w:val="00442956"/>
    <w:rsid w:val="00443514"/>
    <w:rsid w:val="00443709"/>
    <w:rsid w:val="00443B0A"/>
    <w:rsid w:val="00443C10"/>
    <w:rsid w:val="0044411D"/>
    <w:rsid w:val="004442F7"/>
    <w:rsid w:val="00444519"/>
    <w:rsid w:val="00444F55"/>
    <w:rsid w:val="00444FAA"/>
    <w:rsid w:val="00445061"/>
    <w:rsid w:val="004450A9"/>
    <w:rsid w:val="00445381"/>
    <w:rsid w:val="004453E6"/>
    <w:rsid w:val="00445727"/>
    <w:rsid w:val="00445883"/>
    <w:rsid w:val="00446375"/>
    <w:rsid w:val="004463F8"/>
    <w:rsid w:val="004464A7"/>
    <w:rsid w:val="004465B9"/>
    <w:rsid w:val="00446B0E"/>
    <w:rsid w:val="004472EE"/>
    <w:rsid w:val="00447A4C"/>
    <w:rsid w:val="00450264"/>
    <w:rsid w:val="00450A29"/>
    <w:rsid w:val="00450B80"/>
    <w:rsid w:val="00450F3D"/>
    <w:rsid w:val="004515BA"/>
    <w:rsid w:val="00452B94"/>
    <w:rsid w:val="0045341E"/>
    <w:rsid w:val="0045368B"/>
    <w:rsid w:val="00453809"/>
    <w:rsid w:val="00453BC5"/>
    <w:rsid w:val="00453CCA"/>
    <w:rsid w:val="00453EFC"/>
    <w:rsid w:val="00454C24"/>
    <w:rsid w:val="004561F4"/>
    <w:rsid w:val="00456AB7"/>
    <w:rsid w:val="00457AAF"/>
    <w:rsid w:val="00457BD9"/>
    <w:rsid w:val="00457C39"/>
    <w:rsid w:val="0046081A"/>
    <w:rsid w:val="00460E45"/>
    <w:rsid w:val="004613DF"/>
    <w:rsid w:val="00461979"/>
    <w:rsid w:val="004620A1"/>
    <w:rsid w:val="004635E9"/>
    <w:rsid w:val="004640E3"/>
    <w:rsid w:val="004642D9"/>
    <w:rsid w:val="004643E1"/>
    <w:rsid w:val="00464654"/>
    <w:rsid w:val="004647FD"/>
    <w:rsid w:val="00464922"/>
    <w:rsid w:val="00464CF8"/>
    <w:rsid w:val="00464D44"/>
    <w:rsid w:val="00464EEF"/>
    <w:rsid w:val="00465084"/>
    <w:rsid w:val="004666B3"/>
    <w:rsid w:val="004666DE"/>
    <w:rsid w:val="00466A2B"/>
    <w:rsid w:val="00466A31"/>
    <w:rsid w:val="00467B3B"/>
    <w:rsid w:val="00467D81"/>
    <w:rsid w:val="004703F4"/>
    <w:rsid w:val="00470F18"/>
    <w:rsid w:val="0047126E"/>
    <w:rsid w:val="004713AA"/>
    <w:rsid w:val="004718F2"/>
    <w:rsid w:val="00471A12"/>
    <w:rsid w:val="00472200"/>
    <w:rsid w:val="004723FE"/>
    <w:rsid w:val="00472F90"/>
    <w:rsid w:val="00472FBA"/>
    <w:rsid w:val="0047302E"/>
    <w:rsid w:val="00473112"/>
    <w:rsid w:val="00473501"/>
    <w:rsid w:val="004737CD"/>
    <w:rsid w:val="00473A4A"/>
    <w:rsid w:val="00473A7E"/>
    <w:rsid w:val="00473A9B"/>
    <w:rsid w:val="004741D2"/>
    <w:rsid w:val="00474786"/>
    <w:rsid w:val="004756C9"/>
    <w:rsid w:val="0047579A"/>
    <w:rsid w:val="00475B51"/>
    <w:rsid w:val="004761C6"/>
    <w:rsid w:val="00476295"/>
    <w:rsid w:val="0047636A"/>
    <w:rsid w:val="00476EC3"/>
    <w:rsid w:val="00476EFD"/>
    <w:rsid w:val="0047725F"/>
    <w:rsid w:val="00477905"/>
    <w:rsid w:val="00477BF6"/>
    <w:rsid w:val="00477CC7"/>
    <w:rsid w:val="00477E57"/>
    <w:rsid w:val="00480AA2"/>
    <w:rsid w:val="0048111A"/>
    <w:rsid w:val="0048162E"/>
    <w:rsid w:val="00481B1A"/>
    <w:rsid w:val="00481E7F"/>
    <w:rsid w:val="00481F15"/>
    <w:rsid w:val="0048219B"/>
    <w:rsid w:val="00482D8E"/>
    <w:rsid w:val="00483C2E"/>
    <w:rsid w:val="00483E3B"/>
    <w:rsid w:val="00483EE9"/>
    <w:rsid w:val="004841DA"/>
    <w:rsid w:val="00484519"/>
    <w:rsid w:val="00484B8A"/>
    <w:rsid w:val="00484F72"/>
    <w:rsid w:val="00485663"/>
    <w:rsid w:val="00485DDE"/>
    <w:rsid w:val="00486413"/>
    <w:rsid w:val="0048653F"/>
    <w:rsid w:val="0048657D"/>
    <w:rsid w:val="0048738C"/>
    <w:rsid w:val="00487703"/>
    <w:rsid w:val="00487B93"/>
    <w:rsid w:val="00487E1F"/>
    <w:rsid w:val="00490429"/>
    <w:rsid w:val="00490581"/>
    <w:rsid w:val="00491495"/>
    <w:rsid w:val="00491C39"/>
    <w:rsid w:val="00491D30"/>
    <w:rsid w:val="00491F73"/>
    <w:rsid w:val="004924D9"/>
    <w:rsid w:val="00493154"/>
    <w:rsid w:val="00493500"/>
    <w:rsid w:val="0049373D"/>
    <w:rsid w:val="00493E2B"/>
    <w:rsid w:val="00494140"/>
    <w:rsid w:val="004942BE"/>
    <w:rsid w:val="00494B4D"/>
    <w:rsid w:val="00494BBD"/>
    <w:rsid w:val="00494D42"/>
    <w:rsid w:val="004953B5"/>
    <w:rsid w:val="00495682"/>
    <w:rsid w:val="00495DBD"/>
    <w:rsid w:val="00495FAA"/>
    <w:rsid w:val="00496153"/>
    <w:rsid w:val="004967C1"/>
    <w:rsid w:val="0049682B"/>
    <w:rsid w:val="004972D3"/>
    <w:rsid w:val="0049740F"/>
    <w:rsid w:val="004977D1"/>
    <w:rsid w:val="00497A51"/>
    <w:rsid w:val="00497E42"/>
    <w:rsid w:val="004A06A1"/>
    <w:rsid w:val="004A0982"/>
    <w:rsid w:val="004A23EB"/>
    <w:rsid w:val="004A2439"/>
    <w:rsid w:val="004A2A38"/>
    <w:rsid w:val="004A2C47"/>
    <w:rsid w:val="004A34CC"/>
    <w:rsid w:val="004A3E1A"/>
    <w:rsid w:val="004A419F"/>
    <w:rsid w:val="004A48D0"/>
    <w:rsid w:val="004A4A43"/>
    <w:rsid w:val="004A5407"/>
    <w:rsid w:val="004A5D38"/>
    <w:rsid w:val="004A5E40"/>
    <w:rsid w:val="004A642B"/>
    <w:rsid w:val="004A688C"/>
    <w:rsid w:val="004A7965"/>
    <w:rsid w:val="004B041A"/>
    <w:rsid w:val="004B054E"/>
    <w:rsid w:val="004B0559"/>
    <w:rsid w:val="004B09C3"/>
    <w:rsid w:val="004B0C0E"/>
    <w:rsid w:val="004B0D05"/>
    <w:rsid w:val="004B1639"/>
    <w:rsid w:val="004B1A7A"/>
    <w:rsid w:val="004B1FC7"/>
    <w:rsid w:val="004B2239"/>
    <w:rsid w:val="004B2371"/>
    <w:rsid w:val="004B25F2"/>
    <w:rsid w:val="004B27B5"/>
    <w:rsid w:val="004B293C"/>
    <w:rsid w:val="004B2AF8"/>
    <w:rsid w:val="004B2CC3"/>
    <w:rsid w:val="004B2F86"/>
    <w:rsid w:val="004B321C"/>
    <w:rsid w:val="004B3290"/>
    <w:rsid w:val="004B354D"/>
    <w:rsid w:val="004B4394"/>
    <w:rsid w:val="004B4895"/>
    <w:rsid w:val="004B4901"/>
    <w:rsid w:val="004B513D"/>
    <w:rsid w:val="004B5329"/>
    <w:rsid w:val="004B5B13"/>
    <w:rsid w:val="004B6475"/>
    <w:rsid w:val="004B6521"/>
    <w:rsid w:val="004B6615"/>
    <w:rsid w:val="004B6724"/>
    <w:rsid w:val="004B6805"/>
    <w:rsid w:val="004B73C3"/>
    <w:rsid w:val="004B7855"/>
    <w:rsid w:val="004B7CAC"/>
    <w:rsid w:val="004C0277"/>
    <w:rsid w:val="004C076C"/>
    <w:rsid w:val="004C1151"/>
    <w:rsid w:val="004C16F2"/>
    <w:rsid w:val="004C1DBC"/>
    <w:rsid w:val="004C2245"/>
    <w:rsid w:val="004C2383"/>
    <w:rsid w:val="004C2507"/>
    <w:rsid w:val="004C2BC2"/>
    <w:rsid w:val="004C2BDA"/>
    <w:rsid w:val="004C3C50"/>
    <w:rsid w:val="004C3EF2"/>
    <w:rsid w:val="004C3F6A"/>
    <w:rsid w:val="004C44F2"/>
    <w:rsid w:val="004C45C3"/>
    <w:rsid w:val="004C4C12"/>
    <w:rsid w:val="004C5268"/>
    <w:rsid w:val="004C5866"/>
    <w:rsid w:val="004C5ACC"/>
    <w:rsid w:val="004C6E87"/>
    <w:rsid w:val="004C6FEA"/>
    <w:rsid w:val="004C770A"/>
    <w:rsid w:val="004D0156"/>
    <w:rsid w:val="004D03E7"/>
    <w:rsid w:val="004D0A71"/>
    <w:rsid w:val="004D0AB0"/>
    <w:rsid w:val="004D0BB7"/>
    <w:rsid w:val="004D0C58"/>
    <w:rsid w:val="004D1468"/>
    <w:rsid w:val="004D1560"/>
    <w:rsid w:val="004D1DD2"/>
    <w:rsid w:val="004D1FE7"/>
    <w:rsid w:val="004D252C"/>
    <w:rsid w:val="004D255A"/>
    <w:rsid w:val="004D262C"/>
    <w:rsid w:val="004D2927"/>
    <w:rsid w:val="004D392D"/>
    <w:rsid w:val="004D3B36"/>
    <w:rsid w:val="004D543B"/>
    <w:rsid w:val="004D55AA"/>
    <w:rsid w:val="004D5725"/>
    <w:rsid w:val="004D5AE5"/>
    <w:rsid w:val="004D6553"/>
    <w:rsid w:val="004D675A"/>
    <w:rsid w:val="004D67AA"/>
    <w:rsid w:val="004D6925"/>
    <w:rsid w:val="004D6E1A"/>
    <w:rsid w:val="004D734D"/>
    <w:rsid w:val="004D7662"/>
    <w:rsid w:val="004D7895"/>
    <w:rsid w:val="004D7E20"/>
    <w:rsid w:val="004E0210"/>
    <w:rsid w:val="004E0A4D"/>
    <w:rsid w:val="004E0E36"/>
    <w:rsid w:val="004E0FC1"/>
    <w:rsid w:val="004E127D"/>
    <w:rsid w:val="004E2152"/>
    <w:rsid w:val="004E2848"/>
    <w:rsid w:val="004E3046"/>
    <w:rsid w:val="004E322B"/>
    <w:rsid w:val="004E369B"/>
    <w:rsid w:val="004E404E"/>
    <w:rsid w:val="004E4310"/>
    <w:rsid w:val="004E493F"/>
    <w:rsid w:val="004E4A5A"/>
    <w:rsid w:val="004E4B14"/>
    <w:rsid w:val="004E4E17"/>
    <w:rsid w:val="004E4FA3"/>
    <w:rsid w:val="004E538D"/>
    <w:rsid w:val="004E5413"/>
    <w:rsid w:val="004E5E5E"/>
    <w:rsid w:val="004E63F2"/>
    <w:rsid w:val="004E6CB5"/>
    <w:rsid w:val="004E6E4E"/>
    <w:rsid w:val="004E7381"/>
    <w:rsid w:val="004E75E5"/>
    <w:rsid w:val="004E7918"/>
    <w:rsid w:val="004E7946"/>
    <w:rsid w:val="004E7C2F"/>
    <w:rsid w:val="004EB271"/>
    <w:rsid w:val="004F002B"/>
    <w:rsid w:val="004F06F3"/>
    <w:rsid w:val="004F0B75"/>
    <w:rsid w:val="004F1F36"/>
    <w:rsid w:val="004F24EA"/>
    <w:rsid w:val="004F2928"/>
    <w:rsid w:val="004F2EF0"/>
    <w:rsid w:val="004F2F0A"/>
    <w:rsid w:val="004F3254"/>
    <w:rsid w:val="004F33D4"/>
    <w:rsid w:val="004F4556"/>
    <w:rsid w:val="004F4B05"/>
    <w:rsid w:val="004F4F38"/>
    <w:rsid w:val="004F50C2"/>
    <w:rsid w:val="004F5304"/>
    <w:rsid w:val="004F539A"/>
    <w:rsid w:val="004F5679"/>
    <w:rsid w:val="004F5A35"/>
    <w:rsid w:val="004F5B7C"/>
    <w:rsid w:val="004F5BEC"/>
    <w:rsid w:val="004F5F5D"/>
    <w:rsid w:val="004F662A"/>
    <w:rsid w:val="004F69F9"/>
    <w:rsid w:val="004F6C20"/>
    <w:rsid w:val="004F6E5B"/>
    <w:rsid w:val="004F73DF"/>
    <w:rsid w:val="004F7429"/>
    <w:rsid w:val="004F776A"/>
    <w:rsid w:val="004F78CE"/>
    <w:rsid w:val="004F7921"/>
    <w:rsid w:val="004F7E8A"/>
    <w:rsid w:val="0050004F"/>
    <w:rsid w:val="005000AD"/>
    <w:rsid w:val="00500E05"/>
    <w:rsid w:val="00500FB5"/>
    <w:rsid w:val="005016CE"/>
    <w:rsid w:val="00501AD4"/>
    <w:rsid w:val="00501CFF"/>
    <w:rsid w:val="00501D74"/>
    <w:rsid w:val="0050213A"/>
    <w:rsid w:val="0050264C"/>
    <w:rsid w:val="0050274F"/>
    <w:rsid w:val="00502EED"/>
    <w:rsid w:val="00503383"/>
    <w:rsid w:val="005037A9"/>
    <w:rsid w:val="005039C3"/>
    <w:rsid w:val="00504101"/>
    <w:rsid w:val="00504497"/>
    <w:rsid w:val="00504575"/>
    <w:rsid w:val="00504622"/>
    <w:rsid w:val="00504E29"/>
    <w:rsid w:val="00505420"/>
    <w:rsid w:val="0050572D"/>
    <w:rsid w:val="0050595E"/>
    <w:rsid w:val="00505ADF"/>
    <w:rsid w:val="005063BE"/>
    <w:rsid w:val="0050656D"/>
    <w:rsid w:val="00507122"/>
    <w:rsid w:val="00507381"/>
    <w:rsid w:val="0050774A"/>
    <w:rsid w:val="00507DED"/>
    <w:rsid w:val="00510B3F"/>
    <w:rsid w:val="00510FD0"/>
    <w:rsid w:val="00511088"/>
    <w:rsid w:val="00511A5E"/>
    <w:rsid w:val="00511D76"/>
    <w:rsid w:val="005127C2"/>
    <w:rsid w:val="005129DE"/>
    <w:rsid w:val="005138A5"/>
    <w:rsid w:val="005138E0"/>
    <w:rsid w:val="00513B63"/>
    <w:rsid w:val="00514787"/>
    <w:rsid w:val="00514C5C"/>
    <w:rsid w:val="00514CA6"/>
    <w:rsid w:val="0051505D"/>
    <w:rsid w:val="00515347"/>
    <w:rsid w:val="00515DA0"/>
    <w:rsid w:val="005164CE"/>
    <w:rsid w:val="00516849"/>
    <w:rsid w:val="005169B2"/>
    <w:rsid w:val="00516BA2"/>
    <w:rsid w:val="00516C9E"/>
    <w:rsid w:val="00516FF2"/>
    <w:rsid w:val="005176E1"/>
    <w:rsid w:val="00517A33"/>
    <w:rsid w:val="00517CC1"/>
    <w:rsid w:val="00517E1C"/>
    <w:rsid w:val="005205AD"/>
    <w:rsid w:val="00520BA8"/>
    <w:rsid w:val="00520C83"/>
    <w:rsid w:val="0052107F"/>
    <w:rsid w:val="005210C7"/>
    <w:rsid w:val="00521ED9"/>
    <w:rsid w:val="00522116"/>
    <w:rsid w:val="00522441"/>
    <w:rsid w:val="00522D09"/>
    <w:rsid w:val="00522FBE"/>
    <w:rsid w:val="005233FB"/>
    <w:rsid w:val="005238AD"/>
    <w:rsid w:val="00523D8E"/>
    <w:rsid w:val="0052466F"/>
    <w:rsid w:val="00524681"/>
    <w:rsid w:val="00524787"/>
    <w:rsid w:val="0052484B"/>
    <w:rsid w:val="00524DC1"/>
    <w:rsid w:val="00525569"/>
    <w:rsid w:val="005258AA"/>
    <w:rsid w:val="00525917"/>
    <w:rsid w:val="005261CF"/>
    <w:rsid w:val="00526EAB"/>
    <w:rsid w:val="005276DF"/>
    <w:rsid w:val="00527889"/>
    <w:rsid w:val="00527D73"/>
    <w:rsid w:val="00527F47"/>
    <w:rsid w:val="005305F3"/>
    <w:rsid w:val="00530ADB"/>
    <w:rsid w:val="00530ADD"/>
    <w:rsid w:val="00530B43"/>
    <w:rsid w:val="00530B63"/>
    <w:rsid w:val="00530E74"/>
    <w:rsid w:val="00530FF1"/>
    <w:rsid w:val="00531043"/>
    <w:rsid w:val="00531402"/>
    <w:rsid w:val="005317E1"/>
    <w:rsid w:val="00531B32"/>
    <w:rsid w:val="00531B84"/>
    <w:rsid w:val="00531D75"/>
    <w:rsid w:val="00531EB1"/>
    <w:rsid w:val="00532116"/>
    <w:rsid w:val="00532236"/>
    <w:rsid w:val="005328C6"/>
    <w:rsid w:val="00533A84"/>
    <w:rsid w:val="00533D4D"/>
    <w:rsid w:val="00534241"/>
    <w:rsid w:val="00534301"/>
    <w:rsid w:val="005346CF"/>
    <w:rsid w:val="005349E4"/>
    <w:rsid w:val="00534BC8"/>
    <w:rsid w:val="0053511B"/>
    <w:rsid w:val="0053586E"/>
    <w:rsid w:val="00535BAF"/>
    <w:rsid w:val="00536873"/>
    <w:rsid w:val="00536C2E"/>
    <w:rsid w:val="00537033"/>
    <w:rsid w:val="00537449"/>
    <w:rsid w:val="005377D3"/>
    <w:rsid w:val="00537A5D"/>
    <w:rsid w:val="00537B61"/>
    <w:rsid w:val="00540239"/>
    <w:rsid w:val="00540390"/>
    <w:rsid w:val="0054041A"/>
    <w:rsid w:val="00540777"/>
    <w:rsid w:val="00540D21"/>
    <w:rsid w:val="00540D78"/>
    <w:rsid w:val="005414CF"/>
    <w:rsid w:val="00541957"/>
    <w:rsid w:val="00541F45"/>
    <w:rsid w:val="00541FE2"/>
    <w:rsid w:val="0054242A"/>
    <w:rsid w:val="0054269A"/>
    <w:rsid w:val="005426E3"/>
    <w:rsid w:val="005427A0"/>
    <w:rsid w:val="00542B48"/>
    <w:rsid w:val="0054303A"/>
    <w:rsid w:val="00543BB7"/>
    <w:rsid w:val="00543C8B"/>
    <w:rsid w:val="00543F13"/>
    <w:rsid w:val="00544296"/>
    <w:rsid w:val="0054450C"/>
    <w:rsid w:val="005446DD"/>
    <w:rsid w:val="00544C97"/>
    <w:rsid w:val="0054535C"/>
    <w:rsid w:val="00545C66"/>
    <w:rsid w:val="00545D95"/>
    <w:rsid w:val="00545FAA"/>
    <w:rsid w:val="00547735"/>
    <w:rsid w:val="00547A3E"/>
    <w:rsid w:val="00547BA9"/>
    <w:rsid w:val="00547C4B"/>
    <w:rsid w:val="00550018"/>
    <w:rsid w:val="00550767"/>
    <w:rsid w:val="0055083E"/>
    <w:rsid w:val="00550892"/>
    <w:rsid w:val="00550995"/>
    <w:rsid w:val="005518FF"/>
    <w:rsid w:val="00551B45"/>
    <w:rsid w:val="00551BF0"/>
    <w:rsid w:val="00551D9C"/>
    <w:rsid w:val="005530E8"/>
    <w:rsid w:val="00553EA4"/>
    <w:rsid w:val="00554822"/>
    <w:rsid w:val="00554E02"/>
    <w:rsid w:val="005557DD"/>
    <w:rsid w:val="00556941"/>
    <w:rsid w:val="00556C59"/>
    <w:rsid w:val="005577A4"/>
    <w:rsid w:val="0055789E"/>
    <w:rsid w:val="005603EF"/>
    <w:rsid w:val="00560A68"/>
    <w:rsid w:val="00560ECD"/>
    <w:rsid w:val="0056101E"/>
    <w:rsid w:val="00561126"/>
    <w:rsid w:val="005612E6"/>
    <w:rsid w:val="005615B3"/>
    <w:rsid w:val="00561627"/>
    <w:rsid w:val="00561927"/>
    <w:rsid w:val="00561E25"/>
    <w:rsid w:val="005621CC"/>
    <w:rsid w:val="005625A1"/>
    <w:rsid w:val="00562807"/>
    <w:rsid w:val="00562B54"/>
    <w:rsid w:val="00563278"/>
    <w:rsid w:val="0056391C"/>
    <w:rsid w:val="005639EB"/>
    <w:rsid w:val="00564427"/>
    <w:rsid w:val="00564EF1"/>
    <w:rsid w:val="00564F62"/>
    <w:rsid w:val="00565026"/>
    <w:rsid w:val="00565193"/>
    <w:rsid w:val="00565AD4"/>
    <w:rsid w:val="00565B87"/>
    <w:rsid w:val="00565C84"/>
    <w:rsid w:val="00566497"/>
    <w:rsid w:val="005667CD"/>
    <w:rsid w:val="00566C81"/>
    <w:rsid w:val="00566EE1"/>
    <w:rsid w:val="005675BF"/>
    <w:rsid w:val="00567AF5"/>
    <w:rsid w:val="00567BA0"/>
    <w:rsid w:val="00567C11"/>
    <w:rsid w:val="005708AB"/>
    <w:rsid w:val="00570BD9"/>
    <w:rsid w:val="00570BED"/>
    <w:rsid w:val="00570E30"/>
    <w:rsid w:val="0057171D"/>
    <w:rsid w:val="005717CE"/>
    <w:rsid w:val="005719C1"/>
    <w:rsid w:val="00572445"/>
    <w:rsid w:val="005729A9"/>
    <w:rsid w:val="00572AF8"/>
    <w:rsid w:val="00572F03"/>
    <w:rsid w:val="00573373"/>
    <w:rsid w:val="00573929"/>
    <w:rsid w:val="005740A9"/>
    <w:rsid w:val="005744BD"/>
    <w:rsid w:val="00574A48"/>
    <w:rsid w:val="00575460"/>
    <w:rsid w:val="0057550B"/>
    <w:rsid w:val="00575675"/>
    <w:rsid w:val="00575B2B"/>
    <w:rsid w:val="00575EB9"/>
    <w:rsid w:val="00576EBB"/>
    <w:rsid w:val="00576FF6"/>
    <w:rsid w:val="00577269"/>
    <w:rsid w:val="00577392"/>
    <w:rsid w:val="005779D9"/>
    <w:rsid w:val="00580255"/>
    <w:rsid w:val="005802FC"/>
    <w:rsid w:val="0058033D"/>
    <w:rsid w:val="0058094C"/>
    <w:rsid w:val="00580F70"/>
    <w:rsid w:val="0058178D"/>
    <w:rsid w:val="00581BE9"/>
    <w:rsid w:val="00581DAC"/>
    <w:rsid w:val="00582006"/>
    <w:rsid w:val="00582083"/>
    <w:rsid w:val="005820DC"/>
    <w:rsid w:val="005822B3"/>
    <w:rsid w:val="005822BE"/>
    <w:rsid w:val="005823D7"/>
    <w:rsid w:val="005825E1"/>
    <w:rsid w:val="00582FE8"/>
    <w:rsid w:val="005830A6"/>
    <w:rsid w:val="005835F9"/>
    <w:rsid w:val="00583BC9"/>
    <w:rsid w:val="00583D0B"/>
    <w:rsid w:val="005844D3"/>
    <w:rsid w:val="005847C2"/>
    <w:rsid w:val="00584ACF"/>
    <w:rsid w:val="005856AB"/>
    <w:rsid w:val="00585AD4"/>
    <w:rsid w:val="00585BDF"/>
    <w:rsid w:val="00585C9A"/>
    <w:rsid w:val="005861A5"/>
    <w:rsid w:val="00586B73"/>
    <w:rsid w:val="00586B7C"/>
    <w:rsid w:val="005872B9"/>
    <w:rsid w:val="005876D0"/>
    <w:rsid w:val="0059033B"/>
    <w:rsid w:val="00590AA0"/>
    <w:rsid w:val="00590BF0"/>
    <w:rsid w:val="0059132B"/>
    <w:rsid w:val="005915A6"/>
    <w:rsid w:val="00592465"/>
    <w:rsid w:val="0059281D"/>
    <w:rsid w:val="00592A50"/>
    <w:rsid w:val="00592DDF"/>
    <w:rsid w:val="00592E95"/>
    <w:rsid w:val="00592FE9"/>
    <w:rsid w:val="0059320F"/>
    <w:rsid w:val="00593703"/>
    <w:rsid w:val="00593878"/>
    <w:rsid w:val="005939BE"/>
    <w:rsid w:val="005940CD"/>
    <w:rsid w:val="00594662"/>
    <w:rsid w:val="0059474E"/>
    <w:rsid w:val="00594A0C"/>
    <w:rsid w:val="00594EE9"/>
    <w:rsid w:val="00595C13"/>
    <w:rsid w:val="00595C35"/>
    <w:rsid w:val="0059603F"/>
    <w:rsid w:val="0059619A"/>
    <w:rsid w:val="00596BFB"/>
    <w:rsid w:val="00596C47"/>
    <w:rsid w:val="00596C89"/>
    <w:rsid w:val="00596E44"/>
    <w:rsid w:val="005974C0"/>
    <w:rsid w:val="00597DFA"/>
    <w:rsid w:val="00597EA8"/>
    <w:rsid w:val="005A01CD"/>
    <w:rsid w:val="005A0273"/>
    <w:rsid w:val="005A027D"/>
    <w:rsid w:val="005A0379"/>
    <w:rsid w:val="005A0B84"/>
    <w:rsid w:val="005A0CBE"/>
    <w:rsid w:val="005A0FA4"/>
    <w:rsid w:val="005A1249"/>
    <w:rsid w:val="005A167B"/>
    <w:rsid w:val="005A1C89"/>
    <w:rsid w:val="005A2399"/>
    <w:rsid w:val="005A29FF"/>
    <w:rsid w:val="005A2B35"/>
    <w:rsid w:val="005A2E11"/>
    <w:rsid w:val="005A33D6"/>
    <w:rsid w:val="005A3686"/>
    <w:rsid w:val="005A3A9D"/>
    <w:rsid w:val="005A3AFC"/>
    <w:rsid w:val="005A3D09"/>
    <w:rsid w:val="005A3F55"/>
    <w:rsid w:val="005A3FBF"/>
    <w:rsid w:val="005A44B3"/>
    <w:rsid w:val="005A4A02"/>
    <w:rsid w:val="005A547E"/>
    <w:rsid w:val="005A557D"/>
    <w:rsid w:val="005A55CE"/>
    <w:rsid w:val="005A5775"/>
    <w:rsid w:val="005A62AB"/>
    <w:rsid w:val="005A684E"/>
    <w:rsid w:val="005A6E92"/>
    <w:rsid w:val="005A6FCE"/>
    <w:rsid w:val="005A7049"/>
    <w:rsid w:val="005A7340"/>
    <w:rsid w:val="005A7357"/>
    <w:rsid w:val="005B01AF"/>
    <w:rsid w:val="005B02EB"/>
    <w:rsid w:val="005B0942"/>
    <w:rsid w:val="005B09A7"/>
    <w:rsid w:val="005B0A67"/>
    <w:rsid w:val="005B103B"/>
    <w:rsid w:val="005B10BB"/>
    <w:rsid w:val="005B149B"/>
    <w:rsid w:val="005B1A49"/>
    <w:rsid w:val="005B1C56"/>
    <w:rsid w:val="005B1E1D"/>
    <w:rsid w:val="005B20A7"/>
    <w:rsid w:val="005B2232"/>
    <w:rsid w:val="005B23DB"/>
    <w:rsid w:val="005B2A5D"/>
    <w:rsid w:val="005B2B2B"/>
    <w:rsid w:val="005B2C6A"/>
    <w:rsid w:val="005B2FA1"/>
    <w:rsid w:val="005B312E"/>
    <w:rsid w:val="005B346C"/>
    <w:rsid w:val="005B3A1A"/>
    <w:rsid w:val="005B3F41"/>
    <w:rsid w:val="005B43E5"/>
    <w:rsid w:val="005B4A0A"/>
    <w:rsid w:val="005B5231"/>
    <w:rsid w:val="005B559C"/>
    <w:rsid w:val="005B57C5"/>
    <w:rsid w:val="005B5CD6"/>
    <w:rsid w:val="005B61A7"/>
    <w:rsid w:val="005B6350"/>
    <w:rsid w:val="005B6C83"/>
    <w:rsid w:val="005B7043"/>
    <w:rsid w:val="005B7A7A"/>
    <w:rsid w:val="005B7CA8"/>
    <w:rsid w:val="005B7F7D"/>
    <w:rsid w:val="005C0170"/>
    <w:rsid w:val="005C0225"/>
    <w:rsid w:val="005C0774"/>
    <w:rsid w:val="005C0E04"/>
    <w:rsid w:val="005C129D"/>
    <w:rsid w:val="005C130B"/>
    <w:rsid w:val="005C1A3B"/>
    <w:rsid w:val="005C1B70"/>
    <w:rsid w:val="005C1E79"/>
    <w:rsid w:val="005C2742"/>
    <w:rsid w:val="005C2A2B"/>
    <w:rsid w:val="005C2C7E"/>
    <w:rsid w:val="005C3024"/>
    <w:rsid w:val="005C36E3"/>
    <w:rsid w:val="005C3B2E"/>
    <w:rsid w:val="005C48BB"/>
    <w:rsid w:val="005C4A90"/>
    <w:rsid w:val="005C5C0D"/>
    <w:rsid w:val="005C60D2"/>
    <w:rsid w:val="005C64CE"/>
    <w:rsid w:val="005C72B6"/>
    <w:rsid w:val="005C7589"/>
    <w:rsid w:val="005C7CCD"/>
    <w:rsid w:val="005C7D8F"/>
    <w:rsid w:val="005C7E4E"/>
    <w:rsid w:val="005D0390"/>
    <w:rsid w:val="005D046D"/>
    <w:rsid w:val="005D0639"/>
    <w:rsid w:val="005D0DBA"/>
    <w:rsid w:val="005D0DE6"/>
    <w:rsid w:val="005D0EAD"/>
    <w:rsid w:val="005D0EF6"/>
    <w:rsid w:val="005D16D2"/>
    <w:rsid w:val="005D1769"/>
    <w:rsid w:val="005D230A"/>
    <w:rsid w:val="005D235B"/>
    <w:rsid w:val="005D2AFF"/>
    <w:rsid w:val="005D31E9"/>
    <w:rsid w:val="005D31ED"/>
    <w:rsid w:val="005D37D0"/>
    <w:rsid w:val="005D3B00"/>
    <w:rsid w:val="005D3EB9"/>
    <w:rsid w:val="005D42C7"/>
    <w:rsid w:val="005D43C6"/>
    <w:rsid w:val="005D4495"/>
    <w:rsid w:val="005D5426"/>
    <w:rsid w:val="005D55EF"/>
    <w:rsid w:val="005D570A"/>
    <w:rsid w:val="005D58BE"/>
    <w:rsid w:val="005D59E7"/>
    <w:rsid w:val="005D611E"/>
    <w:rsid w:val="005D63FA"/>
    <w:rsid w:val="005D6488"/>
    <w:rsid w:val="005D694B"/>
    <w:rsid w:val="005D72DF"/>
    <w:rsid w:val="005D7DFE"/>
    <w:rsid w:val="005E007B"/>
    <w:rsid w:val="005E04F6"/>
    <w:rsid w:val="005E0DCA"/>
    <w:rsid w:val="005E200A"/>
    <w:rsid w:val="005E274B"/>
    <w:rsid w:val="005E2762"/>
    <w:rsid w:val="005E27DF"/>
    <w:rsid w:val="005E27F7"/>
    <w:rsid w:val="005E2BB8"/>
    <w:rsid w:val="005E2F49"/>
    <w:rsid w:val="005E30ED"/>
    <w:rsid w:val="005E33E5"/>
    <w:rsid w:val="005E3479"/>
    <w:rsid w:val="005E36E0"/>
    <w:rsid w:val="005E3700"/>
    <w:rsid w:val="005E47DD"/>
    <w:rsid w:val="005E5172"/>
    <w:rsid w:val="005E52D6"/>
    <w:rsid w:val="005E54E5"/>
    <w:rsid w:val="005E599E"/>
    <w:rsid w:val="005E7C06"/>
    <w:rsid w:val="005F0045"/>
    <w:rsid w:val="005F00EB"/>
    <w:rsid w:val="005F0E6A"/>
    <w:rsid w:val="005F1AD9"/>
    <w:rsid w:val="005F26F9"/>
    <w:rsid w:val="005F279F"/>
    <w:rsid w:val="005F2F5E"/>
    <w:rsid w:val="005F34FF"/>
    <w:rsid w:val="005F3AF0"/>
    <w:rsid w:val="005F3FB3"/>
    <w:rsid w:val="005F4202"/>
    <w:rsid w:val="005F4E56"/>
    <w:rsid w:val="005F4FF9"/>
    <w:rsid w:val="005F5127"/>
    <w:rsid w:val="005F5BDA"/>
    <w:rsid w:val="005F5F20"/>
    <w:rsid w:val="005F6571"/>
    <w:rsid w:val="005F65BB"/>
    <w:rsid w:val="005F68F5"/>
    <w:rsid w:val="005F6BBA"/>
    <w:rsid w:val="005F6DA0"/>
    <w:rsid w:val="005F6EDB"/>
    <w:rsid w:val="005F733C"/>
    <w:rsid w:val="005F79E6"/>
    <w:rsid w:val="005F7AB6"/>
    <w:rsid w:val="006003A4"/>
    <w:rsid w:val="006006A4"/>
    <w:rsid w:val="006006F4"/>
    <w:rsid w:val="0060075B"/>
    <w:rsid w:val="00601384"/>
    <w:rsid w:val="006013A2"/>
    <w:rsid w:val="00601869"/>
    <w:rsid w:val="00601D73"/>
    <w:rsid w:val="00601F88"/>
    <w:rsid w:val="00602FE4"/>
    <w:rsid w:val="0060317A"/>
    <w:rsid w:val="0060324D"/>
    <w:rsid w:val="006034A2"/>
    <w:rsid w:val="0060384F"/>
    <w:rsid w:val="00603ACF"/>
    <w:rsid w:val="00603E84"/>
    <w:rsid w:val="00604198"/>
    <w:rsid w:val="00604246"/>
    <w:rsid w:val="00604717"/>
    <w:rsid w:val="0060493F"/>
    <w:rsid w:val="00604BD9"/>
    <w:rsid w:val="00605AE9"/>
    <w:rsid w:val="00605D36"/>
    <w:rsid w:val="00606030"/>
    <w:rsid w:val="00606102"/>
    <w:rsid w:val="00606674"/>
    <w:rsid w:val="00606B93"/>
    <w:rsid w:val="006071AE"/>
    <w:rsid w:val="006076C3"/>
    <w:rsid w:val="006101BB"/>
    <w:rsid w:val="006104D9"/>
    <w:rsid w:val="006108D9"/>
    <w:rsid w:val="00610DD6"/>
    <w:rsid w:val="00611201"/>
    <w:rsid w:val="006124D1"/>
    <w:rsid w:val="006124E3"/>
    <w:rsid w:val="006127DE"/>
    <w:rsid w:val="006129ED"/>
    <w:rsid w:val="0061312D"/>
    <w:rsid w:val="0061381A"/>
    <w:rsid w:val="00613A04"/>
    <w:rsid w:val="00613A65"/>
    <w:rsid w:val="00613EB7"/>
    <w:rsid w:val="006146E9"/>
    <w:rsid w:val="00614786"/>
    <w:rsid w:val="00614BAC"/>
    <w:rsid w:val="00614FAA"/>
    <w:rsid w:val="006161F9"/>
    <w:rsid w:val="00616235"/>
    <w:rsid w:val="0061644E"/>
    <w:rsid w:val="00616921"/>
    <w:rsid w:val="0062019C"/>
    <w:rsid w:val="006208F1"/>
    <w:rsid w:val="00620A04"/>
    <w:rsid w:val="00620D5A"/>
    <w:rsid w:val="0062166D"/>
    <w:rsid w:val="006217FA"/>
    <w:rsid w:val="006218E5"/>
    <w:rsid w:val="006219A6"/>
    <w:rsid w:val="00621B2A"/>
    <w:rsid w:val="00621C9E"/>
    <w:rsid w:val="00621FFC"/>
    <w:rsid w:val="0062276B"/>
    <w:rsid w:val="006227E0"/>
    <w:rsid w:val="00622902"/>
    <w:rsid w:val="00623724"/>
    <w:rsid w:val="0062397F"/>
    <w:rsid w:val="00623D3A"/>
    <w:rsid w:val="006242F2"/>
    <w:rsid w:val="00624CE5"/>
    <w:rsid w:val="00624D03"/>
    <w:rsid w:val="00625181"/>
    <w:rsid w:val="006252DC"/>
    <w:rsid w:val="0062546C"/>
    <w:rsid w:val="00625AD7"/>
    <w:rsid w:val="00626B01"/>
    <w:rsid w:val="0062755F"/>
    <w:rsid w:val="006278F9"/>
    <w:rsid w:val="00627A12"/>
    <w:rsid w:val="00630821"/>
    <w:rsid w:val="006315A9"/>
    <w:rsid w:val="00631B15"/>
    <w:rsid w:val="00631C14"/>
    <w:rsid w:val="00632620"/>
    <w:rsid w:val="0063386F"/>
    <w:rsid w:val="006338D1"/>
    <w:rsid w:val="00633FE0"/>
    <w:rsid w:val="006346D5"/>
    <w:rsid w:val="00634C55"/>
    <w:rsid w:val="00635181"/>
    <w:rsid w:val="00635270"/>
    <w:rsid w:val="00635AB9"/>
    <w:rsid w:val="00636B48"/>
    <w:rsid w:val="00636DA7"/>
    <w:rsid w:val="006372E9"/>
    <w:rsid w:val="00637DB9"/>
    <w:rsid w:val="00641307"/>
    <w:rsid w:val="0064135E"/>
    <w:rsid w:val="00641483"/>
    <w:rsid w:val="00641902"/>
    <w:rsid w:val="00641998"/>
    <w:rsid w:val="00642B6C"/>
    <w:rsid w:val="00642DF1"/>
    <w:rsid w:val="00642EA8"/>
    <w:rsid w:val="00642F57"/>
    <w:rsid w:val="006430EC"/>
    <w:rsid w:val="0064405A"/>
    <w:rsid w:val="00644694"/>
    <w:rsid w:val="0064469A"/>
    <w:rsid w:val="00644761"/>
    <w:rsid w:val="00644BCD"/>
    <w:rsid w:val="00645167"/>
    <w:rsid w:val="00645D86"/>
    <w:rsid w:val="00645DDF"/>
    <w:rsid w:val="006461B5"/>
    <w:rsid w:val="00650659"/>
    <w:rsid w:val="006509E2"/>
    <w:rsid w:val="00650A47"/>
    <w:rsid w:val="00650D55"/>
    <w:rsid w:val="00651736"/>
    <w:rsid w:val="0065196D"/>
    <w:rsid w:val="00651D13"/>
    <w:rsid w:val="00652037"/>
    <w:rsid w:val="0065211F"/>
    <w:rsid w:val="00652894"/>
    <w:rsid w:val="006528DE"/>
    <w:rsid w:val="006528F5"/>
    <w:rsid w:val="006530A5"/>
    <w:rsid w:val="00653391"/>
    <w:rsid w:val="0065348B"/>
    <w:rsid w:val="006539DA"/>
    <w:rsid w:val="00653A8C"/>
    <w:rsid w:val="006542EF"/>
    <w:rsid w:val="006543DB"/>
    <w:rsid w:val="006549F2"/>
    <w:rsid w:val="00654C80"/>
    <w:rsid w:val="00654CC7"/>
    <w:rsid w:val="00654E57"/>
    <w:rsid w:val="00654FA7"/>
    <w:rsid w:val="006550B3"/>
    <w:rsid w:val="00655663"/>
    <w:rsid w:val="00655978"/>
    <w:rsid w:val="00655ACB"/>
    <w:rsid w:val="00656CF3"/>
    <w:rsid w:val="00660548"/>
    <w:rsid w:val="00660880"/>
    <w:rsid w:val="00661A8A"/>
    <w:rsid w:val="00661AF8"/>
    <w:rsid w:val="00662726"/>
    <w:rsid w:val="00662AC5"/>
    <w:rsid w:val="00663243"/>
    <w:rsid w:val="00663B08"/>
    <w:rsid w:val="00663E09"/>
    <w:rsid w:val="00663F1E"/>
    <w:rsid w:val="0066416D"/>
    <w:rsid w:val="00664745"/>
    <w:rsid w:val="0066477B"/>
    <w:rsid w:val="00664923"/>
    <w:rsid w:val="00664FA7"/>
    <w:rsid w:val="00665F09"/>
    <w:rsid w:val="00666D2C"/>
    <w:rsid w:val="00666F6C"/>
    <w:rsid w:val="00667060"/>
    <w:rsid w:val="006671BB"/>
    <w:rsid w:val="0066723C"/>
    <w:rsid w:val="0066769D"/>
    <w:rsid w:val="00667A90"/>
    <w:rsid w:val="00667F6F"/>
    <w:rsid w:val="006708D5"/>
    <w:rsid w:val="00670907"/>
    <w:rsid w:val="00670B3E"/>
    <w:rsid w:val="00670B65"/>
    <w:rsid w:val="00670E32"/>
    <w:rsid w:val="00670F16"/>
    <w:rsid w:val="00671853"/>
    <w:rsid w:val="0067192A"/>
    <w:rsid w:val="00671B13"/>
    <w:rsid w:val="00671DF3"/>
    <w:rsid w:val="00671EA7"/>
    <w:rsid w:val="00672302"/>
    <w:rsid w:val="006729E9"/>
    <w:rsid w:val="00672F10"/>
    <w:rsid w:val="006737A1"/>
    <w:rsid w:val="00673808"/>
    <w:rsid w:val="0067397D"/>
    <w:rsid w:val="006743C2"/>
    <w:rsid w:val="00674963"/>
    <w:rsid w:val="00674A2A"/>
    <w:rsid w:val="00674AFC"/>
    <w:rsid w:val="00674BB7"/>
    <w:rsid w:val="00675058"/>
    <w:rsid w:val="00675293"/>
    <w:rsid w:val="00675550"/>
    <w:rsid w:val="006759BB"/>
    <w:rsid w:val="006762F9"/>
    <w:rsid w:val="00676991"/>
    <w:rsid w:val="00676C04"/>
    <w:rsid w:val="00676EFD"/>
    <w:rsid w:val="00676FEC"/>
    <w:rsid w:val="00677315"/>
    <w:rsid w:val="0067731A"/>
    <w:rsid w:val="006774A3"/>
    <w:rsid w:val="0067768D"/>
    <w:rsid w:val="00677BBF"/>
    <w:rsid w:val="00677F6B"/>
    <w:rsid w:val="00677F83"/>
    <w:rsid w:val="00680165"/>
    <w:rsid w:val="00680502"/>
    <w:rsid w:val="00680D7E"/>
    <w:rsid w:val="00680E08"/>
    <w:rsid w:val="00680E9A"/>
    <w:rsid w:val="0068177D"/>
    <w:rsid w:val="00682094"/>
    <w:rsid w:val="0068243B"/>
    <w:rsid w:val="00682624"/>
    <w:rsid w:val="006839B4"/>
    <w:rsid w:val="00684289"/>
    <w:rsid w:val="006846D9"/>
    <w:rsid w:val="00685561"/>
    <w:rsid w:val="0068605A"/>
    <w:rsid w:val="006862EB"/>
    <w:rsid w:val="00686366"/>
    <w:rsid w:val="0068673E"/>
    <w:rsid w:val="006870FF"/>
    <w:rsid w:val="00687118"/>
    <w:rsid w:val="0068720E"/>
    <w:rsid w:val="0068731F"/>
    <w:rsid w:val="006873EA"/>
    <w:rsid w:val="00687B33"/>
    <w:rsid w:val="006908BA"/>
    <w:rsid w:val="00690F6D"/>
    <w:rsid w:val="006910E4"/>
    <w:rsid w:val="00691252"/>
    <w:rsid w:val="0069125A"/>
    <w:rsid w:val="0069132E"/>
    <w:rsid w:val="006915D7"/>
    <w:rsid w:val="00692438"/>
    <w:rsid w:val="006928BE"/>
    <w:rsid w:val="00692CDB"/>
    <w:rsid w:val="006932C6"/>
    <w:rsid w:val="00693470"/>
    <w:rsid w:val="0069455D"/>
    <w:rsid w:val="00694846"/>
    <w:rsid w:val="0069497F"/>
    <w:rsid w:val="006953FC"/>
    <w:rsid w:val="0069574E"/>
    <w:rsid w:val="00695784"/>
    <w:rsid w:val="0069578A"/>
    <w:rsid w:val="00695D0B"/>
    <w:rsid w:val="00696649"/>
    <w:rsid w:val="00696CDF"/>
    <w:rsid w:val="0069751C"/>
    <w:rsid w:val="00697A82"/>
    <w:rsid w:val="00697A99"/>
    <w:rsid w:val="006A0D40"/>
    <w:rsid w:val="006A1129"/>
    <w:rsid w:val="006A1227"/>
    <w:rsid w:val="006A12C6"/>
    <w:rsid w:val="006A1FC5"/>
    <w:rsid w:val="006A286A"/>
    <w:rsid w:val="006A2A70"/>
    <w:rsid w:val="006A3218"/>
    <w:rsid w:val="006A3245"/>
    <w:rsid w:val="006A3B29"/>
    <w:rsid w:val="006A3E39"/>
    <w:rsid w:val="006A444B"/>
    <w:rsid w:val="006A4523"/>
    <w:rsid w:val="006A470E"/>
    <w:rsid w:val="006A4F5B"/>
    <w:rsid w:val="006A4F6A"/>
    <w:rsid w:val="006A51D5"/>
    <w:rsid w:val="006A5327"/>
    <w:rsid w:val="006A5492"/>
    <w:rsid w:val="006A59AB"/>
    <w:rsid w:val="006A5B83"/>
    <w:rsid w:val="006A5E37"/>
    <w:rsid w:val="006A5F35"/>
    <w:rsid w:val="006A5F79"/>
    <w:rsid w:val="006A64CA"/>
    <w:rsid w:val="006A6555"/>
    <w:rsid w:val="006A7455"/>
    <w:rsid w:val="006A749F"/>
    <w:rsid w:val="006A769B"/>
    <w:rsid w:val="006A76EE"/>
    <w:rsid w:val="006A771A"/>
    <w:rsid w:val="006A7D6A"/>
    <w:rsid w:val="006A7E56"/>
    <w:rsid w:val="006B0282"/>
    <w:rsid w:val="006B036E"/>
    <w:rsid w:val="006B0831"/>
    <w:rsid w:val="006B089E"/>
    <w:rsid w:val="006B0B5F"/>
    <w:rsid w:val="006B1AE6"/>
    <w:rsid w:val="006B1E15"/>
    <w:rsid w:val="006B245E"/>
    <w:rsid w:val="006B2504"/>
    <w:rsid w:val="006B2689"/>
    <w:rsid w:val="006B272D"/>
    <w:rsid w:val="006B2A40"/>
    <w:rsid w:val="006B2FE1"/>
    <w:rsid w:val="006B362A"/>
    <w:rsid w:val="006B3994"/>
    <w:rsid w:val="006B39CA"/>
    <w:rsid w:val="006B3F7F"/>
    <w:rsid w:val="006B42E3"/>
    <w:rsid w:val="006B4355"/>
    <w:rsid w:val="006B45EA"/>
    <w:rsid w:val="006B4965"/>
    <w:rsid w:val="006B4BFF"/>
    <w:rsid w:val="006B4C99"/>
    <w:rsid w:val="006B4CC2"/>
    <w:rsid w:val="006B4CDE"/>
    <w:rsid w:val="006B4D84"/>
    <w:rsid w:val="006B4E4B"/>
    <w:rsid w:val="006B572B"/>
    <w:rsid w:val="006B61D9"/>
    <w:rsid w:val="006B6F40"/>
    <w:rsid w:val="006C033A"/>
    <w:rsid w:val="006C03A6"/>
    <w:rsid w:val="006C0434"/>
    <w:rsid w:val="006C0624"/>
    <w:rsid w:val="006C0A2D"/>
    <w:rsid w:val="006C24DA"/>
    <w:rsid w:val="006C3216"/>
    <w:rsid w:val="006C3295"/>
    <w:rsid w:val="006C36EE"/>
    <w:rsid w:val="006C4008"/>
    <w:rsid w:val="006C438E"/>
    <w:rsid w:val="006C446E"/>
    <w:rsid w:val="006C44D3"/>
    <w:rsid w:val="006C4A64"/>
    <w:rsid w:val="006C4A88"/>
    <w:rsid w:val="006C4AAD"/>
    <w:rsid w:val="006C4E65"/>
    <w:rsid w:val="006C4F6D"/>
    <w:rsid w:val="006C5080"/>
    <w:rsid w:val="006C52B3"/>
    <w:rsid w:val="006C5552"/>
    <w:rsid w:val="006C656F"/>
    <w:rsid w:val="006C6E81"/>
    <w:rsid w:val="006C768B"/>
    <w:rsid w:val="006C7BD8"/>
    <w:rsid w:val="006D01B1"/>
    <w:rsid w:val="006D02BB"/>
    <w:rsid w:val="006D057D"/>
    <w:rsid w:val="006D0785"/>
    <w:rsid w:val="006D09AB"/>
    <w:rsid w:val="006D0ECD"/>
    <w:rsid w:val="006D12CD"/>
    <w:rsid w:val="006D25C9"/>
    <w:rsid w:val="006D2BEB"/>
    <w:rsid w:val="006D2D79"/>
    <w:rsid w:val="006D2DEB"/>
    <w:rsid w:val="006D3597"/>
    <w:rsid w:val="006D35C7"/>
    <w:rsid w:val="006D3AD7"/>
    <w:rsid w:val="006D3C81"/>
    <w:rsid w:val="006D410A"/>
    <w:rsid w:val="006D4744"/>
    <w:rsid w:val="006D51C9"/>
    <w:rsid w:val="006D51E5"/>
    <w:rsid w:val="006D52E3"/>
    <w:rsid w:val="006D567A"/>
    <w:rsid w:val="006D5C78"/>
    <w:rsid w:val="006D63AA"/>
    <w:rsid w:val="006D63DB"/>
    <w:rsid w:val="006D650F"/>
    <w:rsid w:val="006D653D"/>
    <w:rsid w:val="006D6D27"/>
    <w:rsid w:val="006D7099"/>
    <w:rsid w:val="006D7341"/>
    <w:rsid w:val="006D7985"/>
    <w:rsid w:val="006D79FD"/>
    <w:rsid w:val="006D7C4D"/>
    <w:rsid w:val="006D7EF6"/>
    <w:rsid w:val="006E02A9"/>
    <w:rsid w:val="006E0809"/>
    <w:rsid w:val="006E09FD"/>
    <w:rsid w:val="006E0A25"/>
    <w:rsid w:val="006E10D5"/>
    <w:rsid w:val="006E1239"/>
    <w:rsid w:val="006E13B8"/>
    <w:rsid w:val="006E1899"/>
    <w:rsid w:val="006E1D32"/>
    <w:rsid w:val="006E2539"/>
    <w:rsid w:val="006E268F"/>
    <w:rsid w:val="006E3BA0"/>
    <w:rsid w:val="006E3DB0"/>
    <w:rsid w:val="006E48E0"/>
    <w:rsid w:val="006E4989"/>
    <w:rsid w:val="006E4C8B"/>
    <w:rsid w:val="006E4E1D"/>
    <w:rsid w:val="006E530C"/>
    <w:rsid w:val="006E5B87"/>
    <w:rsid w:val="006E5D14"/>
    <w:rsid w:val="006E5FC1"/>
    <w:rsid w:val="006E61CF"/>
    <w:rsid w:val="006E644C"/>
    <w:rsid w:val="006E66A3"/>
    <w:rsid w:val="006E6ACF"/>
    <w:rsid w:val="006E6FB6"/>
    <w:rsid w:val="006E74B2"/>
    <w:rsid w:val="006F06A4"/>
    <w:rsid w:val="006F095B"/>
    <w:rsid w:val="006F0C2B"/>
    <w:rsid w:val="006F12D4"/>
    <w:rsid w:val="006F15FD"/>
    <w:rsid w:val="006F252C"/>
    <w:rsid w:val="006F255C"/>
    <w:rsid w:val="006F325B"/>
    <w:rsid w:val="006F43A0"/>
    <w:rsid w:val="006F45ED"/>
    <w:rsid w:val="006F4A9F"/>
    <w:rsid w:val="006F4BFD"/>
    <w:rsid w:val="006F5E9E"/>
    <w:rsid w:val="006F6036"/>
    <w:rsid w:val="006F651A"/>
    <w:rsid w:val="006F69FE"/>
    <w:rsid w:val="006F6B2E"/>
    <w:rsid w:val="006F7257"/>
    <w:rsid w:val="006F73B8"/>
    <w:rsid w:val="00700105"/>
    <w:rsid w:val="007008E6"/>
    <w:rsid w:val="00700B47"/>
    <w:rsid w:val="00700BBA"/>
    <w:rsid w:val="00701733"/>
    <w:rsid w:val="00701E78"/>
    <w:rsid w:val="007027C4"/>
    <w:rsid w:val="00702886"/>
    <w:rsid w:val="00702BB0"/>
    <w:rsid w:val="00703107"/>
    <w:rsid w:val="007036FD"/>
    <w:rsid w:val="00704270"/>
    <w:rsid w:val="0070431B"/>
    <w:rsid w:val="0070467B"/>
    <w:rsid w:val="0070468D"/>
    <w:rsid w:val="00704BC1"/>
    <w:rsid w:val="00704FCB"/>
    <w:rsid w:val="007054FD"/>
    <w:rsid w:val="007056F6"/>
    <w:rsid w:val="00705B11"/>
    <w:rsid w:val="007062A9"/>
    <w:rsid w:val="00706DAC"/>
    <w:rsid w:val="00706E46"/>
    <w:rsid w:val="00706E76"/>
    <w:rsid w:val="007070ED"/>
    <w:rsid w:val="007076B3"/>
    <w:rsid w:val="00710508"/>
    <w:rsid w:val="007107A5"/>
    <w:rsid w:val="00711098"/>
    <w:rsid w:val="00711298"/>
    <w:rsid w:val="007113B6"/>
    <w:rsid w:val="0071157A"/>
    <w:rsid w:val="00711E11"/>
    <w:rsid w:val="00711F6B"/>
    <w:rsid w:val="00711F90"/>
    <w:rsid w:val="007133D2"/>
    <w:rsid w:val="0071376B"/>
    <w:rsid w:val="00713C68"/>
    <w:rsid w:val="00713CE0"/>
    <w:rsid w:val="007149D7"/>
    <w:rsid w:val="00715495"/>
    <w:rsid w:val="00716424"/>
    <w:rsid w:val="00716942"/>
    <w:rsid w:val="00717776"/>
    <w:rsid w:val="00717CBA"/>
    <w:rsid w:val="00717E04"/>
    <w:rsid w:val="007200EE"/>
    <w:rsid w:val="00720206"/>
    <w:rsid w:val="00720458"/>
    <w:rsid w:val="00720871"/>
    <w:rsid w:val="00720B2E"/>
    <w:rsid w:val="007217A7"/>
    <w:rsid w:val="0072195A"/>
    <w:rsid w:val="00721BC0"/>
    <w:rsid w:val="00721DD5"/>
    <w:rsid w:val="00722651"/>
    <w:rsid w:val="00722BA6"/>
    <w:rsid w:val="00723AEE"/>
    <w:rsid w:val="007240F5"/>
    <w:rsid w:val="00724420"/>
    <w:rsid w:val="00724EB3"/>
    <w:rsid w:val="00724FC8"/>
    <w:rsid w:val="007252AC"/>
    <w:rsid w:val="00725598"/>
    <w:rsid w:val="0072599A"/>
    <w:rsid w:val="00726592"/>
    <w:rsid w:val="0072680D"/>
    <w:rsid w:val="00726825"/>
    <w:rsid w:val="00726844"/>
    <w:rsid w:val="00726871"/>
    <w:rsid w:val="00726B74"/>
    <w:rsid w:val="00726E13"/>
    <w:rsid w:val="007273D5"/>
    <w:rsid w:val="007276B9"/>
    <w:rsid w:val="007276D5"/>
    <w:rsid w:val="00727C61"/>
    <w:rsid w:val="00727EA3"/>
    <w:rsid w:val="00730355"/>
    <w:rsid w:val="007304C0"/>
    <w:rsid w:val="0073087F"/>
    <w:rsid w:val="00730E72"/>
    <w:rsid w:val="007316A3"/>
    <w:rsid w:val="00731AE7"/>
    <w:rsid w:val="00731B87"/>
    <w:rsid w:val="00731E32"/>
    <w:rsid w:val="00732A9E"/>
    <w:rsid w:val="00732C36"/>
    <w:rsid w:val="00732CD0"/>
    <w:rsid w:val="00732DCE"/>
    <w:rsid w:val="00733056"/>
    <w:rsid w:val="00733362"/>
    <w:rsid w:val="00733B27"/>
    <w:rsid w:val="00734298"/>
    <w:rsid w:val="0073429C"/>
    <w:rsid w:val="007347F8"/>
    <w:rsid w:val="007348E6"/>
    <w:rsid w:val="00734D42"/>
    <w:rsid w:val="0073519C"/>
    <w:rsid w:val="0073522E"/>
    <w:rsid w:val="007363D4"/>
    <w:rsid w:val="007364E8"/>
    <w:rsid w:val="007365E4"/>
    <w:rsid w:val="00736716"/>
    <w:rsid w:val="00736BAE"/>
    <w:rsid w:val="0073715F"/>
    <w:rsid w:val="00737923"/>
    <w:rsid w:val="007379B2"/>
    <w:rsid w:val="00737CFF"/>
    <w:rsid w:val="0074029B"/>
    <w:rsid w:val="007403D3"/>
    <w:rsid w:val="007404CA"/>
    <w:rsid w:val="0074060F"/>
    <w:rsid w:val="0074070D"/>
    <w:rsid w:val="00741245"/>
    <w:rsid w:val="0074248E"/>
    <w:rsid w:val="00742D2C"/>
    <w:rsid w:val="007434F3"/>
    <w:rsid w:val="00743548"/>
    <w:rsid w:val="0074368B"/>
    <w:rsid w:val="00743DC8"/>
    <w:rsid w:val="00743E67"/>
    <w:rsid w:val="00743FEC"/>
    <w:rsid w:val="0074433B"/>
    <w:rsid w:val="0074484B"/>
    <w:rsid w:val="00744902"/>
    <w:rsid w:val="00745D35"/>
    <w:rsid w:val="00746024"/>
    <w:rsid w:val="00746594"/>
    <w:rsid w:val="00746A48"/>
    <w:rsid w:val="00746AE1"/>
    <w:rsid w:val="00746E14"/>
    <w:rsid w:val="00746FDF"/>
    <w:rsid w:val="007473E6"/>
    <w:rsid w:val="007507BC"/>
    <w:rsid w:val="00750E55"/>
    <w:rsid w:val="00750F3C"/>
    <w:rsid w:val="007511EB"/>
    <w:rsid w:val="0075122B"/>
    <w:rsid w:val="0075165B"/>
    <w:rsid w:val="00751C90"/>
    <w:rsid w:val="00751CFB"/>
    <w:rsid w:val="007521C6"/>
    <w:rsid w:val="00752244"/>
    <w:rsid w:val="00752A88"/>
    <w:rsid w:val="00752D3E"/>
    <w:rsid w:val="00752DDA"/>
    <w:rsid w:val="00752F41"/>
    <w:rsid w:val="00752FE2"/>
    <w:rsid w:val="00753126"/>
    <w:rsid w:val="007533FE"/>
    <w:rsid w:val="007534BD"/>
    <w:rsid w:val="00753DE3"/>
    <w:rsid w:val="00753FAF"/>
    <w:rsid w:val="00754A48"/>
    <w:rsid w:val="00754CCD"/>
    <w:rsid w:val="00755341"/>
    <w:rsid w:val="007553C0"/>
    <w:rsid w:val="007554D7"/>
    <w:rsid w:val="00755B38"/>
    <w:rsid w:val="00755B70"/>
    <w:rsid w:val="00755D33"/>
    <w:rsid w:val="00755E34"/>
    <w:rsid w:val="007562F7"/>
    <w:rsid w:val="00756546"/>
    <w:rsid w:val="00756A4D"/>
    <w:rsid w:val="00756F68"/>
    <w:rsid w:val="007571CF"/>
    <w:rsid w:val="00757E36"/>
    <w:rsid w:val="0076011C"/>
    <w:rsid w:val="007606D9"/>
    <w:rsid w:val="007609B8"/>
    <w:rsid w:val="00760BCE"/>
    <w:rsid w:val="00760E61"/>
    <w:rsid w:val="007612C5"/>
    <w:rsid w:val="007612C7"/>
    <w:rsid w:val="00761479"/>
    <w:rsid w:val="007618B1"/>
    <w:rsid w:val="00761B26"/>
    <w:rsid w:val="00761B70"/>
    <w:rsid w:val="00761BCD"/>
    <w:rsid w:val="0076227E"/>
    <w:rsid w:val="007625BD"/>
    <w:rsid w:val="00762692"/>
    <w:rsid w:val="007626A6"/>
    <w:rsid w:val="00762D49"/>
    <w:rsid w:val="0076386B"/>
    <w:rsid w:val="00763A68"/>
    <w:rsid w:val="00763C77"/>
    <w:rsid w:val="00763F51"/>
    <w:rsid w:val="007640F6"/>
    <w:rsid w:val="00764F33"/>
    <w:rsid w:val="00765004"/>
    <w:rsid w:val="00765330"/>
    <w:rsid w:val="007654F8"/>
    <w:rsid w:val="00765605"/>
    <w:rsid w:val="00765C32"/>
    <w:rsid w:val="00766079"/>
    <w:rsid w:val="00766205"/>
    <w:rsid w:val="00766A70"/>
    <w:rsid w:val="00766DEC"/>
    <w:rsid w:val="0076793E"/>
    <w:rsid w:val="00770096"/>
    <w:rsid w:val="0077009C"/>
    <w:rsid w:val="00770B01"/>
    <w:rsid w:val="00771177"/>
    <w:rsid w:val="007715B1"/>
    <w:rsid w:val="00771C05"/>
    <w:rsid w:val="00771E28"/>
    <w:rsid w:val="0077211D"/>
    <w:rsid w:val="00772166"/>
    <w:rsid w:val="00772BC4"/>
    <w:rsid w:val="00773216"/>
    <w:rsid w:val="007735D6"/>
    <w:rsid w:val="00773989"/>
    <w:rsid w:val="00773B6C"/>
    <w:rsid w:val="00774172"/>
    <w:rsid w:val="007744DB"/>
    <w:rsid w:val="00774809"/>
    <w:rsid w:val="00774B62"/>
    <w:rsid w:val="00774C53"/>
    <w:rsid w:val="00774DA3"/>
    <w:rsid w:val="00775886"/>
    <w:rsid w:val="00775A5F"/>
    <w:rsid w:val="00775C52"/>
    <w:rsid w:val="00775CC7"/>
    <w:rsid w:val="00775EB5"/>
    <w:rsid w:val="00776303"/>
    <w:rsid w:val="00776621"/>
    <w:rsid w:val="0077693E"/>
    <w:rsid w:val="00777344"/>
    <w:rsid w:val="007776CE"/>
    <w:rsid w:val="00777ADB"/>
    <w:rsid w:val="00777D5E"/>
    <w:rsid w:val="00777EAB"/>
    <w:rsid w:val="00777F5F"/>
    <w:rsid w:val="00780005"/>
    <w:rsid w:val="007801AD"/>
    <w:rsid w:val="0078064E"/>
    <w:rsid w:val="007806F7"/>
    <w:rsid w:val="007808A4"/>
    <w:rsid w:val="00780C8C"/>
    <w:rsid w:val="00780D3C"/>
    <w:rsid w:val="0078140E"/>
    <w:rsid w:val="00781A1C"/>
    <w:rsid w:val="00781A6F"/>
    <w:rsid w:val="00781AF2"/>
    <w:rsid w:val="00781F4B"/>
    <w:rsid w:val="00782101"/>
    <w:rsid w:val="00782121"/>
    <w:rsid w:val="00782893"/>
    <w:rsid w:val="00782AE6"/>
    <w:rsid w:val="00782B92"/>
    <w:rsid w:val="00782C87"/>
    <w:rsid w:val="00782D88"/>
    <w:rsid w:val="00782FCF"/>
    <w:rsid w:val="007831AE"/>
    <w:rsid w:val="00783297"/>
    <w:rsid w:val="007835F2"/>
    <w:rsid w:val="0078389F"/>
    <w:rsid w:val="00783C3B"/>
    <w:rsid w:val="007848C8"/>
    <w:rsid w:val="00784AC7"/>
    <w:rsid w:val="00784BDA"/>
    <w:rsid w:val="00784EF9"/>
    <w:rsid w:val="0078543D"/>
    <w:rsid w:val="00785890"/>
    <w:rsid w:val="00785CE9"/>
    <w:rsid w:val="00786246"/>
    <w:rsid w:val="0078627F"/>
    <w:rsid w:val="00786BBB"/>
    <w:rsid w:val="00786C72"/>
    <w:rsid w:val="00786CFC"/>
    <w:rsid w:val="00786E86"/>
    <w:rsid w:val="0078B47E"/>
    <w:rsid w:val="00790076"/>
    <w:rsid w:val="00790F29"/>
    <w:rsid w:val="007910AC"/>
    <w:rsid w:val="00791745"/>
    <w:rsid w:val="007919EB"/>
    <w:rsid w:val="00791ED1"/>
    <w:rsid w:val="00792541"/>
    <w:rsid w:val="00792FBE"/>
    <w:rsid w:val="007932A4"/>
    <w:rsid w:val="00793665"/>
    <w:rsid w:val="007944A3"/>
    <w:rsid w:val="00794657"/>
    <w:rsid w:val="00794A38"/>
    <w:rsid w:val="00794F23"/>
    <w:rsid w:val="00795071"/>
    <w:rsid w:val="00795421"/>
    <w:rsid w:val="00795D84"/>
    <w:rsid w:val="00796652"/>
    <w:rsid w:val="00796B89"/>
    <w:rsid w:val="00796CAE"/>
    <w:rsid w:val="00796CDC"/>
    <w:rsid w:val="00797EDA"/>
    <w:rsid w:val="007A06EF"/>
    <w:rsid w:val="007A087D"/>
    <w:rsid w:val="007A0971"/>
    <w:rsid w:val="007A0DD9"/>
    <w:rsid w:val="007A0E0D"/>
    <w:rsid w:val="007A1189"/>
    <w:rsid w:val="007A14BE"/>
    <w:rsid w:val="007A16D7"/>
    <w:rsid w:val="007A1802"/>
    <w:rsid w:val="007A1995"/>
    <w:rsid w:val="007A1E0F"/>
    <w:rsid w:val="007A1F43"/>
    <w:rsid w:val="007A2126"/>
    <w:rsid w:val="007A2228"/>
    <w:rsid w:val="007A259D"/>
    <w:rsid w:val="007A265A"/>
    <w:rsid w:val="007A2956"/>
    <w:rsid w:val="007A3263"/>
    <w:rsid w:val="007A35F8"/>
    <w:rsid w:val="007A3694"/>
    <w:rsid w:val="007A3979"/>
    <w:rsid w:val="007A3AE6"/>
    <w:rsid w:val="007A3C17"/>
    <w:rsid w:val="007A44BD"/>
    <w:rsid w:val="007A464E"/>
    <w:rsid w:val="007A4E1B"/>
    <w:rsid w:val="007A4E52"/>
    <w:rsid w:val="007A5485"/>
    <w:rsid w:val="007A5599"/>
    <w:rsid w:val="007A5BB3"/>
    <w:rsid w:val="007A73F3"/>
    <w:rsid w:val="007A782A"/>
    <w:rsid w:val="007A7C0E"/>
    <w:rsid w:val="007A7E94"/>
    <w:rsid w:val="007A7FF9"/>
    <w:rsid w:val="007B0826"/>
    <w:rsid w:val="007B0E88"/>
    <w:rsid w:val="007B13A6"/>
    <w:rsid w:val="007B16F9"/>
    <w:rsid w:val="007B1BB2"/>
    <w:rsid w:val="007B1D46"/>
    <w:rsid w:val="007B1E15"/>
    <w:rsid w:val="007B2222"/>
    <w:rsid w:val="007B2350"/>
    <w:rsid w:val="007B2614"/>
    <w:rsid w:val="007B2B07"/>
    <w:rsid w:val="007B2E64"/>
    <w:rsid w:val="007B3402"/>
    <w:rsid w:val="007B3531"/>
    <w:rsid w:val="007B357A"/>
    <w:rsid w:val="007B364F"/>
    <w:rsid w:val="007B4837"/>
    <w:rsid w:val="007B521D"/>
    <w:rsid w:val="007B55A7"/>
    <w:rsid w:val="007B5B6F"/>
    <w:rsid w:val="007B5EFB"/>
    <w:rsid w:val="007B65D9"/>
    <w:rsid w:val="007B67B4"/>
    <w:rsid w:val="007B6F9A"/>
    <w:rsid w:val="007B715A"/>
    <w:rsid w:val="007B754E"/>
    <w:rsid w:val="007B778C"/>
    <w:rsid w:val="007B7DAD"/>
    <w:rsid w:val="007C038E"/>
    <w:rsid w:val="007C05CA"/>
    <w:rsid w:val="007C09B8"/>
    <w:rsid w:val="007C0AF6"/>
    <w:rsid w:val="007C0CEB"/>
    <w:rsid w:val="007C0E22"/>
    <w:rsid w:val="007C0F97"/>
    <w:rsid w:val="007C15FD"/>
    <w:rsid w:val="007C1878"/>
    <w:rsid w:val="007C18F3"/>
    <w:rsid w:val="007C1C2D"/>
    <w:rsid w:val="007C1CD9"/>
    <w:rsid w:val="007C238B"/>
    <w:rsid w:val="007C249F"/>
    <w:rsid w:val="007C253E"/>
    <w:rsid w:val="007C3038"/>
    <w:rsid w:val="007C30A8"/>
    <w:rsid w:val="007C32BE"/>
    <w:rsid w:val="007C3359"/>
    <w:rsid w:val="007C3549"/>
    <w:rsid w:val="007C3773"/>
    <w:rsid w:val="007C3DFE"/>
    <w:rsid w:val="007C3FA8"/>
    <w:rsid w:val="007C446F"/>
    <w:rsid w:val="007C491B"/>
    <w:rsid w:val="007C4DF5"/>
    <w:rsid w:val="007C558A"/>
    <w:rsid w:val="007C574B"/>
    <w:rsid w:val="007C5CA0"/>
    <w:rsid w:val="007C5EDF"/>
    <w:rsid w:val="007C5FBB"/>
    <w:rsid w:val="007C625E"/>
    <w:rsid w:val="007C646F"/>
    <w:rsid w:val="007C64E4"/>
    <w:rsid w:val="007C68A4"/>
    <w:rsid w:val="007C6AEC"/>
    <w:rsid w:val="007C71DB"/>
    <w:rsid w:val="007C7518"/>
    <w:rsid w:val="007C77A3"/>
    <w:rsid w:val="007C77FF"/>
    <w:rsid w:val="007C7C17"/>
    <w:rsid w:val="007C7CDF"/>
    <w:rsid w:val="007C7FC2"/>
    <w:rsid w:val="007D001A"/>
    <w:rsid w:val="007D01BC"/>
    <w:rsid w:val="007D089A"/>
    <w:rsid w:val="007D1355"/>
    <w:rsid w:val="007D13EC"/>
    <w:rsid w:val="007D1654"/>
    <w:rsid w:val="007D1692"/>
    <w:rsid w:val="007D17AC"/>
    <w:rsid w:val="007D1900"/>
    <w:rsid w:val="007D2391"/>
    <w:rsid w:val="007D31F5"/>
    <w:rsid w:val="007D3309"/>
    <w:rsid w:val="007D379E"/>
    <w:rsid w:val="007D37B6"/>
    <w:rsid w:val="007D3E20"/>
    <w:rsid w:val="007D46BF"/>
    <w:rsid w:val="007D5C29"/>
    <w:rsid w:val="007D5D7A"/>
    <w:rsid w:val="007D5DF4"/>
    <w:rsid w:val="007D6325"/>
    <w:rsid w:val="007D6C3B"/>
    <w:rsid w:val="007D6EA2"/>
    <w:rsid w:val="007D709C"/>
    <w:rsid w:val="007D76A1"/>
    <w:rsid w:val="007D7AA5"/>
    <w:rsid w:val="007D7D8D"/>
    <w:rsid w:val="007E010A"/>
    <w:rsid w:val="007E0811"/>
    <w:rsid w:val="007E0AA8"/>
    <w:rsid w:val="007E0DB4"/>
    <w:rsid w:val="007E1495"/>
    <w:rsid w:val="007E27AB"/>
    <w:rsid w:val="007E2859"/>
    <w:rsid w:val="007E34BD"/>
    <w:rsid w:val="007E36E3"/>
    <w:rsid w:val="007E38FD"/>
    <w:rsid w:val="007E414A"/>
    <w:rsid w:val="007E42D5"/>
    <w:rsid w:val="007E44FC"/>
    <w:rsid w:val="007E4770"/>
    <w:rsid w:val="007E5177"/>
    <w:rsid w:val="007E51E8"/>
    <w:rsid w:val="007E522D"/>
    <w:rsid w:val="007E559E"/>
    <w:rsid w:val="007E56C3"/>
    <w:rsid w:val="007E578B"/>
    <w:rsid w:val="007E579D"/>
    <w:rsid w:val="007E6889"/>
    <w:rsid w:val="007E7210"/>
    <w:rsid w:val="007E73A2"/>
    <w:rsid w:val="007E7E48"/>
    <w:rsid w:val="007F07C1"/>
    <w:rsid w:val="007F0BF2"/>
    <w:rsid w:val="007F0CBE"/>
    <w:rsid w:val="007F0D34"/>
    <w:rsid w:val="007F102B"/>
    <w:rsid w:val="007F18A8"/>
    <w:rsid w:val="007F2015"/>
    <w:rsid w:val="007F2051"/>
    <w:rsid w:val="007F2259"/>
    <w:rsid w:val="007F25E2"/>
    <w:rsid w:val="007F26C9"/>
    <w:rsid w:val="007F2836"/>
    <w:rsid w:val="007F2E08"/>
    <w:rsid w:val="007F3F05"/>
    <w:rsid w:val="007F4500"/>
    <w:rsid w:val="007F46CD"/>
    <w:rsid w:val="007F4792"/>
    <w:rsid w:val="007F491E"/>
    <w:rsid w:val="007F4958"/>
    <w:rsid w:val="007F4F9E"/>
    <w:rsid w:val="007F5880"/>
    <w:rsid w:val="007F6CA9"/>
    <w:rsid w:val="007F7028"/>
    <w:rsid w:val="007F73CC"/>
    <w:rsid w:val="007F754E"/>
    <w:rsid w:val="007F7A6D"/>
    <w:rsid w:val="007F7D68"/>
    <w:rsid w:val="007F7FE5"/>
    <w:rsid w:val="007F9889"/>
    <w:rsid w:val="00800459"/>
    <w:rsid w:val="00800ED0"/>
    <w:rsid w:val="008011ED"/>
    <w:rsid w:val="00801CFC"/>
    <w:rsid w:val="00802296"/>
    <w:rsid w:val="00802D73"/>
    <w:rsid w:val="008032EA"/>
    <w:rsid w:val="0080369E"/>
    <w:rsid w:val="00803BD1"/>
    <w:rsid w:val="00804213"/>
    <w:rsid w:val="008043D5"/>
    <w:rsid w:val="00804A60"/>
    <w:rsid w:val="00804B22"/>
    <w:rsid w:val="00804B85"/>
    <w:rsid w:val="00804C28"/>
    <w:rsid w:val="00804D60"/>
    <w:rsid w:val="008055C1"/>
    <w:rsid w:val="00805949"/>
    <w:rsid w:val="00805E2D"/>
    <w:rsid w:val="008066AF"/>
    <w:rsid w:val="008073C2"/>
    <w:rsid w:val="008079CA"/>
    <w:rsid w:val="00807F22"/>
    <w:rsid w:val="00810216"/>
    <w:rsid w:val="00810334"/>
    <w:rsid w:val="0081073A"/>
    <w:rsid w:val="0081081B"/>
    <w:rsid w:val="00811156"/>
    <w:rsid w:val="008112A2"/>
    <w:rsid w:val="0081173A"/>
    <w:rsid w:val="0081175F"/>
    <w:rsid w:val="008117B8"/>
    <w:rsid w:val="00811822"/>
    <w:rsid w:val="00811A44"/>
    <w:rsid w:val="00811D11"/>
    <w:rsid w:val="00811EFA"/>
    <w:rsid w:val="00811F1A"/>
    <w:rsid w:val="0081238F"/>
    <w:rsid w:val="00812438"/>
    <w:rsid w:val="00813863"/>
    <w:rsid w:val="00813922"/>
    <w:rsid w:val="00814446"/>
    <w:rsid w:val="00814850"/>
    <w:rsid w:val="00814A1E"/>
    <w:rsid w:val="00814E0C"/>
    <w:rsid w:val="00814FAF"/>
    <w:rsid w:val="00815237"/>
    <w:rsid w:val="00815F09"/>
    <w:rsid w:val="00816924"/>
    <w:rsid w:val="00817106"/>
    <w:rsid w:val="00817243"/>
    <w:rsid w:val="00817DB5"/>
    <w:rsid w:val="00817EBE"/>
    <w:rsid w:val="00817F08"/>
    <w:rsid w:val="00820130"/>
    <w:rsid w:val="008202A8"/>
    <w:rsid w:val="00820E3B"/>
    <w:rsid w:val="0082100E"/>
    <w:rsid w:val="00821161"/>
    <w:rsid w:val="00821213"/>
    <w:rsid w:val="00821A43"/>
    <w:rsid w:val="008221C9"/>
    <w:rsid w:val="008226D1"/>
    <w:rsid w:val="008241F2"/>
    <w:rsid w:val="008242A5"/>
    <w:rsid w:val="008243B7"/>
    <w:rsid w:val="00824791"/>
    <w:rsid w:val="00824CDA"/>
    <w:rsid w:val="00824EB4"/>
    <w:rsid w:val="008264EE"/>
    <w:rsid w:val="00826565"/>
    <w:rsid w:val="0082690A"/>
    <w:rsid w:val="00826975"/>
    <w:rsid w:val="00827293"/>
    <w:rsid w:val="0082739B"/>
    <w:rsid w:val="008273FB"/>
    <w:rsid w:val="00827776"/>
    <w:rsid w:val="00827A06"/>
    <w:rsid w:val="00827A8C"/>
    <w:rsid w:val="0083005E"/>
    <w:rsid w:val="00830087"/>
    <w:rsid w:val="00830CA9"/>
    <w:rsid w:val="00830CD5"/>
    <w:rsid w:val="00830DBB"/>
    <w:rsid w:val="00831922"/>
    <w:rsid w:val="00831D6D"/>
    <w:rsid w:val="00831F52"/>
    <w:rsid w:val="008323C5"/>
    <w:rsid w:val="0083270D"/>
    <w:rsid w:val="00832EDE"/>
    <w:rsid w:val="008331F5"/>
    <w:rsid w:val="00833306"/>
    <w:rsid w:val="008334D0"/>
    <w:rsid w:val="0083395D"/>
    <w:rsid w:val="008339A3"/>
    <w:rsid w:val="00833A82"/>
    <w:rsid w:val="00833C05"/>
    <w:rsid w:val="00835750"/>
    <w:rsid w:val="008358C0"/>
    <w:rsid w:val="008369B0"/>
    <w:rsid w:val="00836CF2"/>
    <w:rsid w:val="008375AE"/>
    <w:rsid w:val="00840C67"/>
    <w:rsid w:val="00840D57"/>
    <w:rsid w:val="00841472"/>
    <w:rsid w:val="00841B78"/>
    <w:rsid w:val="00841C40"/>
    <w:rsid w:val="00841C90"/>
    <w:rsid w:val="00841D41"/>
    <w:rsid w:val="00841E9D"/>
    <w:rsid w:val="008420C6"/>
    <w:rsid w:val="008425D0"/>
    <w:rsid w:val="008426EA"/>
    <w:rsid w:val="00842973"/>
    <w:rsid w:val="00842C40"/>
    <w:rsid w:val="00843F8F"/>
    <w:rsid w:val="00844002"/>
    <w:rsid w:val="00844758"/>
    <w:rsid w:val="00844EAB"/>
    <w:rsid w:val="00844FCB"/>
    <w:rsid w:val="0084520F"/>
    <w:rsid w:val="00845355"/>
    <w:rsid w:val="0084566A"/>
    <w:rsid w:val="0084601B"/>
    <w:rsid w:val="008463E7"/>
    <w:rsid w:val="00846D40"/>
    <w:rsid w:val="0084703B"/>
    <w:rsid w:val="008470B0"/>
    <w:rsid w:val="00847136"/>
    <w:rsid w:val="0084779D"/>
    <w:rsid w:val="00847DEE"/>
    <w:rsid w:val="00847F9A"/>
    <w:rsid w:val="008505E8"/>
    <w:rsid w:val="00850AA8"/>
    <w:rsid w:val="00850F2A"/>
    <w:rsid w:val="00851D58"/>
    <w:rsid w:val="00852056"/>
    <w:rsid w:val="008527DC"/>
    <w:rsid w:val="008528E0"/>
    <w:rsid w:val="008529D9"/>
    <w:rsid w:val="00852EA5"/>
    <w:rsid w:val="00853032"/>
    <w:rsid w:val="00853140"/>
    <w:rsid w:val="00853537"/>
    <w:rsid w:val="00853DA6"/>
    <w:rsid w:val="00854066"/>
    <w:rsid w:val="0085457C"/>
    <w:rsid w:val="00854787"/>
    <w:rsid w:val="008549C9"/>
    <w:rsid w:val="00854A92"/>
    <w:rsid w:val="00854F44"/>
    <w:rsid w:val="00854FBC"/>
    <w:rsid w:val="00855780"/>
    <w:rsid w:val="00855E18"/>
    <w:rsid w:val="0085602C"/>
    <w:rsid w:val="0085619A"/>
    <w:rsid w:val="008564C9"/>
    <w:rsid w:val="0085660F"/>
    <w:rsid w:val="0085665F"/>
    <w:rsid w:val="008568FC"/>
    <w:rsid w:val="008575AD"/>
    <w:rsid w:val="0085782D"/>
    <w:rsid w:val="008602E3"/>
    <w:rsid w:val="00860C41"/>
    <w:rsid w:val="0086165B"/>
    <w:rsid w:val="00861A8D"/>
    <w:rsid w:val="00861BA6"/>
    <w:rsid w:val="00861FA1"/>
    <w:rsid w:val="008620C7"/>
    <w:rsid w:val="008622E4"/>
    <w:rsid w:val="0086247A"/>
    <w:rsid w:val="00862822"/>
    <w:rsid w:val="00862BCD"/>
    <w:rsid w:val="00862D9B"/>
    <w:rsid w:val="00863D78"/>
    <w:rsid w:val="00864094"/>
    <w:rsid w:val="008650C2"/>
    <w:rsid w:val="00865525"/>
    <w:rsid w:val="008657C7"/>
    <w:rsid w:val="00865DC2"/>
    <w:rsid w:val="00865E5E"/>
    <w:rsid w:val="0086622E"/>
    <w:rsid w:val="0086660B"/>
    <w:rsid w:val="00866AAE"/>
    <w:rsid w:val="008671A8"/>
    <w:rsid w:val="00867202"/>
    <w:rsid w:val="0086730C"/>
    <w:rsid w:val="0086734A"/>
    <w:rsid w:val="0086765C"/>
    <w:rsid w:val="00867702"/>
    <w:rsid w:val="00867D90"/>
    <w:rsid w:val="00867E91"/>
    <w:rsid w:val="00867F74"/>
    <w:rsid w:val="008700CD"/>
    <w:rsid w:val="008706D0"/>
    <w:rsid w:val="00870A83"/>
    <w:rsid w:val="00870AFE"/>
    <w:rsid w:val="00871429"/>
    <w:rsid w:val="00871609"/>
    <w:rsid w:val="008719D1"/>
    <w:rsid w:val="00872559"/>
    <w:rsid w:val="0087267A"/>
    <w:rsid w:val="00873370"/>
    <w:rsid w:val="0087373D"/>
    <w:rsid w:val="00873931"/>
    <w:rsid w:val="00873DAE"/>
    <w:rsid w:val="008740E4"/>
    <w:rsid w:val="008746DD"/>
    <w:rsid w:val="0087525B"/>
    <w:rsid w:val="00875559"/>
    <w:rsid w:val="008757C3"/>
    <w:rsid w:val="00875DB6"/>
    <w:rsid w:val="00876475"/>
    <w:rsid w:val="008778F1"/>
    <w:rsid w:val="00877F82"/>
    <w:rsid w:val="0088011E"/>
    <w:rsid w:val="008802E8"/>
    <w:rsid w:val="008803AB"/>
    <w:rsid w:val="008803F1"/>
    <w:rsid w:val="008806C4"/>
    <w:rsid w:val="008806C8"/>
    <w:rsid w:val="00880B41"/>
    <w:rsid w:val="00880DA3"/>
    <w:rsid w:val="00881B0E"/>
    <w:rsid w:val="00881C3C"/>
    <w:rsid w:val="008823C9"/>
    <w:rsid w:val="0088275B"/>
    <w:rsid w:val="008831AE"/>
    <w:rsid w:val="008835EB"/>
    <w:rsid w:val="0088522A"/>
    <w:rsid w:val="0088586C"/>
    <w:rsid w:val="00885D9D"/>
    <w:rsid w:val="0088606C"/>
    <w:rsid w:val="00886739"/>
    <w:rsid w:val="0088673B"/>
    <w:rsid w:val="0088675E"/>
    <w:rsid w:val="00886978"/>
    <w:rsid w:val="00886AC5"/>
    <w:rsid w:val="00886B47"/>
    <w:rsid w:val="00886C3B"/>
    <w:rsid w:val="0088708A"/>
    <w:rsid w:val="00887164"/>
    <w:rsid w:val="008900C3"/>
    <w:rsid w:val="0089013B"/>
    <w:rsid w:val="008907B9"/>
    <w:rsid w:val="00891056"/>
    <w:rsid w:val="0089107A"/>
    <w:rsid w:val="0089122F"/>
    <w:rsid w:val="008912F2"/>
    <w:rsid w:val="008917C3"/>
    <w:rsid w:val="008918D2"/>
    <w:rsid w:val="00892113"/>
    <w:rsid w:val="0089249A"/>
    <w:rsid w:val="0089254D"/>
    <w:rsid w:val="00892566"/>
    <w:rsid w:val="00892924"/>
    <w:rsid w:val="00892BC1"/>
    <w:rsid w:val="008932D6"/>
    <w:rsid w:val="008936EE"/>
    <w:rsid w:val="0089377C"/>
    <w:rsid w:val="00893CE6"/>
    <w:rsid w:val="00893EAF"/>
    <w:rsid w:val="00893F3E"/>
    <w:rsid w:val="00893F4C"/>
    <w:rsid w:val="008941AD"/>
    <w:rsid w:val="008941B2"/>
    <w:rsid w:val="008943A9"/>
    <w:rsid w:val="0089478F"/>
    <w:rsid w:val="00895413"/>
    <w:rsid w:val="008954CD"/>
    <w:rsid w:val="00896AB5"/>
    <w:rsid w:val="00896B8E"/>
    <w:rsid w:val="00896CB0"/>
    <w:rsid w:val="00897FC9"/>
    <w:rsid w:val="008A01A0"/>
    <w:rsid w:val="008A05D3"/>
    <w:rsid w:val="008A0625"/>
    <w:rsid w:val="008A0805"/>
    <w:rsid w:val="008A0AC4"/>
    <w:rsid w:val="008A0CB4"/>
    <w:rsid w:val="008A0EE4"/>
    <w:rsid w:val="008A1039"/>
    <w:rsid w:val="008A1B68"/>
    <w:rsid w:val="008A1C56"/>
    <w:rsid w:val="008A1F5B"/>
    <w:rsid w:val="008A2061"/>
    <w:rsid w:val="008A213D"/>
    <w:rsid w:val="008A2285"/>
    <w:rsid w:val="008A244D"/>
    <w:rsid w:val="008A2D25"/>
    <w:rsid w:val="008A37F6"/>
    <w:rsid w:val="008A3C47"/>
    <w:rsid w:val="008A4E9F"/>
    <w:rsid w:val="008A4EEB"/>
    <w:rsid w:val="008A5251"/>
    <w:rsid w:val="008A6123"/>
    <w:rsid w:val="008A64A2"/>
    <w:rsid w:val="008A65B0"/>
    <w:rsid w:val="008A676F"/>
    <w:rsid w:val="008A6C4B"/>
    <w:rsid w:val="008A6C91"/>
    <w:rsid w:val="008A7075"/>
    <w:rsid w:val="008A7488"/>
    <w:rsid w:val="008B04D2"/>
    <w:rsid w:val="008B0621"/>
    <w:rsid w:val="008B0760"/>
    <w:rsid w:val="008B083E"/>
    <w:rsid w:val="008B0B45"/>
    <w:rsid w:val="008B0CD8"/>
    <w:rsid w:val="008B0D1F"/>
    <w:rsid w:val="008B1198"/>
    <w:rsid w:val="008B18B6"/>
    <w:rsid w:val="008B240A"/>
    <w:rsid w:val="008B28B6"/>
    <w:rsid w:val="008B3001"/>
    <w:rsid w:val="008B3D97"/>
    <w:rsid w:val="008B4516"/>
    <w:rsid w:val="008B47D0"/>
    <w:rsid w:val="008B49B3"/>
    <w:rsid w:val="008B4D1E"/>
    <w:rsid w:val="008B4EAE"/>
    <w:rsid w:val="008B56AE"/>
    <w:rsid w:val="008B56F1"/>
    <w:rsid w:val="008B5A6A"/>
    <w:rsid w:val="008B5DAF"/>
    <w:rsid w:val="008B64EC"/>
    <w:rsid w:val="008B67DE"/>
    <w:rsid w:val="008B6CFC"/>
    <w:rsid w:val="008B6F0B"/>
    <w:rsid w:val="008B74FC"/>
    <w:rsid w:val="008C00BB"/>
    <w:rsid w:val="008C055D"/>
    <w:rsid w:val="008C0D1E"/>
    <w:rsid w:val="008C0F6D"/>
    <w:rsid w:val="008C1066"/>
    <w:rsid w:val="008C1478"/>
    <w:rsid w:val="008C18A9"/>
    <w:rsid w:val="008C18C2"/>
    <w:rsid w:val="008C18FE"/>
    <w:rsid w:val="008C1AA5"/>
    <w:rsid w:val="008C1E79"/>
    <w:rsid w:val="008C20ED"/>
    <w:rsid w:val="008C21B8"/>
    <w:rsid w:val="008C2865"/>
    <w:rsid w:val="008C31EE"/>
    <w:rsid w:val="008C3359"/>
    <w:rsid w:val="008C346A"/>
    <w:rsid w:val="008C35AD"/>
    <w:rsid w:val="008C36F9"/>
    <w:rsid w:val="008C3A49"/>
    <w:rsid w:val="008C4846"/>
    <w:rsid w:val="008C497D"/>
    <w:rsid w:val="008C4DB9"/>
    <w:rsid w:val="008C4F0E"/>
    <w:rsid w:val="008C5203"/>
    <w:rsid w:val="008C531B"/>
    <w:rsid w:val="008C5A00"/>
    <w:rsid w:val="008C5B4C"/>
    <w:rsid w:val="008C60D5"/>
    <w:rsid w:val="008C665A"/>
    <w:rsid w:val="008C6A76"/>
    <w:rsid w:val="008C6AD7"/>
    <w:rsid w:val="008C6B00"/>
    <w:rsid w:val="008C6CCA"/>
    <w:rsid w:val="008C7924"/>
    <w:rsid w:val="008C79A9"/>
    <w:rsid w:val="008C79FB"/>
    <w:rsid w:val="008C7A5A"/>
    <w:rsid w:val="008D035A"/>
    <w:rsid w:val="008D0575"/>
    <w:rsid w:val="008D0B45"/>
    <w:rsid w:val="008D0E04"/>
    <w:rsid w:val="008D11F1"/>
    <w:rsid w:val="008D1224"/>
    <w:rsid w:val="008D1973"/>
    <w:rsid w:val="008D1B31"/>
    <w:rsid w:val="008D1C1A"/>
    <w:rsid w:val="008D1C45"/>
    <w:rsid w:val="008D2041"/>
    <w:rsid w:val="008D2287"/>
    <w:rsid w:val="008D27C2"/>
    <w:rsid w:val="008D2FAD"/>
    <w:rsid w:val="008D36AF"/>
    <w:rsid w:val="008D3B5F"/>
    <w:rsid w:val="008D490B"/>
    <w:rsid w:val="008D507E"/>
    <w:rsid w:val="008D50CE"/>
    <w:rsid w:val="008D5464"/>
    <w:rsid w:val="008D569E"/>
    <w:rsid w:val="008D577C"/>
    <w:rsid w:val="008D57F7"/>
    <w:rsid w:val="008D61CE"/>
    <w:rsid w:val="008D64A9"/>
    <w:rsid w:val="008D65A4"/>
    <w:rsid w:val="008D66E5"/>
    <w:rsid w:val="008D684F"/>
    <w:rsid w:val="008D6BB2"/>
    <w:rsid w:val="008D6DD9"/>
    <w:rsid w:val="008E0502"/>
    <w:rsid w:val="008E05C3"/>
    <w:rsid w:val="008E0799"/>
    <w:rsid w:val="008E0BDC"/>
    <w:rsid w:val="008E0DAE"/>
    <w:rsid w:val="008E0EA4"/>
    <w:rsid w:val="008E10B3"/>
    <w:rsid w:val="008E131E"/>
    <w:rsid w:val="008E13AF"/>
    <w:rsid w:val="008E17C4"/>
    <w:rsid w:val="008E1A2F"/>
    <w:rsid w:val="008E1AB2"/>
    <w:rsid w:val="008E1D9E"/>
    <w:rsid w:val="008E1E7F"/>
    <w:rsid w:val="008E2013"/>
    <w:rsid w:val="008E26D0"/>
    <w:rsid w:val="008E2AB7"/>
    <w:rsid w:val="008E313C"/>
    <w:rsid w:val="008E375E"/>
    <w:rsid w:val="008E38AF"/>
    <w:rsid w:val="008E3C05"/>
    <w:rsid w:val="008E3D26"/>
    <w:rsid w:val="008E3DA1"/>
    <w:rsid w:val="008E4551"/>
    <w:rsid w:val="008E464C"/>
    <w:rsid w:val="008E4DD9"/>
    <w:rsid w:val="008E60F6"/>
    <w:rsid w:val="008E6176"/>
    <w:rsid w:val="008E641C"/>
    <w:rsid w:val="008E68FD"/>
    <w:rsid w:val="008E6D8B"/>
    <w:rsid w:val="008E7775"/>
    <w:rsid w:val="008E785E"/>
    <w:rsid w:val="008E7C6D"/>
    <w:rsid w:val="008F0266"/>
    <w:rsid w:val="008F02F4"/>
    <w:rsid w:val="008F0420"/>
    <w:rsid w:val="008F08DA"/>
    <w:rsid w:val="008F097E"/>
    <w:rsid w:val="008F1C84"/>
    <w:rsid w:val="008F3FB9"/>
    <w:rsid w:val="008F50B1"/>
    <w:rsid w:val="008F5456"/>
    <w:rsid w:val="008F5FDF"/>
    <w:rsid w:val="008F621A"/>
    <w:rsid w:val="008F644A"/>
    <w:rsid w:val="008F68A4"/>
    <w:rsid w:val="008F7525"/>
    <w:rsid w:val="008F75FB"/>
    <w:rsid w:val="008F7756"/>
    <w:rsid w:val="008F78C2"/>
    <w:rsid w:val="008F7EE2"/>
    <w:rsid w:val="0090046C"/>
    <w:rsid w:val="00900554"/>
    <w:rsid w:val="009006FA"/>
    <w:rsid w:val="009009C0"/>
    <w:rsid w:val="00900C00"/>
    <w:rsid w:val="00900DBE"/>
    <w:rsid w:val="00901002"/>
    <w:rsid w:val="00901285"/>
    <w:rsid w:val="009017AA"/>
    <w:rsid w:val="0090195A"/>
    <w:rsid w:val="009019AF"/>
    <w:rsid w:val="00901C47"/>
    <w:rsid w:val="00901E96"/>
    <w:rsid w:val="00903099"/>
    <w:rsid w:val="009032EE"/>
    <w:rsid w:val="00903640"/>
    <w:rsid w:val="0090382C"/>
    <w:rsid w:val="00903A9E"/>
    <w:rsid w:val="00903F0B"/>
    <w:rsid w:val="0090457F"/>
    <w:rsid w:val="009046FD"/>
    <w:rsid w:val="009053D8"/>
    <w:rsid w:val="00906D68"/>
    <w:rsid w:val="009074B3"/>
    <w:rsid w:val="009100F9"/>
    <w:rsid w:val="00910334"/>
    <w:rsid w:val="00910703"/>
    <w:rsid w:val="00910959"/>
    <w:rsid w:val="00910C50"/>
    <w:rsid w:val="00911023"/>
    <w:rsid w:val="0091124A"/>
    <w:rsid w:val="00911B0D"/>
    <w:rsid w:val="0091223F"/>
    <w:rsid w:val="00912AA3"/>
    <w:rsid w:val="00912D5E"/>
    <w:rsid w:val="00912F1F"/>
    <w:rsid w:val="00913596"/>
    <w:rsid w:val="009135B6"/>
    <w:rsid w:val="00913773"/>
    <w:rsid w:val="009137F0"/>
    <w:rsid w:val="009143B5"/>
    <w:rsid w:val="00914FD2"/>
    <w:rsid w:val="00914FD9"/>
    <w:rsid w:val="009150C5"/>
    <w:rsid w:val="009151DE"/>
    <w:rsid w:val="009162A7"/>
    <w:rsid w:val="00916973"/>
    <w:rsid w:val="00916A5B"/>
    <w:rsid w:val="00916F39"/>
    <w:rsid w:val="009170AE"/>
    <w:rsid w:val="00917245"/>
    <w:rsid w:val="0091780F"/>
    <w:rsid w:val="00917CE0"/>
    <w:rsid w:val="00917E31"/>
    <w:rsid w:val="009201ED"/>
    <w:rsid w:val="00920844"/>
    <w:rsid w:val="00920A75"/>
    <w:rsid w:val="00922879"/>
    <w:rsid w:val="0092291D"/>
    <w:rsid w:val="00922933"/>
    <w:rsid w:val="00922B4C"/>
    <w:rsid w:val="00922C05"/>
    <w:rsid w:val="00922D46"/>
    <w:rsid w:val="00922EC5"/>
    <w:rsid w:val="00922ED6"/>
    <w:rsid w:val="009234CA"/>
    <w:rsid w:val="00923FB6"/>
    <w:rsid w:val="009242B0"/>
    <w:rsid w:val="00924421"/>
    <w:rsid w:val="009245C1"/>
    <w:rsid w:val="009246DF"/>
    <w:rsid w:val="00924B65"/>
    <w:rsid w:val="00924C47"/>
    <w:rsid w:val="00924CF7"/>
    <w:rsid w:val="00924DC5"/>
    <w:rsid w:val="009257BD"/>
    <w:rsid w:val="00925A3A"/>
    <w:rsid w:val="00925B20"/>
    <w:rsid w:val="00926099"/>
    <w:rsid w:val="009268A3"/>
    <w:rsid w:val="0092788F"/>
    <w:rsid w:val="00927AA2"/>
    <w:rsid w:val="009302C8"/>
    <w:rsid w:val="00930440"/>
    <w:rsid w:val="00930516"/>
    <w:rsid w:val="00930581"/>
    <w:rsid w:val="0093107B"/>
    <w:rsid w:val="00931175"/>
    <w:rsid w:val="00931E62"/>
    <w:rsid w:val="00931EA1"/>
    <w:rsid w:val="0093251A"/>
    <w:rsid w:val="00932E2A"/>
    <w:rsid w:val="00932EC6"/>
    <w:rsid w:val="00932F70"/>
    <w:rsid w:val="00933046"/>
    <w:rsid w:val="009331B7"/>
    <w:rsid w:val="009332F6"/>
    <w:rsid w:val="009337EA"/>
    <w:rsid w:val="00933A02"/>
    <w:rsid w:val="00933A83"/>
    <w:rsid w:val="00933E54"/>
    <w:rsid w:val="00934188"/>
    <w:rsid w:val="00934FBB"/>
    <w:rsid w:val="0093534E"/>
    <w:rsid w:val="009356DE"/>
    <w:rsid w:val="009361A7"/>
    <w:rsid w:val="00936432"/>
    <w:rsid w:val="009365AA"/>
    <w:rsid w:val="00936778"/>
    <w:rsid w:val="00936806"/>
    <w:rsid w:val="0093726F"/>
    <w:rsid w:val="009379E7"/>
    <w:rsid w:val="00937B8E"/>
    <w:rsid w:val="00940739"/>
    <w:rsid w:val="00940883"/>
    <w:rsid w:val="00940B57"/>
    <w:rsid w:val="0094157D"/>
    <w:rsid w:val="00941C81"/>
    <w:rsid w:val="00943087"/>
    <w:rsid w:val="0094383D"/>
    <w:rsid w:val="00943A20"/>
    <w:rsid w:val="00943DEF"/>
    <w:rsid w:val="00944C4F"/>
    <w:rsid w:val="0094525F"/>
    <w:rsid w:val="009453D2"/>
    <w:rsid w:val="00945BEB"/>
    <w:rsid w:val="00945D4D"/>
    <w:rsid w:val="00946940"/>
    <w:rsid w:val="00946D5A"/>
    <w:rsid w:val="00947298"/>
    <w:rsid w:val="009472D2"/>
    <w:rsid w:val="0095001B"/>
    <w:rsid w:val="0095012B"/>
    <w:rsid w:val="009505B8"/>
    <w:rsid w:val="00950734"/>
    <w:rsid w:val="00950761"/>
    <w:rsid w:val="00950A8E"/>
    <w:rsid w:val="00950ADA"/>
    <w:rsid w:val="00950B6F"/>
    <w:rsid w:val="009511B9"/>
    <w:rsid w:val="009517BD"/>
    <w:rsid w:val="00951ABF"/>
    <w:rsid w:val="00951B3A"/>
    <w:rsid w:val="009520A6"/>
    <w:rsid w:val="009527A1"/>
    <w:rsid w:val="00952CE5"/>
    <w:rsid w:val="00952E25"/>
    <w:rsid w:val="00952EE8"/>
    <w:rsid w:val="00953132"/>
    <w:rsid w:val="00953A3C"/>
    <w:rsid w:val="00953F61"/>
    <w:rsid w:val="00954176"/>
    <w:rsid w:val="00954371"/>
    <w:rsid w:val="0095469E"/>
    <w:rsid w:val="00954851"/>
    <w:rsid w:val="00954CF5"/>
    <w:rsid w:val="00955001"/>
    <w:rsid w:val="00955429"/>
    <w:rsid w:val="00955485"/>
    <w:rsid w:val="009559F3"/>
    <w:rsid w:val="00955A7A"/>
    <w:rsid w:val="00955B67"/>
    <w:rsid w:val="00955C5F"/>
    <w:rsid w:val="00955D8A"/>
    <w:rsid w:val="00955F00"/>
    <w:rsid w:val="00956489"/>
    <w:rsid w:val="009564D4"/>
    <w:rsid w:val="009567F2"/>
    <w:rsid w:val="00956DB6"/>
    <w:rsid w:val="00956E54"/>
    <w:rsid w:val="00956F7F"/>
    <w:rsid w:val="00957489"/>
    <w:rsid w:val="009607D0"/>
    <w:rsid w:val="00960DCF"/>
    <w:rsid w:val="00960DE3"/>
    <w:rsid w:val="00960FA4"/>
    <w:rsid w:val="00960FCC"/>
    <w:rsid w:val="00961104"/>
    <w:rsid w:val="0096151C"/>
    <w:rsid w:val="00961A21"/>
    <w:rsid w:val="00962730"/>
    <w:rsid w:val="009629B7"/>
    <w:rsid w:val="0096309D"/>
    <w:rsid w:val="0096364F"/>
    <w:rsid w:val="0096412C"/>
    <w:rsid w:val="009641D2"/>
    <w:rsid w:val="0096437E"/>
    <w:rsid w:val="0096460B"/>
    <w:rsid w:val="00964792"/>
    <w:rsid w:val="00964ECE"/>
    <w:rsid w:val="009652F0"/>
    <w:rsid w:val="00965455"/>
    <w:rsid w:val="00965A75"/>
    <w:rsid w:val="00965AE3"/>
    <w:rsid w:val="00965C16"/>
    <w:rsid w:val="00965E0B"/>
    <w:rsid w:val="00965EB4"/>
    <w:rsid w:val="009664C4"/>
    <w:rsid w:val="0096701D"/>
    <w:rsid w:val="00967560"/>
    <w:rsid w:val="00967D04"/>
    <w:rsid w:val="0097011D"/>
    <w:rsid w:val="0097059B"/>
    <w:rsid w:val="00970BC1"/>
    <w:rsid w:val="00971487"/>
    <w:rsid w:val="009715D1"/>
    <w:rsid w:val="00971BB3"/>
    <w:rsid w:val="0097210D"/>
    <w:rsid w:val="0097221A"/>
    <w:rsid w:val="00972332"/>
    <w:rsid w:val="0097254C"/>
    <w:rsid w:val="009725FE"/>
    <w:rsid w:val="009727CD"/>
    <w:rsid w:val="00972D29"/>
    <w:rsid w:val="00972EAD"/>
    <w:rsid w:val="00973226"/>
    <w:rsid w:val="009736E4"/>
    <w:rsid w:val="00973AA5"/>
    <w:rsid w:val="00973EC7"/>
    <w:rsid w:val="00973FED"/>
    <w:rsid w:val="009742FF"/>
    <w:rsid w:val="009748AB"/>
    <w:rsid w:val="0097544A"/>
    <w:rsid w:val="009759E1"/>
    <w:rsid w:val="00975B8A"/>
    <w:rsid w:val="00976411"/>
    <w:rsid w:val="00976463"/>
    <w:rsid w:val="009764FF"/>
    <w:rsid w:val="009766D9"/>
    <w:rsid w:val="00977592"/>
    <w:rsid w:val="00977D7F"/>
    <w:rsid w:val="00977EC3"/>
    <w:rsid w:val="00977FB2"/>
    <w:rsid w:val="00980089"/>
    <w:rsid w:val="009804E5"/>
    <w:rsid w:val="0098069F"/>
    <w:rsid w:val="009806B2"/>
    <w:rsid w:val="00980ACA"/>
    <w:rsid w:val="00980D07"/>
    <w:rsid w:val="00981A2D"/>
    <w:rsid w:val="00981E3B"/>
    <w:rsid w:val="0098270F"/>
    <w:rsid w:val="00982833"/>
    <w:rsid w:val="00982A54"/>
    <w:rsid w:val="00982B85"/>
    <w:rsid w:val="009830FE"/>
    <w:rsid w:val="009835FF"/>
    <w:rsid w:val="00983619"/>
    <w:rsid w:val="00983838"/>
    <w:rsid w:val="00983986"/>
    <w:rsid w:val="00983A08"/>
    <w:rsid w:val="00983D91"/>
    <w:rsid w:val="00983F62"/>
    <w:rsid w:val="00984338"/>
    <w:rsid w:val="00984A3D"/>
    <w:rsid w:val="00984EE2"/>
    <w:rsid w:val="009850CE"/>
    <w:rsid w:val="00985A3D"/>
    <w:rsid w:val="009863C2"/>
    <w:rsid w:val="0098693F"/>
    <w:rsid w:val="00986B51"/>
    <w:rsid w:val="009870AD"/>
    <w:rsid w:val="00987AAD"/>
    <w:rsid w:val="00987F25"/>
    <w:rsid w:val="00987F63"/>
    <w:rsid w:val="009902C3"/>
    <w:rsid w:val="0099088E"/>
    <w:rsid w:val="00990CF5"/>
    <w:rsid w:val="00991217"/>
    <w:rsid w:val="00992020"/>
    <w:rsid w:val="009922C6"/>
    <w:rsid w:val="00992D07"/>
    <w:rsid w:val="0099308D"/>
    <w:rsid w:val="00993929"/>
    <w:rsid w:val="0099397F"/>
    <w:rsid w:val="00993A16"/>
    <w:rsid w:val="0099408A"/>
    <w:rsid w:val="00994693"/>
    <w:rsid w:val="009947B6"/>
    <w:rsid w:val="00994A3D"/>
    <w:rsid w:val="00995071"/>
    <w:rsid w:val="009963F7"/>
    <w:rsid w:val="009964D1"/>
    <w:rsid w:val="0099658D"/>
    <w:rsid w:val="00996FC0"/>
    <w:rsid w:val="009970BC"/>
    <w:rsid w:val="00997254"/>
    <w:rsid w:val="0099798D"/>
    <w:rsid w:val="00997F87"/>
    <w:rsid w:val="009A0605"/>
    <w:rsid w:val="009A1424"/>
    <w:rsid w:val="009A14E3"/>
    <w:rsid w:val="009A153A"/>
    <w:rsid w:val="009A1AF7"/>
    <w:rsid w:val="009A1DE1"/>
    <w:rsid w:val="009A2159"/>
    <w:rsid w:val="009A2200"/>
    <w:rsid w:val="009A2501"/>
    <w:rsid w:val="009A2761"/>
    <w:rsid w:val="009A2777"/>
    <w:rsid w:val="009A2917"/>
    <w:rsid w:val="009A2E45"/>
    <w:rsid w:val="009A3379"/>
    <w:rsid w:val="009A34FF"/>
    <w:rsid w:val="009A3873"/>
    <w:rsid w:val="009A3D25"/>
    <w:rsid w:val="009A59B9"/>
    <w:rsid w:val="009A5D56"/>
    <w:rsid w:val="009A5DB8"/>
    <w:rsid w:val="009A6067"/>
    <w:rsid w:val="009A65C4"/>
    <w:rsid w:val="009A67D9"/>
    <w:rsid w:val="009A6BC9"/>
    <w:rsid w:val="009A71F9"/>
    <w:rsid w:val="009A7520"/>
    <w:rsid w:val="009A77DA"/>
    <w:rsid w:val="009A7B28"/>
    <w:rsid w:val="009A7E7C"/>
    <w:rsid w:val="009A7FC8"/>
    <w:rsid w:val="009B007E"/>
    <w:rsid w:val="009B0354"/>
    <w:rsid w:val="009B0404"/>
    <w:rsid w:val="009B0B55"/>
    <w:rsid w:val="009B15A5"/>
    <w:rsid w:val="009B2750"/>
    <w:rsid w:val="009B2E59"/>
    <w:rsid w:val="009B3FF1"/>
    <w:rsid w:val="009B410A"/>
    <w:rsid w:val="009B41AA"/>
    <w:rsid w:val="009B42BC"/>
    <w:rsid w:val="009B4571"/>
    <w:rsid w:val="009B45CF"/>
    <w:rsid w:val="009B4BB5"/>
    <w:rsid w:val="009B5056"/>
    <w:rsid w:val="009B50DB"/>
    <w:rsid w:val="009B5335"/>
    <w:rsid w:val="009B53CC"/>
    <w:rsid w:val="009B5507"/>
    <w:rsid w:val="009B55E4"/>
    <w:rsid w:val="009B568A"/>
    <w:rsid w:val="009B5A88"/>
    <w:rsid w:val="009B5FD7"/>
    <w:rsid w:val="009B609A"/>
    <w:rsid w:val="009B60ED"/>
    <w:rsid w:val="009B635C"/>
    <w:rsid w:val="009B6C76"/>
    <w:rsid w:val="009B6CD4"/>
    <w:rsid w:val="009B7133"/>
    <w:rsid w:val="009C01EA"/>
    <w:rsid w:val="009C1357"/>
    <w:rsid w:val="009C204A"/>
    <w:rsid w:val="009C20CA"/>
    <w:rsid w:val="009C2166"/>
    <w:rsid w:val="009C2CA0"/>
    <w:rsid w:val="009C2D52"/>
    <w:rsid w:val="009C30B0"/>
    <w:rsid w:val="009C3221"/>
    <w:rsid w:val="009C3439"/>
    <w:rsid w:val="009C4320"/>
    <w:rsid w:val="009C4A0D"/>
    <w:rsid w:val="009C4CB0"/>
    <w:rsid w:val="009C4DAE"/>
    <w:rsid w:val="009C4E29"/>
    <w:rsid w:val="009C54D6"/>
    <w:rsid w:val="009C5ACC"/>
    <w:rsid w:val="009C5E0A"/>
    <w:rsid w:val="009C63C0"/>
    <w:rsid w:val="009C6417"/>
    <w:rsid w:val="009C662E"/>
    <w:rsid w:val="009C7313"/>
    <w:rsid w:val="009D0677"/>
    <w:rsid w:val="009D07C8"/>
    <w:rsid w:val="009D0D0C"/>
    <w:rsid w:val="009D11C9"/>
    <w:rsid w:val="009D12C3"/>
    <w:rsid w:val="009D1937"/>
    <w:rsid w:val="009D1FE8"/>
    <w:rsid w:val="009D21E6"/>
    <w:rsid w:val="009D2EF2"/>
    <w:rsid w:val="009D2FB1"/>
    <w:rsid w:val="009D30C2"/>
    <w:rsid w:val="009D3540"/>
    <w:rsid w:val="009D360A"/>
    <w:rsid w:val="009D3A98"/>
    <w:rsid w:val="009D3E4D"/>
    <w:rsid w:val="009D4629"/>
    <w:rsid w:val="009D4696"/>
    <w:rsid w:val="009D469D"/>
    <w:rsid w:val="009D523D"/>
    <w:rsid w:val="009D5560"/>
    <w:rsid w:val="009D766F"/>
    <w:rsid w:val="009E0A66"/>
    <w:rsid w:val="009E0D4B"/>
    <w:rsid w:val="009E1056"/>
    <w:rsid w:val="009E132F"/>
    <w:rsid w:val="009E1590"/>
    <w:rsid w:val="009E22D6"/>
    <w:rsid w:val="009E23D8"/>
    <w:rsid w:val="009E25BD"/>
    <w:rsid w:val="009E2874"/>
    <w:rsid w:val="009E289C"/>
    <w:rsid w:val="009E2B35"/>
    <w:rsid w:val="009E2D74"/>
    <w:rsid w:val="009E2E89"/>
    <w:rsid w:val="009E392C"/>
    <w:rsid w:val="009E3E52"/>
    <w:rsid w:val="009E43B8"/>
    <w:rsid w:val="009E4B49"/>
    <w:rsid w:val="009E52CD"/>
    <w:rsid w:val="009E5469"/>
    <w:rsid w:val="009E549D"/>
    <w:rsid w:val="009E5C83"/>
    <w:rsid w:val="009E6ABD"/>
    <w:rsid w:val="009E716A"/>
    <w:rsid w:val="009E7283"/>
    <w:rsid w:val="009E7B7B"/>
    <w:rsid w:val="009F0915"/>
    <w:rsid w:val="009F095B"/>
    <w:rsid w:val="009F0C0F"/>
    <w:rsid w:val="009F0C98"/>
    <w:rsid w:val="009F12D8"/>
    <w:rsid w:val="009F13D2"/>
    <w:rsid w:val="009F1579"/>
    <w:rsid w:val="009F239E"/>
    <w:rsid w:val="009F2B0C"/>
    <w:rsid w:val="009F3DAA"/>
    <w:rsid w:val="009F4403"/>
    <w:rsid w:val="009F44AB"/>
    <w:rsid w:val="009F4FB2"/>
    <w:rsid w:val="009F562D"/>
    <w:rsid w:val="009F5D18"/>
    <w:rsid w:val="009F5F82"/>
    <w:rsid w:val="009F62C3"/>
    <w:rsid w:val="009F6664"/>
    <w:rsid w:val="009F69B8"/>
    <w:rsid w:val="009F7A7F"/>
    <w:rsid w:val="009F7A8F"/>
    <w:rsid w:val="00A002B2"/>
    <w:rsid w:val="00A003A8"/>
    <w:rsid w:val="00A004FE"/>
    <w:rsid w:val="00A006FF"/>
    <w:rsid w:val="00A009DE"/>
    <w:rsid w:val="00A00B66"/>
    <w:rsid w:val="00A018AC"/>
    <w:rsid w:val="00A023E3"/>
    <w:rsid w:val="00A02416"/>
    <w:rsid w:val="00A02456"/>
    <w:rsid w:val="00A02E94"/>
    <w:rsid w:val="00A03142"/>
    <w:rsid w:val="00A03D83"/>
    <w:rsid w:val="00A04AA1"/>
    <w:rsid w:val="00A04CC9"/>
    <w:rsid w:val="00A04E6B"/>
    <w:rsid w:val="00A0522C"/>
    <w:rsid w:val="00A0525D"/>
    <w:rsid w:val="00A0537A"/>
    <w:rsid w:val="00A05942"/>
    <w:rsid w:val="00A059AE"/>
    <w:rsid w:val="00A05CCF"/>
    <w:rsid w:val="00A05E67"/>
    <w:rsid w:val="00A05F16"/>
    <w:rsid w:val="00A06AA4"/>
    <w:rsid w:val="00A07961"/>
    <w:rsid w:val="00A0799A"/>
    <w:rsid w:val="00A101B8"/>
    <w:rsid w:val="00A1035B"/>
    <w:rsid w:val="00A1046D"/>
    <w:rsid w:val="00A1065C"/>
    <w:rsid w:val="00A107B5"/>
    <w:rsid w:val="00A1082B"/>
    <w:rsid w:val="00A11010"/>
    <w:rsid w:val="00A11819"/>
    <w:rsid w:val="00A11CC7"/>
    <w:rsid w:val="00A11CD0"/>
    <w:rsid w:val="00A11EF4"/>
    <w:rsid w:val="00A120FE"/>
    <w:rsid w:val="00A12392"/>
    <w:rsid w:val="00A12FC3"/>
    <w:rsid w:val="00A132C7"/>
    <w:rsid w:val="00A1379F"/>
    <w:rsid w:val="00A13AE8"/>
    <w:rsid w:val="00A14398"/>
    <w:rsid w:val="00A1462A"/>
    <w:rsid w:val="00A147AC"/>
    <w:rsid w:val="00A14DD7"/>
    <w:rsid w:val="00A1522C"/>
    <w:rsid w:val="00A156F4"/>
    <w:rsid w:val="00A15A70"/>
    <w:rsid w:val="00A15BB6"/>
    <w:rsid w:val="00A15F93"/>
    <w:rsid w:val="00A16341"/>
    <w:rsid w:val="00A178AB"/>
    <w:rsid w:val="00A17AC8"/>
    <w:rsid w:val="00A17BB3"/>
    <w:rsid w:val="00A17DD7"/>
    <w:rsid w:val="00A20265"/>
    <w:rsid w:val="00A20291"/>
    <w:rsid w:val="00A20A7C"/>
    <w:rsid w:val="00A20C3C"/>
    <w:rsid w:val="00A20CE2"/>
    <w:rsid w:val="00A20E97"/>
    <w:rsid w:val="00A213A1"/>
    <w:rsid w:val="00A21597"/>
    <w:rsid w:val="00A21C3D"/>
    <w:rsid w:val="00A21F5E"/>
    <w:rsid w:val="00A220CC"/>
    <w:rsid w:val="00A227E4"/>
    <w:rsid w:val="00A22ADA"/>
    <w:rsid w:val="00A22AF2"/>
    <w:rsid w:val="00A22C5F"/>
    <w:rsid w:val="00A22FA0"/>
    <w:rsid w:val="00A23259"/>
    <w:rsid w:val="00A2327E"/>
    <w:rsid w:val="00A23841"/>
    <w:rsid w:val="00A2424C"/>
    <w:rsid w:val="00A243BA"/>
    <w:rsid w:val="00A2463B"/>
    <w:rsid w:val="00A24EE9"/>
    <w:rsid w:val="00A2563F"/>
    <w:rsid w:val="00A2599E"/>
    <w:rsid w:val="00A25B01"/>
    <w:rsid w:val="00A26767"/>
    <w:rsid w:val="00A267D0"/>
    <w:rsid w:val="00A27250"/>
    <w:rsid w:val="00A2762C"/>
    <w:rsid w:val="00A27A5F"/>
    <w:rsid w:val="00A27A8D"/>
    <w:rsid w:val="00A27F97"/>
    <w:rsid w:val="00A3010C"/>
    <w:rsid w:val="00A30332"/>
    <w:rsid w:val="00A30423"/>
    <w:rsid w:val="00A30427"/>
    <w:rsid w:val="00A30768"/>
    <w:rsid w:val="00A308BF"/>
    <w:rsid w:val="00A30C6F"/>
    <w:rsid w:val="00A30D3D"/>
    <w:rsid w:val="00A31313"/>
    <w:rsid w:val="00A3132E"/>
    <w:rsid w:val="00A31458"/>
    <w:rsid w:val="00A31507"/>
    <w:rsid w:val="00A3179B"/>
    <w:rsid w:val="00A319D5"/>
    <w:rsid w:val="00A31FBA"/>
    <w:rsid w:val="00A325AB"/>
    <w:rsid w:val="00A327C4"/>
    <w:rsid w:val="00A3295A"/>
    <w:rsid w:val="00A32B21"/>
    <w:rsid w:val="00A33158"/>
    <w:rsid w:val="00A33274"/>
    <w:rsid w:val="00A333DB"/>
    <w:rsid w:val="00A339B4"/>
    <w:rsid w:val="00A33E0C"/>
    <w:rsid w:val="00A34024"/>
    <w:rsid w:val="00A352B3"/>
    <w:rsid w:val="00A35499"/>
    <w:rsid w:val="00A35799"/>
    <w:rsid w:val="00A35ABC"/>
    <w:rsid w:val="00A36425"/>
    <w:rsid w:val="00A366AB"/>
    <w:rsid w:val="00A36CA3"/>
    <w:rsid w:val="00A37617"/>
    <w:rsid w:val="00A400EA"/>
    <w:rsid w:val="00A402E8"/>
    <w:rsid w:val="00A40D4E"/>
    <w:rsid w:val="00A41640"/>
    <w:rsid w:val="00A41759"/>
    <w:rsid w:val="00A41DBC"/>
    <w:rsid w:val="00A42137"/>
    <w:rsid w:val="00A4215C"/>
    <w:rsid w:val="00A423EC"/>
    <w:rsid w:val="00A4241D"/>
    <w:rsid w:val="00A42957"/>
    <w:rsid w:val="00A42ED5"/>
    <w:rsid w:val="00A43658"/>
    <w:rsid w:val="00A43B49"/>
    <w:rsid w:val="00A43DDA"/>
    <w:rsid w:val="00A43E0E"/>
    <w:rsid w:val="00A43E17"/>
    <w:rsid w:val="00A441A6"/>
    <w:rsid w:val="00A44BAF"/>
    <w:rsid w:val="00A44C1C"/>
    <w:rsid w:val="00A45075"/>
    <w:rsid w:val="00A45080"/>
    <w:rsid w:val="00A4524F"/>
    <w:rsid w:val="00A452F6"/>
    <w:rsid w:val="00A45360"/>
    <w:rsid w:val="00A45401"/>
    <w:rsid w:val="00A45679"/>
    <w:rsid w:val="00A456B5"/>
    <w:rsid w:val="00A45BC6"/>
    <w:rsid w:val="00A45CA9"/>
    <w:rsid w:val="00A45DEB"/>
    <w:rsid w:val="00A46082"/>
    <w:rsid w:val="00A46E7A"/>
    <w:rsid w:val="00A475DB"/>
    <w:rsid w:val="00A476CE"/>
    <w:rsid w:val="00A47B16"/>
    <w:rsid w:val="00A47D71"/>
    <w:rsid w:val="00A47E71"/>
    <w:rsid w:val="00A50268"/>
    <w:rsid w:val="00A505A0"/>
    <w:rsid w:val="00A5072D"/>
    <w:rsid w:val="00A5111E"/>
    <w:rsid w:val="00A517DD"/>
    <w:rsid w:val="00A51957"/>
    <w:rsid w:val="00A52043"/>
    <w:rsid w:val="00A52115"/>
    <w:rsid w:val="00A52A22"/>
    <w:rsid w:val="00A52B0D"/>
    <w:rsid w:val="00A52DF6"/>
    <w:rsid w:val="00A530AE"/>
    <w:rsid w:val="00A531E8"/>
    <w:rsid w:val="00A5343F"/>
    <w:rsid w:val="00A53B5B"/>
    <w:rsid w:val="00A53C91"/>
    <w:rsid w:val="00A53E5B"/>
    <w:rsid w:val="00A547D2"/>
    <w:rsid w:val="00A54B43"/>
    <w:rsid w:val="00A54BD4"/>
    <w:rsid w:val="00A54D2E"/>
    <w:rsid w:val="00A55595"/>
    <w:rsid w:val="00A5596C"/>
    <w:rsid w:val="00A559E4"/>
    <w:rsid w:val="00A55B76"/>
    <w:rsid w:val="00A55E49"/>
    <w:rsid w:val="00A5610F"/>
    <w:rsid w:val="00A56325"/>
    <w:rsid w:val="00A5646F"/>
    <w:rsid w:val="00A56B1C"/>
    <w:rsid w:val="00A56B8C"/>
    <w:rsid w:val="00A56CBA"/>
    <w:rsid w:val="00A57171"/>
    <w:rsid w:val="00A575D4"/>
    <w:rsid w:val="00A57762"/>
    <w:rsid w:val="00A601CD"/>
    <w:rsid w:val="00A603C8"/>
    <w:rsid w:val="00A60958"/>
    <w:rsid w:val="00A60C26"/>
    <w:rsid w:val="00A61271"/>
    <w:rsid w:val="00A6130C"/>
    <w:rsid w:val="00A614C7"/>
    <w:rsid w:val="00A61E85"/>
    <w:rsid w:val="00A62629"/>
    <w:rsid w:val="00A62992"/>
    <w:rsid w:val="00A62A7D"/>
    <w:rsid w:val="00A62D09"/>
    <w:rsid w:val="00A62EAF"/>
    <w:rsid w:val="00A6317A"/>
    <w:rsid w:val="00A63348"/>
    <w:rsid w:val="00A63631"/>
    <w:rsid w:val="00A63690"/>
    <w:rsid w:val="00A63BF3"/>
    <w:rsid w:val="00A63CBF"/>
    <w:rsid w:val="00A63CEE"/>
    <w:rsid w:val="00A63EB0"/>
    <w:rsid w:val="00A63ECB"/>
    <w:rsid w:val="00A6443E"/>
    <w:rsid w:val="00A64B62"/>
    <w:rsid w:val="00A64C51"/>
    <w:rsid w:val="00A6542E"/>
    <w:rsid w:val="00A65634"/>
    <w:rsid w:val="00A65A22"/>
    <w:rsid w:val="00A65FF2"/>
    <w:rsid w:val="00A66235"/>
    <w:rsid w:val="00A66F98"/>
    <w:rsid w:val="00A6718E"/>
    <w:rsid w:val="00A67248"/>
    <w:rsid w:val="00A6785E"/>
    <w:rsid w:val="00A67A12"/>
    <w:rsid w:val="00A70200"/>
    <w:rsid w:val="00A70357"/>
    <w:rsid w:val="00A70370"/>
    <w:rsid w:val="00A7038E"/>
    <w:rsid w:val="00A705A8"/>
    <w:rsid w:val="00A70907"/>
    <w:rsid w:val="00A70A8E"/>
    <w:rsid w:val="00A70B76"/>
    <w:rsid w:val="00A71232"/>
    <w:rsid w:val="00A71903"/>
    <w:rsid w:val="00A719D1"/>
    <w:rsid w:val="00A72072"/>
    <w:rsid w:val="00A722C9"/>
    <w:rsid w:val="00A727B8"/>
    <w:rsid w:val="00A7281F"/>
    <w:rsid w:val="00A728BD"/>
    <w:rsid w:val="00A72DDB"/>
    <w:rsid w:val="00A7300F"/>
    <w:rsid w:val="00A73933"/>
    <w:rsid w:val="00A73D12"/>
    <w:rsid w:val="00A74796"/>
    <w:rsid w:val="00A74CAD"/>
    <w:rsid w:val="00A74E78"/>
    <w:rsid w:val="00A757F2"/>
    <w:rsid w:val="00A75D3C"/>
    <w:rsid w:val="00A75EBD"/>
    <w:rsid w:val="00A76620"/>
    <w:rsid w:val="00A76A1E"/>
    <w:rsid w:val="00A76F75"/>
    <w:rsid w:val="00A771C4"/>
    <w:rsid w:val="00A7748A"/>
    <w:rsid w:val="00A77820"/>
    <w:rsid w:val="00A77FD5"/>
    <w:rsid w:val="00A805A8"/>
    <w:rsid w:val="00A80B2B"/>
    <w:rsid w:val="00A80D41"/>
    <w:rsid w:val="00A80EA7"/>
    <w:rsid w:val="00A80F91"/>
    <w:rsid w:val="00A817C1"/>
    <w:rsid w:val="00A81ECF"/>
    <w:rsid w:val="00A828BB"/>
    <w:rsid w:val="00A831BD"/>
    <w:rsid w:val="00A83794"/>
    <w:rsid w:val="00A837F3"/>
    <w:rsid w:val="00A848D4"/>
    <w:rsid w:val="00A8499F"/>
    <w:rsid w:val="00A84C75"/>
    <w:rsid w:val="00A85552"/>
    <w:rsid w:val="00A85939"/>
    <w:rsid w:val="00A859FE"/>
    <w:rsid w:val="00A861A8"/>
    <w:rsid w:val="00A86414"/>
    <w:rsid w:val="00A86623"/>
    <w:rsid w:val="00A866AC"/>
    <w:rsid w:val="00A867BF"/>
    <w:rsid w:val="00A868CA"/>
    <w:rsid w:val="00A874DA"/>
    <w:rsid w:val="00A9001C"/>
    <w:rsid w:val="00A901FC"/>
    <w:rsid w:val="00A9088E"/>
    <w:rsid w:val="00A91133"/>
    <w:rsid w:val="00A91E83"/>
    <w:rsid w:val="00A9227B"/>
    <w:rsid w:val="00A929B9"/>
    <w:rsid w:val="00A92E93"/>
    <w:rsid w:val="00A937DA"/>
    <w:rsid w:val="00A93CFE"/>
    <w:rsid w:val="00A93FCA"/>
    <w:rsid w:val="00A9473F"/>
    <w:rsid w:val="00A949EB"/>
    <w:rsid w:val="00A9547B"/>
    <w:rsid w:val="00A95691"/>
    <w:rsid w:val="00A959DD"/>
    <w:rsid w:val="00A95CFE"/>
    <w:rsid w:val="00A95D21"/>
    <w:rsid w:val="00A95D25"/>
    <w:rsid w:val="00A95DC0"/>
    <w:rsid w:val="00A96609"/>
    <w:rsid w:val="00A96BC9"/>
    <w:rsid w:val="00A971A5"/>
    <w:rsid w:val="00A97497"/>
    <w:rsid w:val="00A974D4"/>
    <w:rsid w:val="00A97A20"/>
    <w:rsid w:val="00AA0430"/>
    <w:rsid w:val="00AA0662"/>
    <w:rsid w:val="00AA072B"/>
    <w:rsid w:val="00AA0BA0"/>
    <w:rsid w:val="00AA0BF4"/>
    <w:rsid w:val="00AA0CB5"/>
    <w:rsid w:val="00AA0D61"/>
    <w:rsid w:val="00AA0F34"/>
    <w:rsid w:val="00AA111E"/>
    <w:rsid w:val="00AA1561"/>
    <w:rsid w:val="00AA1707"/>
    <w:rsid w:val="00AA1853"/>
    <w:rsid w:val="00AA18F3"/>
    <w:rsid w:val="00AA2047"/>
    <w:rsid w:val="00AA2903"/>
    <w:rsid w:val="00AA2A44"/>
    <w:rsid w:val="00AA2C42"/>
    <w:rsid w:val="00AA3FA3"/>
    <w:rsid w:val="00AA412B"/>
    <w:rsid w:val="00AA440C"/>
    <w:rsid w:val="00AA4AA4"/>
    <w:rsid w:val="00AA4AFB"/>
    <w:rsid w:val="00AA4D8C"/>
    <w:rsid w:val="00AA4EF0"/>
    <w:rsid w:val="00AA4F18"/>
    <w:rsid w:val="00AA5DA0"/>
    <w:rsid w:val="00AA61AB"/>
    <w:rsid w:val="00AA6389"/>
    <w:rsid w:val="00AA6559"/>
    <w:rsid w:val="00AA6CA2"/>
    <w:rsid w:val="00AA743B"/>
    <w:rsid w:val="00AA7EDF"/>
    <w:rsid w:val="00AB0A72"/>
    <w:rsid w:val="00AB17E1"/>
    <w:rsid w:val="00AB18A6"/>
    <w:rsid w:val="00AB1D09"/>
    <w:rsid w:val="00AB272E"/>
    <w:rsid w:val="00AB2794"/>
    <w:rsid w:val="00AB295F"/>
    <w:rsid w:val="00AB2DC5"/>
    <w:rsid w:val="00AB361A"/>
    <w:rsid w:val="00AB3DC6"/>
    <w:rsid w:val="00AB4088"/>
    <w:rsid w:val="00AB40AA"/>
    <w:rsid w:val="00AB4228"/>
    <w:rsid w:val="00AB4589"/>
    <w:rsid w:val="00AB48C2"/>
    <w:rsid w:val="00AB4A70"/>
    <w:rsid w:val="00AB4BC4"/>
    <w:rsid w:val="00AB4EA6"/>
    <w:rsid w:val="00AB51D7"/>
    <w:rsid w:val="00AB5D93"/>
    <w:rsid w:val="00AB5ED0"/>
    <w:rsid w:val="00AB672B"/>
    <w:rsid w:val="00AB6813"/>
    <w:rsid w:val="00AB7032"/>
    <w:rsid w:val="00AB7202"/>
    <w:rsid w:val="00AB72A6"/>
    <w:rsid w:val="00AB746A"/>
    <w:rsid w:val="00AB75DB"/>
    <w:rsid w:val="00AB7CCA"/>
    <w:rsid w:val="00AB7D4F"/>
    <w:rsid w:val="00AB7DE6"/>
    <w:rsid w:val="00AC0029"/>
    <w:rsid w:val="00AC02A8"/>
    <w:rsid w:val="00AC0575"/>
    <w:rsid w:val="00AC0C3F"/>
    <w:rsid w:val="00AC0E36"/>
    <w:rsid w:val="00AC0EEB"/>
    <w:rsid w:val="00AC1189"/>
    <w:rsid w:val="00AC1675"/>
    <w:rsid w:val="00AC17D5"/>
    <w:rsid w:val="00AC2416"/>
    <w:rsid w:val="00AC2883"/>
    <w:rsid w:val="00AC2D84"/>
    <w:rsid w:val="00AC2EA3"/>
    <w:rsid w:val="00AC3003"/>
    <w:rsid w:val="00AC327C"/>
    <w:rsid w:val="00AC391F"/>
    <w:rsid w:val="00AC394C"/>
    <w:rsid w:val="00AC44D8"/>
    <w:rsid w:val="00AC4655"/>
    <w:rsid w:val="00AC4767"/>
    <w:rsid w:val="00AC48D2"/>
    <w:rsid w:val="00AC4A58"/>
    <w:rsid w:val="00AC4BFF"/>
    <w:rsid w:val="00AC4C1B"/>
    <w:rsid w:val="00AC4F2B"/>
    <w:rsid w:val="00AC4FBE"/>
    <w:rsid w:val="00AC577D"/>
    <w:rsid w:val="00AC58A6"/>
    <w:rsid w:val="00AC5911"/>
    <w:rsid w:val="00AC5C56"/>
    <w:rsid w:val="00AC5C5A"/>
    <w:rsid w:val="00AC60DA"/>
    <w:rsid w:val="00AC66A4"/>
    <w:rsid w:val="00AC6A5C"/>
    <w:rsid w:val="00AC6BFB"/>
    <w:rsid w:val="00AC6EAD"/>
    <w:rsid w:val="00AC6FEF"/>
    <w:rsid w:val="00AC706B"/>
    <w:rsid w:val="00AC709C"/>
    <w:rsid w:val="00AC718D"/>
    <w:rsid w:val="00AC71C3"/>
    <w:rsid w:val="00AC7895"/>
    <w:rsid w:val="00AC7BA6"/>
    <w:rsid w:val="00AC7C7D"/>
    <w:rsid w:val="00AD0205"/>
    <w:rsid w:val="00AD106C"/>
    <w:rsid w:val="00AD13CA"/>
    <w:rsid w:val="00AD185C"/>
    <w:rsid w:val="00AD1AB9"/>
    <w:rsid w:val="00AD1BBB"/>
    <w:rsid w:val="00AD200D"/>
    <w:rsid w:val="00AD227D"/>
    <w:rsid w:val="00AD2354"/>
    <w:rsid w:val="00AD2F6E"/>
    <w:rsid w:val="00AD3446"/>
    <w:rsid w:val="00AD399B"/>
    <w:rsid w:val="00AD3EA3"/>
    <w:rsid w:val="00AD418E"/>
    <w:rsid w:val="00AD4BCB"/>
    <w:rsid w:val="00AD4CA1"/>
    <w:rsid w:val="00AD5258"/>
    <w:rsid w:val="00AD542A"/>
    <w:rsid w:val="00AD5947"/>
    <w:rsid w:val="00AD5997"/>
    <w:rsid w:val="00AD5F02"/>
    <w:rsid w:val="00AD5F8F"/>
    <w:rsid w:val="00AD60E1"/>
    <w:rsid w:val="00AD6B3D"/>
    <w:rsid w:val="00AD6E74"/>
    <w:rsid w:val="00AD74EF"/>
    <w:rsid w:val="00AD79B5"/>
    <w:rsid w:val="00AD7E50"/>
    <w:rsid w:val="00AE03A3"/>
    <w:rsid w:val="00AE04FC"/>
    <w:rsid w:val="00AE1995"/>
    <w:rsid w:val="00AE20D6"/>
    <w:rsid w:val="00AE24FF"/>
    <w:rsid w:val="00AE26B9"/>
    <w:rsid w:val="00AE27D6"/>
    <w:rsid w:val="00AE2ABA"/>
    <w:rsid w:val="00AE2D6E"/>
    <w:rsid w:val="00AE2E95"/>
    <w:rsid w:val="00AE3228"/>
    <w:rsid w:val="00AE357A"/>
    <w:rsid w:val="00AE35BD"/>
    <w:rsid w:val="00AE3E35"/>
    <w:rsid w:val="00AE400A"/>
    <w:rsid w:val="00AE4275"/>
    <w:rsid w:val="00AE4314"/>
    <w:rsid w:val="00AE49BF"/>
    <w:rsid w:val="00AE49D3"/>
    <w:rsid w:val="00AE4AB7"/>
    <w:rsid w:val="00AE4CC0"/>
    <w:rsid w:val="00AE4D5D"/>
    <w:rsid w:val="00AE5964"/>
    <w:rsid w:val="00AE5983"/>
    <w:rsid w:val="00AE6159"/>
    <w:rsid w:val="00AE63C7"/>
    <w:rsid w:val="00AE6C52"/>
    <w:rsid w:val="00AE6D03"/>
    <w:rsid w:val="00AE6D25"/>
    <w:rsid w:val="00AE7202"/>
    <w:rsid w:val="00AE733C"/>
    <w:rsid w:val="00AE7568"/>
    <w:rsid w:val="00AE790E"/>
    <w:rsid w:val="00AE7FB8"/>
    <w:rsid w:val="00AF0D8A"/>
    <w:rsid w:val="00AF1A38"/>
    <w:rsid w:val="00AF1F73"/>
    <w:rsid w:val="00AF1FDE"/>
    <w:rsid w:val="00AF1FE1"/>
    <w:rsid w:val="00AF22D6"/>
    <w:rsid w:val="00AF2B9E"/>
    <w:rsid w:val="00AF3321"/>
    <w:rsid w:val="00AF333E"/>
    <w:rsid w:val="00AF33AF"/>
    <w:rsid w:val="00AF3448"/>
    <w:rsid w:val="00AF37A3"/>
    <w:rsid w:val="00AF3A87"/>
    <w:rsid w:val="00AF3D9D"/>
    <w:rsid w:val="00AF40C9"/>
    <w:rsid w:val="00AF44D8"/>
    <w:rsid w:val="00AF4823"/>
    <w:rsid w:val="00AF4AD0"/>
    <w:rsid w:val="00AF4BEE"/>
    <w:rsid w:val="00AF5465"/>
    <w:rsid w:val="00AF571B"/>
    <w:rsid w:val="00AF5726"/>
    <w:rsid w:val="00AF5D3B"/>
    <w:rsid w:val="00AF63B7"/>
    <w:rsid w:val="00AF65CA"/>
    <w:rsid w:val="00AF66A5"/>
    <w:rsid w:val="00AF676C"/>
    <w:rsid w:val="00AF75B8"/>
    <w:rsid w:val="00AF77F2"/>
    <w:rsid w:val="00AF7C71"/>
    <w:rsid w:val="00B004A7"/>
    <w:rsid w:val="00B008EB"/>
    <w:rsid w:val="00B009DA"/>
    <w:rsid w:val="00B01185"/>
    <w:rsid w:val="00B01914"/>
    <w:rsid w:val="00B01B80"/>
    <w:rsid w:val="00B01CA6"/>
    <w:rsid w:val="00B02188"/>
    <w:rsid w:val="00B022B8"/>
    <w:rsid w:val="00B02476"/>
    <w:rsid w:val="00B027DF"/>
    <w:rsid w:val="00B02A4E"/>
    <w:rsid w:val="00B02B4B"/>
    <w:rsid w:val="00B03898"/>
    <w:rsid w:val="00B03BB6"/>
    <w:rsid w:val="00B0400C"/>
    <w:rsid w:val="00B0421E"/>
    <w:rsid w:val="00B043DA"/>
    <w:rsid w:val="00B0440B"/>
    <w:rsid w:val="00B04796"/>
    <w:rsid w:val="00B04977"/>
    <w:rsid w:val="00B04A82"/>
    <w:rsid w:val="00B04DF4"/>
    <w:rsid w:val="00B05537"/>
    <w:rsid w:val="00B06720"/>
    <w:rsid w:val="00B06D47"/>
    <w:rsid w:val="00B0729D"/>
    <w:rsid w:val="00B1021D"/>
    <w:rsid w:val="00B10283"/>
    <w:rsid w:val="00B10476"/>
    <w:rsid w:val="00B1077D"/>
    <w:rsid w:val="00B10BB7"/>
    <w:rsid w:val="00B10F31"/>
    <w:rsid w:val="00B10F84"/>
    <w:rsid w:val="00B10FA0"/>
    <w:rsid w:val="00B11155"/>
    <w:rsid w:val="00B1136A"/>
    <w:rsid w:val="00B11516"/>
    <w:rsid w:val="00B11D3B"/>
    <w:rsid w:val="00B11F91"/>
    <w:rsid w:val="00B12049"/>
    <w:rsid w:val="00B12264"/>
    <w:rsid w:val="00B12531"/>
    <w:rsid w:val="00B128DC"/>
    <w:rsid w:val="00B13306"/>
    <w:rsid w:val="00B1371B"/>
    <w:rsid w:val="00B13A70"/>
    <w:rsid w:val="00B13B2F"/>
    <w:rsid w:val="00B13F8F"/>
    <w:rsid w:val="00B1405F"/>
    <w:rsid w:val="00B1418A"/>
    <w:rsid w:val="00B14D50"/>
    <w:rsid w:val="00B14F12"/>
    <w:rsid w:val="00B15135"/>
    <w:rsid w:val="00B151FA"/>
    <w:rsid w:val="00B1562B"/>
    <w:rsid w:val="00B157F4"/>
    <w:rsid w:val="00B15ACE"/>
    <w:rsid w:val="00B15EBC"/>
    <w:rsid w:val="00B161E3"/>
    <w:rsid w:val="00B161EC"/>
    <w:rsid w:val="00B16255"/>
    <w:rsid w:val="00B16D3B"/>
    <w:rsid w:val="00B16D40"/>
    <w:rsid w:val="00B17517"/>
    <w:rsid w:val="00B175E8"/>
    <w:rsid w:val="00B17753"/>
    <w:rsid w:val="00B17A86"/>
    <w:rsid w:val="00B17EBB"/>
    <w:rsid w:val="00B20226"/>
    <w:rsid w:val="00B20543"/>
    <w:rsid w:val="00B20DDD"/>
    <w:rsid w:val="00B21386"/>
    <w:rsid w:val="00B21456"/>
    <w:rsid w:val="00B21B57"/>
    <w:rsid w:val="00B21CC2"/>
    <w:rsid w:val="00B2259D"/>
    <w:rsid w:val="00B226CD"/>
    <w:rsid w:val="00B2285F"/>
    <w:rsid w:val="00B229AD"/>
    <w:rsid w:val="00B22A89"/>
    <w:rsid w:val="00B22BEB"/>
    <w:rsid w:val="00B22C44"/>
    <w:rsid w:val="00B23108"/>
    <w:rsid w:val="00B23134"/>
    <w:rsid w:val="00B231EA"/>
    <w:rsid w:val="00B232FE"/>
    <w:rsid w:val="00B2337A"/>
    <w:rsid w:val="00B23442"/>
    <w:rsid w:val="00B235E4"/>
    <w:rsid w:val="00B238EB"/>
    <w:rsid w:val="00B238EE"/>
    <w:rsid w:val="00B23997"/>
    <w:rsid w:val="00B23EA1"/>
    <w:rsid w:val="00B23F25"/>
    <w:rsid w:val="00B245AF"/>
    <w:rsid w:val="00B2467A"/>
    <w:rsid w:val="00B2499B"/>
    <w:rsid w:val="00B24B42"/>
    <w:rsid w:val="00B24E56"/>
    <w:rsid w:val="00B261FE"/>
    <w:rsid w:val="00B26351"/>
    <w:rsid w:val="00B2653D"/>
    <w:rsid w:val="00B26949"/>
    <w:rsid w:val="00B26C10"/>
    <w:rsid w:val="00B27124"/>
    <w:rsid w:val="00B2719E"/>
    <w:rsid w:val="00B273D0"/>
    <w:rsid w:val="00B275A4"/>
    <w:rsid w:val="00B277E5"/>
    <w:rsid w:val="00B308C2"/>
    <w:rsid w:val="00B30F4B"/>
    <w:rsid w:val="00B316D3"/>
    <w:rsid w:val="00B31ADE"/>
    <w:rsid w:val="00B31BA1"/>
    <w:rsid w:val="00B32204"/>
    <w:rsid w:val="00B322A9"/>
    <w:rsid w:val="00B32760"/>
    <w:rsid w:val="00B328B4"/>
    <w:rsid w:val="00B32F47"/>
    <w:rsid w:val="00B3334E"/>
    <w:rsid w:val="00B334CA"/>
    <w:rsid w:val="00B3370C"/>
    <w:rsid w:val="00B33835"/>
    <w:rsid w:val="00B33A2D"/>
    <w:rsid w:val="00B3429D"/>
    <w:rsid w:val="00B342A3"/>
    <w:rsid w:val="00B34557"/>
    <w:rsid w:val="00B348B1"/>
    <w:rsid w:val="00B348D3"/>
    <w:rsid w:val="00B34E13"/>
    <w:rsid w:val="00B3560A"/>
    <w:rsid w:val="00B356FF"/>
    <w:rsid w:val="00B35EAA"/>
    <w:rsid w:val="00B36A14"/>
    <w:rsid w:val="00B36D5C"/>
    <w:rsid w:val="00B36FEA"/>
    <w:rsid w:val="00B372A5"/>
    <w:rsid w:val="00B3754A"/>
    <w:rsid w:val="00B37560"/>
    <w:rsid w:val="00B37981"/>
    <w:rsid w:val="00B37991"/>
    <w:rsid w:val="00B37BD1"/>
    <w:rsid w:val="00B40357"/>
    <w:rsid w:val="00B40478"/>
    <w:rsid w:val="00B407B0"/>
    <w:rsid w:val="00B408DC"/>
    <w:rsid w:val="00B409E8"/>
    <w:rsid w:val="00B40DC6"/>
    <w:rsid w:val="00B41422"/>
    <w:rsid w:val="00B41442"/>
    <w:rsid w:val="00B41B13"/>
    <w:rsid w:val="00B42986"/>
    <w:rsid w:val="00B4377A"/>
    <w:rsid w:val="00B43CE6"/>
    <w:rsid w:val="00B43F38"/>
    <w:rsid w:val="00B441A1"/>
    <w:rsid w:val="00B445BC"/>
    <w:rsid w:val="00B446EF"/>
    <w:rsid w:val="00B447A4"/>
    <w:rsid w:val="00B44981"/>
    <w:rsid w:val="00B44B72"/>
    <w:rsid w:val="00B44B97"/>
    <w:rsid w:val="00B454F7"/>
    <w:rsid w:val="00B45920"/>
    <w:rsid w:val="00B45CFD"/>
    <w:rsid w:val="00B45D1E"/>
    <w:rsid w:val="00B45F5E"/>
    <w:rsid w:val="00B462A2"/>
    <w:rsid w:val="00B46671"/>
    <w:rsid w:val="00B46ABC"/>
    <w:rsid w:val="00B46C70"/>
    <w:rsid w:val="00B46CF4"/>
    <w:rsid w:val="00B46EE8"/>
    <w:rsid w:val="00B4788C"/>
    <w:rsid w:val="00B4798B"/>
    <w:rsid w:val="00B47AEB"/>
    <w:rsid w:val="00B47C66"/>
    <w:rsid w:val="00B47FEA"/>
    <w:rsid w:val="00B50148"/>
    <w:rsid w:val="00B506F9"/>
    <w:rsid w:val="00B50BB4"/>
    <w:rsid w:val="00B50C13"/>
    <w:rsid w:val="00B51331"/>
    <w:rsid w:val="00B513E1"/>
    <w:rsid w:val="00B5163F"/>
    <w:rsid w:val="00B51ED6"/>
    <w:rsid w:val="00B52686"/>
    <w:rsid w:val="00B52DC3"/>
    <w:rsid w:val="00B5300A"/>
    <w:rsid w:val="00B530BB"/>
    <w:rsid w:val="00B53328"/>
    <w:rsid w:val="00B534AF"/>
    <w:rsid w:val="00B53D45"/>
    <w:rsid w:val="00B549F9"/>
    <w:rsid w:val="00B55114"/>
    <w:rsid w:val="00B55293"/>
    <w:rsid w:val="00B552CE"/>
    <w:rsid w:val="00B554E7"/>
    <w:rsid w:val="00B55A1B"/>
    <w:rsid w:val="00B55AFF"/>
    <w:rsid w:val="00B55CCD"/>
    <w:rsid w:val="00B55E18"/>
    <w:rsid w:val="00B55E1D"/>
    <w:rsid w:val="00B5651C"/>
    <w:rsid w:val="00B56E3F"/>
    <w:rsid w:val="00B56E6F"/>
    <w:rsid w:val="00B57490"/>
    <w:rsid w:val="00B57507"/>
    <w:rsid w:val="00B57958"/>
    <w:rsid w:val="00B579E0"/>
    <w:rsid w:val="00B57E37"/>
    <w:rsid w:val="00B60175"/>
    <w:rsid w:val="00B60261"/>
    <w:rsid w:val="00B605C5"/>
    <w:rsid w:val="00B60902"/>
    <w:rsid w:val="00B60A46"/>
    <w:rsid w:val="00B60EFC"/>
    <w:rsid w:val="00B60F5F"/>
    <w:rsid w:val="00B61762"/>
    <w:rsid w:val="00B619FC"/>
    <w:rsid w:val="00B621B6"/>
    <w:rsid w:val="00B6227C"/>
    <w:rsid w:val="00B626EB"/>
    <w:rsid w:val="00B62950"/>
    <w:rsid w:val="00B6362F"/>
    <w:rsid w:val="00B639C8"/>
    <w:rsid w:val="00B63BA4"/>
    <w:rsid w:val="00B64099"/>
    <w:rsid w:val="00B6434D"/>
    <w:rsid w:val="00B64CBA"/>
    <w:rsid w:val="00B6503F"/>
    <w:rsid w:val="00B655AA"/>
    <w:rsid w:val="00B657C9"/>
    <w:rsid w:val="00B65943"/>
    <w:rsid w:val="00B65A1D"/>
    <w:rsid w:val="00B65B1F"/>
    <w:rsid w:val="00B65F9E"/>
    <w:rsid w:val="00B66037"/>
    <w:rsid w:val="00B662D5"/>
    <w:rsid w:val="00B663B2"/>
    <w:rsid w:val="00B66AE9"/>
    <w:rsid w:val="00B66AF8"/>
    <w:rsid w:val="00B66F92"/>
    <w:rsid w:val="00B670B3"/>
    <w:rsid w:val="00B67ABB"/>
    <w:rsid w:val="00B67DDD"/>
    <w:rsid w:val="00B67E28"/>
    <w:rsid w:val="00B703AD"/>
    <w:rsid w:val="00B70EF3"/>
    <w:rsid w:val="00B72283"/>
    <w:rsid w:val="00B722F2"/>
    <w:rsid w:val="00B72392"/>
    <w:rsid w:val="00B723D6"/>
    <w:rsid w:val="00B72551"/>
    <w:rsid w:val="00B7258D"/>
    <w:rsid w:val="00B72942"/>
    <w:rsid w:val="00B7326B"/>
    <w:rsid w:val="00B732C1"/>
    <w:rsid w:val="00B734A7"/>
    <w:rsid w:val="00B7377E"/>
    <w:rsid w:val="00B73C55"/>
    <w:rsid w:val="00B74DE3"/>
    <w:rsid w:val="00B74F84"/>
    <w:rsid w:val="00B75208"/>
    <w:rsid w:val="00B755D3"/>
    <w:rsid w:val="00B7565B"/>
    <w:rsid w:val="00B757DB"/>
    <w:rsid w:val="00B75D55"/>
    <w:rsid w:val="00B768BB"/>
    <w:rsid w:val="00B772EA"/>
    <w:rsid w:val="00B77B05"/>
    <w:rsid w:val="00B80200"/>
    <w:rsid w:val="00B80876"/>
    <w:rsid w:val="00B808FD"/>
    <w:rsid w:val="00B80C50"/>
    <w:rsid w:val="00B8111F"/>
    <w:rsid w:val="00B81130"/>
    <w:rsid w:val="00B813CD"/>
    <w:rsid w:val="00B823AA"/>
    <w:rsid w:val="00B82BDE"/>
    <w:rsid w:val="00B82DC6"/>
    <w:rsid w:val="00B82E0E"/>
    <w:rsid w:val="00B83222"/>
    <w:rsid w:val="00B836AB"/>
    <w:rsid w:val="00B83AF7"/>
    <w:rsid w:val="00B83B7F"/>
    <w:rsid w:val="00B83E25"/>
    <w:rsid w:val="00B83EBB"/>
    <w:rsid w:val="00B84058"/>
    <w:rsid w:val="00B8454C"/>
    <w:rsid w:val="00B8458D"/>
    <w:rsid w:val="00B84826"/>
    <w:rsid w:val="00B84A04"/>
    <w:rsid w:val="00B86E63"/>
    <w:rsid w:val="00B87321"/>
    <w:rsid w:val="00B87B42"/>
    <w:rsid w:val="00B87D3E"/>
    <w:rsid w:val="00B87E2E"/>
    <w:rsid w:val="00B87E5E"/>
    <w:rsid w:val="00B9062B"/>
    <w:rsid w:val="00B906C9"/>
    <w:rsid w:val="00B90844"/>
    <w:rsid w:val="00B90C2F"/>
    <w:rsid w:val="00B90C89"/>
    <w:rsid w:val="00B9195F"/>
    <w:rsid w:val="00B91970"/>
    <w:rsid w:val="00B91A2C"/>
    <w:rsid w:val="00B91F40"/>
    <w:rsid w:val="00B924AC"/>
    <w:rsid w:val="00B92914"/>
    <w:rsid w:val="00B92AB0"/>
    <w:rsid w:val="00B92E97"/>
    <w:rsid w:val="00B93520"/>
    <w:rsid w:val="00B94396"/>
    <w:rsid w:val="00B9593B"/>
    <w:rsid w:val="00B95EB2"/>
    <w:rsid w:val="00B96293"/>
    <w:rsid w:val="00B9648C"/>
    <w:rsid w:val="00B9661E"/>
    <w:rsid w:val="00B96690"/>
    <w:rsid w:val="00B966B4"/>
    <w:rsid w:val="00B9693E"/>
    <w:rsid w:val="00B97905"/>
    <w:rsid w:val="00BA086B"/>
    <w:rsid w:val="00BA1348"/>
    <w:rsid w:val="00BA151D"/>
    <w:rsid w:val="00BA17C4"/>
    <w:rsid w:val="00BA197A"/>
    <w:rsid w:val="00BA1E31"/>
    <w:rsid w:val="00BA1F5A"/>
    <w:rsid w:val="00BA2A30"/>
    <w:rsid w:val="00BA2B14"/>
    <w:rsid w:val="00BA2B76"/>
    <w:rsid w:val="00BA30C6"/>
    <w:rsid w:val="00BA3B64"/>
    <w:rsid w:val="00BA4BCD"/>
    <w:rsid w:val="00BA4D41"/>
    <w:rsid w:val="00BA4FC7"/>
    <w:rsid w:val="00BA51D8"/>
    <w:rsid w:val="00BA56E5"/>
    <w:rsid w:val="00BA5D1E"/>
    <w:rsid w:val="00BA5E14"/>
    <w:rsid w:val="00BA626D"/>
    <w:rsid w:val="00BA6405"/>
    <w:rsid w:val="00BA6FD4"/>
    <w:rsid w:val="00BA7291"/>
    <w:rsid w:val="00BA745D"/>
    <w:rsid w:val="00BA7B03"/>
    <w:rsid w:val="00BA7D73"/>
    <w:rsid w:val="00BB05C5"/>
    <w:rsid w:val="00BB1561"/>
    <w:rsid w:val="00BB1BB1"/>
    <w:rsid w:val="00BB2238"/>
    <w:rsid w:val="00BB2499"/>
    <w:rsid w:val="00BB252F"/>
    <w:rsid w:val="00BB26C7"/>
    <w:rsid w:val="00BB299D"/>
    <w:rsid w:val="00BB2AE6"/>
    <w:rsid w:val="00BB3A6B"/>
    <w:rsid w:val="00BB42AE"/>
    <w:rsid w:val="00BB4533"/>
    <w:rsid w:val="00BB4766"/>
    <w:rsid w:val="00BB4D8A"/>
    <w:rsid w:val="00BB545C"/>
    <w:rsid w:val="00BB5666"/>
    <w:rsid w:val="00BB5708"/>
    <w:rsid w:val="00BB582C"/>
    <w:rsid w:val="00BB5A08"/>
    <w:rsid w:val="00BB5BAC"/>
    <w:rsid w:val="00BB5BD4"/>
    <w:rsid w:val="00BB5FD9"/>
    <w:rsid w:val="00BB5FE6"/>
    <w:rsid w:val="00BB6012"/>
    <w:rsid w:val="00BB689A"/>
    <w:rsid w:val="00BB69DB"/>
    <w:rsid w:val="00BB7373"/>
    <w:rsid w:val="00BB7703"/>
    <w:rsid w:val="00BB78F8"/>
    <w:rsid w:val="00BB7AB2"/>
    <w:rsid w:val="00BC021C"/>
    <w:rsid w:val="00BC0BAB"/>
    <w:rsid w:val="00BC104E"/>
    <w:rsid w:val="00BC150D"/>
    <w:rsid w:val="00BC1695"/>
    <w:rsid w:val="00BC1975"/>
    <w:rsid w:val="00BC1AC2"/>
    <w:rsid w:val="00BC22CB"/>
    <w:rsid w:val="00BC22E8"/>
    <w:rsid w:val="00BC2BDB"/>
    <w:rsid w:val="00BC2EA8"/>
    <w:rsid w:val="00BC2FE9"/>
    <w:rsid w:val="00BC30E2"/>
    <w:rsid w:val="00BC3267"/>
    <w:rsid w:val="00BC35E4"/>
    <w:rsid w:val="00BC43E0"/>
    <w:rsid w:val="00BC4699"/>
    <w:rsid w:val="00BC488E"/>
    <w:rsid w:val="00BC4D5B"/>
    <w:rsid w:val="00BC4DF7"/>
    <w:rsid w:val="00BC51ED"/>
    <w:rsid w:val="00BC5259"/>
    <w:rsid w:val="00BC5CA9"/>
    <w:rsid w:val="00BC60D9"/>
    <w:rsid w:val="00BC642D"/>
    <w:rsid w:val="00BC67D7"/>
    <w:rsid w:val="00BC7020"/>
    <w:rsid w:val="00BC7352"/>
    <w:rsid w:val="00BC7F44"/>
    <w:rsid w:val="00BD026F"/>
    <w:rsid w:val="00BD0D89"/>
    <w:rsid w:val="00BD18A3"/>
    <w:rsid w:val="00BD1EED"/>
    <w:rsid w:val="00BD20C2"/>
    <w:rsid w:val="00BD2630"/>
    <w:rsid w:val="00BD2A57"/>
    <w:rsid w:val="00BD3561"/>
    <w:rsid w:val="00BD3B08"/>
    <w:rsid w:val="00BD3DC6"/>
    <w:rsid w:val="00BD3E7D"/>
    <w:rsid w:val="00BD4AC9"/>
    <w:rsid w:val="00BD4F00"/>
    <w:rsid w:val="00BD50CF"/>
    <w:rsid w:val="00BD51DF"/>
    <w:rsid w:val="00BD60A8"/>
    <w:rsid w:val="00BD6275"/>
    <w:rsid w:val="00BD6551"/>
    <w:rsid w:val="00BD656D"/>
    <w:rsid w:val="00BD69C4"/>
    <w:rsid w:val="00BD6A94"/>
    <w:rsid w:val="00BD6D22"/>
    <w:rsid w:val="00BD6D3F"/>
    <w:rsid w:val="00BD6E75"/>
    <w:rsid w:val="00BD7006"/>
    <w:rsid w:val="00BD71FC"/>
    <w:rsid w:val="00BD76F7"/>
    <w:rsid w:val="00BD7BA3"/>
    <w:rsid w:val="00BD7E3F"/>
    <w:rsid w:val="00BE0134"/>
    <w:rsid w:val="00BE0B32"/>
    <w:rsid w:val="00BE0F92"/>
    <w:rsid w:val="00BE1537"/>
    <w:rsid w:val="00BE15B6"/>
    <w:rsid w:val="00BE1F71"/>
    <w:rsid w:val="00BE2121"/>
    <w:rsid w:val="00BE21FF"/>
    <w:rsid w:val="00BE2C1D"/>
    <w:rsid w:val="00BE2D13"/>
    <w:rsid w:val="00BE2D8B"/>
    <w:rsid w:val="00BE382E"/>
    <w:rsid w:val="00BE39AD"/>
    <w:rsid w:val="00BE3D11"/>
    <w:rsid w:val="00BE3F26"/>
    <w:rsid w:val="00BE4073"/>
    <w:rsid w:val="00BE41DE"/>
    <w:rsid w:val="00BE46E8"/>
    <w:rsid w:val="00BE47B7"/>
    <w:rsid w:val="00BE5B99"/>
    <w:rsid w:val="00BE6624"/>
    <w:rsid w:val="00BE6FA2"/>
    <w:rsid w:val="00BE7015"/>
    <w:rsid w:val="00BE714F"/>
    <w:rsid w:val="00BE7205"/>
    <w:rsid w:val="00BE798B"/>
    <w:rsid w:val="00BF0646"/>
    <w:rsid w:val="00BF0B56"/>
    <w:rsid w:val="00BF0D8B"/>
    <w:rsid w:val="00BF2623"/>
    <w:rsid w:val="00BF388C"/>
    <w:rsid w:val="00BF38BD"/>
    <w:rsid w:val="00BF393E"/>
    <w:rsid w:val="00BF406C"/>
    <w:rsid w:val="00BF42F1"/>
    <w:rsid w:val="00BF47C6"/>
    <w:rsid w:val="00BF4A94"/>
    <w:rsid w:val="00BF4D48"/>
    <w:rsid w:val="00BF4F1F"/>
    <w:rsid w:val="00BF5423"/>
    <w:rsid w:val="00BF66A3"/>
    <w:rsid w:val="00BF6C34"/>
    <w:rsid w:val="00BF7AF0"/>
    <w:rsid w:val="00C001D1"/>
    <w:rsid w:val="00C00756"/>
    <w:rsid w:val="00C00A90"/>
    <w:rsid w:val="00C00CDA"/>
    <w:rsid w:val="00C00D05"/>
    <w:rsid w:val="00C00E26"/>
    <w:rsid w:val="00C01B43"/>
    <w:rsid w:val="00C01DC8"/>
    <w:rsid w:val="00C01EEF"/>
    <w:rsid w:val="00C01FF3"/>
    <w:rsid w:val="00C02140"/>
    <w:rsid w:val="00C02318"/>
    <w:rsid w:val="00C02430"/>
    <w:rsid w:val="00C026DA"/>
    <w:rsid w:val="00C02873"/>
    <w:rsid w:val="00C03559"/>
    <w:rsid w:val="00C036BF"/>
    <w:rsid w:val="00C03C41"/>
    <w:rsid w:val="00C044EF"/>
    <w:rsid w:val="00C04630"/>
    <w:rsid w:val="00C0467B"/>
    <w:rsid w:val="00C05A06"/>
    <w:rsid w:val="00C05AD1"/>
    <w:rsid w:val="00C065B5"/>
    <w:rsid w:val="00C0738E"/>
    <w:rsid w:val="00C07CE5"/>
    <w:rsid w:val="00C101CF"/>
    <w:rsid w:val="00C10506"/>
    <w:rsid w:val="00C10E5F"/>
    <w:rsid w:val="00C10FEB"/>
    <w:rsid w:val="00C110CC"/>
    <w:rsid w:val="00C11795"/>
    <w:rsid w:val="00C11D15"/>
    <w:rsid w:val="00C12C20"/>
    <w:rsid w:val="00C132BC"/>
    <w:rsid w:val="00C1357E"/>
    <w:rsid w:val="00C13B65"/>
    <w:rsid w:val="00C14089"/>
    <w:rsid w:val="00C140D5"/>
    <w:rsid w:val="00C149E0"/>
    <w:rsid w:val="00C14CB8"/>
    <w:rsid w:val="00C1503C"/>
    <w:rsid w:val="00C1550D"/>
    <w:rsid w:val="00C15901"/>
    <w:rsid w:val="00C15DFF"/>
    <w:rsid w:val="00C160F1"/>
    <w:rsid w:val="00C162E7"/>
    <w:rsid w:val="00C162F1"/>
    <w:rsid w:val="00C171F6"/>
    <w:rsid w:val="00C174B7"/>
    <w:rsid w:val="00C17616"/>
    <w:rsid w:val="00C177D4"/>
    <w:rsid w:val="00C17802"/>
    <w:rsid w:val="00C1792F"/>
    <w:rsid w:val="00C17C14"/>
    <w:rsid w:val="00C20201"/>
    <w:rsid w:val="00C20260"/>
    <w:rsid w:val="00C2047E"/>
    <w:rsid w:val="00C20643"/>
    <w:rsid w:val="00C20809"/>
    <w:rsid w:val="00C20898"/>
    <w:rsid w:val="00C209AC"/>
    <w:rsid w:val="00C211FB"/>
    <w:rsid w:val="00C21E11"/>
    <w:rsid w:val="00C21F96"/>
    <w:rsid w:val="00C22589"/>
    <w:rsid w:val="00C22827"/>
    <w:rsid w:val="00C22886"/>
    <w:rsid w:val="00C23144"/>
    <w:rsid w:val="00C239DD"/>
    <w:rsid w:val="00C25139"/>
    <w:rsid w:val="00C252A6"/>
    <w:rsid w:val="00C25D67"/>
    <w:rsid w:val="00C25E4C"/>
    <w:rsid w:val="00C26254"/>
    <w:rsid w:val="00C26CE4"/>
    <w:rsid w:val="00C26FD9"/>
    <w:rsid w:val="00C27371"/>
    <w:rsid w:val="00C2774D"/>
    <w:rsid w:val="00C27D50"/>
    <w:rsid w:val="00C3011C"/>
    <w:rsid w:val="00C30398"/>
    <w:rsid w:val="00C31031"/>
    <w:rsid w:val="00C3192A"/>
    <w:rsid w:val="00C31975"/>
    <w:rsid w:val="00C31995"/>
    <w:rsid w:val="00C31B0F"/>
    <w:rsid w:val="00C327E7"/>
    <w:rsid w:val="00C32B25"/>
    <w:rsid w:val="00C333C2"/>
    <w:rsid w:val="00C33F77"/>
    <w:rsid w:val="00C3433E"/>
    <w:rsid w:val="00C34981"/>
    <w:rsid w:val="00C35236"/>
    <w:rsid w:val="00C35240"/>
    <w:rsid w:val="00C3537A"/>
    <w:rsid w:val="00C356B3"/>
    <w:rsid w:val="00C35946"/>
    <w:rsid w:val="00C35A8D"/>
    <w:rsid w:val="00C35F7A"/>
    <w:rsid w:val="00C3691E"/>
    <w:rsid w:val="00C369E4"/>
    <w:rsid w:val="00C36E38"/>
    <w:rsid w:val="00C378C6"/>
    <w:rsid w:val="00C37B78"/>
    <w:rsid w:val="00C401CA"/>
    <w:rsid w:val="00C402EA"/>
    <w:rsid w:val="00C405A7"/>
    <w:rsid w:val="00C4076D"/>
    <w:rsid w:val="00C40CFD"/>
    <w:rsid w:val="00C41221"/>
    <w:rsid w:val="00C41441"/>
    <w:rsid w:val="00C41EE3"/>
    <w:rsid w:val="00C42009"/>
    <w:rsid w:val="00C420C5"/>
    <w:rsid w:val="00C421CA"/>
    <w:rsid w:val="00C42258"/>
    <w:rsid w:val="00C425A6"/>
    <w:rsid w:val="00C4293F"/>
    <w:rsid w:val="00C42A0C"/>
    <w:rsid w:val="00C4307F"/>
    <w:rsid w:val="00C4385E"/>
    <w:rsid w:val="00C43957"/>
    <w:rsid w:val="00C43BCC"/>
    <w:rsid w:val="00C43E6C"/>
    <w:rsid w:val="00C44046"/>
    <w:rsid w:val="00C44471"/>
    <w:rsid w:val="00C44592"/>
    <w:rsid w:val="00C449EC"/>
    <w:rsid w:val="00C44AF9"/>
    <w:rsid w:val="00C4501E"/>
    <w:rsid w:val="00C45093"/>
    <w:rsid w:val="00C456ED"/>
    <w:rsid w:val="00C4581D"/>
    <w:rsid w:val="00C45999"/>
    <w:rsid w:val="00C461A7"/>
    <w:rsid w:val="00C46777"/>
    <w:rsid w:val="00C46829"/>
    <w:rsid w:val="00C46AA8"/>
    <w:rsid w:val="00C47077"/>
    <w:rsid w:val="00C4720A"/>
    <w:rsid w:val="00C47303"/>
    <w:rsid w:val="00C47B8C"/>
    <w:rsid w:val="00C47F98"/>
    <w:rsid w:val="00C501F0"/>
    <w:rsid w:val="00C5094C"/>
    <w:rsid w:val="00C51498"/>
    <w:rsid w:val="00C5157B"/>
    <w:rsid w:val="00C52113"/>
    <w:rsid w:val="00C52542"/>
    <w:rsid w:val="00C5275E"/>
    <w:rsid w:val="00C52AFA"/>
    <w:rsid w:val="00C52FC7"/>
    <w:rsid w:val="00C530C6"/>
    <w:rsid w:val="00C53289"/>
    <w:rsid w:val="00C53656"/>
    <w:rsid w:val="00C53AD9"/>
    <w:rsid w:val="00C54187"/>
    <w:rsid w:val="00C54297"/>
    <w:rsid w:val="00C542E1"/>
    <w:rsid w:val="00C545A7"/>
    <w:rsid w:val="00C54607"/>
    <w:rsid w:val="00C54EB8"/>
    <w:rsid w:val="00C55042"/>
    <w:rsid w:val="00C558C9"/>
    <w:rsid w:val="00C55933"/>
    <w:rsid w:val="00C56786"/>
    <w:rsid w:val="00C5688F"/>
    <w:rsid w:val="00C56B1F"/>
    <w:rsid w:val="00C56B8A"/>
    <w:rsid w:val="00C56EE6"/>
    <w:rsid w:val="00C56F2F"/>
    <w:rsid w:val="00C56F82"/>
    <w:rsid w:val="00C5715C"/>
    <w:rsid w:val="00C57553"/>
    <w:rsid w:val="00C57BD2"/>
    <w:rsid w:val="00C57D33"/>
    <w:rsid w:val="00C60050"/>
    <w:rsid w:val="00C60065"/>
    <w:rsid w:val="00C603BC"/>
    <w:rsid w:val="00C6053E"/>
    <w:rsid w:val="00C6091C"/>
    <w:rsid w:val="00C60B45"/>
    <w:rsid w:val="00C60E89"/>
    <w:rsid w:val="00C613A7"/>
    <w:rsid w:val="00C61659"/>
    <w:rsid w:val="00C6168C"/>
    <w:rsid w:val="00C616C6"/>
    <w:rsid w:val="00C62053"/>
    <w:rsid w:val="00C6229F"/>
    <w:rsid w:val="00C62438"/>
    <w:rsid w:val="00C626F4"/>
    <w:rsid w:val="00C626FA"/>
    <w:rsid w:val="00C62B4F"/>
    <w:rsid w:val="00C635FC"/>
    <w:rsid w:val="00C6393F"/>
    <w:rsid w:val="00C64904"/>
    <w:rsid w:val="00C64D6E"/>
    <w:rsid w:val="00C6547C"/>
    <w:rsid w:val="00C657C2"/>
    <w:rsid w:val="00C659E2"/>
    <w:rsid w:val="00C660C4"/>
    <w:rsid w:val="00C667AE"/>
    <w:rsid w:val="00C66F01"/>
    <w:rsid w:val="00C67A58"/>
    <w:rsid w:val="00C67AD8"/>
    <w:rsid w:val="00C67C44"/>
    <w:rsid w:val="00C700C9"/>
    <w:rsid w:val="00C70199"/>
    <w:rsid w:val="00C709FA"/>
    <w:rsid w:val="00C70A5F"/>
    <w:rsid w:val="00C70BA4"/>
    <w:rsid w:val="00C70D1F"/>
    <w:rsid w:val="00C71211"/>
    <w:rsid w:val="00C71322"/>
    <w:rsid w:val="00C7199B"/>
    <w:rsid w:val="00C71C01"/>
    <w:rsid w:val="00C72889"/>
    <w:rsid w:val="00C72D40"/>
    <w:rsid w:val="00C73136"/>
    <w:rsid w:val="00C732B1"/>
    <w:rsid w:val="00C732EC"/>
    <w:rsid w:val="00C7330D"/>
    <w:rsid w:val="00C73362"/>
    <w:rsid w:val="00C733AF"/>
    <w:rsid w:val="00C7370C"/>
    <w:rsid w:val="00C73D24"/>
    <w:rsid w:val="00C73D59"/>
    <w:rsid w:val="00C7458E"/>
    <w:rsid w:val="00C748AA"/>
    <w:rsid w:val="00C74F04"/>
    <w:rsid w:val="00C750C2"/>
    <w:rsid w:val="00C75763"/>
    <w:rsid w:val="00C75766"/>
    <w:rsid w:val="00C75910"/>
    <w:rsid w:val="00C75AFC"/>
    <w:rsid w:val="00C75D11"/>
    <w:rsid w:val="00C75F52"/>
    <w:rsid w:val="00C760A5"/>
    <w:rsid w:val="00C760E4"/>
    <w:rsid w:val="00C760F5"/>
    <w:rsid w:val="00C761AB"/>
    <w:rsid w:val="00C76DB2"/>
    <w:rsid w:val="00C7715C"/>
    <w:rsid w:val="00C77B26"/>
    <w:rsid w:val="00C77C22"/>
    <w:rsid w:val="00C77ED7"/>
    <w:rsid w:val="00C80189"/>
    <w:rsid w:val="00C801B6"/>
    <w:rsid w:val="00C801E8"/>
    <w:rsid w:val="00C806BC"/>
    <w:rsid w:val="00C8119C"/>
    <w:rsid w:val="00C8137F"/>
    <w:rsid w:val="00C81657"/>
    <w:rsid w:val="00C822BB"/>
    <w:rsid w:val="00C825EE"/>
    <w:rsid w:val="00C8327E"/>
    <w:rsid w:val="00C8366F"/>
    <w:rsid w:val="00C83974"/>
    <w:rsid w:val="00C83C27"/>
    <w:rsid w:val="00C83C71"/>
    <w:rsid w:val="00C83E1F"/>
    <w:rsid w:val="00C84074"/>
    <w:rsid w:val="00C84327"/>
    <w:rsid w:val="00C84E75"/>
    <w:rsid w:val="00C8518B"/>
    <w:rsid w:val="00C8656C"/>
    <w:rsid w:val="00C86BFB"/>
    <w:rsid w:val="00C86EC9"/>
    <w:rsid w:val="00C8724A"/>
    <w:rsid w:val="00C877FD"/>
    <w:rsid w:val="00C878F3"/>
    <w:rsid w:val="00C87B8B"/>
    <w:rsid w:val="00C903DC"/>
    <w:rsid w:val="00C90CC2"/>
    <w:rsid w:val="00C90CFD"/>
    <w:rsid w:val="00C91B57"/>
    <w:rsid w:val="00C91DFC"/>
    <w:rsid w:val="00C91F38"/>
    <w:rsid w:val="00C92734"/>
    <w:rsid w:val="00C9278F"/>
    <w:rsid w:val="00C92A27"/>
    <w:rsid w:val="00C9313A"/>
    <w:rsid w:val="00C931B6"/>
    <w:rsid w:val="00C931CF"/>
    <w:rsid w:val="00C9343C"/>
    <w:rsid w:val="00C93DFD"/>
    <w:rsid w:val="00C9433B"/>
    <w:rsid w:val="00C94725"/>
    <w:rsid w:val="00C950EF"/>
    <w:rsid w:val="00C95576"/>
    <w:rsid w:val="00C96020"/>
    <w:rsid w:val="00C96043"/>
    <w:rsid w:val="00C96244"/>
    <w:rsid w:val="00C964B2"/>
    <w:rsid w:val="00C969D2"/>
    <w:rsid w:val="00C97051"/>
    <w:rsid w:val="00C97110"/>
    <w:rsid w:val="00C97C83"/>
    <w:rsid w:val="00CA0668"/>
    <w:rsid w:val="00CA07A7"/>
    <w:rsid w:val="00CA0AD9"/>
    <w:rsid w:val="00CA0F96"/>
    <w:rsid w:val="00CA2228"/>
    <w:rsid w:val="00CA2377"/>
    <w:rsid w:val="00CA24BD"/>
    <w:rsid w:val="00CA34B8"/>
    <w:rsid w:val="00CA3DDA"/>
    <w:rsid w:val="00CA3F2A"/>
    <w:rsid w:val="00CA40E3"/>
    <w:rsid w:val="00CA4139"/>
    <w:rsid w:val="00CA5E09"/>
    <w:rsid w:val="00CA64A7"/>
    <w:rsid w:val="00CA68FE"/>
    <w:rsid w:val="00CA69CE"/>
    <w:rsid w:val="00CA6B98"/>
    <w:rsid w:val="00CA6F43"/>
    <w:rsid w:val="00CA7572"/>
    <w:rsid w:val="00CB0869"/>
    <w:rsid w:val="00CB1186"/>
    <w:rsid w:val="00CB18A6"/>
    <w:rsid w:val="00CB1B21"/>
    <w:rsid w:val="00CB1CD8"/>
    <w:rsid w:val="00CB29F8"/>
    <w:rsid w:val="00CB2B21"/>
    <w:rsid w:val="00CB2CAC"/>
    <w:rsid w:val="00CB301D"/>
    <w:rsid w:val="00CB3A56"/>
    <w:rsid w:val="00CB3BBF"/>
    <w:rsid w:val="00CB484A"/>
    <w:rsid w:val="00CB484F"/>
    <w:rsid w:val="00CB4F20"/>
    <w:rsid w:val="00CB4FD3"/>
    <w:rsid w:val="00CB57F7"/>
    <w:rsid w:val="00CB591C"/>
    <w:rsid w:val="00CB599E"/>
    <w:rsid w:val="00CB5AD3"/>
    <w:rsid w:val="00CB5B49"/>
    <w:rsid w:val="00CB5CEF"/>
    <w:rsid w:val="00CB6017"/>
    <w:rsid w:val="00CB6246"/>
    <w:rsid w:val="00CB6C7E"/>
    <w:rsid w:val="00CB6F71"/>
    <w:rsid w:val="00CB705A"/>
    <w:rsid w:val="00CB7306"/>
    <w:rsid w:val="00CB7667"/>
    <w:rsid w:val="00CB7811"/>
    <w:rsid w:val="00CB7A53"/>
    <w:rsid w:val="00CB7F85"/>
    <w:rsid w:val="00CBD241"/>
    <w:rsid w:val="00CC0093"/>
    <w:rsid w:val="00CC031F"/>
    <w:rsid w:val="00CC083C"/>
    <w:rsid w:val="00CC0ADD"/>
    <w:rsid w:val="00CC0E1B"/>
    <w:rsid w:val="00CC0F4B"/>
    <w:rsid w:val="00CC1375"/>
    <w:rsid w:val="00CC2040"/>
    <w:rsid w:val="00CC2501"/>
    <w:rsid w:val="00CC2532"/>
    <w:rsid w:val="00CC28E3"/>
    <w:rsid w:val="00CC35D9"/>
    <w:rsid w:val="00CC39C1"/>
    <w:rsid w:val="00CC39CC"/>
    <w:rsid w:val="00CC3A2F"/>
    <w:rsid w:val="00CC3AA2"/>
    <w:rsid w:val="00CC3B4B"/>
    <w:rsid w:val="00CC3CED"/>
    <w:rsid w:val="00CC4087"/>
    <w:rsid w:val="00CC40A9"/>
    <w:rsid w:val="00CC40FA"/>
    <w:rsid w:val="00CC44E8"/>
    <w:rsid w:val="00CC4A2C"/>
    <w:rsid w:val="00CC4C34"/>
    <w:rsid w:val="00CC4D9C"/>
    <w:rsid w:val="00CC4F97"/>
    <w:rsid w:val="00CC50CB"/>
    <w:rsid w:val="00CC50F5"/>
    <w:rsid w:val="00CC53C5"/>
    <w:rsid w:val="00CC5523"/>
    <w:rsid w:val="00CC56ED"/>
    <w:rsid w:val="00CC5A09"/>
    <w:rsid w:val="00CC5BB6"/>
    <w:rsid w:val="00CC630A"/>
    <w:rsid w:val="00CC67D4"/>
    <w:rsid w:val="00CC6E01"/>
    <w:rsid w:val="00CC72E7"/>
    <w:rsid w:val="00CC732E"/>
    <w:rsid w:val="00CC7AAF"/>
    <w:rsid w:val="00CD03FB"/>
    <w:rsid w:val="00CD06A7"/>
    <w:rsid w:val="00CD075B"/>
    <w:rsid w:val="00CD0B30"/>
    <w:rsid w:val="00CD0E8C"/>
    <w:rsid w:val="00CD12DF"/>
    <w:rsid w:val="00CD1772"/>
    <w:rsid w:val="00CD17B3"/>
    <w:rsid w:val="00CD1DB2"/>
    <w:rsid w:val="00CD1F11"/>
    <w:rsid w:val="00CD202E"/>
    <w:rsid w:val="00CD23E7"/>
    <w:rsid w:val="00CD2490"/>
    <w:rsid w:val="00CD274E"/>
    <w:rsid w:val="00CD2C3D"/>
    <w:rsid w:val="00CD3805"/>
    <w:rsid w:val="00CD3ED4"/>
    <w:rsid w:val="00CD403D"/>
    <w:rsid w:val="00CD4BC4"/>
    <w:rsid w:val="00CD4C4E"/>
    <w:rsid w:val="00CD4CC6"/>
    <w:rsid w:val="00CD4D3F"/>
    <w:rsid w:val="00CD4F05"/>
    <w:rsid w:val="00CD5171"/>
    <w:rsid w:val="00CD55C7"/>
    <w:rsid w:val="00CD58AD"/>
    <w:rsid w:val="00CD5C44"/>
    <w:rsid w:val="00CD5E70"/>
    <w:rsid w:val="00CD6783"/>
    <w:rsid w:val="00CD6F18"/>
    <w:rsid w:val="00CD71C8"/>
    <w:rsid w:val="00CD7C5A"/>
    <w:rsid w:val="00CD7D8C"/>
    <w:rsid w:val="00CE0D5E"/>
    <w:rsid w:val="00CE108E"/>
    <w:rsid w:val="00CE1107"/>
    <w:rsid w:val="00CE1389"/>
    <w:rsid w:val="00CE14F5"/>
    <w:rsid w:val="00CE1659"/>
    <w:rsid w:val="00CE1878"/>
    <w:rsid w:val="00CE18FF"/>
    <w:rsid w:val="00CE199A"/>
    <w:rsid w:val="00CE1FCF"/>
    <w:rsid w:val="00CE20D8"/>
    <w:rsid w:val="00CE256F"/>
    <w:rsid w:val="00CE26E1"/>
    <w:rsid w:val="00CE26F5"/>
    <w:rsid w:val="00CE2874"/>
    <w:rsid w:val="00CE2B21"/>
    <w:rsid w:val="00CE36BB"/>
    <w:rsid w:val="00CE36C4"/>
    <w:rsid w:val="00CE37CD"/>
    <w:rsid w:val="00CE3DEC"/>
    <w:rsid w:val="00CE496C"/>
    <w:rsid w:val="00CE4C97"/>
    <w:rsid w:val="00CE4FB4"/>
    <w:rsid w:val="00CE50B2"/>
    <w:rsid w:val="00CE56D6"/>
    <w:rsid w:val="00CE5E8F"/>
    <w:rsid w:val="00CE68E8"/>
    <w:rsid w:val="00CE6D22"/>
    <w:rsid w:val="00CE766C"/>
    <w:rsid w:val="00CF01A4"/>
    <w:rsid w:val="00CF09E2"/>
    <w:rsid w:val="00CF1F72"/>
    <w:rsid w:val="00CF2142"/>
    <w:rsid w:val="00CF2E59"/>
    <w:rsid w:val="00CF3071"/>
    <w:rsid w:val="00CF31F4"/>
    <w:rsid w:val="00CF3601"/>
    <w:rsid w:val="00CF3695"/>
    <w:rsid w:val="00CF45DC"/>
    <w:rsid w:val="00CF5116"/>
    <w:rsid w:val="00CF5423"/>
    <w:rsid w:val="00CF55DC"/>
    <w:rsid w:val="00CF5EE3"/>
    <w:rsid w:val="00CF6024"/>
    <w:rsid w:val="00CF665D"/>
    <w:rsid w:val="00CF692B"/>
    <w:rsid w:val="00CF6BE1"/>
    <w:rsid w:val="00CF75BD"/>
    <w:rsid w:val="00CF7C22"/>
    <w:rsid w:val="00CF7E6C"/>
    <w:rsid w:val="00CF7FC8"/>
    <w:rsid w:val="00D00178"/>
    <w:rsid w:val="00D0048A"/>
    <w:rsid w:val="00D00DB8"/>
    <w:rsid w:val="00D00FB9"/>
    <w:rsid w:val="00D00FF3"/>
    <w:rsid w:val="00D010AC"/>
    <w:rsid w:val="00D010E2"/>
    <w:rsid w:val="00D02306"/>
    <w:rsid w:val="00D0236F"/>
    <w:rsid w:val="00D02398"/>
    <w:rsid w:val="00D030E1"/>
    <w:rsid w:val="00D0355C"/>
    <w:rsid w:val="00D03667"/>
    <w:rsid w:val="00D0431F"/>
    <w:rsid w:val="00D04352"/>
    <w:rsid w:val="00D044FF"/>
    <w:rsid w:val="00D045E0"/>
    <w:rsid w:val="00D048B2"/>
    <w:rsid w:val="00D04B81"/>
    <w:rsid w:val="00D05493"/>
    <w:rsid w:val="00D0572E"/>
    <w:rsid w:val="00D05764"/>
    <w:rsid w:val="00D05AE5"/>
    <w:rsid w:val="00D05F32"/>
    <w:rsid w:val="00D05F42"/>
    <w:rsid w:val="00D06546"/>
    <w:rsid w:val="00D065D2"/>
    <w:rsid w:val="00D06BBF"/>
    <w:rsid w:val="00D06E53"/>
    <w:rsid w:val="00D07C72"/>
    <w:rsid w:val="00D07E7D"/>
    <w:rsid w:val="00D10116"/>
    <w:rsid w:val="00D10518"/>
    <w:rsid w:val="00D108EB"/>
    <w:rsid w:val="00D11357"/>
    <w:rsid w:val="00D11C73"/>
    <w:rsid w:val="00D11D5A"/>
    <w:rsid w:val="00D12234"/>
    <w:rsid w:val="00D1299A"/>
    <w:rsid w:val="00D12AEF"/>
    <w:rsid w:val="00D12EE2"/>
    <w:rsid w:val="00D13550"/>
    <w:rsid w:val="00D13D19"/>
    <w:rsid w:val="00D14026"/>
    <w:rsid w:val="00D1423F"/>
    <w:rsid w:val="00D142A7"/>
    <w:rsid w:val="00D14338"/>
    <w:rsid w:val="00D14614"/>
    <w:rsid w:val="00D14C03"/>
    <w:rsid w:val="00D153E7"/>
    <w:rsid w:val="00D155D3"/>
    <w:rsid w:val="00D15767"/>
    <w:rsid w:val="00D159AD"/>
    <w:rsid w:val="00D15A05"/>
    <w:rsid w:val="00D15D19"/>
    <w:rsid w:val="00D160E0"/>
    <w:rsid w:val="00D16FE5"/>
    <w:rsid w:val="00D174C8"/>
    <w:rsid w:val="00D1769A"/>
    <w:rsid w:val="00D17937"/>
    <w:rsid w:val="00D179CF"/>
    <w:rsid w:val="00D17BD3"/>
    <w:rsid w:val="00D20C32"/>
    <w:rsid w:val="00D20CA8"/>
    <w:rsid w:val="00D210C9"/>
    <w:rsid w:val="00D21C62"/>
    <w:rsid w:val="00D2213E"/>
    <w:rsid w:val="00D221A0"/>
    <w:rsid w:val="00D226C7"/>
    <w:rsid w:val="00D241F1"/>
    <w:rsid w:val="00D26A0D"/>
    <w:rsid w:val="00D26C42"/>
    <w:rsid w:val="00D26F71"/>
    <w:rsid w:val="00D27121"/>
    <w:rsid w:val="00D27564"/>
    <w:rsid w:val="00D27B74"/>
    <w:rsid w:val="00D27BDA"/>
    <w:rsid w:val="00D27D80"/>
    <w:rsid w:val="00D27FBE"/>
    <w:rsid w:val="00D30264"/>
    <w:rsid w:val="00D3041A"/>
    <w:rsid w:val="00D307F1"/>
    <w:rsid w:val="00D30E58"/>
    <w:rsid w:val="00D317D6"/>
    <w:rsid w:val="00D31CF6"/>
    <w:rsid w:val="00D31FCD"/>
    <w:rsid w:val="00D326B9"/>
    <w:rsid w:val="00D32943"/>
    <w:rsid w:val="00D32B7D"/>
    <w:rsid w:val="00D32DE7"/>
    <w:rsid w:val="00D32E4C"/>
    <w:rsid w:val="00D33922"/>
    <w:rsid w:val="00D3393D"/>
    <w:rsid w:val="00D339A4"/>
    <w:rsid w:val="00D340CB"/>
    <w:rsid w:val="00D342FB"/>
    <w:rsid w:val="00D3477B"/>
    <w:rsid w:val="00D34894"/>
    <w:rsid w:val="00D34A44"/>
    <w:rsid w:val="00D35CB9"/>
    <w:rsid w:val="00D35DDA"/>
    <w:rsid w:val="00D35FAC"/>
    <w:rsid w:val="00D365BC"/>
    <w:rsid w:val="00D36A24"/>
    <w:rsid w:val="00D36C4D"/>
    <w:rsid w:val="00D3700A"/>
    <w:rsid w:val="00D378AD"/>
    <w:rsid w:val="00D37BD5"/>
    <w:rsid w:val="00D37CCB"/>
    <w:rsid w:val="00D4171C"/>
    <w:rsid w:val="00D41B87"/>
    <w:rsid w:val="00D41C9C"/>
    <w:rsid w:val="00D41EDA"/>
    <w:rsid w:val="00D42614"/>
    <w:rsid w:val="00D4264B"/>
    <w:rsid w:val="00D42687"/>
    <w:rsid w:val="00D42CEB"/>
    <w:rsid w:val="00D42F73"/>
    <w:rsid w:val="00D430CB"/>
    <w:rsid w:val="00D436FF"/>
    <w:rsid w:val="00D43818"/>
    <w:rsid w:val="00D43977"/>
    <w:rsid w:val="00D43F35"/>
    <w:rsid w:val="00D44178"/>
    <w:rsid w:val="00D44640"/>
    <w:rsid w:val="00D446F7"/>
    <w:rsid w:val="00D44835"/>
    <w:rsid w:val="00D44D79"/>
    <w:rsid w:val="00D44F37"/>
    <w:rsid w:val="00D452D4"/>
    <w:rsid w:val="00D45610"/>
    <w:rsid w:val="00D456D0"/>
    <w:rsid w:val="00D45716"/>
    <w:rsid w:val="00D4574A"/>
    <w:rsid w:val="00D457F0"/>
    <w:rsid w:val="00D45A69"/>
    <w:rsid w:val="00D45AA0"/>
    <w:rsid w:val="00D461F3"/>
    <w:rsid w:val="00D46550"/>
    <w:rsid w:val="00D46783"/>
    <w:rsid w:val="00D467F1"/>
    <w:rsid w:val="00D469FE"/>
    <w:rsid w:val="00D46A70"/>
    <w:rsid w:val="00D46CF3"/>
    <w:rsid w:val="00D472F2"/>
    <w:rsid w:val="00D479FA"/>
    <w:rsid w:val="00D502AA"/>
    <w:rsid w:val="00D50398"/>
    <w:rsid w:val="00D50485"/>
    <w:rsid w:val="00D506CA"/>
    <w:rsid w:val="00D5094A"/>
    <w:rsid w:val="00D50C3B"/>
    <w:rsid w:val="00D50E24"/>
    <w:rsid w:val="00D51198"/>
    <w:rsid w:val="00D512E1"/>
    <w:rsid w:val="00D514CB"/>
    <w:rsid w:val="00D514D5"/>
    <w:rsid w:val="00D516CD"/>
    <w:rsid w:val="00D518F0"/>
    <w:rsid w:val="00D51AE1"/>
    <w:rsid w:val="00D51B1C"/>
    <w:rsid w:val="00D51F21"/>
    <w:rsid w:val="00D52B58"/>
    <w:rsid w:val="00D52CD5"/>
    <w:rsid w:val="00D53448"/>
    <w:rsid w:val="00D535D7"/>
    <w:rsid w:val="00D53CBA"/>
    <w:rsid w:val="00D53D99"/>
    <w:rsid w:val="00D54460"/>
    <w:rsid w:val="00D54906"/>
    <w:rsid w:val="00D55128"/>
    <w:rsid w:val="00D55644"/>
    <w:rsid w:val="00D556B2"/>
    <w:rsid w:val="00D55718"/>
    <w:rsid w:val="00D557B8"/>
    <w:rsid w:val="00D5582A"/>
    <w:rsid w:val="00D5582E"/>
    <w:rsid w:val="00D5588D"/>
    <w:rsid w:val="00D558AD"/>
    <w:rsid w:val="00D5627A"/>
    <w:rsid w:val="00D5724D"/>
    <w:rsid w:val="00D57690"/>
    <w:rsid w:val="00D57A56"/>
    <w:rsid w:val="00D57A65"/>
    <w:rsid w:val="00D60054"/>
    <w:rsid w:val="00D6010E"/>
    <w:rsid w:val="00D602AD"/>
    <w:rsid w:val="00D60548"/>
    <w:rsid w:val="00D6062D"/>
    <w:rsid w:val="00D60F66"/>
    <w:rsid w:val="00D61EBD"/>
    <w:rsid w:val="00D61F5C"/>
    <w:rsid w:val="00D61FB3"/>
    <w:rsid w:val="00D62F9B"/>
    <w:rsid w:val="00D63062"/>
    <w:rsid w:val="00D63598"/>
    <w:rsid w:val="00D63DCC"/>
    <w:rsid w:val="00D645CA"/>
    <w:rsid w:val="00D64657"/>
    <w:rsid w:val="00D646B9"/>
    <w:rsid w:val="00D648FF"/>
    <w:rsid w:val="00D6490F"/>
    <w:rsid w:val="00D64BAE"/>
    <w:rsid w:val="00D652ED"/>
    <w:rsid w:val="00D65313"/>
    <w:rsid w:val="00D653B8"/>
    <w:rsid w:val="00D65638"/>
    <w:rsid w:val="00D65AD0"/>
    <w:rsid w:val="00D65EC2"/>
    <w:rsid w:val="00D66FA1"/>
    <w:rsid w:val="00D67253"/>
    <w:rsid w:val="00D6751C"/>
    <w:rsid w:val="00D6758C"/>
    <w:rsid w:val="00D67DFC"/>
    <w:rsid w:val="00D7019A"/>
    <w:rsid w:val="00D7050C"/>
    <w:rsid w:val="00D705D7"/>
    <w:rsid w:val="00D7080A"/>
    <w:rsid w:val="00D70817"/>
    <w:rsid w:val="00D70B93"/>
    <w:rsid w:val="00D70C18"/>
    <w:rsid w:val="00D710D8"/>
    <w:rsid w:val="00D7127A"/>
    <w:rsid w:val="00D71355"/>
    <w:rsid w:val="00D71843"/>
    <w:rsid w:val="00D71E61"/>
    <w:rsid w:val="00D71EBC"/>
    <w:rsid w:val="00D71FDE"/>
    <w:rsid w:val="00D720AF"/>
    <w:rsid w:val="00D72429"/>
    <w:rsid w:val="00D72439"/>
    <w:rsid w:val="00D72456"/>
    <w:rsid w:val="00D72E23"/>
    <w:rsid w:val="00D73EB9"/>
    <w:rsid w:val="00D740C3"/>
    <w:rsid w:val="00D740E8"/>
    <w:rsid w:val="00D74235"/>
    <w:rsid w:val="00D7461D"/>
    <w:rsid w:val="00D7496A"/>
    <w:rsid w:val="00D74AD8"/>
    <w:rsid w:val="00D756E4"/>
    <w:rsid w:val="00D75C57"/>
    <w:rsid w:val="00D761C6"/>
    <w:rsid w:val="00D7721B"/>
    <w:rsid w:val="00D77472"/>
    <w:rsid w:val="00D80326"/>
    <w:rsid w:val="00D80660"/>
    <w:rsid w:val="00D8084A"/>
    <w:rsid w:val="00D8147D"/>
    <w:rsid w:val="00D816FD"/>
    <w:rsid w:val="00D81724"/>
    <w:rsid w:val="00D8174C"/>
    <w:rsid w:val="00D82027"/>
    <w:rsid w:val="00D8267E"/>
    <w:rsid w:val="00D826C7"/>
    <w:rsid w:val="00D82C64"/>
    <w:rsid w:val="00D83BB1"/>
    <w:rsid w:val="00D83E10"/>
    <w:rsid w:val="00D83FB7"/>
    <w:rsid w:val="00D84304"/>
    <w:rsid w:val="00D84784"/>
    <w:rsid w:val="00D84DCE"/>
    <w:rsid w:val="00D8527A"/>
    <w:rsid w:val="00D852DD"/>
    <w:rsid w:val="00D85847"/>
    <w:rsid w:val="00D85CB2"/>
    <w:rsid w:val="00D86784"/>
    <w:rsid w:val="00D8684C"/>
    <w:rsid w:val="00D86E98"/>
    <w:rsid w:val="00D873FF"/>
    <w:rsid w:val="00D8776C"/>
    <w:rsid w:val="00D87D58"/>
    <w:rsid w:val="00D87DA2"/>
    <w:rsid w:val="00D90013"/>
    <w:rsid w:val="00D90098"/>
    <w:rsid w:val="00D90736"/>
    <w:rsid w:val="00D90E02"/>
    <w:rsid w:val="00D90F2D"/>
    <w:rsid w:val="00D912A4"/>
    <w:rsid w:val="00D912BE"/>
    <w:rsid w:val="00D91435"/>
    <w:rsid w:val="00D91576"/>
    <w:rsid w:val="00D915FB"/>
    <w:rsid w:val="00D91807"/>
    <w:rsid w:val="00D91AE4"/>
    <w:rsid w:val="00D91B54"/>
    <w:rsid w:val="00D92017"/>
    <w:rsid w:val="00D920D3"/>
    <w:rsid w:val="00D9342D"/>
    <w:rsid w:val="00D935FF"/>
    <w:rsid w:val="00D939CB"/>
    <w:rsid w:val="00D93B31"/>
    <w:rsid w:val="00D93C67"/>
    <w:rsid w:val="00D93F1B"/>
    <w:rsid w:val="00D9422A"/>
    <w:rsid w:val="00D94DD9"/>
    <w:rsid w:val="00D94E5D"/>
    <w:rsid w:val="00D95074"/>
    <w:rsid w:val="00D95116"/>
    <w:rsid w:val="00D9535F"/>
    <w:rsid w:val="00D95890"/>
    <w:rsid w:val="00D95A06"/>
    <w:rsid w:val="00D96A10"/>
    <w:rsid w:val="00D96C27"/>
    <w:rsid w:val="00D96C28"/>
    <w:rsid w:val="00D96D78"/>
    <w:rsid w:val="00D97228"/>
    <w:rsid w:val="00D9761E"/>
    <w:rsid w:val="00D976A7"/>
    <w:rsid w:val="00D97C5E"/>
    <w:rsid w:val="00DA02BB"/>
    <w:rsid w:val="00DA0378"/>
    <w:rsid w:val="00DA0CCE"/>
    <w:rsid w:val="00DA1068"/>
    <w:rsid w:val="00DA1671"/>
    <w:rsid w:val="00DA19C3"/>
    <w:rsid w:val="00DA1AE6"/>
    <w:rsid w:val="00DA2131"/>
    <w:rsid w:val="00DA2194"/>
    <w:rsid w:val="00DA2292"/>
    <w:rsid w:val="00DA2A14"/>
    <w:rsid w:val="00DA3B4F"/>
    <w:rsid w:val="00DA3FCB"/>
    <w:rsid w:val="00DA45FA"/>
    <w:rsid w:val="00DA4A84"/>
    <w:rsid w:val="00DA5466"/>
    <w:rsid w:val="00DA5A98"/>
    <w:rsid w:val="00DA6185"/>
    <w:rsid w:val="00DA6366"/>
    <w:rsid w:val="00DA6C8E"/>
    <w:rsid w:val="00DA722B"/>
    <w:rsid w:val="00DA7BAA"/>
    <w:rsid w:val="00DA7CC3"/>
    <w:rsid w:val="00DB0190"/>
    <w:rsid w:val="00DB01A2"/>
    <w:rsid w:val="00DB02E4"/>
    <w:rsid w:val="00DB0325"/>
    <w:rsid w:val="00DB059D"/>
    <w:rsid w:val="00DB0A12"/>
    <w:rsid w:val="00DB1305"/>
    <w:rsid w:val="00DB1D2B"/>
    <w:rsid w:val="00DB1EC1"/>
    <w:rsid w:val="00DB207F"/>
    <w:rsid w:val="00DB268D"/>
    <w:rsid w:val="00DB2999"/>
    <w:rsid w:val="00DB2B4D"/>
    <w:rsid w:val="00DB30A2"/>
    <w:rsid w:val="00DB313F"/>
    <w:rsid w:val="00DB3756"/>
    <w:rsid w:val="00DB38AF"/>
    <w:rsid w:val="00DB3B4D"/>
    <w:rsid w:val="00DB4069"/>
    <w:rsid w:val="00DB4842"/>
    <w:rsid w:val="00DB4C0E"/>
    <w:rsid w:val="00DB5E54"/>
    <w:rsid w:val="00DB6462"/>
    <w:rsid w:val="00DB6A3C"/>
    <w:rsid w:val="00DB6C73"/>
    <w:rsid w:val="00DB6F67"/>
    <w:rsid w:val="00DB7C4A"/>
    <w:rsid w:val="00DC0C22"/>
    <w:rsid w:val="00DC0C45"/>
    <w:rsid w:val="00DC0CBB"/>
    <w:rsid w:val="00DC0D21"/>
    <w:rsid w:val="00DC103D"/>
    <w:rsid w:val="00DC11AB"/>
    <w:rsid w:val="00DC1F68"/>
    <w:rsid w:val="00DC1F84"/>
    <w:rsid w:val="00DC2362"/>
    <w:rsid w:val="00DC2412"/>
    <w:rsid w:val="00DC254F"/>
    <w:rsid w:val="00DC2DED"/>
    <w:rsid w:val="00DC2E77"/>
    <w:rsid w:val="00DC3628"/>
    <w:rsid w:val="00DC387B"/>
    <w:rsid w:val="00DC3976"/>
    <w:rsid w:val="00DC3AF1"/>
    <w:rsid w:val="00DC4165"/>
    <w:rsid w:val="00DC416E"/>
    <w:rsid w:val="00DC48F5"/>
    <w:rsid w:val="00DC4F06"/>
    <w:rsid w:val="00DC5536"/>
    <w:rsid w:val="00DC5A49"/>
    <w:rsid w:val="00DC5DB7"/>
    <w:rsid w:val="00DC6200"/>
    <w:rsid w:val="00DC641C"/>
    <w:rsid w:val="00DC6AAD"/>
    <w:rsid w:val="00DC6B8C"/>
    <w:rsid w:val="00DC6C82"/>
    <w:rsid w:val="00DC6FFF"/>
    <w:rsid w:val="00DC74FB"/>
    <w:rsid w:val="00DC7578"/>
    <w:rsid w:val="00DC794C"/>
    <w:rsid w:val="00DC7AFE"/>
    <w:rsid w:val="00DC7E8B"/>
    <w:rsid w:val="00DD016C"/>
    <w:rsid w:val="00DD0442"/>
    <w:rsid w:val="00DD0475"/>
    <w:rsid w:val="00DD0808"/>
    <w:rsid w:val="00DD0B0B"/>
    <w:rsid w:val="00DD10ED"/>
    <w:rsid w:val="00DD1602"/>
    <w:rsid w:val="00DD16E1"/>
    <w:rsid w:val="00DD209B"/>
    <w:rsid w:val="00DD2535"/>
    <w:rsid w:val="00DD26F4"/>
    <w:rsid w:val="00DD296B"/>
    <w:rsid w:val="00DD2995"/>
    <w:rsid w:val="00DD3095"/>
    <w:rsid w:val="00DD3795"/>
    <w:rsid w:val="00DD49D1"/>
    <w:rsid w:val="00DD4A56"/>
    <w:rsid w:val="00DD57DC"/>
    <w:rsid w:val="00DD5DB0"/>
    <w:rsid w:val="00DD5FEE"/>
    <w:rsid w:val="00DD6238"/>
    <w:rsid w:val="00DD6820"/>
    <w:rsid w:val="00DD68DD"/>
    <w:rsid w:val="00DD6CBE"/>
    <w:rsid w:val="00DD6EDB"/>
    <w:rsid w:val="00DD6EFD"/>
    <w:rsid w:val="00DE029B"/>
    <w:rsid w:val="00DE0A22"/>
    <w:rsid w:val="00DE0A5C"/>
    <w:rsid w:val="00DE0D1A"/>
    <w:rsid w:val="00DE0D94"/>
    <w:rsid w:val="00DE15B7"/>
    <w:rsid w:val="00DE1D33"/>
    <w:rsid w:val="00DE1D8B"/>
    <w:rsid w:val="00DE246B"/>
    <w:rsid w:val="00DE25D9"/>
    <w:rsid w:val="00DE2B45"/>
    <w:rsid w:val="00DE3531"/>
    <w:rsid w:val="00DE38DC"/>
    <w:rsid w:val="00DE3B7B"/>
    <w:rsid w:val="00DE3D2B"/>
    <w:rsid w:val="00DE425F"/>
    <w:rsid w:val="00DE4857"/>
    <w:rsid w:val="00DE4F19"/>
    <w:rsid w:val="00DE533A"/>
    <w:rsid w:val="00DE58BB"/>
    <w:rsid w:val="00DE5A44"/>
    <w:rsid w:val="00DE6208"/>
    <w:rsid w:val="00DE69B6"/>
    <w:rsid w:val="00DE74A0"/>
    <w:rsid w:val="00DF02B2"/>
    <w:rsid w:val="00DF07BD"/>
    <w:rsid w:val="00DF09ED"/>
    <w:rsid w:val="00DF0A16"/>
    <w:rsid w:val="00DF0E34"/>
    <w:rsid w:val="00DF0EF0"/>
    <w:rsid w:val="00DF0FB5"/>
    <w:rsid w:val="00DF168E"/>
    <w:rsid w:val="00DF172C"/>
    <w:rsid w:val="00DF18F2"/>
    <w:rsid w:val="00DF1B75"/>
    <w:rsid w:val="00DF1BE0"/>
    <w:rsid w:val="00DF2919"/>
    <w:rsid w:val="00DF37DE"/>
    <w:rsid w:val="00DF402F"/>
    <w:rsid w:val="00DF410C"/>
    <w:rsid w:val="00DF422D"/>
    <w:rsid w:val="00DF461A"/>
    <w:rsid w:val="00DF49A1"/>
    <w:rsid w:val="00DF4B7A"/>
    <w:rsid w:val="00DF4CFF"/>
    <w:rsid w:val="00DF4D13"/>
    <w:rsid w:val="00DF4D44"/>
    <w:rsid w:val="00DF4ECC"/>
    <w:rsid w:val="00DF4FAA"/>
    <w:rsid w:val="00DF50C5"/>
    <w:rsid w:val="00DF5C16"/>
    <w:rsid w:val="00DF5F88"/>
    <w:rsid w:val="00DF62B3"/>
    <w:rsid w:val="00DF62F4"/>
    <w:rsid w:val="00DF6584"/>
    <w:rsid w:val="00DF66BC"/>
    <w:rsid w:val="00DF6749"/>
    <w:rsid w:val="00DF6C08"/>
    <w:rsid w:val="00DF6F2C"/>
    <w:rsid w:val="00DF6F6E"/>
    <w:rsid w:val="00DF6FE9"/>
    <w:rsid w:val="00DF7440"/>
    <w:rsid w:val="00DF77CC"/>
    <w:rsid w:val="00E003C9"/>
    <w:rsid w:val="00E008F6"/>
    <w:rsid w:val="00E00CA3"/>
    <w:rsid w:val="00E00D59"/>
    <w:rsid w:val="00E00FFD"/>
    <w:rsid w:val="00E012A4"/>
    <w:rsid w:val="00E01479"/>
    <w:rsid w:val="00E015A4"/>
    <w:rsid w:val="00E01626"/>
    <w:rsid w:val="00E02962"/>
    <w:rsid w:val="00E02AC4"/>
    <w:rsid w:val="00E02DE2"/>
    <w:rsid w:val="00E037ED"/>
    <w:rsid w:val="00E03D0F"/>
    <w:rsid w:val="00E05666"/>
    <w:rsid w:val="00E05CC9"/>
    <w:rsid w:val="00E05E96"/>
    <w:rsid w:val="00E06C84"/>
    <w:rsid w:val="00E06E80"/>
    <w:rsid w:val="00E06F0E"/>
    <w:rsid w:val="00E06F9C"/>
    <w:rsid w:val="00E077E4"/>
    <w:rsid w:val="00E0783F"/>
    <w:rsid w:val="00E0789F"/>
    <w:rsid w:val="00E079CF"/>
    <w:rsid w:val="00E079DC"/>
    <w:rsid w:val="00E100AD"/>
    <w:rsid w:val="00E101A7"/>
    <w:rsid w:val="00E10229"/>
    <w:rsid w:val="00E102E0"/>
    <w:rsid w:val="00E105F1"/>
    <w:rsid w:val="00E10703"/>
    <w:rsid w:val="00E10B5B"/>
    <w:rsid w:val="00E10BCA"/>
    <w:rsid w:val="00E10CA0"/>
    <w:rsid w:val="00E10CA4"/>
    <w:rsid w:val="00E112A8"/>
    <w:rsid w:val="00E11555"/>
    <w:rsid w:val="00E115DF"/>
    <w:rsid w:val="00E11C2F"/>
    <w:rsid w:val="00E12288"/>
    <w:rsid w:val="00E12523"/>
    <w:rsid w:val="00E125B1"/>
    <w:rsid w:val="00E12DCC"/>
    <w:rsid w:val="00E12F0D"/>
    <w:rsid w:val="00E12F16"/>
    <w:rsid w:val="00E14AB8"/>
    <w:rsid w:val="00E14B27"/>
    <w:rsid w:val="00E1521E"/>
    <w:rsid w:val="00E15F55"/>
    <w:rsid w:val="00E16214"/>
    <w:rsid w:val="00E1662C"/>
    <w:rsid w:val="00E1702A"/>
    <w:rsid w:val="00E171E6"/>
    <w:rsid w:val="00E175AF"/>
    <w:rsid w:val="00E17B4D"/>
    <w:rsid w:val="00E17F10"/>
    <w:rsid w:val="00E2025A"/>
    <w:rsid w:val="00E218AF"/>
    <w:rsid w:val="00E21B91"/>
    <w:rsid w:val="00E21E61"/>
    <w:rsid w:val="00E21F63"/>
    <w:rsid w:val="00E2205C"/>
    <w:rsid w:val="00E22799"/>
    <w:rsid w:val="00E2291E"/>
    <w:rsid w:val="00E22CE4"/>
    <w:rsid w:val="00E23575"/>
    <w:rsid w:val="00E235CA"/>
    <w:rsid w:val="00E23631"/>
    <w:rsid w:val="00E23D93"/>
    <w:rsid w:val="00E23DD4"/>
    <w:rsid w:val="00E2429B"/>
    <w:rsid w:val="00E24783"/>
    <w:rsid w:val="00E247F0"/>
    <w:rsid w:val="00E24B56"/>
    <w:rsid w:val="00E24BB5"/>
    <w:rsid w:val="00E24DC2"/>
    <w:rsid w:val="00E251D1"/>
    <w:rsid w:val="00E2553F"/>
    <w:rsid w:val="00E25C19"/>
    <w:rsid w:val="00E25DC9"/>
    <w:rsid w:val="00E2629E"/>
    <w:rsid w:val="00E262A5"/>
    <w:rsid w:val="00E26C19"/>
    <w:rsid w:val="00E26DB7"/>
    <w:rsid w:val="00E26ECF"/>
    <w:rsid w:val="00E272AA"/>
    <w:rsid w:val="00E27379"/>
    <w:rsid w:val="00E27CE7"/>
    <w:rsid w:val="00E27D39"/>
    <w:rsid w:val="00E27D7C"/>
    <w:rsid w:val="00E3002A"/>
    <w:rsid w:val="00E3004D"/>
    <w:rsid w:val="00E30392"/>
    <w:rsid w:val="00E30460"/>
    <w:rsid w:val="00E305C7"/>
    <w:rsid w:val="00E306DC"/>
    <w:rsid w:val="00E30896"/>
    <w:rsid w:val="00E31223"/>
    <w:rsid w:val="00E3133D"/>
    <w:rsid w:val="00E3155A"/>
    <w:rsid w:val="00E31A1C"/>
    <w:rsid w:val="00E31F1B"/>
    <w:rsid w:val="00E321DC"/>
    <w:rsid w:val="00E32391"/>
    <w:rsid w:val="00E32984"/>
    <w:rsid w:val="00E32985"/>
    <w:rsid w:val="00E32BAF"/>
    <w:rsid w:val="00E32F59"/>
    <w:rsid w:val="00E339E6"/>
    <w:rsid w:val="00E33FBC"/>
    <w:rsid w:val="00E34042"/>
    <w:rsid w:val="00E34084"/>
    <w:rsid w:val="00E34351"/>
    <w:rsid w:val="00E3481E"/>
    <w:rsid w:val="00E34A45"/>
    <w:rsid w:val="00E34B40"/>
    <w:rsid w:val="00E35834"/>
    <w:rsid w:val="00E358F1"/>
    <w:rsid w:val="00E35E69"/>
    <w:rsid w:val="00E3607A"/>
    <w:rsid w:val="00E36911"/>
    <w:rsid w:val="00E36D34"/>
    <w:rsid w:val="00E36D5F"/>
    <w:rsid w:val="00E36E45"/>
    <w:rsid w:val="00E36F13"/>
    <w:rsid w:val="00E3742E"/>
    <w:rsid w:val="00E37B5A"/>
    <w:rsid w:val="00E40196"/>
    <w:rsid w:val="00E4039D"/>
    <w:rsid w:val="00E4068B"/>
    <w:rsid w:val="00E4074B"/>
    <w:rsid w:val="00E40B02"/>
    <w:rsid w:val="00E40F9A"/>
    <w:rsid w:val="00E410F8"/>
    <w:rsid w:val="00E4111F"/>
    <w:rsid w:val="00E414B4"/>
    <w:rsid w:val="00E4157C"/>
    <w:rsid w:val="00E418A2"/>
    <w:rsid w:val="00E41A14"/>
    <w:rsid w:val="00E41A94"/>
    <w:rsid w:val="00E41BFB"/>
    <w:rsid w:val="00E42157"/>
    <w:rsid w:val="00E424E8"/>
    <w:rsid w:val="00E4254F"/>
    <w:rsid w:val="00E4336F"/>
    <w:rsid w:val="00E43530"/>
    <w:rsid w:val="00E43768"/>
    <w:rsid w:val="00E43945"/>
    <w:rsid w:val="00E43DEF"/>
    <w:rsid w:val="00E43FAF"/>
    <w:rsid w:val="00E43FBF"/>
    <w:rsid w:val="00E440BE"/>
    <w:rsid w:val="00E445E1"/>
    <w:rsid w:val="00E44A6A"/>
    <w:rsid w:val="00E44A94"/>
    <w:rsid w:val="00E45806"/>
    <w:rsid w:val="00E458C5"/>
    <w:rsid w:val="00E45B8D"/>
    <w:rsid w:val="00E465E1"/>
    <w:rsid w:val="00E47BDE"/>
    <w:rsid w:val="00E500AE"/>
    <w:rsid w:val="00E50341"/>
    <w:rsid w:val="00E5044D"/>
    <w:rsid w:val="00E509D8"/>
    <w:rsid w:val="00E51713"/>
    <w:rsid w:val="00E51BBF"/>
    <w:rsid w:val="00E523E7"/>
    <w:rsid w:val="00E52680"/>
    <w:rsid w:val="00E526BE"/>
    <w:rsid w:val="00E52720"/>
    <w:rsid w:val="00E52EC0"/>
    <w:rsid w:val="00E53411"/>
    <w:rsid w:val="00E5358C"/>
    <w:rsid w:val="00E53732"/>
    <w:rsid w:val="00E5385C"/>
    <w:rsid w:val="00E53AAD"/>
    <w:rsid w:val="00E54191"/>
    <w:rsid w:val="00E5458E"/>
    <w:rsid w:val="00E54A84"/>
    <w:rsid w:val="00E54B95"/>
    <w:rsid w:val="00E54BEF"/>
    <w:rsid w:val="00E55558"/>
    <w:rsid w:val="00E55DE3"/>
    <w:rsid w:val="00E55FF4"/>
    <w:rsid w:val="00E570DD"/>
    <w:rsid w:val="00E573B1"/>
    <w:rsid w:val="00E5743E"/>
    <w:rsid w:val="00E57602"/>
    <w:rsid w:val="00E57783"/>
    <w:rsid w:val="00E57DEB"/>
    <w:rsid w:val="00E57E28"/>
    <w:rsid w:val="00E57FBF"/>
    <w:rsid w:val="00E60110"/>
    <w:rsid w:val="00E6013D"/>
    <w:rsid w:val="00E60AD0"/>
    <w:rsid w:val="00E60DF3"/>
    <w:rsid w:val="00E6107D"/>
    <w:rsid w:val="00E6119C"/>
    <w:rsid w:val="00E616B6"/>
    <w:rsid w:val="00E61AA0"/>
    <w:rsid w:val="00E627FA"/>
    <w:rsid w:val="00E62FC2"/>
    <w:rsid w:val="00E62FD8"/>
    <w:rsid w:val="00E63A74"/>
    <w:rsid w:val="00E63D9E"/>
    <w:rsid w:val="00E6437D"/>
    <w:rsid w:val="00E645FE"/>
    <w:rsid w:val="00E64D53"/>
    <w:rsid w:val="00E64DB2"/>
    <w:rsid w:val="00E65087"/>
    <w:rsid w:val="00E65647"/>
    <w:rsid w:val="00E65AC2"/>
    <w:rsid w:val="00E65AC9"/>
    <w:rsid w:val="00E66442"/>
    <w:rsid w:val="00E6648B"/>
    <w:rsid w:val="00E66BA5"/>
    <w:rsid w:val="00E66EA1"/>
    <w:rsid w:val="00E672DC"/>
    <w:rsid w:val="00E678C8"/>
    <w:rsid w:val="00E67AE2"/>
    <w:rsid w:val="00E70977"/>
    <w:rsid w:val="00E70A96"/>
    <w:rsid w:val="00E7261D"/>
    <w:rsid w:val="00E726E4"/>
    <w:rsid w:val="00E72A42"/>
    <w:rsid w:val="00E72BA8"/>
    <w:rsid w:val="00E72D38"/>
    <w:rsid w:val="00E73445"/>
    <w:rsid w:val="00E7392A"/>
    <w:rsid w:val="00E739CC"/>
    <w:rsid w:val="00E73B05"/>
    <w:rsid w:val="00E740B6"/>
    <w:rsid w:val="00E7424A"/>
    <w:rsid w:val="00E748F9"/>
    <w:rsid w:val="00E74A6B"/>
    <w:rsid w:val="00E74A73"/>
    <w:rsid w:val="00E74C6D"/>
    <w:rsid w:val="00E74CF7"/>
    <w:rsid w:val="00E75104"/>
    <w:rsid w:val="00E755B9"/>
    <w:rsid w:val="00E7589D"/>
    <w:rsid w:val="00E75C40"/>
    <w:rsid w:val="00E75E3F"/>
    <w:rsid w:val="00E75FEF"/>
    <w:rsid w:val="00E770A9"/>
    <w:rsid w:val="00E771F3"/>
    <w:rsid w:val="00E7739A"/>
    <w:rsid w:val="00E804B4"/>
    <w:rsid w:val="00E8112F"/>
    <w:rsid w:val="00E813CD"/>
    <w:rsid w:val="00E81A34"/>
    <w:rsid w:val="00E82788"/>
    <w:rsid w:val="00E8298E"/>
    <w:rsid w:val="00E82BC7"/>
    <w:rsid w:val="00E82E01"/>
    <w:rsid w:val="00E82F3D"/>
    <w:rsid w:val="00E8301D"/>
    <w:rsid w:val="00E83B2A"/>
    <w:rsid w:val="00E83DAF"/>
    <w:rsid w:val="00E83DE6"/>
    <w:rsid w:val="00E83E0D"/>
    <w:rsid w:val="00E83E99"/>
    <w:rsid w:val="00E840CE"/>
    <w:rsid w:val="00E843F5"/>
    <w:rsid w:val="00E84E93"/>
    <w:rsid w:val="00E84FA2"/>
    <w:rsid w:val="00E8562B"/>
    <w:rsid w:val="00E85DAA"/>
    <w:rsid w:val="00E85E57"/>
    <w:rsid w:val="00E85F5F"/>
    <w:rsid w:val="00E85F90"/>
    <w:rsid w:val="00E8620E"/>
    <w:rsid w:val="00E865DF"/>
    <w:rsid w:val="00E86D92"/>
    <w:rsid w:val="00E8701E"/>
    <w:rsid w:val="00E870C7"/>
    <w:rsid w:val="00E874A1"/>
    <w:rsid w:val="00E87AA3"/>
    <w:rsid w:val="00E87F87"/>
    <w:rsid w:val="00E901C1"/>
    <w:rsid w:val="00E91474"/>
    <w:rsid w:val="00E9183C"/>
    <w:rsid w:val="00E923FD"/>
    <w:rsid w:val="00E92988"/>
    <w:rsid w:val="00E93531"/>
    <w:rsid w:val="00E93986"/>
    <w:rsid w:val="00E93F3F"/>
    <w:rsid w:val="00E93F62"/>
    <w:rsid w:val="00E94019"/>
    <w:rsid w:val="00E941DA"/>
    <w:rsid w:val="00E94466"/>
    <w:rsid w:val="00E945BB"/>
    <w:rsid w:val="00E9468E"/>
    <w:rsid w:val="00E95F06"/>
    <w:rsid w:val="00E964D9"/>
    <w:rsid w:val="00E965AD"/>
    <w:rsid w:val="00E96859"/>
    <w:rsid w:val="00E96C85"/>
    <w:rsid w:val="00E972C7"/>
    <w:rsid w:val="00E97E63"/>
    <w:rsid w:val="00E97F8F"/>
    <w:rsid w:val="00EA06C7"/>
    <w:rsid w:val="00EA07BB"/>
    <w:rsid w:val="00EA0969"/>
    <w:rsid w:val="00EA0A39"/>
    <w:rsid w:val="00EA0B4A"/>
    <w:rsid w:val="00EA0E27"/>
    <w:rsid w:val="00EA0F58"/>
    <w:rsid w:val="00EA13AD"/>
    <w:rsid w:val="00EA15B4"/>
    <w:rsid w:val="00EA1765"/>
    <w:rsid w:val="00EA1A0F"/>
    <w:rsid w:val="00EA1BD4"/>
    <w:rsid w:val="00EA1CEB"/>
    <w:rsid w:val="00EA2186"/>
    <w:rsid w:val="00EA21A4"/>
    <w:rsid w:val="00EA2248"/>
    <w:rsid w:val="00EA23E8"/>
    <w:rsid w:val="00EA24EA"/>
    <w:rsid w:val="00EA325A"/>
    <w:rsid w:val="00EA32E0"/>
    <w:rsid w:val="00EA4018"/>
    <w:rsid w:val="00EA50B3"/>
    <w:rsid w:val="00EA519D"/>
    <w:rsid w:val="00EA5C7F"/>
    <w:rsid w:val="00EA6158"/>
    <w:rsid w:val="00EA6703"/>
    <w:rsid w:val="00EA759E"/>
    <w:rsid w:val="00EA76BB"/>
    <w:rsid w:val="00EA77D6"/>
    <w:rsid w:val="00EA7C8F"/>
    <w:rsid w:val="00EA7CB3"/>
    <w:rsid w:val="00EA7CC3"/>
    <w:rsid w:val="00EA7F9E"/>
    <w:rsid w:val="00EB126D"/>
    <w:rsid w:val="00EB1668"/>
    <w:rsid w:val="00EB18CA"/>
    <w:rsid w:val="00EB1EEE"/>
    <w:rsid w:val="00EB2872"/>
    <w:rsid w:val="00EB2FEA"/>
    <w:rsid w:val="00EB398B"/>
    <w:rsid w:val="00EB3D45"/>
    <w:rsid w:val="00EB3DE9"/>
    <w:rsid w:val="00EB3EB1"/>
    <w:rsid w:val="00EB42D9"/>
    <w:rsid w:val="00EB4797"/>
    <w:rsid w:val="00EB5411"/>
    <w:rsid w:val="00EB5745"/>
    <w:rsid w:val="00EB58F1"/>
    <w:rsid w:val="00EB62C7"/>
    <w:rsid w:val="00EB640D"/>
    <w:rsid w:val="00EB65AA"/>
    <w:rsid w:val="00EB6DA4"/>
    <w:rsid w:val="00EB6EA2"/>
    <w:rsid w:val="00EB7806"/>
    <w:rsid w:val="00EB7E42"/>
    <w:rsid w:val="00EB7FCC"/>
    <w:rsid w:val="00EC009F"/>
    <w:rsid w:val="00EC032B"/>
    <w:rsid w:val="00EC073D"/>
    <w:rsid w:val="00EC0F52"/>
    <w:rsid w:val="00EC0F5A"/>
    <w:rsid w:val="00EC10E6"/>
    <w:rsid w:val="00EC123B"/>
    <w:rsid w:val="00EC138B"/>
    <w:rsid w:val="00EC13B0"/>
    <w:rsid w:val="00EC1596"/>
    <w:rsid w:val="00EC21D2"/>
    <w:rsid w:val="00EC2350"/>
    <w:rsid w:val="00EC2672"/>
    <w:rsid w:val="00EC2B07"/>
    <w:rsid w:val="00EC36A8"/>
    <w:rsid w:val="00EC39F4"/>
    <w:rsid w:val="00EC39F9"/>
    <w:rsid w:val="00EC3A6F"/>
    <w:rsid w:val="00EC40DA"/>
    <w:rsid w:val="00EC467C"/>
    <w:rsid w:val="00EC468C"/>
    <w:rsid w:val="00EC4C89"/>
    <w:rsid w:val="00EC5674"/>
    <w:rsid w:val="00EC56B9"/>
    <w:rsid w:val="00EC622D"/>
    <w:rsid w:val="00EC6974"/>
    <w:rsid w:val="00EC6AC3"/>
    <w:rsid w:val="00EC70E8"/>
    <w:rsid w:val="00EC7A22"/>
    <w:rsid w:val="00EC7A7C"/>
    <w:rsid w:val="00ED0968"/>
    <w:rsid w:val="00ED0B5A"/>
    <w:rsid w:val="00ED0BF0"/>
    <w:rsid w:val="00ED0DD6"/>
    <w:rsid w:val="00ED20FD"/>
    <w:rsid w:val="00ED27FD"/>
    <w:rsid w:val="00ED2CE2"/>
    <w:rsid w:val="00ED307C"/>
    <w:rsid w:val="00ED308F"/>
    <w:rsid w:val="00ED317B"/>
    <w:rsid w:val="00ED37A2"/>
    <w:rsid w:val="00ED380B"/>
    <w:rsid w:val="00ED3F31"/>
    <w:rsid w:val="00ED4FAA"/>
    <w:rsid w:val="00ED51CC"/>
    <w:rsid w:val="00ED563F"/>
    <w:rsid w:val="00ED578E"/>
    <w:rsid w:val="00ED6318"/>
    <w:rsid w:val="00ED638A"/>
    <w:rsid w:val="00ED63F8"/>
    <w:rsid w:val="00ED6725"/>
    <w:rsid w:val="00ED68F1"/>
    <w:rsid w:val="00ED6E7C"/>
    <w:rsid w:val="00ED7299"/>
    <w:rsid w:val="00ED7499"/>
    <w:rsid w:val="00ED7660"/>
    <w:rsid w:val="00ED7731"/>
    <w:rsid w:val="00ED7CD5"/>
    <w:rsid w:val="00EE0311"/>
    <w:rsid w:val="00EE079F"/>
    <w:rsid w:val="00EE08F1"/>
    <w:rsid w:val="00EE09F9"/>
    <w:rsid w:val="00EE0D5B"/>
    <w:rsid w:val="00EE10AC"/>
    <w:rsid w:val="00EE1449"/>
    <w:rsid w:val="00EE1C32"/>
    <w:rsid w:val="00EE2701"/>
    <w:rsid w:val="00EE339E"/>
    <w:rsid w:val="00EE3963"/>
    <w:rsid w:val="00EE4653"/>
    <w:rsid w:val="00EE4F83"/>
    <w:rsid w:val="00EE53F9"/>
    <w:rsid w:val="00EE5943"/>
    <w:rsid w:val="00EE5AEC"/>
    <w:rsid w:val="00EE5F97"/>
    <w:rsid w:val="00EE5FBC"/>
    <w:rsid w:val="00EE67E9"/>
    <w:rsid w:val="00EE69E8"/>
    <w:rsid w:val="00EE6BEB"/>
    <w:rsid w:val="00EE7209"/>
    <w:rsid w:val="00EE799B"/>
    <w:rsid w:val="00EE7B43"/>
    <w:rsid w:val="00EF00B2"/>
    <w:rsid w:val="00EF03A2"/>
    <w:rsid w:val="00EF046D"/>
    <w:rsid w:val="00EF0A67"/>
    <w:rsid w:val="00EF1B19"/>
    <w:rsid w:val="00EF1BCD"/>
    <w:rsid w:val="00EF1FC4"/>
    <w:rsid w:val="00EF20ED"/>
    <w:rsid w:val="00EF2421"/>
    <w:rsid w:val="00EF272B"/>
    <w:rsid w:val="00EF2AB3"/>
    <w:rsid w:val="00EF2C13"/>
    <w:rsid w:val="00EF3DAE"/>
    <w:rsid w:val="00EF3DC1"/>
    <w:rsid w:val="00EF410A"/>
    <w:rsid w:val="00EF41CE"/>
    <w:rsid w:val="00EF41CF"/>
    <w:rsid w:val="00EF4EBC"/>
    <w:rsid w:val="00EF5189"/>
    <w:rsid w:val="00EF559A"/>
    <w:rsid w:val="00EF6447"/>
    <w:rsid w:val="00EF665D"/>
    <w:rsid w:val="00EF7137"/>
    <w:rsid w:val="00F001EF"/>
    <w:rsid w:val="00F0047B"/>
    <w:rsid w:val="00F00DE5"/>
    <w:rsid w:val="00F00ED2"/>
    <w:rsid w:val="00F00F40"/>
    <w:rsid w:val="00F00F58"/>
    <w:rsid w:val="00F0136F"/>
    <w:rsid w:val="00F01ACF"/>
    <w:rsid w:val="00F02477"/>
    <w:rsid w:val="00F025F3"/>
    <w:rsid w:val="00F02C56"/>
    <w:rsid w:val="00F02EF8"/>
    <w:rsid w:val="00F035B1"/>
    <w:rsid w:val="00F03B1D"/>
    <w:rsid w:val="00F03F44"/>
    <w:rsid w:val="00F04601"/>
    <w:rsid w:val="00F04891"/>
    <w:rsid w:val="00F04958"/>
    <w:rsid w:val="00F049C0"/>
    <w:rsid w:val="00F04B49"/>
    <w:rsid w:val="00F04EB0"/>
    <w:rsid w:val="00F054A3"/>
    <w:rsid w:val="00F05AA4"/>
    <w:rsid w:val="00F05F35"/>
    <w:rsid w:val="00F06517"/>
    <w:rsid w:val="00F065B2"/>
    <w:rsid w:val="00F065F6"/>
    <w:rsid w:val="00F06676"/>
    <w:rsid w:val="00F07488"/>
    <w:rsid w:val="00F075C8"/>
    <w:rsid w:val="00F07B1C"/>
    <w:rsid w:val="00F07EBC"/>
    <w:rsid w:val="00F1004C"/>
    <w:rsid w:val="00F10324"/>
    <w:rsid w:val="00F10CAD"/>
    <w:rsid w:val="00F10FF7"/>
    <w:rsid w:val="00F10FF8"/>
    <w:rsid w:val="00F1143C"/>
    <w:rsid w:val="00F11829"/>
    <w:rsid w:val="00F119D6"/>
    <w:rsid w:val="00F11A24"/>
    <w:rsid w:val="00F11F5F"/>
    <w:rsid w:val="00F1282A"/>
    <w:rsid w:val="00F12F1D"/>
    <w:rsid w:val="00F12F9C"/>
    <w:rsid w:val="00F13072"/>
    <w:rsid w:val="00F1371E"/>
    <w:rsid w:val="00F13751"/>
    <w:rsid w:val="00F13976"/>
    <w:rsid w:val="00F13AEA"/>
    <w:rsid w:val="00F13BC6"/>
    <w:rsid w:val="00F13F28"/>
    <w:rsid w:val="00F14AA6"/>
    <w:rsid w:val="00F14F02"/>
    <w:rsid w:val="00F15001"/>
    <w:rsid w:val="00F1509B"/>
    <w:rsid w:val="00F154A6"/>
    <w:rsid w:val="00F15BF3"/>
    <w:rsid w:val="00F15D9F"/>
    <w:rsid w:val="00F15E59"/>
    <w:rsid w:val="00F15EE0"/>
    <w:rsid w:val="00F16368"/>
    <w:rsid w:val="00F16B52"/>
    <w:rsid w:val="00F16DAF"/>
    <w:rsid w:val="00F17164"/>
    <w:rsid w:val="00F17ABB"/>
    <w:rsid w:val="00F17E92"/>
    <w:rsid w:val="00F206B6"/>
    <w:rsid w:val="00F2076F"/>
    <w:rsid w:val="00F20ED1"/>
    <w:rsid w:val="00F2112A"/>
    <w:rsid w:val="00F21290"/>
    <w:rsid w:val="00F21413"/>
    <w:rsid w:val="00F22A05"/>
    <w:rsid w:val="00F22DF4"/>
    <w:rsid w:val="00F22E94"/>
    <w:rsid w:val="00F23BED"/>
    <w:rsid w:val="00F23D1C"/>
    <w:rsid w:val="00F23D2E"/>
    <w:rsid w:val="00F23EC8"/>
    <w:rsid w:val="00F24410"/>
    <w:rsid w:val="00F24873"/>
    <w:rsid w:val="00F24900"/>
    <w:rsid w:val="00F251ED"/>
    <w:rsid w:val="00F25849"/>
    <w:rsid w:val="00F258DA"/>
    <w:rsid w:val="00F258E0"/>
    <w:rsid w:val="00F259FC"/>
    <w:rsid w:val="00F25A6D"/>
    <w:rsid w:val="00F25C6C"/>
    <w:rsid w:val="00F25E36"/>
    <w:rsid w:val="00F264D5"/>
    <w:rsid w:val="00F26D61"/>
    <w:rsid w:val="00F26E17"/>
    <w:rsid w:val="00F26E87"/>
    <w:rsid w:val="00F26F39"/>
    <w:rsid w:val="00F270FC"/>
    <w:rsid w:val="00F272DF"/>
    <w:rsid w:val="00F2753C"/>
    <w:rsid w:val="00F3010E"/>
    <w:rsid w:val="00F301A8"/>
    <w:rsid w:val="00F30F34"/>
    <w:rsid w:val="00F31464"/>
    <w:rsid w:val="00F31769"/>
    <w:rsid w:val="00F31A2B"/>
    <w:rsid w:val="00F31BFE"/>
    <w:rsid w:val="00F32035"/>
    <w:rsid w:val="00F328BE"/>
    <w:rsid w:val="00F32A0B"/>
    <w:rsid w:val="00F32E4E"/>
    <w:rsid w:val="00F32F96"/>
    <w:rsid w:val="00F332E2"/>
    <w:rsid w:val="00F33473"/>
    <w:rsid w:val="00F33D34"/>
    <w:rsid w:val="00F33DB2"/>
    <w:rsid w:val="00F33FF9"/>
    <w:rsid w:val="00F34039"/>
    <w:rsid w:val="00F3416E"/>
    <w:rsid w:val="00F34572"/>
    <w:rsid w:val="00F34760"/>
    <w:rsid w:val="00F34BD3"/>
    <w:rsid w:val="00F355E4"/>
    <w:rsid w:val="00F357B4"/>
    <w:rsid w:val="00F35CBF"/>
    <w:rsid w:val="00F35E5A"/>
    <w:rsid w:val="00F35F31"/>
    <w:rsid w:val="00F3609C"/>
    <w:rsid w:val="00F365F0"/>
    <w:rsid w:val="00F36878"/>
    <w:rsid w:val="00F36CA3"/>
    <w:rsid w:val="00F37281"/>
    <w:rsid w:val="00F37394"/>
    <w:rsid w:val="00F373DD"/>
    <w:rsid w:val="00F37E32"/>
    <w:rsid w:val="00F40110"/>
    <w:rsid w:val="00F4017B"/>
    <w:rsid w:val="00F401D3"/>
    <w:rsid w:val="00F407CA"/>
    <w:rsid w:val="00F40878"/>
    <w:rsid w:val="00F40D4E"/>
    <w:rsid w:val="00F40E17"/>
    <w:rsid w:val="00F40FEE"/>
    <w:rsid w:val="00F4106D"/>
    <w:rsid w:val="00F419F4"/>
    <w:rsid w:val="00F41EF2"/>
    <w:rsid w:val="00F41FB8"/>
    <w:rsid w:val="00F4208A"/>
    <w:rsid w:val="00F4279A"/>
    <w:rsid w:val="00F427E1"/>
    <w:rsid w:val="00F4316A"/>
    <w:rsid w:val="00F4378D"/>
    <w:rsid w:val="00F43871"/>
    <w:rsid w:val="00F444E2"/>
    <w:rsid w:val="00F446F3"/>
    <w:rsid w:val="00F447E9"/>
    <w:rsid w:val="00F44A11"/>
    <w:rsid w:val="00F44AFF"/>
    <w:rsid w:val="00F45488"/>
    <w:rsid w:val="00F455E1"/>
    <w:rsid w:val="00F45C98"/>
    <w:rsid w:val="00F460EF"/>
    <w:rsid w:val="00F4614F"/>
    <w:rsid w:val="00F466C0"/>
    <w:rsid w:val="00F46722"/>
    <w:rsid w:val="00F46C33"/>
    <w:rsid w:val="00F46D07"/>
    <w:rsid w:val="00F47008"/>
    <w:rsid w:val="00F472A4"/>
    <w:rsid w:val="00F47B52"/>
    <w:rsid w:val="00F47C38"/>
    <w:rsid w:val="00F47D46"/>
    <w:rsid w:val="00F50932"/>
    <w:rsid w:val="00F50F31"/>
    <w:rsid w:val="00F51535"/>
    <w:rsid w:val="00F51933"/>
    <w:rsid w:val="00F51CC6"/>
    <w:rsid w:val="00F52058"/>
    <w:rsid w:val="00F52304"/>
    <w:rsid w:val="00F526AC"/>
    <w:rsid w:val="00F52836"/>
    <w:rsid w:val="00F52CFE"/>
    <w:rsid w:val="00F531A6"/>
    <w:rsid w:val="00F53D2A"/>
    <w:rsid w:val="00F54176"/>
    <w:rsid w:val="00F541CA"/>
    <w:rsid w:val="00F54203"/>
    <w:rsid w:val="00F54D2E"/>
    <w:rsid w:val="00F55747"/>
    <w:rsid w:val="00F55B01"/>
    <w:rsid w:val="00F55E1F"/>
    <w:rsid w:val="00F563FD"/>
    <w:rsid w:val="00F56615"/>
    <w:rsid w:val="00F56766"/>
    <w:rsid w:val="00F56868"/>
    <w:rsid w:val="00F56ADB"/>
    <w:rsid w:val="00F56CEB"/>
    <w:rsid w:val="00F56DF4"/>
    <w:rsid w:val="00F56F10"/>
    <w:rsid w:val="00F56F7F"/>
    <w:rsid w:val="00F57498"/>
    <w:rsid w:val="00F57D77"/>
    <w:rsid w:val="00F57DBE"/>
    <w:rsid w:val="00F57E0D"/>
    <w:rsid w:val="00F60270"/>
    <w:rsid w:val="00F602E6"/>
    <w:rsid w:val="00F60325"/>
    <w:rsid w:val="00F60701"/>
    <w:rsid w:val="00F6091F"/>
    <w:rsid w:val="00F60EAF"/>
    <w:rsid w:val="00F60F61"/>
    <w:rsid w:val="00F61029"/>
    <w:rsid w:val="00F61148"/>
    <w:rsid w:val="00F620BB"/>
    <w:rsid w:val="00F62361"/>
    <w:rsid w:val="00F626B6"/>
    <w:rsid w:val="00F63373"/>
    <w:rsid w:val="00F63506"/>
    <w:rsid w:val="00F638DE"/>
    <w:rsid w:val="00F640B3"/>
    <w:rsid w:val="00F64119"/>
    <w:rsid w:val="00F648F4"/>
    <w:rsid w:val="00F64D7F"/>
    <w:rsid w:val="00F65342"/>
    <w:rsid w:val="00F65558"/>
    <w:rsid w:val="00F658A4"/>
    <w:rsid w:val="00F65B2D"/>
    <w:rsid w:val="00F6626C"/>
    <w:rsid w:val="00F665A1"/>
    <w:rsid w:val="00F66D32"/>
    <w:rsid w:val="00F66F7F"/>
    <w:rsid w:val="00F6705C"/>
    <w:rsid w:val="00F679A7"/>
    <w:rsid w:val="00F70105"/>
    <w:rsid w:val="00F701EF"/>
    <w:rsid w:val="00F70291"/>
    <w:rsid w:val="00F70292"/>
    <w:rsid w:val="00F70398"/>
    <w:rsid w:val="00F7039A"/>
    <w:rsid w:val="00F7067D"/>
    <w:rsid w:val="00F7075E"/>
    <w:rsid w:val="00F70C10"/>
    <w:rsid w:val="00F70C2B"/>
    <w:rsid w:val="00F70CDC"/>
    <w:rsid w:val="00F70D19"/>
    <w:rsid w:val="00F71399"/>
    <w:rsid w:val="00F71838"/>
    <w:rsid w:val="00F71BA4"/>
    <w:rsid w:val="00F71F87"/>
    <w:rsid w:val="00F7209F"/>
    <w:rsid w:val="00F7224F"/>
    <w:rsid w:val="00F72772"/>
    <w:rsid w:val="00F72CCD"/>
    <w:rsid w:val="00F73133"/>
    <w:rsid w:val="00F737B7"/>
    <w:rsid w:val="00F73CD0"/>
    <w:rsid w:val="00F74BF1"/>
    <w:rsid w:val="00F7536D"/>
    <w:rsid w:val="00F758AD"/>
    <w:rsid w:val="00F75DB7"/>
    <w:rsid w:val="00F760A0"/>
    <w:rsid w:val="00F761AB"/>
    <w:rsid w:val="00F76281"/>
    <w:rsid w:val="00F76AD1"/>
    <w:rsid w:val="00F76C17"/>
    <w:rsid w:val="00F77071"/>
    <w:rsid w:val="00F80655"/>
    <w:rsid w:val="00F80A5B"/>
    <w:rsid w:val="00F80B53"/>
    <w:rsid w:val="00F80BED"/>
    <w:rsid w:val="00F80C47"/>
    <w:rsid w:val="00F80F1E"/>
    <w:rsid w:val="00F810EF"/>
    <w:rsid w:val="00F81145"/>
    <w:rsid w:val="00F814DB"/>
    <w:rsid w:val="00F816DE"/>
    <w:rsid w:val="00F8195D"/>
    <w:rsid w:val="00F824A2"/>
    <w:rsid w:val="00F8277D"/>
    <w:rsid w:val="00F82883"/>
    <w:rsid w:val="00F8299C"/>
    <w:rsid w:val="00F82F28"/>
    <w:rsid w:val="00F82F70"/>
    <w:rsid w:val="00F836D5"/>
    <w:rsid w:val="00F840B2"/>
    <w:rsid w:val="00F84454"/>
    <w:rsid w:val="00F84508"/>
    <w:rsid w:val="00F849EC"/>
    <w:rsid w:val="00F84F9D"/>
    <w:rsid w:val="00F850B3"/>
    <w:rsid w:val="00F855E7"/>
    <w:rsid w:val="00F8581A"/>
    <w:rsid w:val="00F859B4"/>
    <w:rsid w:val="00F85B9F"/>
    <w:rsid w:val="00F85FE8"/>
    <w:rsid w:val="00F8600B"/>
    <w:rsid w:val="00F860B6"/>
    <w:rsid w:val="00F86ABE"/>
    <w:rsid w:val="00F86FDD"/>
    <w:rsid w:val="00F875B8"/>
    <w:rsid w:val="00F87C7D"/>
    <w:rsid w:val="00F87CCA"/>
    <w:rsid w:val="00F87D15"/>
    <w:rsid w:val="00F9001D"/>
    <w:rsid w:val="00F90257"/>
    <w:rsid w:val="00F907ED"/>
    <w:rsid w:val="00F9083A"/>
    <w:rsid w:val="00F90DC8"/>
    <w:rsid w:val="00F91432"/>
    <w:rsid w:val="00F91A59"/>
    <w:rsid w:val="00F91C5C"/>
    <w:rsid w:val="00F9297E"/>
    <w:rsid w:val="00F92F98"/>
    <w:rsid w:val="00F936B5"/>
    <w:rsid w:val="00F93879"/>
    <w:rsid w:val="00F93C5A"/>
    <w:rsid w:val="00F93DB4"/>
    <w:rsid w:val="00F9418A"/>
    <w:rsid w:val="00F94568"/>
    <w:rsid w:val="00F94692"/>
    <w:rsid w:val="00F94697"/>
    <w:rsid w:val="00F94D7C"/>
    <w:rsid w:val="00F9530C"/>
    <w:rsid w:val="00F95638"/>
    <w:rsid w:val="00F95F60"/>
    <w:rsid w:val="00F9651A"/>
    <w:rsid w:val="00F967EE"/>
    <w:rsid w:val="00F9692A"/>
    <w:rsid w:val="00F97BB4"/>
    <w:rsid w:val="00F97BFC"/>
    <w:rsid w:val="00F97CF2"/>
    <w:rsid w:val="00F97E71"/>
    <w:rsid w:val="00F97FC3"/>
    <w:rsid w:val="00F9C913"/>
    <w:rsid w:val="00FA09FE"/>
    <w:rsid w:val="00FA0AF4"/>
    <w:rsid w:val="00FA0B17"/>
    <w:rsid w:val="00FA0C30"/>
    <w:rsid w:val="00FA1FA7"/>
    <w:rsid w:val="00FA22A3"/>
    <w:rsid w:val="00FA231F"/>
    <w:rsid w:val="00FA2491"/>
    <w:rsid w:val="00FA2B7D"/>
    <w:rsid w:val="00FA2E46"/>
    <w:rsid w:val="00FA3490"/>
    <w:rsid w:val="00FA36AC"/>
    <w:rsid w:val="00FA45D7"/>
    <w:rsid w:val="00FA468E"/>
    <w:rsid w:val="00FA5199"/>
    <w:rsid w:val="00FA52E0"/>
    <w:rsid w:val="00FA5530"/>
    <w:rsid w:val="00FA614E"/>
    <w:rsid w:val="00FA65E5"/>
    <w:rsid w:val="00FA6839"/>
    <w:rsid w:val="00FA683A"/>
    <w:rsid w:val="00FA6AE3"/>
    <w:rsid w:val="00FA716B"/>
    <w:rsid w:val="00FA731E"/>
    <w:rsid w:val="00FB0491"/>
    <w:rsid w:val="00FB0B79"/>
    <w:rsid w:val="00FB0EE2"/>
    <w:rsid w:val="00FB0F22"/>
    <w:rsid w:val="00FB1076"/>
    <w:rsid w:val="00FB1B69"/>
    <w:rsid w:val="00FB1DBE"/>
    <w:rsid w:val="00FB1EBE"/>
    <w:rsid w:val="00FB3153"/>
    <w:rsid w:val="00FB3204"/>
    <w:rsid w:val="00FB3357"/>
    <w:rsid w:val="00FB389D"/>
    <w:rsid w:val="00FB41EA"/>
    <w:rsid w:val="00FB4453"/>
    <w:rsid w:val="00FB47F6"/>
    <w:rsid w:val="00FB49C2"/>
    <w:rsid w:val="00FB4D0C"/>
    <w:rsid w:val="00FB5081"/>
    <w:rsid w:val="00FB50EC"/>
    <w:rsid w:val="00FB5D41"/>
    <w:rsid w:val="00FB6248"/>
    <w:rsid w:val="00FB65AD"/>
    <w:rsid w:val="00FB66B3"/>
    <w:rsid w:val="00FB679D"/>
    <w:rsid w:val="00FB6B18"/>
    <w:rsid w:val="00FB6B2F"/>
    <w:rsid w:val="00FB6FCD"/>
    <w:rsid w:val="00FB71A2"/>
    <w:rsid w:val="00FB7376"/>
    <w:rsid w:val="00FB73AD"/>
    <w:rsid w:val="00FB7822"/>
    <w:rsid w:val="00FB7BFF"/>
    <w:rsid w:val="00FC002D"/>
    <w:rsid w:val="00FC0663"/>
    <w:rsid w:val="00FC159C"/>
    <w:rsid w:val="00FC1CAB"/>
    <w:rsid w:val="00FC2021"/>
    <w:rsid w:val="00FC20DF"/>
    <w:rsid w:val="00FC2109"/>
    <w:rsid w:val="00FC22B0"/>
    <w:rsid w:val="00FC248A"/>
    <w:rsid w:val="00FC313F"/>
    <w:rsid w:val="00FC36F5"/>
    <w:rsid w:val="00FC379F"/>
    <w:rsid w:val="00FC3CFF"/>
    <w:rsid w:val="00FC3E6D"/>
    <w:rsid w:val="00FC419B"/>
    <w:rsid w:val="00FC4766"/>
    <w:rsid w:val="00FC5012"/>
    <w:rsid w:val="00FC512C"/>
    <w:rsid w:val="00FC51CE"/>
    <w:rsid w:val="00FC56C0"/>
    <w:rsid w:val="00FC5EB8"/>
    <w:rsid w:val="00FC5F20"/>
    <w:rsid w:val="00FC6021"/>
    <w:rsid w:val="00FC73AF"/>
    <w:rsid w:val="00FC73C3"/>
    <w:rsid w:val="00FC77D6"/>
    <w:rsid w:val="00FC7827"/>
    <w:rsid w:val="00FC7864"/>
    <w:rsid w:val="00FD0876"/>
    <w:rsid w:val="00FD09E2"/>
    <w:rsid w:val="00FD0ABE"/>
    <w:rsid w:val="00FD1460"/>
    <w:rsid w:val="00FD1C3E"/>
    <w:rsid w:val="00FD1EC4"/>
    <w:rsid w:val="00FD26EB"/>
    <w:rsid w:val="00FD359D"/>
    <w:rsid w:val="00FD3AC9"/>
    <w:rsid w:val="00FD410F"/>
    <w:rsid w:val="00FD45FF"/>
    <w:rsid w:val="00FD4B88"/>
    <w:rsid w:val="00FD5093"/>
    <w:rsid w:val="00FD51E8"/>
    <w:rsid w:val="00FD53EF"/>
    <w:rsid w:val="00FD55BB"/>
    <w:rsid w:val="00FD55D8"/>
    <w:rsid w:val="00FD5A55"/>
    <w:rsid w:val="00FD5A6A"/>
    <w:rsid w:val="00FD5D42"/>
    <w:rsid w:val="00FD5E8E"/>
    <w:rsid w:val="00FD6B41"/>
    <w:rsid w:val="00FD7195"/>
    <w:rsid w:val="00FD767D"/>
    <w:rsid w:val="00FD77C4"/>
    <w:rsid w:val="00FD7AA2"/>
    <w:rsid w:val="00FE04AB"/>
    <w:rsid w:val="00FE0CA5"/>
    <w:rsid w:val="00FE1B46"/>
    <w:rsid w:val="00FE1D68"/>
    <w:rsid w:val="00FE1E79"/>
    <w:rsid w:val="00FE1FA8"/>
    <w:rsid w:val="00FE1FC0"/>
    <w:rsid w:val="00FE248C"/>
    <w:rsid w:val="00FE24C7"/>
    <w:rsid w:val="00FE2855"/>
    <w:rsid w:val="00FE29D2"/>
    <w:rsid w:val="00FE29D8"/>
    <w:rsid w:val="00FE2FA2"/>
    <w:rsid w:val="00FE3308"/>
    <w:rsid w:val="00FE34F5"/>
    <w:rsid w:val="00FE3FD5"/>
    <w:rsid w:val="00FE401D"/>
    <w:rsid w:val="00FE42F5"/>
    <w:rsid w:val="00FE4982"/>
    <w:rsid w:val="00FE49CB"/>
    <w:rsid w:val="00FE56B2"/>
    <w:rsid w:val="00FE56BB"/>
    <w:rsid w:val="00FE576E"/>
    <w:rsid w:val="00FE5A70"/>
    <w:rsid w:val="00FE70CF"/>
    <w:rsid w:val="00FE72BB"/>
    <w:rsid w:val="00FE737E"/>
    <w:rsid w:val="00FE770C"/>
    <w:rsid w:val="00FE7719"/>
    <w:rsid w:val="00FE7C21"/>
    <w:rsid w:val="00FE7E4B"/>
    <w:rsid w:val="00FE7F62"/>
    <w:rsid w:val="00FF00C7"/>
    <w:rsid w:val="00FF045F"/>
    <w:rsid w:val="00FF07AF"/>
    <w:rsid w:val="00FF0820"/>
    <w:rsid w:val="00FF0F3A"/>
    <w:rsid w:val="00FF169E"/>
    <w:rsid w:val="00FF1CEE"/>
    <w:rsid w:val="00FF244F"/>
    <w:rsid w:val="00FF248E"/>
    <w:rsid w:val="00FF2990"/>
    <w:rsid w:val="00FF2D55"/>
    <w:rsid w:val="00FF3531"/>
    <w:rsid w:val="00FF43F5"/>
    <w:rsid w:val="00FF4440"/>
    <w:rsid w:val="00FF470A"/>
    <w:rsid w:val="00FF4AD5"/>
    <w:rsid w:val="00FF5159"/>
    <w:rsid w:val="00FF5574"/>
    <w:rsid w:val="00FF55A3"/>
    <w:rsid w:val="00FF576B"/>
    <w:rsid w:val="00FF577B"/>
    <w:rsid w:val="00FF5889"/>
    <w:rsid w:val="00FF64EE"/>
    <w:rsid w:val="00FF6945"/>
    <w:rsid w:val="00FF6C2D"/>
    <w:rsid w:val="00FF759D"/>
    <w:rsid w:val="00FF780C"/>
    <w:rsid w:val="00FF7CE1"/>
    <w:rsid w:val="01190FA3"/>
    <w:rsid w:val="0119A71B"/>
    <w:rsid w:val="01288739"/>
    <w:rsid w:val="012F77A5"/>
    <w:rsid w:val="013E22C6"/>
    <w:rsid w:val="0142837C"/>
    <w:rsid w:val="016A166A"/>
    <w:rsid w:val="016EEE79"/>
    <w:rsid w:val="0181715C"/>
    <w:rsid w:val="01876CAC"/>
    <w:rsid w:val="01ABB35A"/>
    <w:rsid w:val="01C50844"/>
    <w:rsid w:val="023AE706"/>
    <w:rsid w:val="027374EA"/>
    <w:rsid w:val="028380D1"/>
    <w:rsid w:val="02B73CE9"/>
    <w:rsid w:val="02F5109B"/>
    <w:rsid w:val="033F0D77"/>
    <w:rsid w:val="03581238"/>
    <w:rsid w:val="035A60E3"/>
    <w:rsid w:val="0377E4D6"/>
    <w:rsid w:val="039C30A4"/>
    <w:rsid w:val="03ADD022"/>
    <w:rsid w:val="03C19017"/>
    <w:rsid w:val="03E2BA2F"/>
    <w:rsid w:val="040044CE"/>
    <w:rsid w:val="040983CF"/>
    <w:rsid w:val="040D4D0D"/>
    <w:rsid w:val="0424581A"/>
    <w:rsid w:val="0430CC99"/>
    <w:rsid w:val="0473E3B3"/>
    <w:rsid w:val="04892E40"/>
    <w:rsid w:val="04904984"/>
    <w:rsid w:val="04D355F4"/>
    <w:rsid w:val="05069121"/>
    <w:rsid w:val="05185BE1"/>
    <w:rsid w:val="054C4E2E"/>
    <w:rsid w:val="0576508C"/>
    <w:rsid w:val="057E4AFB"/>
    <w:rsid w:val="0586D773"/>
    <w:rsid w:val="0589E701"/>
    <w:rsid w:val="0599F39C"/>
    <w:rsid w:val="05AE6A9C"/>
    <w:rsid w:val="05B9AE91"/>
    <w:rsid w:val="05DBB855"/>
    <w:rsid w:val="05F4330F"/>
    <w:rsid w:val="05FBF85C"/>
    <w:rsid w:val="05FC7391"/>
    <w:rsid w:val="060376B5"/>
    <w:rsid w:val="061C381C"/>
    <w:rsid w:val="06203F0A"/>
    <w:rsid w:val="0628F2B7"/>
    <w:rsid w:val="0637A0FF"/>
    <w:rsid w:val="063BF3F6"/>
    <w:rsid w:val="064AC11D"/>
    <w:rsid w:val="066A3D37"/>
    <w:rsid w:val="06BF560F"/>
    <w:rsid w:val="06C02270"/>
    <w:rsid w:val="072E8E30"/>
    <w:rsid w:val="0730294F"/>
    <w:rsid w:val="07409419"/>
    <w:rsid w:val="075CC22A"/>
    <w:rsid w:val="076DEF42"/>
    <w:rsid w:val="077E3892"/>
    <w:rsid w:val="07AA9404"/>
    <w:rsid w:val="07C59B20"/>
    <w:rsid w:val="08023FE2"/>
    <w:rsid w:val="083F833C"/>
    <w:rsid w:val="0844CE59"/>
    <w:rsid w:val="086DD0C7"/>
    <w:rsid w:val="08765F62"/>
    <w:rsid w:val="087FD1C5"/>
    <w:rsid w:val="08C5F7A4"/>
    <w:rsid w:val="09007157"/>
    <w:rsid w:val="09073DAC"/>
    <w:rsid w:val="0915AB64"/>
    <w:rsid w:val="091CCEA1"/>
    <w:rsid w:val="094479E6"/>
    <w:rsid w:val="09B6CFBE"/>
    <w:rsid w:val="09D6EBC7"/>
    <w:rsid w:val="09F19154"/>
    <w:rsid w:val="0A14763A"/>
    <w:rsid w:val="0A5CABC0"/>
    <w:rsid w:val="0A775319"/>
    <w:rsid w:val="0A9A928E"/>
    <w:rsid w:val="0AC7A432"/>
    <w:rsid w:val="0AD3EF47"/>
    <w:rsid w:val="0AD8719A"/>
    <w:rsid w:val="0B0B4F8B"/>
    <w:rsid w:val="0B2CC91A"/>
    <w:rsid w:val="0B3BD9DD"/>
    <w:rsid w:val="0B56F97D"/>
    <w:rsid w:val="0B81BE31"/>
    <w:rsid w:val="0B949832"/>
    <w:rsid w:val="0B9564A7"/>
    <w:rsid w:val="0BF053B5"/>
    <w:rsid w:val="0C026C7D"/>
    <w:rsid w:val="0CA07CB8"/>
    <w:rsid w:val="0CC2649E"/>
    <w:rsid w:val="0CD865CD"/>
    <w:rsid w:val="0CE5EFBD"/>
    <w:rsid w:val="0CF12888"/>
    <w:rsid w:val="0CF1CDBF"/>
    <w:rsid w:val="0D1CB9DC"/>
    <w:rsid w:val="0D6741E9"/>
    <w:rsid w:val="0D9FC1BB"/>
    <w:rsid w:val="0DAB7BA6"/>
    <w:rsid w:val="0DB26C12"/>
    <w:rsid w:val="0E070A41"/>
    <w:rsid w:val="0E0DFAAD"/>
    <w:rsid w:val="0E12A411"/>
    <w:rsid w:val="0E41B39E"/>
    <w:rsid w:val="0E434A5C"/>
    <w:rsid w:val="0E5B5D07"/>
    <w:rsid w:val="0E6D5381"/>
    <w:rsid w:val="0E6E4F8D"/>
    <w:rsid w:val="0E971F3D"/>
    <w:rsid w:val="0EA4CE81"/>
    <w:rsid w:val="0EB7A745"/>
    <w:rsid w:val="0ED7256F"/>
    <w:rsid w:val="0F17592D"/>
    <w:rsid w:val="0F4424D9"/>
    <w:rsid w:val="0F4B6C2D"/>
    <w:rsid w:val="0F59F820"/>
    <w:rsid w:val="0F78B7D3"/>
    <w:rsid w:val="0F7BDC05"/>
    <w:rsid w:val="0F976147"/>
    <w:rsid w:val="0F99EED1"/>
    <w:rsid w:val="0FE05445"/>
    <w:rsid w:val="0FF51BEC"/>
    <w:rsid w:val="103BCDB0"/>
    <w:rsid w:val="10687BBB"/>
    <w:rsid w:val="1086EAC2"/>
    <w:rsid w:val="11566E78"/>
    <w:rsid w:val="117C5777"/>
    <w:rsid w:val="119AA9D8"/>
    <w:rsid w:val="119C68C9"/>
    <w:rsid w:val="11A4B3B3"/>
    <w:rsid w:val="11A4E684"/>
    <w:rsid w:val="11B9BC73"/>
    <w:rsid w:val="11D82492"/>
    <w:rsid w:val="11D96BEA"/>
    <w:rsid w:val="11DE0460"/>
    <w:rsid w:val="11DEFEB7"/>
    <w:rsid w:val="11E18B46"/>
    <w:rsid w:val="11F0B0FA"/>
    <w:rsid w:val="11F6B504"/>
    <w:rsid w:val="12196A8D"/>
    <w:rsid w:val="12389FAC"/>
    <w:rsid w:val="127BF771"/>
    <w:rsid w:val="12AD2618"/>
    <w:rsid w:val="1306E621"/>
    <w:rsid w:val="133AFF06"/>
    <w:rsid w:val="1343B901"/>
    <w:rsid w:val="134C3F00"/>
    <w:rsid w:val="1351FC54"/>
    <w:rsid w:val="135EA8A6"/>
    <w:rsid w:val="137A5D74"/>
    <w:rsid w:val="13985730"/>
    <w:rsid w:val="13AB986E"/>
    <w:rsid w:val="13ACC4C8"/>
    <w:rsid w:val="13B0DA6F"/>
    <w:rsid w:val="13C34132"/>
    <w:rsid w:val="13EDAA95"/>
    <w:rsid w:val="143DA312"/>
    <w:rsid w:val="144323FE"/>
    <w:rsid w:val="144619F1"/>
    <w:rsid w:val="1483634F"/>
    <w:rsid w:val="1488C634"/>
    <w:rsid w:val="14960A7F"/>
    <w:rsid w:val="149AF815"/>
    <w:rsid w:val="14BC40A6"/>
    <w:rsid w:val="14C52551"/>
    <w:rsid w:val="14DD2C7D"/>
    <w:rsid w:val="14F4C048"/>
    <w:rsid w:val="156154BD"/>
    <w:rsid w:val="1589A7E4"/>
    <w:rsid w:val="15A0248E"/>
    <w:rsid w:val="15AEA4A8"/>
    <w:rsid w:val="15BDDF77"/>
    <w:rsid w:val="15EB80E3"/>
    <w:rsid w:val="15F58D06"/>
    <w:rsid w:val="163D216A"/>
    <w:rsid w:val="16817DBA"/>
    <w:rsid w:val="16C773EF"/>
    <w:rsid w:val="16FC3C0A"/>
    <w:rsid w:val="1708D403"/>
    <w:rsid w:val="17142593"/>
    <w:rsid w:val="171E737C"/>
    <w:rsid w:val="17239A02"/>
    <w:rsid w:val="17275581"/>
    <w:rsid w:val="177E5C28"/>
    <w:rsid w:val="17815085"/>
    <w:rsid w:val="17C8BDAB"/>
    <w:rsid w:val="17D037D0"/>
    <w:rsid w:val="17EC9D84"/>
    <w:rsid w:val="17F25B80"/>
    <w:rsid w:val="17FB2A10"/>
    <w:rsid w:val="1830F548"/>
    <w:rsid w:val="183D6A0B"/>
    <w:rsid w:val="18792D7D"/>
    <w:rsid w:val="18C46291"/>
    <w:rsid w:val="18D2FFF3"/>
    <w:rsid w:val="18DCFE0E"/>
    <w:rsid w:val="19144B0B"/>
    <w:rsid w:val="1933FA1D"/>
    <w:rsid w:val="1940AC05"/>
    <w:rsid w:val="194EB516"/>
    <w:rsid w:val="195FECC6"/>
    <w:rsid w:val="19609558"/>
    <w:rsid w:val="198AF20A"/>
    <w:rsid w:val="19A2948F"/>
    <w:rsid w:val="19BE7788"/>
    <w:rsid w:val="19C65D44"/>
    <w:rsid w:val="19C799F3"/>
    <w:rsid w:val="19EBA96D"/>
    <w:rsid w:val="19F004E9"/>
    <w:rsid w:val="19F95AAE"/>
    <w:rsid w:val="19FCE57A"/>
    <w:rsid w:val="1A1A7E6B"/>
    <w:rsid w:val="1A3502A8"/>
    <w:rsid w:val="1A55B6B1"/>
    <w:rsid w:val="1A740912"/>
    <w:rsid w:val="1A880349"/>
    <w:rsid w:val="1AC1DAEC"/>
    <w:rsid w:val="1ACD07F7"/>
    <w:rsid w:val="1AD22763"/>
    <w:rsid w:val="1AD7F5D7"/>
    <w:rsid w:val="1B0473FB"/>
    <w:rsid w:val="1B12AB38"/>
    <w:rsid w:val="1B551A21"/>
    <w:rsid w:val="1B6D82E9"/>
    <w:rsid w:val="1B79E69A"/>
    <w:rsid w:val="1BA526DA"/>
    <w:rsid w:val="1BCC9D59"/>
    <w:rsid w:val="1BCFCF1F"/>
    <w:rsid w:val="1BD55EC5"/>
    <w:rsid w:val="1C1FD79B"/>
    <w:rsid w:val="1C3FAABD"/>
    <w:rsid w:val="1C58C0DE"/>
    <w:rsid w:val="1C5A6E2A"/>
    <w:rsid w:val="1C5B58C8"/>
    <w:rsid w:val="1C79985D"/>
    <w:rsid w:val="1C85F131"/>
    <w:rsid w:val="1C92FAFC"/>
    <w:rsid w:val="1C99EDAA"/>
    <w:rsid w:val="1C9C66AB"/>
    <w:rsid w:val="1C9FBC94"/>
    <w:rsid w:val="1CC7C0F2"/>
    <w:rsid w:val="1CDE7CB5"/>
    <w:rsid w:val="1D61107E"/>
    <w:rsid w:val="1DB68ABC"/>
    <w:rsid w:val="1E1568BE"/>
    <w:rsid w:val="1E15E390"/>
    <w:rsid w:val="1E1DA8FB"/>
    <w:rsid w:val="1E5C9FEC"/>
    <w:rsid w:val="1E95B8D9"/>
    <w:rsid w:val="1EA8D02D"/>
    <w:rsid w:val="1ED9DAE7"/>
    <w:rsid w:val="1EDF3BD2"/>
    <w:rsid w:val="1EFA86BE"/>
    <w:rsid w:val="1F27BB7B"/>
    <w:rsid w:val="1F474E87"/>
    <w:rsid w:val="1F4756CA"/>
    <w:rsid w:val="1F7AD9B8"/>
    <w:rsid w:val="1FA2BC2D"/>
    <w:rsid w:val="1FB90904"/>
    <w:rsid w:val="1FBAE082"/>
    <w:rsid w:val="1FC8B13F"/>
    <w:rsid w:val="1FD9BD04"/>
    <w:rsid w:val="1FE91D6D"/>
    <w:rsid w:val="1FE94E1C"/>
    <w:rsid w:val="1FEDB68D"/>
    <w:rsid w:val="20063BF5"/>
    <w:rsid w:val="2016948F"/>
    <w:rsid w:val="20282D2F"/>
    <w:rsid w:val="202FA910"/>
    <w:rsid w:val="2034A2A9"/>
    <w:rsid w:val="203A4953"/>
    <w:rsid w:val="204F048E"/>
    <w:rsid w:val="205206AA"/>
    <w:rsid w:val="20637452"/>
    <w:rsid w:val="206F8FBD"/>
    <w:rsid w:val="208BD3B5"/>
    <w:rsid w:val="2093B1D1"/>
    <w:rsid w:val="209D0E8C"/>
    <w:rsid w:val="20D17847"/>
    <w:rsid w:val="20E2749C"/>
    <w:rsid w:val="20E46ACC"/>
    <w:rsid w:val="20FC263A"/>
    <w:rsid w:val="2105DB91"/>
    <w:rsid w:val="2111FF67"/>
    <w:rsid w:val="2116D8E0"/>
    <w:rsid w:val="211FCB2E"/>
    <w:rsid w:val="2123211E"/>
    <w:rsid w:val="21262167"/>
    <w:rsid w:val="21345BF5"/>
    <w:rsid w:val="213B2E73"/>
    <w:rsid w:val="213BCEA9"/>
    <w:rsid w:val="21469575"/>
    <w:rsid w:val="215B96F7"/>
    <w:rsid w:val="2170C449"/>
    <w:rsid w:val="2175B3A8"/>
    <w:rsid w:val="2188A82F"/>
    <w:rsid w:val="218E4C61"/>
    <w:rsid w:val="21AE3CEB"/>
    <w:rsid w:val="21B87290"/>
    <w:rsid w:val="21C13F2B"/>
    <w:rsid w:val="21CD81D4"/>
    <w:rsid w:val="21D00BDE"/>
    <w:rsid w:val="21D905C7"/>
    <w:rsid w:val="2203AF16"/>
    <w:rsid w:val="2216693F"/>
    <w:rsid w:val="221C288F"/>
    <w:rsid w:val="22222A9B"/>
    <w:rsid w:val="22278770"/>
    <w:rsid w:val="222980A9"/>
    <w:rsid w:val="22385DA0"/>
    <w:rsid w:val="223E51ED"/>
    <w:rsid w:val="22439770"/>
    <w:rsid w:val="226F0E48"/>
    <w:rsid w:val="2297DE9D"/>
    <w:rsid w:val="22C66433"/>
    <w:rsid w:val="22CE8E27"/>
    <w:rsid w:val="2324CA85"/>
    <w:rsid w:val="23289CDA"/>
    <w:rsid w:val="2344D58F"/>
    <w:rsid w:val="23508E7F"/>
    <w:rsid w:val="2372897C"/>
    <w:rsid w:val="23764186"/>
    <w:rsid w:val="23767457"/>
    <w:rsid w:val="237C5E0C"/>
    <w:rsid w:val="23A79244"/>
    <w:rsid w:val="23B01A24"/>
    <w:rsid w:val="23CCA61D"/>
    <w:rsid w:val="23E3A15E"/>
    <w:rsid w:val="23ED2066"/>
    <w:rsid w:val="23F7D29F"/>
    <w:rsid w:val="24037F7D"/>
    <w:rsid w:val="24311E5D"/>
    <w:rsid w:val="243BC10A"/>
    <w:rsid w:val="24409C2A"/>
    <w:rsid w:val="245C7DB0"/>
    <w:rsid w:val="248B481B"/>
    <w:rsid w:val="248EA536"/>
    <w:rsid w:val="249338BD"/>
    <w:rsid w:val="24B2F005"/>
    <w:rsid w:val="24E01C37"/>
    <w:rsid w:val="24E605D2"/>
    <w:rsid w:val="2520E329"/>
    <w:rsid w:val="25491C6B"/>
    <w:rsid w:val="2565E6C8"/>
    <w:rsid w:val="25707FAF"/>
    <w:rsid w:val="2579E464"/>
    <w:rsid w:val="259655F0"/>
    <w:rsid w:val="25B0F61B"/>
    <w:rsid w:val="25ED3333"/>
    <w:rsid w:val="260A5236"/>
    <w:rsid w:val="2619F64F"/>
    <w:rsid w:val="261C343C"/>
    <w:rsid w:val="26240EE4"/>
    <w:rsid w:val="262D90E8"/>
    <w:rsid w:val="264076C6"/>
    <w:rsid w:val="26476732"/>
    <w:rsid w:val="26680792"/>
    <w:rsid w:val="266BF3E9"/>
    <w:rsid w:val="269CA53C"/>
    <w:rsid w:val="26AB076A"/>
    <w:rsid w:val="26AB1529"/>
    <w:rsid w:val="26CCCEA2"/>
    <w:rsid w:val="26F19FAF"/>
    <w:rsid w:val="272FE39B"/>
    <w:rsid w:val="27417DB8"/>
    <w:rsid w:val="27482746"/>
    <w:rsid w:val="275CA08D"/>
    <w:rsid w:val="2769DF55"/>
    <w:rsid w:val="279FDE08"/>
    <w:rsid w:val="27A7791D"/>
    <w:rsid w:val="27C4B261"/>
    <w:rsid w:val="2856B1DC"/>
    <w:rsid w:val="28629776"/>
    <w:rsid w:val="2885B55B"/>
    <w:rsid w:val="288AE05A"/>
    <w:rsid w:val="28C094B0"/>
    <w:rsid w:val="28CEA859"/>
    <w:rsid w:val="2908BFCF"/>
    <w:rsid w:val="291589C7"/>
    <w:rsid w:val="293D6B04"/>
    <w:rsid w:val="2941F2F8"/>
    <w:rsid w:val="2947B9A4"/>
    <w:rsid w:val="2949E07E"/>
    <w:rsid w:val="294F3DEA"/>
    <w:rsid w:val="295172FA"/>
    <w:rsid w:val="295CB90A"/>
    <w:rsid w:val="295E45B2"/>
    <w:rsid w:val="2964AF78"/>
    <w:rsid w:val="29718030"/>
    <w:rsid w:val="299E8945"/>
    <w:rsid w:val="29A28554"/>
    <w:rsid w:val="29B682B2"/>
    <w:rsid w:val="29E813BB"/>
    <w:rsid w:val="29E9FE3A"/>
    <w:rsid w:val="29F263A7"/>
    <w:rsid w:val="29FC4D87"/>
    <w:rsid w:val="2A1C8D8E"/>
    <w:rsid w:val="2A2FFF07"/>
    <w:rsid w:val="2A4544F0"/>
    <w:rsid w:val="2A63884E"/>
    <w:rsid w:val="2A82D6CE"/>
    <w:rsid w:val="2A9E34D2"/>
    <w:rsid w:val="2AB5A09C"/>
    <w:rsid w:val="2ABE1437"/>
    <w:rsid w:val="2AC902C7"/>
    <w:rsid w:val="2ADDC359"/>
    <w:rsid w:val="2ADF186D"/>
    <w:rsid w:val="2AEA51B5"/>
    <w:rsid w:val="2B1A5025"/>
    <w:rsid w:val="2B2978DE"/>
    <w:rsid w:val="2B3FB5CD"/>
    <w:rsid w:val="2B4B4B57"/>
    <w:rsid w:val="2B51CBEB"/>
    <w:rsid w:val="2B60CECB"/>
    <w:rsid w:val="2B6E524D"/>
    <w:rsid w:val="2B70EF5B"/>
    <w:rsid w:val="2BB5FDE3"/>
    <w:rsid w:val="2BF4690D"/>
    <w:rsid w:val="2BF7D0CB"/>
    <w:rsid w:val="2C0252B8"/>
    <w:rsid w:val="2C05D563"/>
    <w:rsid w:val="2C285A22"/>
    <w:rsid w:val="2C393052"/>
    <w:rsid w:val="2C3EBFF8"/>
    <w:rsid w:val="2C622E9E"/>
    <w:rsid w:val="2C818140"/>
    <w:rsid w:val="2C8CD262"/>
    <w:rsid w:val="2CAE5272"/>
    <w:rsid w:val="2CBD8CC6"/>
    <w:rsid w:val="2CC97724"/>
    <w:rsid w:val="2CE6E075"/>
    <w:rsid w:val="2CE74A61"/>
    <w:rsid w:val="2CF4E551"/>
    <w:rsid w:val="2D195767"/>
    <w:rsid w:val="2D3EC26D"/>
    <w:rsid w:val="2D4088D5"/>
    <w:rsid w:val="2D528237"/>
    <w:rsid w:val="2D591BE6"/>
    <w:rsid w:val="2D5A8CBA"/>
    <w:rsid w:val="2D61A855"/>
    <w:rsid w:val="2D95FFAE"/>
    <w:rsid w:val="2DA10B60"/>
    <w:rsid w:val="2DB05465"/>
    <w:rsid w:val="2DBCD570"/>
    <w:rsid w:val="2DC52EEC"/>
    <w:rsid w:val="2E02C87E"/>
    <w:rsid w:val="2E0ABFA1"/>
    <w:rsid w:val="2E3CAAB9"/>
    <w:rsid w:val="2EBBB6B4"/>
    <w:rsid w:val="2ECC4ABB"/>
    <w:rsid w:val="2ED9C885"/>
    <w:rsid w:val="2EEF3563"/>
    <w:rsid w:val="2EF5CBC0"/>
    <w:rsid w:val="2F193E88"/>
    <w:rsid w:val="2F262341"/>
    <w:rsid w:val="2F2B0DB0"/>
    <w:rsid w:val="2F3CAD2E"/>
    <w:rsid w:val="2F4C9FD3"/>
    <w:rsid w:val="2F62962D"/>
    <w:rsid w:val="2F6383E3"/>
    <w:rsid w:val="2F6D3FD0"/>
    <w:rsid w:val="2F7F86CD"/>
    <w:rsid w:val="2F834573"/>
    <w:rsid w:val="2FA4E73B"/>
    <w:rsid w:val="2FCBC60B"/>
    <w:rsid w:val="2FCE58E8"/>
    <w:rsid w:val="2FEDA441"/>
    <w:rsid w:val="2FFB02B4"/>
    <w:rsid w:val="2FFE092D"/>
    <w:rsid w:val="30086ACD"/>
    <w:rsid w:val="300A3EF4"/>
    <w:rsid w:val="300EC3C1"/>
    <w:rsid w:val="301A0A4B"/>
    <w:rsid w:val="30479F45"/>
    <w:rsid w:val="3060623E"/>
    <w:rsid w:val="306AC5BD"/>
    <w:rsid w:val="307370FE"/>
    <w:rsid w:val="309A52F5"/>
    <w:rsid w:val="309C3D74"/>
    <w:rsid w:val="30B0CE26"/>
    <w:rsid w:val="30B33256"/>
    <w:rsid w:val="30C81AC0"/>
    <w:rsid w:val="30CBD966"/>
    <w:rsid w:val="30EFCDA8"/>
    <w:rsid w:val="31149993"/>
    <w:rsid w:val="311A1DA6"/>
    <w:rsid w:val="31243314"/>
    <w:rsid w:val="3147F009"/>
    <w:rsid w:val="3154F263"/>
    <w:rsid w:val="316991D1"/>
    <w:rsid w:val="318941D1"/>
    <w:rsid w:val="318B4C7F"/>
    <w:rsid w:val="31E999EB"/>
    <w:rsid w:val="32BFAF2A"/>
    <w:rsid w:val="32D4C215"/>
    <w:rsid w:val="32EED9B0"/>
    <w:rsid w:val="32F6DEEB"/>
    <w:rsid w:val="33193757"/>
    <w:rsid w:val="331EF6A7"/>
    <w:rsid w:val="332C356F"/>
    <w:rsid w:val="3334879C"/>
    <w:rsid w:val="33661BCC"/>
    <w:rsid w:val="337B1FE1"/>
    <w:rsid w:val="338FBF2A"/>
    <w:rsid w:val="339C34C9"/>
    <w:rsid w:val="33AE6898"/>
    <w:rsid w:val="344342F1"/>
    <w:rsid w:val="346336A8"/>
    <w:rsid w:val="3469F53E"/>
    <w:rsid w:val="349195EB"/>
    <w:rsid w:val="3496F2C0"/>
    <w:rsid w:val="34A60288"/>
    <w:rsid w:val="34C77D12"/>
    <w:rsid w:val="34F414F2"/>
    <w:rsid w:val="35045912"/>
    <w:rsid w:val="35102E28"/>
    <w:rsid w:val="35105C9D"/>
    <w:rsid w:val="3534CEEF"/>
    <w:rsid w:val="354CA171"/>
    <w:rsid w:val="355A130A"/>
    <w:rsid w:val="356B86BE"/>
    <w:rsid w:val="3577A369"/>
    <w:rsid w:val="35D4BE4F"/>
    <w:rsid w:val="35E01D30"/>
    <w:rsid w:val="361CC6DE"/>
    <w:rsid w:val="362C6A2D"/>
    <w:rsid w:val="363D6474"/>
    <w:rsid w:val="364D7F15"/>
    <w:rsid w:val="3650AA53"/>
    <w:rsid w:val="368DED15"/>
    <w:rsid w:val="369C57A6"/>
    <w:rsid w:val="36F9DC0C"/>
    <w:rsid w:val="3703F714"/>
    <w:rsid w:val="371ECB5F"/>
    <w:rsid w:val="372E1366"/>
    <w:rsid w:val="37402BC0"/>
    <w:rsid w:val="37BD4E13"/>
    <w:rsid w:val="37C41E0E"/>
    <w:rsid w:val="37CE1E4E"/>
    <w:rsid w:val="37EC1102"/>
    <w:rsid w:val="381D944C"/>
    <w:rsid w:val="3865C028"/>
    <w:rsid w:val="389BCE8D"/>
    <w:rsid w:val="38ACFC50"/>
    <w:rsid w:val="38CA8A55"/>
    <w:rsid w:val="38CBA4C1"/>
    <w:rsid w:val="38CBD370"/>
    <w:rsid w:val="38F5CA13"/>
    <w:rsid w:val="3926859C"/>
    <w:rsid w:val="395F31A8"/>
    <w:rsid w:val="3984BA35"/>
    <w:rsid w:val="39E1167B"/>
    <w:rsid w:val="3A07ABB7"/>
    <w:rsid w:val="3A18FD16"/>
    <w:rsid w:val="3A48D9C5"/>
    <w:rsid w:val="3A50C74B"/>
    <w:rsid w:val="3A5FFF0E"/>
    <w:rsid w:val="3A610FEB"/>
    <w:rsid w:val="3A98B850"/>
    <w:rsid w:val="3AA34F9B"/>
    <w:rsid w:val="3AE90314"/>
    <w:rsid w:val="3AF0013F"/>
    <w:rsid w:val="3AF973A2"/>
    <w:rsid w:val="3B80C9D3"/>
    <w:rsid w:val="3B8AB693"/>
    <w:rsid w:val="3B8BE583"/>
    <w:rsid w:val="3BAC311D"/>
    <w:rsid w:val="3BBFA19B"/>
    <w:rsid w:val="3BCE81B9"/>
    <w:rsid w:val="3BD36F4F"/>
    <w:rsid w:val="3BF062C1"/>
    <w:rsid w:val="3BF44D9F"/>
    <w:rsid w:val="3C373371"/>
    <w:rsid w:val="3C379818"/>
    <w:rsid w:val="3C74C9BA"/>
    <w:rsid w:val="3CA25EB4"/>
    <w:rsid w:val="3CA42FB4"/>
    <w:rsid w:val="3CC7DEEA"/>
    <w:rsid w:val="3CE00B28"/>
    <w:rsid w:val="3CF88D53"/>
    <w:rsid w:val="3D1934FB"/>
    <w:rsid w:val="3D2A1DD6"/>
    <w:rsid w:val="3D31A640"/>
    <w:rsid w:val="3D6A521A"/>
    <w:rsid w:val="3D6F3FB0"/>
    <w:rsid w:val="3D8906F6"/>
    <w:rsid w:val="3D99A2E4"/>
    <w:rsid w:val="3DB53EA3"/>
    <w:rsid w:val="3DBD534A"/>
    <w:rsid w:val="3DDB156F"/>
    <w:rsid w:val="3DF07F3E"/>
    <w:rsid w:val="3DFB847F"/>
    <w:rsid w:val="3E02C022"/>
    <w:rsid w:val="3E28975C"/>
    <w:rsid w:val="3E294A19"/>
    <w:rsid w:val="3E3409BC"/>
    <w:rsid w:val="3E4DE55A"/>
    <w:rsid w:val="3E4EDE07"/>
    <w:rsid w:val="3EA3D31E"/>
    <w:rsid w:val="3EF9D53A"/>
    <w:rsid w:val="3F00F4C2"/>
    <w:rsid w:val="3F0BEF8A"/>
    <w:rsid w:val="3F186504"/>
    <w:rsid w:val="3F24386E"/>
    <w:rsid w:val="3F2A41EB"/>
    <w:rsid w:val="3F41C62B"/>
    <w:rsid w:val="3F6F89F9"/>
    <w:rsid w:val="3F7F24CB"/>
    <w:rsid w:val="3FAE5F93"/>
    <w:rsid w:val="3FE2C0E2"/>
    <w:rsid w:val="3FEAD27F"/>
    <w:rsid w:val="3FF25A63"/>
    <w:rsid w:val="4004D1E9"/>
    <w:rsid w:val="4006789C"/>
    <w:rsid w:val="4015DAEA"/>
    <w:rsid w:val="402D3CDF"/>
    <w:rsid w:val="403FE40F"/>
    <w:rsid w:val="4062A5BA"/>
    <w:rsid w:val="40883E9A"/>
    <w:rsid w:val="409FC8C8"/>
    <w:rsid w:val="40A31EA5"/>
    <w:rsid w:val="40A9E062"/>
    <w:rsid w:val="40AA3A7A"/>
    <w:rsid w:val="40EF0718"/>
    <w:rsid w:val="40F62A49"/>
    <w:rsid w:val="4111ED3E"/>
    <w:rsid w:val="41608391"/>
    <w:rsid w:val="41622961"/>
    <w:rsid w:val="416C08DC"/>
    <w:rsid w:val="41708272"/>
    <w:rsid w:val="41967CF1"/>
    <w:rsid w:val="41A5CD49"/>
    <w:rsid w:val="41C917D8"/>
    <w:rsid w:val="41DEEEE9"/>
    <w:rsid w:val="41E16BBB"/>
    <w:rsid w:val="41EF7EFD"/>
    <w:rsid w:val="42097B40"/>
    <w:rsid w:val="422B76BB"/>
    <w:rsid w:val="42351883"/>
    <w:rsid w:val="424E3543"/>
    <w:rsid w:val="425E8930"/>
    <w:rsid w:val="42704E39"/>
    <w:rsid w:val="42829FE5"/>
    <w:rsid w:val="42846BE9"/>
    <w:rsid w:val="42A01C01"/>
    <w:rsid w:val="42C62917"/>
    <w:rsid w:val="42CA1993"/>
    <w:rsid w:val="42D3FC30"/>
    <w:rsid w:val="42D65915"/>
    <w:rsid w:val="42EDBB0A"/>
    <w:rsid w:val="432184E1"/>
    <w:rsid w:val="432A929D"/>
    <w:rsid w:val="433A6CAE"/>
    <w:rsid w:val="43611368"/>
    <w:rsid w:val="43A4B429"/>
    <w:rsid w:val="43B40801"/>
    <w:rsid w:val="43E18124"/>
    <w:rsid w:val="43EC6A78"/>
    <w:rsid w:val="44031879"/>
    <w:rsid w:val="443C4671"/>
    <w:rsid w:val="447AAE74"/>
    <w:rsid w:val="447DB090"/>
    <w:rsid w:val="448BC439"/>
    <w:rsid w:val="44A15F95"/>
    <w:rsid w:val="44A38AD5"/>
    <w:rsid w:val="44AEDCF2"/>
    <w:rsid w:val="44B250B9"/>
    <w:rsid w:val="44C07949"/>
    <w:rsid w:val="44C727CC"/>
    <w:rsid w:val="44F4194A"/>
    <w:rsid w:val="4547FEAF"/>
    <w:rsid w:val="45581950"/>
    <w:rsid w:val="457563FF"/>
    <w:rsid w:val="45802ECB"/>
    <w:rsid w:val="459197BC"/>
    <w:rsid w:val="45B8D2EA"/>
    <w:rsid w:val="45D4FA3C"/>
    <w:rsid w:val="45D615B6"/>
    <w:rsid w:val="45D6833B"/>
    <w:rsid w:val="45DABBB8"/>
    <w:rsid w:val="45E41A87"/>
    <w:rsid w:val="45F3A6AC"/>
    <w:rsid w:val="45F89BB3"/>
    <w:rsid w:val="4617BB84"/>
    <w:rsid w:val="46213BA6"/>
    <w:rsid w:val="4638EB20"/>
    <w:rsid w:val="463E8750"/>
    <w:rsid w:val="465049F1"/>
    <w:rsid w:val="46711478"/>
    <w:rsid w:val="4673A107"/>
    <w:rsid w:val="46777804"/>
    <w:rsid w:val="46B1332A"/>
    <w:rsid w:val="46C4E537"/>
    <w:rsid w:val="46EA9B7F"/>
    <w:rsid w:val="470516C9"/>
    <w:rsid w:val="471D5F41"/>
    <w:rsid w:val="47295D77"/>
    <w:rsid w:val="475DF09C"/>
    <w:rsid w:val="4765AA5B"/>
    <w:rsid w:val="47C1F676"/>
    <w:rsid w:val="47D70B17"/>
    <w:rsid w:val="47DA57B1"/>
    <w:rsid w:val="48208828"/>
    <w:rsid w:val="48342B77"/>
    <w:rsid w:val="485F6291"/>
    <w:rsid w:val="4860A5A4"/>
    <w:rsid w:val="48CB3E55"/>
    <w:rsid w:val="48ED5F7B"/>
    <w:rsid w:val="4911A7EF"/>
    <w:rsid w:val="495841C9"/>
    <w:rsid w:val="4997522A"/>
    <w:rsid w:val="49CDC20F"/>
    <w:rsid w:val="49DCBF75"/>
    <w:rsid w:val="49E46875"/>
    <w:rsid w:val="49E685C5"/>
    <w:rsid w:val="4A0BD319"/>
    <w:rsid w:val="4A2FDC5D"/>
    <w:rsid w:val="4A3C87E1"/>
    <w:rsid w:val="4A4808AD"/>
    <w:rsid w:val="4A4A18C7"/>
    <w:rsid w:val="4A7546BF"/>
    <w:rsid w:val="4A83BF0F"/>
    <w:rsid w:val="4A99B5A6"/>
    <w:rsid w:val="4A9B493D"/>
    <w:rsid w:val="4AB90EBE"/>
    <w:rsid w:val="4B087198"/>
    <w:rsid w:val="4B093E78"/>
    <w:rsid w:val="4B0F0EAE"/>
    <w:rsid w:val="4B149D59"/>
    <w:rsid w:val="4B1AE6EE"/>
    <w:rsid w:val="4B2A885B"/>
    <w:rsid w:val="4B482DDD"/>
    <w:rsid w:val="4B767B4B"/>
    <w:rsid w:val="4BAACDE0"/>
    <w:rsid w:val="4BCEA228"/>
    <w:rsid w:val="4BE7330D"/>
    <w:rsid w:val="4BE99319"/>
    <w:rsid w:val="4BF22D47"/>
    <w:rsid w:val="4C0726C4"/>
    <w:rsid w:val="4C0E5C32"/>
    <w:rsid w:val="4C2155D8"/>
    <w:rsid w:val="4C29994B"/>
    <w:rsid w:val="4C37ABD8"/>
    <w:rsid w:val="4C6C31E3"/>
    <w:rsid w:val="4C7E2FCB"/>
    <w:rsid w:val="4CCDFE95"/>
    <w:rsid w:val="4CDEF114"/>
    <w:rsid w:val="4CEB744D"/>
    <w:rsid w:val="4D1264B3"/>
    <w:rsid w:val="4D29C8A4"/>
    <w:rsid w:val="4D52791C"/>
    <w:rsid w:val="4D6E5E54"/>
    <w:rsid w:val="4D88636A"/>
    <w:rsid w:val="4D8D5B98"/>
    <w:rsid w:val="4DAE7B18"/>
    <w:rsid w:val="4DB82AE4"/>
    <w:rsid w:val="4DF925C4"/>
    <w:rsid w:val="4E2BC0AB"/>
    <w:rsid w:val="4E3DC5CB"/>
    <w:rsid w:val="4ECD05E6"/>
    <w:rsid w:val="4ECD69D0"/>
    <w:rsid w:val="4ECEA415"/>
    <w:rsid w:val="4F03F3C4"/>
    <w:rsid w:val="4F16EE9A"/>
    <w:rsid w:val="4F2E2427"/>
    <w:rsid w:val="4F5D9BA3"/>
    <w:rsid w:val="4F634A1B"/>
    <w:rsid w:val="4F65076D"/>
    <w:rsid w:val="4F681545"/>
    <w:rsid w:val="4F7AA2FA"/>
    <w:rsid w:val="500693AE"/>
    <w:rsid w:val="502F307A"/>
    <w:rsid w:val="505E2735"/>
    <w:rsid w:val="5062EC92"/>
    <w:rsid w:val="50694586"/>
    <w:rsid w:val="5069DCFE"/>
    <w:rsid w:val="5092A108"/>
    <w:rsid w:val="50956BFB"/>
    <w:rsid w:val="50983C41"/>
    <w:rsid w:val="509DFDBD"/>
    <w:rsid w:val="50D21E7C"/>
    <w:rsid w:val="50D869B1"/>
    <w:rsid w:val="50DA296B"/>
    <w:rsid w:val="50DC81B0"/>
    <w:rsid w:val="50FABB48"/>
    <w:rsid w:val="51079569"/>
    <w:rsid w:val="5115DBE3"/>
    <w:rsid w:val="5139C4DA"/>
    <w:rsid w:val="515109B4"/>
    <w:rsid w:val="515A3B5A"/>
    <w:rsid w:val="515AA001"/>
    <w:rsid w:val="515F6332"/>
    <w:rsid w:val="516227E5"/>
    <w:rsid w:val="51AE0F40"/>
    <w:rsid w:val="51B09807"/>
    <w:rsid w:val="51CEBF81"/>
    <w:rsid w:val="51F044A3"/>
    <w:rsid w:val="51FD974B"/>
    <w:rsid w:val="5237F4DE"/>
    <w:rsid w:val="523BF92D"/>
    <w:rsid w:val="52414114"/>
    <w:rsid w:val="5242AC30"/>
    <w:rsid w:val="52585350"/>
    <w:rsid w:val="525F9DCB"/>
    <w:rsid w:val="527CC13C"/>
    <w:rsid w:val="52C56F54"/>
    <w:rsid w:val="52C96FB9"/>
    <w:rsid w:val="53114C10"/>
    <w:rsid w:val="5314B2B8"/>
    <w:rsid w:val="532499AD"/>
    <w:rsid w:val="53349236"/>
    <w:rsid w:val="535F0158"/>
    <w:rsid w:val="5372ECA7"/>
    <w:rsid w:val="539140FB"/>
    <w:rsid w:val="5397C035"/>
    <w:rsid w:val="53B8E949"/>
    <w:rsid w:val="53E36A27"/>
    <w:rsid w:val="5414912A"/>
    <w:rsid w:val="541B71B0"/>
    <w:rsid w:val="543C6E5C"/>
    <w:rsid w:val="544BB634"/>
    <w:rsid w:val="544D797E"/>
    <w:rsid w:val="546F3BE4"/>
    <w:rsid w:val="548DDCE6"/>
    <w:rsid w:val="549709D9"/>
    <w:rsid w:val="54C92409"/>
    <w:rsid w:val="54D23F84"/>
    <w:rsid w:val="54D7FED4"/>
    <w:rsid w:val="54E07A6B"/>
    <w:rsid w:val="54F9A2C8"/>
    <w:rsid w:val="550E17D1"/>
    <w:rsid w:val="551419DD"/>
    <w:rsid w:val="552E9046"/>
    <w:rsid w:val="55312F8F"/>
    <w:rsid w:val="553D80F2"/>
    <w:rsid w:val="554DBFAA"/>
    <w:rsid w:val="557F3A88"/>
    <w:rsid w:val="5587FBF4"/>
    <w:rsid w:val="558E8492"/>
    <w:rsid w:val="5592F5C7"/>
    <w:rsid w:val="559FCE23"/>
    <w:rsid w:val="55A5B174"/>
    <w:rsid w:val="5601C807"/>
    <w:rsid w:val="560EEDF8"/>
    <w:rsid w:val="563833E9"/>
    <w:rsid w:val="5638BD0F"/>
    <w:rsid w:val="5674746C"/>
    <w:rsid w:val="567A2B50"/>
    <w:rsid w:val="567C4ACC"/>
    <w:rsid w:val="567F4ABC"/>
    <w:rsid w:val="568C0837"/>
    <w:rsid w:val="569E2C2F"/>
    <w:rsid w:val="56B3DBB5"/>
    <w:rsid w:val="56CAC6C7"/>
    <w:rsid w:val="56D1C96F"/>
    <w:rsid w:val="5729C0A2"/>
    <w:rsid w:val="57555263"/>
    <w:rsid w:val="57663067"/>
    <w:rsid w:val="576C7776"/>
    <w:rsid w:val="577CCB3A"/>
    <w:rsid w:val="57A5A56F"/>
    <w:rsid w:val="57A73906"/>
    <w:rsid w:val="57CBB998"/>
    <w:rsid w:val="57F999FB"/>
    <w:rsid w:val="58017872"/>
    <w:rsid w:val="5822171C"/>
    <w:rsid w:val="58411A0E"/>
    <w:rsid w:val="58449799"/>
    <w:rsid w:val="585B5747"/>
    <w:rsid w:val="585CCC19"/>
    <w:rsid w:val="58B2F566"/>
    <w:rsid w:val="58BBAC3A"/>
    <w:rsid w:val="58C5F6A5"/>
    <w:rsid w:val="58C8865B"/>
    <w:rsid w:val="590E34E4"/>
    <w:rsid w:val="593ECDC3"/>
    <w:rsid w:val="596C3DAB"/>
    <w:rsid w:val="5977C19E"/>
    <w:rsid w:val="599D6843"/>
    <w:rsid w:val="59A441E7"/>
    <w:rsid w:val="59E308B4"/>
    <w:rsid w:val="59E3B403"/>
    <w:rsid w:val="5A30A53C"/>
    <w:rsid w:val="5A38F769"/>
    <w:rsid w:val="5A600DAA"/>
    <w:rsid w:val="5A7A7BAD"/>
    <w:rsid w:val="5AAA91E8"/>
    <w:rsid w:val="5AC00513"/>
    <w:rsid w:val="5AC18386"/>
    <w:rsid w:val="5B00EACF"/>
    <w:rsid w:val="5B0D8C75"/>
    <w:rsid w:val="5B30E841"/>
    <w:rsid w:val="5B4FBBEF"/>
    <w:rsid w:val="5B57A975"/>
    <w:rsid w:val="5B916472"/>
    <w:rsid w:val="5B97E7F7"/>
    <w:rsid w:val="5B98EC56"/>
    <w:rsid w:val="5B9E3B6C"/>
    <w:rsid w:val="5BEA7BAF"/>
    <w:rsid w:val="5BEF959A"/>
    <w:rsid w:val="5C34AC83"/>
    <w:rsid w:val="5C4564C6"/>
    <w:rsid w:val="5C6D8F78"/>
    <w:rsid w:val="5C9C5689"/>
    <w:rsid w:val="5CBEC910"/>
    <w:rsid w:val="5CC4349F"/>
    <w:rsid w:val="5CC996E8"/>
    <w:rsid w:val="5CD24848"/>
    <w:rsid w:val="5CE637E7"/>
    <w:rsid w:val="5CEB8C50"/>
    <w:rsid w:val="5D0EE272"/>
    <w:rsid w:val="5D2285C1"/>
    <w:rsid w:val="5D3885F5"/>
    <w:rsid w:val="5D3A41C5"/>
    <w:rsid w:val="5D529CB2"/>
    <w:rsid w:val="5D627677"/>
    <w:rsid w:val="5D763AB0"/>
    <w:rsid w:val="5DAE589A"/>
    <w:rsid w:val="5DB21BD6"/>
    <w:rsid w:val="5DBF0F3C"/>
    <w:rsid w:val="5DD38C45"/>
    <w:rsid w:val="5DF178B5"/>
    <w:rsid w:val="5E11176D"/>
    <w:rsid w:val="5E190A40"/>
    <w:rsid w:val="5E2322D5"/>
    <w:rsid w:val="5E2948F8"/>
    <w:rsid w:val="5EA08C7F"/>
    <w:rsid w:val="5EAF019F"/>
    <w:rsid w:val="5EC07372"/>
    <w:rsid w:val="5EE9F2DE"/>
    <w:rsid w:val="5F1915AF"/>
    <w:rsid w:val="5F3FB143"/>
    <w:rsid w:val="5F413D69"/>
    <w:rsid w:val="5F52EFEB"/>
    <w:rsid w:val="5F84E8C2"/>
    <w:rsid w:val="5F85B451"/>
    <w:rsid w:val="5F8BA2C7"/>
    <w:rsid w:val="5FB73881"/>
    <w:rsid w:val="5FC97B0A"/>
    <w:rsid w:val="5FE82453"/>
    <w:rsid w:val="5FED684C"/>
    <w:rsid w:val="5FFF5377"/>
    <w:rsid w:val="6005693E"/>
    <w:rsid w:val="607D667A"/>
    <w:rsid w:val="607D7D76"/>
    <w:rsid w:val="60838C9D"/>
    <w:rsid w:val="609AC754"/>
    <w:rsid w:val="60E69658"/>
    <w:rsid w:val="610A785F"/>
    <w:rsid w:val="612A6C16"/>
    <w:rsid w:val="616311A2"/>
    <w:rsid w:val="618F7BCE"/>
    <w:rsid w:val="619C947F"/>
    <w:rsid w:val="619CEA40"/>
    <w:rsid w:val="61BEA138"/>
    <w:rsid w:val="61BFAB16"/>
    <w:rsid w:val="61DF89F7"/>
    <w:rsid w:val="61F6B3DA"/>
    <w:rsid w:val="62306880"/>
    <w:rsid w:val="623EAC79"/>
    <w:rsid w:val="623FB009"/>
    <w:rsid w:val="6279F075"/>
    <w:rsid w:val="627F0CBA"/>
    <w:rsid w:val="629FFC90"/>
    <w:rsid w:val="62AA32EE"/>
    <w:rsid w:val="62E82640"/>
    <w:rsid w:val="62F2F3BF"/>
    <w:rsid w:val="630516E0"/>
    <w:rsid w:val="6309C3E6"/>
    <w:rsid w:val="63310DAB"/>
    <w:rsid w:val="6342EA92"/>
    <w:rsid w:val="634BDD24"/>
    <w:rsid w:val="6374BE50"/>
    <w:rsid w:val="63E9CA0B"/>
    <w:rsid w:val="6416E0EC"/>
    <w:rsid w:val="6417E8BE"/>
    <w:rsid w:val="642D54A1"/>
    <w:rsid w:val="644355D0"/>
    <w:rsid w:val="6445F01E"/>
    <w:rsid w:val="644B3533"/>
    <w:rsid w:val="645ED765"/>
    <w:rsid w:val="645FF86E"/>
    <w:rsid w:val="64653622"/>
    <w:rsid w:val="64BE32EB"/>
    <w:rsid w:val="64E7D93C"/>
    <w:rsid w:val="64ED50E4"/>
    <w:rsid w:val="64F61CE8"/>
    <w:rsid w:val="64F69E35"/>
    <w:rsid w:val="64F7D591"/>
    <w:rsid w:val="650F04B5"/>
    <w:rsid w:val="65299B97"/>
    <w:rsid w:val="656DC83D"/>
    <w:rsid w:val="65734A24"/>
    <w:rsid w:val="658A1F39"/>
    <w:rsid w:val="65A66EC4"/>
    <w:rsid w:val="65A713FB"/>
    <w:rsid w:val="65ABF863"/>
    <w:rsid w:val="65B41DC6"/>
    <w:rsid w:val="65DAA856"/>
    <w:rsid w:val="65F35FFD"/>
    <w:rsid w:val="66080EC1"/>
    <w:rsid w:val="6614027F"/>
    <w:rsid w:val="663158C1"/>
    <w:rsid w:val="66373925"/>
    <w:rsid w:val="667D1C05"/>
    <w:rsid w:val="6681EBD4"/>
    <w:rsid w:val="669252EB"/>
    <w:rsid w:val="669306B1"/>
    <w:rsid w:val="669A5C1C"/>
    <w:rsid w:val="66B78B20"/>
    <w:rsid w:val="66C7D470"/>
    <w:rsid w:val="66D9DAF3"/>
    <w:rsid w:val="66DD00BE"/>
    <w:rsid w:val="66FBC25E"/>
    <w:rsid w:val="6721C7E8"/>
    <w:rsid w:val="6724B612"/>
    <w:rsid w:val="67355A6C"/>
    <w:rsid w:val="675ECE45"/>
    <w:rsid w:val="67A2C5EE"/>
    <w:rsid w:val="67C9D24A"/>
    <w:rsid w:val="67CC07F1"/>
    <w:rsid w:val="67DAE5E3"/>
    <w:rsid w:val="67E9B51B"/>
    <w:rsid w:val="67F55C59"/>
    <w:rsid w:val="680149E1"/>
    <w:rsid w:val="6813B6CF"/>
    <w:rsid w:val="68423407"/>
    <w:rsid w:val="684687C7"/>
    <w:rsid w:val="684CFE6B"/>
    <w:rsid w:val="6859E41F"/>
    <w:rsid w:val="686541F3"/>
    <w:rsid w:val="68ABAF06"/>
    <w:rsid w:val="68C97018"/>
    <w:rsid w:val="68CCFDF4"/>
    <w:rsid w:val="690B88D2"/>
    <w:rsid w:val="690BBB71"/>
    <w:rsid w:val="692B790F"/>
    <w:rsid w:val="6939DB51"/>
    <w:rsid w:val="693A3599"/>
    <w:rsid w:val="693F6E57"/>
    <w:rsid w:val="695338E4"/>
    <w:rsid w:val="696AFF80"/>
    <w:rsid w:val="6974268E"/>
    <w:rsid w:val="6982F8ED"/>
    <w:rsid w:val="698BC77D"/>
    <w:rsid w:val="69C63E12"/>
    <w:rsid w:val="69CDE102"/>
    <w:rsid w:val="69D10A91"/>
    <w:rsid w:val="69DBEA13"/>
    <w:rsid w:val="69F325DD"/>
    <w:rsid w:val="6A06659E"/>
    <w:rsid w:val="6A2AAC4C"/>
    <w:rsid w:val="6A2E6AF2"/>
    <w:rsid w:val="6A352E5E"/>
    <w:rsid w:val="6A3746D8"/>
    <w:rsid w:val="6A569558"/>
    <w:rsid w:val="6A5C8CCC"/>
    <w:rsid w:val="6A6FD60C"/>
    <w:rsid w:val="6A7B86E9"/>
    <w:rsid w:val="6A95D52A"/>
    <w:rsid w:val="6AAE247B"/>
    <w:rsid w:val="6AC63494"/>
    <w:rsid w:val="6ACA4714"/>
    <w:rsid w:val="6B54A4E2"/>
    <w:rsid w:val="6B85AA06"/>
    <w:rsid w:val="6B95755D"/>
    <w:rsid w:val="6BA22B67"/>
    <w:rsid w:val="6BA4EAC7"/>
    <w:rsid w:val="6BBA8E11"/>
    <w:rsid w:val="6BC8C72B"/>
    <w:rsid w:val="6BE9918D"/>
    <w:rsid w:val="6C079FC6"/>
    <w:rsid w:val="6C0EBFDC"/>
    <w:rsid w:val="6C1309E1"/>
    <w:rsid w:val="6C4019E2"/>
    <w:rsid w:val="6CD6BDDA"/>
    <w:rsid w:val="6CE5D53C"/>
    <w:rsid w:val="6CF07543"/>
    <w:rsid w:val="6CFF9B36"/>
    <w:rsid w:val="6D75B2F4"/>
    <w:rsid w:val="6DC44E5B"/>
    <w:rsid w:val="6DCC1464"/>
    <w:rsid w:val="6DD1910F"/>
    <w:rsid w:val="6DD3D240"/>
    <w:rsid w:val="6DE04F2B"/>
    <w:rsid w:val="6E1AF43E"/>
    <w:rsid w:val="6E3BDE1F"/>
    <w:rsid w:val="6E4EE22C"/>
    <w:rsid w:val="6E77F40C"/>
    <w:rsid w:val="6E7FFFD4"/>
    <w:rsid w:val="6E82F853"/>
    <w:rsid w:val="6E8A57FE"/>
    <w:rsid w:val="6E95080B"/>
    <w:rsid w:val="6EB0CAB6"/>
    <w:rsid w:val="6EDD9567"/>
    <w:rsid w:val="6EE4136D"/>
    <w:rsid w:val="6EFB4291"/>
    <w:rsid w:val="6F1143C0"/>
    <w:rsid w:val="6F23712E"/>
    <w:rsid w:val="6F475CBD"/>
    <w:rsid w:val="6F52DA31"/>
    <w:rsid w:val="6F55A563"/>
    <w:rsid w:val="6F79ED0C"/>
    <w:rsid w:val="6F85F533"/>
    <w:rsid w:val="6FC69A8E"/>
    <w:rsid w:val="6FF0ECFE"/>
    <w:rsid w:val="6FF91E1C"/>
    <w:rsid w:val="6FFA59CD"/>
    <w:rsid w:val="7011BBC2"/>
    <w:rsid w:val="7030038B"/>
    <w:rsid w:val="7063BF71"/>
    <w:rsid w:val="706EA8F7"/>
    <w:rsid w:val="70834B8C"/>
    <w:rsid w:val="70A29A0C"/>
    <w:rsid w:val="70B1DCA5"/>
    <w:rsid w:val="70D987EA"/>
    <w:rsid w:val="7135A03E"/>
    <w:rsid w:val="714A803C"/>
    <w:rsid w:val="71AA5736"/>
    <w:rsid w:val="71CB470C"/>
    <w:rsid w:val="71F087AD"/>
    <w:rsid w:val="72406E3E"/>
    <w:rsid w:val="724F756E"/>
    <w:rsid w:val="72587324"/>
    <w:rsid w:val="7258F069"/>
    <w:rsid w:val="725E8DCE"/>
    <w:rsid w:val="726F5ED8"/>
    <w:rsid w:val="727AB19E"/>
    <w:rsid w:val="7284363D"/>
    <w:rsid w:val="72C1D71E"/>
    <w:rsid w:val="72DB3151"/>
    <w:rsid w:val="7303740E"/>
    <w:rsid w:val="730F6D6B"/>
    <w:rsid w:val="735DFBF2"/>
    <w:rsid w:val="73678F57"/>
    <w:rsid w:val="7375FFF7"/>
    <w:rsid w:val="737A85BF"/>
    <w:rsid w:val="739A46A5"/>
    <w:rsid w:val="73D8A4B3"/>
    <w:rsid w:val="7400854D"/>
    <w:rsid w:val="74151A23"/>
    <w:rsid w:val="741B0A06"/>
    <w:rsid w:val="74204DB4"/>
    <w:rsid w:val="743D1F77"/>
    <w:rsid w:val="744BBAE7"/>
    <w:rsid w:val="7464B491"/>
    <w:rsid w:val="749C7429"/>
    <w:rsid w:val="74BD675E"/>
    <w:rsid w:val="74C21E91"/>
    <w:rsid w:val="74CA315C"/>
    <w:rsid w:val="74E68A84"/>
    <w:rsid w:val="74F239D7"/>
    <w:rsid w:val="75185185"/>
    <w:rsid w:val="7539C7ED"/>
    <w:rsid w:val="754D7ABC"/>
    <w:rsid w:val="756B5C1D"/>
    <w:rsid w:val="7584C0E8"/>
    <w:rsid w:val="75B436F1"/>
    <w:rsid w:val="75E473CB"/>
    <w:rsid w:val="760D4CCD"/>
    <w:rsid w:val="761FDBDE"/>
    <w:rsid w:val="762A3EA0"/>
    <w:rsid w:val="763E0A28"/>
    <w:rsid w:val="765E0C4B"/>
    <w:rsid w:val="766F2E7A"/>
    <w:rsid w:val="769692CC"/>
    <w:rsid w:val="769F450F"/>
    <w:rsid w:val="76BF613B"/>
    <w:rsid w:val="76DB35B3"/>
    <w:rsid w:val="77039C49"/>
    <w:rsid w:val="77171127"/>
    <w:rsid w:val="771F25EB"/>
    <w:rsid w:val="77205F73"/>
    <w:rsid w:val="776CDE46"/>
    <w:rsid w:val="7778542E"/>
    <w:rsid w:val="779EC863"/>
    <w:rsid w:val="77A7EF71"/>
    <w:rsid w:val="77BAAF36"/>
    <w:rsid w:val="77E09824"/>
    <w:rsid w:val="78187789"/>
    <w:rsid w:val="781F2860"/>
    <w:rsid w:val="7835DB1A"/>
    <w:rsid w:val="78376162"/>
    <w:rsid w:val="7845DAAD"/>
    <w:rsid w:val="787D5470"/>
    <w:rsid w:val="78A03A58"/>
    <w:rsid w:val="7905A0F8"/>
    <w:rsid w:val="79266465"/>
    <w:rsid w:val="7931909E"/>
    <w:rsid w:val="793A265E"/>
    <w:rsid w:val="79480736"/>
    <w:rsid w:val="79F062AA"/>
    <w:rsid w:val="79FD0817"/>
    <w:rsid w:val="7A1BBCF3"/>
    <w:rsid w:val="7A4F709F"/>
    <w:rsid w:val="7A57282D"/>
    <w:rsid w:val="7A5A4B4E"/>
    <w:rsid w:val="7A639DA7"/>
    <w:rsid w:val="7A71F1E0"/>
    <w:rsid w:val="7A787DA5"/>
    <w:rsid w:val="7A7FCA1D"/>
    <w:rsid w:val="7AA482D3"/>
    <w:rsid w:val="7AA5ACFD"/>
    <w:rsid w:val="7AD4C4AF"/>
    <w:rsid w:val="7ADBE39B"/>
    <w:rsid w:val="7ADFB771"/>
    <w:rsid w:val="7B014C67"/>
    <w:rsid w:val="7B07B99E"/>
    <w:rsid w:val="7B1365CA"/>
    <w:rsid w:val="7B1C2A5D"/>
    <w:rsid w:val="7B2D6534"/>
    <w:rsid w:val="7B3779A7"/>
    <w:rsid w:val="7B5C6687"/>
    <w:rsid w:val="7B6D6E8D"/>
    <w:rsid w:val="7BB0F16A"/>
    <w:rsid w:val="7BF4FE8B"/>
    <w:rsid w:val="7BF80D2F"/>
    <w:rsid w:val="7BFBCDA8"/>
    <w:rsid w:val="7C02F4D1"/>
    <w:rsid w:val="7C0DF417"/>
    <w:rsid w:val="7C14E57E"/>
    <w:rsid w:val="7C356531"/>
    <w:rsid w:val="7C5060D4"/>
    <w:rsid w:val="7C618B8F"/>
    <w:rsid w:val="7C7E231B"/>
    <w:rsid w:val="7CAF7394"/>
    <w:rsid w:val="7CCD614E"/>
    <w:rsid w:val="7CE00AAA"/>
    <w:rsid w:val="7CFD4BBC"/>
    <w:rsid w:val="7D3BC17E"/>
    <w:rsid w:val="7D4F570E"/>
    <w:rsid w:val="7D53146D"/>
    <w:rsid w:val="7D61FD43"/>
    <w:rsid w:val="7D67FEDE"/>
    <w:rsid w:val="7D8ED6AE"/>
    <w:rsid w:val="7D8F097F"/>
    <w:rsid w:val="7DA69EB1"/>
    <w:rsid w:val="7DA78BAA"/>
    <w:rsid w:val="7DB0427E"/>
    <w:rsid w:val="7DE470FC"/>
    <w:rsid w:val="7DE6B943"/>
    <w:rsid w:val="7E0058B9"/>
    <w:rsid w:val="7E12D03F"/>
    <w:rsid w:val="7E2CB42B"/>
    <w:rsid w:val="7E3E9ED1"/>
    <w:rsid w:val="7E4161D0"/>
    <w:rsid w:val="7E6E91AB"/>
    <w:rsid w:val="7E7F8BF2"/>
    <w:rsid w:val="7E949007"/>
    <w:rsid w:val="7E988F3D"/>
    <w:rsid w:val="7EAC8974"/>
    <w:rsid w:val="7EC52690"/>
    <w:rsid w:val="7ED36E92"/>
    <w:rsid w:val="7F36E691"/>
    <w:rsid w:val="7F71ED24"/>
    <w:rsid w:val="7FAC6AF9"/>
    <w:rsid w:val="7FE655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A93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w:hAnsi="Times New Roman" w:cs="Times New Roman"/>
        <w:lang w:val="en-AU" w:eastAsia="en-AU"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uiPriority="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73"/>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uiPriority="2"/>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577392"/>
    <w:rPr>
      <w:rFonts w:ascii="Arial" w:hAnsi="Arial"/>
      <w:lang w:eastAsia="en-US"/>
    </w:rPr>
  </w:style>
  <w:style w:type="paragraph" w:styleId="Heading1">
    <w:name w:val="heading 1"/>
    <w:basedOn w:val="Normal"/>
    <w:next w:val="BodyText"/>
    <w:link w:val="Heading1Char"/>
    <w:uiPriority w:val="9"/>
    <w:qFormat/>
    <w:rsid w:val="0024772A"/>
    <w:pPr>
      <w:numPr>
        <w:numId w:val="11"/>
      </w:numPr>
      <w:spacing w:before="240"/>
      <w:outlineLvl w:val="0"/>
    </w:pPr>
    <w:rPr>
      <w:rFonts w:ascii="Franklin Gothic Demi" w:hAnsi="Franklin Gothic Demi" w:cs="Arial"/>
      <w:color w:val="003478"/>
      <w:sz w:val="36"/>
    </w:rPr>
  </w:style>
  <w:style w:type="paragraph" w:styleId="Heading2">
    <w:name w:val="heading 2"/>
    <w:aliases w:val="Section,Section1,Section2,ALK_K2,no subsections"/>
    <w:basedOn w:val="Normal"/>
    <w:next w:val="BodyText"/>
    <w:link w:val="Heading2Char"/>
    <w:uiPriority w:val="9"/>
    <w:qFormat/>
    <w:rsid w:val="0072195A"/>
    <w:pPr>
      <w:numPr>
        <w:ilvl w:val="1"/>
        <w:numId w:val="11"/>
      </w:numPr>
      <w:spacing w:before="240" w:after="120"/>
      <w:outlineLvl w:val="1"/>
    </w:pPr>
    <w:rPr>
      <w:rFonts w:ascii="Franklin Gothic Demi" w:hAnsi="Franklin Gothic Demi"/>
      <w:bCs/>
      <w:color w:val="4C7B9E" w:themeColor="accent2"/>
      <w:sz w:val="24"/>
      <w:szCs w:val="24"/>
      <w:lang w:val="en-US"/>
    </w:rPr>
  </w:style>
  <w:style w:type="paragraph" w:styleId="Heading3">
    <w:name w:val="heading 3"/>
    <w:basedOn w:val="BodyText"/>
    <w:next w:val="BodyText"/>
    <w:link w:val="Heading3Char"/>
    <w:uiPriority w:val="9"/>
    <w:qFormat/>
    <w:rsid w:val="0024772A"/>
    <w:pPr>
      <w:spacing w:before="160"/>
      <w:ind w:left="720" w:hanging="720"/>
      <w:outlineLvl w:val="2"/>
    </w:pPr>
    <w:rPr>
      <w:rFonts w:ascii="Franklin Gothic Demi" w:hAnsi="Franklin Gothic Demi"/>
      <w:bCs/>
      <w:lang w:val="en-GB"/>
    </w:rPr>
  </w:style>
  <w:style w:type="paragraph" w:styleId="Heading4">
    <w:name w:val="heading 4"/>
    <w:aliases w:val="Map Title"/>
    <w:basedOn w:val="Normal"/>
    <w:next w:val="BodyText"/>
    <w:link w:val="Heading4Char"/>
    <w:uiPriority w:val="1"/>
    <w:qFormat/>
    <w:rsid w:val="00A727B8"/>
    <w:pPr>
      <w:keepNext/>
      <w:keepLines/>
      <w:numPr>
        <w:ilvl w:val="3"/>
        <w:numId w:val="11"/>
      </w:numPr>
      <w:spacing w:before="360" w:after="120"/>
      <w:contextualSpacing/>
      <w:outlineLvl w:val="3"/>
    </w:pPr>
    <w:rPr>
      <w:b/>
      <w:sz w:val="24"/>
      <w:szCs w:val="28"/>
    </w:rPr>
  </w:style>
  <w:style w:type="paragraph" w:styleId="Heading5">
    <w:name w:val="heading 5"/>
    <w:aliases w:val="Block Label"/>
    <w:basedOn w:val="Normal"/>
    <w:next w:val="Normal"/>
    <w:link w:val="Heading5Char"/>
    <w:uiPriority w:val="1"/>
    <w:qFormat/>
    <w:rsid w:val="00A727B8"/>
    <w:pPr>
      <w:keepNext/>
      <w:keepLines/>
      <w:numPr>
        <w:ilvl w:val="4"/>
        <w:numId w:val="11"/>
      </w:numPr>
      <w:spacing w:before="360" w:after="120"/>
      <w:contextualSpacing/>
      <w:outlineLvl w:val="4"/>
    </w:pPr>
    <w:rPr>
      <w:b/>
      <w:szCs w:val="24"/>
    </w:rPr>
  </w:style>
  <w:style w:type="paragraph" w:styleId="Heading6">
    <w:name w:val="heading 6"/>
    <w:basedOn w:val="Normal"/>
    <w:next w:val="Normal"/>
    <w:link w:val="Heading6Char"/>
    <w:uiPriority w:val="9"/>
    <w:unhideWhenUsed/>
    <w:qFormat/>
    <w:rsid w:val="00596BFB"/>
    <w:pPr>
      <w:numPr>
        <w:ilvl w:val="5"/>
        <w:numId w:val="11"/>
      </w:numPr>
      <w:spacing w:before="240" w:after="120"/>
      <w:contextualSpacing/>
      <w:outlineLvl w:val="5"/>
    </w:pPr>
    <w:rPr>
      <w:b/>
    </w:rPr>
  </w:style>
  <w:style w:type="paragraph" w:styleId="Heading7">
    <w:name w:val="heading 7"/>
    <w:basedOn w:val="Normal"/>
    <w:next w:val="Normal"/>
    <w:link w:val="Heading7Char"/>
    <w:uiPriority w:val="99"/>
    <w:unhideWhenUsed/>
    <w:qFormat/>
    <w:rsid w:val="002F3084"/>
    <w:pPr>
      <w:keepNext/>
      <w:keepLines/>
      <w:numPr>
        <w:ilvl w:val="6"/>
        <w:numId w:val="11"/>
      </w:numPr>
      <w:spacing w:before="200"/>
      <w:outlineLvl w:val="6"/>
    </w:pPr>
    <w:rPr>
      <w:rFonts w:eastAsia="MS PGothic"/>
      <w:i/>
      <w:iCs/>
      <w:color w:val="404040"/>
    </w:rPr>
  </w:style>
  <w:style w:type="paragraph" w:styleId="Heading8">
    <w:name w:val="heading 8"/>
    <w:basedOn w:val="Normal"/>
    <w:next w:val="Normal"/>
    <w:link w:val="Heading8Char"/>
    <w:uiPriority w:val="99"/>
    <w:unhideWhenUsed/>
    <w:qFormat/>
    <w:rsid w:val="002F3084"/>
    <w:pPr>
      <w:keepNext/>
      <w:keepLines/>
      <w:numPr>
        <w:ilvl w:val="7"/>
        <w:numId w:val="11"/>
      </w:numPr>
      <w:spacing w:before="200"/>
      <w:outlineLvl w:val="7"/>
    </w:pPr>
    <w:rPr>
      <w:rFonts w:eastAsia="MS PGothic"/>
      <w:color w:val="404040"/>
    </w:rPr>
  </w:style>
  <w:style w:type="paragraph" w:styleId="Heading9">
    <w:name w:val="heading 9"/>
    <w:basedOn w:val="Normal"/>
    <w:next w:val="Normal"/>
    <w:link w:val="Heading9Char"/>
    <w:uiPriority w:val="99"/>
    <w:unhideWhenUsed/>
    <w:qFormat/>
    <w:rsid w:val="002F3084"/>
    <w:pPr>
      <w:keepNext/>
      <w:keepLines/>
      <w:numPr>
        <w:ilvl w:val="8"/>
        <w:numId w:val="11"/>
      </w:numPr>
      <w:spacing w:before="200"/>
      <w:outlineLvl w:val="8"/>
    </w:pPr>
    <w:rPr>
      <w:rFonts w:eastAsia="MS P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4C2507"/>
    <w:pPr>
      <w:spacing w:before="100" w:after="100" w:line="252" w:lineRule="auto"/>
    </w:pPr>
    <w:rPr>
      <w:rFonts w:ascii="Franklin Gothic Book" w:hAnsi="Franklin Gothic Book"/>
      <w:szCs w:val="19"/>
    </w:rPr>
  </w:style>
  <w:style w:type="character" w:customStyle="1" w:styleId="BodyTextChar">
    <w:name w:val="Body Text Char"/>
    <w:link w:val="BodyText"/>
    <w:uiPriority w:val="99"/>
    <w:rsid w:val="004C2507"/>
    <w:rPr>
      <w:rFonts w:ascii="Franklin Gothic Book" w:hAnsi="Franklin Gothic Book"/>
      <w:szCs w:val="19"/>
      <w:lang w:eastAsia="en-US"/>
    </w:rPr>
  </w:style>
  <w:style w:type="character" w:customStyle="1" w:styleId="Heading1Char">
    <w:name w:val="Heading 1 Char"/>
    <w:link w:val="Heading1"/>
    <w:uiPriority w:val="9"/>
    <w:rsid w:val="0024772A"/>
    <w:rPr>
      <w:rFonts w:ascii="Franklin Gothic Demi" w:hAnsi="Franklin Gothic Demi" w:cs="Arial"/>
      <w:color w:val="003478"/>
      <w:sz w:val="36"/>
      <w:lang w:eastAsia="en-US"/>
    </w:rPr>
  </w:style>
  <w:style w:type="character" w:customStyle="1" w:styleId="Heading2Char">
    <w:name w:val="Heading 2 Char"/>
    <w:aliases w:val="Section Char,Section1 Char,Section2 Char,ALK_K2 Char,no subsections Char"/>
    <w:link w:val="Heading2"/>
    <w:uiPriority w:val="9"/>
    <w:rsid w:val="004C2507"/>
    <w:rPr>
      <w:rFonts w:ascii="Franklin Gothic Demi" w:hAnsi="Franklin Gothic Demi"/>
      <w:bCs/>
      <w:color w:val="4C7B9E" w:themeColor="accent2"/>
      <w:sz w:val="24"/>
      <w:szCs w:val="24"/>
      <w:lang w:val="en-US" w:eastAsia="en-US"/>
    </w:rPr>
  </w:style>
  <w:style w:type="character" w:customStyle="1" w:styleId="Heading3Char">
    <w:name w:val="Heading 3 Char"/>
    <w:link w:val="Heading3"/>
    <w:uiPriority w:val="9"/>
    <w:rsid w:val="0024772A"/>
    <w:rPr>
      <w:rFonts w:ascii="Franklin Gothic Demi" w:hAnsi="Franklin Gothic Demi"/>
      <w:bCs/>
      <w:szCs w:val="19"/>
      <w:lang w:val="en-GB" w:eastAsia="en-US"/>
    </w:rPr>
  </w:style>
  <w:style w:type="character" w:customStyle="1" w:styleId="Heading4Char">
    <w:name w:val="Heading 4 Char"/>
    <w:aliases w:val="Map Title Char"/>
    <w:link w:val="Heading4"/>
    <w:uiPriority w:val="1"/>
    <w:rsid w:val="009F12D8"/>
    <w:rPr>
      <w:rFonts w:ascii="Arial" w:hAnsi="Arial"/>
      <w:b/>
      <w:sz w:val="24"/>
      <w:szCs w:val="28"/>
      <w:lang w:eastAsia="en-US"/>
    </w:rPr>
  </w:style>
  <w:style w:type="character" w:customStyle="1" w:styleId="Heading5Char">
    <w:name w:val="Heading 5 Char"/>
    <w:aliases w:val="Block Label Char"/>
    <w:link w:val="Heading5"/>
    <w:uiPriority w:val="1"/>
    <w:rsid w:val="009F12D8"/>
    <w:rPr>
      <w:rFonts w:ascii="Arial" w:hAnsi="Arial"/>
      <w:b/>
      <w:szCs w:val="24"/>
      <w:lang w:eastAsia="en-US"/>
    </w:rPr>
  </w:style>
  <w:style w:type="character" w:customStyle="1" w:styleId="Heading6Char">
    <w:name w:val="Heading 6 Char"/>
    <w:link w:val="Heading6"/>
    <w:uiPriority w:val="9"/>
    <w:rsid w:val="00596BFB"/>
    <w:rPr>
      <w:rFonts w:ascii="Arial" w:hAnsi="Arial"/>
      <w:b/>
      <w:lang w:eastAsia="en-US"/>
    </w:rPr>
  </w:style>
  <w:style w:type="paragraph" w:styleId="Header">
    <w:name w:val="header"/>
    <w:basedOn w:val="Normal"/>
    <w:link w:val="HeaderChar"/>
    <w:uiPriority w:val="99"/>
    <w:unhideWhenUsed/>
    <w:rsid w:val="001515B1"/>
    <w:pPr>
      <w:tabs>
        <w:tab w:val="center" w:pos="4513"/>
        <w:tab w:val="right" w:pos="9026"/>
      </w:tabs>
      <w:jc w:val="right"/>
    </w:pPr>
  </w:style>
  <w:style w:type="character" w:customStyle="1" w:styleId="HeaderChar">
    <w:name w:val="Header Char"/>
    <w:link w:val="Header"/>
    <w:uiPriority w:val="99"/>
    <w:rsid w:val="001515B1"/>
    <w:rPr>
      <w:rFonts w:ascii="Arial" w:hAnsi="Arial"/>
    </w:rPr>
  </w:style>
  <w:style w:type="paragraph" w:styleId="Footer">
    <w:name w:val="footer"/>
    <w:basedOn w:val="Normal"/>
    <w:link w:val="FooterChar"/>
    <w:uiPriority w:val="99"/>
    <w:unhideWhenUsed/>
    <w:rsid w:val="009D2FB1"/>
    <w:pPr>
      <w:tabs>
        <w:tab w:val="center" w:pos="4513"/>
        <w:tab w:val="right" w:pos="9026"/>
      </w:tabs>
    </w:pPr>
    <w:rPr>
      <w:sz w:val="16"/>
    </w:rPr>
  </w:style>
  <w:style w:type="character" w:customStyle="1" w:styleId="FooterChar">
    <w:name w:val="Footer Char"/>
    <w:link w:val="Footer"/>
    <w:uiPriority w:val="99"/>
    <w:rsid w:val="009D2FB1"/>
    <w:rPr>
      <w:rFonts w:ascii="Arial" w:hAnsi="Arial"/>
      <w:sz w:val="16"/>
      <w:lang w:eastAsia="en-US"/>
    </w:rPr>
  </w:style>
  <w:style w:type="paragraph" w:styleId="BalloonText">
    <w:name w:val="Balloon Text"/>
    <w:basedOn w:val="Normal"/>
    <w:link w:val="BalloonTextChar"/>
    <w:uiPriority w:val="99"/>
    <w:semiHidden/>
    <w:unhideWhenUsed/>
    <w:rsid w:val="00063D14"/>
    <w:rPr>
      <w:rFonts w:ascii="Tahoma" w:hAnsi="Tahoma" w:cs="Tahoma"/>
      <w:sz w:val="16"/>
      <w:szCs w:val="16"/>
    </w:rPr>
  </w:style>
  <w:style w:type="character" w:customStyle="1" w:styleId="BalloonTextChar">
    <w:name w:val="Balloon Text Char"/>
    <w:link w:val="BalloonText"/>
    <w:uiPriority w:val="99"/>
    <w:semiHidden/>
    <w:rsid w:val="00063D14"/>
    <w:rPr>
      <w:rFonts w:ascii="Tahoma" w:hAnsi="Tahoma" w:cs="Tahoma"/>
      <w:sz w:val="16"/>
      <w:szCs w:val="16"/>
    </w:rPr>
  </w:style>
  <w:style w:type="paragraph" w:styleId="ListBullet">
    <w:name w:val="List Bullet"/>
    <w:basedOn w:val="CoffeyBulletsL1"/>
    <w:uiPriority w:val="2"/>
    <w:qFormat/>
    <w:rsid w:val="004C2507"/>
    <w:pPr>
      <w:numPr>
        <w:numId w:val="15"/>
      </w:numPr>
    </w:pPr>
    <w:rPr>
      <w:rFonts w:ascii="Franklin Gothic Book" w:hAnsi="Franklin Gothic Book"/>
    </w:rPr>
  </w:style>
  <w:style w:type="table" w:styleId="TableGrid">
    <w:name w:val="Table Grid"/>
    <w:aliases w:val="DPS Table Grid,Basic Table,McLL Table General Text,Coffey table"/>
    <w:basedOn w:val="TableNormal"/>
    <w:rsid w:val="00DF4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defaulttable">
    <w:name w:val="Coffey default table"/>
    <w:basedOn w:val="TableNormal"/>
    <w:uiPriority w:val="99"/>
    <w:rsid w:val="004244E1"/>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39"/>
    <w:unhideWhenUsed/>
    <w:qFormat/>
    <w:rsid w:val="009331B7"/>
    <w:pPr>
      <w:spacing w:line="276" w:lineRule="auto"/>
      <w:outlineLvl w:val="9"/>
    </w:pPr>
    <w:rPr>
      <w:b/>
      <w:color w:val="3AB04F"/>
      <w:lang w:val="en-US" w:eastAsia="ja-JP"/>
    </w:rPr>
  </w:style>
  <w:style w:type="paragraph" w:styleId="TOC1">
    <w:name w:val="toc 1"/>
    <w:basedOn w:val="Normal"/>
    <w:next w:val="Normal"/>
    <w:autoRedefine/>
    <w:uiPriority w:val="39"/>
    <w:unhideWhenUsed/>
    <w:rsid w:val="00330945"/>
    <w:pPr>
      <w:tabs>
        <w:tab w:val="right" w:leader="dot" w:pos="9638"/>
      </w:tabs>
      <w:spacing w:before="240" w:after="120"/>
      <w:ind w:left="284" w:hanging="284"/>
    </w:pPr>
    <w:rPr>
      <w:rFonts w:ascii="Franklin Gothic Demi" w:hAnsi="Franklin Gothic Demi"/>
    </w:rPr>
  </w:style>
  <w:style w:type="paragraph" w:styleId="TOC2">
    <w:name w:val="toc 2"/>
    <w:basedOn w:val="Normal"/>
    <w:next w:val="Normal"/>
    <w:autoRedefine/>
    <w:uiPriority w:val="39"/>
    <w:unhideWhenUsed/>
    <w:rsid w:val="00A35ABC"/>
    <w:pPr>
      <w:tabs>
        <w:tab w:val="right" w:leader="dot" w:pos="9628"/>
      </w:tabs>
      <w:spacing w:after="100"/>
      <w:ind w:left="709" w:hanging="425"/>
    </w:pPr>
    <w:rPr>
      <w:rFonts w:ascii="Franklin Gothic Book" w:hAnsi="Franklin Gothic Book"/>
    </w:rPr>
  </w:style>
  <w:style w:type="paragraph" w:styleId="TOC3">
    <w:name w:val="toc 3"/>
    <w:basedOn w:val="Normal"/>
    <w:next w:val="Normal"/>
    <w:autoRedefine/>
    <w:uiPriority w:val="39"/>
    <w:unhideWhenUsed/>
    <w:rsid w:val="00D740E8"/>
    <w:pPr>
      <w:tabs>
        <w:tab w:val="right" w:leader="dot" w:pos="9628"/>
      </w:tabs>
      <w:spacing w:after="100"/>
      <w:ind w:left="1276" w:hanging="567"/>
    </w:pPr>
    <w:rPr>
      <w:rFonts w:ascii="Helvetica LT Std" w:hAnsi="Helvetica LT Std"/>
    </w:rPr>
  </w:style>
  <w:style w:type="character" w:styleId="Hyperlink">
    <w:name w:val="Hyperlink"/>
    <w:uiPriority w:val="99"/>
    <w:unhideWhenUsed/>
    <w:rsid w:val="009331B7"/>
    <w:rPr>
      <w:color w:val="000000"/>
      <w:u w:val="single"/>
    </w:rPr>
  </w:style>
  <w:style w:type="paragraph" w:customStyle="1" w:styleId="BigText">
    <w:name w:val="Big Text"/>
    <w:basedOn w:val="Heading1"/>
    <w:link w:val="BigTextChar"/>
    <w:uiPriority w:val="3"/>
    <w:qFormat/>
    <w:rsid w:val="004C2507"/>
    <w:pPr>
      <w:numPr>
        <w:numId w:val="0"/>
      </w:numPr>
    </w:pPr>
    <w:rPr>
      <w:lang w:val="en-US"/>
    </w:rPr>
  </w:style>
  <w:style w:type="paragraph" w:styleId="ListBullet2">
    <w:name w:val="List Bullet 2"/>
    <w:basedOn w:val="Normal"/>
    <w:uiPriority w:val="2"/>
    <w:rsid w:val="00A727B8"/>
    <w:pPr>
      <w:keepLines/>
      <w:spacing w:before="120" w:after="120"/>
    </w:pPr>
  </w:style>
  <w:style w:type="paragraph" w:styleId="ListBullet3">
    <w:name w:val="List Bullet 3"/>
    <w:basedOn w:val="Normal"/>
    <w:uiPriority w:val="2"/>
    <w:rsid w:val="00A727B8"/>
    <w:pPr>
      <w:keepLines/>
      <w:spacing w:before="120" w:after="120"/>
    </w:pPr>
  </w:style>
  <w:style w:type="paragraph" w:styleId="ListNumber">
    <w:name w:val="List Number"/>
    <w:basedOn w:val="Normal"/>
    <w:uiPriority w:val="73"/>
    <w:rsid w:val="006E268F"/>
    <w:pPr>
      <w:keepLines/>
      <w:numPr>
        <w:numId w:val="1"/>
      </w:numPr>
      <w:spacing w:before="120" w:after="120"/>
      <w:ind w:left="357" w:hanging="357"/>
    </w:pPr>
  </w:style>
  <w:style w:type="paragraph" w:customStyle="1" w:styleId="ContentsHeading">
    <w:name w:val="Contents Heading"/>
    <w:basedOn w:val="Normal"/>
    <w:next w:val="BodyText"/>
    <w:link w:val="ContentsHeadingChar"/>
    <w:uiPriority w:val="99"/>
    <w:rsid w:val="00EA4018"/>
    <w:pPr>
      <w:spacing w:before="480" w:after="240"/>
      <w:contextualSpacing/>
    </w:pPr>
    <w:rPr>
      <w:b/>
      <w:sz w:val="44"/>
      <w:szCs w:val="40"/>
    </w:rPr>
  </w:style>
  <w:style w:type="paragraph" w:customStyle="1" w:styleId="Disclaimer">
    <w:name w:val="Disclaimer"/>
    <w:basedOn w:val="Normal"/>
    <w:uiPriority w:val="99"/>
    <w:rsid w:val="00EA4018"/>
    <w:pPr>
      <w:spacing w:before="60" w:after="60"/>
    </w:pPr>
    <w:rPr>
      <w:sz w:val="16"/>
      <w:szCs w:val="14"/>
    </w:rPr>
  </w:style>
  <w:style w:type="paragraph" w:customStyle="1" w:styleId="TableText">
    <w:name w:val="Table Text"/>
    <w:basedOn w:val="Normal"/>
    <w:uiPriority w:val="99"/>
    <w:rsid w:val="000C1B7E"/>
    <w:pPr>
      <w:spacing w:before="60" w:after="60"/>
    </w:pPr>
    <w:rPr>
      <w:sz w:val="18"/>
      <w:szCs w:val="14"/>
    </w:rPr>
  </w:style>
  <w:style w:type="paragraph" w:customStyle="1" w:styleId="TableBullet">
    <w:name w:val="Table Bullet"/>
    <w:basedOn w:val="BodyText"/>
    <w:uiPriority w:val="99"/>
    <w:rsid w:val="001D60B3"/>
    <w:pPr>
      <w:numPr>
        <w:numId w:val="2"/>
      </w:numPr>
      <w:spacing w:before="60" w:after="60"/>
    </w:pPr>
  </w:style>
  <w:style w:type="paragraph" w:customStyle="1" w:styleId="SourceText">
    <w:name w:val="Source Text"/>
    <w:basedOn w:val="Normal"/>
    <w:next w:val="BodyText"/>
    <w:uiPriority w:val="3"/>
    <w:rsid w:val="00F26E87"/>
    <w:pPr>
      <w:spacing w:before="120" w:after="240"/>
    </w:pPr>
    <w:rPr>
      <w:sz w:val="18"/>
      <w:szCs w:val="14"/>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iPriority w:val="99"/>
    <w:qFormat/>
    <w:rsid w:val="00C140D5"/>
    <w:rPr>
      <w:sz w:val="14"/>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link w:val="FootnoteText"/>
    <w:uiPriority w:val="99"/>
    <w:rsid w:val="00C140D5"/>
    <w:rPr>
      <w:rFonts w:ascii="Arial" w:hAnsi="Arial"/>
      <w:sz w:val="14"/>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uiPriority w:val="99"/>
    <w:semiHidden/>
    <w:unhideWhenUsed/>
    <w:qFormat/>
    <w:rsid w:val="00C140D5"/>
    <w:rPr>
      <w:vertAlign w:val="superscript"/>
    </w:rPr>
  </w:style>
  <w:style w:type="paragraph" w:styleId="ListParagraph">
    <w:name w:val="List Paragraph"/>
    <w:aliases w:val="sub-section,MCHIP_list paragraph,List Paragraph1,Recommendation,Bullet List,FooterText,F5 List Paragraph,Dot pt,No Spacing1,List Paragraph Char Char Char,Indicator Text,Numbered Para 1,List Paragraph11,Colorful List - Accent 11,Bullet 1,L"/>
    <w:basedOn w:val="Normal"/>
    <w:link w:val="ListParagraphChar"/>
    <w:uiPriority w:val="34"/>
    <w:qFormat/>
    <w:rsid w:val="005349E4"/>
    <w:pPr>
      <w:ind w:left="284" w:hanging="284"/>
      <w:contextualSpacing/>
    </w:pPr>
  </w:style>
  <w:style w:type="table" w:customStyle="1" w:styleId="CoffeyTimelineTable">
    <w:name w:val="Coffey Timeline Table"/>
    <w:basedOn w:val="TableNormal"/>
    <w:uiPriority w:val="99"/>
    <w:rsid w:val="00FA52E0"/>
    <w:rPr>
      <w:rFonts w:ascii="Arial" w:hAnsi="Arial"/>
      <w:sz w:val="18"/>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Title">
    <w:name w:val="Title"/>
    <w:basedOn w:val="Subtitle"/>
    <w:link w:val="TitleChar"/>
    <w:uiPriority w:val="99"/>
    <w:rsid w:val="00F26E87"/>
    <w:rPr>
      <w:b/>
    </w:rPr>
  </w:style>
  <w:style w:type="paragraph" w:styleId="Subtitle">
    <w:name w:val="Subtitle"/>
    <w:basedOn w:val="Normal"/>
    <w:link w:val="SubtitleChar"/>
    <w:uiPriority w:val="11"/>
    <w:rsid w:val="00F26E87"/>
    <w:rPr>
      <w:sz w:val="32"/>
      <w:szCs w:val="36"/>
    </w:rPr>
  </w:style>
  <w:style w:type="character" w:customStyle="1" w:styleId="SubtitleChar">
    <w:name w:val="Subtitle Char"/>
    <w:link w:val="Subtitle"/>
    <w:uiPriority w:val="11"/>
    <w:rsid w:val="00F26E87"/>
    <w:rPr>
      <w:rFonts w:ascii="Arial" w:hAnsi="Arial"/>
      <w:sz w:val="32"/>
      <w:szCs w:val="36"/>
    </w:rPr>
  </w:style>
  <w:style w:type="character" w:customStyle="1" w:styleId="TitleChar">
    <w:name w:val="Title Char"/>
    <w:link w:val="Title"/>
    <w:uiPriority w:val="99"/>
    <w:rsid w:val="00F26E87"/>
    <w:rPr>
      <w:rFonts w:ascii="Arial" w:hAnsi="Arial"/>
      <w:b/>
      <w:sz w:val="32"/>
      <w:szCs w:val="36"/>
    </w:rPr>
  </w:style>
  <w:style w:type="paragraph" w:customStyle="1" w:styleId="TableHeading">
    <w:name w:val="Table Heading"/>
    <w:basedOn w:val="Normal"/>
    <w:uiPriority w:val="2"/>
    <w:rsid w:val="00645167"/>
    <w:pPr>
      <w:keepNext/>
      <w:keepLines/>
      <w:spacing w:before="480" w:after="120"/>
      <w:contextualSpacing/>
    </w:pPr>
    <w:rPr>
      <w:b/>
    </w:rPr>
  </w:style>
  <w:style w:type="paragraph" w:styleId="TableofFigures">
    <w:name w:val="table of figures"/>
    <w:basedOn w:val="Normal"/>
    <w:next w:val="Normal"/>
    <w:uiPriority w:val="99"/>
    <w:unhideWhenUsed/>
    <w:rsid w:val="002C146D"/>
  </w:style>
  <w:style w:type="paragraph" w:styleId="Caption">
    <w:name w:val="caption"/>
    <w:basedOn w:val="Normal"/>
    <w:next w:val="Normal"/>
    <w:uiPriority w:val="4"/>
    <w:qFormat/>
    <w:rsid w:val="00AB72A6"/>
    <w:pPr>
      <w:spacing w:before="240" w:after="120"/>
      <w:contextualSpacing/>
    </w:pPr>
    <w:rPr>
      <w:rFonts w:ascii="Franklin Gothic Book" w:hAnsi="Franklin Gothic Book"/>
      <w:i/>
      <w:iCs/>
      <w:szCs w:val="18"/>
    </w:rPr>
  </w:style>
  <w:style w:type="paragraph" w:customStyle="1" w:styleId="Calloutbox">
    <w:name w:val="Call out box"/>
    <w:basedOn w:val="Normal"/>
    <w:next w:val="BodyText"/>
    <w:uiPriority w:val="99"/>
    <w:rsid w:val="002217D6"/>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pPr>
    <w:rPr>
      <w:rFonts w:eastAsia="Calibri" w:cs="Arial"/>
      <w:b/>
      <w:i/>
    </w:rPr>
  </w:style>
  <w:style w:type="paragraph" w:styleId="TOC4">
    <w:name w:val="toc 4"/>
    <w:basedOn w:val="Normal"/>
    <w:next w:val="Normal"/>
    <w:autoRedefine/>
    <w:uiPriority w:val="39"/>
    <w:unhideWhenUsed/>
    <w:rsid w:val="00EA4018"/>
    <w:pPr>
      <w:spacing w:after="100"/>
      <w:ind w:left="600"/>
    </w:pPr>
  </w:style>
  <w:style w:type="paragraph" w:styleId="Quote">
    <w:name w:val="Quote"/>
    <w:basedOn w:val="Normal"/>
    <w:next w:val="Normal"/>
    <w:link w:val="QuoteChar"/>
    <w:uiPriority w:val="3"/>
    <w:rsid w:val="00D9422A"/>
    <w:pPr>
      <w:keepLines/>
      <w:spacing w:before="240" w:after="240"/>
      <w:ind w:left="284"/>
    </w:pPr>
    <w:rPr>
      <w:i/>
      <w:iCs/>
      <w:color w:val="000000"/>
    </w:rPr>
  </w:style>
  <w:style w:type="character" w:customStyle="1" w:styleId="QuoteChar">
    <w:name w:val="Quote Char"/>
    <w:link w:val="Quote"/>
    <w:uiPriority w:val="3"/>
    <w:rsid w:val="00D9422A"/>
    <w:rPr>
      <w:rFonts w:ascii="Arial" w:hAnsi="Arial"/>
      <w:i/>
      <w:iCs/>
      <w:color w:val="000000"/>
    </w:rPr>
  </w:style>
  <w:style w:type="paragraph" w:customStyle="1" w:styleId="Annexheading">
    <w:name w:val="Annex heading"/>
    <w:basedOn w:val="Normal"/>
    <w:next w:val="BodyText"/>
    <w:uiPriority w:val="99"/>
    <w:rsid w:val="00C1550D"/>
    <w:pPr>
      <w:spacing w:before="480" w:after="120"/>
      <w:contextualSpacing/>
    </w:pPr>
    <w:rPr>
      <w:b/>
      <w:sz w:val="40"/>
      <w:szCs w:val="40"/>
    </w:rPr>
  </w:style>
  <w:style w:type="table" w:customStyle="1" w:styleId="CoffeyGrey">
    <w:name w:val="Coffey Grey"/>
    <w:basedOn w:val="TableGrid"/>
    <w:uiPriority w:val="99"/>
    <w:rsid w:val="0070431B"/>
    <w:pPr>
      <w:spacing w:before="100" w:after="100" w:line="360" w:lineRule="auto"/>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D9D9D9"/>
      </w:tcPr>
    </w:tblStylePr>
  </w:style>
  <w:style w:type="character" w:customStyle="1" w:styleId="Heading7Char">
    <w:name w:val="Heading 7 Char"/>
    <w:link w:val="Heading7"/>
    <w:uiPriority w:val="99"/>
    <w:rsid w:val="002F3084"/>
    <w:rPr>
      <w:rFonts w:ascii="Arial" w:eastAsia="MS PGothic" w:hAnsi="Arial"/>
      <w:i/>
      <w:iCs/>
      <w:color w:val="404040"/>
      <w:lang w:eastAsia="en-US"/>
    </w:rPr>
  </w:style>
  <w:style w:type="character" w:customStyle="1" w:styleId="Heading8Char">
    <w:name w:val="Heading 8 Char"/>
    <w:link w:val="Heading8"/>
    <w:uiPriority w:val="99"/>
    <w:rsid w:val="002F3084"/>
    <w:rPr>
      <w:rFonts w:ascii="Arial" w:eastAsia="MS PGothic" w:hAnsi="Arial"/>
      <w:color w:val="404040"/>
      <w:lang w:eastAsia="en-US"/>
    </w:rPr>
  </w:style>
  <w:style w:type="character" w:customStyle="1" w:styleId="Heading9Char">
    <w:name w:val="Heading 9 Char"/>
    <w:link w:val="Heading9"/>
    <w:uiPriority w:val="99"/>
    <w:rsid w:val="002F3084"/>
    <w:rPr>
      <w:rFonts w:ascii="Arial" w:eastAsia="MS PGothic" w:hAnsi="Arial"/>
      <w:i/>
      <w:iCs/>
      <w:color w:val="404040"/>
      <w:lang w:eastAsia="en-US"/>
    </w:rPr>
  </w:style>
  <w:style w:type="paragraph" w:customStyle="1" w:styleId="BasicParagraph">
    <w:name w:val="[Basic Paragraph]"/>
    <w:basedOn w:val="Normal"/>
    <w:uiPriority w:val="99"/>
    <w:rsid w:val="002E6C8D"/>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Default">
    <w:name w:val="Default"/>
    <w:rsid w:val="00EF1FC4"/>
    <w:pPr>
      <w:autoSpaceDE w:val="0"/>
      <w:autoSpaceDN w:val="0"/>
      <w:adjustRightInd w:val="0"/>
    </w:pPr>
    <w:rPr>
      <w:rFonts w:ascii="HelveticaNeueLT Std Lt" w:hAnsi="HelveticaNeueLT Std Lt" w:cs="HelveticaNeueLT Std Lt"/>
      <w:color w:val="000000"/>
      <w:sz w:val="24"/>
      <w:szCs w:val="24"/>
      <w:lang w:val="en-US"/>
    </w:rPr>
  </w:style>
  <w:style w:type="paragraph" w:customStyle="1" w:styleId="Pa81">
    <w:name w:val="Pa8_1"/>
    <w:basedOn w:val="Default"/>
    <w:next w:val="Default"/>
    <w:uiPriority w:val="99"/>
    <w:rsid w:val="00EF1FC4"/>
    <w:pPr>
      <w:spacing w:line="401" w:lineRule="atLeast"/>
    </w:pPr>
    <w:rPr>
      <w:rFonts w:cs="Times New Roman"/>
      <w:color w:val="auto"/>
    </w:rPr>
  </w:style>
  <w:style w:type="paragraph" w:customStyle="1" w:styleId="CoverPage">
    <w:name w:val="Cover Page"/>
    <w:basedOn w:val="BigText"/>
    <w:link w:val="CoverPageChar"/>
    <w:uiPriority w:val="99"/>
    <w:rsid w:val="00E10BCA"/>
    <w:pPr>
      <w:spacing w:before="0"/>
    </w:pPr>
    <w:rPr>
      <w:rFonts w:ascii="HelveticaNeueLT Std Lt" w:hAnsi="HelveticaNeueLT Std Lt"/>
      <w:sz w:val="44"/>
    </w:rPr>
  </w:style>
  <w:style w:type="character" w:customStyle="1" w:styleId="A3">
    <w:name w:val="A3"/>
    <w:uiPriority w:val="99"/>
    <w:rsid w:val="001C1CA0"/>
    <w:rPr>
      <w:rFonts w:cs="Helvetica LT Std"/>
      <w:color w:val="221E1F"/>
      <w:sz w:val="20"/>
      <w:szCs w:val="20"/>
    </w:rPr>
  </w:style>
  <w:style w:type="character" w:customStyle="1" w:styleId="BigTextChar">
    <w:name w:val="Big Text Char"/>
    <w:basedOn w:val="BodyTextChar"/>
    <w:link w:val="BigText"/>
    <w:uiPriority w:val="3"/>
    <w:rsid w:val="004C2507"/>
    <w:rPr>
      <w:rFonts w:ascii="Franklin Gothic Demi" w:hAnsi="Franklin Gothic Demi" w:cs="Arial"/>
      <w:color w:val="003478"/>
      <w:sz w:val="36"/>
      <w:szCs w:val="19"/>
      <w:lang w:val="en-US" w:eastAsia="en-US"/>
    </w:rPr>
  </w:style>
  <w:style w:type="character" w:customStyle="1" w:styleId="CoverPageChar">
    <w:name w:val="Cover Page Char"/>
    <w:basedOn w:val="BigTextChar"/>
    <w:link w:val="CoverPage"/>
    <w:uiPriority w:val="99"/>
    <w:rsid w:val="00E10BCA"/>
    <w:rPr>
      <w:rFonts w:ascii="HelveticaNeueLT Std Lt" w:hAnsi="HelveticaNeueLT Std Lt" w:cs="Arial"/>
      <w:color w:val="003478"/>
      <w:sz w:val="44"/>
      <w:szCs w:val="28"/>
      <w:lang w:val="en-US" w:eastAsia="en-US"/>
    </w:rPr>
  </w:style>
  <w:style w:type="character" w:customStyle="1" w:styleId="A4">
    <w:name w:val="A4"/>
    <w:uiPriority w:val="99"/>
    <w:rsid w:val="001C1CA0"/>
    <w:rPr>
      <w:rFonts w:cs="Helvetica LT Std"/>
      <w:color w:val="221E1F"/>
      <w:sz w:val="16"/>
      <w:szCs w:val="16"/>
    </w:rPr>
  </w:style>
  <w:style w:type="paragraph" w:customStyle="1" w:styleId="Pa6">
    <w:name w:val="Pa6"/>
    <w:basedOn w:val="Default"/>
    <w:next w:val="Default"/>
    <w:uiPriority w:val="99"/>
    <w:rsid w:val="001C1CA0"/>
    <w:pPr>
      <w:spacing w:line="241" w:lineRule="atLeast"/>
    </w:pPr>
    <w:rPr>
      <w:rFonts w:ascii="Helvetica LT Std" w:hAnsi="Helvetica LT Std" w:cs="Times New Roman"/>
      <w:color w:val="auto"/>
    </w:rPr>
  </w:style>
  <w:style w:type="paragraph" w:styleId="NormalWeb">
    <w:name w:val="Normal (Web)"/>
    <w:basedOn w:val="Normal"/>
    <w:uiPriority w:val="99"/>
    <w:unhideWhenUsed/>
    <w:rsid w:val="00B621B6"/>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1134FB"/>
    <w:rPr>
      <w:color w:val="605E5C"/>
      <w:shd w:val="clear" w:color="auto" w:fill="E1DFDD"/>
    </w:rPr>
  </w:style>
  <w:style w:type="paragraph" w:customStyle="1" w:styleId="2ndLevelBullets">
    <w:name w:val="2nd Level Bullets"/>
    <w:basedOn w:val="ListParagraph"/>
    <w:qFormat/>
    <w:rsid w:val="001D60B3"/>
    <w:pPr>
      <w:numPr>
        <w:numId w:val="3"/>
      </w:numPr>
      <w:autoSpaceDE w:val="0"/>
      <w:autoSpaceDN w:val="0"/>
      <w:adjustRightInd w:val="0"/>
      <w:spacing w:before="60" w:after="60" w:line="233" w:lineRule="auto"/>
      <w:ind w:left="709"/>
      <w:contextualSpacing w:val="0"/>
    </w:pPr>
    <w:rPr>
      <w:rFonts w:ascii="Helvetica LT Std" w:eastAsiaTheme="minorHAnsi" w:hAnsi="Helvetica LT Std" w:cstheme="minorHAnsi"/>
      <w:sz w:val="19"/>
      <w:szCs w:val="19"/>
      <w:lang w:val="en-US"/>
    </w:rPr>
  </w:style>
  <w:style w:type="paragraph" w:customStyle="1" w:styleId="BodyCopy">
    <w:name w:val="Body Copy"/>
    <w:link w:val="BodyCopyChar"/>
    <w:qFormat/>
    <w:rsid w:val="00845355"/>
    <w:pPr>
      <w:suppressAutoHyphens/>
      <w:autoSpaceDE w:val="0"/>
      <w:autoSpaceDN w:val="0"/>
      <w:adjustRightInd w:val="0"/>
      <w:spacing w:before="77" w:after="113" w:line="250" w:lineRule="atLeast"/>
      <w:textAlignment w:val="center"/>
    </w:pPr>
    <w:rPr>
      <w:rFonts w:ascii="Arial" w:eastAsiaTheme="minorHAnsi" w:hAnsi="Arial" w:cs="Arial (TT)"/>
      <w:color w:val="000000"/>
      <w:lang w:val="en-GB" w:eastAsia="en-US"/>
    </w:rPr>
  </w:style>
  <w:style w:type="character" w:customStyle="1" w:styleId="BodyCopyChar">
    <w:name w:val="Body Copy Char"/>
    <w:basedOn w:val="DefaultParagraphFont"/>
    <w:link w:val="BodyCopy"/>
    <w:rsid w:val="00845355"/>
    <w:rPr>
      <w:rFonts w:ascii="Arial" w:eastAsiaTheme="minorHAnsi" w:hAnsi="Arial" w:cs="Arial (TT)"/>
      <w:color w:val="000000"/>
      <w:lang w:val="en-GB" w:eastAsia="en-US"/>
    </w:rPr>
  </w:style>
  <w:style w:type="paragraph" w:customStyle="1" w:styleId="Address">
    <w:name w:val="Address"/>
    <w:link w:val="AddressChar"/>
    <w:rsid w:val="00845355"/>
    <w:pPr>
      <w:spacing w:after="200" w:line="210" w:lineRule="exact"/>
    </w:pPr>
    <w:rPr>
      <w:rFonts w:ascii="Arial" w:eastAsiaTheme="minorHAnsi" w:hAnsi="Arial" w:cs="Arial"/>
      <w:sz w:val="18"/>
      <w:szCs w:val="18"/>
      <w:lang w:eastAsia="en-US"/>
    </w:rPr>
  </w:style>
  <w:style w:type="character" w:customStyle="1" w:styleId="AddressChar">
    <w:name w:val="Address Char"/>
    <w:basedOn w:val="DefaultParagraphFont"/>
    <w:link w:val="Address"/>
    <w:rsid w:val="00845355"/>
    <w:rPr>
      <w:rFonts w:ascii="Arial" w:eastAsiaTheme="minorHAnsi" w:hAnsi="Arial" w:cs="Arial"/>
      <w:sz w:val="18"/>
      <w:szCs w:val="18"/>
      <w:lang w:eastAsia="en-US"/>
    </w:rPr>
  </w:style>
  <w:style w:type="paragraph" w:customStyle="1" w:styleId="Company">
    <w:name w:val="Company"/>
    <w:link w:val="CompanyChar"/>
    <w:uiPriority w:val="99"/>
    <w:semiHidden/>
    <w:rsid w:val="00845355"/>
    <w:pPr>
      <w:spacing w:after="200"/>
    </w:pPr>
    <w:rPr>
      <w:rFonts w:ascii="Arial" w:eastAsiaTheme="minorHAnsi" w:hAnsi="Arial" w:cs="Arial"/>
      <w:b/>
      <w:sz w:val="18"/>
      <w:szCs w:val="18"/>
      <w:lang w:eastAsia="en-US"/>
    </w:rPr>
  </w:style>
  <w:style w:type="character" w:customStyle="1" w:styleId="CompanyChar">
    <w:name w:val="Company Char"/>
    <w:basedOn w:val="AddressChar"/>
    <w:link w:val="Company"/>
    <w:uiPriority w:val="99"/>
    <w:semiHidden/>
    <w:rsid w:val="00845355"/>
    <w:rPr>
      <w:rFonts w:ascii="Arial" w:eastAsiaTheme="minorHAnsi" w:hAnsi="Arial" w:cs="Arial"/>
      <w:b/>
      <w:sz w:val="18"/>
      <w:szCs w:val="18"/>
      <w:lang w:eastAsia="en-US"/>
    </w:rPr>
  </w:style>
  <w:style w:type="paragraph" w:customStyle="1" w:styleId="Name">
    <w:name w:val="Name"/>
    <w:uiPriority w:val="99"/>
    <w:semiHidden/>
    <w:rsid w:val="00845355"/>
    <w:pPr>
      <w:spacing w:after="200" w:line="240" w:lineRule="exact"/>
    </w:pPr>
    <w:rPr>
      <w:rFonts w:ascii="Arial" w:eastAsiaTheme="minorHAnsi" w:hAnsi="Arial" w:cs="Arial"/>
      <w:b/>
      <w:sz w:val="18"/>
      <w:szCs w:val="18"/>
      <w:lang w:eastAsia="en-US"/>
    </w:rPr>
  </w:style>
  <w:style w:type="character" w:styleId="PageNumber">
    <w:name w:val="page number"/>
    <w:basedOn w:val="DefaultParagraphFont"/>
    <w:uiPriority w:val="99"/>
    <w:semiHidden/>
    <w:rsid w:val="00845355"/>
    <w:rPr>
      <w:rFonts w:ascii="Arial" w:hAnsi="Arial"/>
      <w:sz w:val="18"/>
    </w:rPr>
  </w:style>
  <w:style w:type="paragraph" w:customStyle="1" w:styleId="FeatureText">
    <w:name w:val="Feature Text"/>
    <w:uiPriority w:val="99"/>
    <w:semiHidden/>
    <w:rsid w:val="00845355"/>
    <w:pPr>
      <w:spacing w:after="200" w:line="600" w:lineRule="exact"/>
    </w:pPr>
    <w:rPr>
      <w:rFonts w:ascii="Arial" w:eastAsiaTheme="minorHAnsi" w:hAnsi="Arial" w:cstheme="minorBidi"/>
      <w:color w:val="000000"/>
      <w:sz w:val="48"/>
      <w:szCs w:val="48"/>
      <w:lang w:eastAsia="en-US"/>
    </w:rPr>
  </w:style>
  <w:style w:type="paragraph" w:customStyle="1" w:styleId="AppendixHead">
    <w:name w:val="Appendix Head"/>
    <w:uiPriority w:val="99"/>
    <w:semiHidden/>
    <w:rsid w:val="00845355"/>
    <w:pPr>
      <w:pageBreakBefore/>
      <w:spacing w:before="5387" w:after="200"/>
      <w:jc w:val="right"/>
    </w:pPr>
    <w:rPr>
      <w:rFonts w:ascii="Arial" w:eastAsiaTheme="minorHAnsi" w:hAnsi="Arial" w:cstheme="minorBidi"/>
      <w:color w:val="000000"/>
      <w:sz w:val="48"/>
      <w:szCs w:val="48"/>
      <w:lang w:eastAsia="en-US"/>
    </w:rPr>
  </w:style>
  <w:style w:type="paragraph" w:customStyle="1" w:styleId="ReportInfo">
    <w:name w:val="Report Info"/>
    <w:uiPriority w:val="99"/>
    <w:semiHidden/>
    <w:rsid w:val="00845355"/>
    <w:pPr>
      <w:spacing w:before="227" w:after="200" w:line="230" w:lineRule="exact"/>
    </w:pPr>
    <w:rPr>
      <w:rFonts w:ascii="Arial" w:eastAsiaTheme="minorHAnsi" w:hAnsi="Arial" w:cstheme="minorBidi"/>
      <w:sz w:val="24"/>
      <w:szCs w:val="24"/>
      <w:lang w:eastAsia="en-US"/>
    </w:rPr>
  </w:style>
  <w:style w:type="paragraph" w:customStyle="1" w:styleId="AppendixTitle">
    <w:name w:val="Appendix Title"/>
    <w:uiPriority w:val="99"/>
    <w:semiHidden/>
    <w:rsid w:val="00845355"/>
    <w:pPr>
      <w:spacing w:before="227" w:after="200"/>
      <w:ind w:left="181" w:hanging="181"/>
      <w:jc w:val="right"/>
    </w:pPr>
    <w:rPr>
      <w:rFonts w:ascii="Arial" w:eastAsiaTheme="minorHAnsi" w:hAnsi="Arial" w:cstheme="minorBidi"/>
      <w:b/>
      <w:sz w:val="24"/>
      <w:szCs w:val="24"/>
      <w:lang w:eastAsia="en-US"/>
    </w:rPr>
  </w:style>
  <w:style w:type="table" w:styleId="MediumShading1">
    <w:name w:val="Medium Shading 1"/>
    <w:basedOn w:val="TableNormal"/>
    <w:uiPriority w:val="63"/>
    <w:rsid w:val="00845355"/>
    <w:rPr>
      <w:rFonts w:asciiTheme="minorHAnsi" w:eastAsiaTheme="minorHAnsi" w:hAnsi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
    <w:name w:val="Body Bullets"/>
    <w:basedOn w:val="CoffeyBulletsL1"/>
    <w:link w:val="BodyBulletsChar"/>
    <w:qFormat/>
    <w:rsid w:val="009E22D6"/>
    <w:pPr>
      <w:numPr>
        <w:numId w:val="14"/>
      </w:numPr>
      <w:tabs>
        <w:tab w:val="clear" w:pos="357"/>
      </w:tabs>
      <w:spacing w:after="120"/>
      <w:contextualSpacing w:val="0"/>
    </w:pPr>
    <w:rPr>
      <w:color w:val="000000" w:themeColor="text1"/>
      <w:sz w:val="19"/>
      <w:szCs w:val="19"/>
    </w:rPr>
  </w:style>
  <w:style w:type="paragraph" w:customStyle="1" w:styleId="BodyBullets2">
    <w:name w:val="Body Bullets 2"/>
    <w:basedOn w:val="Normal"/>
    <w:next w:val="ListBullet"/>
    <w:uiPriority w:val="99"/>
    <w:semiHidden/>
    <w:rsid w:val="00845355"/>
    <w:pPr>
      <w:tabs>
        <w:tab w:val="left" w:pos="567"/>
      </w:tabs>
      <w:ind w:left="568"/>
    </w:pPr>
  </w:style>
  <w:style w:type="paragraph" w:customStyle="1" w:styleId="BodyBullets3">
    <w:name w:val="Body Bullets 3"/>
    <w:basedOn w:val="Normal"/>
    <w:next w:val="ListBullet"/>
    <w:uiPriority w:val="99"/>
    <w:semiHidden/>
    <w:rsid w:val="00845355"/>
    <w:pPr>
      <w:tabs>
        <w:tab w:val="left" w:pos="851"/>
      </w:tabs>
      <w:ind w:left="851"/>
    </w:pPr>
  </w:style>
  <w:style w:type="paragraph" w:customStyle="1" w:styleId="Nameaddress">
    <w:name w:val="Name address"/>
    <w:uiPriority w:val="99"/>
    <w:semiHidden/>
    <w:rsid w:val="00845355"/>
    <w:pPr>
      <w:spacing w:after="200"/>
    </w:pPr>
    <w:rPr>
      <w:rFonts w:ascii="Arial" w:eastAsiaTheme="minorHAnsi" w:hAnsi="Arial" w:cs="Arial (TT)"/>
      <w:color w:val="000000"/>
      <w:lang w:val="en-GB" w:eastAsia="en-US"/>
    </w:rPr>
  </w:style>
  <w:style w:type="paragraph" w:customStyle="1" w:styleId="Re">
    <w:name w:val="Re"/>
    <w:basedOn w:val="Normal"/>
    <w:next w:val="BodyCopy"/>
    <w:uiPriority w:val="99"/>
    <w:semiHidden/>
    <w:rsid w:val="00845355"/>
    <w:pPr>
      <w:tabs>
        <w:tab w:val="left" w:pos="567"/>
      </w:tabs>
      <w:suppressAutoHyphens/>
      <w:autoSpaceDE w:val="0"/>
      <w:autoSpaceDN w:val="0"/>
      <w:adjustRightInd w:val="0"/>
      <w:spacing w:line="250" w:lineRule="atLeast"/>
      <w:ind w:left="567" w:hanging="567"/>
      <w:textAlignment w:val="center"/>
    </w:pPr>
    <w:rPr>
      <w:rFonts w:cs="Arial (TT)"/>
      <w:b/>
      <w:color w:val="000000"/>
      <w:lang w:val="en-GB"/>
    </w:rPr>
  </w:style>
  <w:style w:type="paragraph" w:customStyle="1" w:styleId="Cc">
    <w:name w:val="Cc"/>
    <w:uiPriority w:val="99"/>
    <w:semiHidden/>
    <w:rsid w:val="00845355"/>
    <w:pPr>
      <w:spacing w:before="57" w:after="113" w:line="230" w:lineRule="atLeast"/>
      <w:ind w:left="284" w:hanging="284"/>
    </w:pPr>
    <w:rPr>
      <w:rFonts w:ascii="Arial" w:eastAsiaTheme="minorHAnsi" w:hAnsi="Arial" w:cs="Arial (TT)"/>
      <w:color w:val="000000"/>
      <w:sz w:val="18"/>
      <w:szCs w:val="18"/>
      <w:lang w:val="en-GB" w:eastAsia="en-US"/>
    </w:rPr>
  </w:style>
  <w:style w:type="paragraph" w:customStyle="1" w:styleId="Attachments">
    <w:name w:val="Attachments"/>
    <w:uiPriority w:val="99"/>
    <w:semiHidden/>
    <w:rsid w:val="00845355"/>
    <w:pPr>
      <w:spacing w:before="57" w:after="113" w:line="230" w:lineRule="atLeast"/>
      <w:ind w:left="1276" w:hanging="1276"/>
    </w:pPr>
    <w:rPr>
      <w:rFonts w:ascii="Arial" w:eastAsiaTheme="minorHAnsi" w:hAnsi="Arial" w:cs="Arial (TT)"/>
      <w:color w:val="000000"/>
      <w:sz w:val="18"/>
      <w:szCs w:val="18"/>
      <w:lang w:val="en-GB" w:eastAsia="en-US"/>
    </w:rPr>
  </w:style>
  <w:style w:type="paragraph" w:customStyle="1" w:styleId="Fax">
    <w:name w:val="Fax"/>
    <w:uiPriority w:val="99"/>
    <w:semiHidden/>
    <w:rsid w:val="00845355"/>
    <w:pPr>
      <w:spacing w:before="80" w:after="80"/>
    </w:pPr>
    <w:rPr>
      <w:rFonts w:ascii="Arial" w:eastAsiaTheme="minorHAnsi" w:hAnsi="Arial" w:cs="Arial"/>
      <w:b/>
      <w:lang w:eastAsia="en-US"/>
    </w:rPr>
  </w:style>
  <w:style w:type="paragraph" w:customStyle="1" w:styleId="Info">
    <w:name w:val="Info"/>
    <w:uiPriority w:val="99"/>
    <w:semiHidden/>
    <w:rsid w:val="00845355"/>
    <w:pPr>
      <w:spacing w:after="200"/>
    </w:pPr>
    <w:rPr>
      <w:rFonts w:ascii="Arial" w:eastAsiaTheme="minorHAnsi" w:hAnsi="Arial" w:cs="Arial (TT)"/>
      <w:color w:val="000000"/>
      <w:sz w:val="14"/>
      <w:lang w:eastAsia="en-US"/>
    </w:rPr>
  </w:style>
  <w:style w:type="paragraph" w:customStyle="1" w:styleId="Logo">
    <w:name w:val="Logo"/>
    <w:basedOn w:val="Normal"/>
    <w:uiPriority w:val="99"/>
    <w:semiHidden/>
    <w:rsid w:val="00845355"/>
  </w:style>
  <w:style w:type="paragraph" w:customStyle="1" w:styleId="TableContent">
    <w:name w:val="Table Content"/>
    <w:uiPriority w:val="99"/>
    <w:semiHidden/>
    <w:rsid w:val="00845355"/>
    <w:pPr>
      <w:spacing w:after="200" w:line="320" w:lineRule="exact"/>
    </w:pPr>
    <w:rPr>
      <w:rFonts w:ascii="Arial" w:eastAsiaTheme="minorHAnsi" w:hAnsi="Arial" w:cs="Arial"/>
      <w:b/>
      <w:lang w:eastAsia="en-US"/>
    </w:rPr>
  </w:style>
  <w:style w:type="paragraph" w:customStyle="1" w:styleId="Tablesubhead">
    <w:name w:val="Table subhead"/>
    <w:uiPriority w:val="99"/>
    <w:semiHidden/>
    <w:rsid w:val="00845355"/>
    <w:pPr>
      <w:spacing w:after="200" w:line="320" w:lineRule="exact"/>
    </w:pPr>
    <w:rPr>
      <w:rFonts w:ascii="Arial" w:eastAsiaTheme="minorHAnsi" w:hAnsi="Arial" w:cs="Arial"/>
      <w:lang w:eastAsia="en-US"/>
    </w:rPr>
  </w:style>
  <w:style w:type="paragraph" w:styleId="Date">
    <w:name w:val="Date"/>
    <w:basedOn w:val="Normal"/>
    <w:next w:val="Normal"/>
    <w:link w:val="DateChar"/>
    <w:uiPriority w:val="99"/>
    <w:semiHidden/>
    <w:rsid w:val="00845355"/>
    <w:pPr>
      <w:spacing w:before="1797"/>
    </w:pPr>
  </w:style>
  <w:style w:type="character" w:customStyle="1" w:styleId="DateChar">
    <w:name w:val="Date Char"/>
    <w:basedOn w:val="DefaultParagraphFont"/>
    <w:link w:val="Date"/>
    <w:uiPriority w:val="99"/>
    <w:semiHidden/>
    <w:rsid w:val="00845355"/>
    <w:rPr>
      <w:rFonts w:ascii="Arial" w:hAnsi="Arial"/>
      <w:lang w:eastAsia="en-US"/>
    </w:rPr>
  </w:style>
  <w:style w:type="numbering" w:customStyle="1" w:styleId="NewBullet">
    <w:name w:val="New Bullet"/>
    <w:uiPriority w:val="99"/>
    <w:rsid w:val="00845355"/>
    <w:pPr>
      <w:numPr>
        <w:numId w:val="4"/>
      </w:numPr>
    </w:pPr>
  </w:style>
  <w:style w:type="character" w:styleId="Strong">
    <w:name w:val="Strong"/>
    <w:basedOn w:val="DefaultParagraphFont"/>
    <w:uiPriority w:val="22"/>
    <w:qFormat/>
    <w:rsid w:val="00845355"/>
    <w:rPr>
      <w:b/>
      <w:bCs/>
    </w:rPr>
  </w:style>
  <w:style w:type="character" w:styleId="Emphasis">
    <w:name w:val="Emphasis"/>
    <w:basedOn w:val="DefaultParagraphFont"/>
    <w:uiPriority w:val="99"/>
    <w:rsid w:val="00845355"/>
    <w:rPr>
      <w:i/>
      <w:iCs/>
    </w:rPr>
  </w:style>
  <w:style w:type="paragraph" w:styleId="NoSpacing">
    <w:name w:val="No Spacing"/>
    <w:uiPriority w:val="1"/>
    <w:rsid w:val="00845355"/>
    <w:rPr>
      <w:rFonts w:asciiTheme="minorHAnsi" w:eastAsiaTheme="minorHAnsi" w:hAnsiTheme="minorHAnsi" w:cstheme="minorBidi"/>
      <w:lang w:eastAsia="en-US"/>
    </w:rPr>
  </w:style>
  <w:style w:type="paragraph" w:styleId="IntenseQuote">
    <w:name w:val="Intense Quote"/>
    <w:basedOn w:val="Normal"/>
    <w:next w:val="Normal"/>
    <w:link w:val="IntenseQuoteChar"/>
    <w:uiPriority w:val="99"/>
    <w:rsid w:val="00845355"/>
    <w:pPr>
      <w:pBdr>
        <w:bottom w:val="single" w:sz="4" w:space="4" w:color="003478" w:themeColor="accent1"/>
      </w:pBdr>
      <w:spacing w:before="200" w:after="280"/>
      <w:ind w:left="936" w:right="936"/>
    </w:pPr>
    <w:rPr>
      <w:b/>
      <w:bCs/>
      <w:i/>
      <w:iCs/>
      <w:color w:val="003478" w:themeColor="accent1"/>
    </w:rPr>
  </w:style>
  <w:style w:type="character" w:customStyle="1" w:styleId="IntenseQuoteChar">
    <w:name w:val="Intense Quote Char"/>
    <w:basedOn w:val="DefaultParagraphFont"/>
    <w:link w:val="IntenseQuote"/>
    <w:uiPriority w:val="99"/>
    <w:rsid w:val="00845355"/>
    <w:rPr>
      <w:rFonts w:ascii="Arial" w:hAnsi="Arial"/>
      <w:b/>
      <w:bCs/>
      <w:i/>
      <w:iCs/>
      <w:color w:val="003478" w:themeColor="accent1"/>
      <w:lang w:eastAsia="en-US"/>
    </w:rPr>
  </w:style>
  <w:style w:type="character" w:styleId="SubtleEmphasis">
    <w:name w:val="Subtle Emphasis"/>
    <w:basedOn w:val="DefaultParagraphFont"/>
    <w:uiPriority w:val="19"/>
    <w:rsid w:val="00845355"/>
    <w:rPr>
      <w:i/>
      <w:iCs/>
      <w:color w:val="808080" w:themeColor="text1" w:themeTint="7F"/>
    </w:rPr>
  </w:style>
  <w:style w:type="character" w:styleId="IntenseEmphasis">
    <w:name w:val="Intense Emphasis"/>
    <w:basedOn w:val="DefaultParagraphFont"/>
    <w:uiPriority w:val="99"/>
    <w:rsid w:val="00845355"/>
    <w:rPr>
      <w:b/>
      <w:bCs/>
      <w:i/>
      <w:iCs/>
      <w:color w:val="003478" w:themeColor="accent1"/>
    </w:rPr>
  </w:style>
  <w:style w:type="character" w:styleId="SubtleReference">
    <w:name w:val="Subtle Reference"/>
    <w:basedOn w:val="DefaultParagraphFont"/>
    <w:uiPriority w:val="99"/>
    <w:rsid w:val="00845355"/>
    <w:rPr>
      <w:smallCaps/>
      <w:color w:val="4C7B9E" w:themeColor="accent2"/>
      <w:u w:val="single"/>
    </w:rPr>
  </w:style>
  <w:style w:type="character" w:styleId="IntenseReference">
    <w:name w:val="Intense Reference"/>
    <w:basedOn w:val="DefaultParagraphFont"/>
    <w:uiPriority w:val="99"/>
    <w:rsid w:val="00845355"/>
    <w:rPr>
      <w:b/>
      <w:bCs/>
      <w:smallCaps/>
      <w:color w:val="4C7B9E" w:themeColor="accent2"/>
      <w:spacing w:val="5"/>
      <w:u w:val="single"/>
    </w:rPr>
  </w:style>
  <w:style w:type="character" w:styleId="BookTitle">
    <w:name w:val="Book Title"/>
    <w:basedOn w:val="DefaultParagraphFont"/>
    <w:uiPriority w:val="99"/>
    <w:rsid w:val="00845355"/>
    <w:rPr>
      <w:b/>
      <w:bCs/>
      <w:smallCaps/>
      <w:spacing w:val="5"/>
    </w:rPr>
  </w:style>
  <w:style w:type="paragraph" w:customStyle="1" w:styleId="AppendixHeading">
    <w:name w:val="Appendix Heading"/>
    <w:basedOn w:val="BodyText"/>
    <w:next w:val="BodyText"/>
    <w:uiPriority w:val="99"/>
    <w:rsid w:val="00845355"/>
    <w:pPr>
      <w:pageBreakBefore/>
      <w:numPr>
        <w:ilvl w:val="6"/>
        <w:numId w:val="8"/>
      </w:numPr>
      <w:spacing w:before="6720" w:after="0"/>
      <w:jc w:val="right"/>
      <w:outlineLvl w:val="6"/>
    </w:pPr>
    <w:rPr>
      <w:rFonts w:ascii="Arial" w:hAnsi="Arial"/>
      <w:b/>
      <w:sz w:val="36"/>
      <w:szCs w:val="22"/>
    </w:rPr>
  </w:style>
  <w:style w:type="numbering" w:customStyle="1" w:styleId="Headings">
    <w:name w:val="Headings"/>
    <w:uiPriority w:val="99"/>
    <w:rsid w:val="00845355"/>
    <w:pPr>
      <w:numPr>
        <w:numId w:val="8"/>
      </w:numPr>
    </w:pPr>
  </w:style>
  <w:style w:type="numbering" w:customStyle="1" w:styleId="ListBullets">
    <w:name w:val="ListBullets"/>
    <w:uiPriority w:val="99"/>
    <w:rsid w:val="00845355"/>
    <w:pPr>
      <w:numPr>
        <w:numId w:val="5"/>
      </w:numPr>
    </w:pPr>
  </w:style>
  <w:style w:type="numbering" w:customStyle="1" w:styleId="ListNumbers">
    <w:name w:val="ListNumbers"/>
    <w:uiPriority w:val="99"/>
    <w:rsid w:val="00845355"/>
    <w:pPr>
      <w:numPr>
        <w:numId w:val="6"/>
      </w:numPr>
    </w:pPr>
  </w:style>
  <w:style w:type="table" w:customStyle="1" w:styleId="Coffey">
    <w:name w:val="Coffey"/>
    <w:basedOn w:val="TableNormal"/>
    <w:uiPriority w:val="99"/>
    <w:rsid w:val="00845355"/>
    <w:pPr>
      <w:spacing w:before="100" w:beforeAutospacing="1" w:after="100" w:afterAutospacing="1"/>
    </w:pPr>
    <w:rPr>
      <w:rFonts w:asciiTheme="minorHAnsi" w:eastAsiaTheme="minorHAnsi" w:hAnsiTheme="minorHAnsi" w:cstheme="minorBidi"/>
      <w:sz w:val="18"/>
      <w:lang w:eastAsia="en-US"/>
    </w:rPr>
    <w:tblPr>
      <w:tblStyleRowBandSize w:val="1"/>
      <w:tblStyleColBandSize w:val="1"/>
      <w:tbl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nil"/>
          <w:insideV w:val="single" w:sz="4" w:space="0" w:color="4C7B9E" w:themeColor="background2"/>
          <w:tl2br w:val="nil"/>
          <w:tr2bl w:val="nil"/>
        </w:tcBorders>
        <w:shd w:val="clear" w:color="auto" w:fill="003478" w:themeFill="accent1"/>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003478" w:themeFill="accent1"/>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B1D2FF" w:themeFill="accent1"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B1D2FF" w:themeFill="accent1"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style>
  <w:style w:type="paragraph" w:styleId="ListNumber2">
    <w:name w:val="List Number 2"/>
    <w:basedOn w:val="BodyText"/>
    <w:uiPriority w:val="2"/>
    <w:rsid w:val="00845355"/>
    <w:pPr>
      <w:spacing w:beforeAutospacing="1" w:afterAutospacing="1"/>
      <w:ind w:left="1071" w:hanging="357"/>
      <w:contextualSpacing/>
    </w:pPr>
    <w:rPr>
      <w:rFonts w:ascii="Arial" w:hAnsi="Arial"/>
      <w:szCs w:val="22"/>
    </w:rPr>
  </w:style>
  <w:style w:type="paragraph" w:styleId="ListNumber3">
    <w:name w:val="List Number 3"/>
    <w:basedOn w:val="BodyText"/>
    <w:uiPriority w:val="2"/>
    <w:rsid w:val="00845355"/>
    <w:pPr>
      <w:spacing w:beforeAutospacing="1" w:afterAutospacing="1"/>
      <w:ind w:left="1428" w:hanging="357"/>
      <w:contextualSpacing/>
    </w:pPr>
    <w:rPr>
      <w:rFonts w:ascii="Arial" w:hAnsi="Arial"/>
      <w:szCs w:val="22"/>
    </w:rPr>
  </w:style>
  <w:style w:type="table" w:styleId="Table3Deffects1">
    <w:name w:val="Table 3D effects 1"/>
    <w:basedOn w:val="TableNormal"/>
    <w:rsid w:val="00845355"/>
    <w:pPr>
      <w:spacing w:after="200"/>
    </w:pPr>
    <w:rPr>
      <w:rFonts w:asciiTheme="minorHAnsi" w:eastAsiaTheme="minorHAnsi" w:hAnsiTheme="minorHAnsi" w:cstheme="minorBid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45355"/>
    <w:pPr>
      <w:spacing w:after="200"/>
    </w:pPr>
    <w:rPr>
      <w:rFonts w:asciiTheme="minorHAnsi" w:eastAsiaTheme="minorHAnsi" w:hAnsiTheme="minorHAnsi" w:cstheme="minorBid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45355"/>
    <w:rPr>
      <w:rFonts w:asciiTheme="minorHAnsi" w:eastAsiaTheme="minorHAnsi" w:hAnsi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45355"/>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ffeyColour2Green">
    <w:name w:val="Coffey Colour 2 (Green)"/>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single" w:sz="4" w:space="0" w:color="003478" w:themeColor="accent1"/>
          <w:insideV w:val="single" w:sz="4" w:space="0" w:color="FFFFFF" w:themeColor="background1"/>
          <w:tl2br w:val="nil"/>
          <w:tr2bl w:val="nil"/>
        </w:tcBorders>
        <w:shd w:val="clear" w:color="auto" w:fill="4C7B9E" w:themeFill="accent2"/>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4C7B9E" w:themeFill="accent2"/>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D9E4ED" w:themeFill="accent2"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D9E4ED" w:themeFill="accent2"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4C7B9E" w:themeFill="accent2"/>
      </w:tcPr>
    </w:tblStylePr>
    <w:tblStylePr w:type="nwCell">
      <w:tblPr/>
      <w:tcPr>
        <w:tcBorders>
          <w:top w:val="nil"/>
          <w:left w:val="single" w:sz="4" w:space="0" w:color="003478" w:themeColor="accent1"/>
          <w:bottom w:val="nil"/>
          <w:right w:val="nil"/>
          <w:insideH w:val="nil"/>
          <w:insideV w:val="nil"/>
          <w:tl2br w:val="nil"/>
          <w:tr2bl w:val="nil"/>
        </w:tcBorders>
        <w:shd w:val="clear" w:color="auto" w:fill="4C7B9E" w:themeFill="accent2"/>
      </w:tcPr>
    </w:tblStylePr>
    <w:tblStylePr w:type="s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4C7B9E" w:themeFill="accent2"/>
      </w:tcPr>
    </w:tblStylePr>
  </w:style>
  <w:style w:type="table" w:customStyle="1" w:styleId="CoffeyColour3Blue">
    <w:name w:val="Coffey Colour 3 (Blu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AD6500" w:themeFill="accent3"/>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AD6500" w:themeFill="accent3"/>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FFE2BB" w:themeFill="accent3"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FFE2BB" w:themeFill="accent3"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D6500" w:themeFill="accent3"/>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D6500" w:themeFill="accent3"/>
      </w:tcPr>
    </w:tblStylePr>
  </w:style>
  <w:style w:type="table" w:customStyle="1" w:styleId="CoffeyColour4Purple">
    <w:name w:val="Coffey Colour 4 (Purpl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4C7B9E" w:themeColor="background2"/>
          <w:tl2br w:val="nil"/>
          <w:tr2bl w:val="nil"/>
        </w:tcBorders>
        <w:shd w:val="clear" w:color="auto" w:fill="597C31" w:themeFill="accent4"/>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597C31" w:themeFill="accent4"/>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DEEBCE" w:themeFill="accent4" w:themeFillTint="33"/>
      </w:tcPr>
    </w:tblStylePr>
    <w:tblStylePr w:type="band2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auto"/>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DEEBCE" w:themeFill="accent4"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97C31" w:themeFill="accent4"/>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97C31" w:themeFill="accent4"/>
      </w:tcPr>
    </w:tblStylePr>
  </w:style>
  <w:style w:type="paragraph" w:customStyle="1" w:styleId="Heading1NoNumbers">
    <w:name w:val="Heading 1 No Numbers"/>
    <w:basedOn w:val="Heading1"/>
    <w:next w:val="BodyText"/>
    <w:link w:val="Heading1NoNumbersChar"/>
    <w:uiPriority w:val="2"/>
    <w:rsid w:val="00845355"/>
    <w:pPr>
      <w:numPr>
        <w:numId w:val="10"/>
      </w:numPr>
      <w:spacing w:before="480" w:after="120" w:line="264" w:lineRule="auto"/>
      <w:contextualSpacing/>
    </w:pPr>
    <w:rPr>
      <w:rFonts w:ascii="Arial" w:hAnsi="Arial"/>
      <w:color w:val="A25EA6"/>
      <w:szCs w:val="40"/>
    </w:rPr>
  </w:style>
  <w:style w:type="character" w:customStyle="1" w:styleId="Heading1NoNumbersChar">
    <w:name w:val="Heading 1 No Numbers Char"/>
    <w:basedOn w:val="Heading1Char"/>
    <w:link w:val="Heading1NoNumbers"/>
    <w:uiPriority w:val="2"/>
    <w:rsid w:val="00845355"/>
    <w:rPr>
      <w:rFonts w:ascii="Arial" w:hAnsi="Arial" w:cs="Arial"/>
      <w:b w:val="0"/>
      <w:color w:val="A25EA6"/>
      <w:sz w:val="36"/>
      <w:szCs w:val="40"/>
      <w:lang w:eastAsia="en-US"/>
    </w:rPr>
  </w:style>
  <w:style w:type="paragraph" w:customStyle="1" w:styleId="Heading2NoNumbers">
    <w:name w:val="Heading 2 No Numbers"/>
    <w:basedOn w:val="Heading2"/>
    <w:next w:val="BodyText"/>
    <w:link w:val="Heading2NoNumbersChar"/>
    <w:uiPriority w:val="2"/>
    <w:rsid w:val="00A55B76"/>
    <w:pPr>
      <w:numPr>
        <w:numId w:val="10"/>
      </w:numPr>
      <w:spacing w:line="252" w:lineRule="auto"/>
    </w:pPr>
    <w:rPr>
      <w:rFonts w:ascii="Arial" w:hAnsi="Arial"/>
      <w:color w:val="003478" w:themeColor="text2"/>
      <w:szCs w:val="36"/>
    </w:rPr>
  </w:style>
  <w:style w:type="character" w:customStyle="1" w:styleId="Heading2NoNumbersChar">
    <w:name w:val="Heading 2 No Numbers Char"/>
    <w:basedOn w:val="Heading2Char"/>
    <w:link w:val="Heading2NoNumbers"/>
    <w:uiPriority w:val="2"/>
    <w:rsid w:val="00845355"/>
    <w:rPr>
      <w:rFonts w:ascii="Arial" w:hAnsi="Arial"/>
      <w:b w:val="0"/>
      <w:bCs/>
      <w:color w:val="003478" w:themeColor="text2"/>
      <w:sz w:val="24"/>
      <w:szCs w:val="36"/>
      <w:lang w:val="en-US" w:eastAsia="en-US"/>
    </w:rPr>
  </w:style>
  <w:style w:type="paragraph" w:customStyle="1" w:styleId="Heading3NoNumbers">
    <w:name w:val="Heading 3 No Numbers"/>
    <w:basedOn w:val="Heading3"/>
    <w:next w:val="BodyText"/>
    <w:link w:val="Heading3NoNumbersChar"/>
    <w:uiPriority w:val="2"/>
    <w:rsid w:val="00845355"/>
    <w:pPr>
      <w:spacing w:before="240"/>
      <w:ind w:left="432" w:hanging="432"/>
      <w:contextualSpacing/>
    </w:pPr>
    <w:rPr>
      <w:rFonts w:ascii="Arial" w:hAnsi="Arial"/>
      <w:color w:val="000000" w:themeColor="text1"/>
      <w:sz w:val="24"/>
      <w:szCs w:val="32"/>
    </w:rPr>
  </w:style>
  <w:style w:type="character" w:customStyle="1" w:styleId="Heading3NoNumbersChar">
    <w:name w:val="Heading 3 No Numbers Char"/>
    <w:basedOn w:val="Heading3Char"/>
    <w:link w:val="Heading3NoNumbers"/>
    <w:uiPriority w:val="2"/>
    <w:rsid w:val="00845355"/>
    <w:rPr>
      <w:rFonts w:ascii="Arial" w:hAnsi="Arial"/>
      <w:b w:val="0"/>
      <w:bCs/>
      <w:color w:val="000000" w:themeColor="text1"/>
      <w:sz w:val="24"/>
      <w:szCs w:val="32"/>
      <w:lang w:val="en-GB" w:eastAsia="en-US"/>
    </w:rPr>
  </w:style>
  <w:style w:type="paragraph" w:customStyle="1" w:styleId="CoffeyBulletsL1">
    <w:name w:val="Coffey Bullets L1"/>
    <w:basedOn w:val="Normal"/>
    <w:link w:val="CoffeyBulletsL1Char"/>
    <w:uiPriority w:val="99"/>
    <w:rsid w:val="00845355"/>
    <w:pPr>
      <w:tabs>
        <w:tab w:val="num" w:pos="357"/>
      </w:tabs>
      <w:ind w:left="360" w:hanging="360"/>
      <w:contextualSpacing/>
    </w:pPr>
    <w:rPr>
      <w:rFonts w:ascii="Helvetica LT Std" w:hAnsi="Helvetica LT Std"/>
    </w:rPr>
  </w:style>
  <w:style w:type="paragraph" w:customStyle="1" w:styleId="CoffeyBulletsL2">
    <w:name w:val="Coffey Bullets L2"/>
    <w:basedOn w:val="CoffeyBulletsL1"/>
    <w:link w:val="CoffeyBulletsL2Char"/>
    <w:uiPriority w:val="99"/>
    <w:rsid w:val="00845355"/>
    <w:pPr>
      <w:numPr>
        <w:ilvl w:val="1"/>
      </w:numPr>
      <w:tabs>
        <w:tab w:val="num" w:pos="357"/>
      </w:tabs>
      <w:ind w:left="360" w:hanging="360"/>
    </w:pPr>
  </w:style>
  <w:style w:type="character" w:customStyle="1" w:styleId="CoffeyBulletsL1Char">
    <w:name w:val="Coffey Bullets L1 Char"/>
    <w:basedOn w:val="BodyTextChar"/>
    <w:link w:val="CoffeyBulletsL1"/>
    <w:uiPriority w:val="99"/>
    <w:rsid w:val="00845355"/>
    <w:rPr>
      <w:rFonts w:ascii="Helvetica LT Std" w:hAnsi="Helvetica LT Std"/>
      <w:sz w:val="19"/>
      <w:szCs w:val="19"/>
      <w:lang w:eastAsia="en-US"/>
    </w:rPr>
  </w:style>
  <w:style w:type="paragraph" w:customStyle="1" w:styleId="CoffeyBulletsL3">
    <w:name w:val="Coffey Bullets L3"/>
    <w:basedOn w:val="CoffeyBulletsL2"/>
    <w:link w:val="CoffeyBulletsL3Char"/>
    <w:uiPriority w:val="99"/>
    <w:rsid w:val="00845355"/>
    <w:pPr>
      <w:numPr>
        <w:ilvl w:val="2"/>
      </w:numPr>
      <w:tabs>
        <w:tab w:val="num" w:pos="357"/>
      </w:tabs>
      <w:ind w:left="360" w:hanging="360"/>
    </w:pPr>
    <w:rPr>
      <w:sz w:val="19"/>
    </w:rPr>
  </w:style>
  <w:style w:type="character" w:customStyle="1" w:styleId="CoffeyBulletsL2Char">
    <w:name w:val="Coffey Bullets L2 Char"/>
    <w:basedOn w:val="DefaultParagraphFont"/>
    <w:link w:val="CoffeyBulletsL2"/>
    <w:uiPriority w:val="99"/>
    <w:rsid w:val="00845355"/>
    <w:rPr>
      <w:rFonts w:ascii="Helvetica LT Std" w:hAnsi="Helvetica LT Std"/>
      <w:lang w:eastAsia="en-US"/>
    </w:rPr>
  </w:style>
  <w:style w:type="paragraph" w:customStyle="1" w:styleId="CoffeyNumbersL1">
    <w:name w:val="Coffey Numbers L1"/>
    <w:basedOn w:val="Normal"/>
    <w:link w:val="CoffeyNumbersL1Char"/>
    <w:uiPriority w:val="99"/>
    <w:rsid w:val="00845355"/>
    <w:pPr>
      <w:numPr>
        <w:numId w:val="7"/>
      </w:numPr>
      <w:contextualSpacing/>
    </w:pPr>
  </w:style>
  <w:style w:type="character" w:customStyle="1" w:styleId="CoffeyBulletsL3Char">
    <w:name w:val="Coffey Bullets L3 Char"/>
    <w:basedOn w:val="DefaultParagraphFont"/>
    <w:link w:val="CoffeyBulletsL3"/>
    <w:uiPriority w:val="99"/>
    <w:rsid w:val="00845355"/>
    <w:rPr>
      <w:rFonts w:ascii="Helvetica LT Std" w:hAnsi="Helvetica LT Std"/>
      <w:sz w:val="19"/>
      <w:lang w:eastAsia="en-US"/>
    </w:rPr>
  </w:style>
  <w:style w:type="paragraph" w:customStyle="1" w:styleId="CoffeyNumbersL2">
    <w:name w:val="Coffey Numbers L2"/>
    <w:basedOn w:val="CoffeyNumbersL1"/>
    <w:link w:val="CoffeyNumbersL2Char"/>
    <w:uiPriority w:val="99"/>
    <w:rsid w:val="00845355"/>
    <w:pPr>
      <w:numPr>
        <w:ilvl w:val="1"/>
      </w:numPr>
    </w:pPr>
  </w:style>
  <w:style w:type="character" w:customStyle="1" w:styleId="CoffeyNumbersL1Char">
    <w:name w:val="Coffey Numbers L1 Char"/>
    <w:basedOn w:val="DefaultParagraphFont"/>
    <w:link w:val="CoffeyNumbersL1"/>
    <w:uiPriority w:val="99"/>
    <w:rsid w:val="00845355"/>
    <w:rPr>
      <w:rFonts w:ascii="Arial" w:hAnsi="Arial"/>
      <w:lang w:eastAsia="en-US"/>
    </w:rPr>
  </w:style>
  <w:style w:type="paragraph" w:customStyle="1" w:styleId="CoffeyNumbersL3">
    <w:name w:val="Coffey Numbers L3"/>
    <w:basedOn w:val="CoffeyNumbersL2"/>
    <w:link w:val="CoffeyNumbersL3Char"/>
    <w:uiPriority w:val="99"/>
    <w:rsid w:val="00845355"/>
    <w:pPr>
      <w:numPr>
        <w:ilvl w:val="2"/>
      </w:numPr>
    </w:pPr>
  </w:style>
  <w:style w:type="character" w:customStyle="1" w:styleId="CoffeyNumbersL2Char">
    <w:name w:val="Coffey Numbers L2 Char"/>
    <w:basedOn w:val="DefaultParagraphFont"/>
    <w:link w:val="CoffeyNumbersL2"/>
    <w:uiPriority w:val="99"/>
    <w:rsid w:val="00845355"/>
    <w:rPr>
      <w:rFonts w:ascii="Arial" w:hAnsi="Arial"/>
      <w:lang w:eastAsia="en-US"/>
    </w:rPr>
  </w:style>
  <w:style w:type="numbering" w:customStyle="1" w:styleId="CoffeyBullets">
    <w:name w:val="Coffey Bullets"/>
    <w:uiPriority w:val="99"/>
    <w:rsid w:val="00845355"/>
    <w:pPr>
      <w:numPr>
        <w:numId w:val="12"/>
      </w:numPr>
    </w:pPr>
  </w:style>
  <w:style w:type="character" w:customStyle="1" w:styleId="CoffeyNumbersL3Char">
    <w:name w:val="Coffey Numbers L3 Char"/>
    <w:basedOn w:val="DefaultParagraphFont"/>
    <w:link w:val="CoffeyNumbersL3"/>
    <w:uiPriority w:val="99"/>
    <w:rsid w:val="00845355"/>
    <w:rPr>
      <w:rFonts w:ascii="Arial" w:hAnsi="Arial"/>
      <w:lang w:eastAsia="en-US"/>
    </w:rPr>
  </w:style>
  <w:style w:type="numbering" w:customStyle="1" w:styleId="CoffeyNumbers">
    <w:name w:val="Coffey Numbers"/>
    <w:uiPriority w:val="99"/>
    <w:rsid w:val="00845355"/>
    <w:pPr>
      <w:numPr>
        <w:numId w:val="7"/>
      </w:numPr>
    </w:pPr>
  </w:style>
  <w:style w:type="paragraph" w:customStyle="1" w:styleId="CoffeyBlankPageText">
    <w:name w:val="Coffey Blank Page Text"/>
    <w:basedOn w:val="BodyText"/>
    <w:next w:val="BodyText"/>
    <w:link w:val="CoffeyBlankPageTextChar"/>
    <w:uiPriority w:val="99"/>
    <w:rsid w:val="00845355"/>
    <w:pPr>
      <w:keepLines/>
      <w:pageBreakBefore/>
      <w:spacing w:before="2000" w:after="0"/>
      <w:jc w:val="center"/>
    </w:pPr>
    <w:rPr>
      <w:rFonts w:ascii="Arial" w:hAnsi="Arial"/>
      <w:color w:val="1579FF" w:themeColor="accent1" w:themeTint="99"/>
      <w:szCs w:val="22"/>
    </w:rPr>
  </w:style>
  <w:style w:type="character" w:customStyle="1" w:styleId="CoffeyBlankPageTextChar">
    <w:name w:val="Coffey Blank Page Text Char"/>
    <w:basedOn w:val="BodyTextChar"/>
    <w:link w:val="CoffeyBlankPageText"/>
    <w:uiPriority w:val="99"/>
    <w:rsid w:val="00845355"/>
    <w:rPr>
      <w:rFonts w:ascii="Arial" w:hAnsi="Arial"/>
      <w:color w:val="1579FF" w:themeColor="accent1" w:themeTint="99"/>
      <w:sz w:val="19"/>
      <w:szCs w:val="22"/>
      <w:lang w:eastAsia="en-US"/>
    </w:rPr>
  </w:style>
  <w:style w:type="paragraph" w:styleId="TOC7">
    <w:name w:val="toc 7"/>
    <w:basedOn w:val="Normal"/>
    <w:next w:val="Normal"/>
    <w:uiPriority w:val="39"/>
    <w:rsid w:val="00845355"/>
    <w:pPr>
      <w:spacing w:after="100"/>
    </w:pPr>
  </w:style>
  <w:style w:type="character" w:styleId="PlaceholderText">
    <w:name w:val="Placeholder Text"/>
    <w:basedOn w:val="DefaultParagraphFont"/>
    <w:uiPriority w:val="99"/>
    <w:semiHidden/>
    <w:rsid w:val="00845355"/>
    <w:rPr>
      <w:color w:val="808080"/>
    </w:rPr>
  </w:style>
  <w:style w:type="character" w:customStyle="1" w:styleId="ListParagraphChar">
    <w:name w:val="List Paragraph Char"/>
    <w:aliases w:val="sub-section Char,MCHIP_list paragraph Char,List Paragraph1 Char,Recommendation Char,Bullet List Char,FooterText Char,F5 List Paragraph Char,Dot pt Char,No Spacing1 Char,List Paragraph Char Char Char Char,Indicator Text Char,L Char"/>
    <w:basedOn w:val="DefaultParagraphFont"/>
    <w:link w:val="ListParagraph"/>
    <w:uiPriority w:val="34"/>
    <w:qFormat/>
    <w:locked/>
    <w:rsid w:val="00845355"/>
    <w:rPr>
      <w:rFonts w:ascii="Arial" w:hAnsi="Arial"/>
      <w:lang w:eastAsia="en-US"/>
    </w:rPr>
  </w:style>
  <w:style w:type="paragraph" w:customStyle="1" w:styleId="boxheading">
    <w:name w:val="box heading"/>
    <w:basedOn w:val="BodyCopy"/>
    <w:uiPriority w:val="99"/>
    <w:rsid w:val="00845355"/>
    <w:rPr>
      <w:b/>
      <w:color w:val="FFFFFF" w:themeColor="background1"/>
    </w:rPr>
  </w:style>
  <w:style w:type="paragraph" w:customStyle="1" w:styleId="Boxbullet">
    <w:name w:val="Box bullet"/>
    <w:basedOn w:val="BodyCopy"/>
    <w:uiPriority w:val="99"/>
    <w:rsid w:val="00845355"/>
    <w:pPr>
      <w:numPr>
        <w:numId w:val="9"/>
      </w:numPr>
    </w:pPr>
    <w:rPr>
      <w:color w:val="FFFFFF" w:themeColor="background1"/>
    </w:rPr>
  </w:style>
  <w:style w:type="paragraph" w:customStyle="1" w:styleId="Heading41">
    <w:name w:val="Heading 41"/>
    <w:basedOn w:val="Heading3NoNumbers"/>
    <w:link w:val="heading4Char0"/>
    <w:uiPriority w:val="99"/>
    <w:rsid w:val="00845355"/>
    <w:pPr>
      <w:contextualSpacing w:val="0"/>
      <w:outlineLvl w:val="9"/>
    </w:pPr>
    <w:rPr>
      <w:color w:val="A25EA6"/>
    </w:rPr>
  </w:style>
  <w:style w:type="character" w:styleId="CommentReference">
    <w:name w:val="annotation reference"/>
    <w:basedOn w:val="DefaultParagraphFont"/>
    <w:uiPriority w:val="99"/>
    <w:semiHidden/>
    <w:unhideWhenUsed/>
    <w:rsid w:val="00845355"/>
    <w:rPr>
      <w:sz w:val="16"/>
      <w:szCs w:val="16"/>
    </w:rPr>
  </w:style>
  <w:style w:type="character" w:customStyle="1" w:styleId="heading4Char0">
    <w:name w:val="heading 4 Char"/>
    <w:basedOn w:val="Heading3NoNumbersChar"/>
    <w:link w:val="Heading41"/>
    <w:uiPriority w:val="99"/>
    <w:rsid w:val="00845355"/>
    <w:rPr>
      <w:rFonts w:ascii="Arial" w:hAnsi="Arial"/>
      <w:b w:val="0"/>
      <w:bCs/>
      <w:color w:val="A25EA6"/>
      <w:sz w:val="24"/>
      <w:szCs w:val="32"/>
      <w:lang w:val="en-GB" w:eastAsia="en-US"/>
    </w:rPr>
  </w:style>
  <w:style w:type="paragraph" w:styleId="CommentText">
    <w:name w:val="annotation text"/>
    <w:basedOn w:val="Normal"/>
    <w:link w:val="CommentTextChar"/>
    <w:uiPriority w:val="99"/>
    <w:unhideWhenUsed/>
    <w:rsid w:val="00845355"/>
  </w:style>
  <w:style w:type="character" w:customStyle="1" w:styleId="CommentTextChar">
    <w:name w:val="Comment Text Char"/>
    <w:basedOn w:val="DefaultParagraphFont"/>
    <w:link w:val="CommentText"/>
    <w:uiPriority w:val="99"/>
    <w:rsid w:val="0084535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45355"/>
    <w:rPr>
      <w:b/>
      <w:bCs/>
    </w:rPr>
  </w:style>
  <w:style w:type="character" w:customStyle="1" w:styleId="CommentSubjectChar">
    <w:name w:val="Comment Subject Char"/>
    <w:basedOn w:val="CommentTextChar"/>
    <w:link w:val="CommentSubject"/>
    <w:uiPriority w:val="99"/>
    <w:semiHidden/>
    <w:rsid w:val="00845355"/>
    <w:rPr>
      <w:rFonts w:ascii="Arial" w:hAnsi="Arial"/>
      <w:b/>
      <w:bCs/>
      <w:lang w:eastAsia="en-US"/>
    </w:rPr>
  </w:style>
  <w:style w:type="paragraph" w:styleId="Revision">
    <w:name w:val="Revision"/>
    <w:hidden/>
    <w:uiPriority w:val="99"/>
    <w:semiHidden/>
    <w:rsid w:val="00845355"/>
    <w:rPr>
      <w:rFonts w:ascii="Arial" w:hAnsi="Arial"/>
      <w:lang w:eastAsia="en-US"/>
    </w:rPr>
  </w:style>
  <w:style w:type="paragraph" w:customStyle="1" w:styleId="AnnexHeading0">
    <w:name w:val="Annex Heading"/>
    <w:basedOn w:val="ContentsHeading"/>
    <w:link w:val="AnnexHeadingChar"/>
    <w:uiPriority w:val="99"/>
    <w:rsid w:val="00845355"/>
    <w:pPr>
      <w:spacing w:before="0" w:after="480"/>
      <w:contextualSpacing w:val="0"/>
    </w:pPr>
    <w:rPr>
      <w:sz w:val="36"/>
    </w:rPr>
  </w:style>
  <w:style w:type="paragraph" w:customStyle="1" w:styleId="TableHead">
    <w:name w:val="Table Head"/>
    <w:basedOn w:val="Normal"/>
    <w:link w:val="TableHeadChar"/>
    <w:uiPriority w:val="99"/>
    <w:rsid w:val="00845355"/>
    <w:pPr>
      <w:keepNext/>
      <w:keepLines/>
      <w:spacing w:before="240" w:after="120"/>
      <w:ind w:left="1134" w:hanging="1134"/>
      <w:contextualSpacing/>
    </w:pPr>
    <w:rPr>
      <w:rFonts w:ascii="Rockwell" w:hAnsi="Rockwell"/>
      <w:b/>
      <w:sz w:val="22"/>
      <w:szCs w:val="22"/>
      <w:lang w:val="en-CA"/>
    </w:rPr>
  </w:style>
  <w:style w:type="character" w:customStyle="1" w:styleId="ContentsHeadingChar">
    <w:name w:val="Contents Heading Char"/>
    <w:basedOn w:val="DefaultParagraphFont"/>
    <w:link w:val="ContentsHeading"/>
    <w:uiPriority w:val="99"/>
    <w:rsid w:val="00845355"/>
    <w:rPr>
      <w:rFonts w:ascii="Arial" w:hAnsi="Arial"/>
      <w:b/>
      <w:sz w:val="44"/>
      <w:szCs w:val="40"/>
      <w:lang w:eastAsia="en-US"/>
    </w:rPr>
  </w:style>
  <w:style w:type="character" w:customStyle="1" w:styleId="AnnexHeadingChar">
    <w:name w:val="Annex Heading Char"/>
    <w:basedOn w:val="ContentsHeadingChar"/>
    <w:link w:val="AnnexHeading0"/>
    <w:uiPriority w:val="99"/>
    <w:rsid w:val="00845355"/>
    <w:rPr>
      <w:rFonts w:ascii="Arial" w:hAnsi="Arial"/>
      <w:b/>
      <w:sz w:val="36"/>
      <w:szCs w:val="40"/>
      <w:lang w:eastAsia="en-US"/>
    </w:rPr>
  </w:style>
  <w:style w:type="character" w:customStyle="1" w:styleId="TableHeadChar">
    <w:name w:val="Table Head Char"/>
    <w:basedOn w:val="DefaultParagraphFont"/>
    <w:link w:val="TableHead"/>
    <w:uiPriority w:val="99"/>
    <w:rsid w:val="00845355"/>
    <w:rPr>
      <w:rFonts w:ascii="Rockwell" w:hAnsi="Rockwell"/>
      <w:b/>
      <w:sz w:val="22"/>
      <w:szCs w:val="22"/>
      <w:lang w:val="en-CA" w:eastAsia="en-US"/>
    </w:rPr>
  </w:style>
  <w:style w:type="table" w:customStyle="1" w:styleId="TableGrid1">
    <w:name w:val="Table Grid1"/>
    <w:basedOn w:val="TableNormal"/>
    <w:next w:val="TableGrid"/>
    <w:uiPriority w:val="59"/>
    <w:rsid w:val="00845355"/>
    <w:pPr>
      <w:spacing w:before="77" w:after="113" w:line="250" w:lineRule="exac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5355"/>
    <w:rPr>
      <w:color w:val="954F72"/>
      <w:u w:val="single"/>
    </w:rPr>
  </w:style>
  <w:style w:type="paragraph" w:customStyle="1" w:styleId="msonormal0">
    <w:name w:val="msonormal"/>
    <w:basedOn w:val="Normal"/>
    <w:rsid w:val="00845355"/>
    <w:pPr>
      <w:spacing w:before="100" w:beforeAutospacing="1" w:after="100" w:afterAutospacing="1"/>
    </w:pPr>
    <w:rPr>
      <w:rFonts w:ascii="Times New Roman" w:eastAsia="Times New Roman" w:hAnsi="Times New Roman"/>
      <w:sz w:val="24"/>
      <w:szCs w:val="24"/>
      <w:lang w:val="en-US"/>
    </w:rPr>
  </w:style>
  <w:style w:type="paragraph" w:customStyle="1" w:styleId="font5">
    <w:name w:val="font5"/>
    <w:basedOn w:val="Normal"/>
    <w:rsid w:val="00845355"/>
    <w:pPr>
      <w:spacing w:before="100" w:beforeAutospacing="1" w:after="100" w:afterAutospacing="1"/>
    </w:pPr>
    <w:rPr>
      <w:rFonts w:ascii="Times New Roman" w:eastAsia="Times New Roman" w:hAnsi="Times New Roman"/>
      <w:color w:val="000000"/>
      <w:lang w:val="en-US"/>
    </w:rPr>
  </w:style>
  <w:style w:type="paragraph" w:customStyle="1" w:styleId="font6">
    <w:name w:val="font6"/>
    <w:basedOn w:val="Normal"/>
    <w:rsid w:val="00845355"/>
    <w:pPr>
      <w:spacing w:before="100" w:beforeAutospacing="1" w:after="100" w:afterAutospacing="1"/>
    </w:pPr>
    <w:rPr>
      <w:rFonts w:eastAsia="Times New Roman" w:cs="Arial"/>
      <w:color w:val="000000"/>
      <w:lang w:val="en-US"/>
    </w:rPr>
  </w:style>
  <w:style w:type="paragraph" w:customStyle="1" w:styleId="font7">
    <w:name w:val="font7"/>
    <w:basedOn w:val="Normal"/>
    <w:rsid w:val="00845355"/>
    <w:pPr>
      <w:spacing w:before="100" w:beforeAutospacing="1" w:after="100" w:afterAutospacing="1"/>
    </w:pPr>
    <w:rPr>
      <w:rFonts w:ascii="Times New Roman" w:eastAsia="Times New Roman" w:hAnsi="Times New Roman"/>
      <w:color w:val="000000"/>
      <w:sz w:val="18"/>
      <w:szCs w:val="18"/>
      <w:lang w:val="en-US"/>
    </w:rPr>
  </w:style>
  <w:style w:type="paragraph" w:customStyle="1" w:styleId="font8">
    <w:name w:val="font8"/>
    <w:basedOn w:val="Normal"/>
    <w:rsid w:val="00845355"/>
    <w:pPr>
      <w:spacing w:before="100" w:beforeAutospacing="1" w:after="100" w:afterAutospacing="1"/>
    </w:pPr>
    <w:rPr>
      <w:rFonts w:eastAsia="Times New Roman" w:cs="Arial"/>
      <w:color w:val="000000"/>
      <w:sz w:val="18"/>
      <w:szCs w:val="18"/>
      <w:lang w:val="en-US"/>
    </w:rPr>
  </w:style>
  <w:style w:type="paragraph" w:customStyle="1" w:styleId="font9">
    <w:name w:val="font9"/>
    <w:basedOn w:val="Normal"/>
    <w:rsid w:val="00845355"/>
    <w:pPr>
      <w:spacing w:before="100" w:beforeAutospacing="1" w:after="100" w:afterAutospacing="1"/>
    </w:pPr>
    <w:rPr>
      <w:rFonts w:ascii="Tahoma" w:eastAsia="Times New Roman" w:hAnsi="Tahoma" w:cs="Tahoma"/>
      <w:color w:val="000000"/>
      <w:sz w:val="18"/>
      <w:szCs w:val="18"/>
      <w:lang w:val="en-US"/>
    </w:rPr>
  </w:style>
  <w:style w:type="paragraph" w:customStyle="1" w:styleId="font10">
    <w:name w:val="font10"/>
    <w:basedOn w:val="Normal"/>
    <w:rsid w:val="00845355"/>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845355"/>
    <w:pPr>
      <w:pBdr>
        <w:left w:val="single" w:sz="8" w:space="0" w:color="FFFFFF"/>
        <w:right w:val="single" w:sz="8" w:space="0" w:color="FFFFFF"/>
      </w:pBdr>
      <w:shd w:val="clear" w:color="000000" w:fill="D9D9D9"/>
      <w:spacing w:before="100" w:beforeAutospacing="1" w:after="100" w:afterAutospacing="1"/>
      <w:textAlignment w:val="top"/>
    </w:pPr>
    <w:rPr>
      <w:rFonts w:ascii="Times New Roman" w:eastAsia="Times New Roman" w:hAnsi="Times New Roman"/>
      <w:lang w:val="en-US"/>
    </w:rPr>
  </w:style>
  <w:style w:type="paragraph" w:customStyle="1" w:styleId="xl64">
    <w:name w:val="xl64"/>
    <w:basedOn w:val="Normal"/>
    <w:rsid w:val="00845355"/>
    <w:pPr>
      <w:pBdr>
        <w:left w:val="single" w:sz="8" w:space="0" w:color="FFFFFF"/>
        <w:bottom w:val="single" w:sz="8" w:space="0" w:color="FFFFFF"/>
        <w:right w:val="single" w:sz="8" w:space="0" w:color="FFFFFF"/>
      </w:pBdr>
      <w:shd w:val="clear" w:color="000000" w:fill="D9D9D9"/>
      <w:spacing w:before="100" w:beforeAutospacing="1" w:after="100" w:afterAutospacing="1"/>
      <w:textAlignment w:val="top"/>
    </w:pPr>
    <w:rPr>
      <w:rFonts w:ascii="Times New Roman" w:eastAsia="Times New Roman" w:hAnsi="Times New Roman"/>
      <w:lang w:val="en-US"/>
    </w:rPr>
  </w:style>
  <w:style w:type="paragraph" w:customStyle="1" w:styleId="xl65">
    <w:name w:val="xl65"/>
    <w:basedOn w:val="Normal"/>
    <w:rsid w:val="00845355"/>
    <w:pPr>
      <w:pBdr>
        <w:left w:val="single" w:sz="8" w:space="0" w:color="FFFFFF"/>
        <w:right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66">
    <w:name w:val="xl66"/>
    <w:basedOn w:val="Normal"/>
    <w:rsid w:val="00845355"/>
    <w:pPr>
      <w:spacing w:before="100" w:beforeAutospacing="1" w:after="100" w:afterAutospacing="1"/>
      <w:textAlignment w:val="center"/>
    </w:pPr>
    <w:rPr>
      <w:rFonts w:ascii="Times New Roman" w:eastAsia="Times New Roman" w:hAnsi="Times New Roman"/>
      <w:lang w:val="en-US"/>
    </w:rPr>
  </w:style>
  <w:style w:type="paragraph" w:customStyle="1" w:styleId="xl67">
    <w:name w:val="xl67"/>
    <w:basedOn w:val="Normal"/>
    <w:rsid w:val="00845355"/>
    <w:pPr>
      <w:pBdr>
        <w:left w:val="single" w:sz="8" w:space="0" w:color="FFFFFF"/>
        <w:bottom w:val="single" w:sz="8" w:space="0" w:color="FFFFFF"/>
        <w:right w:val="single" w:sz="8" w:space="0" w:color="FFFFFF"/>
      </w:pBdr>
      <w:shd w:val="clear" w:color="000000" w:fill="BFBFBF"/>
      <w:spacing w:before="100" w:beforeAutospacing="1" w:after="100" w:afterAutospacing="1"/>
      <w:textAlignment w:val="center"/>
    </w:pPr>
    <w:rPr>
      <w:rFonts w:eastAsia="Times New Roman" w:cs="Arial"/>
      <w:b/>
      <w:bCs/>
      <w:color w:val="000000"/>
      <w:lang w:val="en-US"/>
    </w:rPr>
  </w:style>
  <w:style w:type="paragraph" w:customStyle="1" w:styleId="xl68">
    <w:name w:val="xl68"/>
    <w:basedOn w:val="Normal"/>
    <w:rsid w:val="00845355"/>
    <w:pPr>
      <w:spacing w:before="100" w:beforeAutospacing="1" w:after="100" w:afterAutospacing="1"/>
    </w:pPr>
    <w:rPr>
      <w:rFonts w:ascii="Times New Roman" w:eastAsia="Times New Roman" w:hAnsi="Times New Roman"/>
      <w:lang w:val="en-US"/>
    </w:rPr>
  </w:style>
  <w:style w:type="paragraph" w:customStyle="1" w:styleId="xl69">
    <w:name w:val="xl69"/>
    <w:basedOn w:val="Normal"/>
    <w:rsid w:val="00845355"/>
    <w:pPr>
      <w:spacing w:before="100" w:beforeAutospacing="1" w:after="100" w:afterAutospacing="1"/>
      <w:textAlignment w:val="center"/>
    </w:pPr>
    <w:rPr>
      <w:rFonts w:eastAsia="Times New Roman" w:cs="Arial"/>
      <w:b/>
      <w:bCs/>
      <w:color w:val="000000"/>
      <w:lang w:val="en-US"/>
    </w:rPr>
  </w:style>
  <w:style w:type="paragraph" w:customStyle="1" w:styleId="xl70">
    <w:name w:val="xl70"/>
    <w:basedOn w:val="Normal"/>
    <w:rsid w:val="00845355"/>
    <w:pPr>
      <w:spacing w:before="100" w:beforeAutospacing="1" w:after="100" w:afterAutospacing="1"/>
      <w:textAlignment w:val="center"/>
    </w:pPr>
    <w:rPr>
      <w:rFonts w:eastAsia="Times New Roman" w:cs="Arial"/>
      <w:color w:val="000000"/>
      <w:lang w:val="en-US"/>
    </w:rPr>
  </w:style>
  <w:style w:type="paragraph" w:customStyle="1" w:styleId="xl71">
    <w:name w:val="xl71"/>
    <w:basedOn w:val="Normal"/>
    <w:rsid w:val="00845355"/>
    <w:pPr>
      <w:pBdr>
        <w:top w:val="single" w:sz="8" w:space="0" w:color="FFFFFF"/>
        <w:left w:val="single" w:sz="8" w:space="0" w:color="FFFFFF"/>
        <w:bottom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xl72">
    <w:name w:val="xl72"/>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color w:val="000000"/>
      <w:lang w:val="en-US"/>
    </w:rPr>
  </w:style>
  <w:style w:type="paragraph" w:customStyle="1" w:styleId="xl73">
    <w:name w:val="xl73"/>
    <w:basedOn w:val="Normal"/>
    <w:rsid w:val="00845355"/>
    <w:pPr>
      <w:pBdr>
        <w:top w:val="single" w:sz="8" w:space="0" w:color="FFFFFF"/>
        <w:left w:val="single" w:sz="8" w:space="0" w:color="FFFFFF"/>
        <w:bottom w:val="single" w:sz="8" w:space="0" w:color="FFFFFF"/>
      </w:pBdr>
      <w:shd w:val="clear" w:color="000000" w:fill="F2F2F2"/>
      <w:spacing w:before="100" w:beforeAutospacing="1" w:after="100" w:afterAutospacing="1"/>
      <w:jc w:val="center"/>
      <w:textAlignment w:val="center"/>
    </w:pPr>
    <w:rPr>
      <w:rFonts w:eastAsia="Times New Roman" w:cs="Arial"/>
      <w:color w:val="000000"/>
      <w:lang w:val="en-US"/>
    </w:rPr>
  </w:style>
  <w:style w:type="paragraph" w:customStyle="1" w:styleId="xl74">
    <w:name w:val="xl74"/>
    <w:basedOn w:val="Normal"/>
    <w:rsid w:val="00845355"/>
    <w:pPr>
      <w:pBdr>
        <w:bottom w:val="single" w:sz="8" w:space="0" w:color="FFFFFF"/>
        <w:right w:val="single" w:sz="8" w:space="0" w:color="FFFFFF"/>
      </w:pBdr>
      <w:shd w:val="clear" w:color="000000" w:fill="F2F2F2"/>
      <w:spacing w:before="100" w:beforeAutospacing="1" w:after="100" w:afterAutospacing="1"/>
      <w:jc w:val="center"/>
      <w:textAlignment w:val="center"/>
    </w:pPr>
    <w:rPr>
      <w:rFonts w:eastAsia="Times New Roman" w:cs="Arial"/>
      <w:color w:val="000000"/>
      <w:lang w:val="en-US"/>
    </w:rPr>
  </w:style>
  <w:style w:type="paragraph" w:customStyle="1" w:styleId="xl75">
    <w:name w:val="xl75"/>
    <w:basedOn w:val="Normal"/>
    <w:rsid w:val="00845355"/>
    <w:pPr>
      <w:pBdr>
        <w:top w:val="single" w:sz="8" w:space="0" w:color="FFFFFF"/>
        <w:left w:val="single" w:sz="8" w:space="0" w:color="FFFFFF"/>
        <w:bottom w:val="single" w:sz="8" w:space="0" w:color="FFFFFF"/>
      </w:pBdr>
      <w:shd w:val="clear" w:color="000000" w:fill="F1F1F1"/>
      <w:spacing w:before="100" w:beforeAutospacing="1" w:after="100" w:afterAutospacing="1"/>
      <w:jc w:val="center"/>
      <w:textAlignment w:val="center"/>
    </w:pPr>
    <w:rPr>
      <w:rFonts w:eastAsia="Times New Roman" w:cs="Arial"/>
      <w:color w:val="000000"/>
      <w:lang w:val="en-US"/>
    </w:rPr>
  </w:style>
  <w:style w:type="paragraph" w:customStyle="1" w:styleId="xl76">
    <w:name w:val="xl76"/>
    <w:basedOn w:val="Normal"/>
    <w:rsid w:val="00845355"/>
    <w:pPr>
      <w:pBdr>
        <w:top w:val="single" w:sz="8" w:space="0" w:color="FFFFFF"/>
        <w:bottom w:val="single" w:sz="8" w:space="0" w:color="FFFFFF"/>
        <w:right w:val="single" w:sz="8" w:space="0" w:color="FFFFFF"/>
      </w:pBdr>
      <w:shd w:val="clear" w:color="000000" w:fill="F1F1F1"/>
      <w:spacing w:before="100" w:beforeAutospacing="1" w:after="100" w:afterAutospacing="1"/>
      <w:jc w:val="center"/>
      <w:textAlignment w:val="center"/>
    </w:pPr>
    <w:rPr>
      <w:rFonts w:eastAsia="Times New Roman" w:cs="Arial"/>
      <w:color w:val="000000"/>
      <w:lang w:val="en-US"/>
    </w:rPr>
  </w:style>
  <w:style w:type="paragraph" w:customStyle="1" w:styleId="xl77">
    <w:name w:val="xl77"/>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b/>
      <w:bCs/>
      <w:i/>
      <w:iCs/>
      <w:color w:val="000000"/>
      <w:lang w:val="en-US"/>
    </w:rPr>
  </w:style>
  <w:style w:type="paragraph" w:customStyle="1" w:styleId="xl78">
    <w:name w:val="xl78"/>
    <w:basedOn w:val="Normal"/>
    <w:rsid w:val="00845355"/>
    <w:pPr>
      <w:pBdr>
        <w:top w:val="single" w:sz="8" w:space="0" w:color="FFFFFF"/>
        <w:left w:val="single" w:sz="8" w:space="0" w:color="FFFFFF"/>
        <w:bottom w:val="single" w:sz="8" w:space="0" w:color="FFFFFF"/>
      </w:pBdr>
      <w:shd w:val="clear" w:color="000000" w:fill="F7CAAC"/>
      <w:spacing w:before="100" w:beforeAutospacing="1" w:after="100" w:afterAutospacing="1"/>
      <w:jc w:val="center"/>
      <w:textAlignment w:val="center"/>
    </w:pPr>
    <w:rPr>
      <w:rFonts w:eastAsia="Times New Roman" w:cs="Arial"/>
      <w:color w:val="000000"/>
      <w:lang w:val="en-US"/>
    </w:rPr>
  </w:style>
  <w:style w:type="paragraph" w:customStyle="1" w:styleId="xl79">
    <w:name w:val="xl79"/>
    <w:basedOn w:val="Normal"/>
    <w:rsid w:val="00845355"/>
    <w:pPr>
      <w:pBdr>
        <w:bottom w:val="single" w:sz="8" w:space="0" w:color="FFFFFF"/>
        <w:right w:val="single" w:sz="8" w:space="0" w:color="FFFFFF"/>
      </w:pBdr>
      <w:shd w:val="clear" w:color="000000" w:fill="F7CAAC"/>
      <w:spacing w:before="100" w:beforeAutospacing="1" w:after="100" w:afterAutospacing="1"/>
      <w:jc w:val="center"/>
      <w:textAlignment w:val="center"/>
    </w:pPr>
    <w:rPr>
      <w:rFonts w:eastAsia="Times New Roman" w:cs="Arial"/>
      <w:color w:val="000000"/>
      <w:lang w:val="en-US"/>
    </w:rPr>
  </w:style>
  <w:style w:type="paragraph" w:customStyle="1" w:styleId="xl80">
    <w:name w:val="xl80"/>
    <w:basedOn w:val="Normal"/>
    <w:rsid w:val="00845355"/>
    <w:pPr>
      <w:pBdr>
        <w:top w:val="single" w:sz="8" w:space="0" w:color="FFFFFF"/>
        <w:bottom w:val="single" w:sz="8" w:space="0" w:color="FFFFFF"/>
        <w:right w:val="single" w:sz="8" w:space="0" w:color="FFFFFF"/>
      </w:pBdr>
      <w:shd w:val="clear" w:color="000000" w:fill="F1F1F1"/>
      <w:spacing w:before="100" w:beforeAutospacing="1" w:after="100" w:afterAutospacing="1"/>
      <w:jc w:val="center"/>
      <w:textAlignment w:val="center"/>
    </w:pPr>
    <w:rPr>
      <w:rFonts w:eastAsia="Times New Roman" w:cs="Arial"/>
      <w:b/>
      <w:bCs/>
      <w:color w:val="000000"/>
      <w:lang w:val="en-US"/>
    </w:rPr>
  </w:style>
  <w:style w:type="paragraph" w:customStyle="1" w:styleId="xl81">
    <w:name w:val="xl81"/>
    <w:basedOn w:val="Normal"/>
    <w:rsid w:val="00845355"/>
    <w:pPr>
      <w:pBdr>
        <w:top w:val="single" w:sz="8" w:space="0" w:color="FFFFFF"/>
        <w:left w:val="single" w:sz="8" w:space="0" w:color="FFFFFF"/>
        <w:bottom w:val="single" w:sz="8" w:space="0" w:color="FFFFFF"/>
      </w:pBdr>
      <w:shd w:val="clear" w:color="000000" w:fill="F1F1F1"/>
      <w:spacing w:before="100" w:beforeAutospacing="1" w:after="100" w:afterAutospacing="1"/>
      <w:jc w:val="center"/>
      <w:textAlignment w:val="center"/>
    </w:pPr>
    <w:rPr>
      <w:rFonts w:eastAsia="Times New Roman" w:cs="Arial"/>
      <w:b/>
      <w:bCs/>
      <w:color w:val="000000"/>
      <w:lang w:val="en-US"/>
    </w:rPr>
  </w:style>
  <w:style w:type="paragraph" w:customStyle="1" w:styleId="xl82">
    <w:name w:val="xl82"/>
    <w:basedOn w:val="Normal"/>
    <w:rsid w:val="00845355"/>
    <w:pPr>
      <w:pBdr>
        <w:top w:val="single" w:sz="8" w:space="0" w:color="FFFFFF"/>
        <w:left w:val="single" w:sz="8" w:space="0" w:color="FFFFFF"/>
        <w:bottom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83">
    <w:name w:val="xl83"/>
    <w:basedOn w:val="Normal"/>
    <w:rsid w:val="00845355"/>
    <w:pPr>
      <w:pBdr>
        <w:top w:val="single" w:sz="8" w:space="0" w:color="FFFFFF"/>
        <w:bottom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84">
    <w:name w:val="xl84"/>
    <w:basedOn w:val="Normal"/>
    <w:rsid w:val="00845355"/>
    <w:pPr>
      <w:pBdr>
        <w:top w:val="single" w:sz="8" w:space="0" w:color="FFFFFF"/>
        <w:bottom w:val="single" w:sz="8" w:space="0" w:color="FFFFFF"/>
        <w:right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85">
    <w:name w:val="xl85"/>
    <w:basedOn w:val="Normal"/>
    <w:rsid w:val="00845355"/>
    <w:pPr>
      <w:pBdr>
        <w:bottom w:val="single" w:sz="8" w:space="0" w:color="FFFFFF"/>
        <w:right w:val="single" w:sz="8" w:space="0" w:color="FFFFFF"/>
      </w:pBdr>
      <w:shd w:val="clear" w:color="000000" w:fill="F1F1F1"/>
      <w:spacing w:before="100" w:beforeAutospacing="1" w:after="100" w:afterAutospacing="1"/>
      <w:jc w:val="center"/>
      <w:textAlignment w:val="center"/>
    </w:pPr>
    <w:rPr>
      <w:rFonts w:eastAsia="Times New Roman" w:cs="Arial"/>
      <w:color w:val="000000"/>
      <w:lang w:val="en-US"/>
    </w:rPr>
  </w:style>
  <w:style w:type="paragraph" w:customStyle="1" w:styleId="xl86">
    <w:name w:val="xl86"/>
    <w:basedOn w:val="Normal"/>
    <w:rsid w:val="00845355"/>
    <w:pPr>
      <w:pBdr>
        <w:bottom w:val="single" w:sz="8" w:space="0" w:color="FFFFFF"/>
        <w:right w:val="single" w:sz="8" w:space="0" w:color="FFFFFF"/>
      </w:pBdr>
      <w:shd w:val="clear" w:color="000000" w:fill="F2F2F2"/>
      <w:spacing w:before="100" w:beforeAutospacing="1" w:after="100" w:afterAutospacing="1"/>
      <w:textAlignment w:val="center"/>
    </w:pPr>
    <w:rPr>
      <w:rFonts w:eastAsia="Times New Roman" w:cs="Arial"/>
      <w:b/>
      <w:bCs/>
      <w:i/>
      <w:iCs/>
      <w:color w:val="000000"/>
      <w:lang w:val="en-US"/>
    </w:rPr>
  </w:style>
  <w:style w:type="paragraph" w:customStyle="1" w:styleId="xl87">
    <w:name w:val="xl87"/>
    <w:basedOn w:val="Normal"/>
    <w:rsid w:val="00845355"/>
    <w:pPr>
      <w:pBdr>
        <w:top w:val="single" w:sz="8" w:space="0" w:color="FFFFFF"/>
        <w:bottom w:val="single" w:sz="8" w:space="0" w:color="FFFFFF"/>
      </w:pBdr>
      <w:shd w:val="clear" w:color="000000" w:fill="F1F1F1"/>
      <w:spacing w:before="100" w:beforeAutospacing="1" w:after="100" w:afterAutospacing="1"/>
      <w:jc w:val="center"/>
      <w:textAlignment w:val="center"/>
    </w:pPr>
    <w:rPr>
      <w:rFonts w:eastAsia="Times New Roman" w:cs="Arial"/>
      <w:color w:val="000000"/>
      <w:lang w:val="en-US"/>
    </w:rPr>
  </w:style>
  <w:style w:type="paragraph" w:customStyle="1" w:styleId="xl88">
    <w:name w:val="xl88"/>
    <w:basedOn w:val="Normal"/>
    <w:rsid w:val="00845355"/>
    <w:pPr>
      <w:pBdr>
        <w:top w:val="single" w:sz="8" w:space="0" w:color="FFFFFF"/>
        <w:bottom w:val="single" w:sz="8" w:space="0" w:color="FFFFFF"/>
      </w:pBdr>
      <w:shd w:val="clear" w:color="000000" w:fill="F2F2F2"/>
      <w:spacing w:before="100" w:beforeAutospacing="1" w:after="100" w:afterAutospacing="1"/>
      <w:jc w:val="center"/>
      <w:textAlignment w:val="center"/>
    </w:pPr>
    <w:rPr>
      <w:rFonts w:eastAsia="Times New Roman" w:cs="Arial"/>
      <w:color w:val="000000"/>
      <w:lang w:val="en-US"/>
    </w:rPr>
  </w:style>
  <w:style w:type="paragraph" w:customStyle="1" w:styleId="xl89">
    <w:name w:val="xl89"/>
    <w:basedOn w:val="Normal"/>
    <w:rsid w:val="00845355"/>
    <w:pPr>
      <w:pBdr>
        <w:top w:val="single" w:sz="8" w:space="0" w:color="FFFFFF"/>
        <w:bottom w:val="single" w:sz="8" w:space="0" w:color="FFFFFF"/>
        <w:right w:val="single" w:sz="8" w:space="0" w:color="FFFFFF"/>
      </w:pBdr>
      <w:shd w:val="clear" w:color="000000" w:fill="F2F2F2"/>
      <w:spacing w:before="100" w:beforeAutospacing="1" w:after="100" w:afterAutospacing="1"/>
      <w:jc w:val="center"/>
      <w:textAlignment w:val="center"/>
    </w:pPr>
    <w:rPr>
      <w:rFonts w:eastAsia="Times New Roman" w:cs="Arial"/>
      <w:color w:val="000000"/>
      <w:lang w:val="en-US"/>
    </w:rPr>
  </w:style>
  <w:style w:type="paragraph" w:customStyle="1" w:styleId="xl90">
    <w:name w:val="xl90"/>
    <w:basedOn w:val="Normal"/>
    <w:rsid w:val="00845355"/>
    <w:pPr>
      <w:pBdr>
        <w:bottom w:val="single" w:sz="8" w:space="0" w:color="FFFFFF"/>
        <w:right w:val="single" w:sz="8" w:space="0" w:color="FFFFFF"/>
      </w:pBdr>
      <w:shd w:val="clear" w:color="000000" w:fill="BFBFBF"/>
      <w:spacing w:before="100" w:beforeAutospacing="1" w:after="100" w:afterAutospacing="1"/>
      <w:textAlignment w:val="center"/>
    </w:pPr>
    <w:rPr>
      <w:rFonts w:eastAsia="Times New Roman" w:cs="Arial"/>
      <w:b/>
      <w:bCs/>
      <w:color w:val="000000"/>
      <w:lang w:val="en-US"/>
    </w:rPr>
  </w:style>
  <w:style w:type="paragraph" w:customStyle="1" w:styleId="xl91">
    <w:name w:val="xl91"/>
    <w:basedOn w:val="Normal"/>
    <w:rsid w:val="00845355"/>
    <w:pPr>
      <w:pBdr>
        <w:top w:val="single" w:sz="8" w:space="0" w:color="FFFFFF"/>
        <w:left w:val="single" w:sz="8" w:space="0" w:color="FFFFFF"/>
        <w:bottom w:val="single" w:sz="8" w:space="0" w:color="FFFFFF"/>
      </w:pBdr>
      <w:shd w:val="clear" w:color="000000" w:fill="BFBFBF"/>
      <w:spacing w:before="100" w:beforeAutospacing="1" w:after="100" w:afterAutospacing="1"/>
      <w:jc w:val="center"/>
      <w:textAlignment w:val="center"/>
    </w:pPr>
    <w:rPr>
      <w:rFonts w:eastAsia="Times New Roman" w:cs="Arial"/>
      <w:b/>
      <w:bCs/>
      <w:color w:val="000000"/>
      <w:lang w:val="en-US"/>
    </w:rPr>
  </w:style>
  <w:style w:type="paragraph" w:customStyle="1" w:styleId="xl92">
    <w:name w:val="xl92"/>
    <w:basedOn w:val="Normal"/>
    <w:rsid w:val="00845355"/>
    <w:pPr>
      <w:pBdr>
        <w:left w:val="single" w:sz="8" w:space="0" w:color="FFFFFF"/>
        <w:right w:val="single" w:sz="8" w:space="0" w:color="FFFFFF"/>
      </w:pBdr>
      <w:shd w:val="clear" w:color="000000" w:fill="D9D9D9"/>
      <w:spacing w:before="100" w:beforeAutospacing="1" w:after="100" w:afterAutospacing="1"/>
      <w:textAlignment w:val="center"/>
    </w:pPr>
    <w:rPr>
      <w:rFonts w:ascii="Symbol" w:eastAsia="Times New Roman" w:hAnsi="Symbol"/>
      <w:color w:val="000000"/>
      <w:lang w:val="en-US"/>
    </w:rPr>
  </w:style>
  <w:style w:type="paragraph" w:customStyle="1" w:styleId="xl93">
    <w:name w:val="xl93"/>
    <w:basedOn w:val="Normal"/>
    <w:rsid w:val="00845355"/>
    <w:pPr>
      <w:pBdr>
        <w:left w:val="single" w:sz="8" w:space="0" w:color="FFFFFF"/>
        <w:right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94">
    <w:name w:val="xl94"/>
    <w:basedOn w:val="Normal"/>
    <w:rsid w:val="00845355"/>
    <w:pPr>
      <w:pBdr>
        <w:left w:val="single" w:sz="8" w:space="0" w:color="FFFFFF"/>
        <w:right w:val="single" w:sz="8" w:space="0" w:color="FFFFFF"/>
      </w:pBdr>
      <w:shd w:val="clear" w:color="000000" w:fill="D9D9D9"/>
      <w:spacing w:before="100" w:beforeAutospacing="1" w:after="100" w:afterAutospacing="1"/>
      <w:textAlignment w:val="top"/>
    </w:pPr>
    <w:rPr>
      <w:rFonts w:ascii="Times New Roman" w:eastAsia="Times New Roman" w:hAnsi="Times New Roman"/>
      <w:lang w:val="en-US"/>
    </w:rPr>
  </w:style>
  <w:style w:type="paragraph" w:customStyle="1" w:styleId="xl95">
    <w:name w:val="xl95"/>
    <w:basedOn w:val="Normal"/>
    <w:rsid w:val="00845355"/>
    <w:pPr>
      <w:pBdr>
        <w:left w:val="single" w:sz="8" w:space="0" w:color="FFFFFF"/>
        <w:bottom w:val="single" w:sz="8" w:space="0" w:color="FFFFFF"/>
        <w:right w:val="single" w:sz="8" w:space="0" w:color="FFFFFF"/>
      </w:pBdr>
      <w:shd w:val="clear" w:color="000000" w:fill="D9D9D9"/>
      <w:spacing w:before="100" w:beforeAutospacing="1" w:after="100" w:afterAutospacing="1"/>
      <w:textAlignment w:val="top"/>
    </w:pPr>
    <w:rPr>
      <w:rFonts w:ascii="Times New Roman" w:eastAsia="Times New Roman" w:hAnsi="Times New Roman"/>
      <w:lang w:val="en-US"/>
    </w:rPr>
  </w:style>
  <w:style w:type="paragraph" w:customStyle="1" w:styleId="xl96">
    <w:name w:val="xl96"/>
    <w:basedOn w:val="Normal"/>
    <w:rsid w:val="00845355"/>
    <w:pPr>
      <w:pBdr>
        <w:top w:val="single" w:sz="8" w:space="0" w:color="FFFFFF"/>
        <w:left w:val="single" w:sz="8" w:space="0" w:color="FFFFFF"/>
        <w:bottom w:val="single" w:sz="8" w:space="0" w:color="FFFFFF"/>
        <w:right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xl97">
    <w:name w:val="xl97"/>
    <w:basedOn w:val="Normal"/>
    <w:rsid w:val="00845355"/>
    <w:pPr>
      <w:pBdr>
        <w:left w:val="single" w:sz="8" w:space="0" w:color="FFFFFF"/>
        <w:right w:val="single" w:sz="8" w:space="0" w:color="FFFFFF"/>
      </w:pBdr>
      <w:shd w:val="clear" w:color="000000" w:fill="D9D9D9"/>
      <w:spacing w:before="100" w:beforeAutospacing="1" w:after="100" w:afterAutospacing="1"/>
      <w:textAlignment w:val="top"/>
    </w:pPr>
    <w:rPr>
      <w:rFonts w:ascii="Symbol" w:eastAsia="Times New Roman" w:hAnsi="Symbol"/>
      <w:color w:val="000000"/>
      <w:sz w:val="18"/>
      <w:szCs w:val="18"/>
      <w:lang w:val="en-US"/>
    </w:rPr>
  </w:style>
  <w:style w:type="paragraph" w:customStyle="1" w:styleId="xl98">
    <w:name w:val="xl98"/>
    <w:basedOn w:val="Normal"/>
    <w:rsid w:val="00845355"/>
    <w:pPr>
      <w:pBdr>
        <w:left w:val="single" w:sz="8" w:space="0" w:color="FFFFFF"/>
        <w:right w:val="single" w:sz="8" w:space="0" w:color="FFFFFF"/>
      </w:pBdr>
      <w:shd w:val="clear" w:color="000000" w:fill="D9D9D9"/>
      <w:spacing w:before="100" w:beforeAutospacing="1" w:after="100" w:afterAutospacing="1"/>
      <w:textAlignment w:val="center"/>
    </w:pPr>
    <w:rPr>
      <w:rFonts w:ascii="Symbol" w:eastAsia="Times New Roman" w:hAnsi="Symbol"/>
      <w:color w:val="000000"/>
      <w:lang w:val="en-US"/>
    </w:rPr>
  </w:style>
  <w:style w:type="paragraph" w:customStyle="1" w:styleId="xl99">
    <w:name w:val="xl99"/>
    <w:basedOn w:val="Normal"/>
    <w:rsid w:val="00845355"/>
    <w:pPr>
      <w:spacing w:before="100" w:beforeAutospacing="1" w:after="100" w:afterAutospacing="1"/>
      <w:textAlignment w:val="center"/>
    </w:pPr>
    <w:rPr>
      <w:rFonts w:ascii="Times New Roman" w:eastAsia="Times New Roman" w:hAnsi="Times New Roman"/>
      <w:b/>
      <w:bCs/>
      <w:i/>
      <w:iCs/>
      <w:sz w:val="24"/>
      <w:szCs w:val="24"/>
      <w:lang w:val="en-US"/>
    </w:rPr>
  </w:style>
  <w:style w:type="paragraph" w:customStyle="1" w:styleId="xl100">
    <w:name w:val="xl100"/>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color w:val="000000"/>
      <w:lang w:val="en-US"/>
    </w:rPr>
  </w:style>
  <w:style w:type="paragraph" w:customStyle="1" w:styleId="xl101">
    <w:name w:val="xl101"/>
    <w:basedOn w:val="Normal"/>
    <w:rsid w:val="00845355"/>
    <w:pPr>
      <w:pBdr>
        <w:top w:val="single" w:sz="8" w:space="0" w:color="FFFFFF"/>
        <w:left w:val="single" w:sz="8" w:space="0" w:color="FFFFFF"/>
        <w:bottom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02">
    <w:name w:val="xl102"/>
    <w:basedOn w:val="Normal"/>
    <w:rsid w:val="00845355"/>
    <w:pPr>
      <w:pBdr>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03">
    <w:name w:val="xl103"/>
    <w:basedOn w:val="Normal"/>
    <w:rsid w:val="00845355"/>
    <w:pPr>
      <w:pBdr>
        <w:top w:val="single" w:sz="8" w:space="0" w:color="FFFFFF"/>
        <w:left w:val="single" w:sz="8" w:space="0" w:color="FFFFFF"/>
        <w:bottom w:val="single" w:sz="8" w:space="0" w:color="FFFFFF"/>
      </w:pBdr>
      <w:shd w:val="clear" w:color="000000" w:fill="EDEDED"/>
      <w:spacing w:before="100" w:beforeAutospacing="1" w:after="100" w:afterAutospacing="1"/>
      <w:jc w:val="center"/>
      <w:textAlignment w:val="center"/>
    </w:pPr>
    <w:rPr>
      <w:rFonts w:eastAsia="Times New Roman" w:cs="Arial"/>
      <w:lang w:val="en-US"/>
    </w:rPr>
  </w:style>
  <w:style w:type="paragraph" w:customStyle="1" w:styleId="xl104">
    <w:name w:val="xl104"/>
    <w:basedOn w:val="Normal"/>
    <w:rsid w:val="00845355"/>
    <w:pPr>
      <w:pBdr>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lang w:val="en-US"/>
    </w:rPr>
  </w:style>
  <w:style w:type="paragraph" w:customStyle="1" w:styleId="xl105">
    <w:name w:val="xl105"/>
    <w:basedOn w:val="Normal"/>
    <w:rsid w:val="00845355"/>
    <w:pPr>
      <w:pBdr>
        <w:top w:val="single" w:sz="8" w:space="0" w:color="FFFFFF"/>
        <w:left w:val="single" w:sz="8" w:space="0" w:color="FFFFFF"/>
        <w:bottom w:val="single" w:sz="8" w:space="0" w:color="FFFFFF"/>
      </w:pBdr>
      <w:shd w:val="clear" w:color="000000" w:fill="EDEDED"/>
      <w:spacing w:before="100" w:beforeAutospacing="1" w:after="100" w:afterAutospacing="1"/>
      <w:jc w:val="center"/>
      <w:textAlignment w:val="center"/>
    </w:pPr>
    <w:rPr>
      <w:rFonts w:eastAsia="Times New Roman" w:cs="Arial"/>
      <w:color w:val="000000"/>
      <w:lang w:val="en-US"/>
    </w:rPr>
  </w:style>
  <w:style w:type="paragraph" w:customStyle="1" w:styleId="xl106">
    <w:name w:val="xl106"/>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i/>
      <w:iCs/>
      <w:lang w:val="en-US"/>
    </w:rPr>
  </w:style>
  <w:style w:type="paragraph" w:customStyle="1" w:styleId="xl107">
    <w:name w:val="xl107"/>
    <w:basedOn w:val="Normal"/>
    <w:rsid w:val="00845355"/>
    <w:pPr>
      <w:pBdr>
        <w:top w:val="single" w:sz="8" w:space="0" w:color="FFFFFF"/>
        <w:left w:val="single" w:sz="8" w:space="0" w:color="FFFFFF"/>
        <w:bottom w:val="single" w:sz="8" w:space="0" w:color="FFFFFF"/>
      </w:pBdr>
      <w:shd w:val="clear" w:color="000000" w:fill="F8CBAD"/>
      <w:spacing w:before="100" w:beforeAutospacing="1" w:after="100" w:afterAutospacing="1"/>
      <w:jc w:val="center"/>
      <w:textAlignment w:val="center"/>
    </w:pPr>
    <w:rPr>
      <w:rFonts w:eastAsia="Times New Roman" w:cs="Arial"/>
      <w:color w:val="000000"/>
      <w:lang w:val="en-US"/>
    </w:rPr>
  </w:style>
  <w:style w:type="paragraph" w:customStyle="1" w:styleId="xl108">
    <w:name w:val="xl108"/>
    <w:basedOn w:val="Normal"/>
    <w:rsid w:val="00845355"/>
    <w:pPr>
      <w:pBdr>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color w:val="000000"/>
      <w:lang w:val="en-US"/>
    </w:rPr>
  </w:style>
  <w:style w:type="paragraph" w:customStyle="1" w:styleId="xl109">
    <w:name w:val="xl109"/>
    <w:basedOn w:val="Normal"/>
    <w:rsid w:val="00845355"/>
    <w:pPr>
      <w:pBdr>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color w:val="000000"/>
      <w:lang w:val="en-US"/>
    </w:rPr>
  </w:style>
  <w:style w:type="paragraph" w:customStyle="1" w:styleId="xl110">
    <w:name w:val="xl110"/>
    <w:basedOn w:val="Normal"/>
    <w:rsid w:val="00845355"/>
    <w:pPr>
      <w:pBdr>
        <w:top w:val="single" w:sz="8" w:space="0" w:color="FFFFFF"/>
        <w:left w:val="single" w:sz="8" w:space="0" w:color="FFFFFF"/>
        <w:bottom w:val="single" w:sz="8" w:space="0" w:color="FFFFFF"/>
        <w:right w:val="single" w:sz="8" w:space="0" w:color="FFFFFF"/>
      </w:pBdr>
      <w:shd w:val="clear" w:color="000000" w:fill="F7CAAC"/>
      <w:spacing w:before="100" w:beforeAutospacing="1" w:after="100" w:afterAutospacing="1"/>
      <w:jc w:val="center"/>
      <w:textAlignment w:val="center"/>
    </w:pPr>
    <w:rPr>
      <w:rFonts w:eastAsia="Times New Roman" w:cs="Arial"/>
      <w:color w:val="000000"/>
      <w:lang w:val="en-US"/>
    </w:rPr>
  </w:style>
  <w:style w:type="paragraph" w:customStyle="1" w:styleId="xl111">
    <w:name w:val="xl111"/>
    <w:basedOn w:val="Normal"/>
    <w:rsid w:val="00845355"/>
    <w:pPr>
      <w:pBdr>
        <w:top w:val="single" w:sz="8" w:space="0" w:color="FFFFFF"/>
        <w:left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12">
    <w:name w:val="xl112"/>
    <w:basedOn w:val="Normal"/>
    <w:rsid w:val="00845355"/>
    <w:pPr>
      <w:pBdr>
        <w:top w:val="single" w:sz="8" w:space="0" w:color="FFFFFF"/>
        <w:bottom w:val="single" w:sz="8" w:space="0" w:color="FFFFFF"/>
      </w:pBdr>
      <w:shd w:val="clear" w:color="000000" w:fill="F1F1F1"/>
      <w:spacing w:before="100" w:beforeAutospacing="1" w:after="100" w:afterAutospacing="1"/>
      <w:jc w:val="center"/>
      <w:textAlignment w:val="center"/>
    </w:pPr>
    <w:rPr>
      <w:rFonts w:eastAsia="Times New Roman" w:cs="Arial"/>
      <w:b/>
      <w:bCs/>
      <w:color w:val="000000"/>
      <w:lang w:val="en-US"/>
    </w:rPr>
  </w:style>
  <w:style w:type="paragraph" w:customStyle="1" w:styleId="xl113">
    <w:name w:val="xl113"/>
    <w:basedOn w:val="Normal"/>
    <w:rsid w:val="00845355"/>
    <w:pPr>
      <w:pBdr>
        <w:top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14">
    <w:name w:val="xl114"/>
    <w:basedOn w:val="Normal"/>
    <w:rsid w:val="00845355"/>
    <w:pPr>
      <w:pBdr>
        <w:bottom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15">
    <w:name w:val="xl115"/>
    <w:basedOn w:val="Normal"/>
    <w:rsid w:val="00845355"/>
    <w:pPr>
      <w:pBdr>
        <w:top w:val="single" w:sz="8" w:space="0" w:color="FFFFFF"/>
        <w:bottom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16">
    <w:name w:val="xl116"/>
    <w:basedOn w:val="Normal"/>
    <w:rsid w:val="00845355"/>
    <w:pPr>
      <w:pBdr>
        <w:top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color w:val="000000"/>
      <w:lang w:val="en-US"/>
    </w:rPr>
  </w:style>
  <w:style w:type="paragraph" w:customStyle="1" w:styleId="xl117">
    <w:name w:val="xl117"/>
    <w:basedOn w:val="Normal"/>
    <w:rsid w:val="00845355"/>
    <w:pPr>
      <w:pBdr>
        <w:top w:val="single" w:sz="8" w:space="0" w:color="FFFFFF"/>
        <w:bottom w:val="single" w:sz="8" w:space="0" w:color="FFFFFF"/>
      </w:pBdr>
      <w:shd w:val="clear" w:color="000000" w:fill="F8CBAD"/>
      <w:spacing w:before="100" w:beforeAutospacing="1" w:after="100" w:afterAutospacing="1"/>
      <w:jc w:val="center"/>
      <w:textAlignment w:val="center"/>
    </w:pPr>
    <w:rPr>
      <w:rFonts w:eastAsia="Times New Roman" w:cs="Arial"/>
      <w:color w:val="000000"/>
      <w:lang w:val="en-US"/>
    </w:rPr>
  </w:style>
  <w:style w:type="paragraph" w:customStyle="1" w:styleId="xl118">
    <w:name w:val="xl118"/>
    <w:basedOn w:val="Normal"/>
    <w:rsid w:val="00845355"/>
    <w:pPr>
      <w:pBdr>
        <w:left w:val="single" w:sz="8" w:space="0" w:color="FFFFFF"/>
        <w:bottom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19">
    <w:name w:val="xl119"/>
    <w:basedOn w:val="Normal"/>
    <w:rsid w:val="00845355"/>
    <w:pPr>
      <w:pBdr>
        <w:left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20">
    <w:name w:val="xl120"/>
    <w:basedOn w:val="Normal"/>
    <w:rsid w:val="00845355"/>
    <w:pPr>
      <w:pBdr>
        <w:top w:val="single" w:sz="8" w:space="0" w:color="FFFFFF"/>
        <w:left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color w:val="000000"/>
      <w:lang w:val="en-US"/>
    </w:rPr>
  </w:style>
  <w:style w:type="paragraph" w:customStyle="1" w:styleId="xl121">
    <w:name w:val="xl121"/>
    <w:basedOn w:val="Normal"/>
    <w:rsid w:val="00845355"/>
    <w:pPr>
      <w:pBdr>
        <w:left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color w:val="000000"/>
      <w:lang w:val="en-US"/>
    </w:rPr>
  </w:style>
  <w:style w:type="paragraph" w:customStyle="1" w:styleId="xl122">
    <w:name w:val="xl122"/>
    <w:basedOn w:val="Normal"/>
    <w:rsid w:val="00845355"/>
    <w:pPr>
      <w:pBdr>
        <w:top w:val="single" w:sz="8" w:space="0" w:color="FFFFFF"/>
        <w:left w:val="single" w:sz="8" w:space="0" w:color="FFFFFF"/>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color w:val="000000"/>
      <w:lang w:val="en-US"/>
    </w:rPr>
  </w:style>
  <w:style w:type="paragraph" w:customStyle="1" w:styleId="xl123">
    <w:name w:val="xl123"/>
    <w:basedOn w:val="Normal"/>
    <w:rsid w:val="00845355"/>
    <w:pPr>
      <w:pBdr>
        <w:left w:val="single" w:sz="8" w:space="0" w:color="FFFFFF"/>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color w:val="000000"/>
      <w:lang w:val="en-US"/>
    </w:rPr>
  </w:style>
  <w:style w:type="paragraph" w:customStyle="1" w:styleId="xl124">
    <w:name w:val="xl124"/>
    <w:basedOn w:val="Normal"/>
    <w:rsid w:val="00845355"/>
    <w:pPr>
      <w:pBdr>
        <w:left w:val="single" w:sz="8" w:space="0" w:color="FFFFFF"/>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b/>
      <w:bCs/>
      <w:i/>
      <w:iCs/>
      <w:color w:val="000000"/>
      <w:lang w:val="en-US"/>
    </w:rPr>
  </w:style>
  <w:style w:type="paragraph" w:customStyle="1" w:styleId="xl125">
    <w:name w:val="xl125"/>
    <w:basedOn w:val="Normal"/>
    <w:rsid w:val="00845355"/>
    <w:pPr>
      <w:pBdr>
        <w:top w:val="single" w:sz="8" w:space="0" w:color="FFFFFF"/>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lang w:val="en-US"/>
    </w:rPr>
  </w:style>
  <w:style w:type="paragraph" w:customStyle="1" w:styleId="xl126">
    <w:name w:val="xl126"/>
    <w:basedOn w:val="Normal"/>
    <w:rsid w:val="00845355"/>
    <w:pPr>
      <w:pBdr>
        <w:top w:val="single" w:sz="8" w:space="0" w:color="FFFFFF"/>
        <w:left w:val="single" w:sz="8" w:space="0" w:color="FFFFFF"/>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lang w:val="en-US"/>
    </w:rPr>
  </w:style>
  <w:style w:type="paragraph" w:customStyle="1" w:styleId="xl127">
    <w:name w:val="xl127"/>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b/>
      <w:bCs/>
      <w:i/>
      <w:iCs/>
      <w:lang w:val="en-US"/>
    </w:rPr>
  </w:style>
  <w:style w:type="paragraph" w:customStyle="1" w:styleId="xl128">
    <w:name w:val="xl128"/>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i/>
      <w:iCs/>
      <w:lang w:val="en-US"/>
    </w:rPr>
  </w:style>
  <w:style w:type="paragraph" w:customStyle="1" w:styleId="xl129">
    <w:name w:val="xl129"/>
    <w:basedOn w:val="Normal"/>
    <w:rsid w:val="00845355"/>
    <w:pPr>
      <w:pBdr>
        <w:top w:val="single" w:sz="8" w:space="0" w:color="FFFFFF"/>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color w:val="000000"/>
      <w:lang w:val="en-US"/>
    </w:rPr>
  </w:style>
  <w:style w:type="paragraph" w:customStyle="1" w:styleId="xl130">
    <w:name w:val="xl130"/>
    <w:basedOn w:val="Normal"/>
    <w:rsid w:val="00845355"/>
    <w:pPr>
      <w:pBdr>
        <w:top w:val="single" w:sz="8" w:space="0" w:color="FFFFFF"/>
        <w:left w:val="single" w:sz="8" w:space="0" w:color="FFFFFF"/>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color w:val="000000"/>
      <w:lang w:val="en-US"/>
    </w:rPr>
  </w:style>
  <w:style w:type="paragraph" w:customStyle="1" w:styleId="xl131">
    <w:name w:val="xl131"/>
    <w:basedOn w:val="Normal"/>
    <w:rsid w:val="00845355"/>
    <w:pPr>
      <w:pBdr>
        <w:left w:val="single" w:sz="8" w:space="0" w:color="FFFFFF"/>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color w:val="000000"/>
      <w:lang w:val="en-US"/>
    </w:rPr>
  </w:style>
  <w:style w:type="paragraph" w:customStyle="1" w:styleId="xl132">
    <w:name w:val="xl132"/>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b/>
      <w:bCs/>
      <w:i/>
      <w:iCs/>
      <w:color w:val="000000"/>
      <w:lang w:val="en-US"/>
    </w:rPr>
  </w:style>
  <w:style w:type="paragraph" w:customStyle="1" w:styleId="xl133">
    <w:name w:val="xl133"/>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b/>
      <w:bCs/>
      <w:i/>
      <w:iCs/>
      <w:lang w:val="en-US"/>
    </w:rPr>
  </w:style>
  <w:style w:type="paragraph" w:customStyle="1" w:styleId="xl134">
    <w:name w:val="xl134"/>
    <w:basedOn w:val="Normal"/>
    <w:rsid w:val="00845355"/>
    <w:pPr>
      <w:pBdr>
        <w:top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35">
    <w:name w:val="xl135"/>
    <w:basedOn w:val="Normal"/>
    <w:rsid w:val="00845355"/>
    <w:pPr>
      <w:pBdr>
        <w:top w:val="single" w:sz="8" w:space="0" w:color="FFFFFF"/>
        <w:left w:val="single" w:sz="8" w:space="0" w:color="FFFFFF"/>
        <w:bottom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36">
    <w:name w:val="xl136"/>
    <w:basedOn w:val="Normal"/>
    <w:rsid w:val="00845355"/>
    <w:pPr>
      <w:pBdr>
        <w:top w:val="single" w:sz="8" w:space="0" w:color="FFFFFF"/>
        <w:left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37">
    <w:name w:val="xl137"/>
    <w:basedOn w:val="Normal"/>
    <w:rsid w:val="00845355"/>
    <w:pPr>
      <w:pBdr>
        <w:top w:val="single" w:sz="8" w:space="0" w:color="FFFFFF"/>
        <w:left w:val="single" w:sz="8" w:space="0" w:color="FFFFFF"/>
        <w:bottom w:val="single" w:sz="8" w:space="0" w:color="FFFFFF"/>
        <w:right w:val="single" w:sz="8" w:space="0" w:color="FFFFFF"/>
      </w:pBdr>
      <w:shd w:val="clear" w:color="000000" w:fill="F1F1F1"/>
      <w:spacing w:before="100" w:beforeAutospacing="1" w:after="100" w:afterAutospacing="1"/>
      <w:jc w:val="center"/>
      <w:textAlignment w:val="center"/>
    </w:pPr>
    <w:rPr>
      <w:rFonts w:eastAsia="Times New Roman" w:cs="Arial"/>
      <w:color w:val="000000"/>
      <w:lang w:val="en-US"/>
    </w:rPr>
  </w:style>
  <w:style w:type="paragraph" w:customStyle="1" w:styleId="xl138">
    <w:name w:val="xl138"/>
    <w:basedOn w:val="Normal"/>
    <w:rsid w:val="00845355"/>
    <w:pPr>
      <w:pBdr>
        <w:left w:val="single" w:sz="8" w:space="0" w:color="FFFFFF"/>
        <w:bottom w:val="single" w:sz="8" w:space="0" w:color="FFFFFF"/>
        <w:right w:val="single" w:sz="8" w:space="0" w:color="FFFFFF"/>
      </w:pBdr>
      <w:shd w:val="clear" w:color="000000" w:fill="F1F1F1"/>
      <w:spacing w:before="100" w:beforeAutospacing="1" w:after="100" w:afterAutospacing="1"/>
      <w:jc w:val="center"/>
      <w:textAlignment w:val="center"/>
    </w:pPr>
    <w:rPr>
      <w:rFonts w:eastAsia="Times New Roman" w:cs="Arial"/>
      <w:color w:val="000000"/>
      <w:lang w:val="en-US"/>
    </w:rPr>
  </w:style>
  <w:style w:type="paragraph" w:customStyle="1" w:styleId="xl139">
    <w:name w:val="xl139"/>
    <w:basedOn w:val="Normal"/>
    <w:rsid w:val="00845355"/>
    <w:pPr>
      <w:pBdr>
        <w:left w:val="single" w:sz="8" w:space="0" w:color="FFFFFF"/>
        <w:bottom w:val="single" w:sz="8" w:space="0" w:color="FFFFFF"/>
        <w:right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40">
    <w:name w:val="xl140"/>
    <w:basedOn w:val="Normal"/>
    <w:rsid w:val="00845355"/>
    <w:pPr>
      <w:pBdr>
        <w:top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141">
    <w:name w:val="xl141"/>
    <w:basedOn w:val="Normal"/>
    <w:rsid w:val="00845355"/>
    <w:pPr>
      <w:pBdr>
        <w:top w:val="single" w:sz="8" w:space="0" w:color="FFFFFF"/>
        <w:left w:val="single" w:sz="8" w:space="0" w:color="FFFFFF"/>
        <w:bottom w:val="single" w:sz="8" w:space="0" w:color="FFFFFF"/>
      </w:pBdr>
      <w:shd w:val="clear" w:color="000000" w:fill="EDEDED"/>
      <w:spacing w:before="100" w:beforeAutospacing="1" w:after="100" w:afterAutospacing="1"/>
      <w:jc w:val="center"/>
      <w:textAlignment w:val="center"/>
    </w:pPr>
    <w:rPr>
      <w:rFonts w:eastAsia="Times New Roman" w:cs="Arial"/>
      <w:lang w:val="en-US"/>
    </w:rPr>
  </w:style>
  <w:style w:type="paragraph" w:customStyle="1" w:styleId="xl142">
    <w:name w:val="xl142"/>
    <w:basedOn w:val="Normal"/>
    <w:rsid w:val="00845355"/>
    <w:pPr>
      <w:pBdr>
        <w:bottom w:val="single" w:sz="8" w:space="0" w:color="FFFFFF"/>
        <w:right w:val="single" w:sz="8" w:space="0" w:color="FFFFFF"/>
      </w:pBdr>
      <w:shd w:val="clear" w:color="000000" w:fill="F1F1F1"/>
      <w:spacing w:before="100" w:beforeAutospacing="1" w:after="100" w:afterAutospacing="1"/>
      <w:textAlignment w:val="center"/>
    </w:pPr>
    <w:rPr>
      <w:rFonts w:eastAsia="Times New Roman" w:cs="Arial"/>
      <w:lang w:val="en-US"/>
    </w:rPr>
  </w:style>
  <w:style w:type="paragraph" w:customStyle="1" w:styleId="xl143">
    <w:name w:val="xl143"/>
    <w:basedOn w:val="Normal"/>
    <w:rsid w:val="00845355"/>
    <w:pPr>
      <w:pBdr>
        <w:top w:val="single" w:sz="8" w:space="0" w:color="FFFFFF"/>
        <w:bottom w:val="single" w:sz="8" w:space="0" w:color="FFFFFF"/>
      </w:pBdr>
      <w:shd w:val="clear" w:color="000000" w:fill="EDEDED"/>
      <w:spacing w:before="100" w:beforeAutospacing="1" w:after="100" w:afterAutospacing="1"/>
      <w:jc w:val="center"/>
      <w:textAlignment w:val="center"/>
    </w:pPr>
    <w:rPr>
      <w:rFonts w:eastAsia="Times New Roman" w:cs="Arial"/>
      <w:lang w:val="en-US"/>
    </w:rPr>
  </w:style>
  <w:style w:type="paragraph" w:customStyle="1" w:styleId="xl144">
    <w:name w:val="xl144"/>
    <w:basedOn w:val="Normal"/>
    <w:rsid w:val="00845355"/>
    <w:pPr>
      <w:pBdr>
        <w:top w:val="single" w:sz="8" w:space="0" w:color="FFFFFF"/>
        <w:bottom w:val="single" w:sz="8" w:space="0" w:color="FFFFFF"/>
      </w:pBdr>
      <w:shd w:val="clear" w:color="000000" w:fill="EDEDED"/>
      <w:spacing w:before="100" w:beforeAutospacing="1" w:after="100" w:afterAutospacing="1"/>
      <w:jc w:val="center"/>
      <w:textAlignment w:val="center"/>
    </w:pPr>
    <w:rPr>
      <w:rFonts w:eastAsia="Times New Roman" w:cs="Arial"/>
      <w:color w:val="000000"/>
      <w:lang w:val="en-US"/>
    </w:rPr>
  </w:style>
  <w:style w:type="paragraph" w:customStyle="1" w:styleId="xl145">
    <w:name w:val="xl145"/>
    <w:basedOn w:val="Normal"/>
    <w:rsid w:val="00845355"/>
    <w:pPr>
      <w:pBdr>
        <w:top w:val="single" w:sz="8" w:space="0" w:color="FFFFFF"/>
        <w:bottom w:val="single" w:sz="8" w:space="0" w:color="FFFFFF"/>
        <w:right w:val="single" w:sz="8" w:space="0" w:color="FFFFFF"/>
      </w:pBdr>
      <w:shd w:val="clear" w:color="000000" w:fill="EDEDED"/>
      <w:spacing w:before="100" w:beforeAutospacing="1" w:after="100" w:afterAutospacing="1"/>
      <w:jc w:val="center"/>
      <w:textAlignment w:val="center"/>
    </w:pPr>
    <w:rPr>
      <w:rFonts w:eastAsia="Times New Roman" w:cs="Arial"/>
      <w:color w:val="FFFFFF"/>
      <w:lang w:val="en-US"/>
    </w:rPr>
  </w:style>
  <w:style w:type="paragraph" w:customStyle="1" w:styleId="xl146">
    <w:name w:val="xl146"/>
    <w:basedOn w:val="Normal"/>
    <w:rsid w:val="00845355"/>
    <w:pPr>
      <w:pBdr>
        <w:bottom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147">
    <w:name w:val="xl147"/>
    <w:basedOn w:val="Normal"/>
    <w:rsid w:val="00845355"/>
    <w:pPr>
      <w:pBdr>
        <w:top w:val="single" w:sz="8" w:space="0" w:color="FFFFFF"/>
        <w:left w:val="single" w:sz="8" w:space="0" w:color="FFFFFF"/>
        <w:bottom w:val="single" w:sz="8" w:space="0" w:color="FFFFFF"/>
        <w:right w:val="single" w:sz="8" w:space="0" w:color="FFFFFF"/>
      </w:pBdr>
      <w:shd w:val="clear" w:color="000000" w:fill="F2F2F2"/>
      <w:spacing w:before="100" w:beforeAutospacing="1" w:after="100" w:afterAutospacing="1"/>
      <w:jc w:val="center"/>
      <w:textAlignment w:val="center"/>
    </w:pPr>
    <w:rPr>
      <w:rFonts w:eastAsia="Times New Roman" w:cs="Arial"/>
      <w:color w:val="000000"/>
      <w:lang w:val="en-US"/>
    </w:rPr>
  </w:style>
  <w:style w:type="paragraph" w:customStyle="1" w:styleId="xl148">
    <w:name w:val="xl148"/>
    <w:basedOn w:val="Normal"/>
    <w:rsid w:val="00845355"/>
    <w:pPr>
      <w:pBdr>
        <w:bottom w:val="single" w:sz="8" w:space="0" w:color="FFFFFF"/>
      </w:pBdr>
      <w:shd w:val="clear" w:color="000000" w:fill="EDEDED"/>
      <w:spacing w:before="100" w:beforeAutospacing="1" w:after="100" w:afterAutospacing="1"/>
    </w:pPr>
    <w:rPr>
      <w:rFonts w:eastAsia="Times New Roman" w:cs="Arial"/>
      <w:color w:val="000000"/>
      <w:lang w:val="en-US"/>
    </w:rPr>
  </w:style>
  <w:style w:type="paragraph" w:customStyle="1" w:styleId="xl149">
    <w:name w:val="xl149"/>
    <w:basedOn w:val="Normal"/>
    <w:rsid w:val="00845355"/>
    <w:pPr>
      <w:pBdr>
        <w:bottom w:val="single" w:sz="8" w:space="0" w:color="FFFFFF"/>
      </w:pBdr>
      <w:shd w:val="clear" w:color="000000" w:fill="EDEDED"/>
      <w:spacing w:before="100" w:beforeAutospacing="1" w:after="100" w:afterAutospacing="1"/>
      <w:textAlignment w:val="center"/>
    </w:pPr>
    <w:rPr>
      <w:rFonts w:eastAsia="Times New Roman" w:cs="Arial"/>
      <w:color w:val="000000"/>
      <w:lang w:val="en-US"/>
    </w:rPr>
  </w:style>
  <w:style w:type="paragraph" w:customStyle="1" w:styleId="xl150">
    <w:name w:val="xl150"/>
    <w:basedOn w:val="Normal"/>
    <w:rsid w:val="00845355"/>
    <w:pPr>
      <w:pBdr>
        <w:top w:val="single" w:sz="8" w:space="0" w:color="FFFFFF"/>
        <w:bottom w:val="single" w:sz="8" w:space="0" w:color="FFFFFF"/>
      </w:pBdr>
      <w:shd w:val="clear" w:color="000000" w:fill="F8CBAD"/>
      <w:spacing w:before="100" w:beforeAutospacing="1" w:after="100" w:afterAutospacing="1"/>
      <w:textAlignment w:val="center"/>
    </w:pPr>
    <w:rPr>
      <w:rFonts w:eastAsia="Times New Roman" w:cs="Arial"/>
      <w:b/>
      <w:bCs/>
      <w:color w:val="000000"/>
      <w:lang w:val="en-US"/>
    </w:rPr>
  </w:style>
  <w:style w:type="paragraph" w:customStyle="1" w:styleId="xl151">
    <w:name w:val="xl151"/>
    <w:basedOn w:val="Normal"/>
    <w:rsid w:val="00845355"/>
    <w:pPr>
      <w:pBdr>
        <w:top w:val="single" w:sz="8" w:space="0" w:color="FFFFFF"/>
        <w:left w:val="single" w:sz="8" w:space="0" w:color="FFFFFF"/>
        <w:bottom w:val="single" w:sz="8" w:space="0" w:color="FFFFFF"/>
        <w:right w:val="single" w:sz="8" w:space="0" w:color="FFFFFF"/>
      </w:pBdr>
      <w:shd w:val="clear" w:color="000000" w:fill="EDEDED"/>
      <w:spacing w:before="100" w:beforeAutospacing="1" w:after="100" w:afterAutospacing="1"/>
      <w:textAlignment w:val="center"/>
    </w:pPr>
    <w:rPr>
      <w:rFonts w:eastAsia="Times New Roman" w:cs="Arial"/>
      <w:b/>
      <w:bCs/>
      <w:color w:val="000000"/>
      <w:lang w:val="en-US"/>
    </w:rPr>
  </w:style>
  <w:style w:type="paragraph" w:customStyle="1" w:styleId="xl152">
    <w:name w:val="xl152"/>
    <w:basedOn w:val="Normal"/>
    <w:rsid w:val="00845355"/>
    <w:pPr>
      <w:pBdr>
        <w:top w:val="single" w:sz="8" w:space="0" w:color="FFFFFF"/>
        <w:left w:val="single" w:sz="8" w:space="0" w:color="FFFFFF"/>
        <w:bottom w:val="single" w:sz="8" w:space="0" w:color="FFFFFF"/>
        <w:right w:val="single" w:sz="8" w:space="0" w:color="FFFFFF"/>
      </w:pBdr>
      <w:shd w:val="clear" w:color="000000" w:fill="F8CBAD"/>
      <w:spacing w:before="100" w:beforeAutospacing="1" w:after="100" w:afterAutospacing="1"/>
      <w:textAlignment w:val="center"/>
    </w:pPr>
    <w:rPr>
      <w:rFonts w:eastAsia="Times New Roman" w:cs="Arial"/>
      <w:b/>
      <w:bCs/>
      <w:color w:val="000000"/>
      <w:lang w:val="en-US"/>
    </w:rPr>
  </w:style>
  <w:style w:type="paragraph" w:customStyle="1" w:styleId="xl153">
    <w:name w:val="xl153"/>
    <w:basedOn w:val="Normal"/>
    <w:rsid w:val="00845355"/>
    <w:pPr>
      <w:pBdr>
        <w:top w:val="single" w:sz="8" w:space="0" w:color="FFFFFF"/>
        <w:bottom w:val="single" w:sz="8" w:space="0" w:color="FFFFFF"/>
      </w:pBdr>
      <w:shd w:val="clear" w:color="000000" w:fill="F8CBAD"/>
      <w:spacing w:before="100" w:beforeAutospacing="1" w:after="100" w:afterAutospacing="1"/>
      <w:jc w:val="center"/>
      <w:textAlignment w:val="center"/>
    </w:pPr>
    <w:rPr>
      <w:rFonts w:eastAsia="Times New Roman" w:cs="Arial"/>
      <w:lang w:val="en-US"/>
    </w:rPr>
  </w:style>
  <w:style w:type="paragraph" w:customStyle="1" w:styleId="xl154">
    <w:name w:val="xl154"/>
    <w:basedOn w:val="Normal"/>
    <w:rsid w:val="00845355"/>
    <w:pPr>
      <w:pBdr>
        <w:left w:val="single" w:sz="8" w:space="0" w:color="FFFFFF"/>
        <w:right w:val="single" w:sz="8" w:space="0" w:color="FFFFFF"/>
      </w:pBdr>
      <w:spacing w:before="100" w:beforeAutospacing="1" w:after="100" w:afterAutospacing="1"/>
      <w:textAlignment w:val="center"/>
    </w:pPr>
    <w:rPr>
      <w:rFonts w:ascii="Times New Roman" w:eastAsia="Times New Roman" w:hAnsi="Times New Roman"/>
      <w:sz w:val="24"/>
      <w:szCs w:val="24"/>
      <w:lang w:val="en-US"/>
    </w:rPr>
  </w:style>
  <w:style w:type="paragraph" w:customStyle="1" w:styleId="xl155">
    <w:name w:val="xl155"/>
    <w:basedOn w:val="Normal"/>
    <w:rsid w:val="00845355"/>
    <w:pPr>
      <w:pBdr>
        <w:top w:val="single" w:sz="8" w:space="0" w:color="FFFFFF"/>
        <w:bottom w:val="single" w:sz="8" w:space="0" w:color="FFFFFF"/>
      </w:pBdr>
      <w:spacing w:before="100" w:beforeAutospacing="1" w:after="100" w:afterAutospacing="1"/>
      <w:textAlignment w:val="center"/>
    </w:pPr>
    <w:rPr>
      <w:rFonts w:ascii="Times New Roman" w:eastAsia="Times New Roman" w:hAnsi="Times New Roman"/>
      <w:sz w:val="24"/>
      <w:szCs w:val="24"/>
      <w:lang w:val="en-US"/>
    </w:rPr>
  </w:style>
  <w:style w:type="paragraph" w:customStyle="1" w:styleId="xl156">
    <w:name w:val="xl156"/>
    <w:basedOn w:val="Normal"/>
    <w:rsid w:val="00845355"/>
    <w:pPr>
      <w:pBdr>
        <w:left w:val="single" w:sz="8" w:space="0" w:color="FFFFFF"/>
        <w:right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xl157">
    <w:name w:val="xl157"/>
    <w:basedOn w:val="Normal"/>
    <w:rsid w:val="00845355"/>
    <w:pPr>
      <w:pBdr>
        <w:left w:val="single" w:sz="8" w:space="0" w:color="FFFFFF"/>
        <w:bottom w:val="single" w:sz="8" w:space="0" w:color="FFFFFF"/>
        <w:right w:val="single" w:sz="8" w:space="0" w:color="FFFFFF"/>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158">
    <w:name w:val="xl158"/>
    <w:basedOn w:val="Normal"/>
    <w:rsid w:val="00845355"/>
    <w:pPr>
      <w:pBdr>
        <w:left w:val="single" w:sz="8" w:space="0" w:color="FFFFFF"/>
        <w:right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xl159">
    <w:name w:val="xl159"/>
    <w:basedOn w:val="Normal"/>
    <w:rsid w:val="00845355"/>
    <w:pPr>
      <w:pBdr>
        <w:left w:val="single" w:sz="8" w:space="0" w:color="FFFFFF"/>
        <w:bottom w:val="single" w:sz="8" w:space="0" w:color="FFFFFF"/>
        <w:right w:val="single" w:sz="8" w:space="0" w:color="FFFFFF"/>
      </w:pBdr>
      <w:spacing w:before="100" w:beforeAutospacing="1" w:after="100" w:afterAutospacing="1"/>
      <w:jc w:val="center"/>
      <w:textAlignment w:val="center"/>
    </w:pPr>
    <w:rPr>
      <w:rFonts w:eastAsia="Times New Roman" w:cs="Arial"/>
      <w:b/>
      <w:bCs/>
      <w:color w:val="FFFFFF"/>
      <w:sz w:val="24"/>
      <w:szCs w:val="24"/>
      <w:lang w:val="en-US"/>
    </w:rPr>
  </w:style>
  <w:style w:type="paragraph" w:customStyle="1" w:styleId="xl160">
    <w:name w:val="xl160"/>
    <w:basedOn w:val="Normal"/>
    <w:rsid w:val="00845355"/>
    <w:pPr>
      <w:pBdr>
        <w:top w:val="single" w:sz="8" w:space="0" w:color="FFFFFF"/>
        <w:left w:val="single" w:sz="8" w:space="0" w:color="FFFFFF"/>
        <w:bottom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161">
    <w:name w:val="xl161"/>
    <w:basedOn w:val="Normal"/>
    <w:rsid w:val="00845355"/>
    <w:pPr>
      <w:pBdr>
        <w:top w:val="single" w:sz="8" w:space="0" w:color="FFFFFF"/>
        <w:bottom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162">
    <w:name w:val="xl162"/>
    <w:basedOn w:val="Normal"/>
    <w:rsid w:val="00845355"/>
    <w:pPr>
      <w:pBdr>
        <w:top w:val="single" w:sz="8" w:space="0" w:color="FFFFFF"/>
        <w:bottom w:val="single" w:sz="8" w:space="0" w:color="FFFFFF"/>
        <w:right w:val="single" w:sz="8" w:space="0" w:color="FFFFFF"/>
      </w:pBdr>
      <w:shd w:val="clear" w:color="000000" w:fill="D9D9D9"/>
      <w:spacing w:before="100" w:beforeAutospacing="1" w:after="100" w:afterAutospacing="1"/>
      <w:textAlignment w:val="center"/>
    </w:pPr>
    <w:rPr>
      <w:rFonts w:eastAsia="Times New Roman" w:cs="Arial"/>
      <w:b/>
      <w:bCs/>
      <w:color w:val="000000"/>
      <w:lang w:val="en-US"/>
    </w:rPr>
  </w:style>
  <w:style w:type="paragraph" w:customStyle="1" w:styleId="xl163">
    <w:name w:val="xl163"/>
    <w:basedOn w:val="Normal"/>
    <w:rsid w:val="00845355"/>
    <w:pPr>
      <w:pBdr>
        <w:left w:val="single" w:sz="8" w:space="0" w:color="FFFFFF"/>
        <w:bottom w:val="single" w:sz="8" w:space="0" w:color="FFFFFF"/>
        <w:right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xl164">
    <w:name w:val="xl164"/>
    <w:basedOn w:val="Normal"/>
    <w:rsid w:val="00845355"/>
    <w:pPr>
      <w:pBdr>
        <w:left w:val="single" w:sz="8" w:space="0" w:color="FFFFFF"/>
        <w:bottom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xl165">
    <w:name w:val="xl165"/>
    <w:basedOn w:val="Normal"/>
    <w:rsid w:val="00845355"/>
    <w:pPr>
      <w:pBdr>
        <w:bottom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xl166">
    <w:name w:val="xl166"/>
    <w:basedOn w:val="Normal"/>
    <w:rsid w:val="00845355"/>
    <w:pPr>
      <w:pBdr>
        <w:bottom w:val="single" w:sz="8" w:space="0" w:color="FFFFFF"/>
        <w:right w:val="single" w:sz="8" w:space="0" w:color="FFFFFF"/>
      </w:pBdr>
      <w:shd w:val="clear" w:color="000000" w:fill="A15EA6"/>
      <w:spacing w:before="100" w:beforeAutospacing="1" w:after="100" w:afterAutospacing="1"/>
      <w:jc w:val="center"/>
      <w:textAlignment w:val="center"/>
    </w:pPr>
    <w:rPr>
      <w:rFonts w:eastAsia="Times New Roman" w:cs="Arial"/>
      <w:b/>
      <w:bCs/>
      <w:color w:val="FFFFFF"/>
      <w:lang w:val="en-US"/>
    </w:rPr>
  </w:style>
  <w:style w:type="paragraph" w:customStyle="1" w:styleId="BulletPoints">
    <w:name w:val="Bullet Points"/>
    <w:basedOn w:val="Normal"/>
    <w:link w:val="BulletPointsCharChar"/>
    <w:rsid w:val="001F3338"/>
    <w:pPr>
      <w:numPr>
        <w:numId w:val="13"/>
      </w:numPr>
      <w:overflowPunct w:val="0"/>
      <w:autoSpaceDE w:val="0"/>
      <w:autoSpaceDN w:val="0"/>
      <w:adjustRightInd w:val="0"/>
      <w:spacing w:after="60" w:line="288" w:lineRule="auto"/>
      <w:textAlignment w:val="baseline"/>
    </w:pPr>
    <w:rPr>
      <w:rFonts w:ascii="Verdana" w:eastAsia="Times New Roman" w:hAnsi="Verdana"/>
      <w:lang w:val="en-NZ"/>
    </w:rPr>
  </w:style>
  <w:style w:type="paragraph" w:styleId="BlockText">
    <w:name w:val="Block Text"/>
    <w:basedOn w:val="Normal"/>
    <w:rsid w:val="001F3338"/>
    <w:pPr>
      <w:overflowPunct w:val="0"/>
      <w:autoSpaceDE w:val="0"/>
      <w:autoSpaceDN w:val="0"/>
      <w:adjustRightInd w:val="0"/>
      <w:spacing w:line="288" w:lineRule="auto"/>
      <w:ind w:left="851" w:right="680"/>
      <w:textAlignment w:val="baseline"/>
    </w:pPr>
    <w:rPr>
      <w:rFonts w:ascii="Verdana" w:eastAsia="Times New Roman" w:hAnsi="Verdana" w:cs="Arial"/>
      <w:lang w:val="en-NZ"/>
    </w:rPr>
  </w:style>
  <w:style w:type="character" w:customStyle="1" w:styleId="BulletPointsCharChar">
    <w:name w:val="Bullet Points Char Char"/>
    <w:link w:val="BulletPoints"/>
    <w:locked/>
    <w:rsid w:val="001F3338"/>
    <w:rPr>
      <w:rFonts w:ascii="Verdana" w:eastAsia="Times New Roman" w:hAnsi="Verdana"/>
      <w:lang w:val="en-NZ" w:eastAsia="en-US"/>
    </w:rPr>
  </w:style>
  <w:style w:type="character" w:customStyle="1" w:styleId="lt-line-clampraw-line">
    <w:name w:val="lt-line-clamp__raw-line"/>
    <w:basedOn w:val="DefaultParagraphFont"/>
    <w:rsid w:val="00623724"/>
  </w:style>
  <w:style w:type="character" w:customStyle="1" w:styleId="BodyBulletsChar">
    <w:name w:val="Body Bullets Char"/>
    <w:basedOn w:val="DefaultParagraphFont"/>
    <w:link w:val="BodyBullets"/>
    <w:rsid w:val="009E22D6"/>
    <w:rPr>
      <w:rFonts w:ascii="Helvetica LT Std" w:hAnsi="Helvetica LT Std"/>
      <w:color w:val="000000" w:themeColor="text1"/>
      <w:sz w:val="19"/>
      <w:szCs w:val="19"/>
      <w:lang w:eastAsia="en-US"/>
    </w:rPr>
  </w:style>
  <w:style w:type="numbering" w:customStyle="1" w:styleId="CoffeyBullets1">
    <w:name w:val="Coffey Bullets1"/>
    <w:uiPriority w:val="99"/>
    <w:rsid w:val="00603ACF"/>
  </w:style>
  <w:style w:type="numbering" w:customStyle="1" w:styleId="CoffeyBullets2">
    <w:name w:val="Coffey Bullets2"/>
    <w:uiPriority w:val="99"/>
    <w:rsid w:val="00511088"/>
  </w:style>
  <w:style w:type="paragraph" w:customStyle="1" w:styleId="AnnexTitle">
    <w:name w:val="Annex Title"/>
    <w:basedOn w:val="BigText"/>
    <w:link w:val="AnnexTitleChar"/>
    <w:uiPriority w:val="99"/>
    <w:qFormat/>
    <w:rsid w:val="00165C55"/>
  </w:style>
  <w:style w:type="character" w:customStyle="1" w:styleId="AnnexTitleChar">
    <w:name w:val="Annex Title Char"/>
    <w:basedOn w:val="Heading1Char"/>
    <w:link w:val="AnnexTitle"/>
    <w:uiPriority w:val="99"/>
    <w:rsid w:val="00165C55"/>
    <w:rPr>
      <w:rFonts w:ascii="Franklin Gothic Demi" w:hAnsi="Franklin Gothic Demi" w:cs="Arial"/>
      <w:color w:val="003478"/>
      <w:sz w:val="36"/>
      <w:lang w:val="en-US" w:eastAsia="en-US"/>
    </w:rPr>
  </w:style>
  <w:style w:type="paragraph" w:styleId="TOC5">
    <w:name w:val="toc 5"/>
    <w:basedOn w:val="Normal"/>
    <w:next w:val="Normal"/>
    <w:autoRedefine/>
    <w:uiPriority w:val="39"/>
    <w:unhideWhenUsed/>
    <w:rsid w:val="00D740E8"/>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D740E8"/>
    <w:pPr>
      <w:spacing w:after="100" w:line="259" w:lineRule="auto"/>
      <w:ind w:left="110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D740E8"/>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D740E8"/>
    <w:pPr>
      <w:spacing w:after="100" w:line="259" w:lineRule="auto"/>
      <w:ind w:left="1760"/>
    </w:pPr>
    <w:rPr>
      <w:rFonts w:asciiTheme="minorHAnsi" w:eastAsiaTheme="minorEastAsia" w:hAnsiTheme="minorHAnsi" w:cstheme="minorBidi"/>
      <w:sz w:val="22"/>
      <w:szCs w:val="22"/>
      <w:lang w:eastAsia="en-AU"/>
    </w:rPr>
  </w:style>
  <w:style w:type="table" w:customStyle="1" w:styleId="McLLTableGeneralText1">
    <w:name w:val="McLL Table General Text1"/>
    <w:basedOn w:val="TableNormal"/>
    <w:next w:val="TableGrid"/>
    <w:uiPriority w:val="39"/>
    <w:rsid w:val="000B2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40F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F00B2"/>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semiHidden/>
    <w:rsid w:val="00EF00B2"/>
    <w:rPr>
      <w:rFonts w:asciiTheme="minorHAnsi" w:eastAsiaTheme="minorHAnsi" w:hAnsiTheme="minorHAnsi" w:cstheme="minorBidi"/>
      <w:lang w:val="en-US" w:eastAsia="en-US"/>
    </w:rPr>
  </w:style>
  <w:style w:type="character" w:styleId="EndnoteReference">
    <w:name w:val="endnote reference"/>
    <w:basedOn w:val="DefaultParagraphFont"/>
    <w:uiPriority w:val="99"/>
    <w:semiHidden/>
    <w:unhideWhenUsed/>
    <w:rsid w:val="00EF00B2"/>
    <w:rPr>
      <w:vertAlign w:val="superscript"/>
    </w:rPr>
  </w:style>
  <w:style w:type="table" w:styleId="GridTable2-Accent1">
    <w:name w:val="Grid Table 2 Accent 1"/>
    <w:basedOn w:val="TableNormal"/>
    <w:uiPriority w:val="47"/>
    <w:rsid w:val="002B531E"/>
    <w:tblPr>
      <w:tblStyleRowBandSize w:val="1"/>
      <w:tblStyleColBandSize w:val="1"/>
      <w:tblBorders>
        <w:top w:val="single" w:sz="2" w:space="0" w:color="1579FF" w:themeColor="accent1" w:themeTint="99"/>
        <w:bottom w:val="single" w:sz="2" w:space="0" w:color="1579FF" w:themeColor="accent1" w:themeTint="99"/>
        <w:insideH w:val="single" w:sz="2" w:space="0" w:color="1579FF" w:themeColor="accent1" w:themeTint="99"/>
        <w:insideV w:val="single" w:sz="2" w:space="0" w:color="1579FF" w:themeColor="accent1" w:themeTint="99"/>
      </w:tblBorders>
    </w:tblPr>
    <w:tblStylePr w:type="firstRow">
      <w:rPr>
        <w:b/>
        <w:bCs/>
      </w:rPr>
      <w:tblPr/>
      <w:tcPr>
        <w:tcBorders>
          <w:top w:val="nil"/>
          <w:bottom w:val="single" w:sz="12" w:space="0" w:color="1579FF" w:themeColor="accent1" w:themeTint="99"/>
          <w:insideH w:val="nil"/>
          <w:insideV w:val="nil"/>
        </w:tcBorders>
        <w:shd w:val="clear" w:color="auto" w:fill="FFFFFF" w:themeFill="background1"/>
      </w:tcPr>
    </w:tblStylePr>
    <w:tblStylePr w:type="lastRow">
      <w:rPr>
        <w:b/>
        <w:bCs/>
      </w:rPr>
      <w:tblPr/>
      <w:tcPr>
        <w:tcBorders>
          <w:top w:val="double" w:sz="2" w:space="0" w:color="157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F" w:themeFill="accent1" w:themeFillTint="33"/>
      </w:tcPr>
    </w:tblStylePr>
    <w:tblStylePr w:type="band1Horz">
      <w:tblPr/>
      <w:tcPr>
        <w:shd w:val="clear" w:color="auto" w:fill="B1D2FF" w:themeFill="accent1" w:themeFillTint="33"/>
      </w:tcPr>
    </w:tblStylePr>
  </w:style>
  <w:style w:type="table" w:styleId="GridTable4-Accent1">
    <w:name w:val="Grid Table 4 Accent 1"/>
    <w:basedOn w:val="TableNormal"/>
    <w:uiPriority w:val="49"/>
    <w:rsid w:val="002B531E"/>
    <w:tblPr>
      <w:tblStyleRowBandSize w:val="1"/>
      <w:tblStyleColBandSize w:val="1"/>
      <w:tblBorders>
        <w:top w:val="single" w:sz="4" w:space="0" w:color="1579FF" w:themeColor="accent1" w:themeTint="99"/>
        <w:left w:val="single" w:sz="4" w:space="0" w:color="1579FF" w:themeColor="accent1" w:themeTint="99"/>
        <w:bottom w:val="single" w:sz="4" w:space="0" w:color="1579FF" w:themeColor="accent1" w:themeTint="99"/>
        <w:right w:val="single" w:sz="4" w:space="0" w:color="1579FF" w:themeColor="accent1" w:themeTint="99"/>
        <w:insideH w:val="single" w:sz="4" w:space="0" w:color="1579FF" w:themeColor="accent1" w:themeTint="99"/>
        <w:insideV w:val="single" w:sz="4" w:space="0" w:color="1579FF" w:themeColor="accent1" w:themeTint="99"/>
      </w:tblBorders>
    </w:tblPr>
    <w:tblStylePr w:type="firstRow">
      <w:rPr>
        <w:b/>
        <w:bCs/>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cBorders>
        <w:shd w:val="clear" w:color="auto" w:fill="003478" w:themeFill="accent1"/>
      </w:tcPr>
    </w:tblStylePr>
    <w:tblStylePr w:type="lastRow">
      <w:rPr>
        <w:b/>
        <w:bCs/>
      </w:rPr>
      <w:tblPr/>
      <w:tcPr>
        <w:tcBorders>
          <w:top w:val="double" w:sz="4" w:space="0" w:color="003478" w:themeColor="accent1"/>
        </w:tcBorders>
      </w:tcPr>
    </w:tblStylePr>
    <w:tblStylePr w:type="firstCol">
      <w:rPr>
        <w:b/>
        <w:bCs/>
      </w:rPr>
    </w:tblStylePr>
    <w:tblStylePr w:type="lastCol">
      <w:rPr>
        <w:b/>
        <w:bCs/>
      </w:rPr>
    </w:tblStylePr>
    <w:tblStylePr w:type="band1Vert">
      <w:tblPr/>
      <w:tcPr>
        <w:shd w:val="clear" w:color="auto" w:fill="B1D2FF" w:themeFill="accent1" w:themeFillTint="33"/>
      </w:tcPr>
    </w:tblStylePr>
    <w:tblStylePr w:type="band1Horz">
      <w:tblPr/>
      <w:tcPr>
        <w:shd w:val="clear" w:color="auto" w:fill="B1D2FF" w:themeFill="accent1" w:themeFillTint="33"/>
      </w:tcPr>
    </w:tblStylePr>
  </w:style>
  <w:style w:type="table" w:styleId="GridTable5Dark-Accent2">
    <w:name w:val="Grid Table 5 Dark Accent 2"/>
    <w:basedOn w:val="TableNormal"/>
    <w:uiPriority w:val="50"/>
    <w:rsid w:val="002B53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4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7B9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7B9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7B9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7B9E" w:themeFill="accent2"/>
      </w:tcPr>
    </w:tblStylePr>
    <w:tblStylePr w:type="band1Vert">
      <w:tblPr/>
      <w:tcPr>
        <w:shd w:val="clear" w:color="auto" w:fill="B4CADB" w:themeFill="accent2" w:themeFillTint="66"/>
      </w:tcPr>
    </w:tblStylePr>
    <w:tblStylePr w:type="band1Horz">
      <w:tblPr/>
      <w:tcPr>
        <w:shd w:val="clear" w:color="auto" w:fill="B4CADB" w:themeFill="accent2" w:themeFillTint="66"/>
      </w:tcPr>
    </w:tblStylePr>
  </w:style>
  <w:style w:type="table" w:styleId="ListTable3-Accent1">
    <w:name w:val="List Table 3 Accent 1"/>
    <w:basedOn w:val="TableNormal"/>
    <w:uiPriority w:val="48"/>
    <w:rsid w:val="002B531E"/>
    <w:tblPr>
      <w:tblStyleRowBandSize w:val="1"/>
      <w:tblStyleColBandSize w:val="1"/>
      <w:tblBorders>
        <w:top w:val="single" w:sz="4" w:space="0" w:color="003478" w:themeColor="accent1"/>
        <w:left w:val="single" w:sz="4" w:space="0" w:color="003478" w:themeColor="accent1"/>
        <w:bottom w:val="single" w:sz="4" w:space="0" w:color="003478" w:themeColor="accent1"/>
        <w:right w:val="single" w:sz="4" w:space="0" w:color="003478" w:themeColor="accent1"/>
      </w:tblBorders>
    </w:tblPr>
    <w:tblStylePr w:type="firstRow">
      <w:rPr>
        <w:b/>
        <w:bCs/>
        <w:color w:val="FFFFFF" w:themeColor="background1"/>
      </w:rPr>
      <w:tblPr/>
      <w:tcPr>
        <w:shd w:val="clear" w:color="auto" w:fill="003478" w:themeFill="accent1"/>
      </w:tcPr>
    </w:tblStylePr>
    <w:tblStylePr w:type="lastRow">
      <w:rPr>
        <w:b/>
        <w:bCs/>
      </w:rPr>
      <w:tblPr/>
      <w:tcPr>
        <w:tcBorders>
          <w:top w:val="double" w:sz="4" w:space="0" w:color="0034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478" w:themeColor="accent1"/>
          <w:right w:val="single" w:sz="4" w:space="0" w:color="003478" w:themeColor="accent1"/>
        </w:tcBorders>
      </w:tcPr>
    </w:tblStylePr>
    <w:tblStylePr w:type="band1Horz">
      <w:tblPr/>
      <w:tcPr>
        <w:tcBorders>
          <w:top w:val="single" w:sz="4" w:space="0" w:color="003478" w:themeColor="accent1"/>
          <w:bottom w:val="single" w:sz="4" w:space="0" w:color="0034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478" w:themeColor="accent1"/>
          <w:left w:val="nil"/>
        </w:tcBorders>
      </w:tcPr>
    </w:tblStylePr>
    <w:tblStylePr w:type="swCell">
      <w:tblPr/>
      <w:tcPr>
        <w:tcBorders>
          <w:top w:val="double" w:sz="4" w:space="0" w:color="003478" w:themeColor="accent1"/>
          <w:right w:val="nil"/>
        </w:tcBorders>
      </w:tcPr>
    </w:tblStylePr>
  </w:style>
  <w:style w:type="table" w:styleId="ListTable3-Accent2">
    <w:name w:val="List Table 3 Accent 2"/>
    <w:basedOn w:val="TableNormal"/>
    <w:uiPriority w:val="48"/>
    <w:rsid w:val="00982833"/>
    <w:tblPr>
      <w:tblStyleRowBandSize w:val="1"/>
      <w:tblStyleColBandSize w:val="1"/>
      <w:tblBorders>
        <w:top w:val="single" w:sz="4" w:space="0" w:color="4C7B9E" w:themeColor="accent2"/>
        <w:left w:val="single" w:sz="4" w:space="0" w:color="4C7B9E" w:themeColor="accent2"/>
        <w:bottom w:val="single" w:sz="4" w:space="0" w:color="4C7B9E" w:themeColor="accent2"/>
        <w:right w:val="single" w:sz="4" w:space="0" w:color="4C7B9E" w:themeColor="accent2"/>
      </w:tblBorders>
    </w:tblPr>
    <w:tblStylePr w:type="firstRow">
      <w:rPr>
        <w:b/>
        <w:bCs/>
        <w:color w:val="FFFFFF" w:themeColor="background1"/>
      </w:rPr>
      <w:tblPr/>
      <w:tcPr>
        <w:shd w:val="clear" w:color="auto" w:fill="4C7B9E" w:themeFill="accent2"/>
      </w:tcPr>
    </w:tblStylePr>
    <w:tblStylePr w:type="lastRow">
      <w:rPr>
        <w:b/>
        <w:bCs/>
      </w:rPr>
      <w:tblPr/>
      <w:tcPr>
        <w:tcBorders>
          <w:top w:val="double" w:sz="4" w:space="0" w:color="4C7B9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7B9E" w:themeColor="accent2"/>
          <w:right w:val="single" w:sz="4" w:space="0" w:color="4C7B9E" w:themeColor="accent2"/>
        </w:tcBorders>
      </w:tcPr>
    </w:tblStylePr>
    <w:tblStylePr w:type="band1Horz">
      <w:tblPr/>
      <w:tcPr>
        <w:tcBorders>
          <w:top w:val="single" w:sz="4" w:space="0" w:color="4C7B9E" w:themeColor="accent2"/>
          <w:bottom w:val="single" w:sz="4" w:space="0" w:color="4C7B9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7B9E" w:themeColor="accent2"/>
          <w:left w:val="nil"/>
        </w:tcBorders>
      </w:tcPr>
    </w:tblStylePr>
    <w:tblStylePr w:type="swCell">
      <w:tblPr/>
      <w:tcPr>
        <w:tcBorders>
          <w:top w:val="double" w:sz="4" w:space="0" w:color="4C7B9E" w:themeColor="accent2"/>
          <w:right w:val="nil"/>
        </w:tcBorders>
      </w:tcPr>
    </w:tblStylePr>
  </w:style>
  <w:style w:type="table" w:styleId="ListTable4-Accent1">
    <w:name w:val="List Table 4 Accent 1"/>
    <w:basedOn w:val="TableNormal"/>
    <w:uiPriority w:val="49"/>
    <w:rsid w:val="00982833"/>
    <w:tblPr>
      <w:tblStyleRowBandSize w:val="1"/>
      <w:tblStyleColBandSize w:val="1"/>
      <w:tblBorders>
        <w:top w:val="single" w:sz="4" w:space="0" w:color="1579FF" w:themeColor="accent1" w:themeTint="99"/>
        <w:left w:val="single" w:sz="4" w:space="0" w:color="1579FF" w:themeColor="accent1" w:themeTint="99"/>
        <w:bottom w:val="single" w:sz="4" w:space="0" w:color="1579FF" w:themeColor="accent1" w:themeTint="99"/>
        <w:right w:val="single" w:sz="4" w:space="0" w:color="1579FF" w:themeColor="accent1" w:themeTint="99"/>
        <w:insideH w:val="single" w:sz="4" w:space="0" w:color="1579FF" w:themeColor="accent1" w:themeTint="99"/>
      </w:tblBorders>
    </w:tblPr>
    <w:tblStylePr w:type="firstRow">
      <w:rPr>
        <w:b/>
        <w:bCs/>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tcBorders>
        <w:shd w:val="clear" w:color="auto" w:fill="003478" w:themeFill="accent1"/>
      </w:tcPr>
    </w:tblStylePr>
    <w:tblStylePr w:type="lastRow">
      <w:rPr>
        <w:b/>
        <w:bCs/>
      </w:rPr>
      <w:tblPr/>
      <w:tcPr>
        <w:tcBorders>
          <w:top w:val="double" w:sz="4" w:space="0" w:color="1579FF" w:themeColor="accent1" w:themeTint="99"/>
        </w:tcBorders>
      </w:tcPr>
    </w:tblStylePr>
    <w:tblStylePr w:type="firstCol">
      <w:rPr>
        <w:b/>
        <w:bCs/>
      </w:rPr>
    </w:tblStylePr>
    <w:tblStylePr w:type="lastCol">
      <w:rPr>
        <w:b/>
        <w:bCs/>
      </w:rPr>
    </w:tblStylePr>
    <w:tblStylePr w:type="band1Vert">
      <w:tblPr/>
      <w:tcPr>
        <w:shd w:val="clear" w:color="auto" w:fill="B1D2FF" w:themeFill="accent1" w:themeFillTint="33"/>
      </w:tcPr>
    </w:tblStylePr>
    <w:tblStylePr w:type="band1Horz">
      <w:tblPr/>
      <w:tcPr>
        <w:shd w:val="clear" w:color="auto" w:fill="B1D2FF" w:themeFill="accent1" w:themeFillTint="33"/>
      </w:tcPr>
    </w:tblStylePr>
  </w:style>
  <w:style w:type="character" w:customStyle="1" w:styleId="fontstyle01">
    <w:name w:val="fontstyle01"/>
    <w:basedOn w:val="DefaultParagraphFont"/>
    <w:rsid w:val="004E3046"/>
    <w:rPr>
      <w:rFonts w:ascii="ArialMT" w:hAnsi="ArialMT" w:hint="default"/>
      <w:b w:val="0"/>
      <w:bCs w:val="0"/>
      <w:i w:val="0"/>
      <w:iCs w:val="0"/>
      <w:color w:val="000000"/>
      <w:sz w:val="20"/>
      <w:szCs w:val="20"/>
    </w:rPr>
  </w:style>
  <w:style w:type="table" w:customStyle="1" w:styleId="CoffeyGrey1">
    <w:name w:val="Coffey Grey1"/>
    <w:basedOn w:val="TableGrid"/>
    <w:uiPriority w:val="99"/>
    <w:rsid w:val="00AE49D3"/>
    <w:pPr>
      <w:spacing w:before="100" w:after="100" w:line="360" w:lineRule="auto"/>
    </w:pPr>
    <w:rPr>
      <w:rFonts w:ascii="Arial" w:hAnsi="Arial"/>
      <w:sz w:val="19"/>
    </w:rPr>
    <w:tblPr>
      <w:tblBorders>
        <w:top w:val="none" w:sz="0" w:space="0" w:color="auto"/>
        <w:left w:val="none" w:sz="0" w:space="0" w:color="auto"/>
        <w:bottom w:val="dotted" w:sz="4" w:space="0" w:color="A6A6A6"/>
        <w:right w:val="none" w:sz="0" w:space="0" w:color="auto"/>
        <w:insideH w:val="dotted" w:sz="4" w:space="0" w:color="A6A6A6"/>
        <w:insideV w:val="none" w:sz="0" w:space="0" w:color="auto"/>
      </w:tblBorders>
    </w:tblPr>
    <w:tcPr>
      <w:shd w:val="clear" w:color="auto" w:fill="auto"/>
      <w:vAlign w:val="center"/>
    </w:tcPr>
    <w:tblStylePr w:type="firstRow">
      <w:rPr>
        <w:rFonts w:ascii="Arial" w:hAnsi="Arial"/>
        <w:b/>
        <w:color w:val="003478"/>
        <w:sz w:val="19"/>
      </w:rPr>
      <w:tblPr/>
      <w:tcPr>
        <w:tcBorders>
          <w:top w:val="nil"/>
          <w:left w:val="nil"/>
          <w:bottom w:val="single" w:sz="24" w:space="0" w:color="5482AB"/>
          <w:right w:val="nil"/>
          <w:insideH w:val="nil"/>
          <w:insideV w:val="nil"/>
          <w:tl2br w:val="nil"/>
          <w:tr2bl w:val="nil"/>
        </w:tcBorders>
        <w:shd w:val="clear" w:color="auto" w:fill="auto"/>
      </w:tcPr>
    </w:tblStylePr>
    <w:tblStylePr w:type="firstCol">
      <w:rPr>
        <w:b/>
      </w:rPr>
      <w:tblPr/>
      <w:tcPr>
        <w:shd w:val="clear" w:color="auto" w:fill="F2F2F2"/>
      </w:tcPr>
    </w:tblStylePr>
  </w:style>
  <w:style w:type="table" w:customStyle="1" w:styleId="Coffeytable1">
    <w:name w:val="Coffey table1"/>
    <w:basedOn w:val="TableNormal"/>
    <w:next w:val="TableGrid"/>
    <w:rsid w:val="00EF0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Grey11">
    <w:name w:val="Coffey Grey11"/>
    <w:basedOn w:val="TableGrid"/>
    <w:uiPriority w:val="99"/>
    <w:rsid w:val="00EF03A2"/>
    <w:pPr>
      <w:spacing w:before="100" w:after="100" w:line="360" w:lineRule="auto"/>
    </w:pPr>
    <w:rPr>
      <w:rFonts w:ascii="Arial" w:hAnsi="Arial"/>
      <w:sz w:val="19"/>
    </w:rPr>
    <w:tblPr>
      <w:tblBorders>
        <w:top w:val="none" w:sz="0" w:space="0" w:color="auto"/>
        <w:left w:val="none" w:sz="0" w:space="0" w:color="auto"/>
        <w:bottom w:val="dotted" w:sz="4" w:space="0" w:color="A6A6A6"/>
        <w:right w:val="none" w:sz="0" w:space="0" w:color="auto"/>
        <w:insideH w:val="dotted" w:sz="4" w:space="0" w:color="A6A6A6"/>
        <w:insideV w:val="none" w:sz="0" w:space="0" w:color="auto"/>
      </w:tblBorders>
    </w:tblPr>
    <w:tcPr>
      <w:shd w:val="clear" w:color="auto" w:fill="auto"/>
      <w:vAlign w:val="center"/>
    </w:tcPr>
    <w:tblStylePr w:type="firstRow">
      <w:rPr>
        <w:rFonts w:ascii="Arial" w:hAnsi="Arial"/>
        <w:b/>
        <w:color w:val="003478"/>
        <w:sz w:val="19"/>
      </w:rPr>
      <w:tblPr/>
      <w:tcPr>
        <w:tcBorders>
          <w:top w:val="nil"/>
          <w:left w:val="nil"/>
          <w:bottom w:val="single" w:sz="24" w:space="0" w:color="5482AB"/>
          <w:right w:val="nil"/>
          <w:insideH w:val="nil"/>
          <w:insideV w:val="nil"/>
          <w:tl2br w:val="nil"/>
          <w:tr2bl w:val="nil"/>
        </w:tcBorders>
        <w:shd w:val="clear" w:color="auto" w:fill="auto"/>
      </w:tcPr>
    </w:tblStylePr>
    <w:tblStylePr w:type="firstCol">
      <w:rPr>
        <w:b/>
      </w:rPr>
      <w:tblPr/>
      <w:tcPr>
        <w:shd w:val="clear" w:color="auto" w:fill="F2F2F2"/>
      </w:tcPr>
    </w:tblStylePr>
  </w:style>
  <w:style w:type="character" w:customStyle="1" w:styleId="BodyBulletChar">
    <w:name w:val="Body Bullet Char"/>
    <w:basedOn w:val="DefaultParagraphFont"/>
    <w:link w:val="BodyBullet"/>
    <w:locked/>
    <w:rsid w:val="00BE798B"/>
    <w:rPr>
      <w:rFonts w:ascii="Arial" w:eastAsia="Batang" w:hAnsi="Arial" w:cstheme="minorBidi"/>
      <w:sz w:val="19"/>
      <w:szCs w:val="22"/>
      <w:lang w:eastAsia="ko-KR"/>
    </w:rPr>
  </w:style>
  <w:style w:type="paragraph" w:customStyle="1" w:styleId="BodyBullet">
    <w:name w:val="Body Bullet"/>
    <w:basedOn w:val="BodyText"/>
    <w:link w:val="BodyBulletChar"/>
    <w:qFormat/>
    <w:rsid w:val="00BE798B"/>
    <w:pPr>
      <w:numPr>
        <w:numId w:val="30"/>
      </w:numPr>
      <w:spacing w:before="120" w:after="120" w:line="240" w:lineRule="atLeast"/>
      <w:ind w:left="426" w:hanging="284"/>
    </w:pPr>
    <w:rPr>
      <w:rFonts w:ascii="Arial" w:eastAsia="Batang" w:hAnsi="Arial" w:cstheme="minorBidi"/>
      <w:szCs w:val="22"/>
      <w:lang w:eastAsia="ko-KR"/>
    </w:rPr>
  </w:style>
  <w:style w:type="table" w:styleId="ListTable4-Accent2">
    <w:name w:val="List Table 4 Accent 2"/>
    <w:basedOn w:val="TableNormal"/>
    <w:uiPriority w:val="49"/>
    <w:rsid w:val="00B20543"/>
    <w:tblPr>
      <w:tblStyleRowBandSize w:val="1"/>
      <w:tblStyleColBandSize w:val="1"/>
      <w:tblBorders>
        <w:top w:val="single" w:sz="4" w:space="0" w:color="8FB0C9" w:themeColor="accent2" w:themeTint="99"/>
        <w:left w:val="single" w:sz="4" w:space="0" w:color="8FB0C9" w:themeColor="accent2" w:themeTint="99"/>
        <w:bottom w:val="single" w:sz="4" w:space="0" w:color="8FB0C9" w:themeColor="accent2" w:themeTint="99"/>
        <w:right w:val="single" w:sz="4" w:space="0" w:color="8FB0C9" w:themeColor="accent2" w:themeTint="99"/>
        <w:insideH w:val="single" w:sz="4" w:space="0" w:color="8FB0C9" w:themeColor="accent2" w:themeTint="99"/>
      </w:tblBorders>
    </w:tblPr>
    <w:tblStylePr w:type="firstRow">
      <w:rPr>
        <w:b/>
        <w:bCs/>
        <w:color w:val="FFFFFF" w:themeColor="background1"/>
      </w:rPr>
      <w:tblPr/>
      <w:tcPr>
        <w:tcBorders>
          <w:top w:val="single" w:sz="4" w:space="0" w:color="4C7B9E" w:themeColor="accent2"/>
          <w:left w:val="single" w:sz="4" w:space="0" w:color="4C7B9E" w:themeColor="accent2"/>
          <w:bottom w:val="single" w:sz="4" w:space="0" w:color="4C7B9E" w:themeColor="accent2"/>
          <w:right w:val="single" w:sz="4" w:space="0" w:color="4C7B9E" w:themeColor="accent2"/>
          <w:insideH w:val="nil"/>
        </w:tcBorders>
        <w:shd w:val="clear" w:color="auto" w:fill="4C7B9E" w:themeFill="accent2"/>
      </w:tcPr>
    </w:tblStylePr>
    <w:tblStylePr w:type="lastRow">
      <w:rPr>
        <w:b/>
        <w:bCs/>
      </w:rPr>
      <w:tblPr/>
      <w:tcPr>
        <w:tcBorders>
          <w:top w:val="double" w:sz="4" w:space="0" w:color="8FB0C9" w:themeColor="accent2" w:themeTint="99"/>
        </w:tcBorders>
      </w:tcPr>
    </w:tblStylePr>
    <w:tblStylePr w:type="firstCol">
      <w:rPr>
        <w:b/>
        <w:bCs/>
      </w:rPr>
    </w:tblStylePr>
    <w:tblStylePr w:type="lastCol">
      <w:rPr>
        <w:b/>
        <w:bCs/>
      </w:rPr>
    </w:tblStylePr>
    <w:tblStylePr w:type="band1Vert">
      <w:tblPr/>
      <w:tcPr>
        <w:shd w:val="clear" w:color="auto" w:fill="D9E4ED" w:themeFill="accent2" w:themeFillTint="33"/>
      </w:tcPr>
    </w:tblStylePr>
    <w:tblStylePr w:type="band1Horz">
      <w:tblPr/>
      <w:tcPr>
        <w:shd w:val="clear" w:color="auto" w:fill="D9E4ED" w:themeFill="accent2" w:themeFillTint="33"/>
      </w:tcPr>
    </w:tblStylePr>
  </w:style>
  <w:style w:type="table" w:styleId="GridTable4-Accent2">
    <w:name w:val="Grid Table 4 Accent 2"/>
    <w:basedOn w:val="TableNormal"/>
    <w:uiPriority w:val="49"/>
    <w:rsid w:val="00F2753C"/>
    <w:tblPr>
      <w:tblStyleRowBandSize w:val="1"/>
      <w:tblStyleColBandSize w:val="1"/>
      <w:tblBorders>
        <w:top w:val="single" w:sz="4" w:space="0" w:color="8FB0C9" w:themeColor="accent2" w:themeTint="99"/>
        <w:left w:val="single" w:sz="4" w:space="0" w:color="8FB0C9" w:themeColor="accent2" w:themeTint="99"/>
        <w:bottom w:val="single" w:sz="4" w:space="0" w:color="8FB0C9" w:themeColor="accent2" w:themeTint="99"/>
        <w:right w:val="single" w:sz="4" w:space="0" w:color="8FB0C9" w:themeColor="accent2" w:themeTint="99"/>
        <w:insideH w:val="single" w:sz="4" w:space="0" w:color="8FB0C9" w:themeColor="accent2" w:themeTint="99"/>
        <w:insideV w:val="single" w:sz="4" w:space="0" w:color="8FB0C9" w:themeColor="accent2" w:themeTint="99"/>
      </w:tblBorders>
    </w:tblPr>
    <w:tblStylePr w:type="firstRow">
      <w:rPr>
        <w:b/>
        <w:bCs/>
        <w:color w:val="FFFFFF" w:themeColor="background1"/>
      </w:rPr>
      <w:tblPr/>
      <w:tcPr>
        <w:tcBorders>
          <w:top w:val="single" w:sz="4" w:space="0" w:color="4C7B9E" w:themeColor="accent2"/>
          <w:left w:val="single" w:sz="4" w:space="0" w:color="4C7B9E" w:themeColor="accent2"/>
          <w:bottom w:val="single" w:sz="4" w:space="0" w:color="4C7B9E" w:themeColor="accent2"/>
          <w:right w:val="single" w:sz="4" w:space="0" w:color="4C7B9E" w:themeColor="accent2"/>
          <w:insideH w:val="nil"/>
          <w:insideV w:val="nil"/>
        </w:tcBorders>
        <w:shd w:val="clear" w:color="auto" w:fill="4C7B9E" w:themeFill="accent2"/>
      </w:tcPr>
    </w:tblStylePr>
    <w:tblStylePr w:type="lastRow">
      <w:rPr>
        <w:b/>
        <w:bCs/>
      </w:rPr>
      <w:tblPr/>
      <w:tcPr>
        <w:tcBorders>
          <w:top w:val="double" w:sz="4" w:space="0" w:color="4C7B9E" w:themeColor="accent2"/>
        </w:tcBorders>
      </w:tcPr>
    </w:tblStylePr>
    <w:tblStylePr w:type="firstCol">
      <w:rPr>
        <w:b/>
        <w:bCs/>
      </w:rPr>
    </w:tblStylePr>
    <w:tblStylePr w:type="lastCol">
      <w:rPr>
        <w:b/>
        <w:bCs/>
      </w:rPr>
    </w:tblStylePr>
    <w:tblStylePr w:type="band1Vert">
      <w:tblPr/>
      <w:tcPr>
        <w:shd w:val="clear" w:color="auto" w:fill="D9E4ED" w:themeFill="accent2" w:themeFillTint="33"/>
      </w:tcPr>
    </w:tblStylePr>
    <w:tblStylePr w:type="band1Horz">
      <w:tblPr/>
      <w:tcPr>
        <w:shd w:val="clear" w:color="auto" w:fill="D9E4ED" w:themeFill="accent2" w:themeFillTint="33"/>
      </w:tcPr>
    </w:tblStylePr>
  </w:style>
  <w:style w:type="table" w:styleId="GridTable1Light">
    <w:name w:val="Grid Table 1 Light"/>
    <w:basedOn w:val="TableNormal"/>
    <w:uiPriority w:val="46"/>
    <w:rsid w:val="00F275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2">
    <w:name w:val="List Table 2"/>
    <w:basedOn w:val="TableNormal"/>
    <w:uiPriority w:val="47"/>
    <w:rsid w:val="004270E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F8445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B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65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65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65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6500" w:themeFill="accent3"/>
      </w:tcPr>
    </w:tblStylePr>
    <w:tblStylePr w:type="band1Vert">
      <w:tblPr/>
      <w:tcPr>
        <w:shd w:val="clear" w:color="auto" w:fill="FFC678" w:themeFill="accent3" w:themeFillTint="66"/>
      </w:tcPr>
    </w:tblStylePr>
    <w:tblStylePr w:type="band1Horz">
      <w:tblPr/>
      <w:tcPr>
        <w:shd w:val="clear" w:color="auto" w:fill="FFC678" w:themeFill="accent3" w:themeFillTint="66"/>
      </w:tcPr>
    </w:tblStylePr>
  </w:style>
  <w:style w:type="paragraph" w:customStyle="1" w:styleId="xmsonormal">
    <w:name w:val="x_msonormal"/>
    <w:basedOn w:val="Normal"/>
    <w:rsid w:val="008549C9"/>
    <w:pPr>
      <w:spacing w:before="100" w:beforeAutospacing="1" w:after="100" w:afterAutospacing="1"/>
    </w:pPr>
    <w:rPr>
      <w:rFonts w:ascii="Times New Roman" w:eastAsia="Times New Roman" w:hAnsi="Times New Roman"/>
      <w:sz w:val="24"/>
      <w:szCs w:val="24"/>
      <w:lang w:val="en-US"/>
    </w:rPr>
  </w:style>
  <w:style w:type="character" w:styleId="UnresolvedMention">
    <w:name w:val="Unresolved Mention"/>
    <w:basedOn w:val="DefaultParagraphFont"/>
    <w:uiPriority w:val="99"/>
    <w:unhideWhenUsed/>
    <w:rsid w:val="00FE737E"/>
    <w:rPr>
      <w:color w:val="605E5C"/>
      <w:shd w:val="clear" w:color="auto" w:fill="E1DFDD"/>
    </w:rPr>
  </w:style>
  <w:style w:type="character" w:styleId="Mention">
    <w:name w:val="Mention"/>
    <w:basedOn w:val="DefaultParagraphFont"/>
    <w:uiPriority w:val="99"/>
    <w:unhideWhenUsed/>
    <w:rsid w:val="00FE737E"/>
    <w:rPr>
      <w:color w:val="2B579A"/>
      <w:shd w:val="clear" w:color="auto" w:fill="E1DFDD"/>
    </w:rPr>
  </w:style>
  <w:style w:type="table" w:customStyle="1" w:styleId="McLLTableGeneralText3">
    <w:name w:val="McLL Table General Text3"/>
    <w:basedOn w:val="TableNormal"/>
    <w:next w:val="TableGrid"/>
    <w:uiPriority w:val="39"/>
    <w:rsid w:val="007B7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Subheading">
    <w:name w:val="Annex Subheading"/>
    <w:basedOn w:val="BodyText"/>
    <w:link w:val="AnnexSubheadingChar"/>
    <w:uiPriority w:val="99"/>
    <w:qFormat/>
    <w:rsid w:val="0024772A"/>
    <w:rPr>
      <w:rFonts w:ascii="Franklin Gothic Demi" w:hAnsi="Franklin Gothic Demi"/>
      <w:color w:val="4C7B9E" w:themeColor="background2"/>
      <w:sz w:val="24"/>
      <w:szCs w:val="24"/>
    </w:rPr>
  </w:style>
  <w:style w:type="character" w:customStyle="1" w:styleId="AnnexSubheadingChar">
    <w:name w:val="Annex Subheading Char"/>
    <w:basedOn w:val="BodyTextChar"/>
    <w:link w:val="AnnexSubheading"/>
    <w:uiPriority w:val="99"/>
    <w:rsid w:val="0024772A"/>
    <w:rPr>
      <w:rFonts w:ascii="Franklin Gothic Demi" w:hAnsi="Franklin Gothic Demi"/>
      <w:color w:val="4C7B9E" w:themeColor="background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6807">
      <w:bodyDiv w:val="1"/>
      <w:marLeft w:val="0"/>
      <w:marRight w:val="0"/>
      <w:marTop w:val="0"/>
      <w:marBottom w:val="0"/>
      <w:divBdr>
        <w:top w:val="none" w:sz="0" w:space="0" w:color="auto"/>
        <w:left w:val="none" w:sz="0" w:space="0" w:color="auto"/>
        <w:bottom w:val="none" w:sz="0" w:space="0" w:color="auto"/>
        <w:right w:val="none" w:sz="0" w:space="0" w:color="auto"/>
      </w:divBdr>
    </w:div>
    <w:div w:id="398134749">
      <w:bodyDiv w:val="1"/>
      <w:marLeft w:val="0"/>
      <w:marRight w:val="0"/>
      <w:marTop w:val="0"/>
      <w:marBottom w:val="0"/>
      <w:divBdr>
        <w:top w:val="none" w:sz="0" w:space="0" w:color="auto"/>
        <w:left w:val="none" w:sz="0" w:space="0" w:color="auto"/>
        <w:bottom w:val="none" w:sz="0" w:space="0" w:color="auto"/>
        <w:right w:val="none" w:sz="0" w:space="0" w:color="auto"/>
      </w:divBdr>
      <w:divsChild>
        <w:div w:id="203295402">
          <w:marLeft w:val="-113"/>
          <w:marRight w:val="0"/>
          <w:marTop w:val="0"/>
          <w:marBottom w:val="0"/>
          <w:divBdr>
            <w:top w:val="none" w:sz="0" w:space="0" w:color="auto"/>
            <w:left w:val="none" w:sz="0" w:space="0" w:color="auto"/>
            <w:bottom w:val="none" w:sz="0" w:space="0" w:color="auto"/>
            <w:right w:val="none" w:sz="0" w:space="0" w:color="auto"/>
          </w:divBdr>
        </w:div>
        <w:div w:id="1385829204">
          <w:marLeft w:val="-113"/>
          <w:marRight w:val="0"/>
          <w:marTop w:val="0"/>
          <w:marBottom w:val="0"/>
          <w:divBdr>
            <w:top w:val="none" w:sz="0" w:space="0" w:color="auto"/>
            <w:left w:val="none" w:sz="0" w:space="0" w:color="auto"/>
            <w:bottom w:val="none" w:sz="0" w:space="0" w:color="auto"/>
            <w:right w:val="none" w:sz="0" w:space="0" w:color="auto"/>
          </w:divBdr>
        </w:div>
        <w:div w:id="1829056672">
          <w:marLeft w:val="-113"/>
          <w:marRight w:val="0"/>
          <w:marTop w:val="0"/>
          <w:marBottom w:val="0"/>
          <w:divBdr>
            <w:top w:val="none" w:sz="0" w:space="0" w:color="auto"/>
            <w:left w:val="none" w:sz="0" w:space="0" w:color="auto"/>
            <w:bottom w:val="none" w:sz="0" w:space="0" w:color="auto"/>
            <w:right w:val="none" w:sz="0" w:space="0" w:color="auto"/>
          </w:divBdr>
        </w:div>
      </w:divsChild>
    </w:div>
    <w:div w:id="411315971">
      <w:bodyDiv w:val="1"/>
      <w:marLeft w:val="0"/>
      <w:marRight w:val="0"/>
      <w:marTop w:val="0"/>
      <w:marBottom w:val="0"/>
      <w:divBdr>
        <w:top w:val="none" w:sz="0" w:space="0" w:color="auto"/>
        <w:left w:val="none" w:sz="0" w:space="0" w:color="auto"/>
        <w:bottom w:val="none" w:sz="0" w:space="0" w:color="auto"/>
        <w:right w:val="none" w:sz="0" w:space="0" w:color="auto"/>
      </w:divBdr>
    </w:div>
    <w:div w:id="418717101">
      <w:bodyDiv w:val="1"/>
      <w:marLeft w:val="0"/>
      <w:marRight w:val="0"/>
      <w:marTop w:val="0"/>
      <w:marBottom w:val="0"/>
      <w:divBdr>
        <w:top w:val="none" w:sz="0" w:space="0" w:color="auto"/>
        <w:left w:val="none" w:sz="0" w:space="0" w:color="auto"/>
        <w:bottom w:val="none" w:sz="0" w:space="0" w:color="auto"/>
        <w:right w:val="none" w:sz="0" w:space="0" w:color="auto"/>
      </w:divBdr>
    </w:div>
    <w:div w:id="633870687">
      <w:bodyDiv w:val="1"/>
      <w:marLeft w:val="0"/>
      <w:marRight w:val="0"/>
      <w:marTop w:val="0"/>
      <w:marBottom w:val="0"/>
      <w:divBdr>
        <w:top w:val="none" w:sz="0" w:space="0" w:color="auto"/>
        <w:left w:val="none" w:sz="0" w:space="0" w:color="auto"/>
        <w:bottom w:val="none" w:sz="0" w:space="0" w:color="auto"/>
        <w:right w:val="none" w:sz="0" w:space="0" w:color="auto"/>
      </w:divBdr>
    </w:div>
    <w:div w:id="689599423">
      <w:bodyDiv w:val="1"/>
      <w:marLeft w:val="0"/>
      <w:marRight w:val="0"/>
      <w:marTop w:val="0"/>
      <w:marBottom w:val="0"/>
      <w:divBdr>
        <w:top w:val="none" w:sz="0" w:space="0" w:color="auto"/>
        <w:left w:val="none" w:sz="0" w:space="0" w:color="auto"/>
        <w:bottom w:val="none" w:sz="0" w:space="0" w:color="auto"/>
        <w:right w:val="none" w:sz="0" w:space="0" w:color="auto"/>
      </w:divBdr>
    </w:div>
    <w:div w:id="758062799">
      <w:bodyDiv w:val="1"/>
      <w:marLeft w:val="0"/>
      <w:marRight w:val="0"/>
      <w:marTop w:val="0"/>
      <w:marBottom w:val="0"/>
      <w:divBdr>
        <w:top w:val="none" w:sz="0" w:space="0" w:color="auto"/>
        <w:left w:val="none" w:sz="0" w:space="0" w:color="auto"/>
        <w:bottom w:val="none" w:sz="0" w:space="0" w:color="auto"/>
        <w:right w:val="none" w:sz="0" w:space="0" w:color="auto"/>
      </w:divBdr>
    </w:div>
    <w:div w:id="948705902">
      <w:bodyDiv w:val="1"/>
      <w:marLeft w:val="0"/>
      <w:marRight w:val="0"/>
      <w:marTop w:val="0"/>
      <w:marBottom w:val="0"/>
      <w:divBdr>
        <w:top w:val="none" w:sz="0" w:space="0" w:color="auto"/>
        <w:left w:val="none" w:sz="0" w:space="0" w:color="auto"/>
        <w:bottom w:val="none" w:sz="0" w:space="0" w:color="auto"/>
        <w:right w:val="none" w:sz="0" w:space="0" w:color="auto"/>
      </w:divBdr>
    </w:div>
    <w:div w:id="1024744923">
      <w:bodyDiv w:val="1"/>
      <w:marLeft w:val="0"/>
      <w:marRight w:val="0"/>
      <w:marTop w:val="0"/>
      <w:marBottom w:val="0"/>
      <w:divBdr>
        <w:top w:val="none" w:sz="0" w:space="0" w:color="auto"/>
        <w:left w:val="none" w:sz="0" w:space="0" w:color="auto"/>
        <w:bottom w:val="none" w:sz="0" w:space="0" w:color="auto"/>
        <w:right w:val="none" w:sz="0" w:space="0" w:color="auto"/>
      </w:divBdr>
    </w:div>
    <w:div w:id="1044020987">
      <w:bodyDiv w:val="1"/>
      <w:marLeft w:val="0"/>
      <w:marRight w:val="0"/>
      <w:marTop w:val="0"/>
      <w:marBottom w:val="0"/>
      <w:divBdr>
        <w:top w:val="none" w:sz="0" w:space="0" w:color="auto"/>
        <w:left w:val="none" w:sz="0" w:space="0" w:color="auto"/>
        <w:bottom w:val="none" w:sz="0" w:space="0" w:color="auto"/>
        <w:right w:val="none" w:sz="0" w:space="0" w:color="auto"/>
      </w:divBdr>
    </w:div>
    <w:div w:id="1116634595">
      <w:bodyDiv w:val="1"/>
      <w:marLeft w:val="0"/>
      <w:marRight w:val="0"/>
      <w:marTop w:val="0"/>
      <w:marBottom w:val="0"/>
      <w:divBdr>
        <w:top w:val="none" w:sz="0" w:space="0" w:color="auto"/>
        <w:left w:val="none" w:sz="0" w:space="0" w:color="auto"/>
        <w:bottom w:val="none" w:sz="0" w:space="0" w:color="auto"/>
        <w:right w:val="none" w:sz="0" w:space="0" w:color="auto"/>
      </w:divBdr>
    </w:div>
    <w:div w:id="1189760935">
      <w:bodyDiv w:val="1"/>
      <w:marLeft w:val="0"/>
      <w:marRight w:val="0"/>
      <w:marTop w:val="0"/>
      <w:marBottom w:val="0"/>
      <w:divBdr>
        <w:top w:val="none" w:sz="0" w:space="0" w:color="auto"/>
        <w:left w:val="none" w:sz="0" w:space="0" w:color="auto"/>
        <w:bottom w:val="none" w:sz="0" w:space="0" w:color="auto"/>
        <w:right w:val="none" w:sz="0" w:space="0" w:color="auto"/>
      </w:divBdr>
    </w:div>
    <w:div w:id="1296326209">
      <w:bodyDiv w:val="1"/>
      <w:marLeft w:val="0"/>
      <w:marRight w:val="0"/>
      <w:marTop w:val="0"/>
      <w:marBottom w:val="0"/>
      <w:divBdr>
        <w:top w:val="none" w:sz="0" w:space="0" w:color="auto"/>
        <w:left w:val="none" w:sz="0" w:space="0" w:color="auto"/>
        <w:bottom w:val="none" w:sz="0" w:space="0" w:color="auto"/>
        <w:right w:val="none" w:sz="0" w:space="0" w:color="auto"/>
      </w:divBdr>
    </w:div>
    <w:div w:id="1567569152">
      <w:bodyDiv w:val="1"/>
      <w:marLeft w:val="0"/>
      <w:marRight w:val="0"/>
      <w:marTop w:val="0"/>
      <w:marBottom w:val="0"/>
      <w:divBdr>
        <w:top w:val="none" w:sz="0" w:space="0" w:color="auto"/>
        <w:left w:val="none" w:sz="0" w:space="0" w:color="auto"/>
        <w:bottom w:val="none" w:sz="0" w:space="0" w:color="auto"/>
        <w:right w:val="none" w:sz="0" w:space="0" w:color="auto"/>
      </w:divBdr>
      <w:divsChild>
        <w:div w:id="1527714302">
          <w:marLeft w:val="0"/>
          <w:marRight w:val="0"/>
          <w:marTop w:val="0"/>
          <w:marBottom w:val="0"/>
          <w:divBdr>
            <w:top w:val="none" w:sz="0" w:space="0" w:color="auto"/>
            <w:left w:val="none" w:sz="0" w:space="0" w:color="auto"/>
            <w:bottom w:val="none" w:sz="0" w:space="0" w:color="auto"/>
            <w:right w:val="none" w:sz="0" w:space="0" w:color="auto"/>
          </w:divBdr>
        </w:div>
      </w:divsChild>
    </w:div>
    <w:div w:id="1656253173">
      <w:bodyDiv w:val="1"/>
      <w:marLeft w:val="0"/>
      <w:marRight w:val="0"/>
      <w:marTop w:val="0"/>
      <w:marBottom w:val="0"/>
      <w:divBdr>
        <w:top w:val="none" w:sz="0" w:space="0" w:color="auto"/>
        <w:left w:val="none" w:sz="0" w:space="0" w:color="auto"/>
        <w:bottom w:val="none" w:sz="0" w:space="0" w:color="auto"/>
        <w:right w:val="none" w:sz="0" w:space="0" w:color="auto"/>
      </w:divBdr>
    </w:div>
    <w:div w:id="1679693584">
      <w:bodyDiv w:val="1"/>
      <w:marLeft w:val="0"/>
      <w:marRight w:val="0"/>
      <w:marTop w:val="0"/>
      <w:marBottom w:val="0"/>
      <w:divBdr>
        <w:top w:val="none" w:sz="0" w:space="0" w:color="auto"/>
        <w:left w:val="none" w:sz="0" w:space="0" w:color="auto"/>
        <w:bottom w:val="none" w:sz="0" w:space="0" w:color="auto"/>
        <w:right w:val="none" w:sz="0" w:space="0" w:color="auto"/>
      </w:divBdr>
    </w:div>
    <w:div w:id="2137335764">
      <w:bodyDiv w:val="1"/>
      <w:marLeft w:val="0"/>
      <w:marRight w:val="0"/>
      <w:marTop w:val="0"/>
      <w:marBottom w:val="0"/>
      <w:divBdr>
        <w:top w:val="none" w:sz="0" w:space="0" w:color="auto"/>
        <w:left w:val="none" w:sz="0" w:space="0" w:color="auto"/>
        <w:bottom w:val="none" w:sz="0" w:space="0" w:color="auto"/>
        <w:right w:val="none" w:sz="0" w:space="0" w:color="auto"/>
      </w:divBdr>
    </w:div>
    <w:div w:id="213871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Accessible Tetra Tech">
      <a:dk1>
        <a:sysClr val="windowText" lastClr="000000"/>
      </a:dk1>
      <a:lt1>
        <a:sysClr val="window" lastClr="FFFFFF"/>
      </a:lt1>
      <a:dk2>
        <a:srgbClr val="003478"/>
      </a:dk2>
      <a:lt2>
        <a:srgbClr val="4C7B9E"/>
      </a:lt2>
      <a:accent1>
        <a:srgbClr val="003478"/>
      </a:accent1>
      <a:accent2>
        <a:srgbClr val="4C7B9E"/>
      </a:accent2>
      <a:accent3>
        <a:srgbClr val="AD6500"/>
      </a:accent3>
      <a:accent4>
        <a:srgbClr val="597C31"/>
      </a:accent4>
      <a:accent5>
        <a:srgbClr val="8B7341"/>
      </a:accent5>
      <a:accent6>
        <a:srgbClr val="7F7F7F"/>
      </a:accent6>
      <a:hlink>
        <a:srgbClr val="000000"/>
      </a:hlink>
      <a:folHlink>
        <a:srgbClr val="993366"/>
      </a:folHlink>
    </a:clrScheme>
    <a:fontScheme name="Helvetica">
      <a:majorFont>
        <a:latin typeface="Helvetica LT Std"/>
        <a:ea typeface=""/>
        <a:cs typeface=""/>
      </a:majorFont>
      <a:minorFont>
        <a:latin typeface="Helvetica 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ODE</b:Tag>
    <b:SourceType>Report</b:SourceType>
    <b:Guid>{14655F31-A5E1-4DC0-A3E3-5B2EE026CEE4}</b:Guid>
    <b:RefOrder>1</b:RefOrder>
  </b:Source>
</b:Sources>
</file>

<file path=customXml/itemProps1.xml><?xml version="1.0" encoding="utf-8"?>
<ds:datastoreItem xmlns:ds="http://schemas.openxmlformats.org/officeDocument/2006/customXml" ds:itemID="{07D3623C-64AC-4A27-B318-52DAC421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18384</Words>
  <Characters>106628</Characters>
  <Application>Microsoft Office Word</Application>
  <DocSecurity>0</DocSecurity>
  <Lines>2881</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124351</CharactersWithSpaces>
  <SharedDoc>false</SharedDoc>
  <HLinks>
    <vt:vector size="216" baseType="variant">
      <vt:variant>
        <vt:i4>1507376</vt:i4>
      </vt:variant>
      <vt:variant>
        <vt:i4>212</vt:i4>
      </vt:variant>
      <vt:variant>
        <vt:i4>0</vt:i4>
      </vt:variant>
      <vt:variant>
        <vt:i4>5</vt:i4>
      </vt:variant>
      <vt:variant>
        <vt:lpwstr/>
      </vt:variant>
      <vt:variant>
        <vt:lpwstr>_Toc95339731</vt:lpwstr>
      </vt:variant>
      <vt:variant>
        <vt:i4>1441840</vt:i4>
      </vt:variant>
      <vt:variant>
        <vt:i4>206</vt:i4>
      </vt:variant>
      <vt:variant>
        <vt:i4>0</vt:i4>
      </vt:variant>
      <vt:variant>
        <vt:i4>5</vt:i4>
      </vt:variant>
      <vt:variant>
        <vt:lpwstr/>
      </vt:variant>
      <vt:variant>
        <vt:lpwstr>_Toc95339730</vt:lpwstr>
      </vt:variant>
      <vt:variant>
        <vt:i4>2031665</vt:i4>
      </vt:variant>
      <vt:variant>
        <vt:i4>200</vt:i4>
      </vt:variant>
      <vt:variant>
        <vt:i4>0</vt:i4>
      </vt:variant>
      <vt:variant>
        <vt:i4>5</vt:i4>
      </vt:variant>
      <vt:variant>
        <vt:lpwstr/>
      </vt:variant>
      <vt:variant>
        <vt:lpwstr>_Toc95339729</vt:lpwstr>
      </vt:variant>
      <vt:variant>
        <vt:i4>1966129</vt:i4>
      </vt:variant>
      <vt:variant>
        <vt:i4>194</vt:i4>
      </vt:variant>
      <vt:variant>
        <vt:i4>0</vt:i4>
      </vt:variant>
      <vt:variant>
        <vt:i4>5</vt:i4>
      </vt:variant>
      <vt:variant>
        <vt:lpwstr/>
      </vt:variant>
      <vt:variant>
        <vt:lpwstr>_Toc95339728</vt:lpwstr>
      </vt:variant>
      <vt:variant>
        <vt:i4>1114161</vt:i4>
      </vt:variant>
      <vt:variant>
        <vt:i4>188</vt:i4>
      </vt:variant>
      <vt:variant>
        <vt:i4>0</vt:i4>
      </vt:variant>
      <vt:variant>
        <vt:i4>5</vt:i4>
      </vt:variant>
      <vt:variant>
        <vt:lpwstr/>
      </vt:variant>
      <vt:variant>
        <vt:lpwstr>_Toc95339727</vt:lpwstr>
      </vt:variant>
      <vt:variant>
        <vt:i4>1048625</vt:i4>
      </vt:variant>
      <vt:variant>
        <vt:i4>182</vt:i4>
      </vt:variant>
      <vt:variant>
        <vt:i4>0</vt:i4>
      </vt:variant>
      <vt:variant>
        <vt:i4>5</vt:i4>
      </vt:variant>
      <vt:variant>
        <vt:lpwstr/>
      </vt:variant>
      <vt:variant>
        <vt:lpwstr>_Toc95339726</vt:lpwstr>
      </vt:variant>
      <vt:variant>
        <vt:i4>1245233</vt:i4>
      </vt:variant>
      <vt:variant>
        <vt:i4>176</vt:i4>
      </vt:variant>
      <vt:variant>
        <vt:i4>0</vt:i4>
      </vt:variant>
      <vt:variant>
        <vt:i4>5</vt:i4>
      </vt:variant>
      <vt:variant>
        <vt:lpwstr/>
      </vt:variant>
      <vt:variant>
        <vt:lpwstr>_Toc95339725</vt:lpwstr>
      </vt:variant>
      <vt:variant>
        <vt:i4>1179697</vt:i4>
      </vt:variant>
      <vt:variant>
        <vt:i4>170</vt:i4>
      </vt:variant>
      <vt:variant>
        <vt:i4>0</vt:i4>
      </vt:variant>
      <vt:variant>
        <vt:i4>5</vt:i4>
      </vt:variant>
      <vt:variant>
        <vt:lpwstr/>
      </vt:variant>
      <vt:variant>
        <vt:lpwstr>_Toc95339724</vt:lpwstr>
      </vt:variant>
      <vt:variant>
        <vt:i4>1376305</vt:i4>
      </vt:variant>
      <vt:variant>
        <vt:i4>164</vt:i4>
      </vt:variant>
      <vt:variant>
        <vt:i4>0</vt:i4>
      </vt:variant>
      <vt:variant>
        <vt:i4>5</vt:i4>
      </vt:variant>
      <vt:variant>
        <vt:lpwstr/>
      </vt:variant>
      <vt:variant>
        <vt:lpwstr>_Toc95339723</vt:lpwstr>
      </vt:variant>
      <vt:variant>
        <vt:i4>1310769</vt:i4>
      </vt:variant>
      <vt:variant>
        <vt:i4>158</vt:i4>
      </vt:variant>
      <vt:variant>
        <vt:i4>0</vt:i4>
      </vt:variant>
      <vt:variant>
        <vt:i4>5</vt:i4>
      </vt:variant>
      <vt:variant>
        <vt:lpwstr/>
      </vt:variant>
      <vt:variant>
        <vt:lpwstr>_Toc95339722</vt:lpwstr>
      </vt:variant>
      <vt:variant>
        <vt:i4>1507377</vt:i4>
      </vt:variant>
      <vt:variant>
        <vt:i4>152</vt:i4>
      </vt:variant>
      <vt:variant>
        <vt:i4>0</vt:i4>
      </vt:variant>
      <vt:variant>
        <vt:i4>5</vt:i4>
      </vt:variant>
      <vt:variant>
        <vt:lpwstr/>
      </vt:variant>
      <vt:variant>
        <vt:lpwstr>_Toc95339721</vt:lpwstr>
      </vt:variant>
      <vt:variant>
        <vt:i4>1441841</vt:i4>
      </vt:variant>
      <vt:variant>
        <vt:i4>146</vt:i4>
      </vt:variant>
      <vt:variant>
        <vt:i4>0</vt:i4>
      </vt:variant>
      <vt:variant>
        <vt:i4>5</vt:i4>
      </vt:variant>
      <vt:variant>
        <vt:lpwstr/>
      </vt:variant>
      <vt:variant>
        <vt:lpwstr>_Toc95339720</vt:lpwstr>
      </vt:variant>
      <vt:variant>
        <vt:i4>2031666</vt:i4>
      </vt:variant>
      <vt:variant>
        <vt:i4>140</vt:i4>
      </vt:variant>
      <vt:variant>
        <vt:i4>0</vt:i4>
      </vt:variant>
      <vt:variant>
        <vt:i4>5</vt:i4>
      </vt:variant>
      <vt:variant>
        <vt:lpwstr/>
      </vt:variant>
      <vt:variant>
        <vt:lpwstr>_Toc95339719</vt:lpwstr>
      </vt:variant>
      <vt:variant>
        <vt:i4>1966130</vt:i4>
      </vt:variant>
      <vt:variant>
        <vt:i4>134</vt:i4>
      </vt:variant>
      <vt:variant>
        <vt:i4>0</vt:i4>
      </vt:variant>
      <vt:variant>
        <vt:i4>5</vt:i4>
      </vt:variant>
      <vt:variant>
        <vt:lpwstr/>
      </vt:variant>
      <vt:variant>
        <vt:lpwstr>_Toc95339718</vt:lpwstr>
      </vt:variant>
      <vt:variant>
        <vt:i4>1114162</vt:i4>
      </vt:variant>
      <vt:variant>
        <vt:i4>128</vt:i4>
      </vt:variant>
      <vt:variant>
        <vt:i4>0</vt:i4>
      </vt:variant>
      <vt:variant>
        <vt:i4>5</vt:i4>
      </vt:variant>
      <vt:variant>
        <vt:lpwstr/>
      </vt:variant>
      <vt:variant>
        <vt:lpwstr>_Toc95339717</vt:lpwstr>
      </vt:variant>
      <vt:variant>
        <vt:i4>1048626</vt:i4>
      </vt:variant>
      <vt:variant>
        <vt:i4>122</vt:i4>
      </vt:variant>
      <vt:variant>
        <vt:i4>0</vt:i4>
      </vt:variant>
      <vt:variant>
        <vt:i4>5</vt:i4>
      </vt:variant>
      <vt:variant>
        <vt:lpwstr/>
      </vt:variant>
      <vt:variant>
        <vt:lpwstr>_Toc95339716</vt:lpwstr>
      </vt:variant>
      <vt:variant>
        <vt:i4>1245234</vt:i4>
      </vt:variant>
      <vt:variant>
        <vt:i4>116</vt:i4>
      </vt:variant>
      <vt:variant>
        <vt:i4>0</vt:i4>
      </vt:variant>
      <vt:variant>
        <vt:i4>5</vt:i4>
      </vt:variant>
      <vt:variant>
        <vt:lpwstr/>
      </vt:variant>
      <vt:variant>
        <vt:lpwstr>_Toc95339715</vt:lpwstr>
      </vt:variant>
      <vt:variant>
        <vt:i4>1179698</vt:i4>
      </vt:variant>
      <vt:variant>
        <vt:i4>110</vt:i4>
      </vt:variant>
      <vt:variant>
        <vt:i4>0</vt:i4>
      </vt:variant>
      <vt:variant>
        <vt:i4>5</vt:i4>
      </vt:variant>
      <vt:variant>
        <vt:lpwstr/>
      </vt:variant>
      <vt:variant>
        <vt:lpwstr>_Toc95339714</vt:lpwstr>
      </vt:variant>
      <vt:variant>
        <vt:i4>1376306</vt:i4>
      </vt:variant>
      <vt:variant>
        <vt:i4>104</vt:i4>
      </vt:variant>
      <vt:variant>
        <vt:i4>0</vt:i4>
      </vt:variant>
      <vt:variant>
        <vt:i4>5</vt:i4>
      </vt:variant>
      <vt:variant>
        <vt:lpwstr/>
      </vt:variant>
      <vt:variant>
        <vt:lpwstr>_Toc95339713</vt:lpwstr>
      </vt:variant>
      <vt:variant>
        <vt:i4>1310770</vt:i4>
      </vt:variant>
      <vt:variant>
        <vt:i4>98</vt:i4>
      </vt:variant>
      <vt:variant>
        <vt:i4>0</vt:i4>
      </vt:variant>
      <vt:variant>
        <vt:i4>5</vt:i4>
      </vt:variant>
      <vt:variant>
        <vt:lpwstr/>
      </vt:variant>
      <vt:variant>
        <vt:lpwstr>_Toc95339712</vt:lpwstr>
      </vt:variant>
      <vt:variant>
        <vt:i4>1507378</vt:i4>
      </vt:variant>
      <vt:variant>
        <vt:i4>92</vt:i4>
      </vt:variant>
      <vt:variant>
        <vt:i4>0</vt:i4>
      </vt:variant>
      <vt:variant>
        <vt:i4>5</vt:i4>
      </vt:variant>
      <vt:variant>
        <vt:lpwstr/>
      </vt:variant>
      <vt:variant>
        <vt:lpwstr>_Toc95339711</vt:lpwstr>
      </vt:variant>
      <vt:variant>
        <vt:i4>1441842</vt:i4>
      </vt:variant>
      <vt:variant>
        <vt:i4>86</vt:i4>
      </vt:variant>
      <vt:variant>
        <vt:i4>0</vt:i4>
      </vt:variant>
      <vt:variant>
        <vt:i4>5</vt:i4>
      </vt:variant>
      <vt:variant>
        <vt:lpwstr/>
      </vt:variant>
      <vt:variant>
        <vt:lpwstr>_Toc95339710</vt:lpwstr>
      </vt:variant>
      <vt:variant>
        <vt:i4>2031667</vt:i4>
      </vt:variant>
      <vt:variant>
        <vt:i4>80</vt:i4>
      </vt:variant>
      <vt:variant>
        <vt:i4>0</vt:i4>
      </vt:variant>
      <vt:variant>
        <vt:i4>5</vt:i4>
      </vt:variant>
      <vt:variant>
        <vt:lpwstr/>
      </vt:variant>
      <vt:variant>
        <vt:lpwstr>_Toc95339709</vt:lpwstr>
      </vt:variant>
      <vt:variant>
        <vt:i4>1966131</vt:i4>
      </vt:variant>
      <vt:variant>
        <vt:i4>74</vt:i4>
      </vt:variant>
      <vt:variant>
        <vt:i4>0</vt:i4>
      </vt:variant>
      <vt:variant>
        <vt:i4>5</vt:i4>
      </vt:variant>
      <vt:variant>
        <vt:lpwstr/>
      </vt:variant>
      <vt:variant>
        <vt:lpwstr>_Toc95339708</vt:lpwstr>
      </vt:variant>
      <vt:variant>
        <vt:i4>1114163</vt:i4>
      </vt:variant>
      <vt:variant>
        <vt:i4>68</vt:i4>
      </vt:variant>
      <vt:variant>
        <vt:i4>0</vt:i4>
      </vt:variant>
      <vt:variant>
        <vt:i4>5</vt:i4>
      </vt:variant>
      <vt:variant>
        <vt:lpwstr/>
      </vt:variant>
      <vt:variant>
        <vt:lpwstr>_Toc95339707</vt:lpwstr>
      </vt:variant>
      <vt:variant>
        <vt:i4>1048627</vt:i4>
      </vt:variant>
      <vt:variant>
        <vt:i4>62</vt:i4>
      </vt:variant>
      <vt:variant>
        <vt:i4>0</vt:i4>
      </vt:variant>
      <vt:variant>
        <vt:i4>5</vt:i4>
      </vt:variant>
      <vt:variant>
        <vt:lpwstr/>
      </vt:variant>
      <vt:variant>
        <vt:lpwstr>_Toc95339706</vt:lpwstr>
      </vt:variant>
      <vt:variant>
        <vt:i4>1245235</vt:i4>
      </vt:variant>
      <vt:variant>
        <vt:i4>56</vt:i4>
      </vt:variant>
      <vt:variant>
        <vt:i4>0</vt:i4>
      </vt:variant>
      <vt:variant>
        <vt:i4>5</vt:i4>
      </vt:variant>
      <vt:variant>
        <vt:lpwstr/>
      </vt:variant>
      <vt:variant>
        <vt:lpwstr>_Toc95339705</vt:lpwstr>
      </vt:variant>
      <vt:variant>
        <vt:i4>1179699</vt:i4>
      </vt:variant>
      <vt:variant>
        <vt:i4>50</vt:i4>
      </vt:variant>
      <vt:variant>
        <vt:i4>0</vt:i4>
      </vt:variant>
      <vt:variant>
        <vt:i4>5</vt:i4>
      </vt:variant>
      <vt:variant>
        <vt:lpwstr/>
      </vt:variant>
      <vt:variant>
        <vt:lpwstr>_Toc95339704</vt:lpwstr>
      </vt:variant>
      <vt:variant>
        <vt:i4>1376307</vt:i4>
      </vt:variant>
      <vt:variant>
        <vt:i4>44</vt:i4>
      </vt:variant>
      <vt:variant>
        <vt:i4>0</vt:i4>
      </vt:variant>
      <vt:variant>
        <vt:i4>5</vt:i4>
      </vt:variant>
      <vt:variant>
        <vt:lpwstr/>
      </vt:variant>
      <vt:variant>
        <vt:lpwstr>_Toc95339703</vt:lpwstr>
      </vt:variant>
      <vt:variant>
        <vt:i4>1310771</vt:i4>
      </vt:variant>
      <vt:variant>
        <vt:i4>38</vt:i4>
      </vt:variant>
      <vt:variant>
        <vt:i4>0</vt:i4>
      </vt:variant>
      <vt:variant>
        <vt:i4>5</vt:i4>
      </vt:variant>
      <vt:variant>
        <vt:lpwstr/>
      </vt:variant>
      <vt:variant>
        <vt:lpwstr>_Toc95339702</vt:lpwstr>
      </vt:variant>
      <vt:variant>
        <vt:i4>1507379</vt:i4>
      </vt:variant>
      <vt:variant>
        <vt:i4>32</vt:i4>
      </vt:variant>
      <vt:variant>
        <vt:i4>0</vt:i4>
      </vt:variant>
      <vt:variant>
        <vt:i4>5</vt:i4>
      </vt:variant>
      <vt:variant>
        <vt:lpwstr/>
      </vt:variant>
      <vt:variant>
        <vt:lpwstr>_Toc95339701</vt:lpwstr>
      </vt:variant>
      <vt:variant>
        <vt:i4>1441843</vt:i4>
      </vt:variant>
      <vt:variant>
        <vt:i4>26</vt:i4>
      </vt:variant>
      <vt:variant>
        <vt:i4>0</vt:i4>
      </vt:variant>
      <vt:variant>
        <vt:i4>5</vt:i4>
      </vt:variant>
      <vt:variant>
        <vt:lpwstr/>
      </vt:variant>
      <vt:variant>
        <vt:lpwstr>_Toc95339700</vt:lpwstr>
      </vt:variant>
      <vt:variant>
        <vt:i4>1966138</vt:i4>
      </vt:variant>
      <vt:variant>
        <vt:i4>20</vt:i4>
      </vt:variant>
      <vt:variant>
        <vt:i4>0</vt:i4>
      </vt:variant>
      <vt:variant>
        <vt:i4>5</vt:i4>
      </vt:variant>
      <vt:variant>
        <vt:lpwstr/>
      </vt:variant>
      <vt:variant>
        <vt:lpwstr>_Toc95339699</vt:lpwstr>
      </vt:variant>
      <vt:variant>
        <vt:i4>2031674</vt:i4>
      </vt:variant>
      <vt:variant>
        <vt:i4>14</vt:i4>
      </vt:variant>
      <vt:variant>
        <vt:i4>0</vt:i4>
      </vt:variant>
      <vt:variant>
        <vt:i4>5</vt:i4>
      </vt:variant>
      <vt:variant>
        <vt:lpwstr/>
      </vt:variant>
      <vt:variant>
        <vt:lpwstr>_Toc95339698</vt:lpwstr>
      </vt:variant>
      <vt:variant>
        <vt:i4>1048634</vt:i4>
      </vt:variant>
      <vt:variant>
        <vt:i4>8</vt:i4>
      </vt:variant>
      <vt:variant>
        <vt:i4>0</vt:i4>
      </vt:variant>
      <vt:variant>
        <vt:i4>5</vt:i4>
      </vt:variant>
      <vt:variant>
        <vt:lpwstr/>
      </vt:variant>
      <vt:variant>
        <vt:lpwstr>_Toc95339697</vt:lpwstr>
      </vt:variant>
      <vt:variant>
        <vt:i4>1114170</vt:i4>
      </vt:variant>
      <vt:variant>
        <vt:i4>2</vt:i4>
      </vt:variant>
      <vt:variant>
        <vt:i4>0</vt:i4>
      </vt:variant>
      <vt:variant>
        <vt:i4>5</vt:i4>
      </vt:variant>
      <vt:variant>
        <vt:lpwstr/>
      </vt:variant>
      <vt:variant>
        <vt:lpwstr>_Toc95339696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2022-08-19T02:02:00Z</dcterms:created>
  <dcterms:modified xsi:type="dcterms:W3CDTF">2022-08-19T02:02:00Z</dcterms:modified>
  <cp:category/>
</cp:coreProperties>
</file>