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50BDBE" w14:textId="21CDCA58" w:rsidR="004A4DB4" w:rsidRDefault="008D4D04" w:rsidP="004A4DB4">
      <w:pPr>
        <w:rPr>
          <w:b/>
          <w:sz w:val="28"/>
          <w:szCs w:val="28"/>
        </w:rPr>
      </w:pPr>
      <w:r w:rsidRPr="00BE538A">
        <w:rPr>
          <w:b/>
          <w:sz w:val="28"/>
          <w:szCs w:val="28"/>
        </w:rPr>
        <w:t>Management Response</w:t>
      </w:r>
      <w:r w:rsidR="004A4DB4">
        <w:rPr>
          <w:b/>
          <w:sz w:val="28"/>
          <w:szCs w:val="28"/>
        </w:rPr>
        <w:t xml:space="preserve"> to the Review of the PNG-Australia Transport Sector Support Program Phase 2</w:t>
      </w:r>
    </w:p>
    <w:p w14:paraId="37DA051B" w14:textId="30F1F6F7" w:rsidR="00B407B3" w:rsidRDefault="009E4369" w:rsidP="009E4369">
      <w:pPr>
        <w:rPr>
          <w:bCs/>
          <w:sz w:val="20"/>
          <w:szCs w:val="20"/>
        </w:rPr>
      </w:pPr>
      <w:r w:rsidRPr="00036E33">
        <w:rPr>
          <w:bCs/>
          <w:sz w:val="20"/>
          <w:szCs w:val="20"/>
        </w:rPr>
        <w:t xml:space="preserve">This document outlines DFAT management’s response to the independent </w:t>
      </w:r>
      <w:r w:rsidR="008B48CB">
        <w:rPr>
          <w:bCs/>
          <w:sz w:val="20"/>
          <w:szCs w:val="20"/>
        </w:rPr>
        <w:t xml:space="preserve">review of the PNG-Australia Transport Sector Support Program (TSSP) </w:t>
      </w:r>
      <w:r w:rsidR="00357D5F">
        <w:rPr>
          <w:bCs/>
          <w:sz w:val="20"/>
          <w:szCs w:val="20"/>
        </w:rPr>
        <w:t xml:space="preserve">prepared by </w:t>
      </w:r>
      <w:r w:rsidR="008B48CB">
        <w:rPr>
          <w:bCs/>
          <w:sz w:val="20"/>
          <w:szCs w:val="20"/>
        </w:rPr>
        <w:t>Tetra Tech</w:t>
      </w:r>
      <w:r w:rsidR="00357D5F">
        <w:rPr>
          <w:bCs/>
          <w:sz w:val="20"/>
          <w:szCs w:val="20"/>
        </w:rPr>
        <w:t xml:space="preserve"> Pty Ltd in</w:t>
      </w:r>
      <w:r w:rsidR="00EA5662">
        <w:rPr>
          <w:bCs/>
          <w:sz w:val="20"/>
          <w:szCs w:val="20"/>
        </w:rPr>
        <w:t xml:space="preserve"> February 2022</w:t>
      </w:r>
      <w:r w:rsidR="00667A38">
        <w:rPr>
          <w:bCs/>
          <w:sz w:val="20"/>
          <w:szCs w:val="20"/>
        </w:rPr>
        <w:t>.</w:t>
      </w:r>
      <w:r w:rsidR="008B48CB">
        <w:rPr>
          <w:bCs/>
          <w:sz w:val="20"/>
          <w:szCs w:val="20"/>
        </w:rPr>
        <w:t xml:space="preserve"> </w:t>
      </w:r>
      <w:r w:rsidR="00B407B3">
        <w:rPr>
          <w:bCs/>
          <w:sz w:val="20"/>
          <w:szCs w:val="20"/>
        </w:rPr>
        <w:t xml:space="preserve">It </w:t>
      </w:r>
      <w:r w:rsidRPr="00036E33">
        <w:rPr>
          <w:bCs/>
          <w:sz w:val="20"/>
          <w:szCs w:val="20"/>
        </w:rPr>
        <w:t>summarises the key recommendations</w:t>
      </w:r>
      <w:r w:rsidR="008B48CB">
        <w:rPr>
          <w:bCs/>
          <w:sz w:val="20"/>
          <w:szCs w:val="20"/>
        </w:rPr>
        <w:t xml:space="preserve"> in the review</w:t>
      </w:r>
      <w:r w:rsidR="00667A38">
        <w:rPr>
          <w:bCs/>
          <w:sz w:val="20"/>
          <w:szCs w:val="20"/>
        </w:rPr>
        <w:t xml:space="preserve"> and provides a response and proposed action.</w:t>
      </w:r>
      <w:r w:rsidR="00036E33" w:rsidRPr="00036E33">
        <w:rPr>
          <w:bCs/>
          <w:sz w:val="20"/>
          <w:szCs w:val="20"/>
        </w:rPr>
        <w:t xml:space="preserve"> This document is not an exhaustive summary of all the </w:t>
      </w:r>
      <w:r w:rsidR="008B48CB">
        <w:rPr>
          <w:bCs/>
          <w:sz w:val="20"/>
          <w:szCs w:val="20"/>
        </w:rPr>
        <w:t xml:space="preserve">review </w:t>
      </w:r>
      <w:r w:rsidR="00036E33" w:rsidRPr="00036E33">
        <w:rPr>
          <w:bCs/>
          <w:sz w:val="20"/>
          <w:szCs w:val="20"/>
        </w:rPr>
        <w:t>comments.</w:t>
      </w:r>
      <w:r w:rsidR="00036E33">
        <w:rPr>
          <w:bCs/>
          <w:sz w:val="20"/>
          <w:szCs w:val="20"/>
        </w:rPr>
        <w:t xml:space="preserve"> </w:t>
      </w:r>
    </w:p>
    <w:p w14:paraId="4D9C2FCE" w14:textId="164E3726" w:rsidR="008010FF" w:rsidRPr="00036E33" w:rsidRDefault="00F238B9" w:rsidP="009E4369">
      <w:pPr>
        <w:rPr>
          <w:bCs/>
          <w:sz w:val="20"/>
          <w:szCs w:val="20"/>
        </w:rPr>
      </w:pPr>
      <w:r w:rsidRPr="00F238B9">
        <w:rPr>
          <w:bCs/>
          <w:sz w:val="20"/>
          <w:szCs w:val="20"/>
        </w:rPr>
        <w:t xml:space="preserve">DFAT notes the challenges associated with undertaking this review remotely due to the </w:t>
      </w:r>
      <w:r>
        <w:rPr>
          <w:bCs/>
          <w:sz w:val="20"/>
          <w:szCs w:val="20"/>
        </w:rPr>
        <w:t>COVID-19</w:t>
      </w:r>
      <w:r w:rsidRPr="00F238B9">
        <w:rPr>
          <w:bCs/>
          <w:sz w:val="20"/>
          <w:szCs w:val="20"/>
        </w:rPr>
        <w:t xml:space="preserve"> pandemic. While the review captures the input from a wide range of stakeholders, the report would </w:t>
      </w:r>
      <w:r w:rsidR="00C03988">
        <w:rPr>
          <w:bCs/>
          <w:sz w:val="20"/>
          <w:szCs w:val="20"/>
        </w:rPr>
        <w:t xml:space="preserve">have </w:t>
      </w:r>
      <w:r w:rsidRPr="00F238B9">
        <w:rPr>
          <w:bCs/>
          <w:sz w:val="20"/>
          <w:szCs w:val="20"/>
        </w:rPr>
        <w:t>benefit</w:t>
      </w:r>
      <w:r w:rsidR="00C03988">
        <w:rPr>
          <w:bCs/>
          <w:sz w:val="20"/>
          <w:szCs w:val="20"/>
        </w:rPr>
        <w:t>ed</w:t>
      </w:r>
      <w:r w:rsidRPr="00F238B9">
        <w:rPr>
          <w:bCs/>
          <w:sz w:val="20"/>
          <w:szCs w:val="20"/>
        </w:rPr>
        <w:t xml:space="preserve"> from further exploration of the political economy of PNG’s transport sector, and deeper analysis and testing of </w:t>
      </w:r>
      <w:r w:rsidR="00390F26">
        <w:rPr>
          <w:bCs/>
          <w:sz w:val="20"/>
          <w:szCs w:val="20"/>
        </w:rPr>
        <w:t xml:space="preserve">its </w:t>
      </w:r>
      <w:r w:rsidRPr="00F238B9">
        <w:rPr>
          <w:bCs/>
          <w:sz w:val="20"/>
          <w:szCs w:val="20"/>
        </w:rPr>
        <w:t xml:space="preserve">key findings to </w:t>
      </w:r>
      <w:r w:rsidR="006A2322">
        <w:rPr>
          <w:bCs/>
          <w:sz w:val="20"/>
          <w:szCs w:val="20"/>
        </w:rPr>
        <w:t xml:space="preserve">synthesise </w:t>
      </w:r>
      <w:r w:rsidR="00F25F1C">
        <w:rPr>
          <w:bCs/>
          <w:sz w:val="20"/>
          <w:szCs w:val="20"/>
        </w:rPr>
        <w:t>long</w:t>
      </w:r>
      <w:r w:rsidR="003F2624">
        <w:rPr>
          <w:bCs/>
          <w:sz w:val="20"/>
          <w:szCs w:val="20"/>
        </w:rPr>
        <w:t>er</w:t>
      </w:r>
      <w:r w:rsidR="00F25F1C">
        <w:rPr>
          <w:bCs/>
          <w:sz w:val="20"/>
          <w:szCs w:val="20"/>
        </w:rPr>
        <w:t>-term</w:t>
      </w:r>
      <w:r w:rsidR="00F6150A">
        <w:rPr>
          <w:bCs/>
          <w:sz w:val="20"/>
          <w:szCs w:val="20"/>
        </w:rPr>
        <w:t xml:space="preserve"> </w:t>
      </w:r>
      <w:r w:rsidR="004C0A32" w:rsidRPr="00F238B9">
        <w:rPr>
          <w:bCs/>
          <w:sz w:val="20"/>
          <w:szCs w:val="20"/>
        </w:rPr>
        <w:t xml:space="preserve">strategic </w:t>
      </w:r>
      <w:r w:rsidRPr="00F238B9">
        <w:rPr>
          <w:bCs/>
          <w:sz w:val="20"/>
          <w:szCs w:val="20"/>
        </w:rPr>
        <w:t>recommendations</w:t>
      </w:r>
      <w:r w:rsidR="006A2322">
        <w:rPr>
          <w:bCs/>
          <w:sz w:val="20"/>
          <w:szCs w:val="20"/>
        </w:rPr>
        <w:t xml:space="preserve"> for TSSP</w:t>
      </w:r>
      <w:r w:rsidRPr="00F238B9">
        <w:rPr>
          <w:bCs/>
          <w:sz w:val="20"/>
          <w:szCs w:val="20"/>
        </w:rPr>
        <w:t>.</w:t>
      </w:r>
      <w:r w:rsidR="00F25F1C">
        <w:rPr>
          <w:bCs/>
          <w:sz w:val="20"/>
          <w:szCs w:val="20"/>
        </w:rPr>
        <w:t xml:space="preserve"> DFAT acknowledges the review</w:t>
      </w:r>
      <w:r w:rsidR="00390F26">
        <w:rPr>
          <w:bCs/>
          <w:sz w:val="20"/>
          <w:szCs w:val="20"/>
        </w:rPr>
        <w:t xml:space="preserve"> </w:t>
      </w:r>
      <w:r w:rsidR="002C2B3F">
        <w:rPr>
          <w:bCs/>
          <w:sz w:val="20"/>
          <w:szCs w:val="20"/>
        </w:rPr>
        <w:t>process w</w:t>
      </w:r>
      <w:r w:rsidR="00524475">
        <w:rPr>
          <w:bCs/>
          <w:sz w:val="20"/>
          <w:szCs w:val="20"/>
        </w:rPr>
        <w:t xml:space="preserve">ould have been </w:t>
      </w:r>
      <w:r w:rsidR="00EE16A2">
        <w:rPr>
          <w:bCs/>
          <w:sz w:val="20"/>
          <w:szCs w:val="20"/>
        </w:rPr>
        <w:t xml:space="preserve">strengthened </w:t>
      </w:r>
      <w:r w:rsidR="00524475">
        <w:rPr>
          <w:bCs/>
          <w:sz w:val="20"/>
          <w:szCs w:val="20"/>
        </w:rPr>
        <w:t xml:space="preserve">by </w:t>
      </w:r>
      <w:r w:rsidR="00F25F1C">
        <w:rPr>
          <w:bCs/>
          <w:sz w:val="20"/>
          <w:szCs w:val="20"/>
        </w:rPr>
        <w:t>inclu</w:t>
      </w:r>
      <w:r w:rsidR="00EE16A2">
        <w:rPr>
          <w:bCs/>
          <w:sz w:val="20"/>
          <w:szCs w:val="20"/>
        </w:rPr>
        <w:t>ding</w:t>
      </w:r>
      <w:r w:rsidR="00F25F1C">
        <w:rPr>
          <w:bCs/>
          <w:sz w:val="20"/>
          <w:szCs w:val="20"/>
        </w:rPr>
        <w:t xml:space="preserve"> a DFAT representative </w:t>
      </w:r>
      <w:r w:rsidR="00390F26">
        <w:rPr>
          <w:bCs/>
          <w:sz w:val="20"/>
          <w:szCs w:val="20"/>
        </w:rPr>
        <w:t>on</w:t>
      </w:r>
      <w:r w:rsidR="00F25F1C">
        <w:rPr>
          <w:bCs/>
          <w:sz w:val="20"/>
          <w:szCs w:val="20"/>
        </w:rPr>
        <w:t xml:space="preserve"> the review team to</w:t>
      </w:r>
      <w:r w:rsidR="00390F26">
        <w:rPr>
          <w:bCs/>
          <w:sz w:val="20"/>
          <w:szCs w:val="20"/>
        </w:rPr>
        <w:t xml:space="preserve"> </w:t>
      </w:r>
      <w:r w:rsidR="00C27A24">
        <w:rPr>
          <w:bCs/>
          <w:sz w:val="20"/>
          <w:szCs w:val="20"/>
        </w:rPr>
        <w:t>better</w:t>
      </w:r>
      <w:r w:rsidR="006A2322">
        <w:rPr>
          <w:bCs/>
          <w:sz w:val="20"/>
          <w:szCs w:val="20"/>
        </w:rPr>
        <w:t xml:space="preserve"> </w:t>
      </w:r>
      <w:r w:rsidR="00390F26">
        <w:rPr>
          <w:bCs/>
          <w:sz w:val="20"/>
          <w:szCs w:val="20"/>
        </w:rPr>
        <w:t>incorporate</w:t>
      </w:r>
      <w:r w:rsidR="006A2322">
        <w:rPr>
          <w:bCs/>
          <w:sz w:val="20"/>
          <w:szCs w:val="20"/>
        </w:rPr>
        <w:t xml:space="preserve"> DFAT </w:t>
      </w:r>
      <w:r w:rsidR="00390F26">
        <w:rPr>
          <w:bCs/>
          <w:sz w:val="20"/>
          <w:szCs w:val="20"/>
        </w:rPr>
        <w:t xml:space="preserve">policy considerations </w:t>
      </w:r>
      <w:r w:rsidR="00F25F1C">
        <w:rPr>
          <w:bCs/>
          <w:sz w:val="20"/>
          <w:szCs w:val="20"/>
        </w:rPr>
        <w:t>into the analysis and recommendations.</w:t>
      </w:r>
    </w:p>
    <w:tbl>
      <w:tblPr>
        <w:tblStyle w:val="DFATTable1"/>
        <w:tblW w:w="14034" w:type="dxa"/>
        <w:tblLayout w:type="fixed"/>
        <w:tblCellMar>
          <w:left w:w="85" w:type="dxa"/>
          <w:right w:w="85" w:type="dxa"/>
        </w:tblCellMar>
        <w:tblLook w:val="04A0" w:firstRow="1" w:lastRow="0" w:firstColumn="1" w:lastColumn="0" w:noHBand="0" w:noVBand="1"/>
      </w:tblPr>
      <w:tblGrid>
        <w:gridCol w:w="5817"/>
        <w:gridCol w:w="1129"/>
        <w:gridCol w:w="6778"/>
        <w:gridCol w:w="310"/>
      </w:tblGrid>
      <w:tr w:rsidR="00D610E1" w:rsidRPr="008F4A4D" w14:paraId="2E64B4B2" w14:textId="77777777" w:rsidTr="005739CD">
        <w:trPr>
          <w:cnfStyle w:val="100000000000" w:firstRow="1" w:lastRow="0" w:firstColumn="0" w:lastColumn="0" w:oddVBand="0" w:evenVBand="0" w:oddHBand="0"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5817" w:type="dxa"/>
            <w:shd w:val="clear" w:color="auto" w:fill="2E74B5" w:themeFill="accent1" w:themeFillShade="BF"/>
            <w:hideMark/>
          </w:tcPr>
          <w:p w14:paraId="239F954B" w14:textId="77777777" w:rsidR="001D18F9" w:rsidRPr="005739CD" w:rsidRDefault="001D18F9" w:rsidP="002D580E">
            <w:pPr>
              <w:pStyle w:val="TableHeaderRow"/>
            </w:pPr>
            <w:r w:rsidRPr="005739CD">
              <w:t>Recommendation</w:t>
            </w:r>
          </w:p>
        </w:tc>
        <w:tc>
          <w:tcPr>
            <w:tcW w:w="1129" w:type="dxa"/>
            <w:shd w:val="clear" w:color="auto" w:fill="2E74B5" w:themeFill="accent1" w:themeFillShade="BF"/>
            <w:hideMark/>
          </w:tcPr>
          <w:p w14:paraId="3C2F3264" w14:textId="0AE64F36" w:rsidR="001D18F9" w:rsidRPr="005739CD" w:rsidRDefault="001D18F9" w:rsidP="002D580E">
            <w:pPr>
              <w:pStyle w:val="TableHeaderRow"/>
              <w:cnfStyle w:val="100000000000" w:firstRow="1" w:lastRow="0" w:firstColumn="0" w:lastColumn="0" w:oddVBand="0" w:evenVBand="0" w:oddHBand="0" w:evenHBand="0" w:firstRowFirstColumn="0" w:firstRowLastColumn="0" w:lastRowFirstColumn="0" w:lastRowLastColumn="0"/>
            </w:pPr>
            <w:r w:rsidRPr="005739CD">
              <w:t>Response</w:t>
            </w:r>
          </w:p>
        </w:tc>
        <w:tc>
          <w:tcPr>
            <w:tcW w:w="7088" w:type="dxa"/>
            <w:gridSpan w:val="2"/>
            <w:shd w:val="clear" w:color="auto" w:fill="2E74B5" w:themeFill="accent1" w:themeFillShade="BF"/>
            <w:hideMark/>
          </w:tcPr>
          <w:p w14:paraId="7CD26474" w14:textId="24CC4A55" w:rsidR="001D18F9" w:rsidRPr="005739CD" w:rsidRDefault="001D18F9" w:rsidP="002D580E">
            <w:pPr>
              <w:pStyle w:val="TableHeaderRow"/>
              <w:cnfStyle w:val="100000000000" w:firstRow="1" w:lastRow="0" w:firstColumn="0" w:lastColumn="0" w:oddVBand="0" w:evenVBand="0" w:oddHBand="0" w:evenHBand="0" w:firstRowFirstColumn="0" w:firstRowLastColumn="0" w:lastRowFirstColumn="0" w:lastRowLastColumn="0"/>
            </w:pPr>
            <w:r w:rsidRPr="005739CD">
              <w:t xml:space="preserve">Action plan </w:t>
            </w:r>
          </w:p>
        </w:tc>
      </w:tr>
      <w:tr w:rsidR="005739CD" w:rsidRPr="008F4A4D" w14:paraId="43ED8760" w14:textId="77777777" w:rsidTr="00E17671">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13724" w:type="dxa"/>
            <w:gridSpan w:val="3"/>
            <w:shd w:val="clear" w:color="auto" w:fill="DEEAF6" w:themeFill="accent1" w:themeFillTint="33"/>
          </w:tcPr>
          <w:p w14:paraId="3ABB9934" w14:textId="6C0327B9" w:rsidR="005739CD" w:rsidRPr="008A0512" w:rsidRDefault="005739CD" w:rsidP="002D580E">
            <w:pPr>
              <w:pStyle w:val="TableHeaderRow"/>
            </w:pPr>
            <w:r w:rsidRPr="001D18F9">
              <w:rPr>
                <w:color w:val="44546A" w:themeColor="text2"/>
                <w:szCs w:val="22"/>
              </w:rPr>
              <w:t>Program design</w:t>
            </w:r>
          </w:p>
        </w:tc>
        <w:tc>
          <w:tcPr>
            <w:tcW w:w="310" w:type="dxa"/>
          </w:tcPr>
          <w:p w14:paraId="49F12A38" w14:textId="77777777" w:rsidR="005739CD" w:rsidRPr="008A0512" w:rsidRDefault="005739CD" w:rsidP="002D580E">
            <w:pPr>
              <w:pStyle w:val="TableHeaderRow"/>
              <w:cnfStyle w:val="000000100000" w:firstRow="0" w:lastRow="0" w:firstColumn="0" w:lastColumn="0" w:oddVBand="0" w:evenVBand="0" w:oddHBand="1" w:evenHBand="0" w:firstRowFirstColumn="0" w:firstRowLastColumn="0" w:lastRowFirstColumn="0" w:lastRowLastColumn="0"/>
            </w:pPr>
          </w:p>
        </w:tc>
      </w:tr>
      <w:tr w:rsidR="00D610E1" w:rsidRPr="008A0512" w14:paraId="64C10240" w14:textId="77777777" w:rsidTr="00EE09B7">
        <w:trPr>
          <w:cnfStyle w:val="000000010000" w:firstRow="0" w:lastRow="0" w:firstColumn="0" w:lastColumn="0" w:oddVBand="0" w:evenVBand="0" w:oddHBand="0" w:evenHBand="1" w:firstRowFirstColumn="0" w:firstRowLastColumn="0" w:lastRowFirstColumn="0" w:lastRowLastColumn="0"/>
          <w:trHeight w:val="3322"/>
        </w:trPr>
        <w:tc>
          <w:tcPr>
            <w:cnfStyle w:val="001000000000" w:firstRow="0" w:lastRow="0" w:firstColumn="1" w:lastColumn="0" w:oddVBand="0" w:evenVBand="0" w:oddHBand="0" w:evenHBand="0" w:firstRowFirstColumn="0" w:firstRowLastColumn="0" w:lastRowFirstColumn="0" w:lastRowLastColumn="0"/>
            <w:tcW w:w="5817" w:type="dxa"/>
          </w:tcPr>
          <w:p w14:paraId="6926F06D" w14:textId="77777777" w:rsidR="001D18F9" w:rsidRDefault="001D18F9" w:rsidP="001D18F9">
            <w:pPr>
              <w:rPr>
                <w:b/>
              </w:rPr>
            </w:pPr>
            <w:r w:rsidRPr="001D18F9">
              <w:rPr>
                <w:b/>
              </w:rPr>
              <w:t xml:space="preserve">Recommendation 1: </w:t>
            </w:r>
          </w:p>
          <w:p w14:paraId="6724763E" w14:textId="5A6FD2D5" w:rsidR="001D18F9" w:rsidRPr="001D18F9" w:rsidRDefault="001D18F9" w:rsidP="007D20AB">
            <w:pPr>
              <w:rPr>
                <w:bCs/>
              </w:rPr>
            </w:pPr>
            <w:r w:rsidRPr="001D18F9">
              <w:rPr>
                <w:bCs/>
              </w:rPr>
              <w:t>For the TSSP3 design, DFAT and the Program should work together to refresh the Program’s outcomes and logic. This is an opportunity to reposition the Program in an evolving local and regional context and to consider priorities and collaborations with other transport sectors. A refreshed program logic should pay attention to reviewing the EOPOs to</w:t>
            </w:r>
            <w:r w:rsidR="00BE0556">
              <w:rPr>
                <w:bCs/>
              </w:rPr>
              <w:t xml:space="preserve"> help</w:t>
            </w:r>
            <w:r w:rsidRPr="001D18F9">
              <w:rPr>
                <w:bCs/>
              </w:rPr>
              <w:t xml:space="preserve"> ensure pathways of change are clear, realistic and measurable. As much as possible, new EOPOs should be aligned to the departments and agencies’ expected outcomes and should mainstream gender and social safeguards across all the outcome areas.</w:t>
            </w:r>
          </w:p>
        </w:tc>
        <w:tc>
          <w:tcPr>
            <w:tcW w:w="1129" w:type="dxa"/>
            <w:shd w:val="clear" w:color="auto" w:fill="92D050"/>
            <w:hideMark/>
          </w:tcPr>
          <w:p w14:paraId="7CD910BF" w14:textId="41EED054" w:rsidR="001D18F9" w:rsidRPr="005739CD" w:rsidRDefault="00B7363A" w:rsidP="00BE538A">
            <w:pPr>
              <w:cnfStyle w:val="000000010000" w:firstRow="0" w:lastRow="0" w:firstColumn="0" w:lastColumn="0" w:oddVBand="0" w:evenVBand="0" w:oddHBand="0" w:evenHBand="1" w:firstRowFirstColumn="0" w:firstRowLastColumn="0" w:lastRowFirstColumn="0" w:lastRowLastColumn="0"/>
              <w:rPr>
                <w:color w:val="auto"/>
              </w:rPr>
            </w:pPr>
            <w:r w:rsidRPr="005739CD">
              <w:rPr>
                <w:color w:val="auto"/>
              </w:rPr>
              <w:t>A</w:t>
            </w:r>
            <w:r w:rsidR="003B12AF" w:rsidRPr="005739CD">
              <w:rPr>
                <w:color w:val="auto"/>
              </w:rPr>
              <w:t>gree</w:t>
            </w:r>
          </w:p>
        </w:tc>
        <w:tc>
          <w:tcPr>
            <w:tcW w:w="7088" w:type="dxa"/>
            <w:gridSpan w:val="2"/>
          </w:tcPr>
          <w:p w14:paraId="47609793" w14:textId="4EC88063" w:rsidR="001D18F9" w:rsidRDefault="003B12AF" w:rsidP="00AA3027">
            <w:pPr>
              <w:suppressAutoHyphens w:val="0"/>
              <w:spacing w:before="0" w:after="120" w:line="240" w:lineRule="auto"/>
              <w:cnfStyle w:val="000000010000" w:firstRow="0" w:lastRow="0" w:firstColumn="0" w:lastColumn="0" w:oddVBand="0" w:evenVBand="0" w:oddHBand="0" w:evenHBand="1" w:firstRowFirstColumn="0" w:firstRowLastColumn="0" w:lastRowFirstColumn="0" w:lastRowLastColumn="0"/>
            </w:pPr>
            <w:r>
              <w:t xml:space="preserve">DFAT </w:t>
            </w:r>
            <w:r w:rsidR="00B7363A">
              <w:t>will</w:t>
            </w:r>
            <w:r w:rsidR="004E2B3E">
              <w:t xml:space="preserve"> review and refresh EOPOs and program logic </w:t>
            </w:r>
            <w:r w:rsidR="00D02034">
              <w:t xml:space="preserve">in </w:t>
            </w:r>
            <w:r w:rsidR="004E2B3E">
              <w:t xml:space="preserve">the </w:t>
            </w:r>
            <w:r w:rsidR="00EE2395">
              <w:t>TSSP3 design process</w:t>
            </w:r>
            <w:r w:rsidR="004E2B3E">
              <w:t>.</w:t>
            </w:r>
          </w:p>
          <w:p w14:paraId="182BD618" w14:textId="7CF23006" w:rsidR="0095026F" w:rsidRPr="00BE538A" w:rsidRDefault="0095026F" w:rsidP="00AA3027">
            <w:pPr>
              <w:suppressAutoHyphens w:val="0"/>
              <w:spacing w:before="0" w:after="120" w:line="240" w:lineRule="auto"/>
              <w:cnfStyle w:val="000000010000" w:firstRow="0" w:lastRow="0" w:firstColumn="0" w:lastColumn="0" w:oddVBand="0" w:evenVBand="0" w:oddHBand="0" w:evenHBand="1" w:firstRowFirstColumn="0" w:firstRowLastColumn="0" w:lastRowFirstColumn="0" w:lastRowLastColumn="0"/>
            </w:pPr>
          </w:p>
        </w:tc>
      </w:tr>
      <w:tr w:rsidR="00D610E1" w:rsidRPr="008A0512" w14:paraId="6DB8B506" w14:textId="77777777" w:rsidTr="00EE09B7">
        <w:trPr>
          <w:cnfStyle w:val="000000100000" w:firstRow="0" w:lastRow="0" w:firstColumn="0" w:lastColumn="0" w:oddVBand="0" w:evenVBand="0" w:oddHBand="1" w:evenHBand="0" w:firstRowFirstColumn="0" w:firstRowLastColumn="0" w:lastRowFirstColumn="0" w:lastRowLastColumn="0"/>
          <w:trHeight w:val="1515"/>
        </w:trPr>
        <w:tc>
          <w:tcPr>
            <w:cnfStyle w:val="001000000000" w:firstRow="0" w:lastRow="0" w:firstColumn="1" w:lastColumn="0" w:oddVBand="0" w:evenVBand="0" w:oddHBand="0" w:evenHBand="0" w:firstRowFirstColumn="0" w:firstRowLastColumn="0" w:lastRowFirstColumn="0" w:lastRowLastColumn="0"/>
            <w:tcW w:w="5817" w:type="dxa"/>
          </w:tcPr>
          <w:p w14:paraId="2200F43B" w14:textId="77777777" w:rsidR="005F3186" w:rsidRDefault="005F3186" w:rsidP="005F3186">
            <w:pPr>
              <w:rPr>
                <w:b/>
              </w:rPr>
            </w:pPr>
            <w:r w:rsidRPr="00991833">
              <w:rPr>
                <w:b/>
              </w:rPr>
              <w:lastRenderedPageBreak/>
              <w:t>Recommendation 2</w:t>
            </w:r>
          </w:p>
          <w:p w14:paraId="0FA1F922" w14:textId="33D52271" w:rsidR="005F3186" w:rsidRPr="001D18F9" w:rsidRDefault="005F3186" w:rsidP="005F3186">
            <w:pPr>
              <w:rPr>
                <w:b/>
              </w:rPr>
            </w:pPr>
            <w:r>
              <w:t>Future designs should include cross-cutting issues of GE</w:t>
            </w:r>
            <w:r w:rsidR="00BE0556">
              <w:t>D</w:t>
            </w:r>
            <w:r>
              <w:t>SI, MEL, risk management and environmental and social safeguards and articulate how they will be resourced, implemented and measured across the life of the Program.</w:t>
            </w:r>
          </w:p>
        </w:tc>
        <w:tc>
          <w:tcPr>
            <w:tcW w:w="1129" w:type="dxa"/>
            <w:shd w:val="clear" w:color="auto" w:fill="92D050"/>
          </w:tcPr>
          <w:p w14:paraId="53DF38CF" w14:textId="331C3184" w:rsidR="005F3186" w:rsidRPr="005739CD" w:rsidRDefault="00F0127F" w:rsidP="00BE538A">
            <w:pPr>
              <w:cnfStyle w:val="000000100000" w:firstRow="0" w:lastRow="0" w:firstColumn="0" w:lastColumn="0" w:oddVBand="0" w:evenVBand="0" w:oddHBand="1" w:evenHBand="0" w:firstRowFirstColumn="0" w:firstRowLastColumn="0" w:lastRowFirstColumn="0" w:lastRowLastColumn="0"/>
              <w:rPr>
                <w:color w:val="auto"/>
              </w:rPr>
            </w:pPr>
            <w:r w:rsidRPr="005739CD">
              <w:rPr>
                <w:color w:val="auto"/>
              </w:rPr>
              <w:t>Agree</w:t>
            </w:r>
          </w:p>
        </w:tc>
        <w:tc>
          <w:tcPr>
            <w:tcW w:w="7088" w:type="dxa"/>
            <w:gridSpan w:val="2"/>
          </w:tcPr>
          <w:p w14:paraId="17A83D61" w14:textId="79D5BF07" w:rsidR="00BD6594" w:rsidRDefault="00D21C68" w:rsidP="00AA3027">
            <w:pPr>
              <w:suppressAutoHyphens w:val="0"/>
              <w:spacing w:before="0" w:after="120" w:line="240" w:lineRule="auto"/>
              <w:cnfStyle w:val="000000100000" w:firstRow="0" w:lastRow="0" w:firstColumn="0" w:lastColumn="0" w:oddVBand="0" w:evenVBand="0" w:oddHBand="1" w:evenHBand="0" w:firstRowFirstColumn="0" w:firstRowLastColumn="0" w:lastRowFirstColumn="0" w:lastRowLastColumn="0"/>
            </w:pPr>
            <w:r>
              <w:t>TSSP2</w:t>
            </w:r>
            <w:r w:rsidR="00D33A8E">
              <w:t xml:space="preserve"> </w:t>
            </w:r>
            <w:r w:rsidR="00B07E33">
              <w:t xml:space="preserve">is </w:t>
            </w:r>
            <w:r w:rsidR="00AB2BDF">
              <w:t xml:space="preserve">currently </w:t>
            </w:r>
            <w:r w:rsidR="00AC20F5">
              <w:t xml:space="preserve">incorporating </w:t>
            </w:r>
            <w:r w:rsidR="00B07E33">
              <w:t xml:space="preserve">and resourcing </w:t>
            </w:r>
            <w:r w:rsidR="00AC20F5">
              <w:t xml:space="preserve">GEDSI, </w:t>
            </w:r>
            <w:r w:rsidR="00B67E4F">
              <w:t xml:space="preserve">MEL, </w:t>
            </w:r>
            <w:r w:rsidR="00AC20F5">
              <w:t>risk</w:t>
            </w:r>
            <w:r w:rsidR="00B67E4F">
              <w:t xml:space="preserve"> management</w:t>
            </w:r>
            <w:r w:rsidR="00AC20F5">
              <w:t xml:space="preserve"> and safeguards </w:t>
            </w:r>
            <w:r w:rsidR="00B07E33">
              <w:t>well</w:t>
            </w:r>
            <w:r w:rsidR="00BB222D">
              <w:t>,</w:t>
            </w:r>
            <w:r w:rsidR="00B07E33">
              <w:t xml:space="preserve"> </w:t>
            </w:r>
            <w:r w:rsidR="00BB222D">
              <w:t>but it is acknowledged</w:t>
            </w:r>
            <w:r w:rsidR="00DA3B3D">
              <w:t xml:space="preserve"> t</w:t>
            </w:r>
            <w:r w:rsidR="00B07E33">
              <w:t>here is room for improvement</w:t>
            </w:r>
            <w:r w:rsidR="00DA3B3D">
              <w:t>.</w:t>
            </w:r>
            <w:r w:rsidR="00A476E8">
              <w:t xml:space="preserve"> </w:t>
            </w:r>
          </w:p>
          <w:p w14:paraId="35934487" w14:textId="12971721" w:rsidR="00DA3B3D" w:rsidRPr="00BE538A" w:rsidRDefault="00FF52A3" w:rsidP="00B40EB7">
            <w:pPr>
              <w:suppressAutoHyphens w:val="0"/>
              <w:spacing w:before="0" w:after="120" w:line="240" w:lineRule="auto"/>
              <w:cnfStyle w:val="000000100000" w:firstRow="0" w:lastRow="0" w:firstColumn="0" w:lastColumn="0" w:oddVBand="0" w:evenVBand="0" w:oddHBand="1" w:evenHBand="0" w:firstRowFirstColumn="0" w:firstRowLastColumn="0" w:lastRowFirstColumn="0" w:lastRowLastColumn="0"/>
            </w:pPr>
            <w:r>
              <w:t xml:space="preserve">TSSP3 design will have a strong focus on </w:t>
            </w:r>
            <w:r w:rsidR="00B40EB7" w:rsidRPr="00B40EB7">
              <w:t>GE</w:t>
            </w:r>
            <w:r w:rsidR="00BE0556">
              <w:t>D</w:t>
            </w:r>
            <w:r w:rsidR="00B40EB7" w:rsidRPr="00B40EB7">
              <w:t>SI, MEL, risk management and environmental and social safeguards and articulate how they will be resourced, implemented and measured across the life of the Program.</w:t>
            </w:r>
          </w:p>
        </w:tc>
      </w:tr>
      <w:tr w:rsidR="00D610E1" w:rsidRPr="008A0512" w14:paraId="5D3BEE6C" w14:textId="77777777" w:rsidTr="00EE09B7">
        <w:trPr>
          <w:cnfStyle w:val="000000010000" w:firstRow="0" w:lastRow="0" w:firstColumn="0" w:lastColumn="0" w:oddVBand="0" w:evenVBand="0" w:oddHBand="0" w:evenHBand="1" w:firstRowFirstColumn="0" w:firstRowLastColumn="0" w:lastRowFirstColumn="0" w:lastRowLastColumn="0"/>
          <w:trHeight w:val="2862"/>
        </w:trPr>
        <w:tc>
          <w:tcPr>
            <w:cnfStyle w:val="001000000000" w:firstRow="0" w:lastRow="0" w:firstColumn="1" w:lastColumn="0" w:oddVBand="0" w:evenVBand="0" w:oddHBand="0" w:evenHBand="0" w:firstRowFirstColumn="0" w:firstRowLastColumn="0" w:lastRowFirstColumn="0" w:lastRowLastColumn="0"/>
            <w:tcW w:w="5817" w:type="dxa"/>
          </w:tcPr>
          <w:p w14:paraId="66D7AE8F" w14:textId="6693D9EE" w:rsidR="008310ED" w:rsidRDefault="008310ED" w:rsidP="001D18F9">
            <w:r w:rsidRPr="008310ED">
              <w:rPr>
                <w:b/>
                <w:bCs/>
              </w:rPr>
              <w:t>Recommendation 3:</w:t>
            </w:r>
            <w:r>
              <w:t xml:space="preserve"> </w:t>
            </w:r>
          </w:p>
          <w:p w14:paraId="1E7B250D" w14:textId="2E073DB9" w:rsidR="005F3186" w:rsidRPr="001D18F9" w:rsidRDefault="008310ED" w:rsidP="001D18F9">
            <w:pPr>
              <w:rPr>
                <w:b/>
              </w:rPr>
            </w:pPr>
            <w:r>
              <w:t>With the new PNG Road Fund, the TSSP3 design should explore how funding for road maintenance will be supported under this new institutional arrangement.</w:t>
            </w:r>
          </w:p>
        </w:tc>
        <w:tc>
          <w:tcPr>
            <w:tcW w:w="1129" w:type="dxa"/>
            <w:shd w:val="clear" w:color="auto" w:fill="92D050"/>
          </w:tcPr>
          <w:p w14:paraId="75492967" w14:textId="010B6A0F" w:rsidR="005F3186" w:rsidRPr="005739CD" w:rsidRDefault="00F0127F" w:rsidP="00BE538A">
            <w:pPr>
              <w:cnfStyle w:val="000000010000" w:firstRow="0" w:lastRow="0" w:firstColumn="0" w:lastColumn="0" w:oddVBand="0" w:evenVBand="0" w:oddHBand="0" w:evenHBand="1" w:firstRowFirstColumn="0" w:firstRowLastColumn="0" w:lastRowFirstColumn="0" w:lastRowLastColumn="0"/>
              <w:rPr>
                <w:color w:val="auto"/>
              </w:rPr>
            </w:pPr>
            <w:r w:rsidRPr="005739CD">
              <w:rPr>
                <w:color w:val="auto"/>
              </w:rPr>
              <w:t>Agree</w:t>
            </w:r>
          </w:p>
        </w:tc>
        <w:tc>
          <w:tcPr>
            <w:tcW w:w="7088" w:type="dxa"/>
            <w:gridSpan w:val="2"/>
          </w:tcPr>
          <w:p w14:paraId="12C651C7" w14:textId="73F4B160" w:rsidR="005F3186" w:rsidRPr="00BE538A" w:rsidRDefault="00B66ADE" w:rsidP="00AA3027">
            <w:pPr>
              <w:suppressAutoHyphens w:val="0"/>
              <w:spacing w:before="0" w:after="120" w:line="240" w:lineRule="auto"/>
              <w:cnfStyle w:val="000000010000" w:firstRow="0" w:lastRow="0" w:firstColumn="0" w:lastColumn="0" w:oddVBand="0" w:evenVBand="0" w:oddHBand="0" w:evenHBand="1" w:firstRowFirstColumn="0" w:firstRowLastColumn="0" w:lastRowFirstColumn="0" w:lastRowLastColumn="0"/>
            </w:pPr>
            <w:r>
              <w:t xml:space="preserve">This work is </w:t>
            </w:r>
            <w:r w:rsidR="00481CF7">
              <w:t>already underway with TSSP</w:t>
            </w:r>
            <w:r w:rsidR="00847917">
              <w:t>2</w:t>
            </w:r>
            <w:r w:rsidR="00481CF7">
              <w:t xml:space="preserve"> working closely with GoPNG stakeholders</w:t>
            </w:r>
            <w:r w:rsidR="00847917">
              <w:t>,</w:t>
            </w:r>
            <w:r w:rsidR="00481CF7">
              <w:t xml:space="preserve"> including the CEO of the PNG Road Fund to continue reform</w:t>
            </w:r>
            <w:r w:rsidR="00A42019">
              <w:t>s</w:t>
            </w:r>
            <w:r w:rsidR="00826C1D">
              <w:t xml:space="preserve"> and support </w:t>
            </w:r>
            <w:r w:rsidR="00D1760B">
              <w:t xml:space="preserve">establishment. </w:t>
            </w:r>
            <w:r w:rsidR="003C7A93">
              <w:t xml:space="preserve">As well as existing TA and programmatic support through TSSP, </w:t>
            </w:r>
            <w:r w:rsidR="001F0C2F">
              <w:t>DFAT</w:t>
            </w:r>
            <w:r w:rsidR="00A42019">
              <w:t xml:space="preserve"> </w:t>
            </w:r>
            <w:r w:rsidR="001F0C2F">
              <w:t xml:space="preserve">has </w:t>
            </w:r>
            <w:r w:rsidR="00A42019">
              <w:t xml:space="preserve">approved three additional TSSP technical adviser positions (road user charges technical adviser, transport economist and a finance </w:t>
            </w:r>
            <w:r w:rsidR="007C43C2">
              <w:t xml:space="preserve">specialist) to </w:t>
            </w:r>
            <w:r w:rsidR="003C7A93">
              <w:t xml:space="preserve">work within and </w:t>
            </w:r>
            <w:r w:rsidR="007C43C2">
              <w:t xml:space="preserve">support PNG Road Fund establishment. </w:t>
            </w:r>
            <w:r w:rsidR="00613399">
              <w:t xml:space="preserve">Ultimately </w:t>
            </w:r>
            <w:r w:rsidR="00692B94">
              <w:t>it will be up to</w:t>
            </w:r>
            <w:r w:rsidR="00613399">
              <w:t xml:space="preserve"> GoPNG to </w:t>
            </w:r>
            <w:r w:rsidR="00E4794D">
              <w:t>adhere to their legislative requirement to fund the 5.6% of the national budget for road works</w:t>
            </w:r>
            <w:r w:rsidR="003C7A93">
              <w:t xml:space="preserve"> through PNGRF and DoWH</w:t>
            </w:r>
            <w:r w:rsidR="00CF7AA9">
              <w:t>, but</w:t>
            </w:r>
            <w:r w:rsidR="001F0C2F">
              <w:t xml:space="preserve"> TSSP will continue to support reforms</w:t>
            </w:r>
            <w:r w:rsidR="00F87553">
              <w:t xml:space="preserve"> under TSSP3</w:t>
            </w:r>
            <w:r w:rsidR="001F0C2F">
              <w:t>.</w:t>
            </w:r>
          </w:p>
        </w:tc>
      </w:tr>
      <w:tr w:rsidR="00D610E1" w:rsidRPr="008A0512" w14:paraId="3224F5E8" w14:textId="77777777" w:rsidTr="00EE09B7">
        <w:trPr>
          <w:cnfStyle w:val="000000100000" w:firstRow="0" w:lastRow="0" w:firstColumn="0" w:lastColumn="0" w:oddVBand="0" w:evenVBand="0" w:oddHBand="1" w:evenHBand="0" w:firstRowFirstColumn="0" w:firstRowLastColumn="0" w:lastRowFirstColumn="0" w:lastRowLastColumn="0"/>
          <w:trHeight w:val="2311"/>
        </w:trPr>
        <w:tc>
          <w:tcPr>
            <w:cnfStyle w:val="001000000000" w:firstRow="0" w:lastRow="0" w:firstColumn="1" w:lastColumn="0" w:oddVBand="0" w:evenVBand="0" w:oddHBand="0" w:evenHBand="0" w:firstRowFirstColumn="0" w:firstRowLastColumn="0" w:lastRowFirstColumn="0" w:lastRowLastColumn="0"/>
            <w:tcW w:w="5817" w:type="dxa"/>
          </w:tcPr>
          <w:p w14:paraId="38C7DDC6" w14:textId="77777777" w:rsidR="008310ED" w:rsidRDefault="008310ED" w:rsidP="001D18F9">
            <w:r w:rsidRPr="008310ED">
              <w:rPr>
                <w:b/>
                <w:bCs/>
              </w:rPr>
              <w:t>Recommendation 4:</w:t>
            </w:r>
            <w:r>
              <w:t xml:space="preserve"> </w:t>
            </w:r>
          </w:p>
          <w:p w14:paraId="134FEF2E" w14:textId="6BFB5988" w:rsidR="005F3186" w:rsidRPr="001D18F9" w:rsidRDefault="008310ED" w:rsidP="001D18F9">
            <w:pPr>
              <w:rPr>
                <w:b/>
              </w:rPr>
            </w:pPr>
            <w:r>
              <w:t>The TSSP3 design should consider expanding funding and support to the maritime sector which has been underfunded by GoPNG and development partners since independence.</w:t>
            </w:r>
          </w:p>
        </w:tc>
        <w:tc>
          <w:tcPr>
            <w:tcW w:w="1129" w:type="dxa"/>
            <w:shd w:val="clear" w:color="auto" w:fill="92D050"/>
          </w:tcPr>
          <w:p w14:paraId="7C9771DA" w14:textId="09617091" w:rsidR="005F3186" w:rsidRPr="005739CD" w:rsidRDefault="00B47EC6" w:rsidP="00BE538A">
            <w:pPr>
              <w:cnfStyle w:val="000000100000" w:firstRow="0" w:lastRow="0" w:firstColumn="0" w:lastColumn="0" w:oddVBand="0" w:evenVBand="0" w:oddHBand="1" w:evenHBand="0" w:firstRowFirstColumn="0" w:firstRowLastColumn="0" w:lastRowFirstColumn="0" w:lastRowLastColumn="0"/>
              <w:rPr>
                <w:color w:val="auto"/>
              </w:rPr>
            </w:pPr>
            <w:r w:rsidRPr="005739CD">
              <w:rPr>
                <w:color w:val="auto"/>
              </w:rPr>
              <w:t>Agree</w:t>
            </w:r>
          </w:p>
        </w:tc>
        <w:tc>
          <w:tcPr>
            <w:tcW w:w="7088" w:type="dxa"/>
            <w:gridSpan w:val="2"/>
          </w:tcPr>
          <w:p w14:paraId="431DBAD7" w14:textId="056969EC" w:rsidR="005F3186" w:rsidRDefault="00752F85" w:rsidP="00AA3027">
            <w:pPr>
              <w:suppressAutoHyphens w:val="0"/>
              <w:spacing w:before="0" w:after="120" w:line="240" w:lineRule="auto"/>
              <w:cnfStyle w:val="000000100000" w:firstRow="0" w:lastRow="0" w:firstColumn="0" w:lastColumn="0" w:oddVBand="0" w:evenVBand="0" w:oddHBand="1" w:evenHBand="0" w:firstRowFirstColumn="0" w:firstRowLastColumn="0" w:lastRowFirstColumn="0" w:lastRowLastColumn="0"/>
            </w:pPr>
            <w:r>
              <w:t xml:space="preserve">Work </w:t>
            </w:r>
            <w:r w:rsidR="00CF7AA9">
              <w:t xml:space="preserve">is already </w:t>
            </w:r>
            <w:r>
              <w:t xml:space="preserve">underway and </w:t>
            </w:r>
            <w:r w:rsidR="006A5CB1">
              <w:t xml:space="preserve">the </w:t>
            </w:r>
            <w:r w:rsidR="00CF7AA9">
              <w:t xml:space="preserve">maritime sector </w:t>
            </w:r>
            <w:r>
              <w:t xml:space="preserve">will be </w:t>
            </w:r>
            <w:r w:rsidR="006A5CB1">
              <w:t xml:space="preserve">a </w:t>
            </w:r>
            <w:r>
              <w:t xml:space="preserve">central consideration </w:t>
            </w:r>
            <w:r w:rsidR="00B47EC6">
              <w:t>in the TSSP3 design.</w:t>
            </w:r>
          </w:p>
          <w:p w14:paraId="1A298394" w14:textId="4E05259F" w:rsidR="005655C5" w:rsidRDefault="00B47EC6" w:rsidP="00AA3027">
            <w:pPr>
              <w:suppressAutoHyphens w:val="0"/>
              <w:spacing w:before="0" w:after="120" w:line="240" w:lineRule="auto"/>
              <w:cnfStyle w:val="000000100000" w:firstRow="0" w:lastRow="0" w:firstColumn="0" w:lastColumn="0" w:oddVBand="0" w:evenVBand="0" w:oddHBand="1" w:evenHBand="0" w:firstRowFirstColumn="0" w:firstRowLastColumn="0" w:lastRowFirstColumn="0" w:lastRowLastColumn="0"/>
            </w:pPr>
            <w:r>
              <w:t>DFAT and AIFFP have already announce</w:t>
            </w:r>
            <w:r w:rsidR="00BF3FC2">
              <w:t>d and started work on</w:t>
            </w:r>
            <w:r>
              <w:t xml:space="preserve"> </w:t>
            </w:r>
            <w:r w:rsidR="00BF3FC2">
              <w:t xml:space="preserve">Australia’s </w:t>
            </w:r>
            <w:r>
              <w:t>$580 million Ports I</w:t>
            </w:r>
            <w:r w:rsidR="00BF3FC2">
              <w:t>n</w:t>
            </w:r>
            <w:r>
              <w:t>fras</w:t>
            </w:r>
            <w:r w:rsidR="00BF3FC2">
              <w:t xml:space="preserve">tructure Investment Package. </w:t>
            </w:r>
            <w:r w:rsidR="002E0366">
              <w:t xml:space="preserve">The TSSP3 design will include the details on how this program will be </w:t>
            </w:r>
            <w:r w:rsidR="00F412EA">
              <w:t xml:space="preserve">structured and </w:t>
            </w:r>
            <w:r w:rsidR="002E0366">
              <w:t>delivered</w:t>
            </w:r>
            <w:r w:rsidR="006A5CB1">
              <w:t>.</w:t>
            </w:r>
          </w:p>
          <w:p w14:paraId="58F7B699" w14:textId="517F4291" w:rsidR="003F2F0D" w:rsidRPr="00BE538A" w:rsidRDefault="003F2F0D" w:rsidP="00AA3027">
            <w:pPr>
              <w:suppressAutoHyphens w:val="0"/>
              <w:spacing w:before="0" w:after="120" w:line="240" w:lineRule="auto"/>
              <w:cnfStyle w:val="000000100000" w:firstRow="0" w:lastRow="0" w:firstColumn="0" w:lastColumn="0" w:oddVBand="0" w:evenVBand="0" w:oddHBand="1" w:evenHBand="0" w:firstRowFirstColumn="0" w:firstRowLastColumn="0" w:lastRowFirstColumn="0" w:lastRowLastColumn="0"/>
            </w:pPr>
          </w:p>
        </w:tc>
      </w:tr>
      <w:tr w:rsidR="00D610E1" w:rsidRPr="008A0512" w14:paraId="17397E18" w14:textId="77777777" w:rsidTr="00EE09B7">
        <w:trPr>
          <w:cnfStyle w:val="000000010000" w:firstRow="0" w:lastRow="0" w:firstColumn="0" w:lastColumn="0" w:oddVBand="0" w:evenVBand="0" w:oddHBand="0" w:evenHBand="1" w:firstRowFirstColumn="0" w:firstRowLastColumn="0" w:lastRowFirstColumn="0" w:lastRowLastColumn="0"/>
          <w:trHeight w:val="2962"/>
        </w:trPr>
        <w:tc>
          <w:tcPr>
            <w:cnfStyle w:val="001000000000" w:firstRow="0" w:lastRow="0" w:firstColumn="1" w:lastColumn="0" w:oddVBand="0" w:evenVBand="0" w:oddHBand="0" w:evenHBand="0" w:firstRowFirstColumn="0" w:firstRowLastColumn="0" w:lastRowFirstColumn="0" w:lastRowLastColumn="0"/>
            <w:tcW w:w="5817" w:type="dxa"/>
          </w:tcPr>
          <w:p w14:paraId="23BF2A9C" w14:textId="77777777" w:rsidR="003C08BC" w:rsidRDefault="003C08BC" w:rsidP="001D18F9">
            <w:r w:rsidRPr="003C08BC">
              <w:rPr>
                <w:b/>
                <w:bCs/>
              </w:rPr>
              <w:lastRenderedPageBreak/>
              <w:t>Recommendation 5:</w:t>
            </w:r>
            <w:r>
              <w:t xml:space="preserve"> </w:t>
            </w:r>
          </w:p>
          <w:p w14:paraId="50F210ED" w14:textId="0F113F89" w:rsidR="003C08BC" w:rsidRPr="008310ED" w:rsidRDefault="003C08BC" w:rsidP="001D18F9">
            <w:pPr>
              <w:rPr>
                <w:b/>
                <w:bCs/>
              </w:rPr>
            </w:pPr>
            <w:r>
              <w:t>Future designs should incorporate and align better with Bougainville with opportunities to bring them closer to the Program. The current implementation arrangement of having a separate managing contractor from the TSSP2 managing contractor should be revisited and consideration should be given to whether having two separate managing contractors is appropriate (if stronger alignment is not feasible or effective).</w:t>
            </w:r>
          </w:p>
        </w:tc>
        <w:tc>
          <w:tcPr>
            <w:tcW w:w="1129" w:type="dxa"/>
            <w:shd w:val="clear" w:color="auto" w:fill="92D050"/>
          </w:tcPr>
          <w:p w14:paraId="71802F82" w14:textId="1458ADB9" w:rsidR="003C08BC" w:rsidRPr="005739CD" w:rsidRDefault="009A5F5D" w:rsidP="00BE538A">
            <w:pPr>
              <w:cnfStyle w:val="000000010000" w:firstRow="0" w:lastRow="0" w:firstColumn="0" w:lastColumn="0" w:oddVBand="0" w:evenVBand="0" w:oddHBand="0" w:evenHBand="1" w:firstRowFirstColumn="0" w:firstRowLastColumn="0" w:lastRowFirstColumn="0" w:lastRowLastColumn="0"/>
              <w:rPr>
                <w:color w:val="auto"/>
              </w:rPr>
            </w:pPr>
            <w:r w:rsidRPr="005739CD">
              <w:rPr>
                <w:color w:val="auto"/>
              </w:rPr>
              <w:t>Agree</w:t>
            </w:r>
          </w:p>
        </w:tc>
        <w:tc>
          <w:tcPr>
            <w:tcW w:w="7088" w:type="dxa"/>
            <w:gridSpan w:val="2"/>
          </w:tcPr>
          <w:p w14:paraId="44DFF62C" w14:textId="5D483748" w:rsidR="003C08BC" w:rsidRDefault="006A5CB1" w:rsidP="00AA3027">
            <w:pPr>
              <w:suppressAutoHyphens w:val="0"/>
              <w:spacing w:before="0" w:after="120" w:line="240" w:lineRule="auto"/>
              <w:cnfStyle w:val="000000010000" w:firstRow="0" w:lastRow="0" w:firstColumn="0" w:lastColumn="0" w:oddVBand="0" w:evenVBand="0" w:oddHBand="0" w:evenHBand="1" w:firstRowFirstColumn="0" w:firstRowLastColumn="0" w:lastRowFirstColumn="0" w:lastRowLastColumn="0"/>
            </w:pPr>
            <w:r>
              <w:t>This will</w:t>
            </w:r>
            <w:r w:rsidR="009A5F5D">
              <w:t xml:space="preserve"> be considered in the TSSP3 design and informed by lessons learned and feedback from stakeholders on how current delivery arrangements are working.</w:t>
            </w:r>
          </w:p>
          <w:p w14:paraId="4E79EAAE" w14:textId="246E3388" w:rsidR="009A5F5D" w:rsidRDefault="00024B67" w:rsidP="00AA3027">
            <w:pPr>
              <w:suppressAutoHyphens w:val="0"/>
              <w:spacing w:before="0" w:after="120" w:line="240" w:lineRule="auto"/>
              <w:cnfStyle w:val="000000010000" w:firstRow="0" w:lastRow="0" w:firstColumn="0" w:lastColumn="0" w:oddVBand="0" w:evenVBand="0" w:oddHBand="0" w:evenHBand="1" w:firstRowFirstColumn="0" w:firstRowLastColumn="0" w:lastRowFirstColumn="0" w:lastRowLastColumn="0"/>
            </w:pPr>
            <w:r>
              <w:t>The approach w</w:t>
            </w:r>
            <w:r w:rsidR="009A5F5D">
              <w:t xml:space="preserve">ill be </w:t>
            </w:r>
            <w:r w:rsidR="00256640">
              <w:t>dependent</w:t>
            </w:r>
            <w:r w:rsidR="009A5F5D">
              <w:t xml:space="preserve"> </w:t>
            </w:r>
            <w:r w:rsidR="00256640">
              <w:t xml:space="preserve">on consultation with ABG and </w:t>
            </w:r>
            <w:r w:rsidR="00A628A9">
              <w:t>GoPNG, as</w:t>
            </w:r>
            <w:r>
              <w:t xml:space="preserve"> well as value for money principles.</w:t>
            </w:r>
          </w:p>
          <w:p w14:paraId="5DAB7F24" w14:textId="39672414" w:rsidR="009A5F5D" w:rsidRPr="00BE538A" w:rsidRDefault="009A5F5D" w:rsidP="00AA3027">
            <w:pPr>
              <w:suppressAutoHyphens w:val="0"/>
              <w:spacing w:before="0" w:after="120" w:line="240" w:lineRule="auto"/>
              <w:cnfStyle w:val="000000010000" w:firstRow="0" w:lastRow="0" w:firstColumn="0" w:lastColumn="0" w:oddVBand="0" w:evenVBand="0" w:oddHBand="0" w:evenHBand="1" w:firstRowFirstColumn="0" w:firstRowLastColumn="0" w:lastRowFirstColumn="0" w:lastRowLastColumn="0"/>
            </w:pPr>
          </w:p>
        </w:tc>
      </w:tr>
      <w:tr w:rsidR="005739CD" w:rsidRPr="008F4A4D" w14:paraId="3DDE73FD" w14:textId="77777777" w:rsidTr="00E07C2D">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13724" w:type="dxa"/>
            <w:gridSpan w:val="3"/>
            <w:shd w:val="clear" w:color="auto" w:fill="DEEAF6" w:themeFill="accent1" w:themeFillTint="33"/>
          </w:tcPr>
          <w:p w14:paraId="14CB6467" w14:textId="25464B67" w:rsidR="005739CD" w:rsidRPr="008A0512" w:rsidRDefault="005739CD" w:rsidP="00040BF3">
            <w:pPr>
              <w:pStyle w:val="TableHeaderRow"/>
            </w:pPr>
            <w:r w:rsidRPr="001D18F9">
              <w:rPr>
                <w:color w:val="44546A" w:themeColor="text2"/>
                <w:szCs w:val="22"/>
              </w:rPr>
              <w:t xml:space="preserve">Program </w:t>
            </w:r>
            <w:r>
              <w:rPr>
                <w:color w:val="44546A" w:themeColor="text2"/>
                <w:szCs w:val="22"/>
              </w:rPr>
              <w:t>Implementation</w:t>
            </w:r>
          </w:p>
        </w:tc>
        <w:tc>
          <w:tcPr>
            <w:tcW w:w="310" w:type="dxa"/>
          </w:tcPr>
          <w:p w14:paraId="59D790E4" w14:textId="77777777" w:rsidR="005739CD" w:rsidRPr="008A0512" w:rsidRDefault="005739CD" w:rsidP="00040BF3">
            <w:pPr>
              <w:pStyle w:val="TableHeaderRow"/>
              <w:cnfStyle w:val="000000100000" w:firstRow="0" w:lastRow="0" w:firstColumn="0" w:lastColumn="0" w:oddVBand="0" w:evenVBand="0" w:oddHBand="1" w:evenHBand="0" w:firstRowFirstColumn="0" w:firstRowLastColumn="0" w:lastRowFirstColumn="0" w:lastRowLastColumn="0"/>
            </w:pPr>
          </w:p>
        </w:tc>
      </w:tr>
      <w:tr w:rsidR="00D610E1" w:rsidRPr="008A0512" w14:paraId="0D00792B" w14:textId="77777777" w:rsidTr="00EE09B7">
        <w:trPr>
          <w:cnfStyle w:val="000000010000" w:firstRow="0" w:lastRow="0" w:firstColumn="0" w:lastColumn="0" w:oddVBand="0" w:evenVBand="0" w:oddHBand="0" w:evenHBand="1" w:firstRowFirstColumn="0" w:firstRowLastColumn="0" w:lastRowFirstColumn="0" w:lastRowLastColumn="0"/>
          <w:trHeight w:val="2433"/>
        </w:trPr>
        <w:tc>
          <w:tcPr>
            <w:cnfStyle w:val="001000000000" w:firstRow="0" w:lastRow="0" w:firstColumn="1" w:lastColumn="0" w:oddVBand="0" w:evenVBand="0" w:oddHBand="0" w:evenHBand="0" w:firstRowFirstColumn="0" w:firstRowLastColumn="0" w:lastRowFirstColumn="0" w:lastRowLastColumn="0"/>
            <w:tcW w:w="5817" w:type="dxa"/>
          </w:tcPr>
          <w:p w14:paraId="06758C39" w14:textId="77777777" w:rsidR="008C1C08" w:rsidRDefault="008C1C08" w:rsidP="00040BF3">
            <w:r w:rsidRPr="008C1C08">
              <w:rPr>
                <w:b/>
                <w:bCs/>
              </w:rPr>
              <w:t>Recommendation 6:</w:t>
            </w:r>
            <w:r>
              <w:t xml:space="preserve"> </w:t>
            </w:r>
          </w:p>
          <w:p w14:paraId="437626AA" w14:textId="401F2905" w:rsidR="003C08BC" w:rsidRPr="008310ED" w:rsidRDefault="008C1C08" w:rsidP="00040BF3">
            <w:pPr>
              <w:rPr>
                <w:b/>
                <w:bCs/>
              </w:rPr>
            </w:pPr>
            <w:r>
              <w:t>That the Program enhance support for the Transport Sector Coordination, Monitoring and Implementation Committee (TSCMIC) to regularly meet and set agendas that help orient investment toward the achievement of transport strategies such as Connect PNG and to develop the capacity to identify appropriate funding mechanisms to finance national transport plans.</w:t>
            </w:r>
          </w:p>
        </w:tc>
        <w:tc>
          <w:tcPr>
            <w:tcW w:w="1129" w:type="dxa"/>
            <w:shd w:val="clear" w:color="auto" w:fill="92D050"/>
          </w:tcPr>
          <w:p w14:paraId="26B6110A" w14:textId="2464CCCC" w:rsidR="003C08BC" w:rsidRPr="005739CD" w:rsidRDefault="00783201" w:rsidP="00040BF3">
            <w:pPr>
              <w:cnfStyle w:val="000000010000" w:firstRow="0" w:lastRow="0" w:firstColumn="0" w:lastColumn="0" w:oddVBand="0" w:evenVBand="0" w:oddHBand="0" w:evenHBand="1" w:firstRowFirstColumn="0" w:firstRowLastColumn="0" w:lastRowFirstColumn="0" w:lastRowLastColumn="0"/>
              <w:rPr>
                <w:color w:val="auto"/>
              </w:rPr>
            </w:pPr>
            <w:r w:rsidRPr="005739CD">
              <w:rPr>
                <w:color w:val="auto"/>
              </w:rPr>
              <w:t>Agree</w:t>
            </w:r>
          </w:p>
        </w:tc>
        <w:tc>
          <w:tcPr>
            <w:tcW w:w="7088" w:type="dxa"/>
            <w:gridSpan w:val="2"/>
          </w:tcPr>
          <w:p w14:paraId="0CD96FB5" w14:textId="7FA1D11B" w:rsidR="003C08BC" w:rsidRDefault="00C10828" w:rsidP="00040BF3">
            <w:pPr>
              <w:suppressAutoHyphens w:val="0"/>
              <w:spacing w:before="0" w:after="120" w:line="240" w:lineRule="auto"/>
              <w:cnfStyle w:val="000000010000" w:firstRow="0" w:lastRow="0" w:firstColumn="0" w:lastColumn="0" w:oddVBand="0" w:evenVBand="0" w:oddHBand="0" w:evenHBand="1" w:firstRowFirstColumn="0" w:firstRowLastColumn="0" w:lastRowFirstColumn="0" w:lastRowLastColumn="0"/>
            </w:pPr>
            <w:r>
              <w:t>A</w:t>
            </w:r>
            <w:r w:rsidR="00025929">
              <w:t xml:space="preserve"> </w:t>
            </w:r>
            <w:r w:rsidR="00293228">
              <w:t>review of TSCMIC</w:t>
            </w:r>
            <w:r w:rsidR="00025929">
              <w:t>’s</w:t>
            </w:r>
            <w:r w:rsidR="00293228">
              <w:t xml:space="preserve"> role and function</w:t>
            </w:r>
            <w:r>
              <w:t xml:space="preserve"> is currently underway</w:t>
            </w:r>
            <w:r w:rsidR="00293228">
              <w:t xml:space="preserve">. </w:t>
            </w:r>
            <w:r w:rsidR="00335F77">
              <w:t xml:space="preserve">The aim of this </w:t>
            </w:r>
            <w:r w:rsidR="00111603">
              <w:t>is</w:t>
            </w:r>
            <w:r w:rsidR="00293228">
              <w:t xml:space="preserve"> to improve </w:t>
            </w:r>
            <w:r w:rsidR="00272365">
              <w:t xml:space="preserve">and more clearly define TSCMIC’s </w:t>
            </w:r>
            <w:r w:rsidR="00293228">
              <w:t xml:space="preserve">coordination role, </w:t>
            </w:r>
            <w:r w:rsidR="00551A7C">
              <w:t xml:space="preserve">governance decision making </w:t>
            </w:r>
            <w:r w:rsidR="00025929">
              <w:t>by TSCMIC and sub-committees</w:t>
            </w:r>
            <w:r w:rsidR="00551A7C">
              <w:t xml:space="preserve"> and stakeholder engagement</w:t>
            </w:r>
            <w:r w:rsidR="00025929">
              <w:t xml:space="preserve">. </w:t>
            </w:r>
          </w:p>
          <w:p w14:paraId="31B878D6" w14:textId="06FC5FC4" w:rsidR="00551A7C" w:rsidRPr="00BE538A" w:rsidRDefault="00CE2BFB" w:rsidP="00040BF3">
            <w:pPr>
              <w:suppressAutoHyphens w:val="0"/>
              <w:spacing w:before="0" w:after="120" w:line="240" w:lineRule="auto"/>
              <w:cnfStyle w:val="000000010000" w:firstRow="0" w:lastRow="0" w:firstColumn="0" w:lastColumn="0" w:oddVBand="0" w:evenVBand="0" w:oddHBand="0" w:evenHBand="1" w:firstRowFirstColumn="0" w:firstRowLastColumn="0" w:lastRowFirstColumn="0" w:lastRowLastColumn="0"/>
            </w:pPr>
            <w:r>
              <w:t>Relatedly, at DFAT</w:t>
            </w:r>
            <w:r w:rsidR="00BC6CD2">
              <w:t>’s</w:t>
            </w:r>
            <w:r>
              <w:t xml:space="preserve"> request</w:t>
            </w:r>
            <w:r w:rsidR="000F7426">
              <w:t>,</w:t>
            </w:r>
            <w:r>
              <w:t xml:space="preserve"> </w:t>
            </w:r>
            <w:r w:rsidR="00551A7C">
              <w:t xml:space="preserve">TSSP </w:t>
            </w:r>
            <w:r w:rsidR="000F7426">
              <w:t xml:space="preserve">is </w:t>
            </w:r>
            <w:r w:rsidR="00551A7C">
              <w:t xml:space="preserve">also </w:t>
            </w:r>
            <w:r w:rsidR="000B2415">
              <w:t xml:space="preserve">reviewing and proposing </w:t>
            </w:r>
            <w:r>
              <w:t xml:space="preserve">changes to </w:t>
            </w:r>
            <w:r w:rsidR="000B2415">
              <w:t>Agency Support Arrangements</w:t>
            </w:r>
            <w:r w:rsidR="00AB7E84">
              <w:t>’</w:t>
            </w:r>
            <w:r w:rsidR="000B2415">
              <w:t xml:space="preserve"> (ASAs)</w:t>
            </w:r>
            <w:r>
              <w:t xml:space="preserve"> governance framework </w:t>
            </w:r>
            <w:r w:rsidR="004F453F">
              <w:t xml:space="preserve">to improve and streamline </w:t>
            </w:r>
            <w:r>
              <w:t>DFAT/DITRD and TSSP engage</w:t>
            </w:r>
            <w:r w:rsidR="004F453F">
              <w:t>ment</w:t>
            </w:r>
            <w:r>
              <w:t xml:space="preserve"> with DoT stakeholders.</w:t>
            </w:r>
          </w:p>
        </w:tc>
      </w:tr>
      <w:tr w:rsidR="00D610E1" w:rsidRPr="008A0512" w14:paraId="73C55486" w14:textId="77777777" w:rsidTr="00EE09B7">
        <w:trPr>
          <w:cnfStyle w:val="000000100000" w:firstRow="0" w:lastRow="0" w:firstColumn="0" w:lastColumn="0" w:oddVBand="0" w:evenVBand="0" w:oddHBand="1" w:evenHBand="0" w:firstRowFirstColumn="0" w:firstRowLastColumn="0" w:lastRowFirstColumn="0" w:lastRowLastColumn="0"/>
          <w:trHeight w:val="1698"/>
        </w:trPr>
        <w:tc>
          <w:tcPr>
            <w:cnfStyle w:val="001000000000" w:firstRow="0" w:lastRow="0" w:firstColumn="1" w:lastColumn="0" w:oddVBand="0" w:evenVBand="0" w:oddHBand="0" w:evenHBand="0" w:firstRowFirstColumn="0" w:firstRowLastColumn="0" w:lastRowFirstColumn="0" w:lastRowLastColumn="0"/>
            <w:tcW w:w="5817" w:type="dxa"/>
          </w:tcPr>
          <w:p w14:paraId="216C2E63" w14:textId="77777777" w:rsidR="00D17E24" w:rsidRDefault="00D17E24" w:rsidP="00040BF3">
            <w:r w:rsidRPr="00D17E24">
              <w:rPr>
                <w:b/>
                <w:bCs/>
              </w:rPr>
              <w:t>Recommendation 7:</w:t>
            </w:r>
            <w:r>
              <w:t xml:space="preserve"> </w:t>
            </w:r>
          </w:p>
          <w:p w14:paraId="3C2AEDB8" w14:textId="6CCA214B" w:rsidR="00CE4F59" w:rsidRPr="008C1C08" w:rsidRDefault="00D17E24" w:rsidP="00040BF3">
            <w:pPr>
              <w:rPr>
                <w:b/>
                <w:bCs/>
              </w:rPr>
            </w:pPr>
            <w:r>
              <w:t xml:space="preserve">That the Program deploys advisers and other technical experts to PNG in an accelerated manner once COVID-19 travel restrictions are lifted to avoid adverse effects on implementation and relationships built over time. </w:t>
            </w:r>
          </w:p>
        </w:tc>
        <w:tc>
          <w:tcPr>
            <w:tcW w:w="1129" w:type="dxa"/>
            <w:shd w:val="clear" w:color="auto" w:fill="92D050"/>
          </w:tcPr>
          <w:p w14:paraId="55EE86E1" w14:textId="61AD1888" w:rsidR="00CE4F59" w:rsidRPr="005739CD" w:rsidRDefault="002C7639" w:rsidP="00040BF3">
            <w:pPr>
              <w:cnfStyle w:val="000000100000" w:firstRow="0" w:lastRow="0" w:firstColumn="0" w:lastColumn="0" w:oddVBand="0" w:evenVBand="0" w:oddHBand="1" w:evenHBand="0" w:firstRowFirstColumn="0" w:firstRowLastColumn="0" w:lastRowFirstColumn="0" w:lastRowLastColumn="0"/>
              <w:rPr>
                <w:color w:val="auto"/>
              </w:rPr>
            </w:pPr>
            <w:r w:rsidRPr="005739CD">
              <w:rPr>
                <w:color w:val="auto"/>
              </w:rPr>
              <w:t>Agree</w:t>
            </w:r>
          </w:p>
        </w:tc>
        <w:tc>
          <w:tcPr>
            <w:tcW w:w="7088" w:type="dxa"/>
            <w:gridSpan w:val="2"/>
          </w:tcPr>
          <w:p w14:paraId="3AB95A2D" w14:textId="5083252B" w:rsidR="00CE4F59" w:rsidRPr="00BE538A" w:rsidRDefault="00DC5480" w:rsidP="00040BF3">
            <w:pPr>
              <w:suppressAutoHyphens w:val="0"/>
              <w:spacing w:before="0" w:after="120" w:line="240" w:lineRule="auto"/>
              <w:cnfStyle w:val="000000100000" w:firstRow="0" w:lastRow="0" w:firstColumn="0" w:lastColumn="0" w:oddVBand="0" w:evenVBand="0" w:oddHBand="1" w:evenHBand="0" w:firstRowFirstColumn="0" w:firstRowLastColumn="0" w:lastRowFirstColumn="0" w:lastRowLastColumn="0"/>
            </w:pPr>
            <w:r>
              <w:t xml:space="preserve">Recruitment </w:t>
            </w:r>
            <w:r w:rsidR="00AB7E84">
              <w:t xml:space="preserve">is </w:t>
            </w:r>
            <w:r>
              <w:t xml:space="preserve">underway </w:t>
            </w:r>
            <w:r w:rsidR="00AB7E84">
              <w:t xml:space="preserve">for vacant positions and the number of deployed </w:t>
            </w:r>
            <w:r w:rsidR="00F84BD0">
              <w:t>advisers continues to increase.</w:t>
            </w:r>
          </w:p>
        </w:tc>
      </w:tr>
      <w:tr w:rsidR="00D610E1" w:rsidRPr="008A0512" w14:paraId="572DCDFE" w14:textId="77777777" w:rsidTr="00EE09B7">
        <w:trPr>
          <w:cnfStyle w:val="000000010000" w:firstRow="0" w:lastRow="0" w:firstColumn="0" w:lastColumn="0" w:oddVBand="0" w:evenVBand="0" w:oddHBand="0" w:evenHBand="1" w:firstRowFirstColumn="0" w:firstRowLastColumn="0" w:lastRowFirstColumn="0" w:lastRowLastColumn="0"/>
          <w:trHeight w:val="2495"/>
        </w:trPr>
        <w:tc>
          <w:tcPr>
            <w:cnfStyle w:val="001000000000" w:firstRow="0" w:lastRow="0" w:firstColumn="1" w:lastColumn="0" w:oddVBand="0" w:evenVBand="0" w:oddHBand="0" w:evenHBand="0" w:firstRowFirstColumn="0" w:firstRowLastColumn="0" w:lastRowFirstColumn="0" w:lastRowLastColumn="0"/>
            <w:tcW w:w="5817" w:type="dxa"/>
          </w:tcPr>
          <w:p w14:paraId="3925736E" w14:textId="77777777" w:rsidR="00D17E24" w:rsidRDefault="00D17E24" w:rsidP="002F06DA">
            <w:r w:rsidRPr="00D17E24">
              <w:rPr>
                <w:b/>
                <w:bCs/>
              </w:rPr>
              <w:lastRenderedPageBreak/>
              <w:t>Recommendation 8:</w:t>
            </w:r>
            <w:r>
              <w:t xml:space="preserve"> </w:t>
            </w:r>
          </w:p>
          <w:p w14:paraId="5C9A771A" w14:textId="6D358468" w:rsidR="001D18F9" w:rsidRPr="00BE538A" w:rsidRDefault="00D17E24" w:rsidP="002F06DA">
            <w:r>
              <w:t>If appropriate, that the Program consider strengthening the NPC through advisory roles and legislative reform or selectively bypass NPC procurement processes to avoid the higher long-term cost of asset maintenance and higher costs for local communities and business owners. Until reform of the NPC occurs, DFAT should reserve the right (consistent with other donor programs) to bypass the NPC where appropriate.</w:t>
            </w:r>
          </w:p>
        </w:tc>
        <w:tc>
          <w:tcPr>
            <w:tcW w:w="1129" w:type="dxa"/>
            <w:shd w:val="clear" w:color="auto" w:fill="92D050"/>
            <w:hideMark/>
          </w:tcPr>
          <w:p w14:paraId="2CD7F737" w14:textId="0D897937" w:rsidR="001D18F9" w:rsidRPr="005739CD" w:rsidRDefault="0002044E" w:rsidP="009221DE">
            <w:pPr>
              <w:cnfStyle w:val="000000010000" w:firstRow="0" w:lastRow="0" w:firstColumn="0" w:lastColumn="0" w:oddVBand="0" w:evenVBand="0" w:oddHBand="0" w:evenHBand="1" w:firstRowFirstColumn="0" w:firstRowLastColumn="0" w:lastRowFirstColumn="0" w:lastRowLastColumn="0"/>
              <w:rPr>
                <w:color w:val="auto"/>
              </w:rPr>
            </w:pPr>
            <w:r w:rsidRPr="005739CD">
              <w:rPr>
                <w:color w:val="auto"/>
              </w:rPr>
              <w:t>Agree</w:t>
            </w:r>
          </w:p>
        </w:tc>
        <w:tc>
          <w:tcPr>
            <w:tcW w:w="7088" w:type="dxa"/>
            <w:gridSpan w:val="2"/>
          </w:tcPr>
          <w:p w14:paraId="012DDAC1" w14:textId="0F45A4B3" w:rsidR="00C57E86" w:rsidRPr="00C57E86" w:rsidRDefault="00F84BD0" w:rsidP="0002044E">
            <w:pPr>
              <w:suppressAutoHyphens w:val="0"/>
              <w:spacing w:before="0" w:after="120" w:line="240" w:lineRule="auto"/>
              <w:cnfStyle w:val="000000010000" w:firstRow="0" w:lastRow="0" w:firstColumn="0" w:lastColumn="0" w:oddVBand="0" w:evenVBand="0" w:oddHBand="0" w:evenHBand="1" w:firstRowFirstColumn="0" w:firstRowLastColumn="0" w:lastRowFirstColumn="0" w:lastRowLastColumn="0"/>
            </w:pPr>
            <w:r>
              <w:t xml:space="preserve">TSSP2 has offered </w:t>
            </w:r>
            <w:r w:rsidR="00166938">
              <w:t xml:space="preserve">support to strengthen NPC on multiple occasions. While the offer </w:t>
            </w:r>
            <w:r w:rsidR="00A628A9">
              <w:t xml:space="preserve">will </w:t>
            </w:r>
            <w:r w:rsidR="0053431B">
              <w:t>still stand under TSSP3, DFAT will also explore alternative procurement pathways under TSSP3</w:t>
            </w:r>
            <w:r w:rsidR="008F29F5">
              <w:t xml:space="preserve"> in consultation with GoPNG.</w:t>
            </w:r>
          </w:p>
        </w:tc>
      </w:tr>
      <w:tr w:rsidR="005739CD" w:rsidRPr="008F4A4D" w14:paraId="27990ED8" w14:textId="77777777" w:rsidTr="00980072">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13724" w:type="dxa"/>
            <w:gridSpan w:val="3"/>
            <w:shd w:val="clear" w:color="auto" w:fill="DEEAF6" w:themeFill="accent1" w:themeFillTint="33"/>
          </w:tcPr>
          <w:p w14:paraId="15F11836" w14:textId="4E931558" w:rsidR="005739CD" w:rsidRPr="008A0512" w:rsidRDefault="005739CD" w:rsidP="00040BF3">
            <w:pPr>
              <w:pStyle w:val="TableHeaderRow"/>
            </w:pPr>
            <w:r w:rsidRPr="00FF02E5">
              <w:rPr>
                <w:color w:val="44546A" w:themeColor="text2"/>
              </w:rPr>
              <w:t>Future directions: strategy and ways of working</w:t>
            </w:r>
          </w:p>
        </w:tc>
        <w:tc>
          <w:tcPr>
            <w:tcW w:w="310" w:type="dxa"/>
          </w:tcPr>
          <w:p w14:paraId="5D3A7B4D" w14:textId="77777777" w:rsidR="005739CD" w:rsidRPr="008A0512" w:rsidRDefault="005739CD" w:rsidP="00040BF3">
            <w:pPr>
              <w:pStyle w:val="TableHeaderRow"/>
              <w:cnfStyle w:val="000000100000" w:firstRow="0" w:lastRow="0" w:firstColumn="0" w:lastColumn="0" w:oddVBand="0" w:evenVBand="0" w:oddHBand="1" w:evenHBand="0" w:firstRowFirstColumn="0" w:firstRowLastColumn="0" w:lastRowFirstColumn="0" w:lastRowLastColumn="0"/>
            </w:pPr>
          </w:p>
        </w:tc>
      </w:tr>
      <w:tr w:rsidR="00D610E1" w:rsidRPr="00BE538A" w14:paraId="7D88ADC3" w14:textId="77777777" w:rsidTr="00EE09B7">
        <w:trPr>
          <w:cnfStyle w:val="000000010000" w:firstRow="0" w:lastRow="0" w:firstColumn="0" w:lastColumn="0" w:oddVBand="0" w:evenVBand="0" w:oddHBand="0" w:evenHBand="1" w:firstRowFirstColumn="0" w:firstRowLastColumn="0" w:lastRowFirstColumn="0" w:lastRowLastColumn="0"/>
          <w:trHeight w:val="3536"/>
        </w:trPr>
        <w:tc>
          <w:tcPr>
            <w:cnfStyle w:val="001000000000" w:firstRow="0" w:lastRow="0" w:firstColumn="1" w:lastColumn="0" w:oddVBand="0" w:evenVBand="0" w:oddHBand="0" w:evenHBand="0" w:firstRowFirstColumn="0" w:firstRowLastColumn="0" w:lastRowFirstColumn="0" w:lastRowLastColumn="0"/>
            <w:tcW w:w="5817" w:type="dxa"/>
          </w:tcPr>
          <w:p w14:paraId="63AB0BB6" w14:textId="02A5709B" w:rsidR="005774DF" w:rsidRPr="005774DF" w:rsidRDefault="005774DF" w:rsidP="00487D18">
            <w:pPr>
              <w:suppressAutoHyphens w:val="0"/>
              <w:spacing w:before="0" w:after="120" w:line="240" w:lineRule="auto"/>
              <w:rPr>
                <w:b/>
                <w:bCs/>
              </w:rPr>
            </w:pPr>
            <w:r w:rsidRPr="005774DF">
              <w:rPr>
                <w:b/>
                <w:bCs/>
              </w:rPr>
              <w:t xml:space="preserve">Recommendation </w:t>
            </w:r>
            <w:r w:rsidR="00947AF5">
              <w:rPr>
                <w:b/>
                <w:bCs/>
              </w:rPr>
              <w:t>9</w:t>
            </w:r>
            <w:r w:rsidRPr="005774DF">
              <w:rPr>
                <w:b/>
                <w:bCs/>
              </w:rPr>
              <w:t xml:space="preserve">: </w:t>
            </w:r>
          </w:p>
          <w:p w14:paraId="47782E8E" w14:textId="2C233FDF" w:rsidR="005774DF" w:rsidRPr="00487D18" w:rsidRDefault="00947AF5" w:rsidP="00487D18">
            <w:pPr>
              <w:suppressAutoHyphens w:val="0"/>
              <w:spacing w:before="0" w:after="120" w:line="240" w:lineRule="auto"/>
              <w:rPr>
                <w:rFonts w:eastAsiaTheme="majorEastAsia" w:cstheme="majorBidi"/>
                <w:bCs/>
                <w:sz w:val="20"/>
                <w:szCs w:val="20"/>
              </w:rPr>
            </w:pPr>
            <w:r w:rsidRPr="00947AF5">
              <w:t>Connect PNG will greatly improve the interconnectivity of national road infrastructure and economic outcomes for many Papua New Guineans. However, the construction of new infrastructure will only add to the existing infrastructure maintenance burden, and it is not known whether the economic benefits of new infrastructure will offset increased maintenance obligations. Until such time that GoPNG earmarks resources to fund and manage the maintenance of the entire road network, there is little reason for DFAT to depart from TSSP2’s core strategic objectives and delivery mechanisms as they represent sound value for money for everyday Papua New Guineans.</w:t>
            </w:r>
          </w:p>
        </w:tc>
        <w:tc>
          <w:tcPr>
            <w:tcW w:w="1129" w:type="dxa"/>
            <w:shd w:val="clear" w:color="auto" w:fill="92D050"/>
          </w:tcPr>
          <w:p w14:paraId="689EE223" w14:textId="103B6FC8" w:rsidR="005774DF" w:rsidRPr="005739CD" w:rsidRDefault="00AB6F88" w:rsidP="00EF4039">
            <w:pPr>
              <w:cnfStyle w:val="000000010000" w:firstRow="0" w:lastRow="0" w:firstColumn="0" w:lastColumn="0" w:oddVBand="0" w:evenVBand="0" w:oddHBand="0" w:evenHBand="1" w:firstRowFirstColumn="0" w:firstRowLastColumn="0" w:lastRowFirstColumn="0" w:lastRowLastColumn="0"/>
              <w:rPr>
                <w:color w:val="auto"/>
              </w:rPr>
            </w:pPr>
            <w:r w:rsidRPr="005739CD">
              <w:rPr>
                <w:color w:val="auto"/>
              </w:rPr>
              <w:t>Somewhat a</w:t>
            </w:r>
            <w:r w:rsidR="00D07530" w:rsidRPr="005739CD">
              <w:rPr>
                <w:color w:val="auto"/>
              </w:rPr>
              <w:t>gree</w:t>
            </w:r>
          </w:p>
        </w:tc>
        <w:tc>
          <w:tcPr>
            <w:tcW w:w="7088" w:type="dxa"/>
            <w:gridSpan w:val="2"/>
          </w:tcPr>
          <w:p w14:paraId="6940FF22" w14:textId="7A144FEA" w:rsidR="005774DF" w:rsidRPr="00E97B0E" w:rsidRDefault="00BD46A4" w:rsidP="00EF4039">
            <w:pPr>
              <w:cnfStyle w:val="000000010000" w:firstRow="0" w:lastRow="0" w:firstColumn="0" w:lastColumn="0" w:oddVBand="0" w:evenVBand="0" w:oddHBand="0" w:evenHBand="1" w:firstRowFirstColumn="0" w:firstRowLastColumn="0" w:lastRowFirstColumn="0" w:lastRowLastColumn="0"/>
              <w:rPr>
                <w:sz w:val="20"/>
                <w:szCs w:val="20"/>
              </w:rPr>
            </w:pPr>
            <w:r>
              <w:t>TSSP will continue to focus</w:t>
            </w:r>
            <w:r w:rsidR="00D07530" w:rsidRPr="00A755F6">
              <w:t xml:space="preserve"> on maintaining</w:t>
            </w:r>
            <w:r>
              <w:t xml:space="preserve"> sections of</w:t>
            </w:r>
            <w:r w:rsidR="00D07530" w:rsidRPr="00A755F6">
              <w:t xml:space="preserve"> </w:t>
            </w:r>
            <w:r w:rsidR="003203A1">
              <w:t xml:space="preserve">the </w:t>
            </w:r>
            <w:r w:rsidR="00D07530" w:rsidRPr="00A755F6">
              <w:t>existing road network as a priority</w:t>
            </w:r>
            <w:r w:rsidR="00A755F6" w:rsidRPr="00A755F6">
              <w:t>.</w:t>
            </w:r>
            <w:r w:rsidR="00A755F6">
              <w:rPr>
                <w:sz w:val="20"/>
                <w:szCs w:val="20"/>
              </w:rPr>
              <w:t xml:space="preserve"> </w:t>
            </w:r>
            <w:r w:rsidR="00115B05">
              <w:t xml:space="preserve">However, it is important that DFAT </w:t>
            </w:r>
            <w:r w:rsidR="00A10F8A">
              <w:t>continues</w:t>
            </w:r>
            <w:r w:rsidR="00115B05">
              <w:t xml:space="preserve"> to push GoPNG to finance road maintenance itself</w:t>
            </w:r>
            <w:r w:rsidR="006D3E31">
              <w:t xml:space="preserve">, and offer ways to do this, including through AIFFP. This is particularly important, noting </w:t>
            </w:r>
            <w:r w:rsidR="000D3A58">
              <w:t xml:space="preserve">GoPNG is increasingly calling for Australian </w:t>
            </w:r>
            <w:r w:rsidR="00632F12">
              <w:t xml:space="preserve">to </w:t>
            </w:r>
            <w:r w:rsidR="000D3A58">
              <w:t xml:space="preserve">support </w:t>
            </w:r>
            <w:r w:rsidR="00632F12">
              <w:t xml:space="preserve">major transport </w:t>
            </w:r>
            <w:r w:rsidR="00644411">
              <w:t xml:space="preserve">infrastructure investments under Connect </w:t>
            </w:r>
            <w:r w:rsidR="00B36FBB">
              <w:t>PNG, not just maintenance.</w:t>
            </w:r>
          </w:p>
        </w:tc>
      </w:tr>
      <w:tr w:rsidR="00D610E1" w:rsidRPr="00BE538A" w14:paraId="1C863580" w14:textId="77777777" w:rsidTr="00EE09B7">
        <w:trPr>
          <w:cnfStyle w:val="000000100000" w:firstRow="0" w:lastRow="0" w:firstColumn="0" w:lastColumn="0" w:oddVBand="0" w:evenVBand="0" w:oddHBand="1" w:evenHBand="0" w:firstRowFirstColumn="0" w:firstRowLastColumn="0" w:lastRowFirstColumn="0" w:lastRowLastColumn="0"/>
          <w:trHeight w:val="1224"/>
        </w:trPr>
        <w:tc>
          <w:tcPr>
            <w:cnfStyle w:val="001000000000" w:firstRow="0" w:lastRow="0" w:firstColumn="1" w:lastColumn="0" w:oddVBand="0" w:evenVBand="0" w:oddHBand="0" w:evenHBand="0" w:firstRowFirstColumn="0" w:firstRowLastColumn="0" w:lastRowFirstColumn="0" w:lastRowLastColumn="0"/>
            <w:tcW w:w="5817" w:type="dxa"/>
          </w:tcPr>
          <w:p w14:paraId="5C056B20" w14:textId="13121844" w:rsidR="0061137A" w:rsidRDefault="0061137A" w:rsidP="00487D18">
            <w:pPr>
              <w:suppressAutoHyphens w:val="0"/>
              <w:spacing w:before="0" w:after="120" w:line="240" w:lineRule="auto"/>
            </w:pPr>
            <w:r w:rsidRPr="0061137A">
              <w:rPr>
                <w:b/>
                <w:bCs/>
              </w:rPr>
              <w:lastRenderedPageBreak/>
              <w:t>Recommendation 1</w:t>
            </w:r>
            <w:r w:rsidR="00167378">
              <w:rPr>
                <w:b/>
                <w:bCs/>
              </w:rPr>
              <w:t>0</w:t>
            </w:r>
            <w:r w:rsidRPr="0061137A">
              <w:rPr>
                <w:b/>
                <w:bCs/>
              </w:rPr>
              <w:t>:</w:t>
            </w:r>
            <w:r>
              <w:t xml:space="preserve"> </w:t>
            </w:r>
          </w:p>
          <w:p w14:paraId="4B586932" w14:textId="6A3D30E2" w:rsidR="00402DD7" w:rsidRPr="005774DF" w:rsidRDefault="0061137A" w:rsidP="00487D18">
            <w:pPr>
              <w:suppressAutoHyphens w:val="0"/>
              <w:spacing w:before="0" w:after="120" w:line="240" w:lineRule="auto"/>
              <w:rPr>
                <w:b/>
                <w:bCs/>
              </w:rPr>
            </w:pPr>
            <w:r>
              <w:t xml:space="preserve">As players increase in the PNG transport sector, there is likely to be a considerable shift in the way infrastructure is managed and implemented. Under these circumstances, DFAT would do well to </w:t>
            </w:r>
            <w:r w:rsidR="00BE0556">
              <w:t xml:space="preserve">help </w:t>
            </w:r>
            <w:r>
              <w:t>ensure that GoPNG is adequately resourced to navigate this new territory. As a partner of choice, DFAT should ensure that TSSP3 plays a central role in the harmonisation of infrastructure activities by GoPNG and its investment partners. This role will be facilitative and paramount to ensuring the efficient and effective allocation of infrastructure resources in a transport system that maximises the return on investment and fosters enhanced coordination between donor partners.</w:t>
            </w:r>
          </w:p>
        </w:tc>
        <w:tc>
          <w:tcPr>
            <w:tcW w:w="1129" w:type="dxa"/>
            <w:shd w:val="clear" w:color="auto" w:fill="92D050"/>
          </w:tcPr>
          <w:p w14:paraId="19C87643" w14:textId="78A0A473" w:rsidR="00402DD7" w:rsidRPr="005739CD" w:rsidRDefault="003120DB" w:rsidP="00EF4039">
            <w:pPr>
              <w:cnfStyle w:val="000000100000" w:firstRow="0" w:lastRow="0" w:firstColumn="0" w:lastColumn="0" w:oddVBand="0" w:evenVBand="0" w:oddHBand="1" w:evenHBand="0" w:firstRowFirstColumn="0" w:firstRowLastColumn="0" w:lastRowFirstColumn="0" w:lastRowLastColumn="0"/>
              <w:rPr>
                <w:color w:val="auto"/>
              </w:rPr>
            </w:pPr>
            <w:r w:rsidRPr="005739CD">
              <w:rPr>
                <w:color w:val="auto"/>
              </w:rPr>
              <w:t>Agree</w:t>
            </w:r>
          </w:p>
        </w:tc>
        <w:tc>
          <w:tcPr>
            <w:tcW w:w="7088" w:type="dxa"/>
            <w:gridSpan w:val="2"/>
          </w:tcPr>
          <w:p w14:paraId="0822B278" w14:textId="12419875" w:rsidR="00402DD7" w:rsidRDefault="00FE4C61" w:rsidP="00EF4039">
            <w:pPr>
              <w:cnfStyle w:val="000000100000" w:firstRow="0" w:lastRow="0" w:firstColumn="0" w:lastColumn="0" w:oddVBand="0" w:evenVBand="0" w:oddHBand="1" w:evenHBand="0" w:firstRowFirstColumn="0" w:firstRowLastColumn="0" w:lastRowFirstColumn="0" w:lastRowLastColumn="0"/>
            </w:pPr>
            <w:r>
              <w:t xml:space="preserve">While DFAT cannot assume responsibility for ensuring GoPNG is </w:t>
            </w:r>
            <w:r w:rsidR="000B43D0">
              <w:t>adequately</w:t>
            </w:r>
            <w:r>
              <w:t xml:space="preserve"> resourced, we can assist </w:t>
            </w:r>
            <w:r w:rsidR="00F63F56">
              <w:t xml:space="preserve">to improve </w:t>
            </w:r>
            <w:r w:rsidR="000B43D0">
              <w:t xml:space="preserve">resource allocation and donor coordination. </w:t>
            </w:r>
            <w:r w:rsidR="00B36FBB">
              <w:t>O</w:t>
            </w:r>
            <w:r w:rsidR="00D610E1">
              <w:t xml:space="preserve">ngoing </w:t>
            </w:r>
            <w:r w:rsidR="00366711" w:rsidRPr="00DD3EFE">
              <w:t xml:space="preserve">TSSP technical advisory </w:t>
            </w:r>
            <w:r w:rsidR="00F52385">
              <w:t xml:space="preserve">and project </w:t>
            </w:r>
            <w:r w:rsidR="00366711" w:rsidRPr="00DD3EFE">
              <w:t xml:space="preserve">support to DoWH and DoT will continue to support </w:t>
            </w:r>
            <w:r w:rsidR="00DD3EFE" w:rsidRPr="00DD3EFE">
              <w:t>coordination and harmonisation of GoPNG transport sector priorities and project delivery.</w:t>
            </w:r>
          </w:p>
          <w:p w14:paraId="3A6DACAD" w14:textId="64885F3B" w:rsidR="00F52385" w:rsidRPr="00DD3EFE" w:rsidRDefault="00F52385" w:rsidP="00EF4039">
            <w:pPr>
              <w:cnfStyle w:val="000000100000" w:firstRow="0" w:lastRow="0" w:firstColumn="0" w:lastColumn="0" w:oddVBand="0" w:evenVBand="0" w:oddHBand="1" w:evenHBand="0" w:firstRowFirstColumn="0" w:firstRowLastColumn="0" w:lastRowFirstColumn="0" w:lastRowLastColumn="0"/>
            </w:pPr>
            <w:r>
              <w:t xml:space="preserve">The ambitious agenda of Connect PNG and GoPNG infrastructure </w:t>
            </w:r>
            <w:r w:rsidR="00560C8C">
              <w:t>planning will require an increased focus on project and donor coordination</w:t>
            </w:r>
            <w:r w:rsidR="007A2C30">
              <w:t>. I</w:t>
            </w:r>
            <w:r w:rsidR="00560C8C">
              <w:t xml:space="preserve">mplementation risks are </w:t>
            </w:r>
            <w:r w:rsidR="007A2C30">
              <w:t>significant</w:t>
            </w:r>
            <w:r w:rsidR="00560C8C">
              <w:t xml:space="preserve"> and TSSP will </w:t>
            </w:r>
            <w:r w:rsidR="00D610E1">
              <w:t xml:space="preserve">continue to </w:t>
            </w:r>
            <w:r w:rsidR="00022FA7">
              <w:t xml:space="preserve">support </w:t>
            </w:r>
            <w:r w:rsidR="00D610E1">
              <w:t xml:space="preserve">capacity building in </w:t>
            </w:r>
            <w:r w:rsidR="00022FA7">
              <w:t>GoPNG</w:t>
            </w:r>
            <w:r w:rsidR="00D610E1">
              <w:t xml:space="preserve"> agencies responsible for implementation</w:t>
            </w:r>
            <w:r w:rsidR="004258EB">
              <w:t xml:space="preserve"> to help manage and mitigate.</w:t>
            </w:r>
            <w:r w:rsidR="007A2C30">
              <w:t xml:space="preserve"> Strengthening TSCMIC</w:t>
            </w:r>
            <w:r w:rsidR="00FC7F27">
              <w:t xml:space="preserve"> will also be key to this.</w:t>
            </w:r>
          </w:p>
        </w:tc>
      </w:tr>
      <w:tr w:rsidR="00D610E1" w:rsidRPr="00BE538A" w14:paraId="0CC11361" w14:textId="77777777" w:rsidTr="00EE09B7">
        <w:trPr>
          <w:cnfStyle w:val="000000010000" w:firstRow="0" w:lastRow="0" w:firstColumn="0" w:lastColumn="0" w:oddVBand="0" w:evenVBand="0" w:oddHBand="0" w:evenHBand="1" w:firstRowFirstColumn="0" w:firstRowLastColumn="0" w:lastRowFirstColumn="0" w:lastRowLastColumn="0"/>
          <w:trHeight w:val="3276"/>
        </w:trPr>
        <w:tc>
          <w:tcPr>
            <w:cnfStyle w:val="001000000000" w:firstRow="0" w:lastRow="0" w:firstColumn="1" w:lastColumn="0" w:oddVBand="0" w:evenVBand="0" w:oddHBand="0" w:evenHBand="0" w:firstRowFirstColumn="0" w:firstRowLastColumn="0" w:lastRowFirstColumn="0" w:lastRowLastColumn="0"/>
            <w:tcW w:w="5817" w:type="dxa"/>
          </w:tcPr>
          <w:p w14:paraId="299BAC8D" w14:textId="160C782B" w:rsidR="0061137A" w:rsidRDefault="0061137A" w:rsidP="00487D18">
            <w:pPr>
              <w:suppressAutoHyphens w:val="0"/>
              <w:spacing w:before="0" w:after="120" w:line="240" w:lineRule="auto"/>
            </w:pPr>
            <w:r w:rsidRPr="0061137A">
              <w:rPr>
                <w:b/>
                <w:bCs/>
              </w:rPr>
              <w:t>Recommendation 1</w:t>
            </w:r>
            <w:r w:rsidR="00167378">
              <w:rPr>
                <w:b/>
                <w:bCs/>
              </w:rPr>
              <w:t>1</w:t>
            </w:r>
            <w:r w:rsidRPr="0061137A">
              <w:rPr>
                <w:b/>
                <w:bCs/>
              </w:rPr>
              <w:t>:</w:t>
            </w:r>
            <w:r>
              <w:t xml:space="preserve"> </w:t>
            </w:r>
          </w:p>
          <w:p w14:paraId="4E72B670" w14:textId="77777777" w:rsidR="00402DD7" w:rsidRDefault="0061137A" w:rsidP="00487D18">
            <w:pPr>
              <w:suppressAutoHyphens w:val="0"/>
              <w:spacing w:before="0" w:after="120" w:line="240" w:lineRule="auto"/>
            </w:pPr>
            <w:r>
              <w:t>Given the burgeoning scope of infrastructure under management, TSSP3 will also need to broaden GoPNG’s asset management capability beyond ensuring that funding and resources are adequate to meet the needs of the network under normal operating conditions. Under TSSP3, GoPNG asset management will need to quantify the effects of potentially adverse climatic conditions caused by climate change. Though notoriously difficult to forecast, such capabilities will be essential to mitigating risk for investments in marine structures such as ports and roads in low-lying or coastal environments.</w:t>
            </w:r>
          </w:p>
          <w:p w14:paraId="0E317F72" w14:textId="14B71379" w:rsidR="00AC057D" w:rsidRPr="005774DF" w:rsidRDefault="00AC057D" w:rsidP="00487D18">
            <w:pPr>
              <w:suppressAutoHyphens w:val="0"/>
              <w:spacing w:before="0" w:after="120" w:line="240" w:lineRule="auto"/>
              <w:rPr>
                <w:b/>
                <w:bCs/>
              </w:rPr>
            </w:pPr>
          </w:p>
        </w:tc>
        <w:tc>
          <w:tcPr>
            <w:tcW w:w="1129" w:type="dxa"/>
            <w:shd w:val="clear" w:color="auto" w:fill="92D050"/>
          </w:tcPr>
          <w:p w14:paraId="1BF2F269" w14:textId="74F166C9" w:rsidR="00402DD7" w:rsidRPr="005739CD" w:rsidRDefault="00B526AA" w:rsidP="00EF4039">
            <w:pPr>
              <w:cnfStyle w:val="000000010000" w:firstRow="0" w:lastRow="0" w:firstColumn="0" w:lastColumn="0" w:oddVBand="0" w:evenVBand="0" w:oddHBand="0" w:evenHBand="1" w:firstRowFirstColumn="0" w:firstRowLastColumn="0" w:lastRowFirstColumn="0" w:lastRowLastColumn="0"/>
              <w:rPr>
                <w:color w:val="auto"/>
              </w:rPr>
            </w:pPr>
            <w:r w:rsidRPr="005739CD">
              <w:rPr>
                <w:color w:val="auto"/>
              </w:rPr>
              <w:t>Agree</w:t>
            </w:r>
          </w:p>
        </w:tc>
        <w:tc>
          <w:tcPr>
            <w:tcW w:w="7088" w:type="dxa"/>
            <w:gridSpan w:val="2"/>
          </w:tcPr>
          <w:p w14:paraId="524A703F" w14:textId="0EBF8595" w:rsidR="00402DD7" w:rsidRPr="00B526AA" w:rsidRDefault="00B526AA" w:rsidP="00EF4039">
            <w:pPr>
              <w:cnfStyle w:val="000000010000" w:firstRow="0" w:lastRow="0" w:firstColumn="0" w:lastColumn="0" w:oddVBand="0" w:evenVBand="0" w:oddHBand="0" w:evenHBand="1" w:firstRowFirstColumn="0" w:firstRowLastColumn="0" w:lastRowFirstColumn="0" w:lastRowLastColumn="0"/>
            </w:pPr>
            <w:r w:rsidRPr="00B526AA">
              <w:t xml:space="preserve">Work </w:t>
            </w:r>
            <w:r w:rsidR="00FC7F27">
              <w:t xml:space="preserve">is already </w:t>
            </w:r>
            <w:r w:rsidRPr="00B526AA">
              <w:t>underway</w:t>
            </w:r>
            <w:r>
              <w:t xml:space="preserve">, TSSP </w:t>
            </w:r>
            <w:r w:rsidR="00FB3E8E">
              <w:t>ha</w:t>
            </w:r>
            <w:r w:rsidR="00FC7F27">
              <w:t>s</w:t>
            </w:r>
            <w:r w:rsidR="00FB3E8E">
              <w:t xml:space="preserve"> </w:t>
            </w:r>
            <w:r w:rsidR="00CA1A45">
              <w:t>recruited</w:t>
            </w:r>
            <w:r>
              <w:t xml:space="preserve"> </w:t>
            </w:r>
            <w:r w:rsidR="004258EB">
              <w:t xml:space="preserve">a </w:t>
            </w:r>
            <w:r>
              <w:t xml:space="preserve">new asset management adviser working within DoWH. The challenge of establishing a road asset database </w:t>
            </w:r>
            <w:r w:rsidR="0022332C">
              <w:t xml:space="preserve">in PNG is understood and the adviser and TSSP team are working to </w:t>
            </w:r>
            <w:r w:rsidR="00CA1A45">
              <w:t xml:space="preserve">support DoWH and PNG Road Fund to establish </w:t>
            </w:r>
            <w:r w:rsidR="0006037C">
              <w:t xml:space="preserve">an asset register and a program of work to maintain and update the register. </w:t>
            </w:r>
            <w:r w:rsidR="00FC7F27">
              <w:t xml:space="preserve">The </w:t>
            </w:r>
            <w:r w:rsidR="0006037C">
              <w:t>PNG</w:t>
            </w:r>
            <w:r w:rsidR="00FC7F27">
              <w:t xml:space="preserve"> </w:t>
            </w:r>
            <w:r w:rsidR="0006037C">
              <w:t>R</w:t>
            </w:r>
            <w:r w:rsidR="00FC7F27">
              <w:t xml:space="preserve">oad </w:t>
            </w:r>
            <w:r w:rsidR="0006037C">
              <w:t>F</w:t>
            </w:r>
            <w:r w:rsidR="00FC7F27">
              <w:t>und</w:t>
            </w:r>
            <w:r w:rsidR="0006037C">
              <w:t xml:space="preserve"> has developed procedures to ensure that </w:t>
            </w:r>
            <w:r w:rsidR="00B96F35">
              <w:t>work</w:t>
            </w:r>
            <w:r w:rsidR="00341008">
              <w:t>plans</w:t>
            </w:r>
            <w:r w:rsidR="00B96F35">
              <w:t xml:space="preserve"> </w:t>
            </w:r>
            <w:r w:rsidR="00341008">
              <w:t xml:space="preserve">are based on </w:t>
            </w:r>
            <w:r w:rsidR="00B96F35">
              <w:t>road asset information. TSSP has been integral in supporting and guiding this work.</w:t>
            </w:r>
          </w:p>
        </w:tc>
      </w:tr>
      <w:tr w:rsidR="00EE09B7" w:rsidRPr="008F4A4D" w14:paraId="0E209644" w14:textId="77777777" w:rsidTr="00EE09B7">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5817" w:type="dxa"/>
            <w:shd w:val="clear" w:color="auto" w:fill="DEEAF6" w:themeFill="accent1" w:themeFillTint="33"/>
          </w:tcPr>
          <w:p w14:paraId="5795E78D" w14:textId="6790FD07" w:rsidR="00EE09B7" w:rsidRPr="008A0512" w:rsidRDefault="00EE09B7" w:rsidP="006A5F08">
            <w:pPr>
              <w:pStyle w:val="TableHeaderRow"/>
            </w:pPr>
            <w:r w:rsidRPr="000112FD">
              <w:rPr>
                <w:color w:val="44546A" w:themeColor="text2"/>
              </w:rPr>
              <w:lastRenderedPageBreak/>
              <w:t>Complementarity between TSSP and AIFFP</w:t>
            </w:r>
          </w:p>
        </w:tc>
        <w:tc>
          <w:tcPr>
            <w:tcW w:w="1129" w:type="dxa"/>
          </w:tcPr>
          <w:p w14:paraId="2CE0E4B7" w14:textId="77777777" w:rsidR="00EE09B7" w:rsidRPr="005739CD" w:rsidRDefault="00EE09B7" w:rsidP="006A5F08">
            <w:pPr>
              <w:pStyle w:val="TableHeaderRow"/>
              <w:cnfStyle w:val="000000100000" w:firstRow="0" w:lastRow="0" w:firstColumn="0" w:lastColumn="0" w:oddVBand="0" w:evenVBand="0" w:oddHBand="1" w:evenHBand="0" w:firstRowFirstColumn="0" w:firstRowLastColumn="0" w:lastRowFirstColumn="0" w:lastRowLastColumn="0"/>
              <w:rPr>
                <w:color w:val="auto"/>
              </w:rPr>
            </w:pPr>
          </w:p>
        </w:tc>
        <w:tc>
          <w:tcPr>
            <w:tcW w:w="6778" w:type="dxa"/>
          </w:tcPr>
          <w:p w14:paraId="4AB307D0" w14:textId="77777777" w:rsidR="00EE09B7" w:rsidRPr="008A0512" w:rsidRDefault="00EE09B7" w:rsidP="006A5F08">
            <w:pPr>
              <w:pStyle w:val="TableHeaderRow"/>
              <w:cnfStyle w:val="000000100000" w:firstRow="0" w:lastRow="0" w:firstColumn="0" w:lastColumn="0" w:oddVBand="0" w:evenVBand="0" w:oddHBand="1" w:evenHBand="0" w:firstRowFirstColumn="0" w:firstRowLastColumn="0" w:lastRowFirstColumn="0" w:lastRowLastColumn="0"/>
            </w:pPr>
          </w:p>
        </w:tc>
        <w:tc>
          <w:tcPr>
            <w:tcW w:w="310" w:type="dxa"/>
          </w:tcPr>
          <w:p w14:paraId="513F8D67" w14:textId="77777777" w:rsidR="00EE09B7" w:rsidRPr="008A0512" w:rsidRDefault="00EE09B7" w:rsidP="006A5F08">
            <w:pPr>
              <w:pStyle w:val="TableHeaderRow"/>
              <w:cnfStyle w:val="000000100000" w:firstRow="0" w:lastRow="0" w:firstColumn="0" w:lastColumn="0" w:oddVBand="0" w:evenVBand="0" w:oddHBand="1" w:evenHBand="0" w:firstRowFirstColumn="0" w:firstRowLastColumn="0" w:lastRowFirstColumn="0" w:lastRowLastColumn="0"/>
            </w:pPr>
          </w:p>
        </w:tc>
      </w:tr>
      <w:tr w:rsidR="009579C6" w:rsidRPr="00BE538A" w14:paraId="4F568EC0" w14:textId="77777777" w:rsidTr="00EE09B7">
        <w:trPr>
          <w:cnfStyle w:val="000000010000" w:firstRow="0" w:lastRow="0" w:firstColumn="0" w:lastColumn="0" w:oddVBand="0" w:evenVBand="0" w:oddHBand="0" w:evenHBand="1" w:firstRowFirstColumn="0" w:firstRowLastColumn="0" w:lastRowFirstColumn="0" w:lastRowLastColumn="0"/>
          <w:trHeight w:val="1620"/>
        </w:trPr>
        <w:tc>
          <w:tcPr>
            <w:cnfStyle w:val="001000000000" w:firstRow="0" w:lastRow="0" w:firstColumn="1" w:lastColumn="0" w:oddVBand="0" w:evenVBand="0" w:oddHBand="0" w:evenHBand="0" w:firstRowFirstColumn="0" w:firstRowLastColumn="0" w:lastRowFirstColumn="0" w:lastRowLastColumn="0"/>
            <w:tcW w:w="5817" w:type="dxa"/>
          </w:tcPr>
          <w:p w14:paraId="14D1A812" w14:textId="4D5B1AEF" w:rsidR="00A10A42" w:rsidRDefault="00A10A42" w:rsidP="00A10A42">
            <w:pPr>
              <w:suppressAutoHyphens w:val="0"/>
              <w:spacing w:before="0" w:after="120" w:line="240" w:lineRule="auto"/>
            </w:pPr>
            <w:r w:rsidRPr="0061137A">
              <w:rPr>
                <w:b/>
                <w:bCs/>
              </w:rPr>
              <w:t>Recommendation 1</w:t>
            </w:r>
            <w:r w:rsidR="00005256">
              <w:rPr>
                <w:b/>
                <w:bCs/>
              </w:rPr>
              <w:t>2</w:t>
            </w:r>
            <w:r w:rsidRPr="0061137A">
              <w:rPr>
                <w:b/>
                <w:bCs/>
              </w:rPr>
              <w:t>:</w:t>
            </w:r>
            <w:r>
              <w:t xml:space="preserve"> </w:t>
            </w:r>
          </w:p>
          <w:p w14:paraId="6638D911" w14:textId="471BB80C" w:rsidR="00167378" w:rsidRPr="00005256" w:rsidRDefault="00005256" w:rsidP="00A10A42">
            <w:pPr>
              <w:suppressAutoHyphens w:val="0"/>
              <w:spacing w:before="0" w:after="120" w:line="240" w:lineRule="auto"/>
            </w:pPr>
            <w:r w:rsidRPr="00005256">
              <w:t>Should AIFFP choose to work with TSSP, it is imperative that TSSP2 retains the discretion to continue its important work in stakeholder engagement, capacity building, maintenance, policy and legal support and reform. These essential activities are critical to the efficacy of the national transport network but also to help ensure institutional preparedness to implement and administer new infrastructure investments. TSSP2’s understanding of DFAT processes and familiarity with PNG institutional and private sector capacity provides ground to facilitate the preparatory work that AIFFP requires to finance transport infrastructure investments. Also, TSSP2 should be adequately resourced to support AIFFP in the rollout of these investment projects, especially where the activities are considered to be synergetic and highly complementary.</w:t>
            </w:r>
          </w:p>
        </w:tc>
        <w:tc>
          <w:tcPr>
            <w:tcW w:w="1129" w:type="dxa"/>
            <w:shd w:val="clear" w:color="auto" w:fill="92D050"/>
          </w:tcPr>
          <w:p w14:paraId="2DEC5ED5" w14:textId="6C23CC42" w:rsidR="00167378" w:rsidRPr="005739CD" w:rsidRDefault="00E413C4" w:rsidP="00EF4039">
            <w:pPr>
              <w:cnfStyle w:val="000000010000" w:firstRow="0" w:lastRow="0" w:firstColumn="0" w:lastColumn="0" w:oddVBand="0" w:evenVBand="0" w:oddHBand="0" w:evenHBand="1" w:firstRowFirstColumn="0" w:firstRowLastColumn="0" w:lastRowFirstColumn="0" w:lastRowLastColumn="0"/>
              <w:rPr>
                <w:color w:val="auto"/>
              </w:rPr>
            </w:pPr>
            <w:r w:rsidRPr="005739CD">
              <w:rPr>
                <w:color w:val="auto"/>
              </w:rPr>
              <w:t>Agree</w:t>
            </w:r>
          </w:p>
        </w:tc>
        <w:tc>
          <w:tcPr>
            <w:tcW w:w="7088" w:type="dxa"/>
            <w:gridSpan w:val="2"/>
          </w:tcPr>
          <w:p w14:paraId="5FFEDC4E" w14:textId="640F081D" w:rsidR="00167378" w:rsidRPr="00B526AA" w:rsidRDefault="004756C2" w:rsidP="00EF4039">
            <w:pPr>
              <w:cnfStyle w:val="000000010000" w:firstRow="0" w:lastRow="0" w:firstColumn="0" w:lastColumn="0" w:oddVBand="0" w:evenVBand="0" w:oddHBand="0" w:evenHBand="1" w:firstRowFirstColumn="0" w:firstRowLastColumn="0" w:lastRowFirstColumn="0" w:lastRowLastColumn="0"/>
            </w:pPr>
            <w:r w:rsidRPr="00E413C4">
              <w:t>This work is already underway with TSSP working closely with</w:t>
            </w:r>
            <w:r>
              <w:t xml:space="preserve"> AIFFP and creating an internal AIFFP Project Management Office within TSSP to integrate AIFFP projects funding and management within the TSSP scope.</w:t>
            </w:r>
          </w:p>
        </w:tc>
      </w:tr>
      <w:tr w:rsidR="009579C6" w:rsidRPr="00BE538A" w14:paraId="021550E1" w14:textId="77777777" w:rsidTr="00EE09B7">
        <w:trPr>
          <w:cnfStyle w:val="000000100000" w:firstRow="0" w:lastRow="0" w:firstColumn="0" w:lastColumn="0" w:oddVBand="0" w:evenVBand="0" w:oddHBand="1" w:evenHBand="0" w:firstRowFirstColumn="0" w:firstRowLastColumn="0" w:lastRowFirstColumn="0" w:lastRowLastColumn="0"/>
          <w:trHeight w:val="1732"/>
        </w:trPr>
        <w:tc>
          <w:tcPr>
            <w:cnfStyle w:val="001000000000" w:firstRow="0" w:lastRow="0" w:firstColumn="1" w:lastColumn="0" w:oddVBand="0" w:evenVBand="0" w:oddHBand="0" w:evenHBand="0" w:firstRowFirstColumn="0" w:firstRowLastColumn="0" w:lastRowFirstColumn="0" w:lastRowLastColumn="0"/>
            <w:tcW w:w="5817" w:type="dxa"/>
          </w:tcPr>
          <w:p w14:paraId="04947124" w14:textId="18006BFF" w:rsidR="00A42381" w:rsidRDefault="00A42381" w:rsidP="00A42381">
            <w:pPr>
              <w:suppressAutoHyphens w:val="0"/>
              <w:spacing w:before="0" w:after="120" w:line="240" w:lineRule="auto"/>
            </w:pPr>
            <w:r w:rsidRPr="0061137A">
              <w:rPr>
                <w:b/>
                <w:bCs/>
              </w:rPr>
              <w:t>Recommendation 1</w:t>
            </w:r>
            <w:r>
              <w:rPr>
                <w:b/>
                <w:bCs/>
              </w:rPr>
              <w:t>3</w:t>
            </w:r>
            <w:r w:rsidRPr="0061137A">
              <w:rPr>
                <w:b/>
                <w:bCs/>
              </w:rPr>
              <w:t>:</w:t>
            </w:r>
            <w:r>
              <w:t xml:space="preserve"> </w:t>
            </w:r>
          </w:p>
          <w:p w14:paraId="41AAD578" w14:textId="534B1D46" w:rsidR="00A42381" w:rsidRPr="0061137A" w:rsidRDefault="00A42381" w:rsidP="00A42381">
            <w:pPr>
              <w:suppressAutoHyphens w:val="0"/>
              <w:spacing w:before="0" w:after="120" w:line="240" w:lineRule="auto"/>
              <w:rPr>
                <w:b/>
                <w:bCs/>
              </w:rPr>
            </w:pPr>
            <w:r w:rsidRPr="00AF71FE">
              <w:t>TSSP2 and AIFFP should collaborate and develop systems that enable complementarity in these shared objectives. Where AIFFP is focused on transport infrastructure, it should collaborate and work closely with TSSP2 due to the technical knowledge and relationships/networks it has in PNG.</w:t>
            </w:r>
          </w:p>
        </w:tc>
        <w:tc>
          <w:tcPr>
            <w:tcW w:w="1129" w:type="dxa"/>
            <w:shd w:val="clear" w:color="auto" w:fill="92D050"/>
          </w:tcPr>
          <w:p w14:paraId="51CC21FA" w14:textId="64B4C532" w:rsidR="00A42381" w:rsidRPr="005739CD" w:rsidRDefault="00A42381" w:rsidP="00A42381">
            <w:pPr>
              <w:cnfStyle w:val="000000100000" w:firstRow="0" w:lastRow="0" w:firstColumn="0" w:lastColumn="0" w:oddVBand="0" w:evenVBand="0" w:oddHBand="1" w:evenHBand="0" w:firstRowFirstColumn="0" w:firstRowLastColumn="0" w:lastRowFirstColumn="0" w:lastRowLastColumn="0"/>
              <w:rPr>
                <w:color w:val="auto"/>
              </w:rPr>
            </w:pPr>
            <w:r w:rsidRPr="005739CD">
              <w:rPr>
                <w:color w:val="auto"/>
              </w:rPr>
              <w:t>Agree</w:t>
            </w:r>
          </w:p>
        </w:tc>
        <w:tc>
          <w:tcPr>
            <w:tcW w:w="7088" w:type="dxa"/>
            <w:gridSpan w:val="2"/>
          </w:tcPr>
          <w:p w14:paraId="1F40554E" w14:textId="7FB0145D" w:rsidR="00A42381" w:rsidRPr="00B526AA" w:rsidRDefault="00A42381" w:rsidP="00A42381">
            <w:pPr>
              <w:cnfStyle w:val="000000100000" w:firstRow="0" w:lastRow="0" w:firstColumn="0" w:lastColumn="0" w:oddVBand="0" w:evenVBand="0" w:oddHBand="1" w:evenHBand="0" w:firstRowFirstColumn="0" w:firstRowLastColumn="0" w:lastRowFirstColumn="0" w:lastRowLastColumn="0"/>
            </w:pPr>
            <w:r w:rsidRPr="00E413C4">
              <w:t>This work is already underway with TSSP working closely with</w:t>
            </w:r>
            <w:r>
              <w:t xml:space="preserve"> AIFFP and creating an internal AIFFP Project Management Office within TSSP to </w:t>
            </w:r>
            <w:r w:rsidR="00AE44D7">
              <w:t xml:space="preserve">ensure complementarity and </w:t>
            </w:r>
            <w:r>
              <w:t>integrate AIFFP projects</w:t>
            </w:r>
            <w:r w:rsidR="004756C2">
              <w:t xml:space="preserve"> funding and management</w:t>
            </w:r>
            <w:r>
              <w:t xml:space="preserve"> within the TSSP </w:t>
            </w:r>
            <w:r w:rsidR="004756C2">
              <w:t>scope.</w:t>
            </w:r>
          </w:p>
        </w:tc>
      </w:tr>
      <w:tr w:rsidR="009579C6" w:rsidRPr="00BE538A" w14:paraId="2A30F0C8" w14:textId="77777777" w:rsidTr="00EE09B7">
        <w:trPr>
          <w:cnfStyle w:val="000000010000" w:firstRow="0" w:lastRow="0" w:firstColumn="0" w:lastColumn="0" w:oddVBand="0" w:evenVBand="0" w:oddHBand="0" w:evenHBand="1" w:firstRowFirstColumn="0" w:firstRowLastColumn="0" w:lastRowFirstColumn="0" w:lastRowLastColumn="0"/>
          <w:trHeight w:val="2488"/>
        </w:trPr>
        <w:tc>
          <w:tcPr>
            <w:cnfStyle w:val="001000000000" w:firstRow="0" w:lastRow="0" w:firstColumn="1" w:lastColumn="0" w:oddVBand="0" w:evenVBand="0" w:oddHBand="0" w:evenHBand="0" w:firstRowFirstColumn="0" w:firstRowLastColumn="0" w:lastRowFirstColumn="0" w:lastRowLastColumn="0"/>
            <w:tcW w:w="5817" w:type="dxa"/>
          </w:tcPr>
          <w:p w14:paraId="20863B84" w14:textId="69820A58" w:rsidR="00894BB4" w:rsidRDefault="00894BB4" w:rsidP="00894BB4">
            <w:pPr>
              <w:suppressAutoHyphens w:val="0"/>
              <w:spacing w:before="0" w:after="120" w:line="240" w:lineRule="auto"/>
            </w:pPr>
            <w:r w:rsidRPr="0061137A">
              <w:rPr>
                <w:b/>
                <w:bCs/>
              </w:rPr>
              <w:lastRenderedPageBreak/>
              <w:t>Recommendation 1</w:t>
            </w:r>
            <w:r w:rsidR="00AF71FE">
              <w:rPr>
                <w:b/>
                <w:bCs/>
              </w:rPr>
              <w:t>4</w:t>
            </w:r>
            <w:r w:rsidRPr="0061137A">
              <w:rPr>
                <w:b/>
                <w:bCs/>
              </w:rPr>
              <w:t>:</w:t>
            </w:r>
            <w:r>
              <w:t xml:space="preserve"> </w:t>
            </w:r>
          </w:p>
          <w:p w14:paraId="12FABB5B" w14:textId="1284E70D" w:rsidR="00167378" w:rsidRPr="0061137A" w:rsidRDefault="00E413C4" w:rsidP="00894BB4">
            <w:pPr>
              <w:suppressAutoHyphens w:val="0"/>
              <w:spacing w:before="0" w:after="120" w:line="240" w:lineRule="auto"/>
              <w:rPr>
                <w:b/>
                <w:bCs/>
              </w:rPr>
            </w:pPr>
            <w:r w:rsidRPr="00E413C4">
              <w:t>As long as AIFFP has investments in PNG, AIFFP should have appropriate staffing levels based in the Australian High Commission (AHC) to engage with partners and implement programs. The AIFFP focal point at the AHC will coordinate and be a focal point between TSSP2, AIFFP and other government agencies and SOEs. Though current in-country support to AIFFP has been absorbed by the infrastructure team in AHC, future AIFFP investments in PNG should be matched by increased designated resources at the AHC.</w:t>
            </w:r>
          </w:p>
        </w:tc>
        <w:tc>
          <w:tcPr>
            <w:tcW w:w="1129" w:type="dxa"/>
            <w:shd w:val="clear" w:color="auto" w:fill="92D050"/>
          </w:tcPr>
          <w:p w14:paraId="37F2587E" w14:textId="4A979EFC" w:rsidR="00167378" w:rsidRPr="005739CD" w:rsidRDefault="006A2322" w:rsidP="00EF4039">
            <w:pPr>
              <w:cnfStyle w:val="000000010000" w:firstRow="0" w:lastRow="0" w:firstColumn="0" w:lastColumn="0" w:oddVBand="0" w:evenVBand="0" w:oddHBand="0" w:evenHBand="1" w:firstRowFirstColumn="0" w:firstRowLastColumn="0" w:lastRowFirstColumn="0" w:lastRowLastColumn="0"/>
              <w:rPr>
                <w:color w:val="auto"/>
              </w:rPr>
            </w:pPr>
            <w:r w:rsidRPr="005739CD">
              <w:rPr>
                <w:color w:val="auto"/>
              </w:rPr>
              <w:t>Agree</w:t>
            </w:r>
          </w:p>
        </w:tc>
        <w:tc>
          <w:tcPr>
            <w:tcW w:w="7088" w:type="dxa"/>
            <w:gridSpan w:val="2"/>
          </w:tcPr>
          <w:p w14:paraId="6739A9B8" w14:textId="1932A61F" w:rsidR="00167378" w:rsidRPr="00B526AA" w:rsidRDefault="00E470CC" w:rsidP="00EF4039">
            <w:pPr>
              <w:cnfStyle w:val="000000010000" w:firstRow="0" w:lastRow="0" w:firstColumn="0" w:lastColumn="0" w:oddVBand="0" w:evenVBand="0" w:oddHBand="0" w:evenHBand="1" w:firstRowFirstColumn="0" w:firstRowLastColumn="0" w:lastRowFirstColumn="0" w:lastRowLastColumn="0"/>
            </w:pPr>
            <w:r w:rsidRPr="00E470CC">
              <w:t>This work is already underway with</w:t>
            </w:r>
            <w:r>
              <w:t xml:space="preserve"> </w:t>
            </w:r>
            <w:r w:rsidR="006A2322">
              <w:t>four additional AIFFP positions</w:t>
            </w:r>
            <w:r w:rsidR="00FD6FE0">
              <w:t xml:space="preserve"> (2 long-term assignments and 2 non-ongoing short-term missions)</w:t>
            </w:r>
            <w:r w:rsidR="006A2322">
              <w:t xml:space="preserve"> created and integrated into the Transport Infrastructure team at post.</w:t>
            </w:r>
          </w:p>
        </w:tc>
      </w:tr>
    </w:tbl>
    <w:p w14:paraId="69BA6848" w14:textId="77777777" w:rsidR="008D4D04" w:rsidRDefault="008D4D04" w:rsidP="00EF2DD1"/>
    <w:sectPr w:rsidR="008D4D04" w:rsidSect="008D4D04">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651ECA" w14:textId="77777777" w:rsidR="003943E8" w:rsidRDefault="003943E8" w:rsidP="002C5735">
      <w:pPr>
        <w:spacing w:before="0" w:after="0" w:line="240" w:lineRule="auto"/>
      </w:pPr>
      <w:r>
        <w:separator/>
      </w:r>
    </w:p>
  </w:endnote>
  <w:endnote w:type="continuationSeparator" w:id="0">
    <w:p w14:paraId="76F8A37E" w14:textId="77777777" w:rsidR="003943E8" w:rsidRDefault="003943E8" w:rsidP="002C573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5B329F" w14:textId="77777777" w:rsidR="003943E8" w:rsidRDefault="003943E8" w:rsidP="002C5735">
      <w:pPr>
        <w:spacing w:before="0" w:after="0" w:line="240" w:lineRule="auto"/>
      </w:pPr>
      <w:r>
        <w:separator/>
      </w:r>
    </w:p>
  </w:footnote>
  <w:footnote w:type="continuationSeparator" w:id="0">
    <w:p w14:paraId="5663D836" w14:textId="77777777" w:rsidR="003943E8" w:rsidRDefault="003943E8" w:rsidP="002C573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0D0381" w14:textId="44C4DA15" w:rsidR="004A4DB4" w:rsidRDefault="004A4DB4">
    <w:pPr>
      <w:pStyle w:val="Header"/>
    </w:pPr>
    <w:r>
      <w:tab/>
    </w:r>
    <w:r>
      <w:tab/>
    </w:r>
    <w:r>
      <w:tab/>
    </w:r>
    <w:r>
      <w:tab/>
    </w:r>
    <w:r>
      <w:tab/>
    </w:r>
    <w:r>
      <w:tab/>
    </w:r>
    <w:r>
      <w:tab/>
    </w:r>
    <w:r w:rsidR="006975EF">
      <w:t>June</w:t>
    </w:r>
    <w:r>
      <w:t xml:space="preserve">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B72B69"/>
    <w:multiLevelType w:val="hybridMultilevel"/>
    <w:tmpl w:val="BCE2D51A"/>
    <w:lvl w:ilvl="0" w:tplc="FF725F5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A0B1E7B"/>
    <w:multiLevelType w:val="hybridMultilevel"/>
    <w:tmpl w:val="84D2EF18"/>
    <w:lvl w:ilvl="0" w:tplc="0A385B2E">
      <w:start w:val="3"/>
      <w:numFmt w:val="bullet"/>
      <w:lvlText w:val="-"/>
      <w:lvlJc w:val="left"/>
      <w:pPr>
        <w:ind w:left="413" w:hanging="360"/>
      </w:pPr>
      <w:rPr>
        <w:rFonts w:ascii="Calibri" w:eastAsiaTheme="minorHAnsi" w:hAnsi="Calibri" w:cstheme="minorBidi" w:hint="default"/>
      </w:rPr>
    </w:lvl>
    <w:lvl w:ilvl="1" w:tplc="0C090003" w:tentative="1">
      <w:start w:val="1"/>
      <w:numFmt w:val="bullet"/>
      <w:lvlText w:val="o"/>
      <w:lvlJc w:val="left"/>
      <w:pPr>
        <w:ind w:left="1133" w:hanging="360"/>
      </w:pPr>
      <w:rPr>
        <w:rFonts w:ascii="Courier New" w:hAnsi="Courier New" w:cs="Courier New" w:hint="default"/>
      </w:rPr>
    </w:lvl>
    <w:lvl w:ilvl="2" w:tplc="0C090005" w:tentative="1">
      <w:start w:val="1"/>
      <w:numFmt w:val="bullet"/>
      <w:lvlText w:val=""/>
      <w:lvlJc w:val="left"/>
      <w:pPr>
        <w:ind w:left="1853" w:hanging="360"/>
      </w:pPr>
      <w:rPr>
        <w:rFonts w:ascii="Wingdings" w:hAnsi="Wingdings" w:hint="default"/>
      </w:rPr>
    </w:lvl>
    <w:lvl w:ilvl="3" w:tplc="0C090001" w:tentative="1">
      <w:start w:val="1"/>
      <w:numFmt w:val="bullet"/>
      <w:lvlText w:val=""/>
      <w:lvlJc w:val="left"/>
      <w:pPr>
        <w:ind w:left="2573" w:hanging="360"/>
      </w:pPr>
      <w:rPr>
        <w:rFonts w:ascii="Symbol" w:hAnsi="Symbol" w:hint="default"/>
      </w:rPr>
    </w:lvl>
    <w:lvl w:ilvl="4" w:tplc="0C090003" w:tentative="1">
      <w:start w:val="1"/>
      <w:numFmt w:val="bullet"/>
      <w:lvlText w:val="o"/>
      <w:lvlJc w:val="left"/>
      <w:pPr>
        <w:ind w:left="3293" w:hanging="360"/>
      </w:pPr>
      <w:rPr>
        <w:rFonts w:ascii="Courier New" w:hAnsi="Courier New" w:cs="Courier New" w:hint="default"/>
      </w:rPr>
    </w:lvl>
    <w:lvl w:ilvl="5" w:tplc="0C090005" w:tentative="1">
      <w:start w:val="1"/>
      <w:numFmt w:val="bullet"/>
      <w:lvlText w:val=""/>
      <w:lvlJc w:val="left"/>
      <w:pPr>
        <w:ind w:left="4013" w:hanging="360"/>
      </w:pPr>
      <w:rPr>
        <w:rFonts w:ascii="Wingdings" w:hAnsi="Wingdings" w:hint="default"/>
      </w:rPr>
    </w:lvl>
    <w:lvl w:ilvl="6" w:tplc="0C090001" w:tentative="1">
      <w:start w:val="1"/>
      <w:numFmt w:val="bullet"/>
      <w:lvlText w:val=""/>
      <w:lvlJc w:val="left"/>
      <w:pPr>
        <w:ind w:left="4733" w:hanging="360"/>
      </w:pPr>
      <w:rPr>
        <w:rFonts w:ascii="Symbol" w:hAnsi="Symbol" w:hint="default"/>
      </w:rPr>
    </w:lvl>
    <w:lvl w:ilvl="7" w:tplc="0C090003" w:tentative="1">
      <w:start w:val="1"/>
      <w:numFmt w:val="bullet"/>
      <w:lvlText w:val="o"/>
      <w:lvlJc w:val="left"/>
      <w:pPr>
        <w:ind w:left="5453" w:hanging="360"/>
      </w:pPr>
      <w:rPr>
        <w:rFonts w:ascii="Courier New" w:hAnsi="Courier New" w:cs="Courier New" w:hint="default"/>
      </w:rPr>
    </w:lvl>
    <w:lvl w:ilvl="8" w:tplc="0C090005" w:tentative="1">
      <w:start w:val="1"/>
      <w:numFmt w:val="bullet"/>
      <w:lvlText w:val=""/>
      <w:lvlJc w:val="left"/>
      <w:pPr>
        <w:ind w:left="6173" w:hanging="360"/>
      </w:pPr>
      <w:rPr>
        <w:rFonts w:ascii="Wingdings" w:hAnsi="Wingdings" w:hint="default"/>
      </w:rPr>
    </w:lvl>
  </w:abstractNum>
  <w:abstractNum w:abstractNumId="2" w15:restartNumberingAfterBreak="0">
    <w:nsid w:val="47E855D4"/>
    <w:multiLevelType w:val="hybridMultilevel"/>
    <w:tmpl w:val="2EE6A0C6"/>
    <w:lvl w:ilvl="0" w:tplc="13B675C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2A378AC"/>
    <w:multiLevelType w:val="hybridMultilevel"/>
    <w:tmpl w:val="317CB6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5AE0350"/>
    <w:multiLevelType w:val="hybridMultilevel"/>
    <w:tmpl w:val="08F4B9CA"/>
    <w:lvl w:ilvl="0" w:tplc="9B406E6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D04"/>
    <w:rsid w:val="00005256"/>
    <w:rsid w:val="000112FD"/>
    <w:rsid w:val="0002044E"/>
    <w:rsid w:val="00022FA7"/>
    <w:rsid w:val="00024B67"/>
    <w:rsid w:val="00025929"/>
    <w:rsid w:val="00035C77"/>
    <w:rsid w:val="00036E33"/>
    <w:rsid w:val="000379EF"/>
    <w:rsid w:val="00051B69"/>
    <w:rsid w:val="0006037C"/>
    <w:rsid w:val="000B0E9A"/>
    <w:rsid w:val="000B2415"/>
    <w:rsid w:val="000B43D0"/>
    <w:rsid w:val="000B65D4"/>
    <w:rsid w:val="000D3A58"/>
    <w:rsid w:val="000E1064"/>
    <w:rsid w:val="000F7426"/>
    <w:rsid w:val="00111603"/>
    <w:rsid w:val="0011324D"/>
    <w:rsid w:val="00115B05"/>
    <w:rsid w:val="00123DD0"/>
    <w:rsid w:val="001343B7"/>
    <w:rsid w:val="00137E24"/>
    <w:rsid w:val="001401D1"/>
    <w:rsid w:val="00155D62"/>
    <w:rsid w:val="00166938"/>
    <w:rsid w:val="00167378"/>
    <w:rsid w:val="00191684"/>
    <w:rsid w:val="0019607E"/>
    <w:rsid w:val="00196F74"/>
    <w:rsid w:val="001A12E4"/>
    <w:rsid w:val="001B429D"/>
    <w:rsid w:val="001D18F9"/>
    <w:rsid w:val="001F0C2F"/>
    <w:rsid w:val="0022332C"/>
    <w:rsid w:val="00223957"/>
    <w:rsid w:val="00233665"/>
    <w:rsid w:val="00256640"/>
    <w:rsid w:val="00272365"/>
    <w:rsid w:val="00293228"/>
    <w:rsid w:val="00293CD1"/>
    <w:rsid w:val="002A45E7"/>
    <w:rsid w:val="002A5A75"/>
    <w:rsid w:val="002B5118"/>
    <w:rsid w:val="002C2235"/>
    <w:rsid w:val="002C2B3F"/>
    <w:rsid w:val="002C325E"/>
    <w:rsid w:val="002C5735"/>
    <w:rsid w:val="002C6778"/>
    <w:rsid w:val="002C7639"/>
    <w:rsid w:val="002D1737"/>
    <w:rsid w:val="002D58B1"/>
    <w:rsid w:val="002D59DF"/>
    <w:rsid w:val="002D73EE"/>
    <w:rsid w:val="002E0366"/>
    <w:rsid w:val="002F06DA"/>
    <w:rsid w:val="002F2CA7"/>
    <w:rsid w:val="002F63FC"/>
    <w:rsid w:val="003120DB"/>
    <w:rsid w:val="00312286"/>
    <w:rsid w:val="003203A1"/>
    <w:rsid w:val="00335F77"/>
    <w:rsid w:val="00341008"/>
    <w:rsid w:val="00344124"/>
    <w:rsid w:val="00351DD8"/>
    <w:rsid w:val="00357D5F"/>
    <w:rsid w:val="00362952"/>
    <w:rsid w:val="00366711"/>
    <w:rsid w:val="00390F26"/>
    <w:rsid w:val="003943E8"/>
    <w:rsid w:val="003B12AF"/>
    <w:rsid w:val="003B334E"/>
    <w:rsid w:val="003C08BC"/>
    <w:rsid w:val="003C7A93"/>
    <w:rsid w:val="003D1FE2"/>
    <w:rsid w:val="003F2624"/>
    <w:rsid w:val="003F2F0D"/>
    <w:rsid w:val="00402DD7"/>
    <w:rsid w:val="00423253"/>
    <w:rsid w:val="00424C61"/>
    <w:rsid w:val="004258EB"/>
    <w:rsid w:val="004404A1"/>
    <w:rsid w:val="00440519"/>
    <w:rsid w:val="0045401E"/>
    <w:rsid w:val="00463119"/>
    <w:rsid w:val="004649DF"/>
    <w:rsid w:val="00474D21"/>
    <w:rsid w:val="004756C2"/>
    <w:rsid w:val="00477622"/>
    <w:rsid w:val="00481CF7"/>
    <w:rsid w:val="00487D18"/>
    <w:rsid w:val="004A4DB4"/>
    <w:rsid w:val="004C0A32"/>
    <w:rsid w:val="004D1D75"/>
    <w:rsid w:val="004E2B3E"/>
    <w:rsid w:val="004F453F"/>
    <w:rsid w:val="004F4EDD"/>
    <w:rsid w:val="004F5AF3"/>
    <w:rsid w:val="00504CC7"/>
    <w:rsid w:val="0051070B"/>
    <w:rsid w:val="00524475"/>
    <w:rsid w:val="0053431B"/>
    <w:rsid w:val="00551A7C"/>
    <w:rsid w:val="00560C8C"/>
    <w:rsid w:val="00563542"/>
    <w:rsid w:val="00563805"/>
    <w:rsid w:val="005655C5"/>
    <w:rsid w:val="00565BDF"/>
    <w:rsid w:val="005739CD"/>
    <w:rsid w:val="00574429"/>
    <w:rsid w:val="005774DF"/>
    <w:rsid w:val="0058306B"/>
    <w:rsid w:val="005C486B"/>
    <w:rsid w:val="005C5545"/>
    <w:rsid w:val="005D61A6"/>
    <w:rsid w:val="005F3186"/>
    <w:rsid w:val="005F382E"/>
    <w:rsid w:val="005F4FC6"/>
    <w:rsid w:val="005F7A4C"/>
    <w:rsid w:val="0061137A"/>
    <w:rsid w:val="00613399"/>
    <w:rsid w:val="00614808"/>
    <w:rsid w:val="00632F12"/>
    <w:rsid w:val="00644411"/>
    <w:rsid w:val="0065324C"/>
    <w:rsid w:val="00661B94"/>
    <w:rsid w:val="00667A38"/>
    <w:rsid w:val="0067491C"/>
    <w:rsid w:val="00692B94"/>
    <w:rsid w:val="0069487A"/>
    <w:rsid w:val="006975EF"/>
    <w:rsid w:val="006A2322"/>
    <w:rsid w:val="006A24A0"/>
    <w:rsid w:val="006A5CB1"/>
    <w:rsid w:val="006B1B5D"/>
    <w:rsid w:val="006C40A7"/>
    <w:rsid w:val="006C5A8D"/>
    <w:rsid w:val="006C7F5A"/>
    <w:rsid w:val="006D3E31"/>
    <w:rsid w:val="006E06C6"/>
    <w:rsid w:val="00736C1F"/>
    <w:rsid w:val="00752F85"/>
    <w:rsid w:val="00760CFC"/>
    <w:rsid w:val="00783201"/>
    <w:rsid w:val="0078503D"/>
    <w:rsid w:val="007A2C30"/>
    <w:rsid w:val="007C0F6D"/>
    <w:rsid w:val="007C43C2"/>
    <w:rsid w:val="007D20AB"/>
    <w:rsid w:val="008010FF"/>
    <w:rsid w:val="00803BE0"/>
    <w:rsid w:val="00826C1D"/>
    <w:rsid w:val="008310ED"/>
    <w:rsid w:val="00847917"/>
    <w:rsid w:val="008516CC"/>
    <w:rsid w:val="00852E50"/>
    <w:rsid w:val="008721ED"/>
    <w:rsid w:val="00876895"/>
    <w:rsid w:val="0088415B"/>
    <w:rsid w:val="00884486"/>
    <w:rsid w:val="00890B7B"/>
    <w:rsid w:val="00892440"/>
    <w:rsid w:val="008924B0"/>
    <w:rsid w:val="008928C2"/>
    <w:rsid w:val="00894BB4"/>
    <w:rsid w:val="008950DB"/>
    <w:rsid w:val="008A029A"/>
    <w:rsid w:val="008A6255"/>
    <w:rsid w:val="008B26F8"/>
    <w:rsid w:val="008B2D95"/>
    <w:rsid w:val="008B48CB"/>
    <w:rsid w:val="008C11E6"/>
    <w:rsid w:val="008C1668"/>
    <w:rsid w:val="008C1C08"/>
    <w:rsid w:val="008C531E"/>
    <w:rsid w:val="008C5FD1"/>
    <w:rsid w:val="008D4D04"/>
    <w:rsid w:val="008E0817"/>
    <w:rsid w:val="008F29F5"/>
    <w:rsid w:val="008F36C5"/>
    <w:rsid w:val="009027B4"/>
    <w:rsid w:val="00903826"/>
    <w:rsid w:val="009221DE"/>
    <w:rsid w:val="00942FD0"/>
    <w:rsid w:val="00947AF5"/>
    <w:rsid w:val="0095026F"/>
    <w:rsid w:val="00955A49"/>
    <w:rsid w:val="009579C6"/>
    <w:rsid w:val="009666EC"/>
    <w:rsid w:val="00967C9B"/>
    <w:rsid w:val="0098224B"/>
    <w:rsid w:val="00983D1B"/>
    <w:rsid w:val="00991833"/>
    <w:rsid w:val="0099225C"/>
    <w:rsid w:val="009922B4"/>
    <w:rsid w:val="009A0092"/>
    <w:rsid w:val="009A5F5D"/>
    <w:rsid w:val="009C2C27"/>
    <w:rsid w:val="009E0433"/>
    <w:rsid w:val="009E4369"/>
    <w:rsid w:val="009F1E6A"/>
    <w:rsid w:val="00A052E7"/>
    <w:rsid w:val="00A10A42"/>
    <w:rsid w:val="00A10F8A"/>
    <w:rsid w:val="00A266D9"/>
    <w:rsid w:val="00A42019"/>
    <w:rsid w:val="00A42381"/>
    <w:rsid w:val="00A476E8"/>
    <w:rsid w:val="00A51EDA"/>
    <w:rsid w:val="00A54991"/>
    <w:rsid w:val="00A558AD"/>
    <w:rsid w:val="00A628A9"/>
    <w:rsid w:val="00A62C2B"/>
    <w:rsid w:val="00A7157A"/>
    <w:rsid w:val="00A755F6"/>
    <w:rsid w:val="00A90B78"/>
    <w:rsid w:val="00AA3027"/>
    <w:rsid w:val="00AB2BDF"/>
    <w:rsid w:val="00AB6F88"/>
    <w:rsid w:val="00AB7E84"/>
    <w:rsid w:val="00AC057D"/>
    <w:rsid w:val="00AC20F5"/>
    <w:rsid w:val="00AD4E82"/>
    <w:rsid w:val="00AD6213"/>
    <w:rsid w:val="00AE4140"/>
    <w:rsid w:val="00AE44D7"/>
    <w:rsid w:val="00AF71FE"/>
    <w:rsid w:val="00B0159C"/>
    <w:rsid w:val="00B05E52"/>
    <w:rsid w:val="00B07764"/>
    <w:rsid w:val="00B07E33"/>
    <w:rsid w:val="00B13E57"/>
    <w:rsid w:val="00B276AE"/>
    <w:rsid w:val="00B36FBB"/>
    <w:rsid w:val="00B407B3"/>
    <w:rsid w:val="00B40EB7"/>
    <w:rsid w:val="00B460C8"/>
    <w:rsid w:val="00B47EC6"/>
    <w:rsid w:val="00B526AA"/>
    <w:rsid w:val="00B6305D"/>
    <w:rsid w:val="00B66ADE"/>
    <w:rsid w:val="00B67E4F"/>
    <w:rsid w:val="00B7363A"/>
    <w:rsid w:val="00B96F35"/>
    <w:rsid w:val="00BB0C9F"/>
    <w:rsid w:val="00BB222D"/>
    <w:rsid w:val="00BB7067"/>
    <w:rsid w:val="00BC6CD2"/>
    <w:rsid w:val="00BC6FE8"/>
    <w:rsid w:val="00BD1881"/>
    <w:rsid w:val="00BD46A4"/>
    <w:rsid w:val="00BD6594"/>
    <w:rsid w:val="00BE0556"/>
    <w:rsid w:val="00BE16E9"/>
    <w:rsid w:val="00BE538A"/>
    <w:rsid w:val="00BF2995"/>
    <w:rsid w:val="00BF3FC2"/>
    <w:rsid w:val="00BF627B"/>
    <w:rsid w:val="00C03988"/>
    <w:rsid w:val="00C05086"/>
    <w:rsid w:val="00C10828"/>
    <w:rsid w:val="00C27A24"/>
    <w:rsid w:val="00C41435"/>
    <w:rsid w:val="00C5095D"/>
    <w:rsid w:val="00C53720"/>
    <w:rsid w:val="00C57C0E"/>
    <w:rsid w:val="00C57E86"/>
    <w:rsid w:val="00C8191C"/>
    <w:rsid w:val="00CA0EE4"/>
    <w:rsid w:val="00CA1A45"/>
    <w:rsid w:val="00CB4F3A"/>
    <w:rsid w:val="00CD3158"/>
    <w:rsid w:val="00CD5A13"/>
    <w:rsid w:val="00CE2BFB"/>
    <w:rsid w:val="00CE4F59"/>
    <w:rsid w:val="00CF7AA9"/>
    <w:rsid w:val="00D02034"/>
    <w:rsid w:val="00D07530"/>
    <w:rsid w:val="00D1760B"/>
    <w:rsid w:val="00D17E24"/>
    <w:rsid w:val="00D21C68"/>
    <w:rsid w:val="00D33A8E"/>
    <w:rsid w:val="00D610E1"/>
    <w:rsid w:val="00D82280"/>
    <w:rsid w:val="00DA3B3D"/>
    <w:rsid w:val="00DA3D18"/>
    <w:rsid w:val="00DC5480"/>
    <w:rsid w:val="00DD3EFE"/>
    <w:rsid w:val="00DD69DF"/>
    <w:rsid w:val="00DD7F2A"/>
    <w:rsid w:val="00DE00A8"/>
    <w:rsid w:val="00DF57D9"/>
    <w:rsid w:val="00E01650"/>
    <w:rsid w:val="00E17237"/>
    <w:rsid w:val="00E36D0D"/>
    <w:rsid w:val="00E413C4"/>
    <w:rsid w:val="00E470CC"/>
    <w:rsid w:val="00E4794D"/>
    <w:rsid w:val="00E559FA"/>
    <w:rsid w:val="00E57375"/>
    <w:rsid w:val="00E6293F"/>
    <w:rsid w:val="00E87664"/>
    <w:rsid w:val="00E943FB"/>
    <w:rsid w:val="00E97B0E"/>
    <w:rsid w:val="00EA3044"/>
    <w:rsid w:val="00EA5334"/>
    <w:rsid w:val="00EA5662"/>
    <w:rsid w:val="00ED16D2"/>
    <w:rsid w:val="00ED1EF2"/>
    <w:rsid w:val="00EE09B7"/>
    <w:rsid w:val="00EE16A2"/>
    <w:rsid w:val="00EE2395"/>
    <w:rsid w:val="00EF2DD1"/>
    <w:rsid w:val="00F0127F"/>
    <w:rsid w:val="00F03AFA"/>
    <w:rsid w:val="00F0616A"/>
    <w:rsid w:val="00F11636"/>
    <w:rsid w:val="00F238B9"/>
    <w:rsid w:val="00F25353"/>
    <w:rsid w:val="00F25F1C"/>
    <w:rsid w:val="00F2664E"/>
    <w:rsid w:val="00F412EA"/>
    <w:rsid w:val="00F47392"/>
    <w:rsid w:val="00F52385"/>
    <w:rsid w:val="00F539FE"/>
    <w:rsid w:val="00F6150A"/>
    <w:rsid w:val="00F63F56"/>
    <w:rsid w:val="00F72017"/>
    <w:rsid w:val="00F75E41"/>
    <w:rsid w:val="00F84BD0"/>
    <w:rsid w:val="00F85AB4"/>
    <w:rsid w:val="00F85E54"/>
    <w:rsid w:val="00F87553"/>
    <w:rsid w:val="00F935A1"/>
    <w:rsid w:val="00FB19BE"/>
    <w:rsid w:val="00FB3E8E"/>
    <w:rsid w:val="00FC7F27"/>
    <w:rsid w:val="00FD36EF"/>
    <w:rsid w:val="00FD462E"/>
    <w:rsid w:val="00FD6FE0"/>
    <w:rsid w:val="00FE4C61"/>
    <w:rsid w:val="00FF02E5"/>
    <w:rsid w:val="00FF52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9FE6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34E"/>
    <w:pPr>
      <w:suppressAutoHyphens/>
      <w:spacing w:before="120" w:after="60" w:line="260" w:lineRule="atLeast"/>
    </w:pPr>
    <w:rPr>
      <w:color w:val="44546A" w:themeColor="text2"/>
      <w:lang w:val="en-GB"/>
    </w:rPr>
  </w:style>
  <w:style w:type="paragraph" w:styleId="Heading2">
    <w:name w:val="heading 2"/>
    <w:basedOn w:val="Normal"/>
    <w:next w:val="Normal"/>
    <w:link w:val="Heading2Char"/>
    <w:uiPriority w:val="9"/>
    <w:semiHidden/>
    <w:unhideWhenUsed/>
    <w:qFormat/>
    <w:rsid w:val="008D4D0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unhideWhenUsed/>
    <w:qFormat/>
    <w:rsid w:val="008D4D04"/>
    <w:pPr>
      <w:spacing w:before="480" w:after="120" w:line="360" w:lineRule="atLeast"/>
      <w:contextualSpacing/>
      <w:outlineLvl w:val="2"/>
    </w:pPr>
    <w:rPr>
      <w:bCs/>
      <w:color w:val="44546A" w:themeColor="text2"/>
      <w:sz w:val="3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D4D04"/>
    <w:rPr>
      <w:rFonts w:asciiTheme="majorHAnsi" w:eastAsiaTheme="majorEastAsia" w:hAnsiTheme="majorHAnsi" w:cstheme="majorBidi"/>
      <w:bCs/>
      <w:color w:val="44546A" w:themeColor="text2"/>
      <w:sz w:val="30"/>
      <w:szCs w:val="26"/>
    </w:rPr>
  </w:style>
  <w:style w:type="paragraph" w:customStyle="1" w:styleId="TableHeaderRow">
    <w:name w:val="Table Header Row"/>
    <w:basedOn w:val="Normal"/>
    <w:qFormat/>
    <w:rsid w:val="008D4D04"/>
    <w:pPr>
      <w:spacing w:before="60"/>
    </w:pPr>
    <w:rPr>
      <w:rFonts w:ascii="Calibri" w:hAnsi="Calibri"/>
      <w:b/>
      <w:color w:val="FFFFFF" w:themeColor="background1"/>
      <w:szCs w:val="21"/>
    </w:rPr>
  </w:style>
  <w:style w:type="table" w:customStyle="1" w:styleId="DFATTable1">
    <w:name w:val="DFAT Table 1"/>
    <w:basedOn w:val="TableNormal"/>
    <w:uiPriority w:val="99"/>
    <w:rsid w:val="008D4D04"/>
    <w:pPr>
      <w:spacing w:before="60" w:after="60" w:line="260" w:lineRule="atLeast"/>
    </w:pPr>
    <w:rPr>
      <w:rFonts w:ascii="Calibri" w:hAnsi="Calibri"/>
      <w:color w:val="44546A" w:themeColor="text2"/>
    </w:rPr>
    <w:tblPr>
      <w:tblStyleRowBandSize w:val="1"/>
      <w:tblStyleColBandSize w:val="1"/>
      <w:tblBorders>
        <w:top w:val="single" w:sz="4" w:space="0" w:color="44546A" w:themeColor="text2"/>
        <w:bottom w:val="single" w:sz="4" w:space="0" w:color="44546A" w:themeColor="text2"/>
        <w:insideH w:val="single" w:sz="4" w:space="0" w:color="44546A" w:themeColor="text2"/>
      </w:tblBorders>
      <w:tblCellMar>
        <w:top w:w="57" w:type="dxa"/>
        <w:bottom w:w="57" w:type="dxa"/>
      </w:tblCellMar>
    </w:tblPr>
    <w:tblStylePr w:type="firstRow">
      <w:rPr>
        <w:b w:val="0"/>
      </w:rPr>
      <w:tblPr/>
      <w:trPr>
        <w:tblHeader/>
      </w:trPr>
      <w:tcPr>
        <w:tcBorders>
          <w:top w:val="single" w:sz="4" w:space="0" w:color="5B9BD5" w:themeColor="accent1"/>
          <w:bottom w:val="single" w:sz="4" w:space="0" w:color="5B9BD5" w:themeColor="accent1"/>
          <w:insideH w:val="single" w:sz="4" w:space="0" w:color="5B9BD5" w:themeColor="accent1"/>
        </w:tcBorders>
        <w:shd w:val="clear" w:color="auto" w:fill="5B9BD5" w:themeFill="accent1"/>
      </w:tcPr>
    </w:tblStylePr>
    <w:tblStylePr w:type="lastRow">
      <w:rPr>
        <w:b/>
        <w:color w:val="FFFFFF" w:themeColor="background1"/>
      </w:rPr>
      <w:tblPr/>
      <w:tcPr>
        <w:shd w:val="clear" w:color="auto" w:fill="44546A" w:themeFill="text2"/>
      </w:tcPr>
    </w:tblStylePr>
    <w:tblStylePr w:type="firstCol">
      <w:tblPr/>
      <w:tcPr>
        <w:shd w:val="clear" w:color="auto" w:fill="E7E6E6" w:themeFill="background2"/>
      </w:tcPr>
    </w:tblStylePr>
    <w:tblStylePr w:type="lastCol">
      <w:tblPr/>
      <w:tcPr>
        <w:shd w:val="clear" w:color="auto" w:fill="E7E6E6" w:themeFill="background2"/>
      </w:tcPr>
    </w:tblStylePr>
    <w:tblStylePr w:type="band1Vert">
      <w:tblPr/>
      <w:tcPr>
        <w:shd w:val="clear" w:color="auto" w:fill="DEEAF6" w:themeFill="accent1" w:themeFillTint="33"/>
      </w:tcPr>
    </w:tblStylePr>
    <w:tblStylePr w:type="band2Vert">
      <w:tblPr/>
      <w:tcPr>
        <w:shd w:val="clear" w:color="auto" w:fill="BDD6EE" w:themeFill="accent1" w:themeFillTint="66"/>
      </w:tcPr>
    </w:tblStylePr>
    <w:tblStylePr w:type="band1Horz">
      <w:tblPr/>
      <w:tcPr>
        <w:shd w:val="clear" w:color="auto" w:fill="DEEAF6" w:themeFill="accent1" w:themeFillTint="33"/>
      </w:tcPr>
    </w:tblStylePr>
    <w:tblStylePr w:type="band2Horz">
      <w:tblPr/>
      <w:tcPr>
        <w:shd w:val="clear" w:color="auto" w:fill="BDD6EE" w:themeFill="accent1" w:themeFillTint="66"/>
      </w:tcPr>
    </w:tblStylePr>
  </w:style>
  <w:style w:type="paragraph" w:styleId="BodyText">
    <w:name w:val="Body Text"/>
    <w:basedOn w:val="Normal"/>
    <w:link w:val="BodyTextChar"/>
    <w:uiPriority w:val="99"/>
    <w:unhideWhenUsed/>
    <w:qFormat/>
    <w:rsid w:val="008D4D04"/>
  </w:style>
  <w:style w:type="character" w:customStyle="1" w:styleId="BodyTextChar">
    <w:name w:val="Body Text Char"/>
    <w:basedOn w:val="DefaultParagraphFont"/>
    <w:link w:val="BodyText"/>
    <w:uiPriority w:val="99"/>
    <w:rsid w:val="008D4D04"/>
    <w:rPr>
      <w:color w:val="44546A" w:themeColor="text2"/>
      <w:lang w:val="en-GB"/>
    </w:rPr>
  </w:style>
  <w:style w:type="character" w:customStyle="1" w:styleId="Heading2Char">
    <w:name w:val="Heading 2 Char"/>
    <w:basedOn w:val="DefaultParagraphFont"/>
    <w:link w:val="Heading2"/>
    <w:uiPriority w:val="9"/>
    <w:semiHidden/>
    <w:rsid w:val="008D4D04"/>
    <w:rPr>
      <w:rFonts w:asciiTheme="majorHAnsi" w:eastAsiaTheme="majorEastAsia" w:hAnsiTheme="majorHAnsi" w:cstheme="majorBidi"/>
      <w:color w:val="2E74B5" w:themeColor="accent1" w:themeShade="BF"/>
      <w:sz w:val="26"/>
      <w:szCs w:val="26"/>
      <w:lang w:val="en-GB"/>
    </w:rPr>
  </w:style>
  <w:style w:type="paragraph" w:styleId="ListParagraph">
    <w:name w:val="List Paragraph"/>
    <w:basedOn w:val="Normal"/>
    <w:uiPriority w:val="34"/>
    <w:qFormat/>
    <w:rsid w:val="00852E50"/>
    <w:pPr>
      <w:ind w:left="720"/>
      <w:contextualSpacing/>
    </w:pPr>
  </w:style>
  <w:style w:type="character" w:styleId="CommentReference">
    <w:name w:val="annotation reference"/>
    <w:basedOn w:val="DefaultParagraphFont"/>
    <w:uiPriority w:val="99"/>
    <w:semiHidden/>
    <w:unhideWhenUsed/>
    <w:rsid w:val="0065324C"/>
    <w:rPr>
      <w:sz w:val="16"/>
      <w:szCs w:val="16"/>
    </w:rPr>
  </w:style>
  <w:style w:type="paragraph" w:styleId="CommentText">
    <w:name w:val="annotation text"/>
    <w:basedOn w:val="Normal"/>
    <w:link w:val="CommentTextChar"/>
    <w:uiPriority w:val="99"/>
    <w:semiHidden/>
    <w:unhideWhenUsed/>
    <w:rsid w:val="0065324C"/>
    <w:pPr>
      <w:spacing w:line="240" w:lineRule="auto"/>
    </w:pPr>
    <w:rPr>
      <w:sz w:val="20"/>
      <w:szCs w:val="20"/>
    </w:rPr>
  </w:style>
  <w:style w:type="character" w:customStyle="1" w:styleId="CommentTextChar">
    <w:name w:val="Comment Text Char"/>
    <w:basedOn w:val="DefaultParagraphFont"/>
    <w:link w:val="CommentText"/>
    <w:uiPriority w:val="99"/>
    <w:semiHidden/>
    <w:rsid w:val="0065324C"/>
    <w:rPr>
      <w:color w:val="44546A" w:themeColor="text2"/>
      <w:sz w:val="20"/>
      <w:szCs w:val="20"/>
      <w:lang w:val="en-GB"/>
    </w:rPr>
  </w:style>
  <w:style w:type="paragraph" w:styleId="CommentSubject">
    <w:name w:val="annotation subject"/>
    <w:basedOn w:val="CommentText"/>
    <w:next w:val="CommentText"/>
    <w:link w:val="CommentSubjectChar"/>
    <w:uiPriority w:val="99"/>
    <w:semiHidden/>
    <w:unhideWhenUsed/>
    <w:rsid w:val="0065324C"/>
    <w:rPr>
      <w:b/>
      <w:bCs/>
    </w:rPr>
  </w:style>
  <w:style w:type="character" w:customStyle="1" w:styleId="CommentSubjectChar">
    <w:name w:val="Comment Subject Char"/>
    <w:basedOn w:val="CommentTextChar"/>
    <w:link w:val="CommentSubject"/>
    <w:uiPriority w:val="99"/>
    <w:semiHidden/>
    <w:rsid w:val="0065324C"/>
    <w:rPr>
      <w:b/>
      <w:bCs/>
      <w:color w:val="44546A" w:themeColor="text2"/>
      <w:sz w:val="20"/>
      <w:szCs w:val="20"/>
      <w:lang w:val="en-GB"/>
    </w:rPr>
  </w:style>
  <w:style w:type="paragraph" w:styleId="Revision">
    <w:name w:val="Revision"/>
    <w:hidden/>
    <w:uiPriority w:val="99"/>
    <w:semiHidden/>
    <w:rsid w:val="0065324C"/>
    <w:pPr>
      <w:spacing w:after="0" w:line="240" w:lineRule="auto"/>
    </w:pPr>
    <w:rPr>
      <w:color w:val="44546A" w:themeColor="text2"/>
      <w:lang w:val="en-GB"/>
    </w:rPr>
  </w:style>
  <w:style w:type="paragraph" w:styleId="BalloonText">
    <w:name w:val="Balloon Text"/>
    <w:basedOn w:val="Normal"/>
    <w:link w:val="BalloonTextChar"/>
    <w:uiPriority w:val="99"/>
    <w:semiHidden/>
    <w:unhideWhenUsed/>
    <w:rsid w:val="0065324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24C"/>
    <w:rPr>
      <w:rFonts w:ascii="Segoe UI" w:hAnsi="Segoe UI" w:cs="Segoe UI"/>
      <w:color w:val="44546A" w:themeColor="text2"/>
      <w:sz w:val="18"/>
      <w:szCs w:val="18"/>
      <w:lang w:val="en-GB"/>
    </w:rPr>
  </w:style>
  <w:style w:type="paragraph" w:styleId="Header">
    <w:name w:val="header"/>
    <w:basedOn w:val="Normal"/>
    <w:link w:val="HeaderChar"/>
    <w:uiPriority w:val="99"/>
    <w:unhideWhenUsed/>
    <w:rsid w:val="00CE4F59"/>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E4F59"/>
    <w:rPr>
      <w:color w:val="44546A" w:themeColor="text2"/>
      <w:lang w:val="en-GB"/>
    </w:rPr>
  </w:style>
  <w:style w:type="paragraph" w:styleId="Footer">
    <w:name w:val="footer"/>
    <w:basedOn w:val="Normal"/>
    <w:link w:val="FooterChar"/>
    <w:uiPriority w:val="99"/>
    <w:unhideWhenUsed/>
    <w:rsid w:val="00CE4F59"/>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E4F59"/>
    <w:rPr>
      <w:color w:val="44546A" w:themeColor="text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591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0DEAD-600A-44F8-AA34-1CD0C919D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1762</Words>
  <Characters>10644</Characters>
  <Application>Microsoft Office Word</Application>
  <DocSecurity>0</DocSecurity>
  <Lines>394</Lines>
  <Paragraphs>94</Paragraphs>
  <ScaleCrop>false</ScaleCrop>
  <Company/>
  <LinksUpToDate>false</LinksUpToDate>
  <CharactersWithSpaces>12312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2022-08-19T02:08:00Z</dcterms:created>
  <dcterms:modified xsi:type="dcterms:W3CDTF">2022-08-19T02:08:00Z</dcterms:modified>
  <cp:category/>
</cp:coreProperties>
</file>