
<file path=[Content_Types].xml><?xml version="1.0" encoding="utf-8"?>
<Types xmlns="http://schemas.openxmlformats.org/package/2006/content-types">
  <Default Extension="bin" ContentType="application/vnd.openxmlformats-officedocument.oleObject"/>
  <Default Extension="tmp"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3.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Layout w:type="fixed"/>
        <w:tblLook w:val="0000" w:firstRow="0" w:lastRow="0" w:firstColumn="0" w:lastColumn="0" w:noHBand="0" w:noVBand="0"/>
      </w:tblPr>
      <w:tblGrid>
        <w:gridCol w:w="1951"/>
        <w:gridCol w:w="7088"/>
      </w:tblGrid>
      <w:tr w:rsidR="00664B96" w:rsidRPr="00571F0B" w:rsidTr="00D73430">
        <w:trPr>
          <w:trHeight w:val="1100"/>
        </w:trPr>
        <w:tc>
          <w:tcPr>
            <w:tcW w:w="1951" w:type="dxa"/>
          </w:tcPr>
          <w:p w:rsidR="00664B96" w:rsidRPr="00571F0B" w:rsidRDefault="00664B96">
            <w:pPr>
              <w:pStyle w:val="Header"/>
              <w:rPr>
                <w:lang w:val="en-GB"/>
              </w:rPr>
            </w:pPr>
            <w:bookmarkStart w:id="0" w:name="_GoBack"/>
            <w:bookmarkEnd w:id="0"/>
          </w:p>
        </w:tc>
        <w:tc>
          <w:tcPr>
            <w:tcW w:w="7088" w:type="dxa"/>
          </w:tcPr>
          <w:p w:rsidR="00664B96" w:rsidRPr="00571F0B" w:rsidRDefault="00D3593A">
            <w:pPr>
              <w:pStyle w:val="CoverMasthead"/>
              <w:spacing w:after="200"/>
              <w:rPr>
                <w:lang w:val="en-GB"/>
              </w:rPr>
            </w:pPr>
            <w:r w:rsidRPr="00571F0B">
              <w:rPr>
                <w:lang w:val="en-GB"/>
              </w:rPr>
              <w:fldChar w:fldCharType="begin"/>
            </w:r>
            <w:r w:rsidRPr="00571F0B">
              <w:rPr>
                <w:lang w:val="en-GB"/>
              </w:rPr>
              <w:instrText xml:space="preserve"> TITLE  \* MERGEFORMAT </w:instrText>
            </w:r>
            <w:r w:rsidRPr="00571F0B">
              <w:rPr>
                <w:lang w:val="en-GB"/>
              </w:rPr>
              <w:fldChar w:fldCharType="separate"/>
            </w:r>
            <w:r w:rsidR="00357AF9">
              <w:rPr>
                <w:lang w:val="en-GB"/>
              </w:rPr>
              <w:t>Papua New Guinea Incentive Fund IV</w:t>
            </w:r>
            <w:r w:rsidRPr="00571F0B">
              <w:rPr>
                <w:lang w:val="en-GB"/>
              </w:rPr>
              <w:fldChar w:fldCharType="end"/>
            </w:r>
          </w:p>
        </w:tc>
      </w:tr>
      <w:tr w:rsidR="00941395" w:rsidRPr="00571F0B" w:rsidTr="00D73430">
        <w:trPr>
          <w:trHeight w:val="1100"/>
        </w:trPr>
        <w:tc>
          <w:tcPr>
            <w:tcW w:w="1951" w:type="dxa"/>
          </w:tcPr>
          <w:p w:rsidR="00941395" w:rsidRPr="00571F0B" w:rsidRDefault="00941395">
            <w:pPr>
              <w:pStyle w:val="Header"/>
              <w:rPr>
                <w:lang w:val="en-GB"/>
              </w:rPr>
            </w:pPr>
          </w:p>
        </w:tc>
        <w:tc>
          <w:tcPr>
            <w:tcW w:w="7088" w:type="dxa"/>
          </w:tcPr>
          <w:p w:rsidR="00941395" w:rsidRPr="00571F0B" w:rsidRDefault="00941395">
            <w:pPr>
              <w:pStyle w:val="CoverMasthead"/>
              <w:spacing w:after="200"/>
              <w:rPr>
                <w:lang w:val="en-GB"/>
              </w:rPr>
            </w:pPr>
          </w:p>
        </w:tc>
      </w:tr>
      <w:tr w:rsidR="00664B96" w:rsidRPr="00571F0B" w:rsidTr="00D73430">
        <w:trPr>
          <w:trHeight w:val="5800"/>
        </w:trPr>
        <w:tc>
          <w:tcPr>
            <w:tcW w:w="1951" w:type="dxa"/>
          </w:tcPr>
          <w:p w:rsidR="00664B96" w:rsidRPr="00571F0B" w:rsidRDefault="00664B96">
            <w:pPr>
              <w:rPr>
                <w:lang w:val="en-GB"/>
              </w:rPr>
            </w:pPr>
          </w:p>
        </w:tc>
        <w:tc>
          <w:tcPr>
            <w:tcW w:w="7088" w:type="dxa"/>
          </w:tcPr>
          <w:p w:rsidR="00593D1B" w:rsidRPr="00571F0B" w:rsidRDefault="008F7CE3" w:rsidP="006147C4">
            <w:pPr>
              <w:pStyle w:val="CoverTitle"/>
              <w:spacing w:before="200"/>
              <w:rPr>
                <w:lang w:val="en-GB"/>
              </w:rPr>
            </w:pPr>
            <w:r>
              <w:rPr>
                <w:lang w:val="en-GB"/>
              </w:rPr>
              <w:t xml:space="preserve">Investment Design Document </w:t>
            </w:r>
          </w:p>
        </w:tc>
      </w:tr>
      <w:tr w:rsidR="00664B96" w:rsidRPr="00571F0B" w:rsidTr="00593D1B">
        <w:trPr>
          <w:trHeight w:val="2002"/>
        </w:trPr>
        <w:tc>
          <w:tcPr>
            <w:tcW w:w="1951" w:type="dxa"/>
          </w:tcPr>
          <w:p w:rsidR="00664B96" w:rsidRPr="00571F0B" w:rsidRDefault="00664B96">
            <w:pPr>
              <w:rPr>
                <w:lang w:val="en-GB"/>
              </w:rPr>
            </w:pPr>
          </w:p>
        </w:tc>
        <w:tc>
          <w:tcPr>
            <w:tcW w:w="7088" w:type="dxa"/>
          </w:tcPr>
          <w:p w:rsidR="00664B96" w:rsidRPr="00571F0B" w:rsidRDefault="00664B96">
            <w:pPr>
              <w:pStyle w:val="BodyText"/>
              <w:spacing w:before="100" w:after="0"/>
              <w:rPr>
                <w:i/>
                <w:lang w:val="en-GB"/>
              </w:rPr>
            </w:pPr>
            <w:r w:rsidRPr="00571F0B">
              <w:rPr>
                <w:i/>
                <w:lang w:val="en-GB"/>
              </w:rPr>
              <w:t>Prepared for</w:t>
            </w:r>
          </w:p>
          <w:p w:rsidR="00460633" w:rsidRPr="00460633" w:rsidRDefault="00460633" w:rsidP="00460633">
            <w:pPr>
              <w:pStyle w:val="CoverCompany"/>
              <w:rPr>
                <w:lang w:val="en-GB"/>
              </w:rPr>
            </w:pPr>
            <w:r w:rsidRPr="00460633">
              <w:rPr>
                <w:lang w:val="en-GB"/>
              </w:rPr>
              <w:t>Australian High Commission Port Moresby</w:t>
            </w:r>
          </w:p>
          <w:p w:rsidR="0017265E" w:rsidRPr="00571F0B" w:rsidRDefault="0017265E" w:rsidP="0017265E">
            <w:pPr>
              <w:autoSpaceDE w:val="0"/>
              <w:autoSpaceDN w:val="0"/>
              <w:adjustRightInd w:val="0"/>
              <w:spacing w:before="0" w:after="0"/>
              <w:jc w:val="left"/>
              <w:rPr>
                <w:rFonts w:ascii="Arial" w:hAnsi="Arial" w:cs="Arial"/>
                <w:sz w:val="20"/>
                <w:lang w:val="en-GB" w:eastAsia="en-GB"/>
              </w:rPr>
            </w:pPr>
            <w:r w:rsidRPr="00571F0B">
              <w:rPr>
                <w:rFonts w:ascii="Arial" w:hAnsi="Arial" w:cs="Arial"/>
                <w:sz w:val="20"/>
                <w:lang w:val="en-GB" w:eastAsia="en-GB"/>
              </w:rPr>
              <w:t>Department of Foreign Affairs and Trade</w:t>
            </w:r>
          </w:p>
          <w:p w:rsidR="00403953" w:rsidRPr="00571F0B" w:rsidRDefault="00403953" w:rsidP="00403953">
            <w:pPr>
              <w:autoSpaceDE w:val="0"/>
              <w:autoSpaceDN w:val="0"/>
              <w:adjustRightInd w:val="0"/>
              <w:spacing w:before="0" w:after="0"/>
              <w:jc w:val="left"/>
              <w:rPr>
                <w:rFonts w:ascii="Arial" w:hAnsi="Arial" w:cs="Arial"/>
                <w:sz w:val="20"/>
                <w:lang w:val="en-GB" w:eastAsia="en-GB"/>
              </w:rPr>
            </w:pPr>
            <w:r w:rsidRPr="00571F0B">
              <w:rPr>
                <w:rFonts w:ascii="Arial" w:hAnsi="Arial" w:cs="Arial"/>
                <w:sz w:val="20"/>
                <w:lang w:val="en-GB" w:eastAsia="en-GB"/>
              </w:rPr>
              <w:t>Australian High Commission</w:t>
            </w:r>
          </w:p>
          <w:p w:rsidR="00403953" w:rsidRPr="00571F0B" w:rsidRDefault="00403953" w:rsidP="00403953">
            <w:pPr>
              <w:autoSpaceDE w:val="0"/>
              <w:autoSpaceDN w:val="0"/>
              <w:adjustRightInd w:val="0"/>
              <w:spacing w:before="0" w:after="0"/>
              <w:jc w:val="left"/>
              <w:rPr>
                <w:rFonts w:ascii="Arial" w:hAnsi="Arial" w:cs="Arial"/>
                <w:sz w:val="20"/>
                <w:lang w:val="en-GB" w:eastAsia="en-GB"/>
              </w:rPr>
            </w:pPr>
            <w:r w:rsidRPr="00571F0B">
              <w:rPr>
                <w:rFonts w:ascii="Arial" w:hAnsi="Arial" w:cs="Arial"/>
                <w:sz w:val="20"/>
                <w:lang w:val="en-GB" w:eastAsia="en-GB"/>
              </w:rPr>
              <w:t>Waigani, NCD</w:t>
            </w:r>
          </w:p>
          <w:p w:rsidR="00403953" w:rsidRPr="00571F0B" w:rsidRDefault="00403953" w:rsidP="00403953">
            <w:pPr>
              <w:autoSpaceDE w:val="0"/>
              <w:autoSpaceDN w:val="0"/>
              <w:adjustRightInd w:val="0"/>
              <w:spacing w:before="0" w:after="0"/>
              <w:jc w:val="left"/>
              <w:rPr>
                <w:rFonts w:ascii="Arial" w:hAnsi="Arial" w:cs="Arial"/>
                <w:sz w:val="20"/>
                <w:lang w:val="en-GB" w:eastAsia="en-GB"/>
              </w:rPr>
            </w:pPr>
            <w:r w:rsidRPr="00571F0B">
              <w:rPr>
                <w:rFonts w:ascii="Arial" w:hAnsi="Arial" w:cs="Arial"/>
                <w:sz w:val="20"/>
                <w:lang w:val="en-GB" w:eastAsia="en-GB"/>
              </w:rPr>
              <w:t>Papua New Guinea</w:t>
            </w:r>
          </w:p>
          <w:p w:rsidR="00664B96" w:rsidRPr="00571F0B" w:rsidRDefault="00664B96" w:rsidP="009260EF">
            <w:pPr>
              <w:pStyle w:val="CoverAddress"/>
              <w:rPr>
                <w:lang w:val="en-GB"/>
              </w:rPr>
            </w:pPr>
          </w:p>
        </w:tc>
      </w:tr>
      <w:tr w:rsidR="00664B96" w:rsidRPr="00571F0B" w:rsidTr="00D73430">
        <w:trPr>
          <w:trHeight w:val="1164"/>
        </w:trPr>
        <w:tc>
          <w:tcPr>
            <w:tcW w:w="1951" w:type="dxa"/>
          </w:tcPr>
          <w:p w:rsidR="00664B96" w:rsidRPr="00571F0B" w:rsidRDefault="00664B96">
            <w:pPr>
              <w:rPr>
                <w:lang w:val="en-GB"/>
              </w:rPr>
            </w:pPr>
          </w:p>
        </w:tc>
        <w:tc>
          <w:tcPr>
            <w:tcW w:w="7088" w:type="dxa"/>
          </w:tcPr>
          <w:p w:rsidR="00664B96" w:rsidRPr="00571F0B" w:rsidRDefault="00A1654C">
            <w:pPr>
              <w:pStyle w:val="BodyText"/>
              <w:spacing w:before="100" w:after="100"/>
              <w:rPr>
                <w:rFonts w:ascii="Arial" w:hAnsi="Arial"/>
                <w:sz w:val="20"/>
                <w:lang w:val="en-GB"/>
              </w:rPr>
            </w:pPr>
            <w:r>
              <w:rPr>
                <w:rFonts w:ascii="Arial" w:hAnsi="Arial"/>
                <w:sz w:val="20"/>
                <w:lang w:val="en-GB"/>
              </w:rPr>
              <w:t>6 November 201</w:t>
            </w:r>
            <w:r w:rsidR="00F81FD6">
              <w:rPr>
                <w:rFonts w:ascii="Arial" w:hAnsi="Arial"/>
                <w:sz w:val="20"/>
                <w:lang w:val="en-GB"/>
              </w:rPr>
              <w:t>4</w:t>
            </w:r>
          </w:p>
          <w:p w:rsidR="00664B96" w:rsidRPr="00571F0B" w:rsidRDefault="00664B96" w:rsidP="009260EF">
            <w:pPr>
              <w:pStyle w:val="CoverDoc"/>
              <w:rPr>
                <w:caps w:val="0"/>
                <w:lang w:val="en-GB"/>
              </w:rPr>
            </w:pPr>
          </w:p>
        </w:tc>
      </w:tr>
    </w:tbl>
    <w:p w:rsidR="00664B96" w:rsidRPr="00571F0B" w:rsidRDefault="00664B96">
      <w:pPr>
        <w:jc w:val="center"/>
        <w:rPr>
          <w:b/>
          <w:i/>
          <w:color w:val="FF0000"/>
          <w:sz w:val="28"/>
          <w:lang w:val="en-GB"/>
        </w:rPr>
      </w:pPr>
    </w:p>
    <w:p w:rsidR="00825C34" w:rsidRPr="00571F0B" w:rsidRDefault="00825C34" w:rsidP="00403953">
      <w:pPr>
        <w:rPr>
          <w:rFonts w:ascii="Arial" w:hAnsi="Arial" w:cs="Arial"/>
          <w:b/>
          <w:lang w:val="en-GB"/>
        </w:rPr>
      </w:pPr>
      <w:r w:rsidRPr="00571F0B">
        <w:rPr>
          <w:b/>
          <w:i/>
          <w:color w:val="FF0000"/>
          <w:sz w:val="28"/>
          <w:lang w:val="en-GB"/>
        </w:rPr>
        <w:br w:type="page"/>
      </w:r>
      <w:r w:rsidRPr="00571F0B">
        <w:rPr>
          <w:rFonts w:ascii="Arial" w:hAnsi="Arial" w:cs="Arial"/>
          <w:b/>
          <w:lang w:val="en-GB"/>
        </w:rPr>
        <w:lastRenderedPageBreak/>
        <w:t>Acknowledgments</w:t>
      </w:r>
    </w:p>
    <w:p w:rsidR="00825C34" w:rsidRPr="00571F0B" w:rsidRDefault="00825C34" w:rsidP="00FD023D">
      <w:pPr>
        <w:spacing w:before="0" w:after="0"/>
        <w:rPr>
          <w:lang w:val="en-GB"/>
        </w:rPr>
      </w:pPr>
      <w:r w:rsidRPr="00571F0B">
        <w:rPr>
          <w:lang w:val="en-GB"/>
        </w:rPr>
        <w:t xml:space="preserve">The </w:t>
      </w:r>
      <w:r w:rsidR="000471AF">
        <w:rPr>
          <w:lang w:val="en-GB"/>
        </w:rPr>
        <w:t xml:space="preserve">design </w:t>
      </w:r>
      <w:r w:rsidRPr="00571F0B">
        <w:rPr>
          <w:lang w:val="en-GB"/>
        </w:rPr>
        <w:t>team thanks all stakeholders from Government of P</w:t>
      </w:r>
      <w:r w:rsidR="000471AF">
        <w:rPr>
          <w:lang w:val="en-GB"/>
        </w:rPr>
        <w:t xml:space="preserve">apua </w:t>
      </w:r>
      <w:r w:rsidRPr="00571F0B">
        <w:rPr>
          <w:lang w:val="en-GB"/>
        </w:rPr>
        <w:t>N</w:t>
      </w:r>
      <w:r w:rsidR="000471AF">
        <w:rPr>
          <w:lang w:val="en-GB"/>
        </w:rPr>
        <w:t xml:space="preserve">ew </w:t>
      </w:r>
      <w:r w:rsidRPr="00571F0B">
        <w:rPr>
          <w:lang w:val="en-GB"/>
        </w:rPr>
        <w:t>G</w:t>
      </w:r>
      <w:r w:rsidR="000471AF">
        <w:rPr>
          <w:lang w:val="en-GB"/>
        </w:rPr>
        <w:t>uinea</w:t>
      </w:r>
      <w:r w:rsidRPr="00571F0B">
        <w:rPr>
          <w:lang w:val="en-GB"/>
        </w:rPr>
        <w:t>, Government of Australia for their time and contribution to th</w:t>
      </w:r>
      <w:r w:rsidR="0029496F" w:rsidRPr="00571F0B">
        <w:rPr>
          <w:lang w:val="en-GB"/>
        </w:rPr>
        <w:t xml:space="preserve">e development of this design. </w:t>
      </w:r>
      <w:r w:rsidR="000471AF">
        <w:rPr>
          <w:lang w:val="en-GB"/>
        </w:rPr>
        <w:t xml:space="preserve"> </w:t>
      </w:r>
      <w:r w:rsidRPr="00571F0B">
        <w:rPr>
          <w:lang w:val="en-GB"/>
        </w:rPr>
        <w:t xml:space="preserve">In particular staff from </w:t>
      </w:r>
      <w:r w:rsidR="0029496F" w:rsidRPr="00571F0B">
        <w:rPr>
          <w:lang w:val="en-GB"/>
        </w:rPr>
        <w:t>DFAT</w:t>
      </w:r>
      <w:r w:rsidRPr="00571F0B">
        <w:rPr>
          <w:lang w:val="en-GB"/>
        </w:rPr>
        <w:t xml:space="preserve"> provided significant</w:t>
      </w:r>
      <w:r w:rsidR="0029496F" w:rsidRPr="00571F0B">
        <w:rPr>
          <w:lang w:val="en-GB"/>
        </w:rPr>
        <w:t xml:space="preserve"> support</w:t>
      </w:r>
      <w:r w:rsidRPr="00571F0B">
        <w:rPr>
          <w:lang w:val="en-GB"/>
        </w:rPr>
        <w:t>.</w:t>
      </w:r>
    </w:p>
    <w:p w:rsidR="00825C34" w:rsidRPr="00571F0B" w:rsidRDefault="00825C34" w:rsidP="00FD023D">
      <w:pPr>
        <w:spacing w:before="0" w:after="0"/>
        <w:rPr>
          <w:lang w:val="en-GB"/>
        </w:rPr>
      </w:pPr>
    </w:p>
    <w:p w:rsidR="00825C34" w:rsidRPr="00571F0B" w:rsidRDefault="00825C34" w:rsidP="00FD023D">
      <w:pPr>
        <w:spacing w:before="0" w:after="0"/>
        <w:rPr>
          <w:szCs w:val="24"/>
          <w:lang w:val="en-GB"/>
        </w:rPr>
      </w:pPr>
    </w:p>
    <w:p w:rsidR="00053743" w:rsidRPr="00571F0B" w:rsidRDefault="00053743" w:rsidP="00053743">
      <w:pPr>
        <w:spacing w:before="0" w:after="0"/>
        <w:rPr>
          <w:rFonts w:ascii="Arial" w:hAnsi="Arial" w:cs="Arial"/>
          <w:b/>
          <w:lang w:val="en-GB"/>
        </w:rPr>
      </w:pPr>
      <w:r w:rsidRPr="00571F0B">
        <w:rPr>
          <w:rFonts w:ascii="Arial" w:hAnsi="Arial" w:cs="Arial"/>
          <w:b/>
          <w:lang w:val="en-GB"/>
        </w:rPr>
        <w:t>Disclaimer</w:t>
      </w:r>
    </w:p>
    <w:p w:rsidR="00053743" w:rsidRPr="00571F0B" w:rsidRDefault="00053743" w:rsidP="00053743">
      <w:pPr>
        <w:spacing w:before="0" w:after="0"/>
        <w:rPr>
          <w:szCs w:val="24"/>
          <w:lang w:val="en-GB"/>
        </w:rPr>
      </w:pPr>
      <w:r w:rsidRPr="00571F0B">
        <w:rPr>
          <w:szCs w:val="24"/>
          <w:lang w:val="en-GB"/>
        </w:rPr>
        <w:t>The views expressed in th</w:t>
      </w:r>
      <w:r w:rsidR="00403953" w:rsidRPr="00571F0B">
        <w:rPr>
          <w:szCs w:val="24"/>
          <w:lang w:val="en-GB"/>
        </w:rPr>
        <w:t xml:space="preserve">is </w:t>
      </w:r>
      <w:r w:rsidR="009A66E9">
        <w:rPr>
          <w:szCs w:val="24"/>
          <w:lang w:val="en-GB"/>
        </w:rPr>
        <w:t>investment</w:t>
      </w:r>
      <w:r w:rsidR="00403953" w:rsidRPr="00571F0B">
        <w:rPr>
          <w:szCs w:val="24"/>
          <w:lang w:val="en-GB"/>
        </w:rPr>
        <w:t xml:space="preserve"> design document</w:t>
      </w:r>
      <w:r w:rsidRPr="00571F0B">
        <w:rPr>
          <w:szCs w:val="24"/>
          <w:lang w:val="en-GB"/>
        </w:rPr>
        <w:t xml:space="preserve"> are those of the </w:t>
      </w:r>
      <w:r w:rsidR="00E633B2">
        <w:rPr>
          <w:szCs w:val="24"/>
          <w:lang w:val="en-GB"/>
        </w:rPr>
        <w:t>design team</w:t>
      </w:r>
      <w:r w:rsidRPr="00571F0B">
        <w:rPr>
          <w:szCs w:val="24"/>
          <w:lang w:val="en-GB"/>
        </w:rPr>
        <w:t xml:space="preserve"> and do not represent the views of the Government of </w:t>
      </w:r>
      <w:r w:rsidR="00403953" w:rsidRPr="00571F0B">
        <w:rPr>
          <w:szCs w:val="24"/>
          <w:lang w:val="en-GB"/>
        </w:rPr>
        <w:t>PNG</w:t>
      </w:r>
      <w:r w:rsidRPr="00571F0B">
        <w:rPr>
          <w:szCs w:val="24"/>
          <w:lang w:val="en-GB"/>
        </w:rPr>
        <w:t xml:space="preserve"> or the Government of Australia.</w:t>
      </w:r>
    </w:p>
    <w:p w:rsidR="00664B96" w:rsidRDefault="00664B96" w:rsidP="00FD023D">
      <w:pPr>
        <w:spacing w:before="0" w:after="0"/>
        <w:jc w:val="left"/>
        <w:rPr>
          <w:szCs w:val="24"/>
          <w:lang w:val="en-GB"/>
        </w:rPr>
      </w:pPr>
    </w:p>
    <w:p w:rsidR="000471AF" w:rsidRPr="00571F0B" w:rsidRDefault="000471AF" w:rsidP="00FD023D">
      <w:pPr>
        <w:spacing w:before="0" w:after="0"/>
        <w:jc w:val="left"/>
        <w:rPr>
          <w:szCs w:val="24"/>
          <w:lang w:val="en-GB"/>
        </w:rPr>
      </w:pPr>
    </w:p>
    <w:p w:rsidR="00582A5C" w:rsidRPr="00571F0B" w:rsidRDefault="00582A5C" w:rsidP="00FD023D">
      <w:pPr>
        <w:spacing w:before="0" w:after="0"/>
        <w:rPr>
          <w:szCs w:val="24"/>
          <w:lang w:val="en-GB"/>
        </w:rPr>
        <w:sectPr w:rsidR="00582A5C" w:rsidRPr="00571F0B" w:rsidSect="00902169">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851" w:right="1418" w:bottom="851" w:left="1418" w:header="578" w:footer="578" w:gutter="0"/>
          <w:pgNumType w:fmt="lowerRoman" w:start="1"/>
          <w:cols w:space="720"/>
          <w:vAlign w:val="center"/>
        </w:sectPr>
      </w:pPr>
    </w:p>
    <w:p w:rsidR="00664B96" w:rsidRPr="00571F0B" w:rsidRDefault="00664B96">
      <w:pPr>
        <w:spacing w:before="240"/>
        <w:jc w:val="center"/>
        <w:rPr>
          <w:rFonts w:ascii="Arial" w:hAnsi="Arial"/>
          <w:b/>
          <w:sz w:val="28"/>
          <w:lang w:val="en-GB"/>
        </w:rPr>
      </w:pPr>
      <w:r w:rsidRPr="00571F0B">
        <w:rPr>
          <w:rFonts w:ascii="Arial" w:hAnsi="Arial"/>
          <w:b/>
          <w:smallCaps/>
          <w:sz w:val="36"/>
          <w:lang w:val="en-GB"/>
        </w:rPr>
        <w:lastRenderedPageBreak/>
        <w:t>Contents</w:t>
      </w:r>
      <w:r w:rsidRPr="00571F0B">
        <w:rPr>
          <w:rFonts w:ascii="Arial" w:hAnsi="Arial"/>
          <w:b/>
          <w:i/>
          <w:vanish/>
          <w:color w:val="FF0000"/>
          <w:sz w:val="28"/>
          <w:lang w:val="en-GB"/>
        </w:rPr>
        <w:t xml:space="preserve"> (Press F9 to update TOC automatically)</w:t>
      </w:r>
    </w:p>
    <w:p w:rsidR="001542F6" w:rsidRDefault="00664B96">
      <w:pPr>
        <w:pStyle w:val="TOC1"/>
        <w:rPr>
          <w:rFonts w:asciiTheme="minorHAnsi" w:eastAsiaTheme="minorEastAsia" w:hAnsiTheme="minorHAnsi" w:cstheme="minorBidi"/>
          <w:b w:val="0"/>
          <w:sz w:val="22"/>
          <w:szCs w:val="22"/>
          <w:lang w:eastAsia="en-AU"/>
        </w:rPr>
      </w:pPr>
      <w:r w:rsidRPr="00571F0B">
        <w:rPr>
          <w:caps/>
          <w:noProof w:val="0"/>
          <w:color w:val="0000FF"/>
          <w:lang w:val="en-GB"/>
        </w:rPr>
        <w:fldChar w:fldCharType="begin"/>
      </w:r>
      <w:r w:rsidRPr="00571F0B">
        <w:rPr>
          <w:caps/>
          <w:noProof w:val="0"/>
          <w:color w:val="0000FF"/>
          <w:lang w:val="en-GB"/>
        </w:rPr>
        <w:instrText xml:space="preserve"> TOC \o "1-2" </w:instrText>
      </w:r>
      <w:r w:rsidRPr="00571F0B">
        <w:rPr>
          <w:caps/>
          <w:noProof w:val="0"/>
          <w:color w:val="0000FF"/>
          <w:lang w:val="en-GB"/>
        </w:rPr>
        <w:fldChar w:fldCharType="separate"/>
      </w:r>
      <w:r w:rsidR="001542F6" w:rsidRPr="00CA7239">
        <w:rPr>
          <w:lang w:val="en-GB"/>
        </w:rPr>
        <w:t>Executive summary</w:t>
      </w:r>
      <w:r w:rsidR="001542F6">
        <w:tab/>
      </w:r>
      <w:r w:rsidR="001542F6">
        <w:fldChar w:fldCharType="begin"/>
      </w:r>
      <w:r w:rsidR="001542F6">
        <w:instrText xml:space="preserve"> PAGEREF _Toc403037554 \h </w:instrText>
      </w:r>
      <w:r w:rsidR="001542F6">
        <w:fldChar w:fldCharType="separate"/>
      </w:r>
      <w:r w:rsidR="006C1E87">
        <w:t>iv</w:t>
      </w:r>
      <w:r w:rsidR="001542F6">
        <w:fldChar w:fldCharType="end"/>
      </w:r>
    </w:p>
    <w:p w:rsidR="001542F6" w:rsidRDefault="001542F6">
      <w:pPr>
        <w:pStyle w:val="TOC1"/>
        <w:rPr>
          <w:rFonts w:asciiTheme="minorHAnsi" w:eastAsiaTheme="minorEastAsia" w:hAnsiTheme="minorHAnsi" w:cstheme="minorBidi"/>
          <w:b w:val="0"/>
          <w:sz w:val="22"/>
          <w:szCs w:val="22"/>
          <w:lang w:eastAsia="en-AU"/>
        </w:rPr>
      </w:pPr>
      <w:r w:rsidRPr="00CA7239">
        <w:rPr>
          <w:lang w:val="en-GB"/>
        </w:rPr>
        <w:t>Acronyms</w:t>
      </w:r>
      <w:r>
        <w:tab/>
      </w:r>
      <w:r>
        <w:fldChar w:fldCharType="begin"/>
      </w:r>
      <w:r>
        <w:instrText xml:space="preserve"> PAGEREF _Toc403037555 \h </w:instrText>
      </w:r>
      <w:r>
        <w:fldChar w:fldCharType="separate"/>
      </w:r>
      <w:r w:rsidR="006C1E87">
        <w:t>xi</w:t>
      </w:r>
      <w:r>
        <w:fldChar w:fldCharType="end"/>
      </w:r>
    </w:p>
    <w:p w:rsidR="001542F6" w:rsidRDefault="001542F6">
      <w:pPr>
        <w:pStyle w:val="TOC1"/>
        <w:rPr>
          <w:rFonts w:asciiTheme="minorHAnsi" w:eastAsiaTheme="minorEastAsia" w:hAnsiTheme="minorHAnsi" w:cstheme="minorBidi"/>
          <w:b w:val="0"/>
          <w:sz w:val="22"/>
          <w:szCs w:val="22"/>
          <w:lang w:eastAsia="en-AU"/>
        </w:rPr>
      </w:pPr>
      <w:r w:rsidRPr="00CA7239">
        <w:rPr>
          <w:lang w:val="en-GB"/>
        </w:rPr>
        <w:t>1</w:t>
      </w:r>
      <w:r>
        <w:rPr>
          <w:rFonts w:asciiTheme="minorHAnsi" w:eastAsiaTheme="minorEastAsia" w:hAnsiTheme="minorHAnsi" w:cstheme="minorBidi"/>
          <w:b w:val="0"/>
          <w:sz w:val="22"/>
          <w:szCs w:val="22"/>
          <w:lang w:eastAsia="en-AU"/>
        </w:rPr>
        <w:tab/>
      </w:r>
      <w:r w:rsidRPr="00CA7239">
        <w:rPr>
          <w:lang w:val="en-GB"/>
        </w:rPr>
        <w:t>Context</w:t>
      </w:r>
      <w:r>
        <w:tab/>
      </w:r>
      <w:r>
        <w:fldChar w:fldCharType="begin"/>
      </w:r>
      <w:r>
        <w:instrText xml:space="preserve"> PAGEREF _Toc403037556 \h </w:instrText>
      </w:r>
      <w:r>
        <w:fldChar w:fldCharType="separate"/>
      </w:r>
      <w:r w:rsidR="006C1E87">
        <w:t>1</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1.1</w:t>
      </w:r>
      <w:r>
        <w:rPr>
          <w:rFonts w:asciiTheme="minorHAnsi" w:eastAsiaTheme="minorEastAsia" w:hAnsiTheme="minorHAnsi" w:cstheme="minorBidi"/>
          <w:sz w:val="22"/>
          <w:szCs w:val="22"/>
          <w:lang w:eastAsia="en-AU"/>
        </w:rPr>
        <w:tab/>
      </w:r>
      <w:r w:rsidRPr="00CA7239">
        <w:rPr>
          <w:lang w:val="en-GB"/>
        </w:rPr>
        <w:t>Current development situation in PNG</w:t>
      </w:r>
      <w:r>
        <w:tab/>
      </w:r>
      <w:r>
        <w:fldChar w:fldCharType="begin"/>
      </w:r>
      <w:r>
        <w:instrText xml:space="preserve"> PAGEREF _Toc403037557 \h </w:instrText>
      </w:r>
      <w:r>
        <w:fldChar w:fldCharType="separate"/>
      </w:r>
      <w:r w:rsidR="006C1E87">
        <w:t>1</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1.2</w:t>
      </w:r>
      <w:r>
        <w:rPr>
          <w:rFonts w:asciiTheme="minorHAnsi" w:eastAsiaTheme="minorEastAsia" w:hAnsiTheme="minorHAnsi" w:cstheme="minorBidi"/>
          <w:sz w:val="22"/>
          <w:szCs w:val="22"/>
          <w:lang w:eastAsia="en-AU"/>
        </w:rPr>
        <w:tab/>
      </w:r>
      <w:r w:rsidRPr="00CA7239">
        <w:rPr>
          <w:lang w:val="en-GB"/>
        </w:rPr>
        <w:t>Strategic setting and rationale for Australian Aid engagement</w:t>
      </w:r>
      <w:r>
        <w:tab/>
      </w:r>
      <w:r>
        <w:fldChar w:fldCharType="begin"/>
      </w:r>
      <w:r>
        <w:instrText xml:space="preserve"> PAGEREF _Toc403037558 \h </w:instrText>
      </w:r>
      <w:r>
        <w:fldChar w:fldCharType="separate"/>
      </w:r>
      <w:r w:rsidR="006C1E87">
        <w:t>2</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1.3</w:t>
      </w:r>
      <w:r>
        <w:rPr>
          <w:rFonts w:asciiTheme="minorHAnsi" w:eastAsiaTheme="minorEastAsia" w:hAnsiTheme="minorHAnsi" w:cstheme="minorBidi"/>
          <w:sz w:val="22"/>
          <w:szCs w:val="22"/>
          <w:lang w:eastAsia="en-AU"/>
        </w:rPr>
        <w:tab/>
      </w:r>
      <w:r w:rsidRPr="00CA7239">
        <w:rPr>
          <w:lang w:val="en-GB"/>
        </w:rPr>
        <w:t>Relevant DFAT policy and guidelines for implementation</w:t>
      </w:r>
      <w:r>
        <w:tab/>
      </w:r>
      <w:r>
        <w:fldChar w:fldCharType="begin"/>
      </w:r>
      <w:r>
        <w:instrText xml:space="preserve"> PAGEREF _Toc403037559 \h </w:instrText>
      </w:r>
      <w:r>
        <w:fldChar w:fldCharType="separate"/>
      </w:r>
      <w:r w:rsidR="006C1E87">
        <w:t>6</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1.4</w:t>
      </w:r>
      <w:r>
        <w:rPr>
          <w:rFonts w:asciiTheme="minorHAnsi" w:eastAsiaTheme="minorEastAsia" w:hAnsiTheme="minorHAnsi" w:cstheme="minorBidi"/>
          <w:sz w:val="22"/>
          <w:szCs w:val="22"/>
          <w:lang w:eastAsia="en-AU"/>
        </w:rPr>
        <w:tab/>
      </w:r>
      <w:r w:rsidRPr="00CA7239">
        <w:rPr>
          <w:lang w:val="en-GB"/>
        </w:rPr>
        <w:t>Origin of the Incentive Fund concept</w:t>
      </w:r>
      <w:r>
        <w:tab/>
      </w:r>
      <w:r>
        <w:fldChar w:fldCharType="begin"/>
      </w:r>
      <w:r>
        <w:instrText xml:space="preserve"> PAGEREF _Toc403037560 \h </w:instrText>
      </w:r>
      <w:r>
        <w:fldChar w:fldCharType="separate"/>
      </w:r>
      <w:r w:rsidR="006C1E87">
        <w:t>6</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1.5</w:t>
      </w:r>
      <w:r>
        <w:rPr>
          <w:rFonts w:asciiTheme="minorHAnsi" w:eastAsiaTheme="minorEastAsia" w:hAnsiTheme="minorHAnsi" w:cstheme="minorBidi"/>
          <w:sz w:val="22"/>
          <w:szCs w:val="22"/>
          <w:lang w:eastAsia="en-AU"/>
        </w:rPr>
        <w:tab/>
      </w:r>
      <w:r w:rsidRPr="00CA7239">
        <w:rPr>
          <w:lang w:val="en-GB"/>
        </w:rPr>
        <w:t>Overview of Incentive Fund support</w:t>
      </w:r>
      <w:r>
        <w:tab/>
      </w:r>
      <w:r>
        <w:fldChar w:fldCharType="begin"/>
      </w:r>
      <w:r>
        <w:instrText xml:space="preserve"> PAGEREF _Toc403037561 \h </w:instrText>
      </w:r>
      <w:r>
        <w:fldChar w:fldCharType="separate"/>
      </w:r>
      <w:r w:rsidR="006C1E87">
        <w:t>8</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1.6</w:t>
      </w:r>
      <w:r>
        <w:rPr>
          <w:rFonts w:asciiTheme="minorHAnsi" w:eastAsiaTheme="minorEastAsia" w:hAnsiTheme="minorHAnsi" w:cstheme="minorBidi"/>
          <w:sz w:val="22"/>
          <w:szCs w:val="22"/>
          <w:lang w:eastAsia="en-AU"/>
        </w:rPr>
        <w:tab/>
      </w:r>
      <w:r w:rsidRPr="00CA7239">
        <w:rPr>
          <w:lang w:val="en-GB"/>
        </w:rPr>
        <w:t>Conclusions from previous incentive fund support</w:t>
      </w:r>
      <w:r>
        <w:tab/>
      </w:r>
      <w:r>
        <w:fldChar w:fldCharType="begin"/>
      </w:r>
      <w:r>
        <w:instrText xml:space="preserve"> PAGEREF _Toc403037562 \h </w:instrText>
      </w:r>
      <w:r>
        <w:fldChar w:fldCharType="separate"/>
      </w:r>
      <w:r w:rsidR="006C1E87">
        <w:t>12</w:t>
      </w:r>
      <w:r>
        <w:fldChar w:fldCharType="end"/>
      </w:r>
    </w:p>
    <w:p w:rsidR="001542F6" w:rsidRDefault="001542F6">
      <w:pPr>
        <w:pStyle w:val="TOC1"/>
        <w:rPr>
          <w:rFonts w:asciiTheme="minorHAnsi" w:eastAsiaTheme="minorEastAsia" w:hAnsiTheme="minorHAnsi" w:cstheme="minorBidi"/>
          <w:b w:val="0"/>
          <w:sz w:val="22"/>
          <w:szCs w:val="22"/>
          <w:lang w:eastAsia="en-AU"/>
        </w:rPr>
      </w:pPr>
      <w:r w:rsidRPr="00CA7239">
        <w:rPr>
          <w:lang w:val="en-GB"/>
        </w:rPr>
        <w:t>2</w:t>
      </w:r>
      <w:r>
        <w:rPr>
          <w:rFonts w:asciiTheme="minorHAnsi" w:eastAsiaTheme="minorEastAsia" w:hAnsiTheme="minorHAnsi" w:cstheme="minorBidi"/>
          <w:b w:val="0"/>
          <w:sz w:val="22"/>
          <w:szCs w:val="22"/>
          <w:lang w:eastAsia="en-AU"/>
        </w:rPr>
        <w:tab/>
      </w:r>
      <w:r w:rsidRPr="00CA7239">
        <w:rPr>
          <w:lang w:val="en-GB"/>
        </w:rPr>
        <w:t>Incentive Fund Phase IV</w:t>
      </w:r>
      <w:r>
        <w:tab/>
      </w:r>
      <w:r>
        <w:fldChar w:fldCharType="begin"/>
      </w:r>
      <w:r>
        <w:instrText xml:space="preserve"> PAGEREF _Toc403037563 \h </w:instrText>
      </w:r>
      <w:r>
        <w:fldChar w:fldCharType="separate"/>
      </w:r>
      <w:r w:rsidR="006C1E87">
        <w:t>14</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2.1</w:t>
      </w:r>
      <w:r>
        <w:rPr>
          <w:rFonts w:asciiTheme="minorHAnsi" w:eastAsiaTheme="minorEastAsia" w:hAnsiTheme="minorHAnsi" w:cstheme="minorBidi"/>
          <w:sz w:val="22"/>
          <w:szCs w:val="22"/>
          <w:lang w:eastAsia="en-AU"/>
        </w:rPr>
        <w:tab/>
      </w:r>
      <w:r w:rsidRPr="00CA7239">
        <w:rPr>
          <w:lang w:val="en-GB"/>
        </w:rPr>
        <w:t>Philosophy for IF (IV)</w:t>
      </w:r>
      <w:r>
        <w:tab/>
      </w:r>
      <w:r>
        <w:fldChar w:fldCharType="begin"/>
      </w:r>
      <w:r>
        <w:instrText xml:space="preserve"> PAGEREF _Toc403037564 \h </w:instrText>
      </w:r>
      <w:r>
        <w:fldChar w:fldCharType="separate"/>
      </w:r>
      <w:r w:rsidR="006C1E87">
        <w:t>14</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2.2</w:t>
      </w:r>
      <w:r>
        <w:rPr>
          <w:rFonts w:asciiTheme="minorHAnsi" w:eastAsiaTheme="minorEastAsia" w:hAnsiTheme="minorHAnsi" w:cstheme="minorBidi"/>
          <w:sz w:val="22"/>
          <w:szCs w:val="22"/>
          <w:lang w:eastAsia="en-AU"/>
        </w:rPr>
        <w:tab/>
      </w:r>
      <w:r w:rsidRPr="00CA7239">
        <w:rPr>
          <w:lang w:val="en-GB"/>
        </w:rPr>
        <w:t>Definition of the Incentive Fund Principles</w:t>
      </w:r>
      <w:r>
        <w:tab/>
      </w:r>
      <w:r>
        <w:fldChar w:fldCharType="begin"/>
      </w:r>
      <w:r>
        <w:instrText xml:space="preserve"> PAGEREF _Toc403037565 \h </w:instrText>
      </w:r>
      <w:r>
        <w:fldChar w:fldCharType="separate"/>
      </w:r>
      <w:r w:rsidR="006C1E87">
        <w:t>15</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2.3</w:t>
      </w:r>
      <w:r>
        <w:rPr>
          <w:rFonts w:asciiTheme="minorHAnsi" w:eastAsiaTheme="minorEastAsia" w:hAnsiTheme="minorHAnsi" w:cstheme="minorBidi"/>
          <w:sz w:val="22"/>
          <w:szCs w:val="22"/>
          <w:lang w:eastAsia="en-AU"/>
        </w:rPr>
        <w:tab/>
      </w:r>
      <w:r w:rsidRPr="00CA7239">
        <w:rPr>
          <w:lang w:val="en-GB"/>
        </w:rPr>
        <w:t>Incentive Fund Logic and expected outcomes</w:t>
      </w:r>
      <w:r>
        <w:tab/>
      </w:r>
      <w:r>
        <w:fldChar w:fldCharType="begin"/>
      </w:r>
      <w:r>
        <w:instrText xml:space="preserve"> PAGEREF _Toc403037566 \h </w:instrText>
      </w:r>
      <w:r>
        <w:fldChar w:fldCharType="separate"/>
      </w:r>
      <w:r w:rsidR="006C1E87">
        <w:t>16</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2.4</w:t>
      </w:r>
      <w:r>
        <w:rPr>
          <w:rFonts w:asciiTheme="minorHAnsi" w:eastAsiaTheme="minorEastAsia" w:hAnsiTheme="minorHAnsi" w:cstheme="minorBidi"/>
          <w:sz w:val="22"/>
          <w:szCs w:val="22"/>
          <w:lang w:eastAsia="en-AU"/>
        </w:rPr>
        <w:tab/>
      </w:r>
      <w:r w:rsidRPr="00CA7239">
        <w:rPr>
          <w:lang w:val="en-GB"/>
        </w:rPr>
        <w:t>Location, duration and operation</w:t>
      </w:r>
      <w:r>
        <w:tab/>
      </w:r>
      <w:r>
        <w:fldChar w:fldCharType="begin"/>
      </w:r>
      <w:r>
        <w:instrText xml:space="preserve"> PAGEREF _Toc403037567 \h </w:instrText>
      </w:r>
      <w:r>
        <w:fldChar w:fldCharType="separate"/>
      </w:r>
      <w:r w:rsidR="006C1E87">
        <w:t>21</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2.5</w:t>
      </w:r>
      <w:r>
        <w:rPr>
          <w:rFonts w:asciiTheme="minorHAnsi" w:eastAsiaTheme="minorEastAsia" w:hAnsiTheme="minorHAnsi" w:cstheme="minorBidi"/>
          <w:sz w:val="22"/>
          <w:szCs w:val="22"/>
          <w:lang w:eastAsia="en-AU"/>
        </w:rPr>
        <w:tab/>
      </w:r>
      <w:r w:rsidRPr="00CA7239">
        <w:rPr>
          <w:lang w:val="en-GB"/>
        </w:rPr>
        <w:t>Operating the Incentive Funding Mechanism</w:t>
      </w:r>
      <w:r>
        <w:tab/>
      </w:r>
      <w:r>
        <w:fldChar w:fldCharType="begin"/>
      </w:r>
      <w:r>
        <w:instrText xml:space="preserve"> PAGEREF _Toc403037568 \h </w:instrText>
      </w:r>
      <w:r>
        <w:fldChar w:fldCharType="separate"/>
      </w:r>
      <w:r w:rsidR="006C1E87">
        <w:t>22</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2.6</w:t>
      </w:r>
      <w:r>
        <w:rPr>
          <w:rFonts w:asciiTheme="minorHAnsi" w:eastAsiaTheme="minorEastAsia" w:hAnsiTheme="minorHAnsi" w:cstheme="minorBidi"/>
          <w:sz w:val="22"/>
          <w:szCs w:val="22"/>
          <w:lang w:eastAsia="en-AU"/>
        </w:rPr>
        <w:tab/>
      </w:r>
      <w:r w:rsidRPr="00CA7239">
        <w:rPr>
          <w:lang w:val="en-GB"/>
        </w:rPr>
        <w:t>Eligible and Non-eligible organisations</w:t>
      </w:r>
      <w:r>
        <w:tab/>
      </w:r>
      <w:r>
        <w:fldChar w:fldCharType="begin"/>
      </w:r>
      <w:r>
        <w:instrText xml:space="preserve"> PAGEREF _Toc403037569 \h </w:instrText>
      </w:r>
      <w:r>
        <w:fldChar w:fldCharType="separate"/>
      </w:r>
      <w:r w:rsidR="006C1E87">
        <w:t>26</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2.7</w:t>
      </w:r>
      <w:r>
        <w:rPr>
          <w:rFonts w:asciiTheme="minorHAnsi" w:eastAsiaTheme="minorEastAsia" w:hAnsiTheme="minorHAnsi" w:cstheme="minorBidi"/>
          <w:sz w:val="22"/>
          <w:szCs w:val="22"/>
          <w:lang w:eastAsia="en-AU"/>
        </w:rPr>
        <w:tab/>
      </w:r>
      <w:r w:rsidRPr="00CA7239">
        <w:rPr>
          <w:lang w:val="en-GB"/>
        </w:rPr>
        <w:t>Activity implementation</w:t>
      </w:r>
      <w:r>
        <w:tab/>
      </w:r>
      <w:r>
        <w:fldChar w:fldCharType="begin"/>
      </w:r>
      <w:r>
        <w:instrText xml:space="preserve"> PAGEREF _Toc403037570 \h </w:instrText>
      </w:r>
      <w:r>
        <w:fldChar w:fldCharType="separate"/>
      </w:r>
      <w:r w:rsidR="006C1E87">
        <w:t>28</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2.8</w:t>
      </w:r>
      <w:r>
        <w:rPr>
          <w:rFonts w:asciiTheme="minorHAnsi" w:eastAsiaTheme="minorEastAsia" w:hAnsiTheme="minorHAnsi" w:cstheme="minorBidi"/>
          <w:sz w:val="22"/>
          <w:szCs w:val="22"/>
          <w:lang w:eastAsia="en-AU"/>
        </w:rPr>
        <w:tab/>
      </w:r>
      <w:r w:rsidRPr="00CA7239">
        <w:rPr>
          <w:lang w:val="en-GB"/>
        </w:rPr>
        <w:t>Development of the Innovation Fund</w:t>
      </w:r>
      <w:r>
        <w:tab/>
      </w:r>
      <w:r>
        <w:fldChar w:fldCharType="begin"/>
      </w:r>
      <w:r>
        <w:instrText xml:space="preserve"> PAGEREF _Toc403037571 \h </w:instrText>
      </w:r>
      <w:r>
        <w:fldChar w:fldCharType="separate"/>
      </w:r>
      <w:r w:rsidR="006C1E87">
        <w:t>29</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2.9</w:t>
      </w:r>
      <w:r>
        <w:rPr>
          <w:rFonts w:asciiTheme="minorHAnsi" w:eastAsiaTheme="minorEastAsia" w:hAnsiTheme="minorHAnsi" w:cstheme="minorBidi"/>
          <w:sz w:val="22"/>
          <w:szCs w:val="22"/>
          <w:lang w:eastAsia="en-AU"/>
        </w:rPr>
        <w:tab/>
      </w:r>
      <w:r w:rsidRPr="00CA7239">
        <w:rPr>
          <w:lang w:val="en-GB"/>
        </w:rPr>
        <w:t>Communicating the Incentive Fund Phase IV</w:t>
      </w:r>
      <w:r>
        <w:tab/>
      </w:r>
      <w:r>
        <w:fldChar w:fldCharType="begin"/>
      </w:r>
      <w:r>
        <w:instrText xml:space="preserve"> PAGEREF _Toc403037572 \h </w:instrText>
      </w:r>
      <w:r>
        <w:fldChar w:fldCharType="separate"/>
      </w:r>
      <w:r w:rsidR="006C1E87">
        <w:t>29</w:t>
      </w:r>
      <w:r>
        <w:fldChar w:fldCharType="end"/>
      </w:r>
    </w:p>
    <w:p w:rsidR="001542F6" w:rsidRDefault="001542F6">
      <w:pPr>
        <w:pStyle w:val="TOC1"/>
        <w:rPr>
          <w:rFonts w:asciiTheme="minorHAnsi" w:eastAsiaTheme="minorEastAsia" w:hAnsiTheme="minorHAnsi" w:cstheme="minorBidi"/>
          <w:b w:val="0"/>
          <w:sz w:val="22"/>
          <w:szCs w:val="22"/>
          <w:lang w:eastAsia="en-AU"/>
        </w:rPr>
      </w:pPr>
      <w:r w:rsidRPr="00CA7239">
        <w:rPr>
          <w:lang w:val="en-GB"/>
        </w:rPr>
        <w:t>3</w:t>
      </w:r>
      <w:r>
        <w:rPr>
          <w:rFonts w:asciiTheme="minorHAnsi" w:eastAsiaTheme="minorEastAsia" w:hAnsiTheme="minorHAnsi" w:cstheme="minorBidi"/>
          <w:b w:val="0"/>
          <w:sz w:val="22"/>
          <w:szCs w:val="22"/>
          <w:lang w:eastAsia="en-AU"/>
        </w:rPr>
        <w:tab/>
      </w:r>
      <w:r w:rsidRPr="00CA7239">
        <w:rPr>
          <w:lang w:val="en-GB"/>
        </w:rPr>
        <w:t>Management Arrangements</w:t>
      </w:r>
      <w:r>
        <w:tab/>
      </w:r>
      <w:r>
        <w:fldChar w:fldCharType="begin"/>
      </w:r>
      <w:r>
        <w:instrText xml:space="preserve"> PAGEREF _Toc403037573 \h </w:instrText>
      </w:r>
      <w:r>
        <w:fldChar w:fldCharType="separate"/>
      </w:r>
      <w:r w:rsidR="006C1E87">
        <w:t>31</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3.1</w:t>
      </w:r>
      <w:r>
        <w:rPr>
          <w:rFonts w:asciiTheme="minorHAnsi" w:eastAsiaTheme="minorEastAsia" w:hAnsiTheme="minorHAnsi" w:cstheme="minorBidi"/>
          <w:sz w:val="22"/>
          <w:szCs w:val="22"/>
          <w:lang w:eastAsia="en-AU"/>
        </w:rPr>
        <w:tab/>
      </w:r>
      <w:r w:rsidRPr="00CA7239">
        <w:rPr>
          <w:lang w:val="en-GB"/>
        </w:rPr>
        <w:t>Stakeholders, Roles and Responsibilities</w:t>
      </w:r>
      <w:r>
        <w:tab/>
      </w:r>
      <w:r>
        <w:fldChar w:fldCharType="begin"/>
      </w:r>
      <w:r>
        <w:instrText xml:space="preserve"> PAGEREF _Toc403037574 \h </w:instrText>
      </w:r>
      <w:r>
        <w:fldChar w:fldCharType="separate"/>
      </w:r>
      <w:r w:rsidR="006C1E87">
        <w:t>31</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3.2</w:t>
      </w:r>
      <w:r>
        <w:rPr>
          <w:rFonts w:asciiTheme="minorHAnsi" w:eastAsiaTheme="minorEastAsia" w:hAnsiTheme="minorHAnsi" w:cstheme="minorBidi"/>
          <w:sz w:val="22"/>
          <w:szCs w:val="22"/>
          <w:lang w:eastAsia="en-AU"/>
        </w:rPr>
        <w:tab/>
      </w:r>
      <w:r w:rsidRPr="00CA7239">
        <w:rPr>
          <w:lang w:val="en-GB"/>
        </w:rPr>
        <w:t>Grievance Mechanism</w:t>
      </w:r>
      <w:r>
        <w:tab/>
      </w:r>
      <w:r>
        <w:fldChar w:fldCharType="begin"/>
      </w:r>
      <w:r>
        <w:instrText xml:space="preserve"> PAGEREF _Toc403037575 \h </w:instrText>
      </w:r>
      <w:r>
        <w:fldChar w:fldCharType="separate"/>
      </w:r>
      <w:r w:rsidR="006C1E87">
        <w:t>36</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3.3</w:t>
      </w:r>
      <w:r>
        <w:rPr>
          <w:rFonts w:asciiTheme="minorHAnsi" w:eastAsiaTheme="minorEastAsia" w:hAnsiTheme="minorHAnsi" w:cstheme="minorBidi"/>
          <w:sz w:val="22"/>
          <w:szCs w:val="22"/>
          <w:lang w:eastAsia="en-AU"/>
        </w:rPr>
        <w:tab/>
      </w:r>
      <w:r w:rsidRPr="00CA7239">
        <w:rPr>
          <w:lang w:val="en-GB"/>
        </w:rPr>
        <w:t>Contract Management</w:t>
      </w:r>
      <w:r>
        <w:tab/>
      </w:r>
      <w:r>
        <w:fldChar w:fldCharType="begin"/>
      </w:r>
      <w:r>
        <w:instrText xml:space="preserve"> PAGEREF _Toc403037576 \h </w:instrText>
      </w:r>
      <w:r>
        <w:fldChar w:fldCharType="separate"/>
      </w:r>
      <w:r w:rsidR="006C1E87">
        <w:t>36</w:t>
      </w:r>
      <w:r>
        <w:fldChar w:fldCharType="end"/>
      </w:r>
    </w:p>
    <w:p w:rsidR="001542F6" w:rsidRDefault="001542F6">
      <w:pPr>
        <w:pStyle w:val="TOC1"/>
        <w:rPr>
          <w:rFonts w:asciiTheme="minorHAnsi" w:eastAsiaTheme="minorEastAsia" w:hAnsiTheme="minorHAnsi" w:cstheme="minorBidi"/>
          <w:b w:val="0"/>
          <w:sz w:val="22"/>
          <w:szCs w:val="22"/>
          <w:lang w:eastAsia="en-AU"/>
        </w:rPr>
      </w:pPr>
      <w:r w:rsidRPr="00CA7239">
        <w:rPr>
          <w:lang w:val="en-GB"/>
        </w:rPr>
        <w:t>4</w:t>
      </w:r>
      <w:r>
        <w:rPr>
          <w:rFonts w:asciiTheme="minorHAnsi" w:eastAsiaTheme="minorEastAsia" w:hAnsiTheme="minorHAnsi" w:cstheme="minorBidi"/>
          <w:b w:val="0"/>
          <w:sz w:val="22"/>
          <w:szCs w:val="22"/>
          <w:lang w:eastAsia="en-AU"/>
        </w:rPr>
        <w:tab/>
      </w:r>
      <w:r w:rsidRPr="00CA7239">
        <w:rPr>
          <w:lang w:val="en-GB"/>
        </w:rPr>
        <w:t>Monitoring and Evaluation</w:t>
      </w:r>
      <w:r>
        <w:tab/>
      </w:r>
      <w:r>
        <w:fldChar w:fldCharType="begin"/>
      </w:r>
      <w:r>
        <w:instrText xml:space="preserve"> PAGEREF _Toc403037577 \h </w:instrText>
      </w:r>
      <w:r>
        <w:fldChar w:fldCharType="separate"/>
      </w:r>
      <w:r w:rsidR="006C1E87">
        <w:t>39</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4.1</w:t>
      </w:r>
      <w:r>
        <w:rPr>
          <w:rFonts w:asciiTheme="minorHAnsi" w:eastAsiaTheme="minorEastAsia" w:hAnsiTheme="minorHAnsi" w:cstheme="minorBidi"/>
          <w:sz w:val="22"/>
          <w:szCs w:val="22"/>
          <w:lang w:eastAsia="en-AU"/>
        </w:rPr>
        <w:tab/>
      </w:r>
      <w:r w:rsidRPr="00CA7239">
        <w:rPr>
          <w:lang w:val="en-GB"/>
        </w:rPr>
        <w:t>What has the incentive funding mechanism achieved?</w:t>
      </w:r>
      <w:r>
        <w:tab/>
      </w:r>
      <w:r>
        <w:fldChar w:fldCharType="begin"/>
      </w:r>
      <w:r>
        <w:instrText xml:space="preserve"> PAGEREF _Toc403037578 \h </w:instrText>
      </w:r>
      <w:r>
        <w:fldChar w:fldCharType="separate"/>
      </w:r>
      <w:r w:rsidR="006C1E87">
        <w:t>39</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4.2</w:t>
      </w:r>
      <w:r>
        <w:rPr>
          <w:rFonts w:asciiTheme="minorHAnsi" w:eastAsiaTheme="minorEastAsia" w:hAnsiTheme="minorHAnsi" w:cstheme="minorBidi"/>
          <w:sz w:val="22"/>
          <w:szCs w:val="22"/>
          <w:lang w:eastAsia="en-AU"/>
        </w:rPr>
        <w:tab/>
      </w:r>
      <w:r w:rsidRPr="00CA7239">
        <w:rPr>
          <w:lang w:val="en-GB"/>
        </w:rPr>
        <w:t>What will IF (IV) achieve?</w:t>
      </w:r>
      <w:r>
        <w:tab/>
      </w:r>
      <w:r>
        <w:fldChar w:fldCharType="begin"/>
      </w:r>
      <w:r>
        <w:instrText xml:space="preserve"> PAGEREF _Toc403037579 \h </w:instrText>
      </w:r>
      <w:r>
        <w:fldChar w:fldCharType="separate"/>
      </w:r>
      <w:r w:rsidR="006C1E87">
        <w:t>41</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4.3</w:t>
      </w:r>
      <w:r>
        <w:rPr>
          <w:rFonts w:asciiTheme="minorHAnsi" w:eastAsiaTheme="minorEastAsia" w:hAnsiTheme="minorHAnsi" w:cstheme="minorBidi"/>
          <w:sz w:val="22"/>
          <w:szCs w:val="22"/>
          <w:lang w:eastAsia="en-AU"/>
        </w:rPr>
        <w:tab/>
      </w:r>
      <w:r w:rsidRPr="00CA7239">
        <w:rPr>
          <w:lang w:val="en-GB"/>
        </w:rPr>
        <w:t>Responsibilities for functional M&amp;E</w:t>
      </w:r>
      <w:r>
        <w:tab/>
      </w:r>
      <w:r>
        <w:fldChar w:fldCharType="begin"/>
      </w:r>
      <w:r>
        <w:instrText xml:space="preserve"> PAGEREF _Toc403037580 \h </w:instrText>
      </w:r>
      <w:r>
        <w:fldChar w:fldCharType="separate"/>
      </w:r>
      <w:r w:rsidR="006C1E87">
        <w:t>46</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4.4</w:t>
      </w:r>
      <w:r>
        <w:rPr>
          <w:rFonts w:asciiTheme="minorHAnsi" w:eastAsiaTheme="minorEastAsia" w:hAnsiTheme="minorHAnsi" w:cstheme="minorBidi"/>
          <w:sz w:val="22"/>
          <w:szCs w:val="22"/>
          <w:lang w:eastAsia="en-AU"/>
        </w:rPr>
        <w:tab/>
      </w:r>
      <w:r w:rsidRPr="00CA7239">
        <w:rPr>
          <w:lang w:val="en-GB"/>
        </w:rPr>
        <w:t>Independent Review Team</w:t>
      </w:r>
      <w:r>
        <w:tab/>
      </w:r>
      <w:r>
        <w:fldChar w:fldCharType="begin"/>
      </w:r>
      <w:r>
        <w:instrText xml:space="preserve"> PAGEREF _Toc403037581 \h </w:instrText>
      </w:r>
      <w:r>
        <w:fldChar w:fldCharType="separate"/>
      </w:r>
      <w:r w:rsidR="006C1E87">
        <w:t>49</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4.5</w:t>
      </w:r>
      <w:r>
        <w:rPr>
          <w:rFonts w:asciiTheme="minorHAnsi" w:eastAsiaTheme="minorEastAsia" w:hAnsiTheme="minorHAnsi" w:cstheme="minorBidi"/>
          <w:sz w:val="22"/>
          <w:szCs w:val="22"/>
          <w:lang w:eastAsia="en-AU"/>
        </w:rPr>
        <w:tab/>
      </w:r>
      <w:r w:rsidRPr="00CA7239">
        <w:rPr>
          <w:lang w:val="en-GB"/>
        </w:rPr>
        <w:t>The function of the M&amp;E standards</w:t>
      </w:r>
      <w:r>
        <w:tab/>
      </w:r>
      <w:r>
        <w:fldChar w:fldCharType="begin"/>
      </w:r>
      <w:r>
        <w:instrText xml:space="preserve"> PAGEREF _Toc403037582 \h </w:instrText>
      </w:r>
      <w:r>
        <w:fldChar w:fldCharType="separate"/>
      </w:r>
      <w:r w:rsidR="006C1E87">
        <w:t>49</w:t>
      </w:r>
      <w:r>
        <w:fldChar w:fldCharType="end"/>
      </w:r>
    </w:p>
    <w:p w:rsidR="001542F6" w:rsidRDefault="001542F6">
      <w:pPr>
        <w:pStyle w:val="TOC1"/>
        <w:rPr>
          <w:rFonts w:asciiTheme="minorHAnsi" w:eastAsiaTheme="minorEastAsia" w:hAnsiTheme="minorHAnsi" w:cstheme="minorBidi"/>
          <w:b w:val="0"/>
          <w:sz w:val="22"/>
          <w:szCs w:val="22"/>
          <w:lang w:eastAsia="en-AU"/>
        </w:rPr>
      </w:pPr>
      <w:r w:rsidRPr="00CA7239">
        <w:rPr>
          <w:lang w:val="en-GB"/>
        </w:rPr>
        <w:t>5</w:t>
      </w:r>
      <w:r>
        <w:rPr>
          <w:rFonts w:asciiTheme="minorHAnsi" w:eastAsiaTheme="minorEastAsia" w:hAnsiTheme="minorHAnsi" w:cstheme="minorBidi"/>
          <w:b w:val="0"/>
          <w:sz w:val="22"/>
          <w:szCs w:val="22"/>
          <w:lang w:eastAsia="en-AU"/>
        </w:rPr>
        <w:tab/>
      </w:r>
      <w:r w:rsidRPr="00CA7239">
        <w:rPr>
          <w:lang w:val="en-GB"/>
        </w:rPr>
        <w:t>Risk and Feasibility</w:t>
      </w:r>
      <w:r>
        <w:tab/>
      </w:r>
      <w:r>
        <w:fldChar w:fldCharType="begin"/>
      </w:r>
      <w:r>
        <w:instrText xml:space="preserve"> PAGEREF _Toc403037583 \h </w:instrText>
      </w:r>
      <w:r>
        <w:fldChar w:fldCharType="separate"/>
      </w:r>
      <w:r w:rsidR="006C1E87">
        <w:t>50</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5.1</w:t>
      </w:r>
      <w:r>
        <w:rPr>
          <w:rFonts w:asciiTheme="minorHAnsi" w:eastAsiaTheme="minorEastAsia" w:hAnsiTheme="minorHAnsi" w:cstheme="minorBidi"/>
          <w:sz w:val="22"/>
          <w:szCs w:val="22"/>
          <w:lang w:eastAsia="en-AU"/>
        </w:rPr>
        <w:tab/>
      </w:r>
      <w:r w:rsidRPr="00CA7239">
        <w:rPr>
          <w:lang w:val="en-GB"/>
        </w:rPr>
        <w:t>Risks</w:t>
      </w:r>
      <w:r>
        <w:tab/>
      </w:r>
      <w:r>
        <w:fldChar w:fldCharType="begin"/>
      </w:r>
      <w:r>
        <w:instrText xml:space="preserve"> PAGEREF _Toc403037584 \h </w:instrText>
      </w:r>
      <w:r>
        <w:fldChar w:fldCharType="separate"/>
      </w:r>
      <w:r w:rsidR="006C1E87">
        <w:t>50</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5.2</w:t>
      </w:r>
      <w:r>
        <w:rPr>
          <w:rFonts w:asciiTheme="minorHAnsi" w:eastAsiaTheme="minorEastAsia" w:hAnsiTheme="minorHAnsi" w:cstheme="minorBidi"/>
          <w:sz w:val="22"/>
          <w:szCs w:val="22"/>
          <w:lang w:eastAsia="en-AU"/>
        </w:rPr>
        <w:tab/>
      </w:r>
      <w:r w:rsidRPr="00CA7239">
        <w:rPr>
          <w:lang w:val="en-GB"/>
        </w:rPr>
        <w:t>Feasibility</w:t>
      </w:r>
      <w:r>
        <w:tab/>
      </w:r>
      <w:r>
        <w:fldChar w:fldCharType="begin"/>
      </w:r>
      <w:r>
        <w:instrText xml:space="preserve"> PAGEREF _Toc403037585 \h </w:instrText>
      </w:r>
      <w:r>
        <w:fldChar w:fldCharType="separate"/>
      </w:r>
      <w:r w:rsidR="006C1E87">
        <w:t>50</w:t>
      </w:r>
      <w:r>
        <w:fldChar w:fldCharType="end"/>
      </w:r>
    </w:p>
    <w:p w:rsidR="001542F6" w:rsidRDefault="001542F6">
      <w:pPr>
        <w:pStyle w:val="TOC2"/>
        <w:rPr>
          <w:rFonts w:asciiTheme="minorHAnsi" w:eastAsiaTheme="minorEastAsia" w:hAnsiTheme="minorHAnsi" w:cstheme="minorBidi"/>
          <w:sz w:val="22"/>
          <w:szCs w:val="22"/>
          <w:lang w:eastAsia="en-AU"/>
        </w:rPr>
      </w:pPr>
      <w:r w:rsidRPr="00CA7239">
        <w:rPr>
          <w:lang w:val="en-GB"/>
        </w:rPr>
        <w:t>5.3</w:t>
      </w:r>
      <w:r>
        <w:rPr>
          <w:rFonts w:asciiTheme="minorHAnsi" w:eastAsiaTheme="minorEastAsia" w:hAnsiTheme="minorHAnsi" w:cstheme="minorBidi"/>
          <w:sz w:val="22"/>
          <w:szCs w:val="22"/>
          <w:lang w:eastAsia="en-AU"/>
        </w:rPr>
        <w:tab/>
      </w:r>
      <w:r w:rsidRPr="00CA7239">
        <w:rPr>
          <w:lang w:val="en-GB"/>
        </w:rPr>
        <w:t>Sustainability</w:t>
      </w:r>
      <w:r>
        <w:tab/>
      </w:r>
      <w:r>
        <w:fldChar w:fldCharType="begin"/>
      </w:r>
      <w:r>
        <w:instrText xml:space="preserve"> PAGEREF _Toc403037586 \h </w:instrText>
      </w:r>
      <w:r>
        <w:fldChar w:fldCharType="separate"/>
      </w:r>
      <w:r w:rsidR="006C1E87">
        <w:t>51</w:t>
      </w:r>
      <w:r>
        <w:fldChar w:fldCharType="end"/>
      </w:r>
    </w:p>
    <w:p w:rsidR="0058311F" w:rsidRPr="00571F0B" w:rsidRDefault="00664B96">
      <w:pPr>
        <w:tabs>
          <w:tab w:val="right" w:pos="8647"/>
        </w:tabs>
        <w:rPr>
          <w:caps/>
          <w:color w:val="0000FF"/>
          <w:sz w:val="28"/>
          <w:lang w:val="en-GB"/>
        </w:rPr>
      </w:pPr>
      <w:r w:rsidRPr="00571F0B">
        <w:rPr>
          <w:caps/>
          <w:color w:val="0000FF"/>
          <w:sz w:val="28"/>
          <w:lang w:val="en-GB"/>
        </w:rPr>
        <w:fldChar w:fldCharType="end"/>
      </w:r>
    </w:p>
    <w:p w:rsidR="0058311F" w:rsidRPr="00571F0B" w:rsidRDefault="0058311F" w:rsidP="0058311F">
      <w:pPr>
        <w:rPr>
          <w:lang w:val="en-GB"/>
        </w:rPr>
      </w:pPr>
      <w:r w:rsidRPr="00571F0B">
        <w:rPr>
          <w:lang w:val="en-GB"/>
        </w:rPr>
        <w:br w:type="page"/>
      </w:r>
    </w:p>
    <w:p w:rsidR="00664B96" w:rsidRPr="00571F0B" w:rsidRDefault="00F62A87" w:rsidP="001E5CCA">
      <w:pPr>
        <w:spacing w:before="120" w:after="0"/>
        <w:jc w:val="center"/>
        <w:rPr>
          <w:rFonts w:ascii="Arial" w:hAnsi="Arial"/>
          <w:b/>
          <w:smallCaps/>
          <w:sz w:val="32"/>
          <w:lang w:val="en-GB"/>
        </w:rPr>
      </w:pPr>
      <w:r w:rsidRPr="00571F0B">
        <w:rPr>
          <w:rFonts w:ascii="Arial" w:hAnsi="Arial"/>
          <w:b/>
          <w:smallCaps/>
          <w:sz w:val="32"/>
          <w:lang w:val="en-GB"/>
        </w:rPr>
        <w:lastRenderedPageBreak/>
        <w:t>Charts</w:t>
      </w:r>
    </w:p>
    <w:p w:rsidR="001542F6" w:rsidRDefault="00F62A87">
      <w:pPr>
        <w:pStyle w:val="TableofFigures"/>
        <w:rPr>
          <w:rFonts w:asciiTheme="minorHAnsi" w:eastAsiaTheme="minorEastAsia" w:hAnsiTheme="minorHAnsi" w:cstheme="minorBidi"/>
          <w:sz w:val="22"/>
          <w:szCs w:val="22"/>
          <w:lang w:eastAsia="en-AU"/>
        </w:rPr>
      </w:pPr>
      <w:r w:rsidRPr="00571F0B">
        <w:rPr>
          <w:caps/>
          <w:noProof w:val="0"/>
          <w:color w:val="0000FF"/>
          <w:lang w:val="en-GB"/>
        </w:rPr>
        <w:fldChar w:fldCharType="begin"/>
      </w:r>
      <w:r w:rsidRPr="00571F0B">
        <w:rPr>
          <w:caps/>
          <w:noProof w:val="0"/>
          <w:color w:val="0000FF"/>
          <w:lang w:val="en-GB"/>
        </w:rPr>
        <w:instrText xml:space="preserve"> TOC \h \z \c "Chart" </w:instrText>
      </w:r>
      <w:r w:rsidRPr="00571F0B">
        <w:rPr>
          <w:caps/>
          <w:noProof w:val="0"/>
          <w:color w:val="0000FF"/>
          <w:lang w:val="en-GB"/>
        </w:rPr>
        <w:fldChar w:fldCharType="separate"/>
      </w:r>
      <w:hyperlink w:anchor="_Toc403037587" w:history="1">
        <w:r w:rsidR="001542F6" w:rsidRPr="00EF7968">
          <w:rPr>
            <w:rStyle w:val="Hyperlink"/>
            <w:lang w:val="en-GB"/>
          </w:rPr>
          <w:t>Chart 1: Incentive Fund Agreements from Phases I and II</w:t>
        </w:r>
        <w:r w:rsidR="001542F6">
          <w:rPr>
            <w:webHidden/>
          </w:rPr>
          <w:tab/>
        </w:r>
        <w:r w:rsidR="001542F6">
          <w:rPr>
            <w:webHidden/>
          </w:rPr>
          <w:fldChar w:fldCharType="begin"/>
        </w:r>
        <w:r w:rsidR="001542F6">
          <w:rPr>
            <w:webHidden/>
          </w:rPr>
          <w:instrText xml:space="preserve"> PAGEREF _Toc403037587 \h </w:instrText>
        </w:r>
        <w:r w:rsidR="001542F6">
          <w:rPr>
            <w:webHidden/>
          </w:rPr>
        </w:r>
        <w:r w:rsidR="001542F6">
          <w:rPr>
            <w:webHidden/>
          </w:rPr>
          <w:fldChar w:fldCharType="separate"/>
        </w:r>
        <w:r w:rsidR="006C1E87">
          <w:rPr>
            <w:webHidden/>
          </w:rPr>
          <w:t>9</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588" w:history="1">
        <w:r w:rsidR="001542F6" w:rsidRPr="00EF7968">
          <w:rPr>
            <w:rStyle w:val="Hyperlink"/>
            <w:lang w:val="en-GB"/>
          </w:rPr>
          <w:t>Chart 2: Incentive Fund Agreements from Phase III</w:t>
        </w:r>
        <w:r w:rsidR="001542F6">
          <w:rPr>
            <w:webHidden/>
          </w:rPr>
          <w:tab/>
        </w:r>
        <w:r w:rsidR="001542F6">
          <w:rPr>
            <w:webHidden/>
          </w:rPr>
          <w:fldChar w:fldCharType="begin"/>
        </w:r>
        <w:r w:rsidR="001542F6">
          <w:rPr>
            <w:webHidden/>
          </w:rPr>
          <w:instrText xml:space="preserve"> PAGEREF _Toc403037588 \h </w:instrText>
        </w:r>
        <w:r w:rsidR="001542F6">
          <w:rPr>
            <w:webHidden/>
          </w:rPr>
        </w:r>
        <w:r w:rsidR="001542F6">
          <w:rPr>
            <w:webHidden/>
          </w:rPr>
          <w:fldChar w:fldCharType="separate"/>
        </w:r>
        <w:r>
          <w:rPr>
            <w:webHidden/>
          </w:rPr>
          <w:t>10</w:t>
        </w:r>
        <w:r w:rsidR="001542F6">
          <w:rPr>
            <w:webHidden/>
          </w:rPr>
          <w:fldChar w:fldCharType="end"/>
        </w:r>
      </w:hyperlink>
    </w:p>
    <w:p w:rsidR="000471AF" w:rsidRDefault="00F62A87" w:rsidP="000E05E5">
      <w:pPr>
        <w:tabs>
          <w:tab w:val="right" w:leader="dot" w:pos="8647"/>
        </w:tabs>
        <w:jc w:val="center"/>
        <w:rPr>
          <w:caps/>
          <w:color w:val="0000FF"/>
          <w:lang w:val="en-GB"/>
        </w:rPr>
      </w:pPr>
      <w:r w:rsidRPr="00571F0B">
        <w:rPr>
          <w:caps/>
          <w:color w:val="0000FF"/>
          <w:lang w:val="en-GB"/>
        </w:rPr>
        <w:fldChar w:fldCharType="end"/>
      </w:r>
    </w:p>
    <w:p w:rsidR="009E3624" w:rsidRPr="00571F0B" w:rsidRDefault="009E3624" w:rsidP="000E05E5">
      <w:pPr>
        <w:tabs>
          <w:tab w:val="right" w:leader="dot" w:pos="8647"/>
        </w:tabs>
        <w:jc w:val="center"/>
        <w:rPr>
          <w:caps/>
          <w:color w:val="0000FF"/>
          <w:lang w:val="en-GB"/>
        </w:rPr>
      </w:pPr>
      <w:r w:rsidRPr="00571F0B">
        <w:rPr>
          <w:rFonts w:ascii="Arial" w:hAnsi="Arial"/>
          <w:b/>
          <w:smallCaps/>
          <w:sz w:val="32"/>
          <w:lang w:val="en-GB"/>
        </w:rPr>
        <w:t>Tables</w:t>
      </w:r>
    </w:p>
    <w:p w:rsidR="001542F6" w:rsidRDefault="009E3624">
      <w:pPr>
        <w:pStyle w:val="TableofFigures"/>
        <w:rPr>
          <w:rFonts w:asciiTheme="minorHAnsi" w:eastAsiaTheme="minorEastAsia" w:hAnsiTheme="minorHAnsi" w:cstheme="minorBidi"/>
          <w:sz w:val="22"/>
          <w:szCs w:val="22"/>
          <w:lang w:eastAsia="en-AU"/>
        </w:rPr>
      </w:pPr>
      <w:r w:rsidRPr="00571F0B">
        <w:rPr>
          <w:caps/>
          <w:noProof w:val="0"/>
          <w:color w:val="0000FF"/>
          <w:lang w:val="en-GB"/>
        </w:rPr>
        <w:fldChar w:fldCharType="begin"/>
      </w:r>
      <w:r w:rsidRPr="00571F0B">
        <w:rPr>
          <w:caps/>
          <w:noProof w:val="0"/>
          <w:color w:val="0000FF"/>
          <w:lang w:val="en-GB"/>
        </w:rPr>
        <w:instrText xml:space="preserve"> TOC \h \z \c "Table" </w:instrText>
      </w:r>
      <w:r w:rsidRPr="00571F0B">
        <w:rPr>
          <w:caps/>
          <w:noProof w:val="0"/>
          <w:color w:val="0000FF"/>
          <w:lang w:val="en-GB"/>
        </w:rPr>
        <w:fldChar w:fldCharType="separate"/>
      </w:r>
      <w:hyperlink w:anchor="_Toc403037623" w:history="1">
        <w:r w:rsidR="001542F6" w:rsidRPr="006E5AAF">
          <w:rPr>
            <w:rStyle w:val="Hyperlink"/>
            <w:lang w:val="en-GB"/>
          </w:rPr>
          <w:t>Table 1: IF (IV) investment priorities</w:t>
        </w:r>
        <w:r w:rsidR="001542F6">
          <w:rPr>
            <w:webHidden/>
          </w:rPr>
          <w:tab/>
        </w:r>
        <w:r w:rsidR="001542F6">
          <w:rPr>
            <w:webHidden/>
          </w:rPr>
          <w:fldChar w:fldCharType="begin"/>
        </w:r>
        <w:r w:rsidR="001542F6">
          <w:rPr>
            <w:webHidden/>
          </w:rPr>
          <w:instrText xml:space="preserve"> PAGEREF _Toc403037623 \h </w:instrText>
        </w:r>
        <w:r w:rsidR="001542F6">
          <w:rPr>
            <w:webHidden/>
          </w:rPr>
        </w:r>
        <w:r w:rsidR="001542F6">
          <w:rPr>
            <w:webHidden/>
          </w:rPr>
          <w:fldChar w:fldCharType="separate"/>
        </w:r>
        <w:r w:rsidR="006C1E87">
          <w:rPr>
            <w:webHidden/>
          </w:rPr>
          <w:t>4</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624" w:history="1">
        <w:r w:rsidR="001542F6" w:rsidRPr="006E5AAF">
          <w:rPr>
            <w:rStyle w:val="Hyperlink"/>
          </w:rPr>
          <w:t xml:space="preserve">Table 2 </w:t>
        </w:r>
        <w:r w:rsidR="001542F6" w:rsidRPr="006E5AAF">
          <w:rPr>
            <w:rStyle w:val="Hyperlink"/>
            <w:lang w:val="en-GB"/>
          </w:rPr>
          <w:t>Alignment of Australian Aid investments to GoPNG priorities</w:t>
        </w:r>
        <w:r w:rsidR="001542F6">
          <w:rPr>
            <w:webHidden/>
          </w:rPr>
          <w:tab/>
        </w:r>
        <w:r w:rsidR="001542F6">
          <w:rPr>
            <w:webHidden/>
          </w:rPr>
          <w:fldChar w:fldCharType="begin"/>
        </w:r>
        <w:r w:rsidR="001542F6">
          <w:rPr>
            <w:webHidden/>
          </w:rPr>
          <w:instrText xml:space="preserve"> PAGEREF _Toc403037624 \h </w:instrText>
        </w:r>
        <w:r w:rsidR="001542F6">
          <w:rPr>
            <w:webHidden/>
          </w:rPr>
        </w:r>
        <w:r w:rsidR="001542F6">
          <w:rPr>
            <w:webHidden/>
          </w:rPr>
          <w:fldChar w:fldCharType="separate"/>
        </w:r>
        <w:r>
          <w:rPr>
            <w:webHidden/>
          </w:rPr>
          <w:t>4</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625" w:history="1">
        <w:r w:rsidR="001542F6" w:rsidRPr="006E5AAF">
          <w:rPr>
            <w:rStyle w:val="Hyperlink"/>
          </w:rPr>
          <w:t>Table 3 Australian Aid support to economic development in PNG</w:t>
        </w:r>
        <w:r w:rsidR="001542F6">
          <w:rPr>
            <w:webHidden/>
          </w:rPr>
          <w:tab/>
        </w:r>
        <w:r w:rsidR="001542F6">
          <w:rPr>
            <w:webHidden/>
          </w:rPr>
          <w:fldChar w:fldCharType="begin"/>
        </w:r>
        <w:r w:rsidR="001542F6">
          <w:rPr>
            <w:webHidden/>
          </w:rPr>
          <w:instrText xml:space="preserve"> PAGEREF _Toc403037625 \h </w:instrText>
        </w:r>
        <w:r w:rsidR="001542F6">
          <w:rPr>
            <w:webHidden/>
          </w:rPr>
        </w:r>
        <w:r w:rsidR="001542F6">
          <w:rPr>
            <w:webHidden/>
          </w:rPr>
          <w:fldChar w:fldCharType="separate"/>
        </w:r>
        <w:r>
          <w:rPr>
            <w:webHidden/>
          </w:rPr>
          <w:t>5</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626" w:history="1">
        <w:r w:rsidR="001542F6" w:rsidRPr="006E5AAF">
          <w:rPr>
            <w:rStyle w:val="Hyperlink"/>
            <w:lang w:val="en-GB"/>
          </w:rPr>
          <w:t>Table 4: Phase III Concept Paper Requests</w:t>
        </w:r>
        <w:r w:rsidR="001542F6">
          <w:rPr>
            <w:webHidden/>
          </w:rPr>
          <w:tab/>
        </w:r>
        <w:r w:rsidR="001542F6">
          <w:rPr>
            <w:webHidden/>
          </w:rPr>
          <w:fldChar w:fldCharType="begin"/>
        </w:r>
        <w:r w:rsidR="001542F6">
          <w:rPr>
            <w:webHidden/>
          </w:rPr>
          <w:instrText xml:space="preserve"> PAGEREF _Toc403037626 \h </w:instrText>
        </w:r>
        <w:r w:rsidR="001542F6">
          <w:rPr>
            <w:webHidden/>
          </w:rPr>
        </w:r>
        <w:r w:rsidR="001542F6">
          <w:rPr>
            <w:webHidden/>
          </w:rPr>
          <w:fldChar w:fldCharType="separate"/>
        </w:r>
        <w:r>
          <w:rPr>
            <w:webHidden/>
          </w:rPr>
          <w:t>11</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627" w:history="1">
        <w:r w:rsidR="001542F6" w:rsidRPr="006E5AAF">
          <w:rPr>
            <w:rStyle w:val="Hyperlink"/>
            <w:lang w:val="en-GB"/>
          </w:rPr>
          <w:t>Table 5: Design Incentive Fund Phase IV Logic</w:t>
        </w:r>
        <w:r w:rsidR="001542F6">
          <w:rPr>
            <w:webHidden/>
          </w:rPr>
          <w:tab/>
        </w:r>
        <w:r w:rsidR="001542F6">
          <w:rPr>
            <w:webHidden/>
          </w:rPr>
          <w:fldChar w:fldCharType="begin"/>
        </w:r>
        <w:r w:rsidR="001542F6">
          <w:rPr>
            <w:webHidden/>
          </w:rPr>
          <w:instrText xml:space="preserve"> PAGEREF _Toc403037627 \h </w:instrText>
        </w:r>
        <w:r w:rsidR="001542F6">
          <w:rPr>
            <w:webHidden/>
          </w:rPr>
        </w:r>
        <w:r w:rsidR="001542F6">
          <w:rPr>
            <w:webHidden/>
          </w:rPr>
          <w:fldChar w:fldCharType="separate"/>
        </w:r>
        <w:r>
          <w:rPr>
            <w:webHidden/>
          </w:rPr>
          <w:t>19</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628" w:history="1">
        <w:r w:rsidR="001542F6" w:rsidRPr="006E5AAF">
          <w:rPr>
            <w:rStyle w:val="Hyperlink"/>
            <w:lang w:val="en-GB"/>
          </w:rPr>
          <w:t>Table 6: Five Stage Application Process</w:t>
        </w:r>
        <w:r w:rsidR="001542F6">
          <w:rPr>
            <w:webHidden/>
          </w:rPr>
          <w:tab/>
        </w:r>
        <w:r w:rsidR="001542F6">
          <w:rPr>
            <w:webHidden/>
          </w:rPr>
          <w:fldChar w:fldCharType="begin"/>
        </w:r>
        <w:r w:rsidR="001542F6">
          <w:rPr>
            <w:webHidden/>
          </w:rPr>
          <w:instrText xml:space="preserve"> PAGEREF _Toc403037628 \h </w:instrText>
        </w:r>
        <w:r w:rsidR="001542F6">
          <w:rPr>
            <w:webHidden/>
          </w:rPr>
        </w:r>
        <w:r w:rsidR="001542F6">
          <w:rPr>
            <w:webHidden/>
          </w:rPr>
          <w:fldChar w:fldCharType="separate"/>
        </w:r>
        <w:r>
          <w:rPr>
            <w:webHidden/>
          </w:rPr>
          <w:t>24</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629" w:history="1">
        <w:r w:rsidR="001542F6" w:rsidRPr="006E5AAF">
          <w:rPr>
            <w:rStyle w:val="Hyperlink"/>
            <w:lang w:val="en-GB"/>
          </w:rPr>
          <w:t>Table 7: Non-qualification</w:t>
        </w:r>
        <w:r w:rsidR="001542F6">
          <w:rPr>
            <w:webHidden/>
          </w:rPr>
          <w:tab/>
        </w:r>
        <w:r w:rsidR="001542F6">
          <w:rPr>
            <w:webHidden/>
          </w:rPr>
          <w:fldChar w:fldCharType="begin"/>
        </w:r>
        <w:r w:rsidR="001542F6">
          <w:rPr>
            <w:webHidden/>
          </w:rPr>
          <w:instrText xml:space="preserve"> PAGEREF _Toc403037629 \h </w:instrText>
        </w:r>
        <w:r w:rsidR="001542F6">
          <w:rPr>
            <w:webHidden/>
          </w:rPr>
        </w:r>
        <w:r w:rsidR="001542F6">
          <w:rPr>
            <w:webHidden/>
          </w:rPr>
          <w:fldChar w:fldCharType="separate"/>
        </w:r>
        <w:r>
          <w:rPr>
            <w:webHidden/>
          </w:rPr>
          <w:t>24</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630" w:history="1">
        <w:r w:rsidR="001542F6" w:rsidRPr="006E5AAF">
          <w:rPr>
            <w:rStyle w:val="Hyperlink"/>
            <w:lang w:val="en-GB"/>
          </w:rPr>
          <w:t>Table 8: Key documentation to deliver</w:t>
        </w:r>
        <w:r w:rsidR="001542F6">
          <w:rPr>
            <w:webHidden/>
          </w:rPr>
          <w:tab/>
        </w:r>
        <w:r w:rsidR="001542F6">
          <w:rPr>
            <w:webHidden/>
          </w:rPr>
          <w:fldChar w:fldCharType="begin"/>
        </w:r>
        <w:r w:rsidR="001542F6">
          <w:rPr>
            <w:webHidden/>
          </w:rPr>
          <w:instrText xml:space="preserve"> PAGEREF _Toc403037630 \h </w:instrText>
        </w:r>
        <w:r w:rsidR="001542F6">
          <w:rPr>
            <w:webHidden/>
          </w:rPr>
        </w:r>
        <w:r w:rsidR="001542F6">
          <w:rPr>
            <w:webHidden/>
          </w:rPr>
          <w:fldChar w:fldCharType="separate"/>
        </w:r>
        <w:r>
          <w:rPr>
            <w:webHidden/>
          </w:rPr>
          <w:t>38</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631" w:history="1">
        <w:r w:rsidR="001542F6" w:rsidRPr="006E5AAF">
          <w:rPr>
            <w:rStyle w:val="Hyperlink"/>
            <w:lang w:val="en-GB"/>
          </w:rPr>
          <w:t xml:space="preserve">Table 9: </w:t>
        </w:r>
        <w:r w:rsidR="001542F6" w:rsidRPr="006E5AAF">
          <w:rPr>
            <w:rStyle w:val="Hyperlink"/>
            <w:i/>
            <w:lang w:val="en-GB"/>
          </w:rPr>
          <w:t>INDICATIVE</w:t>
        </w:r>
        <w:r w:rsidR="001542F6" w:rsidRPr="006E5AAF">
          <w:rPr>
            <w:rStyle w:val="Hyperlink"/>
            <w:lang w:val="en-GB"/>
          </w:rPr>
          <w:t xml:space="preserve"> IF (IV) Performance Assessment Framework</w:t>
        </w:r>
        <w:r w:rsidR="001542F6">
          <w:rPr>
            <w:webHidden/>
          </w:rPr>
          <w:tab/>
        </w:r>
        <w:r w:rsidR="001542F6">
          <w:rPr>
            <w:webHidden/>
          </w:rPr>
          <w:fldChar w:fldCharType="begin"/>
        </w:r>
        <w:r w:rsidR="001542F6">
          <w:rPr>
            <w:webHidden/>
          </w:rPr>
          <w:instrText xml:space="preserve"> PAGEREF _Toc403037631 \h </w:instrText>
        </w:r>
        <w:r w:rsidR="001542F6">
          <w:rPr>
            <w:webHidden/>
          </w:rPr>
        </w:r>
        <w:r w:rsidR="001542F6">
          <w:rPr>
            <w:webHidden/>
          </w:rPr>
          <w:fldChar w:fldCharType="separate"/>
        </w:r>
        <w:r>
          <w:rPr>
            <w:webHidden/>
          </w:rPr>
          <w:t>43</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632" w:history="1">
        <w:r w:rsidR="001542F6" w:rsidRPr="006E5AAF">
          <w:rPr>
            <w:rStyle w:val="Hyperlink"/>
            <w:lang w:val="en-GB"/>
          </w:rPr>
          <w:t>Table 10: IF (IV) Risk Matrix</w:t>
        </w:r>
        <w:r w:rsidR="001542F6">
          <w:rPr>
            <w:webHidden/>
          </w:rPr>
          <w:tab/>
        </w:r>
        <w:r w:rsidR="001542F6">
          <w:rPr>
            <w:webHidden/>
          </w:rPr>
          <w:fldChar w:fldCharType="begin"/>
        </w:r>
        <w:r w:rsidR="001542F6">
          <w:rPr>
            <w:webHidden/>
          </w:rPr>
          <w:instrText xml:space="preserve"> PAGEREF _Toc403037632 \h </w:instrText>
        </w:r>
        <w:r w:rsidR="001542F6">
          <w:rPr>
            <w:webHidden/>
          </w:rPr>
        </w:r>
        <w:r w:rsidR="001542F6">
          <w:rPr>
            <w:webHidden/>
          </w:rPr>
          <w:fldChar w:fldCharType="separate"/>
        </w:r>
        <w:r>
          <w:rPr>
            <w:webHidden/>
          </w:rPr>
          <w:t>52</w:t>
        </w:r>
        <w:r w:rsidR="001542F6">
          <w:rPr>
            <w:webHidden/>
          </w:rPr>
          <w:fldChar w:fldCharType="end"/>
        </w:r>
      </w:hyperlink>
    </w:p>
    <w:p w:rsidR="000471AF" w:rsidRDefault="009E3624" w:rsidP="000E05E5">
      <w:pPr>
        <w:tabs>
          <w:tab w:val="right" w:leader="dot" w:pos="8647"/>
        </w:tabs>
        <w:jc w:val="center"/>
        <w:rPr>
          <w:caps/>
          <w:color w:val="0000FF"/>
          <w:lang w:val="en-GB"/>
        </w:rPr>
      </w:pPr>
      <w:r w:rsidRPr="00571F0B">
        <w:rPr>
          <w:caps/>
          <w:color w:val="0000FF"/>
          <w:lang w:val="en-GB"/>
        </w:rPr>
        <w:fldChar w:fldCharType="end"/>
      </w:r>
    </w:p>
    <w:p w:rsidR="00C540D1" w:rsidRPr="00571F0B" w:rsidRDefault="00C540D1" w:rsidP="000E05E5">
      <w:pPr>
        <w:tabs>
          <w:tab w:val="right" w:leader="dot" w:pos="8647"/>
        </w:tabs>
        <w:jc w:val="center"/>
        <w:rPr>
          <w:rFonts w:ascii="Arial" w:hAnsi="Arial"/>
          <w:b/>
          <w:smallCaps/>
          <w:sz w:val="32"/>
          <w:lang w:val="en-GB"/>
        </w:rPr>
      </w:pPr>
      <w:r w:rsidRPr="00571F0B">
        <w:rPr>
          <w:rFonts w:ascii="Arial" w:hAnsi="Arial"/>
          <w:b/>
          <w:smallCaps/>
          <w:sz w:val="32"/>
          <w:lang w:val="en-GB"/>
        </w:rPr>
        <w:t>Boxes</w:t>
      </w:r>
    </w:p>
    <w:p w:rsidR="001542F6" w:rsidRDefault="005248A4">
      <w:pPr>
        <w:pStyle w:val="TableofFigures"/>
        <w:rPr>
          <w:rFonts w:asciiTheme="minorHAnsi" w:eastAsiaTheme="minorEastAsia" w:hAnsiTheme="minorHAnsi" w:cstheme="minorBidi"/>
          <w:sz w:val="22"/>
          <w:szCs w:val="22"/>
          <w:lang w:eastAsia="en-AU"/>
        </w:rPr>
      </w:pPr>
      <w:r w:rsidRPr="00571F0B">
        <w:rPr>
          <w:caps/>
          <w:noProof w:val="0"/>
          <w:lang w:val="en-GB"/>
        </w:rPr>
        <w:fldChar w:fldCharType="begin"/>
      </w:r>
      <w:r w:rsidRPr="00571F0B">
        <w:rPr>
          <w:caps/>
          <w:noProof w:val="0"/>
          <w:lang w:val="en-GB"/>
        </w:rPr>
        <w:instrText xml:space="preserve"> TOC \h \z \c "Box" </w:instrText>
      </w:r>
      <w:r w:rsidRPr="00571F0B">
        <w:rPr>
          <w:caps/>
          <w:noProof w:val="0"/>
          <w:lang w:val="en-GB"/>
        </w:rPr>
        <w:fldChar w:fldCharType="separate"/>
      </w:r>
      <w:hyperlink w:anchor="_Toc403037633" w:history="1">
        <w:r w:rsidR="001542F6" w:rsidRPr="00DB3759">
          <w:rPr>
            <w:rStyle w:val="Hyperlink"/>
            <w:lang w:val="en-GB"/>
          </w:rPr>
          <w:t>Box 1: Summary of Phase I and II achievements</w:t>
        </w:r>
        <w:r w:rsidR="001542F6">
          <w:rPr>
            <w:webHidden/>
          </w:rPr>
          <w:tab/>
        </w:r>
        <w:r w:rsidR="001542F6">
          <w:rPr>
            <w:webHidden/>
          </w:rPr>
          <w:fldChar w:fldCharType="begin"/>
        </w:r>
        <w:r w:rsidR="001542F6">
          <w:rPr>
            <w:webHidden/>
          </w:rPr>
          <w:instrText xml:space="preserve"> PAGEREF _Toc403037633 \h </w:instrText>
        </w:r>
        <w:r w:rsidR="001542F6">
          <w:rPr>
            <w:webHidden/>
          </w:rPr>
        </w:r>
        <w:r w:rsidR="001542F6">
          <w:rPr>
            <w:webHidden/>
          </w:rPr>
          <w:fldChar w:fldCharType="separate"/>
        </w:r>
        <w:r w:rsidR="006C1E87">
          <w:rPr>
            <w:webHidden/>
          </w:rPr>
          <w:t>9</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634" w:history="1">
        <w:r w:rsidR="001542F6" w:rsidRPr="00DB3759">
          <w:rPr>
            <w:rStyle w:val="Hyperlink"/>
            <w:lang w:val="en-GB"/>
          </w:rPr>
          <w:t>Box 2: Summary of Phase III outputs</w:t>
        </w:r>
        <w:r w:rsidR="001542F6">
          <w:rPr>
            <w:webHidden/>
          </w:rPr>
          <w:tab/>
        </w:r>
        <w:r w:rsidR="001542F6">
          <w:rPr>
            <w:webHidden/>
          </w:rPr>
          <w:fldChar w:fldCharType="begin"/>
        </w:r>
        <w:r w:rsidR="001542F6">
          <w:rPr>
            <w:webHidden/>
          </w:rPr>
          <w:instrText xml:space="preserve"> PAGEREF _Toc403037634 \h </w:instrText>
        </w:r>
        <w:r w:rsidR="001542F6">
          <w:rPr>
            <w:webHidden/>
          </w:rPr>
        </w:r>
        <w:r w:rsidR="001542F6">
          <w:rPr>
            <w:webHidden/>
          </w:rPr>
          <w:fldChar w:fldCharType="separate"/>
        </w:r>
        <w:r>
          <w:rPr>
            <w:webHidden/>
          </w:rPr>
          <w:t>10</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635" w:history="1">
        <w:r w:rsidR="001542F6" w:rsidRPr="00DB3759">
          <w:rPr>
            <w:rStyle w:val="Hyperlink"/>
            <w:lang w:val="en-GB"/>
          </w:rPr>
          <w:t>Box 3: Pacific Women Shaping Pacific Development</w:t>
        </w:r>
        <w:r w:rsidR="001542F6">
          <w:rPr>
            <w:webHidden/>
          </w:rPr>
          <w:tab/>
        </w:r>
        <w:r w:rsidR="001542F6">
          <w:rPr>
            <w:webHidden/>
          </w:rPr>
          <w:fldChar w:fldCharType="begin"/>
        </w:r>
        <w:r w:rsidR="001542F6">
          <w:rPr>
            <w:webHidden/>
          </w:rPr>
          <w:instrText xml:space="preserve"> PAGEREF _Toc403037635 \h </w:instrText>
        </w:r>
        <w:r w:rsidR="001542F6">
          <w:rPr>
            <w:webHidden/>
          </w:rPr>
        </w:r>
        <w:r w:rsidR="001542F6">
          <w:rPr>
            <w:webHidden/>
          </w:rPr>
          <w:fldChar w:fldCharType="separate"/>
        </w:r>
        <w:r>
          <w:rPr>
            <w:webHidden/>
          </w:rPr>
          <w:t>20</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636" w:history="1">
        <w:r w:rsidR="001542F6" w:rsidRPr="00DB3759">
          <w:rPr>
            <w:rStyle w:val="Hyperlink"/>
            <w:lang w:val="en-GB"/>
          </w:rPr>
          <w:t>Box 4: Private sector engagement</w:t>
        </w:r>
        <w:r w:rsidR="001542F6">
          <w:rPr>
            <w:webHidden/>
          </w:rPr>
          <w:tab/>
        </w:r>
        <w:r w:rsidR="001542F6">
          <w:rPr>
            <w:webHidden/>
          </w:rPr>
          <w:fldChar w:fldCharType="begin"/>
        </w:r>
        <w:r w:rsidR="001542F6">
          <w:rPr>
            <w:webHidden/>
          </w:rPr>
          <w:instrText xml:space="preserve"> PAGEREF _Toc403037636 \h </w:instrText>
        </w:r>
        <w:r w:rsidR="001542F6">
          <w:rPr>
            <w:webHidden/>
          </w:rPr>
        </w:r>
        <w:r w:rsidR="001542F6">
          <w:rPr>
            <w:webHidden/>
          </w:rPr>
          <w:fldChar w:fldCharType="separate"/>
        </w:r>
        <w:r>
          <w:rPr>
            <w:webHidden/>
          </w:rPr>
          <w:t>21</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637" w:history="1">
        <w:r w:rsidR="001542F6" w:rsidRPr="00DB3759">
          <w:rPr>
            <w:rStyle w:val="Hyperlink"/>
          </w:rPr>
          <w:t xml:space="preserve">Box 5: </w:t>
        </w:r>
        <w:r w:rsidR="001542F6" w:rsidRPr="00DB3759">
          <w:rPr>
            <w:rStyle w:val="Hyperlink"/>
            <w:lang w:val="en-GB"/>
          </w:rPr>
          <w:t>Local political economy and operating context assessment</w:t>
        </w:r>
        <w:r w:rsidR="001542F6">
          <w:rPr>
            <w:webHidden/>
          </w:rPr>
          <w:tab/>
        </w:r>
        <w:r w:rsidR="001542F6">
          <w:rPr>
            <w:webHidden/>
          </w:rPr>
          <w:fldChar w:fldCharType="begin"/>
        </w:r>
        <w:r w:rsidR="001542F6">
          <w:rPr>
            <w:webHidden/>
          </w:rPr>
          <w:instrText xml:space="preserve"> PAGEREF _Toc403037637 \h </w:instrText>
        </w:r>
        <w:r w:rsidR="001542F6">
          <w:rPr>
            <w:webHidden/>
          </w:rPr>
        </w:r>
        <w:r w:rsidR="001542F6">
          <w:rPr>
            <w:webHidden/>
          </w:rPr>
          <w:fldChar w:fldCharType="separate"/>
        </w:r>
        <w:r>
          <w:rPr>
            <w:webHidden/>
          </w:rPr>
          <w:t>25</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638" w:history="1">
        <w:r w:rsidR="001542F6" w:rsidRPr="00DB3759">
          <w:rPr>
            <w:rStyle w:val="Hyperlink"/>
          </w:rPr>
          <w:t>Box 6: Description of the IF (IV) end-of-program position</w:t>
        </w:r>
        <w:r w:rsidR="001542F6">
          <w:rPr>
            <w:webHidden/>
          </w:rPr>
          <w:tab/>
        </w:r>
        <w:r w:rsidR="001542F6">
          <w:rPr>
            <w:webHidden/>
          </w:rPr>
          <w:fldChar w:fldCharType="begin"/>
        </w:r>
        <w:r w:rsidR="001542F6">
          <w:rPr>
            <w:webHidden/>
          </w:rPr>
          <w:instrText xml:space="preserve"> PAGEREF _Toc403037638 \h </w:instrText>
        </w:r>
        <w:r w:rsidR="001542F6">
          <w:rPr>
            <w:webHidden/>
          </w:rPr>
        </w:r>
        <w:r w:rsidR="001542F6">
          <w:rPr>
            <w:webHidden/>
          </w:rPr>
          <w:fldChar w:fldCharType="separate"/>
        </w:r>
        <w:r>
          <w:rPr>
            <w:webHidden/>
          </w:rPr>
          <w:t>46</w:t>
        </w:r>
        <w:r w:rsidR="001542F6">
          <w:rPr>
            <w:webHidden/>
          </w:rPr>
          <w:fldChar w:fldCharType="end"/>
        </w:r>
      </w:hyperlink>
    </w:p>
    <w:p w:rsidR="000471AF" w:rsidRDefault="005248A4" w:rsidP="000E05E5">
      <w:pPr>
        <w:tabs>
          <w:tab w:val="right" w:leader="dot" w:pos="8647"/>
        </w:tabs>
        <w:jc w:val="center"/>
        <w:rPr>
          <w:caps/>
          <w:color w:val="0000FF"/>
          <w:lang w:val="en-GB"/>
        </w:rPr>
      </w:pPr>
      <w:r w:rsidRPr="00571F0B">
        <w:rPr>
          <w:caps/>
          <w:color w:val="0000FF"/>
          <w:lang w:val="en-GB"/>
        </w:rPr>
        <w:fldChar w:fldCharType="end"/>
      </w:r>
    </w:p>
    <w:p w:rsidR="006B4C64" w:rsidRPr="00571F0B" w:rsidRDefault="006B4C64" w:rsidP="006113F0">
      <w:pPr>
        <w:tabs>
          <w:tab w:val="right" w:leader="dot" w:pos="8647"/>
        </w:tabs>
        <w:spacing w:after="0"/>
        <w:jc w:val="center"/>
        <w:rPr>
          <w:caps/>
          <w:color w:val="0000FF"/>
          <w:lang w:val="en-GB"/>
        </w:rPr>
      </w:pPr>
      <w:r w:rsidRPr="00571F0B">
        <w:rPr>
          <w:rFonts w:ascii="Arial" w:hAnsi="Arial"/>
          <w:b/>
          <w:smallCaps/>
          <w:sz w:val="32"/>
          <w:lang w:val="en-GB"/>
        </w:rPr>
        <w:t>Figures</w:t>
      </w:r>
    </w:p>
    <w:p w:rsidR="001542F6" w:rsidRDefault="006B4C64">
      <w:pPr>
        <w:pStyle w:val="TableofFigures"/>
        <w:rPr>
          <w:rFonts w:asciiTheme="minorHAnsi" w:eastAsiaTheme="minorEastAsia" w:hAnsiTheme="minorHAnsi" w:cstheme="minorBidi"/>
          <w:sz w:val="22"/>
          <w:szCs w:val="22"/>
          <w:lang w:eastAsia="en-AU"/>
        </w:rPr>
      </w:pPr>
      <w:r w:rsidRPr="00571F0B">
        <w:rPr>
          <w:caps/>
          <w:noProof w:val="0"/>
          <w:color w:val="0000FF"/>
          <w:lang w:val="en-GB"/>
        </w:rPr>
        <w:fldChar w:fldCharType="begin"/>
      </w:r>
      <w:r w:rsidRPr="00571F0B">
        <w:rPr>
          <w:caps/>
          <w:noProof w:val="0"/>
          <w:color w:val="0000FF"/>
          <w:lang w:val="en-GB"/>
        </w:rPr>
        <w:instrText xml:space="preserve"> TOC \h \z \c "Figure" </w:instrText>
      </w:r>
      <w:r w:rsidRPr="00571F0B">
        <w:rPr>
          <w:caps/>
          <w:noProof w:val="0"/>
          <w:color w:val="0000FF"/>
          <w:lang w:val="en-GB"/>
        </w:rPr>
        <w:fldChar w:fldCharType="separate"/>
      </w:r>
      <w:hyperlink w:anchor="_Toc403037639" w:history="1">
        <w:r w:rsidR="001542F6" w:rsidRPr="00F24B5B">
          <w:rPr>
            <w:rStyle w:val="Hyperlink"/>
            <w:lang w:val="en-GB"/>
          </w:rPr>
          <w:t>Figure 1: Theory of Organisational Change</w:t>
        </w:r>
        <w:r w:rsidR="001542F6">
          <w:rPr>
            <w:webHidden/>
          </w:rPr>
          <w:tab/>
        </w:r>
        <w:r w:rsidR="001542F6">
          <w:rPr>
            <w:webHidden/>
          </w:rPr>
          <w:fldChar w:fldCharType="begin"/>
        </w:r>
        <w:r w:rsidR="001542F6">
          <w:rPr>
            <w:webHidden/>
          </w:rPr>
          <w:instrText xml:space="preserve"> PAGEREF _Toc403037639 \h </w:instrText>
        </w:r>
        <w:r w:rsidR="001542F6">
          <w:rPr>
            <w:webHidden/>
          </w:rPr>
        </w:r>
        <w:r w:rsidR="001542F6">
          <w:rPr>
            <w:webHidden/>
          </w:rPr>
          <w:fldChar w:fldCharType="separate"/>
        </w:r>
        <w:r w:rsidR="006C1E87">
          <w:rPr>
            <w:webHidden/>
          </w:rPr>
          <w:t>7</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640" w:history="1">
        <w:r w:rsidR="001542F6" w:rsidRPr="00F24B5B">
          <w:rPr>
            <w:rStyle w:val="Hyperlink"/>
          </w:rPr>
          <w:t>Figure 2: Overview of organisation performance theory</w:t>
        </w:r>
        <w:r w:rsidR="001542F6">
          <w:rPr>
            <w:webHidden/>
          </w:rPr>
          <w:tab/>
        </w:r>
        <w:r w:rsidR="001542F6">
          <w:rPr>
            <w:webHidden/>
          </w:rPr>
          <w:fldChar w:fldCharType="begin"/>
        </w:r>
        <w:r w:rsidR="001542F6">
          <w:rPr>
            <w:webHidden/>
          </w:rPr>
          <w:instrText xml:space="preserve"> PAGEREF _Toc403037640 \h </w:instrText>
        </w:r>
        <w:r w:rsidR="001542F6">
          <w:rPr>
            <w:webHidden/>
          </w:rPr>
        </w:r>
        <w:r w:rsidR="001542F6">
          <w:rPr>
            <w:webHidden/>
          </w:rPr>
          <w:fldChar w:fldCharType="separate"/>
        </w:r>
        <w:r>
          <w:rPr>
            <w:webHidden/>
          </w:rPr>
          <w:t>8</w:t>
        </w:r>
        <w:r w:rsidR="001542F6">
          <w:rPr>
            <w:webHidden/>
          </w:rPr>
          <w:fldChar w:fldCharType="end"/>
        </w:r>
      </w:hyperlink>
    </w:p>
    <w:p w:rsidR="001542F6" w:rsidRDefault="006C1E87">
      <w:pPr>
        <w:pStyle w:val="TableofFigures"/>
        <w:rPr>
          <w:rFonts w:asciiTheme="minorHAnsi" w:eastAsiaTheme="minorEastAsia" w:hAnsiTheme="minorHAnsi" w:cstheme="minorBidi"/>
          <w:sz w:val="22"/>
          <w:szCs w:val="22"/>
          <w:lang w:eastAsia="en-AU"/>
        </w:rPr>
      </w:pPr>
      <w:hyperlink w:anchor="_Toc403037641" w:history="1">
        <w:r w:rsidR="001542F6" w:rsidRPr="00F24B5B">
          <w:rPr>
            <w:rStyle w:val="Hyperlink"/>
          </w:rPr>
          <w:t>Figure 3: IF (IV) Management Organisation and Responsibilities</w:t>
        </w:r>
        <w:r w:rsidR="001542F6">
          <w:rPr>
            <w:webHidden/>
          </w:rPr>
          <w:tab/>
        </w:r>
        <w:r w:rsidR="001542F6">
          <w:rPr>
            <w:webHidden/>
          </w:rPr>
          <w:fldChar w:fldCharType="begin"/>
        </w:r>
        <w:r w:rsidR="001542F6">
          <w:rPr>
            <w:webHidden/>
          </w:rPr>
          <w:instrText xml:space="preserve"> PAGEREF _Toc403037641 \h </w:instrText>
        </w:r>
        <w:r w:rsidR="001542F6">
          <w:rPr>
            <w:webHidden/>
          </w:rPr>
        </w:r>
        <w:r w:rsidR="001542F6">
          <w:rPr>
            <w:webHidden/>
          </w:rPr>
          <w:fldChar w:fldCharType="separate"/>
        </w:r>
        <w:r>
          <w:rPr>
            <w:webHidden/>
          </w:rPr>
          <w:t>31</w:t>
        </w:r>
        <w:r w:rsidR="001542F6">
          <w:rPr>
            <w:webHidden/>
          </w:rPr>
          <w:fldChar w:fldCharType="end"/>
        </w:r>
      </w:hyperlink>
    </w:p>
    <w:p w:rsidR="00AE41D3" w:rsidRDefault="006B4C64" w:rsidP="006113F0">
      <w:pPr>
        <w:tabs>
          <w:tab w:val="right" w:leader="dot" w:pos="8647"/>
        </w:tabs>
        <w:jc w:val="center"/>
        <w:rPr>
          <w:caps/>
          <w:color w:val="0000FF"/>
          <w:lang w:val="en-GB"/>
        </w:rPr>
      </w:pPr>
      <w:r w:rsidRPr="00571F0B">
        <w:rPr>
          <w:caps/>
          <w:color w:val="0000FF"/>
          <w:lang w:val="en-GB"/>
        </w:rPr>
        <w:fldChar w:fldCharType="end"/>
      </w:r>
    </w:p>
    <w:p w:rsidR="00AE41D3" w:rsidRDefault="00AE41D3">
      <w:pPr>
        <w:spacing w:before="0" w:after="0"/>
        <w:jc w:val="left"/>
        <w:rPr>
          <w:caps/>
          <w:color w:val="0000FF"/>
          <w:lang w:val="en-GB"/>
        </w:rPr>
      </w:pPr>
      <w:r>
        <w:rPr>
          <w:caps/>
          <w:color w:val="0000FF"/>
          <w:lang w:val="en-GB"/>
        </w:rPr>
        <w:br w:type="page"/>
      </w:r>
    </w:p>
    <w:p w:rsidR="00664B96" w:rsidRDefault="00664B96" w:rsidP="006113F0">
      <w:pPr>
        <w:tabs>
          <w:tab w:val="right" w:leader="dot" w:pos="8647"/>
        </w:tabs>
        <w:jc w:val="center"/>
        <w:rPr>
          <w:rFonts w:ascii="Arial" w:hAnsi="Arial"/>
          <w:b/>
          <w:smallCaps/>
          <w:sz w:val="32"/>
          <w:lang w:val="en-GB"/>
        </w:rPr>
      </w:pPr>
      <w:r w:rsidRPr="00571F0B">
        <w:rPr>
          <w:rFonts w:ascii="Arial" w:hAnsi="Arial"/>
          <w:b/>
          <w:smallCaps/>
          <w:sz w:val="32"/>
          <w:lang w:val="en-GB"/>
        </w:rPr>
        <w:lastRenderedPageBreak/>
        <w:t>Annexes</w:t>
      </w:r>
    </w:p>
    <w:p w:rsidR="00705A88" w:rsidRPr="00571F0B" w:rsidRDefault="00705A88" w:rsidP="006113F0">
      <w:pPr>
        <w:tabs>
          <w:tab w:val="right" w:leader="dot" w:pos="8647"/>
        </w:tabs>
        <w:jc w:val="center"/>
        <w:rPr>
          <w:caps/>
          <w:color w:val="0000FF"/>
          <w:lang w:val="en-GB"/>
        </w:rPr>
      </w:pPr>
    </w:p>
    <w:p w:rsidR="00664B96" w:rsidRPr="006113F0" w:rsidRDefault="00664B96">
      <w:pPr>
        <w:tabs>
          <w:tab w:val="right" w:leader="dot" w:pos="8647"/>
        </w:tabs>
        <w:spacing w:after="60"/>
        <w:ind w:left="1134" w:hanging="1134"/>
        <w:rPr>
          <w:rFonts w:ascii="Arial" w:hAnsi="Arial"/>
          <w:szCs w:val="24"/>
          <w:lang w:val="en-GB"/>
        </w:rPr>
      </w:pPr>
      <w:r w:rsidRPr="006113F0">
        <w:rPr>
          <w:rFonts w:ascii="Arial" w:hAnsi="Arial"/>
          <w:szCs w:val="24"/>
          <w:lang w:val="en-GB"/>
        </w:rPr>
        <w:t xml:space="preserve">Annex </w:t>
      </w:r>
      <w:r w:rsidR="00826245" w:rsidRPr="006113F0">
        <w:rPr>
          <w:rFonts w:ascii="Arial" w:hAnsi="Arial"/>
          <w:szCs w:val="24"/>
          <w:lang w:val="en-GB"/>
        </w:rPr>
        <w:t>1</w:t>
      </w:r>
      <w:r w:rsidRPr="006113F0">
        <w:rPr>
          <w:rFonts w:ascii="Arial" w:hAnsi="Arial"/>
          <w:szCs w:val="24"/>
          <w:lang w:val="en-GB"/>
        </w:rPr>
        <w:t>:</w:t>
      </w:r>
      <w:r w:rsidRPr="006113F0">
        <w:rPr>
          <w:rFonts w:ascii="Arial" w:hAnsi="Arial"/>
          <w:szCs w:val="24"/>
          <w:lang w:val="en-GB"/>
        </w:rPr>
        <w:tab/>
      </w:r>
      <w:r w:rsidR="003D736E">
        <w:rPr>
          <w:rFonts w:ascii="Arial" w:hAnsi="Arial"/>
          <w:szCs w:val="24"/>
          <w:lang w:val="en-GB"/>
        </w:rPr>
        <w:t>removed</w:t>
      </w:r>
    </w:p>
    <w:p w:rsidR="002B6238" w:rsidRPr="006113F0" w:rsidRDefault="002B6238" w:rsidP="002B6238">
      <w:pPr>
        <w:tabs>
          <w:tab w:val="right" w:leader="dot" w:pos="8647"/>
        </w:tabs>
        <w:spacing w:after="60"/>
        <w:ind w:left="1134" w:hanging="1134"/>
        <w:rPr>
          <w:rFonts w:ascii="Arial" w:hAnsi="Arial"/>
          <w:szCs w:val="24"/>
          <w:lang w:val="en-GB"/>
        </w:rPr>
      </w:pPr>
      <w:r w:rsidRPr="006113F0">
        <w:rPr>
          <w:rFonts w:ascii="Arial" w:hAnsi="Arial"/>
          <w:szCs w:val="24"/>
          <w:lang w:val="en-GB"/>
        </w:rPr>
        <w:t>Annex 2:</w:t>
      </w:r>
      <w:r w:rsidRPr="006113F0">
        <w:rPr>
          <w:rFonts w:ascii="Arial" w:hAnsi="Arial"/>
          <w:szCs w:val="24"/>
          <w:lang w:val="en-GB"/>
        </w:rPr>
        <w:tab/>
      </w:r>
      <w:r w:rsidR="001D5A19" w:rsidRPr="006113F0">
        <w:rPr>
          <w:rFonts w:ascii="Arial" w:hAnsi="Arial"/>
          <w:szCs w:val="24"/>
          <w:lang w:val="en-GB"/>
        </w:rPr>
        <w:t>Incentive Fund Logic</w:t>
      </w:r>
    </w:p>
    <w:p w:rsidR="002B6238" w:rsidRPr="006113F0" w:rsidRDefault="002B6238" w:rsidP="002B6238">
      <w:pPr>
        <w:tabs>
          <w:tab w:val="right" w:leader="dot" w:pos="8647"/>
        </w:tabs>
        <w:spacing w:after="60"/>
        <w:ind w:left="1134" w:hanging="1134"/>
        <w:rPr>
          <w:rFonts w:ascii="Arial" w:hAnsi="Arial"/>
          <w:szCs w:val="24"/>
          <w:lang w:val="en-GB"/>
        </w:rPr>
      </w:pPr>
      <w:r w:rsidRPr="006113F0">
        <w:rPr>
          <w:rFonts w:ascii="Arial" w:hAnsi="Arial"/>
          <w:szCs w:val="24"/>
          <w:lang w:val="en-GB"/>
        </w:rPr>
        <w:t>Annex 3:</w:t>
      </w:r>
      <w:r w:rsidRPr="006113F0">
        <w:rPr>
          <w:rFonts w:ascii="Arial" w:hAnsi="Arial"/>
          <w:szCs w:val="24"/>
          <w:lang w:val="en-GB"/>
        </w:rPr>
        <w:tab/>
      </w:r>
      <w:r w:rsidR="003D736E">
        <w:rPr>
          <w:rFonts w:ascii="Arial" w:hAnsi="Arial"/>
          <w:szCs w:val="24"/>
          <w:lang w:val="en-GB"/>
        </w:rPr>
        <w:t>removed</w:t>
      </w:r>
    </w:p>
    <w:p w:rsidR="006113F0" w:rsidRPr="006113F0" w:rsidRDefault="002B6238" w:rsidP="006113F0">
      <w:pPr>
        <w:tabs>
          <w:tab w:val="right" w:leader="dot" w:pos="8647"/>
        </w:tabs>
        <w:spacing w:after="60"/>
        <w:ind w:left="1134" w:hanging="1134"/>
        <w:rPr>
          <w:rFonts w:ascii="Arial" w:hAnsi="Arial"/>
          <w:szCs w:val="24"/>
          <w:lang w:val="en-GB"/>
        </w:rPr>
      </w:pPr>
      <w:r w:rsidRPr="006113F0">
        <w:rPr>
          <w:rFonts w:ascii="Arial" w:hAnsi="Arial"/>
          <w:szCs w:val="24"/>
          <w:lang w:val="en-GB"/>
        </w:rPr>
        <w:t>Annex 4:</w:t>
      </w:r>
      <w:r w:rsidRPr="006113F0">
        <w:rPr>
          <w:rFonts w:ascii="Arial" w:hAnsi="Arial"/>
          <w:szCs w:val="24"/>
          <w:lang w:val="en-GB"/>
        </w:rPr>
        <w:tab/>
      </w:r>
      <w:r w:rsidR="003D736E">
        <w:rPr>
          <w:rFonts w:ascii="Arial" w:hAnsi="Arial"/>
          <w:szCs w:val="24"/>
          <w:lang w:val="en-GB"/>
        </w:rPr>
        <w:t>removed</w:t>
      </w:r>
    </w:p>
    <w:p w:rsidR="006113F0" w:rsidRPr="006113F0" w:rsidRDefault="006113F0" w:rsidP="006113F0">
      <w:pPr>
        <w:tabs>
          <w:tab w:val="right" w:leader="dot" w:pos="8647"/>
        </w:tabs>
        <w:spacing w:after="60"/>
        <w:ind w:left="1134" w:hanging="1134"/>
        <w:rPr>
          <w:rFonts w:ascii="Arial" w:hAnsi="Arial"/>
          <w:szCs w:val="24"/>
          <w:lang w:val="en-GB"/>
        </w:rPr>
      </w:pPr>
      <w:r w:rsidRPr="006113F0">
        <w:rPr>
          <w:rFonts w:ascii="Arial" w:hAnsi="Arial"/>
          <w:szCs w:val="24"/>
          <w:lang w:val="en-GB"/>
        </w:rPr>
        <w:t>Annex 5:</w:t>
      </w:r>
      <w:r w:rsidRPr="006113F0">
        <w:rPr>
          <w:rFonts w:ascii="Arial" w:hAnsi="Arial"/>
          <w:szCs w:val="24"/>
          <w:lang w:val="en-GB"/>
        </w:rPr>
        <w:tab/>
        <w:t>Design Methodology and Consultations</w:t>
      </w:r>
    </w:p>
    <w:p w:rsidR="002B6238" w:rsidRPr="006113F0" w:rsidRDefault="006113F0" w:rsidP="002B6238">
      <w:pPr>
        <w:tabs>
          <w:tab w:val="right" w:leader="dot" w:pos="8647"/>
        </w:tabs>
        <w:spacing w:after="60"/>
        <w:ind w:left="1134" w:hanging="1134"/>
        <w:rPr>
          <w:rFonts w:ascii="Arial" w:hAnsi="Arial"/>
          <w:szCs w:val="24"/>
          <w:lang w:val="en-GB"/>
        </w:rPr>
      </w:pPr>
      <w:r w:rsidRPr="006113F0">
        <w:rPr>
          <w:rFonts w:ascii="Arial" w:hAnsi="Arial"/>
          <w:szCs w:val="24"/>
          <w:lang w:val="en-GB"/>
        </w:rPr>
        <w:t>Annex 6:</w:t>
      </w:r>
      <w:r w:rsidR="003D736E">
        <w:rPr>
          <w:rFonts w:ascii="Arial" w:hAnsi="Arial"/>
          <w:szCs w:val="24"/>
          <w:lang w:val="en-GB"/>
        </w:rPr>
        <w:t xml:space="preserve"> removed</w:t>
      </w:r>
    </w:p>
    <w:p w:rsidR="00100D87" w:rsidRPr="00571F0B" w:rsidRDefault="00100D87" w:rsidP="00100D87">
      <w:pPr>
        <w:pStyle w:val="Heading1"/>
        <w:numPr>
          <w:ilvl w:val="0"/>
          <w:numId w:val="0"/>
        </w:numPr>
        <w:jc w:val="center"/>
        <w:rPr>
          <w:lang w:val="en-GB"/>
        </w:rPr>
      </w:pPr>
      <w:bookmarkStart w:id="1" w:name="_Toc403037554"/>
      <w:r w:rsidRPr="00571F0B">
        <w:rPr>
          <w:lang w:val="en-GB"/>
        </w:rPr>
        <w:lastRenderedPageBreak/>
        <w:t>Executive summary</w:t>
      </w:r>
      <w:bookmarkEnd w:id="1"/>
    </w:p>
    <w:p w:rsidR="009C6EAE" w:rsidRPr="00571F0B" w:rsidRDefault="009C6EAE" w:rsidP="000471AF">
      <w:pPr>
        <w:pStyle w:val="Caption"/>
        <w:spacing w:before="0" w:after="0"/>
        <w:rPr>
          <w:szCs w:val="24"/>
          <w:lang w:val="en-GB"/>
        </w:rPr>
      </w:pPr>
      <w:r w:rsidRPr="00571F0B">
        <w:rPr>
          <w:szCs w:val="24"/>
          <w:lang w:val="en-GB"/>
        </w:rPr>
        <w:t>The design context</w:t>
      </w:r>
    </w:p>
    <w:p w:rsidR="009C6EAE" w:rsidRDefault="009C6EAE" w:rsidP="000471AF">
      <w:pPr>
        <w:spacing w:before="0" w:after="0"/>
        <w:rPr>
          <w:szCs w:val="24"/>
          <w:lang w:val="en-GB"/>
        </w:rPr>
      </w:pPr>
      <w:r w:rsidRPr="00571F0B">
        <w:rPr>
          <w:szCs w:val="24"/>
          <w:lang w:val="en-GB"/>
        </w:rPr>
        <w:t xml:space="preserve">The Incentive Fund Phase IV [IF (IV)] design </w:t>
      </w:r>
      <w:r w:rsidR="00E633B2">
        <w:rPr>
          <w:szCs w:val="24"/>
          <w:lang w:val="en-GB"/>
        </w:rPr>
        <w:t>is an</w:t>
      </w:r>
      <w:r w:rsidRPr="00571F0B">
        <w:rPr>
          <w:szCs w:val="24"/>
          <w:lang w:val="en-GB"/>
        </w:rPr>
        <w:t xml:space="preserve"> adjustment </w:t>
      </w:r>
      <w:r w:rsidR="00F93CE9">
        <w:rPr>
          <w:szCs w:val="24"/>
          <w:lang w:val="en-GB"/>
        </w:rPr>
        <w:t xml:space="preserve">and update </w:t>
      </w:r>
      <w:r w:rsidRPr="00571F0B">
        <w:rPr>
          <w:szCs w:val="24"/>
          <w:lang w:val="en-GB"/>
        </w:rPr>
        <w:t xml:space="preserve">of the Phase III design. </w:t>
      </w:r>
      <w:r w:rsidR="000471AF">
        <w:rPr>
          <w:szCs w:val="24"/>
          <w:lang w:val="en-GB"/>
        </w:rPr>
        <w:t xml:space="preserve"> </w:t>
      </w:r>
      <w:r w:rsidR="00B90C58">
        <w:rPr>
          <w:szCs w:val="24"/>
          <w:lang w:val="en-GB"/>
        </w:rPr>
        <w:t>IF (IV)</w:t>
      </w:r>
      <w:r w:rsidR="00B90C58" w:rsidRPr="00B90C58">
        <w:rPr>
          <w:szCs w:val="24"/>
          <w:lang w:val="en-GB"/>
        </w:rPr>
        <w:t xml:space="preserve"> fully aligns with Australia’s new development </w:t>
      </w:r>
      <w:r w:rsidR="00B90C58">
        <w:rPr>
          <w:szCs w:val="24"/>
          <w:lang w:val="en-GB"/>
        </w:rPr>
        <w:t xml:space="preserve">policy and the recent </w:t>
      </w:r>
      <w:r w:rsidR="00B90C58" w:rsidRPr="00571F0B">
        <w:rPr>
          <w:szCs w:val="24"/>
          <w:lang w:val="en-GB"/>
        </w:rPr>
        <w:t xml:space="preserve">Government of Papua New Guinea </w:t>
      </w:r>
      <w:r w:rsidR="00B90C58">
        <w:rPr>
          <w:szCs w:val="24"/>
          <w:lang w:val="en-GB"/>
        </w:rPr>
        <w:t xml:space="preserve">(GoPNG) </w:t>
      </w:r>
      <w:r w:rsidR="00B90C58" w:rsidRPr="00571F0B">
        <w:rPr>
          <w:szCs w:val="24"/>
          <w:lang w:val="en-GB"/>
        </w:rPr>
        <w:t xml:space="preserve">and Government of Australia </w:t>
      </w:r>
      <w:r w:rsidR="00B90C58">
        <w:rPr>
          <w:szCs w:val="24"/>
          <w:lang w:val="en-GB"/>
        </w:rPr>
        <w:t>(GoA)</w:t>
      </w:r>
      <w:r w:rsidR="00D37124">
        <w:rPr>
          <w:szCs w:val="24"/>
          <w:lang w:val="en-GB"/>
        </w:rPr>
        <w:t xml:space="preserve"> aid a</w:t>
      </w:r>
      <w:r w:rsidR="00B90C58" w:rsidRPr="00B90C58">
        <w:rPr>
          <w:szCs w:val="24"/>
          <w:lang w:val="en-GB"/>
        </w:rPr>
        <w:t>ssessment recommendations</w:t>
      </w:r>
      <w:r w:rsidR="00D37124">
        <w:rPr>
          <w:szCs w:val="24"/>
          <w:lang w:val="en-GB"/>
        </w:rPr>
        <w:t xml:space="preserve">, now articulated in the Australian Aid policy: </w:t>
      </w:r>
      <w:r w:rsidR="00D37124" w:rsidRPr="00D37124">
        <w:rPr>
          <w:i/>
          <w:szCs w:val="24"/>
          <w:lang w:val="en-GB"/>
        </w:rPr>
        <w:t>A New Direction for Australian Aid in</w:t>
      </w:r>
      <w:r w:rsidR="00D37124">
        <w:rPr>
          <w:i/>
          <w:szCs w:val="24"/>
          <w:lang w:val="en-GB"/>
        </w:rPr>
        <w:t xml:space="preserve"> PNG</w:t>
      </w:r>
      <w:r w:rsidR="00B90C58">
        <w:rPr>
          <w:szCs w:val="24"/>
          <w:lang w:val="en-GB"/>
        </w:rPr>
        <w:t>.</w:t>
      </w:r>
    </w:p>
    <w:p w:rsidR="00EE49FD" w:rsidRDefault="00EE49FD" w:rsidP="000471AF">
      <w:pPr>
        <w:spacing w:before="0" w:after="0"/>
        <w:rPr>
          <w:szCs w:val="24"/>
          <w:lang w:val="en-GB"/>
        </w:rPr>
      </w:pPr>
    </w:p>
    <w:p w:rsidR="00EE49FD" w:rsidRDefault="00EE49FD" w:rsidP="00EE49FD">
      <w:pPr>
        <w:spacing w:before="0" w:after="0"/>
        <w:rPr>
          <w:szCs w:val="24"/>
          <w:lang w:val="en-GB"/>
        </w:rPr>
      </w:pPr>
      <w:r w:rsidRPr="00EE49FD">
        <w:rPr>
          <w:szCs w:val="24"/>
          <w:lang w:val="en-GB"/>
        </w:rPr>
        <w:t>This IF (IV) design picks up where th</w:t>
      </w:r>
      <w:r w:rsidR="00CF2FBF">
        <w:rPr>
          <w:szCs w:val="24"/>
          <w:lang w:val="en-GB"/>
        </w:rPr>
        <w:t>e Phase III Program Logic ended. All</w:t>
      </w:r>
      <w:r w:rsidRPr="00EE49FD">
        <w:rPr>
          <w:szCs w:val="24"/>
          <w:lang w:val="en-GB"/>
        </w:rPr>
        <w:t xml:space="preserve"> </w:t>
      </w:r>
      <w:r w:rsidR="00CF2FBF">
        <w:rPr>
          <w:szCs w:val="24"/>
          <w:lang w:val="en-GB"/>
        </w:rPr>
        <w:t>investment strategies are intended to be driven th</w:t>
      </w:r>
      <w:r w:rsidRPr="00EE49FD">
        <w:rPr>
          <w:szCs w:val="24"/>
          <w:lang w:val="en-GB"/>
        </w:rPr>
        <w:t xml:space="preserve">rough a Performance Assessment Framework (PAF) (Table </w:t>
      </w:r>
      <w:r w:rsidR="002260E4">
        <w:rPr>
          <w:szCs w:val="24"/>
          <w:lang w:val="en-GB"/>
        </w:rPr>
        <w:t>9</w:t>
      </w:r>
      <w:r w:rsidRPr="00EE49FD">
        <w:rPr>
          <w:szCs w:val="24"/>
          <w:lang w:val="en-GB"/>
        </w:rPr>
        <w:t>)</w:t>
      </w:r>
      <w:r>
        <w:rPr>
          <w:szCs w:val="24"/>
          <w:lang w:val="en-GB"/>
        </w:rPr>
        <w:t xml:space="preserve"> to a</w:t>
      </w:r>
      <w:r w:rsidR="00CF2FBF">
        <w:rPr>
          <w:szCs w:val="24"/>
          <w:lang w:val="en-GB"/>
        </w:rPr>
        <w:t xml:space="preserve">n </w:t>
      </w:r>
      <w:r>
        <w:rPr>
          <w:szCs w:val="24"/>
          <w:lang w:val="en-GB"/>
        </w:rPr>
        <w:t>end-of-program position</w:t>
      </w:r>
      <w:r w:rsidR="00CF2FBF">
        <w:rPr>
          <w:szCs w:val="24"/>
          <w:lang w:val="en-GB"/>
        </w:rPr>
        <w:t xml:space="preserve"> </w:t>
      </w:r>
      <w:r w:rsidR="006E2FBE">
        <w:rPr>
          <w:szCs w:val="24"/>
          <w:lang w:val="en-GB"/>
        </w:rPr>
        <w:t>confirmed</w:t>
      </w:r>
      <w:r w:rsidR="00CF2FBF">
        <w:rPr>
          <w:szCs w:val="24"/>
          <w:lang w:val="en-GB"/>
        </w:rPr>
        <w:t xml:space="preserve"> </w:t>
      </w:r>
      <w:r w:rsidR="006E2FBE">
        <w:rPr>
          <w:szCs w:val="24"/>
          <w:lang w:val="en-GB"/>
        </w:rPr>
        <w:t>during annual</w:t>
      </w:r>
      <w:r w:rsidR="00CF2FBF">
        <w:rPr>
          <w:szCs w:val="24"/>
          <w:lang w:val="en-GB"/>
        </w:rPr>
        <w:t xml:space="preserve"> strategic planning process</w:t>
      </w:r>
      <w:r w:rsidR="00D37124">
        <w:rPr>
          <w:szCs w:val="24"/>
          <w:lang w:val="en-GB"/>
        </w:rPr>
        <w:t>es</w:t>
      </w:r>
      <w:r w:rsidRPr="00EE49FD">
        <w:rPr>
          <w:szCs w:val="24"/>
          <w:lang w:val="en-GB"/>
        </w:rPr>
        <w:t>.</w:t>
      </w:r>
    </w:p>
    <w:p w:rsidR="00967DC8" w:rsidRDefault="00967DC8" w:rsidP="00EE49FD">
      <w:pPr>
        <w:spacing w:before="0" w:after="0"/>
        <w:rPr>
          <w:szCs w:val="24"/>
          <w:lang w:val="en-GB"/>
        </w:rPr>
      </w:pPr>
    </w:p>
    <w:p w:rsidR="00EE49FD" w:rsidRDefault="00967DC8" w:rsidP="00EE49FD">
      <w:pPr>
        <w:spacing w:before="0" w:after="0"/>
        <w:rPr>
          <w:szCs w:val="24"/>
          <w:lang w:val="en-GB"/>
        </w:rPr>
      </w:pPr>
      <w:r w:rsidRPr="00967DC8">
        <w:rPr>
          <w:szCs w:val="24"/>
          <w:lang w:val="en-GB"/>
        </w:rPr>
        <w:t xml:space="preserve">The Incentive Fund has been operating for 14 years and </w:t>
      </w:r>
      <w:r>
        <w:rPr>
          <w:szCs w:val="24"/>
          <w:lang w:val="en-GB"/>
        </w:rPr>
        <w:t xml:space="preserve">it </w:t>
      </w:r>
      <w:r w:rsidRPr="00967DC8">
        <w:rPr>
          <w:szCs w:val="24"/>
          <w:lang w:val="en-GB"/>
        </w:rPr>
        <w:t>is the most recognised component of the Australian Aid program. It is popular and it is visible so it has high public diplomacy value. The incentive fund provides te</w:t>
      </w:r>
      <w:r w:rsidR="00833C00">
        <w:rPr>
          <w:szCs w:val="24"/>
          <w:lang w:val="en-GB"/>
        </w:rPr>
        <w:t xml:space="preserve">chnical and funding support. It is flexible in nature and </w:t>
      </w:r>
      <w:r w:rsidRPr="00967DC8">
        <w:rPr>
          <w:szCs w:val="24"/>
          <w:lang w:val="en-GB"/>
        </w:rPr>
        <w:t>able to reward good performance across PNG.</w:t>
      </w:r>
      <w:r w:rsidR="00CF2FBF">
        <w:rPr>
          <w:szCs w:val="24"/>
          <w:lang w:val="en-GB"/>
        </w:rPr>
        <w:t xml:space="preserve"> </w:t>
      </w:r>
      <w:r w:rsidRPr="00967DC8">
        <w:rPr>
          <w:szCs w:val="24"/>
          <w:lang w:val="en-GB"/>
        </w:rPr>
        <w:t xml:space="preserve">The list of expected contributions </w:t>
      </w:r>
      <w:r w:rsidR="00CF2FBF">
        <w:rPr>
          <w:szCs w:val="24"/>
          <w:lang w:val="en-GB"/>
        </w:rPr>
        <w:t xml:space="preserve">to development outcomes </w:t>
      </w:r>
      <w:r w:rsidRPr="00967DC8">
        <w:rPr>
          <w:szCs w:val="24"/>
          <w:lang w:val="en-GB"/>
        </w:rPr>
        <w:t xml:space="preserve">from </w:t>
      </w:r>
      <w:r w:rsidR="00CF2FBF">
        <w:rPr>
          <w:szCs w:val="24"/>
          <w:lang w:val="en-GB"/>
        </w:rPr>
        <w:t xml:space="preserve">the </w:t>
      </w:r>
      <w:r w:rsidR="00D37124" w:rsidRPr="00D37124">
        <w:rPr>
          <w:szCs w:val="24"/>
          <w:lang w:val="en-GB"/>
        </w:rPr>
        <w:t xml:space="preserve">IF (IV) </w:t>
      </w:r>
      <w:r w:rsidRPr="00967DC8">
        <w:rPr>
          <w:szCs w:val="24"/>
          <w:lang w:val="en-GB"/>
        </w:rPr>
        <w:t xml:space="preserve">is impressive. It </w:t>
      </w:r>
      <w:r w:rsidR="00CF2FBF">
        <w:rPr>
          <w:szCs w:val="24"/>
          <w:lang w:val="en-GB"/>
        </w:rPr>
        <w:t>delivers</w:t>
      </w:r>
      <w:r w:rsidRPr="00967DC8">
        <w:rPr>
          <w:szCs w:val="24"/>
          <w:lang w:val="en-GB"/>
        </w:rPr>
        <w:t xml:space="preserve"> </w:t>
      </w:r>
      <w:r w:rsidR="00363A5E">
        <w:rPr>
          <w:szCs w:val="24"/>
          <w:lang w:val="en-GB"/>
        </w:rPr>
        <w:t xml:space="preserve">visible outputs, </w:t>
      </w:r>
      <w:r w:rsidRPr="00967DC8">
        <w:rPr>
          <w:szCs w:val="24"/>
          <w:lang w:val="en-GB"/>
        </w:rPr>
        <w:t xml:space="preserve">good human development, </w:t>
      </w:r>
      <w:r w:rsidR="00CF2FBF">
        <w:rPr>
          <w:szCs w:val="24"/>
          <w:lang w:val="en-GB"/>
        </w:rPr>
        <w:t xml:space="preserve">strengthens </w:t>
      </w:r>
      <w:r w:rsidRPr="00967DC8">
        <w:rPr>
          <w:szCs w:val="24"/>
          <w:lang w:val="en-GB"/>
        </w:rPr>
        <w:t>organisation</w:t>
      </w:r>
      <w:r w:rsidR="00CF2FBF">
        <w:rPr>
          <w:szCs w:val="24"/>
          <w:lang w:val="en-GB"/>
        </w:rPr>
        <w:t xml:space="preserve">s, expands </w:t>
      </w:r>
      <w:r w:rsidRPr="00967DC8">
        <w:rPr>
          <w:szCs w:val="24"/>
          <w:lang w:val="en-GB"/>
        </w:rPr>
        <w:t>service delivery</w:t>
      </w:r>
      <w:r w:rsidR="00CF2FBF">
        <w:rPr>
          <w:szCs w:val="24"/>
          <w:lang w:val="en-GB"/>
        </w:rPr>
        <w:t xml:space="preserve"> </w:t>
      </w:r>
      <w:r w:rsidR="00D37124">
        <w:rPr>
          <w:szCs w:val="24"/>
          <w:lang w:val="en-GB"/>
        </w:rPr>
        <w:t xml:space="preserve">through partners </w:t>
      </w:r>
      <w:r w:rsidR="00CF2FBF">
        <w:rPr>
          <w:szCs w:val="24"/>
          <w:lang w:val="en-GB"/>
        </w:rPr>
        <w:t>and can stimulate</w:t>
      </w:r>
      <w:r w:rsidRPr="00967DC8">
        <w:rPr>
          <w:szCs w:val="24"/>
          <w:lang w:val="en-GB"/>
        </w:rPr>
        <w:t xml:space="preserve"> economic </w:t>
      </w:r>
      <w:r w:rsidR="00AF79FB" w:rsidRPr="00AF79FB">
        <w:rPr>
          <w:szCs w:val="24"/>
          <w:lang w:val="en-GB"/>
        </w:rPr>
        <w:t>development</w:t>
      </w:r>
      <w:r w:rsidR="00833C00">
        <w:rPr>
          <w:szCs w:val="24"/>
          <w:lang w:val="en-GB"/>
        </w:rPr>
        <w:t xml:space="preserve">. </w:t>
      </w:r>
      <w:r w:rsidRPr="00967DC8">
        <w:rPr>
          <w:szCs w:val="24"/>
          <w:lang w:val="en-GB"/>
        </w:rPr>
        <w:t xml:space="preserve"> </w:t>
      </w:r>
    </w:p>
    <w:p w:rsidR="00833C00" w:rsidRPr="00EE49FD" w:rsidRDefault="00833C00" w:rsidP="00EE49FD">
      <w:pPr>
        <w:spacing w:before="0" w:after="0"/>
        <w:rPr>
          <w:szCs w:val="24"/>
          <w:lang w:val="en-GB"/>
        </w:rPr>
      </w:pPr>
    </w:p>
    <w:p w:rsidR="00EE49FD" w:rsidRDefault="00EE49FD" w:rsidP="00EE49FD">
      <w:pPr>
        <w:spacing w:before="0" w:after="0"/>
        <w:rPr>
          <w:szCs w:val="24"/>
          <w:lang w:val="en-GB"/>
        </w:rPr>
      </w:pPr>
      <w:r w:rsidRPr="00EE49FD">
        <w:rPr>
          <w:szCs w:val="24"/>
          <w:lang w:val="en-GB"/>
        </w:rPr>
        <w:t xml:space="preserve">DFAT </w:t>
      </w:r>
      <w:r w:rsidR="00967DC8">
        <w:rPr>
          <w:szCs w:val="24"/>
          <w:lang w:val="en-GB"/>
        </w:rPr>
        <w:t xml:space="preserve">has </w:t>
      </w:r>
      <w:r w:rsidRPr="00EE49FD">
        <w:rPr>
          <w:szCs w:val="24"/>
          <w:lang w:val="en-GB"/>
        </w:rPr>
        <w:t xml:space="preserve">directed the </w:t>
      </w:r>
      <w:r w:rsidR="002B7876" w:rsidRPr="002B7876">
        <w:rPr>
          <w:szCs w:val="24"/>
          <w:lang w:val="en-GB"/>
        </w:rPr>
        <w:t>IF (IV</w:t>
      </w:r>
      <w:r w:rsidR="002B7876">
        <w:rPr>
          <w:szCs w:val="24"/>
          <w:lang w:val="en-GB"/>
        </w:rPr>
        <w:t>)</w:t>
      </w:r>
      <w:r w:rsidR="002B7876" w:rsidRPr="002B7876">
        <w:rPr>
          <w:szCs w:val="24"/>
          <w:lang w:val="en-GB"/>
        </w:rPr>
        <w:t xml:space="preserve"> </w:t>
      </w:r>
      <w:r w:rsidRPr="00EE49FD">
        <w:rPr>
          <w:szCs w:val="24"/>
          <w:lang w:val="en-GB"/>
        </w:rPr>
        <w:t>design to target health, education</w:t>
      </w:r>
      <w:r w:rsidR="00D37124">
        <w:rPr>
          <w:szCs w:val="24"/>
          <w:lang w:val="en-GB"/>
        </w:rPr>
        <w:t>, other sectors</w:t>
      </w:r>
      <w:r w:rsidRPr="00EE49FD">
        <w:rPr>
          <w:szCs w:val="24"/>
          <w:lang w:val="en-GB"/>
        </w:rPr>
        <w:t xml:space="preserve"> and economic </w:t>
      </w:r>
      <w:r w:rsidR="00AF79FB" w:rsidRPr="00AF79FB">
        <w:rPr>
          <w:szCs w:val="24"/>
          <w:lang w:val="en-GB"/>
        </w:rPr>
        <w:t>development</w:t>
      </w:r>
      <w:r w:rsidRPr="00EE49FD">
        <w:rPr>
          <w:szCs w:val="24"/>
          <w:lang w:val="en-GB"/>
        </w:rPr>
        <w:t xml:space="preserve"> without specifying any </w:t>
      </w:r>
      <w:r w:rsidR="00833C00">
        <w:rPr>
          <w:szCs w:val="24"/>
          <w:lang w:val="en-GB"/>
        </w:rPr>
        <w:t>funding allocations at the design stage. Funding confirmations will come through the start-up strategic planning process which will be informed by an evaluation of Phases I – III and confirm the PAF.</w:t>
      </w:r>
      <w:r w:rsidRPr="00EE49FD">
        <w:rPr>
          <w:szCs w:val="24"/>
          <w:lang w:val="en-GB"/>
        </w:rPr>
        <w:t xml:space="preserve">  </w:t>
      </w:r>
    </w:p>
    <w:p w:rsidR="000471AF" w:rsidRDefault="000471AF" w:rsidP="000471AF">
      <w:pPr>
        <w:spacing w:before="0" w:after="0"/>
        <w:rPr>
          <w:szCs w:val="24"/>
          <w:lang w:val="en-GB"/>
        </w:rPr>
      </w:pPr>
    </w:p>
    <w:p w:rsidR="00EE49FD" w:rsidRDefault="00B90C58" w:rsidP="000471AF">
      <w:pPr>
        <w:spacing w:before="0" w:after="0"/>
        <w:rPr>
          <w:szCs w:val="24"/>
          <w:lang w:val="en-GB"/>
        </w:rPr>
      </w:pPr>
      <w:r>
        <w:rPr>
          <w:szCs w:val="24"/>
          <w:lang w:val="en-GB"/>
        </w:rPr>
        <w:t>Improvements to</w:t>
      </w:r>
      <w:r w:rsidR="00EE49FD" w:rsidRPr="00EE49FD">
        <w:rPr>
          <w:szCs w:val="24"/>
          <w:lang w:val="en-GB"/>
        </w:rPr>
        <w:t xml:space="preserve"> </w:t>
      </w:r>
      <w:r>
        <w:rPr>
          <w:szCs w:val="24"/>
          <w:lang w:val="en-GB"/>
        </w:rPr>
        <w:t>targeting</w:t>
      </w:r>
      <w:r w:rsidR="00833C00">
        <w:rPr>
          <w:szCs w:val="24"/>
          <w:lang w:val="en-GB"/>
        </w:rPr>
        <w:t xml:space="preserve"> demand</w:t>
      </w:r>
      <w:r>
        <w:rPr>
          <w:szCs w:val="24"/>
          <w:lang w:val="en-GB"/>
        </w:rPr>
        <w:t>, selection and imple</w:t>
      </w:r>
      <w:r w:rsidR="00833C00">
        <w:rPr>
          <w:szCs w:val="24"/>
          <w:lang w:val="en-GB"/>
        </w:rPr>
        <w:t>mentation have been introduced</w:t>
      </w:r>
      <w:r w:rsidR="00D37124">
        <w:rPr>
          <w:szCs w:val="24"/>
          <w:lang w:val="en-GB"/>
        </w:rPr>
        <w:t xml:space="preserve"> in the IF (IV) design</w:t>
      </w:r>
      <w:r w:rsidR="00833C00">
        <w:rPr>
          <w:szCs w:val="24"/>
          <w:lang w:val="en-GB"/>
        </w:rPr>
        <w:t xml:space="preserve">.  Specifics </w:t>
      </w:r>
      <w:r w:rsidR="00EE49FD" w:rsidRPr="00EE49FD">
        <w:rPr>
          <w:szCs w:val="24"/>
          <w:lang w:val="en-GB"/>
        </w:rPr>
        <w:t xml:space="preserve">include: </w:t>
      </w:r>
      <w:r w:rsidR="00967DC8">
        <w:rPr>
          <w:szCs w:val="24"/>
          <w:lang w:val="en-GB"/>
        </w:rPr>
        <w:t xml:space="preserve">conducting a full evaluation of Phases I-III to inform the </w:t>
      </w:r>
      <w:r w:rsidR="002B7876" w:rsidRPr="002B7876">
        <w:rPr>
          <w:szCs w:val="24"/>
          <w:lang w:val="en-GB"/>
        </w:rPr>
        <w:t xml:space="preserve">IF (IV) </w:t>
      </w:r>
      <w:r>
        <w:rPr>
          <w:szCs w:val="24"/>
          <w:lang w:val="en-GB"/>
        </w:rPr>
        <w:t>PAF</w:t>
      </w:r>
      <w:r w:rsidR="00967DC8">
        <w:rPr>
          <w:szCs w:val="24"/>
          <w:lang w:val="en-GB"/>
        </w:rPr>
        <w:t xml:space="preserve">; </w:t>
      </w:r>
      <w:r>
        <w:rPr>
          <w:szCs w:val="24"/>
          <w:lang w:val="en-GB"/>
        </w:rPr>
        <w:t xml:space="preserve">options to target demand through concept paper requests; </w:t>
      </w:r>
      <w:r w:rsidR="00350A70">
        <w:rPr>
          <w:szCs w:val="24"/>
          <w:lang w:val="en-GB"/>
        </w:rPr>
        <w:t xml:space="preserve">introducing </w:t>
      </w:r>
      <w:r w:rsidR="00350A70" w:rsidRPr="00350A70">
        <w:rPr>
          <w:szCs w:val="24"/>
          <w:lang w:val="en-GB"/>
        </w:rPr>
        <w:t xml:space="preserve">local political economy and operating context </w:t>
      </w:r>
      <w:r w:rsidR="00EE49FD" w:rsidRPr="00EE49FD">
        <w:rPr>
          <w:szCs w:val="24"/>
          <w:lang w:val="en-GB"/>
        </w:rPr>
        <w:t>assessments; conducting economic analysis of any private sector business plans</w:t>
      </w:r>
      <w:r w:rsidR="00967DC8">
        <w:rPr>
          <w:szCs w:val="24"/>
          <w:lang w:val="en-GB"/>
        </w:rPr>
        <w:t xml:space="preserve"> to be supported</w:t>
      </w:r>
      <w:r w:rsidR="00EE49FD" w:rsidRPr="00EE49FD">
        <w:rPr>
          <w:szCs w:val="24"/>
          <w:lang w:val="en-GB"/>
        </w:rPr>
        <w:t xml:space="preserve">; </w:t>
      </w:r>
      <w:r w:rsidR="00D37124">
        <w:rPr>
          <w:szCs w:val="24"/>
          <w:lang w:val="en-GB"/>
        </w:rPr>
        <w:t xml:space="preserve">introducing private sector company due diligence; </w:t>
      </w:r>
      <w:r w:rsidR="00EE49FD" w:rsidRPr="00EE49FD">
        <w:rPr>
          <w:szCs w:val="24"/>
          <w:lang w:val="en-GB"/>
        </w:rPr>
        <w:t xml:space="preserve">introducing a grievance mechanism; and separating the application process into five stages to allow </w:t>
      </w:r>
      <w:r w:rsidR="00D37124">
        <w:rPr>
          <w:szCs w:val="24"/>
          <w:lang w:val="en-GB"/>
        </w:rPr>
        <w:t>enhanced</w:t>
      </w:r>
      <w:r w:rsidR="00EE49FD" w:rsidRPr="00EE49FD">
        <w:rPr>
          <w:szCs w:val="24"/>
          <w:lang w:val="en-GB"/>
        </w:rPr>
        <w:t xml:space="preserve"> analysis of new and effective partners</w:t>
      </w:r>
      <w:r w:rsidR="00374BC0">
        <w:rPr>
          <w:szCs w:val="24"/>
          <w:lang w:val="en-GB"/>
        </w:rPr>
        <w:t>.</w:t>
      </w:r>
      <w:r w:rsidR="00EE49FD" w:rsidRPr="00EE49FD">
        <w:rPr>
          <w:szCs w:val="24"/>
          <w:lang w:val="en-GB"/>
        </w:rPr>
        <w:t xml:space="preserve"> These refinements </w:t>
      </w:r>
      <w:r w:rsidR="00967DC8">
        <w:rPr>
          <w:szCs w:val="24"/>
          <w:lang w:val="en-GB"/>
        </w:rPr>
        <w:t xml:space="preserve">will </w:t>
      </w:r>
      <w:r w:rsidR="00EE49FD" w:rsidRPr="00EE49FD">
        <w:rPr>
          <w:szCs w:val="24"/>
          <w:lang w:val="en-GB"/>
        </w:rPr>
        <w:t xml:space="preserve">improve risk mitigation </w:t>
      </w:r>
      <w:r w:rsidR="006E2FBE">
        <w:rPr>
          <w:szCs w:val="24"/>
          <w:lang w:val="en-GB"/>
        </w:rPr>
        <w:t xml:space="preserve">strategies </w:t>
      </w:r>
      <w:r w:rsidR="00EE49FD" w:rsidRPr="00EE49FD">
        <w:rPr>
          <w:szCs w:val="24"/>
          <w:lang w:val="en-GB"/>
        </w:rPr>
        <w:t>and enhance feasibility.</w:t>
      </w:r>
    </w:p>
    <w:p w:rsidR="00967DC8" w:rsidRDefault="00967DC8" w:rsidP="000471AF">
      <w:pPr>
        <w:spacing w:before="0" w:after="0"/>
        <w:rPr>
          <w:szCs w:val="24"/>
          <w:lang w:val="en-GB"/>
        </w:rPr>
      </w:pPr>
    </w:p>
    <w:p w:rsidR="009F635E" w:rsidRPr="00571F0B" w:rsidRDefault="001C332D" w:rsidP="000471AF">
      <w:pPr>
        <w:pStyle w:val="Caption"/>
        <w:spacing w:before="0" w:after="0"/>
        <w:rPr>
          <w:szCs w:val="24"/>
          <w:lang w:val="en-GB"/>
        </w:rPr>
      </w:pPr>
      <w:r w:rsidRPr="00571F0B">
        <w:rPr>
          <w:szCs w:val="24"/>
          <w:lang w:val="en-GB"/>
        </w:rPr>
        <w:t>Background and h</w:t>
      </w:r>
      <w:r w:rsidR="009F635E" w:rsidRPr="00571F0B">
        <w:rPr>
          <w:szCs w:val="24"/>
          <w:lang w:val="en-GB"/>
        </w:rPr>
        <w:t>istory</w:t>
      </w:r>
    </w:p>
    <w:p w:rsidR="009F635E" w:rsidRDefault="009F635E" w:rsidP="000471AF">
      <w:pPr>
        <w:pStyle w:val="BodyText"/>
        <w:spacing w:before="0" w:after="0"/>
        <w:rPr>
          <w:szCs w:val="24"/>
          <w:lang w:val="en-GB"/>
        </w:rPr>
      </w:pPr>
      <w:r w:rsidRPr="00571F0B">
        <w:rPr>
          <w:szCs w:val="24"/>
          <w:lang w:val="en-GB"/>
        </w:rPr>
        <w:t>During the 1999 Development Cooperation Treaty (DCT) negotiations</w:t>
      </w:r>
      <w:r w:rsidR="003D057D">
        <w:rPr>
          <w:szCs w:val="24"/>
          <w:lang w:val="en-GB"/>
        </w:rPr>
        <w:t xml:space="preserve"> between GoPNG and GoA</w:t>
      </w:r>
      <w:r w:rsidRPr="00571F0B">
        <w:rPr>
          <w:szCs w:val="24"/>
          <w:lang w:val="en-GB"/>
        </w:rPr>
        <w:t>, it was agreed that Australia’s development cooperation program would include jointly programmed assistance to be known as the Australia Papua New Guinea Incentive Fund (APNGIF</w:t>
      </w:r>
      <w:r w:rsidR="00E43905">
        <w:rPr>
          <w:szCs w:val="24"/>
          <w:lang w:val="en-GB"/>
        </w:rPr>
        <w:t xml:space="preserve">). The Incentive Fund mechanism is the only support program </w:t>
      </w:r>
      <w:r w:rsidRPr="00571F0B">
        <w:rPr>
          <w:szCs w:val="24"/>
          <w:lang w:val="en-GB"/>
        </w:rPr>
        <w:t>specifically named in a bilateral treaty, partnersh</w:t>
      </w:r>
      <w:r w:rsidR="00E43905">
        <w:rPr>
          <w:szCs w:val="24"/>
          <w:lang w:val="en-GB"/>
        </w:rPr>
        <w:t xml:space="preserve">ip or agreement </w:t>
      </w:r>
      <w:r w:rsidR="00D37124">
        <w:rPr>
          <w:szCs w:val="24"/>
          <w:lang w:val="en-GB"/>
        </w:rPr>
        <w:t xml:space="preserve">and it continues to be named in the </w:t>
      </w:r>
      <w:r w:rsidR="00D37124">
        <w:rPr>
          <w:lang w:val="en-GB"/>
        </w:rPr>
        <w:t xml:space="preserve">Economic Cooperative Treaty signed in April 2014. This </w:t>
      </w:r>
      <w:r w:rsidR="00D37124">
        <w:rPr>
          <w:szCs w:val="24"/>
          <w:lang w:val="en-GB"/>
        </w:rPr>
        <w:t>confirms</w:t>
      </w:r>
      <w:r w:rsidR="00E43905">
        <w:rPr>
          <w:szCs w:val="24"/>
          <w:lang w:val="en-GB"/>
        </w:rPr>
        <w:t xml:space="preserve"> both governments’ </w:t>
      </w:r>
      <w:r w:rsidR="00D37124">
        <w:rPr>
          <w:szCs w:val="24"/>
          <w:lang w:val="en-GB"/>
        </w:rPr>
        <w:t xml:space="preserve">have a </w:t>
      </w:r>
      <w:r w:rsidR="00E43905">
        <w:rPr>
          <w:szCs w:val="24"/>
          <w:lang w:val="en-GB"/>
        </w:rPr>
        <w:t xml:space="preserve">strong </w:t>
      </w:r>
      <w:r w:rsidRPr="00571F0B">
        <w:rPr>
          <w:szCs w:val="24"/>
          <w:lang w:val="en-GB"/>
        </w:rPr>
        <w:t>inte</w:t>
      </w:r>
      <w:r w:rsidR="00E43905">
        <w:rPr>
          <w:szCs w:val="24"/>
          <w:lang w:val="en-GB"/>
        </w:rPr>
        <w:t xml:space="preserve">rest </w:t>
      </w:r>
      <w:r w:rsidR="00D37124">
        <w:rPr>
          <w:szCs w:val="24"/>
          <w:lang w:val="en-GB"/>
        </w:rPr>
        <w:t>in IF (IV)</w:t>
      </w:r>
      <w:r w:rsidR="00571F0B" w:rsidRPr="00571F0B">
        <w:rPr>
          <w:szCs w:val="24"/>
          <w:lang w:val="en-GB"/>
        </w:rPr>
        <w:t>.</w:t>
      </w:r>
    </w:p>
    <w:p w:rsidR="000471AF" w:rsidRPr="000471AF" w:rsidRDefault="000471AF" w:rsidP="000471AF">
      <w:pPr>
        <w:pStyle w:val="BodyText"/>
        <w:spacing w:before="0" w:after="0"/>
        <w:rPr>
          <w:sz w:val="16"/>
          <w:szCs w:val="16"/>
          <w:lang w:val="en-GB"/>
        </w:rPr>
      </w:pPr>
    </w:p>
    <w:p w:rsidR="009F635E" w:rsidRDefault="009F635E" w:rsidP="000471AF">
      <w:pPr>
        <w:pStyle w:val="BodyText"/>
        <w:spacing w:before="0" w:after="0"/>
        <w:rPr>
          <w:szCs w:val="24"/>
          <w:lang w:val="en-GB"/>
        </w:rPr>
      </w:pPr>
      <w:r w:rsidRPr="00571F0B">
        <w:rPr>
          <w:szCs w:val="24"/>
          <w:lang w:val="en-GB"/>
        </w:rPr>
        <w:t>The APNGIF was designed to provide funds directly to private and public sector organisations that were efficient and accountable. The emphasis was on obtaining measurable results by targeting performing organisations with project proposals that were ‘excellent’ in their preparation and aligned with the joint developme</w:t>
      </w:r>
      <w:r w:rsidR="00571F0B" w:rsidRPr="00571F0B">
        <w:rPr>
          <w:szCs w:val="24"/>
          <w:lang w:val="en-GB"/>
        </w:rPr>
        <w:t>nt priorities of GoPNG and GoA.</w:t>
      </w:r>
    </w:p>
    <w:p w:rsidR="009D4DF5" w:rsidRDefault="009D4DF5" w:rsidP="000471AF">
      <w:pPr>
        <w:pStyle w:val="BodyText"/>
        <w:spacing w:before="0" w:after="0"/>
        <w:rPr>
          <w:szCs w:val="24"/>
          <w:lang w:val="en-GB"/>
        </w:rPr>
      </w:pPr>
    </w:p>
    <w:p w:rsidR="009D4DF5" w:rsidRDefault="009D4DF5" w:rsidP="009D4DF5">
      <w:pPr>
        <w:pStyle w:val="BodyText"/>
        <w:spacing w:before="0" w:after="0"/>
        <w:rPr>
          <w:szCs w:val="24"/>
          <w:lang w:val="en-GB"/>
        </w:rPr>
      </w:pPr>
      <w:r w:rsidRPr="00571F0B">
        <w:rPr>
          <w:szCs w:val="24"/>
          <w:lang w:val="en-GB"/>
        </w:rPr>
        <w:t xml:space="preserve">There were two phases to the initial APNGIF: Phase I from 2000 to 2003 and Phase II from 2004 to 2008. Thirty-nine projects to the value of A$110 million covering fifteen provinces </w:t>
      </w:r>
      <w:r w:rsidRPr="00571F0B">
        <w:rPr>
          <w:szCs w:val="24"/>
          <w:lang w:val="en-GB"/>
        </w:rPr>
        <w:lastRenderedPageBreak/>
        <w:t xml:space="preserve">were completed and contributed to outcomes in eight areas -  health, education, </w:t>
      </w:r>
      <w:r w:rsidR="00294FD3">
        <w:rPr>
          <w:szCs w:val="24"/>
          <w:lang w:val="en-GB"/>
        </w:rPr>
        <w:t>transport, law and j</w:t>
      </w:r>
      <w:r>
        <w:rPr>
          <w:szCs w:val="24"/>
          <w:lang w:val="en-GB"/>
        </w:rPr>
        <w:t>ustice, water and sanitation</w:t>
      </w:r>
      <w:r w:rsidRPr="00571F0B">
        <w:rPr>
          <w:szCs w:val="24"/>
          <w:lang w:val="en-GB"/>
        </w:rPr>
        <w:t xml:space="preserve">, research, agriculture and economic </w:t>
      </w:r>
      <w:r w:rsidR="00AF79FB" w:rsidRPr="00AF79FB">
        <w:rPr>
          <w:szCs w:val="24"/>
          <w:lang w:val="en-GB"/>
        </w:rPr>
        <w:t>development</w:t>
      </w:r>
      <w:r w:rsidRPr="00571F0B">
        <w:rPr>
          <w:szCs w:val="24"/>
          <w:lang w:val="en-GB"/>
        </w:rPr>
        <w:t xml:space="preserve"> and vocational training.</w:t>
      </w:r>
    </w:p>
    <w:p w:rsidR="000471AF" w:rsidRPr="000471AF" w:rsidRDefault="000471AF" w:rsidP="000471AF">
      <w:pPr>
        <w:pStyle w:val="BodyText"/>
        <w:spacing w:before="0" w:after="0"/>
        <w:rPr>
          <w:sz w:val="16"/>
          <w:szCs w:val="16"/>
          <w:lang w:val="en-GB"/>
        </w:rPr>
      </w:pPr>
    </w:p>
    <w:p w:rsidR="00AF527F" w:rsidRDefault="009F635E" w:rsidP="000471AF">
      <w:pPr>
        <w:pStyle w:val="BodyText"/>
        <w:spacing w:before="0" w:after="0"/>
        <w:rPr>
          <w:szCs w:val="24"/>
          <w:lang w:val="en-GB"/>
        </w:rPr>
      </w:pPr>
      <w:r w:rsidRPr="00571F0B">
        <w:rPr>
          <w:szCs w:val="24"/>
          <w:lang w:val="en-GB"/>
        </w:rPr>
        <w:t xml:space="preserve">The Incentive Fund Phase III commenced in June 2010 and ended in June 2014. Twenty projects to the value of </w:t>
      </w:r>
      <w:proofErr w:type="gramStart"/>
      <w:r w:rsidRPr="00571F0B">
        <w:rPr>
          <w:szCs w:val="24"/>
          <w:lang w:val="en-GB"/>
        </w:rPr>
        <w:t>A$</w:t>
      </w:r>
      <w:proofErr w:type="gramEnd"/>
      <w:r w:rsidRPr="00571F0B">
        <w:rPr>
          <w:szCs w:val="24"/>
          <w:lang w:val="en-GB"/>
        </w:rPr>
        <w:t>60 million covering nine provinces were successfully completed. These projects were 100 per cent infrastructure</w:t>
      </w:r>
      <w:r w:rsidR="00833C00">
        <w:rPr>
          <w:szCs w:val="24"/>
          <w:lang w:val="en-GB"/>
        </w:rPr>
        <w:t>,</w:t>
      </w:r>
      <w:r w:rsidRPr="00571F0B">
        <w:rPr>
          <w:szCs w:val="24"/>
          <w:lang w:val="en-GB"/>
        </w:rPr>
        <w:t xml:space="preserve"> of which 37</w:t>
      </w:r>
      <w:r w:rsidR="00D37124">
        <w:rPr>
          <w:szCs w:val="24"/>
          <w:lang w:val="en-GB"/>
        </w:rPr>
        <w:t xml:space="preserve"> per cent</w:t>
      </w:r>
      <w:r w:rsidRPr="00571F0B">
        <w:rPr>
          <w:szCs w:val="24"/>
          <w:lang w:val="en-GB"/>
        </w:rPr>
        <w:t xml:space="preserve"> contri</w:t>
      </w:r>
      <w:r w:rsidR="00D37124">
        <w:rPr>
          <w:szCs w:val="24"/>
          <w:lang w:val="en-GB"/>
        </w:rPr>
        <w:t>buted to health outcomes and 6 per cent</w:t>
      </w:r>
      <w:r w:rsidRPr="00571F0B">
        <w:rPr>
          <w:szCs w:val="24"/>
          <w:lang w:val="en-GB"/>
        </w:rPr>
        <w:t xml:space="preserve"> contributed to educatio</w:t>
      </w:r>
      <w:r w:rsidR="00571F0B" w:rsidRPr="00571F0B">
        <w:rPr>
          <w:szCs w:val="24"/>
          <w:lang w:val="en-GB"/>
        </w:rPr>
        <w:t>n outcomes.</w:t>
      </w:r>
      <w:r w:rsidR="00AF527F">
        <w:rPr>
          <w:szCs w:val="24"/>
          <w:lang w:val="en-GB"/>
        </w:rPr>
        <w:t xml:space="preserve"> </w:t>
      </w:r>
      <w:r w:rsidR="00571F0B">
        <w:rPr>
          <w:szCs w:val="24"/>
          <w:lang w:val="en-GB"/>
        </w:rPr>
        <w:t>This design recognis</w:t>
      </w:r>
      <w:r w:rsidRPr="00571F0B">
        <w:rPr>
          <w:szCs w:val="24"/>
          <w:lang w:val="en-GB"/>
        </w:rPr>
        <w:t xml:space="preserve">es that there are overlaps in the above assessment </w:t>
      </w:r>
      <w:r w:rsidRPr="00571F0B">
        <w:rPr>
          <w:i/>
          <w:szCs w:val="24"/>
          <w:lang w:val="en-GB"/>
        </w:rPr>
        <w:t>e.g.</w:t>
      </w:r>
      <w:r w:rsidRPr="00571F0B">
        <w:rPr>
          <w:szCs w:val="24"/>
          <w:lang w:val="en-GB"/>
        </w:rPr>
        <w:t xml:space="preserve"> </w:t>
      </w:r>
      <w:r w:rsidR="009D4DF5" w:rsidRPr="009D4DF5">
        <w:rPr>
          <w:szCs w:val="24"/>
          <w:lang w:val="en-GB"/>
        </w:rPr>
        <w:t>water and sanitation</w:t>
      </w:r>
      <w:r w:rsidRPr="00571F0B">
        <w:rPr>
          <w:szCs w:val="24"/>
          <w:lang w:val="en-GB"/>
        </w:rPr>
        <w:t xml:space="preserve"> could be considered as contributing to a health outcome</w:t>
      </w:r>
      <w:r w:rsidR="00AF527F">
        <w:rPr>
          <w:szCs w:val="24"/>
          <w:lang w:val="en-GB"/>
        </w:rPr>
        <w:t>.</w:t>
      </w:r>
    </w:p>
    <w:p w:rsidR="00AF527F" w:rsidRDefault="00AF527F" w:rsidP="000471AF">
      <w:pPr>
        <w:pStyle w:val="BodyText"/>
        <w:spacing w:before="0" w:after="0"/>
        <w:rPr>
          <w:szCs w:val="24"/>
          <w:lang w:val="en-GB"/>
        </w:rPr>
      </w:pPr>
    </w:p>
    <w:p w:rsidR="00294FD3" w:rsidRDefault="00294FD3" w:rsidP="000471AF">
      <w:pPr>
        <w:pStyle w:val="BodyText"/>
        <w:spacing w:before="0" w:after="0"/>
        <w:rPr>
          <w:szCs w:val="24"/>
          <w:lang w:val="en-GB"/>
        </w:rPr>
      </w:pPr>
      <w:r w:rsidRPr="00294FD3">
        <w:rPr>
          <w:szCs w:val="24"/>
          <w:lang w:val="en-GB"/>
        </w:rPr>
        <w:t xml:space="preserve">Funding PNG’s organisations that were performing well was intended to: i) recognise excellence; and 2) provide an incentive to other organisations to improve their performance so they too could seek funding. </w:t>
      </w:r>
      <w:proofErr w:type="gramStart"/>
      <w:r w:rsidR="00833C00" w:rsidRPr="00571F0B">
        <w:rPr>
          <w:szCs w:val="24"/>
          <w:lang w:val="en-GB"/>
        </w:rPr>
        <w:t>Phase</w:t>
      </w:r>
      <w:proofErr w:type="gramEnd"/>
      <w:r w:rsidR="00833C00" w:rsidRPr="00571F0B">
        <w:rPr>
          <w:szCs w:val="24"/>
          <w:lang w:val="en-GB"/>
        </w:rPr>
        <w:t xml:space="preserve"> I and Phase II projects provided broader sector support than Phase III. </w:t>
      </w:r>
      <w:r w:rsidR="00833C00">
        <w:rPr>
          <w:szCs w:val="24"/>
          <w:lang w:val="en-GB"/>
        </w:rPr>
        <w:t xml:space="preserve"> </w:t>
      </w:r>
    </w:p>
    <w:p w:rsidR="00294FD3" w:rsidRDefault="00294FD3" w:rsidP="000471AF">
      <w:pPr>
        <w:pStyle w:val="BodyText"/>
        <w:spacing w:before="0" w:after="0"/>
        <w:rPr>
          <w:szCs w:val="24"/>
          <w:lang w:val="en-GB"/>
        </w:rPr>
      </w:pPr>
    </w:p>
    <w:p w:rsidR="009F635E" w:rsidRDefault="009F635E" w:rsidP="000471AF">
      <w:pPr>
        <w:pStyle w:val="BodyText"/>
        <w:spacing w:before="0" w:after="0"/>
        <w:rPr>
          <w:szCs w:val="24"/>
          <w:lang w:val="en-GB"/>
        </w:rPr>
      </w:pPr>
      <w:r w:rsidRPr="00571F0B">
        <w:rPr>
          <w:szCs w:val="24"/>
          <w:lang w:val="en-GB"/>
        </w:rPr>
        <w:t>I</w:t>
      </w:r>
      <w:r w:rsidR="006163D1">
        <w:rPr>
          <w:szCs w:val="24"/>
          <w:lang w:val="en-GB"/>
        </w:rPr>
        <w:t xml:space="preserve">n Phase III the ‘incentive’ </w:t>
      </w:r>
      <w:r w:rsidRPr="00571F0B">
        <w:rPr>
          <w:szCs w:val="24"/>
          <w:lang w:val="en-GB"/>
        </w:rPr>
        <w:t xml:space="preserve">changed and was applied to provide the opportunity for PNG service delivery organisations </w:t>
      </w:r>
      <w:r w:rsidR="00294FD3">
        <w:rPr>
          <w:szCs w:val="24"/>
          <w:lang w:val="en-GB"/>
        </w:rPr>
        <w:t xml:space="preserve">that were assessed as good performers </w:t>
      </w:r>
      <w:r w:rsidRPr="00571F0B">
        <w:rPr>
          <w:szCs w:val="24"/>
          <w:lang w:val="en-GB"/>
        </w:rPr>
        <w:t>to ‘lift their game’</w:t>
      </w:r>
      <w:r w:rsidR="003076C2">
        <w:rPr>
          <w:szCs w:val="24"/>
          <w:lang w:val="en-GB"/>
        </w:rPr>
        <w:t xml:space="preserve">, to </w:t>
      </w:r>
      <w:r w:rsidRPr="00571F0B">
        <w:rPr>
          <w:szCs w:val="24"/>
          <w:lang w:val="en-GB"/>
        </w:rPr>
        <w:t xml:space="preserve"> expand their ability to ‘do their job’ and then become eligible to access the significant resources available under the Incentive Fund. </w:t>
      </w:r>
      <w:r w:rsidR="00294FD3">
        <w:rPr>
          <w:szCs w:val="24"/>
          <w:lang w:val="en-GB"/>
        </w:rPr>
        <w:t xml:space="preserve">Being assessed as a good performer </w:t>
      </w:r>
      <w:r w:rsidRPr="00571F0B">
        <w:rPr>
          <w:szCs w:val="24"/>
          <w:lang w:val="en-GB"/>
        </w:rPr>
        <w:t>became the incentive, providing the encouragement and the</w:t>
      </w:r>
      <w:r w:rsidR="00294FD3">
        <w:rPr>
          <w:szCs w:val="24"/>
          <w:lang w:val="en-GB"/>
        </w:rPr>
        <w:t xml:space="preserve"> reward for those organisations. T</w:t>
      </w:r>
      <w:r w:rsidR="00AF527F">
        <w:rPr>
          <w:szCs w:val="24"/>
          <w:lang w:val="en-GB"/>
        </w:rPr>
        <w:t xml:space="preserve">he intent </w:t>
      </w:r>
      <w:r w:rsidR="00294FD3">
        <w:rPr>
          <w:szCs w:val="24"/>
          <w:lang w:val="en-GB"/>
        </w:rPr>
        <w:t xml:space="preserve">was </w:t>
      </w:r>
      <w:r w:rsidR="00AF527F">
        <w:rPr>
          <w:szCs w:val="24"/>
          <w:lang w:val="en-GB"/>
        </w:rPr>
        <w:t>to incentivis</w:t>
      </w:r>
      <w:r w:rsidRPr="00571F0B">
        <w:rPr>
          <w:szCs w:val="24"/>
          <w:lang w:val="en-GB"/>
        </w:rPr>
        <w:t xml:space="preserve">e capable organisations with capacity and leadership to aspire to do better. Only organisations that </w:t>
      </w:r>
      <w:r w:rsidR="000A51FF" w:rsidRPr="00571F0B">
        <w:rPr>
          <w:szCs w:val="24"/>
          <w:lang w:val="en-GB"/>
        </w:rPr>
        <w:t>were</w:t>
      </w:r>
      <w:r w:rsidR="00AF527F">
        <w:rPr>
          <w:szCs w:val="24"/>
          <w:lang w:val="en-GB"/>
        </w:rPr>
        <w:t xml:space="preserve"> </w:t>
      </w:r>
      <w:r w:rsidR="00294FD3">
        <w:rPr>
          <w:szCs w:val="24"/>
          <w:lang w:val="en-GB"/>
        </w:rPr>
        <w:t xml:space="preserve">assessed as good performers </w:t>
      </w:r>
      <w:r w:rsidR="00AF527F">
        <w:rPr>
          <w:szCs w:val="24"/>
          <w:lang w:val="en-GB"/>
        </w:rPr>
        <w:t>and could</w:t>
      </w:r>
      <w:r w:rsidRPr="00571F0B">
        <w:rPr>
          <w:szCs w:val="24"/>
          <w:lang w:val="en-GB"/>
        </w:rPr>
        <w:t xml:space="preserve"> demonstrate capacity to expand their contribution to dev</w:t>
      </w:r>
      <w:r w:rsidR="00571F0B">
        <w:rPr>
          <w:szCs w:val="24"/>
          <w:lang w:val="en-GB"/>
        </w:rPr>
        <w:t xml:space="preserve">elopment </w:t>
      </w:r>
      <w:r w:rsidR="00A45726">
        <w:rPr>
          <w:szCs w:val="24"/>
          <w:lang w:val="en-GB"/>
        </w:rPr>
        <w:t xml:space="preserve">further </w:t>
      </w:r>
      <w:r w:rsidR="00AF527F">
        <w:rPr>
          <w:szCs w:val="24"/>
          <w:lang w:val="en-GB"/>
        </w:rPr>
        <w:t>w</w:t>
      </w:r>
      <w:r w:rsidR="00571F0B">
        <w:rPr>
          <w:szCs w:val="24"/>
          <w:lang w:val="en-GB"/>
        </w:rPr>
        <w:t>ere eligible.</w:t>
      </w:r>
    </w:p>
    <w:p w:rsidR="009D4DF5" w:rsidRDefault="009D4DF5" w:rsidP="000471AF">
      <w:pPr>
        <w:pStyle w:val="BodyText"/>
        <w:spacing w:before="0" w:after="0"/>
        <w:rPr>
          <w:szCs w:val="24"/>
          <w:lang w:val="en-GB"/>
        </w:rPr>
      </w:pPr>
    </w:p>
    <w:p w:rsidR="00E65D23" w:rsidRDefault="009D4DF5" w:rsidP="009D4DF5">
      <w:pPr>
        <w:pStyle w:val="BodyText"/>
        <w:spacing w:before="0" w:after="0"/>
        <w:rPr>
          <w:szCs w:val="24"/>
          <w:lang w:val="en-GB"/>
        </w:rPr>
      </w:pPr>
      <w:r>
        <w:rPr>
          <w:szCs w:val="24"/>
          <w:lang w:val="en-GB"/>
        </w:rPr>
        <w:t>The</w:t>
      </w:r>
      <w:r w:rsidRPr="00571F0B">
        <w:rPr>
          <w:szCs w:val="24"/>
          <w:lang w:val="en-GB"/>
        </w:rPr>
        <w:t xml:space="preserve"> relationship between </w:t>
      </w:r>
      <w:r w:rsidR="00F17161">
        <w:rPr>
          <w:szCs w:val="24"/>
          <w:lang w:val="en-GB"/>
        </w:rPr>
        <w:t xml:space="preserve">performance </w:t>
      </w:r>
      <w:r w:rsidRPr="00571F0B">
        <w:rPr>
          <w:szCs w:val="24"/>
          <w:lang w:val="en-GB"/>
        </w:rPr>
        <w:t>recogni</w:t>
      </w:r>
      <w:r>
        <w:rPr>
          <w:szCs w:val="24"/>
          <w:lang w:val="en-GB"/>
        </w:rPr>
        <w:t>tion, reward and incentives</w:t>
      </w:r>
      <w:r w:rsidRPr="00571F0B">
        <w:rPr>
          <w:szCs w:val="24"/>
          <w:lang w:val="en-GB"/>
        </w:rPr>
        <w:t xml:space="preserve"> can be applied in </w:t>
      </w:r>
      <w:r>
        <w:rPr>
          <w:szCs w:val="24"/>
          <w:lang w:val="en-GB"/>
        </w:rPr>
        <w:t>various</w:t>
      </w:r>
      <w:r w:rsidRPr="00571F0B">
        <w:rPr>
          <w:szCs w:val="24"/>
          <w:lang w:val="en-GB"/>
        </w:rPr>
        <w:t xml:space="preserve"> ways</w:t>
      </w:r>
      <w:r>
        <w:rPr>
          <w:szCs w:val="24"/>
          <w:lang w:val="en-GB"/>
        </w:rPr>
        <w:t>.</w:t>
      </w:r>
      <w:r w:rsidRPr="00571F0B">
        <w:rPr>
          <w:szCs w:val="24"/>
          <w:lang w:val="en-GB"/>
        </w:rPr>
        <w:t xml:space="preserve"> </w:t>
      </w:r>
      <w:r>
        <w:rPr>
          <w:szCs w:val="24"/>
          <w:lang w:val="en-GB"/>
        </w:rPr>
        <w:t>In Phase III, organisations that were performing well were funded to expand their performance. This incentive</w:t>
      </w:r>
      <w:r w:rsidRPr="00571F0B">
        <w:rPr>
          <w:szCs w:val="24"/>
          <w:lang w:val="en-GB"/>
        </w:rPr>
        <w:t xml:space="preserve"> </w:t>
      </w:r>
      <w:r w:rsidR="00A45726">
        <w:rPr>
          <w:szCs w:val="24"/>
          <w:lang w:val="en-GB"/>
        </w:rPr>
        <w:t>will</w:t>
      </w:r>
      <w:r>
        <w:rPr>
          <w:szCs w:val="24"/>
          <w:lang w:val="en-GB"/>
        </w:rPr>
        <w:t xml:space="preserve"> be applied in IF (IV).  </w:t>
      </w:r>
      <w:r w:rsidR="006163D1">
        <w:rPr>
          <w:szCs w:val="24"/>
          <w:lang w:val="en-GB"/>
        </w:rPr>
        <w:t xml:space="preserve">But other incentives will also be required, particularly </w:t>
      </w:r>
      <w:r w:rsidR="00A45726">
        <w:rPr>
          <w:szCs w:val="24"/>
          <w:lang w:val="en-GB"/>
        </w:rPr>
        <w:t>as</w:t>
      </w:r>
      <w:r w:rsidR="006163D1">
        <w:rPr>
          <w:szCs w:val="24"/>
          <w:lang w:val="en-GB"/>
        </w:rPr>
        <w:t xml:space="preserve"> DFAT intends to use IF (IV) as a strategic mechanism to </w:t>
      </w:r>
      <w:r w:rsidR="00FA776E">
        <w:rPr>
          <w:szCs w:val="24"/>
          <w:lang w:val="en-GB"/>
        </w:rPr>
        <w:t xml:space="preserve">increase </w:t>
      </w:r>
      <w:r w:rsidR="00A45726">
        <w:rPr>
          <w:szCs w:val="24"/>
          <w:lang w:val="en-GB"/>
        </w:rPr>
        <w:t xml:space="preserve">private sector </w:t>
      </w:r>
      <w:r w:rsidR="00FA776E">
        <w:rPr>
          <w:szCs w:val="24"/>
          <w:lang w:val="en-GB"/>
        </w:rPr>
        <w:t>engagement.</w:t>
      </w:r>
    </w:p>
    <w:p w:rsidR="00E65D23" w:rsidRDefault="00E65D23" w:rsidP="009D4DF5">
      <w:pPr>
        <w:pStyle w:val="BodyText"/>
        <w:spacing w:before="0" w:after="0"/>
        <w:rPr>
          <w:szCs w:val="24"/>
          <w:lang w:val="en-GB"/>
        </w:rPr>
      </w:pPr>
    </w:p>
    <w:p w:rsidR="00E65D23" w:rsidRDefault="00E65D23" w:rsidP="009D4DF5">
      <w:pPr>
        <w:pStyle w:val="BodyText"/>
        <w:spacing w:before="0" w:after="0"/>
        <w:rPr>
          <w:szCs w:val="24"/>
          <w:lang w:val="en-GB"/>
        </w:rPr>
      </w:pPr>
      <w:r>
        <w:rPr>
          <w:szCs w:val="24"/>
          <w:lang w:val="en-GB"/>
        </w:rPr>
        <w:t>The design terms of reference and short timeframe did not allow for a</w:t>
      </w:r>
      <w:r w:rsidR="00F17161">
        <w:rPr>
          <w:szCs w:val="24"/>
          <w:lang w:val="en-GB"/>
        </w:rPr>
        <w:t xml:space="preserve"> full</w:t>
      </w:r>
      <w:r>
        <w:rPr>
          <w:szCs w:val="24"/>
          <w:lang w:val="en-GB"/>
        </w:rPr>
        <w:t xml:space="preserve"> assessment of the investment</w:t>
      </w:r>
      <w:r w:rsidR="00F17161">
        <w:rPr>
          <w:szCs w:val="24"/>
          <w:lang w:val="en-GB"/>
        </w:rPr>
        <w:t xml:space="preserve"> opportunities in each sector. </w:t>
      </w:r>
      <w:r>
        <w:rPr>
          <w:szCs w:val="24"/>
          <w:lang w:val="en-GB"/>
        </w:rPr>
        <w:t>Ph</w:t>
      </w:r>
      <w:r w:rsidR="00F17161">
        <w:rPr>
          <w:szCs w:val="24"/>
          <w:lang w:val="en-GB"/>
        </w:rPr>
        <w:t>ase III only invested in health and</w:t>
      </w:r>
      <w:r>
        <w:rPr>
          <w:szCs w:val="24"/>
          <w:lang w:val="en-GB"/>
        </w:rPr>
        <w:t xml:space="preserve"> education infrastructure</w:t>
      </w:r>
      <w:r w:rsidR="00F17161">
        <w:rPr>
          <w:szCs w:val="24"/>
          <w:lang w:val="en-GB"/>
        </w:rPr>
        <w:t>,</w:t>
      </w:r>
      <w:r>
        <w:rPr>
          <w:szCs w:val="24"/>
          <w:lang w:val="en-GB"/>
        </w:rPr>
        <w:t xml:space="preserve"> </w:t>
      </w:r>
      <w:r w:rsidR="00A45726">
        <w:rPr>
          <w:szCs w:val="24"/>
          <w:lang w:val="en-GB"/>
        </w:rPr>
        <w:t xml:space="preserve">so </w:t>
      </w:r>
      <w:r>
        <w:rPr>
          <w:szCs w:val="24"/>
          <w:lang w:val="en-GB"/>
        </w:rPr>
        <w:t>there is a significant amount of knowledge about how to support these sectors.  This is not the case in regard to economic development</w:t>
      </w:r>
      <w:r w:rsidR="00A45726">
        <w:rPr>
          <w:szCs w:val="24"/>
          <w:lang w:val="en-GB"/>
        </w:rPr>
        <w:t xml:space="preserve">, </w:t>
      </w:r>
      <w:r>
        <w:rPr>
          <w:szCs w:val="24"/>
          <w:lang w:val="en-GB"/>
        </w:rPr>
        <w:t>private sector engagement</w:t>
      </w:r>
      <w:r w:rsidR="00A45726">
        <w:rPr>
          <w:szCs w:val="24"/>
          <w:lang w:val="en-GB"/>
        </w:rPr>
        <w:t xml:space="preserve"> and other sectors, including governance and law and justice for example</w:t>
      </w:r>
      <w:r>
        <w:rPr>
          <w:szCs w:val="24"/>
          <w:lang w:val="en-GB"/>
        </w:rPr>
        <w:t xml:space="preserve">. </w:t>
      </w:r>
    </w:p>
    <w:p w:rsidR="00E65D23" w:rsidRDefault="00E65D23" w:rsidP="009D4DF5">
      <w:pPr>
        <w:pStyle w:val="BodyText"/>
        <w:spacing w:before="0" w:after="0"/>
        <w:rPr>
          <w:szCs w:val="24"/>
          <w:lang w:val="en-GB"/>
        </w:rPr>
      </w:pPr>
    </w:p>
    <w:p w:rsidR="009D4DF5" w:rsidRDefault="00FA776E" w:rsidP="000471AF">
      <w:pPr>
        <w:pStyle w:val="BodyText"/>
        <w:spacing w:before="0" w:after="0"/>
        <w:rPr>
          <w:szCs w:val="24"/>
          <w:lang w:val="en-GB"/>
        </w:rPr>
      </w:pPr>
      <w:r>
        <w:rPr>
          <w:szCs w:val="24"/>
          <w:lang w:val="en-GB"/>
        </w:rPr>
        <w:t xml:space="preserve">In the context of </w:t>
      </w:r>
      <w:r w:rsidR="00E65D23">
        <w:rPr>
          <w:szCs w:val="24"/>
          <w:lang w:val="en-GB"/>
        </w:rPr>
        <w:t>DFAT</w:t>
      </w:r>
      <w:r>
        <w:rPr>
          <w:szCs w:val="24"/>
          <w:lang w:val="en-GB"/>
        </w:rPr>
        <w:t xml:space="preserve">’s ongoing consideration of opportunities to invest in economic </w:t>
      </w:r>
      <w:r w:rsidR="00AF79FB" w:rsidRPr="00AF79FB">
        <w:rPr>
          <w:szCs w:val="24"/>
          <w:lang w:val="en-GB"/>
        </w:rPr>
        <w:t xml:space="preserve">development </w:t>
      </w:r>
      <w:r w:rsidR="00AF79FB">
        <w:rPr>
          <w:szCs w:val="24"/>
          <w:lang w:val="en-GB"/>
        </w:rPr>
        <w:t>a</w:t>
      </w:r>
      <w:r>
        <w:rPr>
          <w:szCs w:val="24"/>
          <w:lang w:val="en-GB"/>
        </w:rPr>
        <w:t>ctivities,</w:t>
      </w:r>
      <w:r w:rsidR="00E65D23">
        <w:rPr>
          <w:szCs w:val="24"/>
          <w:lang w:val="en-GB"/>
        </w:rPr>
        <w:t xml:space="preserve"> </w:t>
      </w:r>
      <w:r>
        <w:rPr>
          <w:szCs w:val="24"/>
          <w:lang w:val="en-GB"/>
        </w:rPr>
        <w:t xml:space="preserve">DFAT will </w:t>
      </w:r>
      <w:r w:rsidR="00E65D23" w:rsidRPr="00571F0B">
        <w:rPr>
          <w:szCs w:val="24"/>
          <w:lang w:val="en-GB"/>
        </w:rPr>
        <w:t xml:space="preserve">need to explore how to </w:t>
      </w:r>
      <w:r w:rsidR="00E65D23">
        <w:rPr>
          <w:szCs w:val="24"/>
          <w:lang w:val="en-GB"/>
        </w:rPr>
        <w:t xml:space="preserve">use </w:t>
      </w:r>
      <w:r w:rsidR="00A45726">
        <w:rPr>
          <w:szCs w:val="24"/>
          <w:lang w:val="en-GB"/>
        </w:rPr>
        <w:t>IF (IV)</w:t>
      </w:r>
      <w:r w:rsidR="00E65D23">
        <w:rPr>
          <w:szCs w:val="24"/>
          <w:lang w:val="en-GB"/>
        </w:rPr>
        <w:t xml:space="preserve"> to increase engagement with the private sector. </w:t>
      </w:r>
      <w:r>
        <w:rPr>
          <w:szCs w:val="24"/>
          <w:lang w:val="en-GB"/>
        </w:rPr>
        <w:t>T</w:t>
      </w:r>
      <w:r w:rsidR="006163D1">
        <w:rPr>
          <w:szCs w:val="24"/>
          <w:lang w:val="en-GB"/>
        </w:rPr>
        <w:t xml:space="preserve">here is a need </w:t>
      </w:r>
      <w:r w:rsidR="004850FD">
        <w:rPr>
          <w:szCs w:val="24"/>
          <w:lang w:val="en-GB"/>
        </w:rPr>
        <w:t xml:space="preserve">to expand </w:t>
      </w:r>
      <w:r w:rsidR="004850FD" w:rsidRPr="004850FD">
        <w:rPr>
          <w:szCs w:val="24"/>
          <w:lang w:val="en-GB"/>
        </w:rPr>
        <w:t>consultation</w:t>
      </w:r>
      <w:r w:rsidR="004850FD">
        <w:rPr>
          <w:szCs w:val="24"/>
          <w:lang w:val="en-GB"/>
        </w:rPr>
        <w:t>s</w:t>
      </w:r>
      <w:r w:rsidR="004850FD" w:rsidRPr="004850FD">
        <w:rPr>
          <w:szCs w:val="24"/>
          <w:lang w:val="en-GB"/>
        </w:rPr>
        <w:t xml:space="preserve"> with the private sector to </w:t>
      </w:r>
      <w:r w:rsidR="004850FD">
        <w:rPr>
          <w:szCs w:val="24"/>
          <w:lang w:val="en-GB"/>
        </w:rPr>
        <w:t>gain</w:t>
      </w:r>
      <w:r w:rsidR="004850FD" w:rsidRPr="004850FD">
        <w:rPr>
          <w:szCs w:val="24"/>
          <w:lang w:val="en-GB"/>
        </w:rPr>
        <w:t xml:space="preserve"> </w:t>
      </w:r>
      <w:r w:rsidR="004850FD">
        <w:rPr>
          <w:szCs w:val="24"/>
          <w:lang w:val="en-GB"/>
        </w:rPr>
        <w:t>joint</w:t>
      </w:r>
      <w:r w:rsidR="004850FD" w:rsidRPr="004850FD">
        <w:rPr>
          <w:szCs w:val="24"/>
          <w:lang w:val="en-GB"/>
        </w:rPr>
        <w:t xml:space="preserve"> understanding and </w:t>
      </w:r>
      <w:r>
        <w:rPr>
          <w:szCs w:val="24"/>
          <w:lang w:val="en-GB"/>
        </w:rPr>
        <w:t xml:space="preserve">to </w:t>
      </w:r>
      <w:r w:rsidR="004850FD">
        <w:rPr>
          <w:szCs w:val="24"/>
          <w:lang w:val="en-GB"/>
        </w:rPr>
        <w:t xml:space="preserve">build the </w:t>
      </w:r>
      <w:r w:rsidR="004850FD" w:rsidRPr="004850FD">
        <w:rPr>
          <w:szCs w:val="24"/>
          <w:lang w:val="en-GB"/>
        </w:rPr>
        <w:t>relationships required for DFAT</w:t>
      </w:r>
      <w:r>
        <w:rPr>
          <w:szCs w:val="24"/>
          <w:lang w:val="en-GB"/>
        </w:rPr>
        <w:t xml:space="preserve"> to provide appropriate </w:t>
      </w:r>
      <w:r w:rsidR="004850FD">
        <w:rPr>
          <w:szCs w:val="24"/>
          <w:lang w:val="en-GB"/>
        </w:rPr>
        <w:t>support.</w:t>
      </w:r>
      <w:r w:rsidR="004850FD" w:rsidRPr="004850FD">
        <w:rPr>
          <w:szCs w:val="24"/>
          <w:lang w:val="en-GB"/>
        </w:rPr>
        <w:t xml:space="preserve"> </w:t>
      </w:r>
      <w:proofErr w:type="gramStart"/>
      <w:r w:rsidR="00681D4C">
        <w:rPr>
          <w:szCs w:val="24"/>
          <w:lang w:val="en-GB"/>
        </w:rPr>
        <w:t xml:space="preserve">IF (IV) will </w:t>
      </w:r>
      <w:r w:rsidR="006163D1">
        <w:rPr>
          <w:szCs w:val="24"/>
          <w:lang w:val="en-GB"/>
        </w:rPr>
        <w:t>attract private sector attention because of the large funding opportunities</w:t>
      </w:r>
      <w:r w:rsidR="00F17161">
        <w:rPr>
          <w:szCs w:val="24"/>
          <w:lang w:val="en-GB"/>
        </w:rPr>
        <w:t>.</w:t>
      </w:r>
      <w:proofErr w:type="gramEnd"/>
      <w:r w:rsidR="006163D1">
        <w:rPr>
          <w:szCs w:val="24"/>
          <w:lang w:val="en-GB"/>
        </w:rPr>
        <w:t xml:space="preserve"> </w:t>
      </w:r>
      <w:r w:rsidR="004850FD">
        <w:rPr>
          <w:szCs w:val="24"/>
          <w:lang w:val="en-GB"/>
        </w:rPr>
        <w:t xml:space="preserve">IF (IV) is therefore of significant strategic value </w:t>
      </w:r>
      <w:r w:rsidR="00A45726">
        <w:rPr>
          <w:szCs w:val="24"/>
          <w:lang w:val="en-GB"/>
        </w:rPr>
        <w:t xml:space="preserve">because it will </w:t>
      </w:r>
      <w:r w:rsidR="004850FD">
        <w:rPr>
          <w:szCs w:val="24"/>
          <w:lang w:val="en-GB"/>
        </w:rPr>
        <w:t xml:space="preserve">enable DFAT to explore and identify a range of economic </w:t>
      </w:r>
      <w:r w:rsidR="00AF79FB" w:rsidRPr="00AF79FB">
        <w:rPr>
          <w:szCs w:val="24"/>
          <w:lang w:val="en-GB"/>
        </w:rPr>
        <w:t>development</w:t>
      </w:r>
      <w:r w:rsidR="004850FD">
        <w:rPr>
          <w:szCs w:val="24"/>
          <w:lang w:val="en-GB"/>
        </w:rPr>
        <w:t xml:space="preserve"> support opportunities</w:t>
      </w:r>
      <w:r w:rsidR="00F17161" w:rsidRPr="00F17161">
        <w:t xml:space="preserve"> </w:t>
      </w:r>
      <w:r w:rsidR="00F17161" w:rsidRPr="00F17161">
        <w:rPr>
          <w:szCs w:val="24"/>
          <w:lang w:val="en-GB"/>
        </w:rPr>
        <w:t xml:space="preserve">and </w:t>
      </w:r>
      <w:r w:rsidR="00F17161">
        <w:rPr>
          <w:szCs w:val="24"/>
          <w:lang w:val="en-GB"/>
        </w:rPr>
        <w:t xml:space="preserve">to </w:t>
      </w:r>
      <w:r w:rsidR="00F17161" w:rsidRPr="00F17161">
        <w:rPr>
          <w:szCs w:val="24"/>
          <w:lang w:val="en-GB"/>
        </w:rPr>
        <w:t>facilitate increased private sector engagement.</w:t>
      </w:r>
      <w:r w:rsidR="00681D4C">
        <w:rPr>
          <w:szCs w:val="24"/>
          <w:lang w:val="en-GB"/>
        </w:rPr>
        <w:t xml:space="preserve">   </w:t>
      </w:r>
    </w:p>
    <w:p w:rsidR="00E65D23" w:rsidRPr="00571F0B" w:rsidRDefault="00E65D23" w:rsidP="000471AF">
      <w:pPr>
        <w:pStyle w:val="BodyText"/>
        <w:spacing w:before="0" w:after="0"/>
        <w:rPr>
          <w:szCs w:val="24"/>
          <w:lang w:val="en-GB"/>
        </w:rPr>
      </w:pPr>
    </w:p>
    <w:p w:rsidR="002750F2" w:rsidRDefault="009F635E" w:rsidP="00F7641B">
      <w:pPr>
        <w:pStyle w:val="BodyText"/>
        <w:spacing w:before="0" w:after="0"/>
        <w:rPr>
          <w:szCs w:val="24"/>
          <w:lang w:val="en-GB"/>
        </w:rPr>
      </w:pPr>
      <w:proofErr w:type="gramStart"/>
      <w:r w:rsidRPr="00571F0B">
        <w:rPr>
          <w:szCs w:val="24"/>
          <w:lang w:val="en-GB"/>
        </w:rPr>
        <w:t>IF (IV) is not the mechanism to support and capacity</w:t>
      </w:r>
      <w:r w:rsidR="00571F0B">
        <w:rPr>
          <w:szCs w:val="24"/>
          <w:lang w:val="en-GB"/>
        </w:rPr>
        <w:t>-</w:t>
      </w:r>
      <w:r w:rsidRPr="00571F0B">
        <w:rPr>
          <w:szCs w:val="24"/>
          <w:lang w:val="en-GB"/>
        </w:rPr>
        <w:t>build an organi</w:t>
      </w:r>
      <w:r w:rsidR="00571F0B">
        <w:rPr>
          <w:szCs w:val="24"/>
          <w:lang w:val="en-GB"/>
        </w:rPr>
        <w:t>s</w:t>
      </w:r>
      <w:r w:rsidRPr="00571F0B">
        <w:rPr>
          <w:szCs w:val="24"/>
          <w:lang w:val="en-GB"/>
        </w:rPr>
        <w:t>ation to achieve effective performance</w:t>
      </w:r>
      <w:r w:rsidR="00141E96">
        <w:rPr>
          <w:szCs w:val="24"/>
          <w:lang w:val="en-GB"/>
        </w:rPr>
        <w:t>.</w:t>
      </w:r>
      <w:proofErr w:type="gramEnd"/>
      <w:r w:rsidR="00141E96">
        <w:rPr>
          <w:szCs w:val="24"/>
          <w:lang w:val="en-GB"/>
        </w:rPr>
        <w:t xml:space="preserve"> In the health</w:t>
      </w:r>
      <w:r w:rsidR="00A45726">
        <w:rPr>
          <w:szCs w:val="24"/>
          <w:lang w:val="en-GB"/>
        </w:rPr>
        <w:t xml:space="preserve">, </w:t>
      </w:r>
      <w:r w:rsidR="00141E96">
        <w:rPr>
          <w:szCs w:val="24"/>
          <w:lang w:val="en-GB"/>
        </w:rPr>
        <w:t xml:space="preserve">education </w:t>
      </w:r>
      <w:r w:rsidR="00A45726">
        <w:rPr>
          <w:szCs w:val="24"/>
          <w:lang w:val="en-GB"/>
        </w:rPr>
        <w:t xml:space="preserve">and other </w:t>
      </w:r>
      <w:r w:rsidR="00141E96">
        <w:rPr>
          <w:szCs w:val="24"/>
          <w:lang w:val="en-GB"/>
        </w:rPr>
        <w:t xml:space="preserve">sectors it will continue to be a </w:t>
      </w:r>
      <w:r w:rsidRPr="00571F0B">
        <w:rPr>
          <w:szCs w:val="24"/>
          <w:lang w:val="en-GB"/>
        </w:rPr>
        <w:t>mechanism to reward performing organisations and support the</w:t>
      </w:r>
      <w:r w:rsidR="000471AF">
        <w:rPr>
          <w:szCs w:val="24"/>
          <w:lang w:val="en-GB"/>
        </w:rPr>
        <w:t>ir</w:t>
      </w:r>
      <w:r w:rsidRPr="00571F0B">
        <w:rPr>
          <w:szCs w:val="24"/>
          <w:lang w:val="en-GB"/>
        </w:rPr>
        <w:t xml:space="preserve"> expan</w:t>
      </w:r>
      <w:r w:rsidR="000471AF">
        <w:rPr>
          <w:szCs w:val="24"/>
          <w:lang w:val="en-GB"/>
        </w:rPr>
        <w:t>sion and</w:t>
      </w:r>
      <w:r w:rsidRPr="00571F0B">
        <w:rPr>
          <w:szCs w:val="24"/>
          <w:lang w:val="en-GB"/>
        </w:rPr>
        <w:t xml:space="preserve"> performance </w:t>
      </w:r>
      <w:r w:rsidR="00571F0B">
        <w:rPr>
          <w:szCs w:val="24"/>
          <w:lang w:val="en-GB"/>
        </w:rPr>
        <w:t xml:space="preserve">further. </w:t>
      </w:r>
      <w:r w:rsidR="00A45726">
        <w:rPr>
          <w:szCs w:val="24"/>
          <w:lang w:val="en-GB"/>
        </w:rPr>
        <w:t>For</w:t>
      </w:r>
      <w:r w:rsidR="00141E96">
        <w:rPr>
          <w:szCs w:val="24"/>
          <w:lang w:val="en-GB"/>
        </w:rPr>
        <w:t xml:space="preserve"> economic </w:t>
      </w:r>
      <w:r w:rsidR="00AF79FB" w:rsidRPr="00AF79FB">
        <w:rPr>
          <w:szCs w:val="24"/>
          <w:lang w:val="en-GB"/>
        </w:rPr>
        <w:t>development</w:t>
      </w:r>
      <w:r w:rsidR="00141E96">
        <w:rPr>
          <w:szCs w:val="24"/>
          <w:lang w:val="en-GB"/>
        </w:rPr>
        <w:t xml:space="preserve"> </w:t>
      </w:r>
      <w:r w:rsidR="00A45726">
        <w:rPr>
          <w:szCs w:val="24"/>
          <w:lang w:val="en-GB"/>
        </w:rPr>
        <w:t>IF (IV)</w:t>
      </w:r>
      <w:r w:rsidR="00141E96">
        <w:rPr>
          <w:szCs w:val="24"/>
          <w:lang w:val="en-GB"/>
        </w:rPr>
        <w:t xml:space="preserve"> will need to adapt to attract private sector participation. With this adaption in mind</w:t>
      </w:r>
      <w:r w:rsidR="006A35A0">
        <w:rPr>
          <w:szCs w:val="24"/>
          <w:lang w:val="en-GB"/>
        </w:rPr>
        <w:t>,</w:t>
      </w:r>
      <w:r w:rsidR="00141E96">
        <w:rPr>
          <w:szCs w:val="24"/>
          <w:lang w:val="en-GB"/>
        </w:rPr>
        <w:t xml:space="preserve"> this design has placed a greater emphasis on the concept paper request process to allow greater flexibility to excite demand. The function and form of this demand will need to de fully identified during IF (IV) implementation through </w:t>
      </w:r>
      <w:r w:rsidR="00141E96">
        <w:rPr>
          <w:szCs w:val="24"/>
          <w:lang w:val="en-GB"/>
        </w:rPr>
        <w:lastRenderedPageBreak/>
        <w:t xml:space="preserve">the strategic and annual planning processes by DFAT, the Management Group and the Team Leader. </w:t>
      </w:r>
      <w:r w:rsidR="002750F2">
        <w:rPr>
          <w:szCs w:val="24"/>
          <w:lang w:val="en-GB"/>
        </w:rPr>
        <w:br w:type="page"/>
      </w:r>
    </w:p>
    <w:p w:rsidR="000A51FF" w:rsidRPr="00571F0B" w:rsidRDefault="000A51FF" w:rsidP="000471AF">
      <w:pPr>
        <w:pStyle w:val="Caption"/>
        <w:spacing w:before="0" w:after="0"/>
        <w:rPr>
          <w:szCs w:val="24"/>
          <w:lang w:val="en-GB"/>
        </w:rPr>
      </w:pPr>
      <w:r w:rsidRPr="00571F0B">
        <w:rPr>
          <w:szCs w:val="24"/>
          <w:lang w:val="en-GB"/>
        </w:rPr>
        <w:lastRenderedPageBreak/>
        <w:t>Alignment with Australia’s new development policy</w:t>
      </w:r>
    </w:p>
    <w:p w:rsidR="009F635E" w:rsidRPr="00571F0B" w:rsidRDefault="009F635E" w:rsidP="000471AF">
      <w:pPr>
        <w:pStyle w:val="BodyText"/>
        <w:spacing w:before="0" w:after="0"/>
        <w:rPr>
          <w:szCs w:val="24"/>
          <w:lang w:val="en-GB"/>
        </w:rPr>
      </w:pPr>
      <w:r w:rsidRPr="00571F0B">
        <w:rPr>
          <w:szCs w:val="24"/>
          <w:lang w:val="en-GB"/>
        </w:rPr>
        <w:t xml:space="preserve">This </w:t>
      </w:r>
      <w:r w:rsidR="009A66E9">
        <w:rPr>
          <w:szCs w:val="24"/>
          <w:lang w:val="en-GB"/>
        </w:rPr>
        <w:t>I</w:t>
      </w:r>
      <w:r w:rsidR="009A66E9" w:rsidRPr="009A66E9">
        <w:rPr>
          <w:szCs w:val="24"/>
          <w:lang w:val="en-GB"/>
        </w:rPr>
        <w:t>nvestment</w:t>
      </w:r>
      <w:r w:rsidR="000A51FF" w:rsidRPr="00571F0B">
        <w:rPr>
          <w:szCs w:val="24"/>
          <w:lang w:val="en-GB"/>
        </w:rPr>
        <w:t xml:space="preserve"> Design Do</w:t>
      </w:r>
      <w:r w:rsidR="009A66E9">
        <w:rPr>
          <w:szCs w:val="24"/>
          <w:lang w:val="en-GB"/>
        </w:rPr>
        <w:t>cument (I</w:t>
      </w:r>
      <w:r w:rsidRPr="00571F0B">
        <w:rPr>
          <w:szCs w:val="24"/>
          <w:lang w:val="en-GB"/>
        </w:rPr>
        <w:t>DD</w:t>
      </w:r>
      <w:r w:rsidR="000A51FF" w:rsidRPr="00571F0B">
        <w:rPr>
          <w:szCs w:val="24"/>
          <w:lang w:val="en-GB"/>
        </w:rPr>
        <w:t>)</w:t>
      </w:r>
      <w:r w:rsidRPr="00571F0B">
        <w:rPr>
          <w:szCs w:val="24"/>
          <w:lang w:val="en-GB"/>
        </w:rPr>
        <w:t xml:space="preserve"> </w:t>
      </w:r>
      <w:r w:rsidR="000A51FF" w:rsidRPr="00571F0B">
        <w:rPr>
          <w:szCs w:val="24"/>
          <w:lang w:val="en-GB"/>
        </w:rPr>
        <w:t xml:space="preserve">aligns key </w:t>
      </w:r>
      <w:r w:rsidRPr="00571F0B">
        <w:rPr>
          <w:szCs w:val="24"/>
          <w:lang w:val="en-GB"/>
        </w:rPr>
        <w:t>concepts</w:t>
      </w:r>
      <w:r w:rsidR="000A51FF" w:rsidRPr="00571F0B">
        <w:rPr>
          <w:szCs w:val="24"/>
          <w:lang w:val="en-GB"/>
        </w:rPr>
        <w:t xml:space="preserve"> of the Incentive Fund with Australia’s new development policy by:</w:t>
      </w:r>
    </w:p>
    <w:p w:rsidR="009F635E" w:rsidRPr="00571F0B" w:rsidRDefault="009F635E" w:rsidP="00A82AAB">
      <w:pPr>
        <w:pStyle w:val="BodyText"/>
        <w:numPr>
          <w:ilvl w:val="0"/>
          <w:numId w:val="26"/>
        </w:numPr>
        <w:spacing w:before="0" w:after="0"/>
        <w:ind w:left="284" w:hanging="284"/>
        <w:rPr>
          <w:szCs w:val="24"/>
          <w:lang w:val="en-GB"/>
        </w:rPr>
      </w:pPr>
      <w:r w:rsidRPr="00571F0B">
        <w:rPr>
          <w:szCs w:val="24"/>
          <w:lang w:val="en-GB"/>
        </w:rPr>
        <w:t>rewarding performing organisations that can further contribute to a better enabling environment</w:t>
      </w:r>
      <w:r w:rsidR="006A35A0">
        <w:rPr>
          <w:szCs w:val="24"/>
          <w:lang w:val="en-GB"/>
        </w:rPr>
        <w:t>;</w:t>
      </w:r>
    </w:p>
    <w:p w:rsidR="009F635E" w:rsidRPr="00571F0B" w:rsidRDefault="009F635E" w:rsidP="00A82AAB">
      <w:pPr>
        <w:pStyle w:val="BodyText"/>
        <w:numPr>
          <w:ilvl w:val="0"/>
          <w:numId w:val="26"/>
        </w:numPr>
        <w:spacing w:before="0" w:after="0"/>
        <w:ind w:left="284" w:hanging="284"/>
        <w:rPr>
          <w:szCs w:val="24"/>
          <w:lang w:val="en-GB"/>
        </w:rPr>
      </w:pPr>
      <w:r w:rsidRPr="00571F0B">
        <w:rPr>
          <w:szCs w:val="24"/>
          <w:lang w:val="en-GB"/>
        </w:rPr>
        <w:t xml:space="preserve">ensuring that at least </w:t>
      </w:r>
      <w:r w:rsidR="00463D79" w:rsidRPr="00463D79">
        <w:rPr>
          <w:szCs w:val="24"/>
          <w:lang w:val="en-GB"/>
        </w:rPr>
        <w:t>80 per cent of the investments will support empowerment of women and girls</w:t>
      </w:r>
      <w:r w:rsidR="006A35A0">
        <w:rPr>
          <w:szCs w:val="24"/>
          <w:lang w:val="en-GB"/>
        </w:rPr>
        <w:t>;</w:t>
      </w:r>
    </w:p>
    <w:p w:rsidR="009F635E" w:rsidRPr="00350A70" w:rsidRDefault="009F635E" w:rsidP="00A82AAB">
      <w:pPr>
        <w:pStyle w:val="BodyText"/>
        <w:numPr>
          <w:ilvl w:val="0"/>
          <w:numId w:val="26"/>
        </w:numPr>
        <w:spacing w:before="0" w:after="0"/>
        <w:ind w:left="284" w:hanging="284"/>
        <w:rPr>
          <w:szCs w:val="24"/>
          <w:lang w:val="en-GB"/>
        </w:rPr>
      </w:pPr>
      <w:r w:rsidRPr="00350A70">
        <w:rPr>
          <w:szCs w:val="24"/>
          <w:lang w:val="en-GB"/>
        </w:rPr>
        <w:t xml:space="preserve">understanding </w:t>
      </w:r>
      <w:r w:rsidR="00350A70" w:rsidRPr="00350A70">
        <w:rPr>
          <w:szCs w:val="24"/>
          <w:lang w:val="en-GB"/>
        </w:rPr>
        <w:t>local political economy and operating context</w:t>
      </w:r>
      <w:r w:rsidR="006A35A0" w:rsidRPr="00350A70">
        <w:rPr>
          <w:szCs w:val="24"/>
          <w:lang w:val="en-GB"/>
        </w:rPr>
        <w:t>;</w:t>
      </w:r>
    </w:p>
    <w:p w:rsidR="009F635E" w:rsidRPr="00571F0B" w:rsidRDefault="009F635E" w:rsidP="00A82AAB">
      <w:pPr>
        <w:pStyle w:val="BodyText"/>
        <w:numPr>
          <w:ilvl w:val="0"/>
          <w:numId w:val="26"/>
        </w:numPr>
        <w:spacing w:before="0" w:after="0"/>
        <w:ind w:left="284" w:hanging="284"/>
        <w:rPr>
          <w:szCs w:val="24"/>
          <w:lang w:val="en-GB"/>
        </w:rPr>
      </w:pPr>
      <w:r w:rsidRPr="00571F0B">
        <w:rPr>
          <w:szCs w:val="24"/>
          <w:lang w:val="en-GB"/>
        </w:rPr>
        <w:t>tightening the linkages to ensure conti</w:t>
      </w:r>
      <w:r w:rsidR="00571F0B">
        <w:rPr>
          <w:szCs w:val="24"/>
          <w:lang w:val="en-GB"/>
        </w:rPr>
        <w:t>nued operating and maintenance</w:t>
      </w:r>
      <w:r w:rsidR="006A35A0">
        <w:rPr>
          <w:szCs w:val="24"/>
          <w:lang w:val="en-GB"/>
        </w:rPr>
        <w:t>;</w:t>
      </w:r>
    </w:p>
    <w:p w:rsidR="009F635E" w:rsidRPr="00571F0B" w:rsidRDefault="009F635E" w:rsidP="00A82AAB">
      <w:pPr>
        <w:pStyle w:val="BodyText"/>
        <w:numPr>
          <w:ilvl w:val="0"/>
          <w:numId w:val="26"/>
        </w:numPr>
        <w:spacing w:before="0" w:after="0"/>
        <w:ind w:left="284" w:hanging="284"/>
        <w:rPr>
          <w:szCs w:val="24"/>
          <w:lang w:val="en-GB"/>
        </w:rPr>
      </w:pPr>
      <w:r w:rsidRPr="00571F0B">
        <w:rPr>
          <w:szCs w:val="24"/>
          <w:lang w:val="en-GB"/>
        </w:rPr>
        <w:t>attrac</w:t>
      </w:r>
      <w:r w:rsidR="006A35A0">
        <w:rPr>
          <w:szCs w:val="24"/>
          <w:lang w:val="en-GB"/>
        </w:rPr>
        <w:t xml:space="preserve">ting new effective partners, </w:t>
      </w:r>
      <w:r w:rsidRPr="00571F0B">
        <w:rPr>
          <w:szCs w:val="24"/>
          <w:lang w:val="en-GB"/>
        </w:rPr>
        <w:t>particularly from the private sector</w:t>
      </w:r>
      <w:r w:rsidR="006A35A0">
        <w:rPr>
          <w:szCs w:val="24"/>
          <w:lang w:val="en-GB"/>
        </w:rPr>
        <w:t>;</w:t>
      </w:r>
    </w:p>
    <w:p w:rsidR="009F635E" w:rsidRPr="00571F0B" w:rsidRDefault="009F635E" w:rsidP="00A82AAB">
      <w:pPr>
        <w:pStyle w:val="BodyText"/>
        <w:numPr>
          <w:ilvl w:val="0"/>
          <w:numId w:val="26"/>
        </w:numPr>
        <w:spacing w:before="0" w:after="0"/>
        <w:ind w:left="284" w:hanging="284"/>
        <w:rPr>
          <w:szCs w:val="24"/>
          <w:lang w:val="en-GB"/>
        </w:rPr>
      </w:pPr>
      <w:proofErr w:type="gramStart"/>
      <w:r w:rsidRPr="00571F0B">
        <w:rPr>
          <w:szCs w:val="24"/>
          <w:lang w:val="en-GB"/>
        </w:rPr>
        <w:t>assessing</w:t>
      </w:r>
      <w:proofErr w:type="gramEnd"/>
      <w:r w:rsidRPr="00571F0B">
        <w:rPr>
          <w:szCs w:val="24"/>
          <w:lang w:val="en-GB"/>
        </w:rPr>
        <w:t xml:space="preserve"> actual capacity and further contributions to outcomes likely to be made</w:t>
      </w:r>
      <w:r w:rsidR="000A51FF" w:rsidRPr="00571F0B">
        <w:rPr>
          <w:szCs w:val="24"/>
          <w:lang w:val="en-GB"/>
        </w:rPr>
        <w:t xml:space="preserve"> to determine value-for-money (VfM)</w:t>
      </w:r>
      <w:r w:rsidR="000471AF">
        <w:rPr>
          <w:szCs w:val="24"/>
          <w:lang w:val="en-GB"/>
        </w:rPr>
        <w:t>.</w:t>
      </w:r>
    </w:p>
    <w:p w:rsidR="00507F59" w:rsidRPr="000471AF" w:rsidRDefault="00507F59" w:rsidP="000471AF">
      <w:pPr>
        <w:pStyle w:val="BodyText"/>
        <w:spacing w:before="0" w:after="0"/>
        <w:rPr>
          <w:sz w:val="16"/>
          <w:szCs w:val="16"/>
          <w:lang w:val="en-GB"/>
        </w:rPr>
      </w:pPr>
    </w:p>
    <w:p w:rsidR="00507F59" w:rsidRPr="00571F0B" w:rsidRDefault="00507F59" w:rsidP="000471AF">
      <w:pPr>
        <w:pStyle w:val="BodyText"/>
        <w:spacing w:before="0" w:after="0"/>
        <w:rPr>
          <w:szCs w:val="24"/>
          <w:lang w:val="en-GB"/>
        </w:rPr>
      </w:pPr>
      <w:r w:rsidRPr="00571F0B">
        <w:rPr>
          <w:szCs w:val="24"/>
          <w:lang w:val="en-GB"/>
        </w:rPr>
        <w:t xml:space="preserve">The following </w:t>
      </w:r>
      <w:r w:rsidR="00FD22D2">
        <w:rPr>
          <w:szCs w:val="24"/>
          <w:lang w:val="en-GB"/>
        </w:rPr>
        <w:t>factors,</w:t>
      </w:r>
      <w:r w:rsidR="000A51FF" w:rsidRPr="00571F0B">
        <w:rPr>
          <w:szCs w:val="24"/>
          <w:lang w:val="en-GB"/>
        </w:rPr>
        <w:t xml:space="preserve"> </w:t>
      </w:r>
      <w:r w:rsidRPr="00571F0B">
        <w:rPr>
          <w:szCs w:val="24"/>
          <w:lang w:val="en-GB"/>
        </w:rPr>
        <w:t xml:space="preserve">drawn from </w:t>
      </w:r>
      <w:r w:rsidR="000A51FF" w:rsidRPr="00571F0B">
        <w:rPr>
          <w:szCs w:val="24"/>
          <w:lang w:val="en-GB"/>
        </w:rPr>
        <w:t xml:space="preserve">a rapid </w:t>
      </w:r>
      <w:r w:rsidRPr="00571F0B">
        <w:rPr>
          <w:szCs w:val="24"/>
          <w:lang w:val="en-GB"/>
        </w:rPr>
        <w:t>review of previous phases</w:t>
      </w:r>
      <w:r w:rsidR="00FD22D2">
        <w:rPr>
          <w:szCs w:val="24"/>
          <w:lang w:val="en-GB"/>
        </w:rPr>
        <w:t>,</w:t>
      </w:r>
      <w:r w:rsidRPr="00571F0B">
        <w:rPr>
          <w:szCs w:val="24"/>
          <w:lang w:val="en-GB"/>
        </w:rPr>
        <w:t xml:space="preserve"> informed this design</w:t>
      </w:r>
      <w:r w:rsidR="000A51FF" w:rsidRPr="00571F0B">
        <w:rPr>
          <w:szCs w:val="24"/>
          <w:lang w:val="en-GB"/>
        </w:rPr>
        <w:t>:</w:t>
      </w:r>
    </w:p>
    <w:p w:rsidR="00507F59" w:rsidRPr="00571F0B" w:rsidRDefault="00FD22D2" w:rsidP="00A82AAB">
      <w:pPr>
        <w:pStyle w:val="BodyText"/>
        <w:numPr>
          <w:ilvl w:val="0"/>
          <w:numId w:val="26"/>
        </w:numPr>
        <w:spacing w:before="0" w:after="0"/>
        <w:ind w:left="284" w:hanging="284"/>
        <w:rPr>
          <w:szCs w:val="24"/>
          <w:lang w:val="en-GB"/>
        </w:rPr>
      </w:pPr>
      <w:r>
        <w:rPr>
          <w:szCs w:val="24"/>
          <w:lang w:val="en-GB"/>
        </w:rPr>
        <w:t>t</w:t>
      </w:r>
      <w:r w:rsidR="006662CC">
        <w:rPr>
          <w:szCs w:val="24"/>
          <w:lang w:val="en-GB"/>
        </w:rPr>
        <w:t>he Incentive Fund is a strong b</w:t>
      </w:r>
      <w:r w:rsidR="00507F59" w:rsidRPr="00571F0B">
        <w:rPr>
          <w:szCs w:val="24"/>
          <w:lang w:val="en-GB"/>
        </w:rPr>
        <w:t>rand and IF (IV) needs to protect</w:t>
      </w:r>
      <w:r w:rsidR="005240EE">
        <w:rPr>
          <w:szCs w:val="24"/>
          <w:lang w:val="en-GB"/>
        </w:rPr>
        <w:t xml:space="preserve"> it</w:t>
      </w:r>
      <w:r w:rsidR="006A35A0">
        <w:rPr>
          <w:szCs w:val="24"/>
          <w:lang w:val="en-GB"/>
        </w:rPr>
        <w:t>;</w:t>
      </w:r>
    </w:p>
    <w:p w:rsidR="00507F59" w:rsidRDefault="00507F59" w:rsidP="00A82AAB">
      <w:pPr>
        <w:pStyle w:val="BodyText"/>
        <w:numPr>
          <w:ilvl w:val="0"/>
          <w:numId w:val="26"/>
        </w:numPr>
        <w:spacing w:before="0" w:after="0"/>
        <w:ind w:left="284" w:hanging="284"/>
        <w:rPr>
          <w:szCs w:val="24"/>
          <w:lang w:val="en-GB"/>
        </w:rPr>
      </w:pPr>
      <w:r w:rsidRPr="00571F0B">
        <w:rPr>
          <w:szCs w:val="24"/>
          <w:lang w:val="en-GB"/>
        </w:rPr>
        <w:t>IF (IV) needs to ensure outputs make a contribution to outcomes</w:t>
      </w:r>
      <w:r w:rsidR="006A35A0">
        <w:rPr>
          <w:szCs w:val="24"/>
          <w:lang w:val="en-GB"/>
        </w:rPr>
        <w:t>;</w:t>
      </w:r>
    </w:p>
    <w:p w:rsidR="004003BE" w:rsidRPr="00571F0B" w:rsidRDefault="004003BE" w:rsidP="00A82AAB">
      <w:pPr>
        <w:pStyle w:val="BodyText"/>
        <w:numPr>
          <w:ilvl w:val="0"/>
          <w:numId w:val="26"/>
        </w:numPr>
        <w:spacing w:before="0" w:after="0"/>
        <w:ind w:left="284" w:hanging="284"/>
        <w:rPr>
          <w:szCs w:val="24"/>
          <w:lang w:val="en-GB"/>
        </w:rPr>
      </w:pPr>
      <w:r w:rsidRPr="00571F0B">
        <w:rPr>
          <w:szCs w:val="24"/>
          <w:lang w:val="en-GB"/>
        </w:rPr>
        <w:t xml:space="preserve">IF (IV) </w:t>
      </w:r>
      <w:r>
        <w:rPr>
          <w:szCs w:val="24"/>
          <w:lang w:val="en-GB"/>
        </w:rPr>
        <w:t>must only support effective partners;</w:t>
      </w:r>
    </w:p>
    <w:p w:rsidR="00507F59" w:rsidRPr="00571F0B" w:rsidRDefault="00507F59" w:rsidP="00A82AAB">
      <w:pPr>
        <w:pStyle w:val="BodyText"/>
        <w:numPr>
          <w:ilvl w:val="0"/>
          <w:numId w:val="26"/>
        </w:numPr>
        <w:spacing w:before="0" w:after="0"/>
        <w:ind w:left="284" w:hanging="284"/>
        <w:rPr>
          <w:szCs w:val="24"/>
          <w:lang w:val="en-GB"/>
        </w:rPr>
      </w:pPr>
      <w:r w:rsidRPr="00571F0B">
        <w:rPr>
          <w:szCs w:val="24"/>
          <w:lang w:val="en-GB"/>
        </w:rPr>
        <w:t>IF (IV) needs to be able to determine the</w:t>
      </w:r>
      <w:r w:rsidR="00FD22D2">
        <w:rPr>
          <w:szCs w:val="24"/>
          <w:lang w:val="en-GB"/>
        </w:rPr>
        <w:t xml:space="preserve"> application of value-for-money</w:t>
      </w:r>
      <w:r w:rsidR="006A35A0">
        <w:rPr>
          <w:szCs w:val="24"/>
          <w:lang w:val="en-GB"/>
        </w:rPr>
        <w:t>;</w:t>
      </w:r>
    </w:p>
    <w:p w:rsidR="00507F59" w:rsidRPr="00571F0B" w:rsidRDefault="00507F59" w:rsidP="00A82AAB">
      <w:pPr>
        <w:pStyle w:val="BodyText"/>
        <w:numPr>
          <w:ilvl w:val="0"/>
          <w:numId w:val="26"/>
        </w:numPr>
        <w:spacing w:before="0" w:after="0"/>
        <w:ind w:left="284" w:hanging="284"/>
        <w:rPr>
          <w:szCs w:val="24"/>
          <w:lang w:val="en-GB"/>
        </w:rPr>
      </w:pPr>
      <w:r w:rsidRPr="00571F0B">
        <w:rPr>
          <w:szCs w:val="24"/>
          <w:lang w:val="en-GB"/>
        </w:rPr>
        <w:t xml:space="preserve">IF (IV) must better understand </w:t>
      </w:r>
      <w:r w:rsidRPr="00350A70">
        <w:rPr>
          <w:szCs w:val="24"/>
          <w:lang w:val="en-GB"/>
        </w:rPr>
        <w:t xml:space="preserve">the </w:t>
      </w:r>
      <w:r w:rsidR="00350A70" w:rsidRPr="00350A70">
        <w:rPr>
          <w:szCs w:val="24"/>
          <w:lang w:val="en-GB"/>
        </w:rPr>
        <w:t>local political economy and operating context</w:t>
      </w:r>
      <w:r w:rsidR="006A35A0">
        <w:rPr>
          <w:szCs w:val="24"/>
          <w:lang w:val="en-GB"/>
        </w:rPr>
        <w:t>;</w:t>
      </w:r>
    </w:p>
    <w:p w:rsidR="00507F59" w:rsidRDefault="006A35A0" w:rsidP="00A82AAB">
      <w:pPr>
        <w:pStyle w:val="BodyText"/>
        <w:numPr>
          <w:ilvl w:val="0"/>
          <w:numId w:val="26"/>
        </w:numPr>
        <w:spacing w:before="0" w:after="0"/>
        <w:ind w:left="284" w:hanging="284"/>
        <w:rPr>
          <w:szCs w:val="24"/>
          <w:lang w:val="en-GB"/>
        </w:rPr>
      </w:pPr>
      <w:r>
        <w:rPr>
          <w:szCs w:val="24"/>
          <w:lang w:val="en-GB"/>
        </w:rPr>
        <w:t>IF (IV</w:t>
      </w:r>
      <w:r w:rsidR="00507F59" w:rsidRPr="00571F0B">
        <w:rPr>
          <w:szCs w:val="24"/>
          <w:lang w:val="en-GB"/>
        </w:rPr>
        <w:t>) will target organisations, sectors and geographical areas</w:t>
      </w:r>
      <w:r w:rsidR="00FD22D2">
        <w:rPr>
          <w:szCs w:val="24"/>
          <w:lang w:val="en-GB"/>
        </w:rPr>
        <w:t>.</w:t>
      </w:r>
    </w:p>
    <w:p w:rsidR="002750F2" w:rsidRDefault="002750F2" w:rsidP="002750F2">
      <w:pPr>
        <w:pStyle w:val="BodyText"/>
        <w:spacing w:before="0" w:after="0"/>
        <w:rPr>
          <w:szCs w:val="24"/>
          <w:lang w:val="en-GB"/>
        </w:rPr>
      </w:pPr>
    </w:p>
    <w:p w:rsidR="00D96292" w:rsidRPr="00D96292" w:rsidRDefault="002750F2" w:rsidP="00D96292">
      <w:pPr>
        <w:pStyle w:val="Caption"/>
        <w:spacing w:before="0" w:after="0"/>
        <w:rPr>
          <w:szCs w:val="24"/>
          <w:lang w:val="en-GB"/>
        </w:rPr>
      </w:pPr>
      <w:r>
        <w:rPr>
          <w:szCs w:val="24"/>
          <w:lang w:val="en-GB"/>
        </w:rPr>
        <w:t>Goal and purpose</w:t>
      </w:r>
    </w:p>
    <w:p w:rsidR="003E03F2" w:rsidRPr="007228A0" w:rsidRDefault="003E03F2" w:rsidP="003E03F2">
      <w:pPr>
        <w:spacing w:before="0" w:after="0"/>
        <w:rPr>
          <w:lang w:val="en-GB"/>
        </w:rPr>
      </w:pPr>
      <w:r w:rsidRPr="00571F0B">
        <w:rPr>
          <w:lang w:val="en-GB"/>
        </w:rPr>
        <w:t xml:space="preserve">The Incentive Fund </w:t>
      </w:r>
      <w:r>
        <w:rPr>
          <w:lang w:val="en-GB"/>
        </w:rPr>
        <w:t xml:space="preserve">Phase IV (post program) </w:t>
      </w:r>
      <w:r w:rsidRPr="00571F0B">
        <w:rPr>
          <w:lang w:val="en-GB"/>
        </w:rPr>
        <w:t>Goal</w:t>
      </w:r>
      <w:r>
        <w:rPr>
          <w:lang w:val="en-GB"/>
        </w:rPr>
        <w:t xml:space="preserve"> is:</w:t>
      </w:r>
    </w:p>
    <w:p w:rsidR="003E03F2" w:rsidRPr="00571F0B" w:rsidRDefault="003E03F2" w:rsidP="003E03F2">
      <w:pPr>
        <w:spacing w:before="0" w:after="0"/>
        <w:ind w:left="720"/>
        <w:rPr>
          <w:b/>
          <w:i/>
          <w:lang w:val="en-GB"/>
        </w:rPr>
      </w:pPr>
      <w:r w:rsidRPr="00571F0B">
        <w:rPr>
          <w:b/>
          <w:i/>
          <w:lang w:val="en-GB"/>
        </w:rPr>
        <w:t xml:space="preserve">To </w:t>
      </w:r>
      <w:r>
        <w:rPr>
          <w:b/>
          <w:i/>
          <w:lang w:val="en-GB"/>
        </w:rPr>
        <w:t xml:space="preserve">improve the capacity of organisations to meet the service delivery and economic development needs of the women, children and men of Papua New Guinea. </w:t>
      </w:r>
    </w:p>
    <w:p w:rsidR="003E03F2" w:rsidRPr="00571F0B" w:rsidRDefault="003E03F2" w:rsidP="003E03F2">
      <w:pPr>
        <w:spacing w:before="0" w:after="0"/>
        <w:rPr>
          <w:lang w:val="en-GB"/>
        </w:rPr>
      </w:pPr>
    </w:p>
    <w:p w:rsidR="003E03F2" w:rsidRPr="00571F0B" w:rsidRDefault="003E03F2" w:rsidP="003E03F2">
      <w:pPr>
        <w:spacing w:before="0" w:after="0"/>
        <w:rPr>
          <w:lang w:val="en-GB"/>
        </w:rPr>
      </w:pPr>
      <w:r>
        <w:rPr>
          <w:lang w:val="en-GB"/>
        </w:rPr>
        <w:t xml:space="preserve">The Goal will </w:t>
      </w:r>
      <w:r w:rsidRPr="006033B5">
        <w:rPr>
          <w:lang w:val="en-GB"/>
        </w:rPr>
        <w:t>ensure</w:t>
      </w:r>
      <w:r>
        <w:rPr>
          <w:lang w:val="en-GB"/>
        </w:rPr>
        <w:t xml:space="preserve"> </w:t>
      </w:r>
      <w:r w:rsidRPr="006033B5">
        <w:rPr>
          <w:lang w:val="en-GB"/>
        </w:rPr>
        <w:t xml:space="preserve">this large grant funding mechanism is aligned with </w:t>
      </w:r>
      <w:r>
        <w:rPr>
          <w:lang w:val="en-GB"/>
        </w:rPr>
        <w:t xml:space="preserve">the new </w:t>
      </w:r>
      <w:r w:rsidRPr="006033B5">
        <w:rPr>
          <w:lang w:val="en-GB"/>
        </w:rPr>
        <w:t xml:space="preserve">Australian Aid </w:t>
      </w:r>
      <w:r>
        <w:rPr>
          <w:lang w:val="en-GB"/>
        </w:rPr>
        <w:t xml:space="preserve">Policy and shifts the delivery of Australian Aid from projects and direct service delivery mechanisms to supporting delivery through effective partners. </w:t>
      </w:r>
      <w:r w:rsidRPr="00571F0B">
        <w:rPr>
          <w:lang w:val="en-GB"/>
        </w:rPr>
        <w:t xml:space="preserve">For over fourteen years the incentive funding mechanism has delivered significant </w:t>
      </w:r>
      <w:r>
        <w:rPr>
          <w:lang w:val="en-GB"/>
        </w:rPr>
        <w:t xml:space="preserve">process and output outcomes and </w:t>
      </w:r>
      <w:r w:rsidRPr="00571F0B">
        <w:rPr>
          <w:lang w:val="en-GB"/>
        </w:rPr>
        <w:t xml:space="preserve">infrastructure through </w:t>
      </w:r>
      <w:r>
        <w:rPr>
          <w:lang w:val="en-GB"/>
        </w:rPr>
        <w:t xml:space="preserve">a </w:t>
      </w:r>
      <w:r w:rsidRPr="00571F0B">
        <w:rPr>
          <w:lang w:val="en-GB"/>
        </w:rPr>
        <w:t xml:space="preserve">strong </w:t>
      </w:r>
      <w:r>
        <w:rPr>
          <w:lang w:val="en-GB"/>
        </w:rPr>
        <w:t xml:space="preserve">partner led </w:t>
      </w:r>
      <w:r w:rsidRPr="00571F0B">
        <w:rPr>
          <w:lang w:val="en-GB"/>
        </w:rPr>
        <w:t>delivery process</w:t>
      </w:r>
      <w:r>
        <w:rPr>
          <w:lang w:val="en-GB"/>
        </w:rPr>
        <w:t>.</w:t>
      </w:r>
      <w:r w:rsidRPr="00571F0B">
        <w:rPr>
          <w:lang w:val="en-GB"/>
        </w:rPr>
        <w:t xml:space="preserve"> </w:t>
      </w:r>
      <w:r>
        <w:rPr>
          <w:lang w:val="en-GB"/>
        </w:rPr>
        <w:t xml:space="preserve">It remains a relevant delivery mechanism for cross-sector support and to establish improved private sector engagement in Papua New Guinea’s development.  </w:t>
      </w:r>
    </w:p>
    <w:p w:rsidR="003E03F2" w:rsidRPr="007228A0" w:rsidRDefault="003E03F2" w:rsidP="003E03F2">
      <w:pPr>
        <w:spacing w:before="0" w:after="0"/>
        <w:rPr>
          <w:sz w:val="16"/>
          <w:szCs w:val="16"/>
          <w:lang w:val="en-GB"/>
        </w:rPr>
      </w:pPr>
    </w:p>
    <w:p w:rsidR="003E03F2" w:rsidRPr="007228A0" w:rsidRDefault="003E03F2" w:rsidP="003E03F2">
      <w:pPr>
        <w:spacing w:before="0" w:after="0"/>
        <w:rPr>
          <w:sz w:val="16"/>
          <w:szCs w:val="16"/>
          <w:lang w:val="en-GB"/>
        </w:rPr>
      </w:pPr>
      <w:r>
        <w:rPr>
          <w:lang w:val="en-GB"/>
        </w:rPr>
        <w:t>The Incentive Fund Phase IV Purpose is:</w:t>
      </w:r>
    </w:p>
    <w:p w:rsidR="003E03F2" w:rsidRDefault="003E03F2" w:rsidP="003E03F2">
      <w:pPr>
        <w:spacing w:before="0" w:after="0"/>
        <w:ind w:left="720"/>
        <w:rPr>
          <w:b/>
          <w:i/>
          <w:lang w:val="en-GB"/>
        </w:rPr>
      </w:pPr>
      <w:r>
        <w:rPr>
          <w:b/>
          <w:i/>
          <w:lang w:val="en-GB"/>
        </w:rPr>
        <w:t xml:space="preserve">To attract, identify and incentivise good performing organisations to expand the reach, coverage and quality of their contribution to service delivery and/or economic </w:t>
      </w:r>
      <w:r w:rsidR="00AF79FB" w:rsidRPr="00AF79FB">
        <w:rPr>
          <w:b/>
          <w:i/>
          <w:lang w:val="en-GB"/>
        </w:rPr>
        <w:t>development</w:t>
      </w:r>
      <w:r>
        <w:rPr>
          <w:b/>
          <w:i/>
          <w:lang w:val="en-GB"/>
        </w:rPr>
        <w:t xml:space="preserve"> in Papua New Guinea. </w:t>
      </w:r>
    </w:p>
    <w:p w:rsidR="00FD22D2" w:rsidRDefault="00FD22D2" w:rsidP="000471AF">
      <w:pPr>
        <w:pStyle w:val="BodyText"/>
        <w:spacing w:before="0" w:after="0"/>
        <w:rPr>
          <w:szCs w:val="24"/>
          <w:lang w:val="en-GB"/>
        </w:rPr>
      </w:pPr>
    </w:p>
    <w:p w:rsidR="00994D0B" w:rsidRDefault="009F635E" w:rsidP="00994D0B">
      <w:pPr>
        <w:pStyle w:val="BodyText"/>
        <w:spacing w:before="0" w:after="0"/>
        <w:rPr>
          <w:lang w:val="en-GB"/>
        </w:rPr>
      </w:pPr>
      <w:r w:rsidRPr="00571F0B">
        <w:rPr>
          <w:szCs w:val="24"/>
          <w:lang w:val="en-GB"/>
        </w:rPr>
        <w:t xml:space="preserve">The end-of-program position is informed by the Incentive Fund Logic and its achievement will be driven </w:t>
      </w:r>
      <w:r w:rsidR="001C332D" w:rsidRPr="00571F0B">
        <w:rPr>
          <w:szCs w:val="24"/>
          <w:lang w:val="en-GB"/>
        </w:rPr>
        <w:t>through the</w:t>
      </w:r>
      <w:r w:rsidRPr="00571F0B">
        <w:rPr>
          <w:szCs w:val="24"/>
          <w:lang w:val="en-GB"/>
        </w:rPr>
        <w:t xml:space="preserve"> Pe</w:t>
      </w:r>
      <w:r w:rsidR="00FD22D2">
        <w:rPr>
          <w:szCs w:val="24"/>
          <w:lang w:val="en-GB"/>
        </w:rPr>
        <w:t>rformance Assessment Framework</w:t>
      </w:r>
      <w:r w:rsidR="006B3178">
        <w:rPr>
          <w:szCs w:val="24"/>
          <w:lang w:val="en-GB"/>
        </w:rPr>
        <w:t xml:space="preserve"> (PAF)</w:t>
      </w:r>
      <w:r w:rsidR="00C53862">
        <w:rPr>
          <w:szCs w:val="24"/>
          <w:lang w:val="en-GB"/>
        </w:rPr>
        <w:t xml:space="preserve"> </w:t>
      </w:r>
      <w:r w:rsidR="006B3178">
        <w:rPr>
          <w:lang w:val="en-GB"/>
        </w:rPr>
        <w:t>and outcome indicators</w:t>
      </w:r>
      <w:r w:rsidR="006B3178" w:rsidRPr="00013706">
        <w:rPr>
          <w:lang w:val="en-GB"/>
        </w:rPr>
        <w:t xml:space="preserve">. </w:t>
      </w:r>
    </w:p>
    <w:p w:rsidR="00994D0B" w:rsidRDefault="00994D0B" w:rsidP="00994D0B">
      <w:pPr>
        <w:pStyle w:val="BodyText"/>
        <w:spacing w:before="0" w:after="0"/>
        <w:rPr>
          <w:lang w:val="en-GB"/>
        </w:rPr>
      </w:pPr>
    </w:p>
    <w:p w:rsidR="00FD22D2" w:rsidRDefault="006B3178" w:rsidP="00994D0B">
      <w:pPr>
        <w:pStyle w:val="BodyText"/>
        <w:spacing w:before="0" w:after="0"/>
        <w:rPr>
          <w:lang w:val="en-GB"/>
        </w:rPr>
      </w:pPr>
      <w:r w:rsidRPr="00013706">
        <w:rPr>
          <w:lang w:val="en-GB"/>
        </w:rPr>
        <w:t xml:space="preserve">DFAT </w:t>
      </w:r>
      <w:r w:rsidR="00994D0B">
        <w:rPr>
          <w:lang w:val="en-GB"/>
        </w:rPr>
        <w:t xml:space="preserve">did not confirm any </w:t>
      </w:r>
      <w:r w:rsidR="00D96292">
        <w:rPr>
          <w:lang w:val="en-GB"/>
        </w:rPr>
        <w:t>allocation</w:t>
      </w:r>
      <w:r w:rsidRPr="00013706">
        <w:rPr>
          <w:lang w:val="en-GB"/>
        </w:rPr>
        <w:t xml:space="preserve"> of investments between health, education</w:t>
      </w:r>
      <w:r w:rsidR="003E03F2">
        <w:rPr>
          <w:lang w:val="en-GB"/>
        </w:rPr>
        <w:t xml:space="preserve">, other sectors or </w:t>
      </w:r>
      <w:r w:rsidRPr="00013706">
        <w:rPr>
          <w:lang w:val="en-GB"/>
        </w:rPr>
        <w:t xml:space="preserve">economic </w:t>
      </w:r>
      <w:r w:rsidR="003E03F2">
        <w:rPr>
          <w:lang w:val="en-GB"/>
        </w:rPr>
        <w:t xml:space="preserve">development activities </w:t>
      </w:r>
      <w:r w:rsidR="00994D0B">
        <w:rPr>
          <w:lang w:val="en-GB"/>
        </w:rPr>
        <w:t>during the design phase</w:t>
      </w:r>
      <w:r w:rsidR="00D96292">
        <w:rPr>
          <w:lang w:val="en-GB"/>
        </w:rPr>
        <w:t>. D</w:t>
      </w:r>
      <w:r w:rsidR="00994D0B">
        <w:rPr>
          <w:lang w:val="en-GB"/>
        </w:rPr>
        <w:t>uring IF (IV) start-up</w:t>
      </w:r>
      <w:r w:rsidR="00D96292">
        <w:rPr>
          <w:lang w:val="en-GB"/>
        </w:rPr>
        <w:t>,</w:t>
      </w:r>
      <w:r w:rsidR="00994D0B">
        <w:rPr>
          <w:lang w:val="en-GB"/>
        </w:rPr>
        <w:t xml:space="preserve"> </w:t>
      </w:r>
      <w:r w:rsidR="00C53862">
        <w:rPr>
          <w:lang w:val="en-GB"/>
        </w:rPr>
        <w:t>and then annually</w:t>
      </w:r>
      <w:r w:rsidR="00A833E4">
        <w:rPr>
          <w:lang w:val="en-GB"/>
        </w:rPr>
        <w:t>,</w:t>
      </w:r>
      <w:r w:rsidR="00C53862" w:rsidRPr="00C53862">
        <w:rPr>
          <w:lang w:val="en-GB"/>
        </w:rPr>
        <w:t xml:space="preserve"> </w:t>
      </w:r>
      <w:r w:rsidR="004003BE">
        <w:rPr>
          <w:lang w:val="en-GB"/>
        </w:rPr>
        <w:t xml:space="preserve">DFAT, </w:t>
      </w:r>
      <w:r w:rsidR="00994D0B">
        <w:rPr>
          <w:lang w:val="en-GB"/>
        </w:rPr>
        <w:t>the Management Group (MG)</w:t>
      </w:r>
      <w:r w:rsidR="00C53862">
        <w:rPr>
          <w:lang w:val="en-GB"/>
        </w:rPr>
        <w:t xml:space="preserve"> </w:t>
      </w:r>
      <w:r w:rsidR="004003BE">
        <w:rPr>
          <w:lang w:val="en-GB"/>
        </w:rPr>
        <w:t xml:space="preserve">and the Team Leader </w:t>
      </w:r>
      <w:r w:rsidR="00994D0B">
        <w:rPr>
          <w:lang w:val="en-GB"/>
        </w:rPr>
        <w:t xml:space="preserve">will need to confirm </w:t>
      </w:r>
      <w:r w:rsidR="00D96292">
        <w:rPr>
          <w:lang w:val="en-GB"/>
        </w:rPr>
        <w:t>sector allocations</w:t>
      </w:r>
      <w:r w:rsidR="00A833E4">
        <w:rPr>
          <w:lang w:val="en-GB"/>
        </w:rPr>
        <w:t xml:space="preserve">. </w:t>
      </w:r>
      <w:r w:rsidR="00D96292">
        <w:rPr>
          <w:lang w:val="en-GB"/>
        </w:rPr>
        <w:t>Changes to sector allocations will be a</w:t>
      </w:r>
      <w:r w:rsidR="00994D0B">
        <w:rPr>
          <w:lang w:val="en-GB"/>
        </w:rPr>
        <w:t xml:space="preserve"> </w:t>
      </w:r>
      <w:r>
        <w:rPr>
          <w:lang w:val="en-GB"/>
        </w:rPr>
        <w:t>strategic management decision informed by the PAF and outcome indicators</w:t>
      </w:r>
      <w:r w:rsidRPr="00013706">
        <w:rPr>
          <w:lang w:val="en-GB"/>
        </w:rPr>
        <w:t xml:space="preserve">. </w:t>
      </w:r>
    </w:p>
    <w:p w:rsidR="002750F2" w:rsidRDefault="002750F2">
      <w:pPr>
        <w:spacing w:before="0" w:after="0"/>
        <w:jc w:val="left"/>
        <w:rPr>
          <w:rFonts w:ascii="Arial" w:hAnsi="Arial"/>
          <w:b/>
          <w:szCs w:val="24"/>
          <w:lang w:val="en-GB"/>
        </w:rPr>
      </w:pPr>
      <w:r>
        <w:rPr>
          <w:rFonts w:ascii="Arial" w:hAnsi="Arial"/>
          <w:b/>
          <w:szCs w:val="24"/>
          <w:lang w:val="en-GB"/>
        </w:rPr>
        <w:br w:type="page"/>
      </w:r>
    </w:p>
    <w:p w:rsidR="00AC4603" w:rsidRPr="00AC4603" w:rsidRDefault="001C332D" w:rsidP="00AC4603">
      <w:pPr>
        <w:pStyle w:val="Caption"/>
        <w:spacing w:before="0"/>
        <w:rPr>
          <w:szCs w:val="24"/>
          <w:lang w:val="en-GB"/>
        </w:rPr>
      </w:pPr>
      <w:r w:rsidRPr="00571F0B">
        <w:rPr>
          <w:szCs w:val="24"/>
          <w:lang w:val="en-GB"/>
        </w:rPr>
        <w:lastRenderedPageBreak/>
        <w:t>End-of-program position</w:t>
      </w:r>
    </w:p>
    <w:tbl>
      <w:tblPr>
        <w:tblStyle w:val="TableGrid"/>
        <w:tblW w:w="0" w:type="auto"/>
        <w:jc w:val="center"/>
        <w:tblLook w:val="04A0" w:firstRow="1" w:lastRow="0" w:firstColumn="1" w:lastColumn="0" w:noHBand="0" w:noVBand="1"/>
      </w:tblPr>
      <w:tblGrid>
        <w:gridCol w:w="9289"/>
      </w:tblGrid>
      <w:tr w:rsidR="001C332D" w:rsidRPr="00571F0B" w:rsidTr="00083597">
        <w:trPr>
          <w:jc w:val="center"/>
        </w:trPr>
        <w:tc>
          <w:tcPr>
            <w:tcW w:w="9289" w:type="dxa"/>
            <w:tcBorders>
              <w:top w:val="nil"/>
              <w:left w:val="nil"/>
              <w:bottom w:val="nil"/>
              <w:right w:val="nil"/>
            </w:tcBorders>
            <w:shd w:val="clear" w:color="auto" w:fill="D6E3BC" w:themeFill="accent3" w:themeFillTint="66"/>
          </w:tcPr>
          <w:p w:rsidR="001C332D" w:rsidRPr="003669F3" w:rsidRDefault="001C332D" w:rsidP="000471AF">
            <w:pPr>
              <w:pStyle w:val="BodyText"/>
              <w:spacing w:before="0" w:after="0"/>
              <w:rPr>
                <w:rFonts w:ascii="Arial Narrow" w:hAnsi="Arial Narrow"/>
                <w:b/>
                <w:sz w:val="20"/>
                <w:lang w:val="en-GB"/>
              </w:rPr>
            </w:pPr>
            <w:r w:rsidRPr="003669F3">
              <w:rPr>
                <w:rFonts w:ascii="Arial Narrow" w:hAnsi="Arial Narrow"/>
                <w:b/>
                <w:sz w:val="20"/>
                <w:lang w:val="en-GB"/>
              </w:rPr>
              <w:t>By 2021 I</w:t>
            </w:r>
            <w:r w:rsidR="00F94E53" w:rsidRPr="003669F3">
              <w:rPr>
                <w:rFonts w:ascii="Arial Narrow" w:hAnsi="Arial Narrow"/>
                <w:b/>
                <w:sz w:val="20"/>
                <w:lang w:val="en-GB"/>
              </w:rPr>
              <w:t xml:space="preserve">ncentive </w:t>
            </w:r>
            <w:r w:rsidRPr="003669F3">
              <w:rPr>
                <w:rFonts w:ascii="Arial Narrow" w:hAnsi="Arial Narrow"/>
                <w:b/>
                <w:sz w:val="20"/>
                <w:lang w:val="en-GB"/>
              </w:rPr>
              <w:t>F</w:t>
            </w:r>
            <w:r w:rsidR="00F94E53" w:rsidRPr="003669F3">
              <w:rPr>
                <w:rFonts w:ascii="Arial Narrow" w:hAnsi="Arial Narrow"/>
                <w:b/>
                <w:sz w:val="20"/>
                <w:lang w:val="en-GB"/>
              </w:rPr>
              <w:t>und</w:t>
            </w:r>
            <w:r w:rsidRPr="003669F3">
              <w:rPr>
                <w:rFonts w:ascii="Arial Narrow" w:hAnsi="Arial Narrow"/>
                <w:b/>
                <w:sz w:val="20"/>
                <w:lang w:val="en-GB"/>
              </w:rPr>
              <w:t xml:space="preserve"> (IV) will have:</w:t>
            </w:r>
          </w:p>
          <w:p w:rsidR="001C332D" w:rsidRPr="00FD22D2" w:rsidRDefault="001C332D" w:rsidP="000471AF">
            <w:pPr>
              <w:pStyle w:val="BodyText"/>
              <w:spacing w:before="0" w:after="0"/>
              <w:rPr>
                <w:rFonts w:ascii="Arial Narrow" w:hAnsi="Arial Narrow"/>
                <w:sz w:val="16"/>
                <w:szCs w:val="16"/>
                <w:lang w:val="en-GB"/>
              </w:rPr>
            </w:pPr>
          </w:p>
          <w:p w:rsidR="001C332D" w:rsidRPr="00FD22D2" w:rsidRDefault="001C332D" w:rsidP="00A82AAB">
            <w:pPr>
              <w:pStyle w:val="BodyText"/>
              <w:numPr>
                <w:ilvl w:val="0"/>
                <w:numId w:val="23"/>
              </w:numPr>
              <w:spacing w:before="0" w:after="0"/>
              <w:rPr>
                <w:rFonts w:ascii="Arial Narrow" w:hAnsi="Arial Narrow"/>
                <w:sz w:val="20"/>
                <w:lang w:val="en-GB"/>
              </w:rPr>
            </w:pPr>
            <w:r w:rsidRPr="00FD22D2">
              <w:rPr>
                <w:rFonts w:ascii="Arial Narrow" w:hAnsi="Arial Narrow"/>
                <w:sz w:val="20"/>
                <w:lang w:val="en-GB"/>
              </w:rPr>
              <w:t xml:space="preserve">Delivered $72 million through approximately 26 </w:t>
            </w:r>
            <w:r w:rsidR="00FD22D2">
              <w:rPr>
                <w:rFonts w:ascii="Arial Narrow" w:hAnsi="Arial Narrow"/>
                <w:sz w:val="20"/>
                <w:lang w:val="en-GB"/>
              </w:rPr>
              <w:t>Incentive Fund Agreements</w:t>
            </w:r>
            <w:r w:rsidR="00C25359">
              <w:rPr>
                <w:rFonts w:ascii="Arial Narrow" w:hAnsi="Arial Narrow"/>
                <w:sz w:val="20"/>
                <w:lang w:val="en-GB"/>
              </w:rPr>
              <w:t>;</w:t>
            </w:r>
          </w:p>
          <w:p w:rsidR="001C332D" w:rsidRPr="00FD22D2" w:rsidRDefault="001C332D" w:rsidP="00A82AAB">
            <w:pPr>
              <w:pStyle w:val="BodyText"/>
              <w:numPr>
                <w:ilvl w:val="0"/>
                <w:numId w:val="23"/>
              </w:numPr>
              <w:spacing w:before="0" w:after="0"/>
              <w:rPr>
                <w:rFonts w:ascii="Arial Narrow" w:hAnsi="Arial Narrow"/>
                <w:sz w:val="20"/>
                <w:lang w:val="en-GB"/>
              </w:rPr>
            </w:pPr>
            <w:r w:rsidRPr="00FD22D2">
              <w:rPr>
                <w:rFonts w:ascii="Arial Narrow" w:hAnsi="Arial Narrow"/>
                <w:sz w:val="20"/>
                <w:lang w:val="en-GB"/>
              </w:rPr>
              <w:t>Only delivered investments in the health, education</w:t>
            </w:r>
            <w:r w:rsidR="004003BE">
              <w:rPr>
                <w:rFonts w:ascii="Arial Narrow" w:hAnsi="Arial Narrow"/>
                <w:sz w:val="20"/>
                <w:lang w:val="en-GB"/>
              </w:rPr>
              <w:t xml:space="preserve">, other sectors </w:t>
            </w:r>
            <w:r w:rsidRPr="00FD22D2">
              <w:rPr>
                <w:rFonts w:ascii="Arial Narrow" w:hAnsi="Arial Narrow"/>
                <w:sz w:val="20"/>
                <w:lang w:val="en-GB"/>
              </w:rPr>
              <w:t xml:space="preserve">and </w:t>
            </w:r>
            <w:r w:rsidR="004003BE">
              <w:rPr>
                <w:rFonts w:ascii="Arial Narrow" w:hAnsi="Arial Narrow"/>
                <w:sz w:val="20"/>
                <w:lang w:val="en-GB"/>
              </w:rPr>
              <w:t xml:space="preserve">to stimulate </w:t>
            </w:r>
            <w:r w:rsidRPr="00FD22D2">
              <w:rPr>
                <w:rFonts w:ascii="Arial Narrow" w:hAnsi="Arial Narrow"/>
                <w:sz w:val="20"/>
                <w:lang w:val="en-GB"/>
              </w:rPr>
              <w:t xml:space="preserve">economic </w:t>
            </w:r>
            <w:r w:rsidR="00AF79FB" w:rsidRPr="00AF79FB">
              <w:rPr>
                <w:rFonts w:ascii="Arial Narrow" w:hAnsi="Arial Narrow"/>
                <w:sz w:val="20"/>
                <w:lang w:val="en-GB"/>
              </w:rPr>
              <w:t>development</w:t>
            </w:r>
            <w:r w:rsidRPr="00FD22D2">
              <w:rPr>
                <w:rFonts w:ascii="Arial Narrow" w:hAnsi="Arial Narrow"/>
                <w:sz w:val="20"/>
                <w:lang w:val="en-GB"/>
              </w:rPr>
              <w:t xml:space="preserve"> and any proportionality will be established through the </w:t>
            </w:r>
            <w:r w:rsidR="00C25359">
              <w:rPr>
                <w:rFonts w:ascii="Arial Narrow" w:hAnsi="Arial Narrow"/>
                <w:sz w:val="20"/>
                <w:lang w:val="en-GB"/>
              </w:rPr>
              <w:t xml:space="preserve">strategic and annual plans and </w:t>
            </w:r>
            <w:r w:rsidRPr="00FD22D2">
              <w:rPr>
                <w:rFonts w:ascii="Arial Narrow" w:hAnsi="Arial Narrow"/>
                <w:sz w:val="20"/>
                <w:lang w:val="en-GB"/>
              </w:rPr>
              <w:t>targeted through the CPRs</w:t>
            </w:r>
            <w:r w:rsidR="00C25359">
              <w:rPr>
                <w:rFonts w:ascii="Arial Narrow" w:hAnsi="Arial Narrow"/>
                <w:sz w:val="20"/>
                <w:lang w:val="en-GB"/>
              </w:rPr>
              <w:t>;</w:t>
            </w:r>
          </w:p>
          <w:p w:rsidR="001C332D" w:rsidRPr="00FD22D2" w:rsidRDefault="001C332D" w:rsidP="00A82AAB">
            <w:pPr>
              <w:pStyle w:val="BodyText"/>
              <w:numPr>
                <w:ilvl w:val="0"/>
                <w:numId w:val="23"/>
              </w:numPr>
              <w:spacing w:before="0" w:after="0"/>
              <w:rPr>
                <w:rFonts w:ascii="Arial Narrow" w:hAnsi="Arial Narrow"/>
                <w:sz w:val="20"/>
                <w:lang w:val="en-GB"/>
              </w:rPr>
            </w:pPr>
            <w:r w:rsidRPr="00FD22D2">
              <w:rPr>
                <w:rFonts w:ascii="Arial Narrow" w:hAnsi="Arial Narrow"/>
                <w:sz w:val="20"/>
                <w:lang w:val="en-GB"/>
              </w:rPr>
              <w:t xml:space="preserve">Ensured that </w:t>
            </w:r>
            <w:r w:rsidR="00463D79" w:rsidRPr="00463D79">
              <w:rPr>
                <w:rFonts w:ascii="Arial Narrow" w:hAnsi="Arial Narrow"/>
                <w:sz w:val="20"/>
                <w:lang w:val="en-GB"/>
              </w:rPr>
              <w:t>80 per cent of the investments support</w:t>
            </w:r>
            <w:r w:rsidR="00463D79">
              <w:rPr>
                <w:rFonts w:ascii="Arial Narrow" w:hAnsi="Arial Narrow"/>
                <w:sz w:val="20"/>
                <w:lang w:val="en-GB"/>
              </w:rPr>
              <w:t>ed</w:t>
            </w:r>
            <w:r w:rsidR="00463D79" w:rsidRPr="00463D79">
              <w:rPr>
                <w:rFonts w:ascii="Arial Narrow" w:hAnsi="Arial Narrow"/>
                <w:sz w:val="20"/>
                <w:lang w:val="en-GB"/>
              </w:rPr>
              <w:t xml:space="preserve"> empowerment of women and girls </w:t>
            </w:r>
            <w:r w:rsidRPr="00FD22D2">
              <w:rPr>
                <w:rFonts w:ascii="Arial Narrow" w:hAnsi="Arial Narrow"/>
                <w:sz w:val="20"/>
                <w:lang w:val="en-GB"/>
              </w:rPr>
              <w:t>who have had their lives changed in ways that are consistent with the Pacific Women objectives</w:t>
            </w:r>
            <w:r w:rsidR="00C25359">
              <w:rPr>
                <w:rFonts w:ascii="Arial Narrow" w:hAnsi="Arial Narrow"/>
                <w:sz w:val="20"/>
                <w:lang w:val="en-GB"/>
              </w:rPr>
              <w:t>;</w:t>
            </w:r>
          </w:p>
          <w:p w:rsidR="001C332D" w:rsidRPr="00FD22D2" w:rsidRDefault="00AC4603" w:rsidP="00A82AAB">
            <w:pPr>
              <w:pStyle w:val="BodyText"/>
              <w:numPr>
                <w:ilvl w:val="0"/>
                <w:numId w:val="23"/>
              </w:numPr>
              <w:spacing w:before="0" w:after="0"/>
              <w:rPr>
                <w:rFonts w:ascii="Arial Narrow" w:hAnsi="Arial Narrow"/>
                <w:sz w:val="20"/>
                <w:lang w:val="en-GB"/>
              </w:rPr>
            </w:pPr>
            <w:r>
              <w:rPr>
                <w:rFonts w:ascii="Arial Narrow" w:hAnsi="Arial Narrow"/>
                <w:sz w:val="20"/>
                <w:lang w:val="en-GB"/>
              </w:rPr>
              <w:t>Ensured that at least 20 per cent</w:t>
            </w:r>
            <w:r w:rsidR="001C332D" w:rsidRPr="00FD22D2">
              <w:rPr>
                <w:rFonts w:ascii="Arial Narrow" w:hAnsi="Arial Narrow"/>
                <w:sz w:val="20"/>
                <w:lang w:val="en-GB"/>
              </w:rPr>
              <w:t xml:space="preserve"> of </w:t>
            </w:r>
            <w:r w:rsidR="004003BE">
              <w:rPr>
                <w:rFonts w:ascii="Arial Narrow" w:hAnsi="Arial Narrow"/>
                <w:sz w:val="20"/>
                <w:lang w:val="en-GB"/>
              </w:rPr>
              <w:t>investment is</w:t>
            </w:r>
            <w:r w:rsidR="001C332D" w:rsidRPr="00FD22D2">
              <w:rPr>
                <w:rFonts w:ascii="Arial Narrow" w:hAnsi="Arial Narrow"/>
                <w:sz w:val="20"/>
                <w:lang w:val="en-GB"/>
              </w:rPr>
              <w:t xml:space="preserve"> delivered by effective private sector partners</w:t>
            </w:r>
            <w:r w:rsidR="00C25359">
              <w:rPr>
                <w:rFonts w:ascii="Arial Narrow" w:hAnsi="Arial Narrow"/>
                <w:sz w:val="20"/>
                <w:lang w:val="en-GB"/>
              </w:rPr>
              <w:t>;</w:t>
            </w:r>
          </w:p>
          <w:p w:rsidR="001C332D" w:rsidRPr="00FD22D2" w:rsidRDefault="00AC4603" w:rsidP="00A82AAB">
            <w:pPr>
              <w:pStyle w:val="BodyText"/>
              <w:numPr>
                <w:ilvl w:val="0"/>
                <w:numId w:val="23"/>
              </w:numPr>
              <w:spacing w:before="0" w:after="0"/>
              <w:rPr>
                <w:rFonts w:ascii="Arial Narrow" w:hAnsi="Arial Narrow"/>
                <w:sz w:val="20"/>
                <w:lang w:val="en-GB"/>
              </w:rPr>
            </w:pPr>
            <w:r>
              <w:rPr>
                <w:rFonts w:ascii="Arial Narrow" w:hAnsi="Arial Narrow"/>
                <w:sz w:val="20"/>
                <w:lang w:val="en-GB"/>
              </w:rPr>
              <w:t>Ensured that at least 50 per cent</w:t>
            </w:r>
            <w:r w:rsidR="001C332D" w:rsidRPr="00FD22D2">
              <w:rPr>
                <w:rFonts w:ascii="Arial Narrow" w:hAnsi="Arial Narrow"/>
                <w:sz w:val="20"/>
                <w:lang w:val="en-GB"/>
              </w:rPr>
              <w:t xml:space="preserve"> (A$36 million) </w:t>
            </w:r>
            <w:r w:rsidR="00C25359">
              <w:rPr>
                <w:rFonts w:ascii="Arial Narrow" w:hAnsi="Arial Narrow"/>
                <w:sz w:val="20"/>
                <w:lang w:val="en-GB"/>
              </w:rPr>
              <w:t>of the activity investment will have been</w:t>
            </w:r>
            <w:r w:rsidR="001C332D" w:rsidRPr="00FD22D2">
              <w:rPr>
                <w:rFonts w:ascii="Arial Narrow" w:hAnsi="Arial Narrow"/>
                <w:sz w:val="20"/>
                <w:lang w:val="en-GB"/>
              </w:rPr>
              <w:t xml:space="preserve"> spent on infrastr</w:t>
            </w:r>
            <w:r w:rsidR="00C25359">
              <w:rPr>
                <w:rFonts w:ascii="Arial Narrow" w:hAnsi="Arial Narrow"/>
                <w:sz w:val="20"/>
                <w:lang w:val="en-GB"/>
              </w:rPr>
              <w:t>ucture and all infrastructure will have been</w:t>
            </w:r>
            <w:r w:rsidR="001C332D" w:rsidRPr="00FD22D2">
              <w:rPr>
                <w:rFonts w:ascii="Arial Narrow" w:hAnsi="Arial Narrow"/>
                <w:sz w:val="20"/>
                <w:lang w:val="en-GB"/>
              </w:rPr>
              <w:t xml:space="preserve"> of sufficient quality, fit-for-pur</w:t>
            </w:r>
            <w:r w:rsidR="00C25359">
              <w:rPr>
                <w:rFonts w:ascii="Arial Narrow" w:hAnsi="Arial Narrow"/>
                <w:sz w:val="20"/>
                <w:lang w:val="en-GB"/>
              </w:rPr>
              <w:t xml:space="preserve">pose, fully operational and will have had </w:t>
            </w:r>
            <w:r w:rsidR="001C332D" w:rsidRPr="00FD22D2">
              <w:rPr>
                <w:rFonts w:ascii="Arial Narrow" w:hAnsi="Arial Narrow"/>
                <w:sz w:val="20"/>
                <w:lang w:val="en-GB"/>
              </w:rPr>
              <w:t>a confirmed maintenance schedule and budget</w:t>
            </w:r>
            <w:r w:rsidR="00C25359">
              <w:rPr>
                <w:rFonts w:ascii="Arial Narrow" w:hAnsi="Arial Narrow"/>
                <w:sz w:val="20"/>
                <w:lang w:val="en-GB"/>
              </w:rPr>
              <w:t>;</w:t>
            </w:r>
          </w:p>
          <w:p w:rsidR="001C332D" w:rsidRPr="00FD22D2" w:rsidRDefault="001C332D" w:rsidP="00A82AAB">
            <w:pPr>
              <w:pStyle w:val="BodyText"/>
              <w:numPr>
                <w:ilvl w:val="0"/>
                <w:numId w:val="23"/>
              </w:numPr>
              <w:spacing w:before="0" w:after="0"/>
              <w:rPr>
                <w:rFonts w:ascii="Arial Narrow" w:hAnsi="Arial Narrow"/>
                <w:sz w:val="20"/>
                <w:lang w:val="en-GB"/>
              </w:rPr>
            </w:pPr>
            <w:r w:rsidRPr="00FD22D2">
              <w:rPr>
                <w:rFonts w:ascii="Arial Narrow" w:hAnsi="Arial Narrow"/>
                <w:sz w:val="20"/>
                <w:lang w:val="en-GB"/>
              </w:rPr>
              <w:t>Ensured that all the implementing partners were effective and had additional and recognised capacity at the end of implementation to maintain all organisational responsibilities and expand further</w:t>
            </w:r>
            <w:r w:rsidR="00C25359">
              <w:rPr>
                <w:rFonts w:ascii="Arial Narrow" w:hAnsi="Arial Narrow"/>
                <w:sz w:val="20"/>
                <w:lang w:val="en-GB"/>
              </w:rPr>
              <w:t>;</w:t>
            </w:r>
          </w:p>
          <w:p w:rsidR="001C332D" w:rsidRPr="00FD22D2" w:rsidRDefault="001C332D" w:rsidP="00A82AAB">
            <w:pPr>
              <w:pStyle w:val="BodyText"/>
              <w:numPr>
                <w:ilvl w:val="0"/>
                <w:numId w:val="23"/>
              </w:numPr>
              <w:spacing w:before="0" w:after="0"/>
              <w:rPr>
                <w:rFonts w:ascii="Arial Narrow" w:hAnsi="Arial Narrow"/>
                <w:sz w:val="20"/>
                <w:lang w:val="en-GB"/>
              </w:rPr>
            </w:pPr>
            <w:r w:rsidRPr="00FD22D2">
              <w:rPr>
                <w:rFonts w:ascii="Arial Narrow" w:hAnsi="Arial Narrow"/>
                <w:sz w:val="20"/>
                <w:lang w:val="en-GB"/>
              </w:rPr>
              <w:t>Ensured that all the implementing partners an</w:t>
            </w:r>
            <w:r w:rsidR="00C25359">
              <w:rPr>
                <w:rFonts w:ascii="Arial Narrow" w:hAnsi="Arial Narrow"/>
                <w:sz w:val="20"/>
                <w:lang w:val="en-GB"/>
              </w:rPr>
              <w:t>d managers of any IFA assets are</w:t>
            </w:r>
            <w:r w:rsidRPr="00FD22D2">
              <w:rPr>
                <w:rFonts w:ascii="Arial Narrow" w:hAnsi="Arial Narrow"/>
                <w:sz w:val="20"/>
                <w:lang w:val="en-GB"/>
              </w:rPr>
              <w:t xml:space="preserve"> operating appropriate social inclusion procedures informed by appr</w:t>
            </w:r>
            <w:r w:rsidR="00FD22D2">
              <w:rPr>
                <w:rFonts w:ascii="Arial Narrow" w:hAnsi="Arial Narrow"/>
                <w:sz w:val="20"/>
                <w:lang w:val="en-GB"/>
              </w:rPr>
              <w:t>opriate social inclusion policy</w:t>
            </w:r>
          </w:p>
          <w:p w:rsidR="001C332D" w:rsidRPr="00FD22D2" w:rsidRDefault="001C332D" w:rsidP="000471AF">
            <w:pPr>
              <w:pStyle w:val="BodyText"/>
              <w:spacing w:before="0" w:after="0"/>
              <w:rPr>
                <w:sz w:val="16"/>
                <w:szCs w:val="16"/>
                <w:lang w:val="en-GB"/>
              </w:rPr>
            </w:pPr>
          </w:p>
        </w:tc>
      </w:tr>
    </w:tbl>
    <w:p w:rsidR="009F635E" w:rsidRPr="00571F0B" w:rsidRDefault="009F635E" w:rsidP="000471AF">
      <w:pPr>
        <w:pStyle w:val="BodyText"/>
        <w:spacing w:before="0" w:after="0"/>
        <w:rPr>
          <w:szCs w:val="24"/>
          <w:lang w:val="en-GB"/>
        </w:rPr>
      </w:pPr>
    </w:p>
    <w:p w:rsidR="009F635E" w:rsidRPr="00571F0B" w:rsidRDefault="009F635E" w:rsidP="00AC4603">
      <w:pPr>
        <w:pStyle w:val="Caption"/>
        <w:spacing w:before="0" w:after="0"/>
        <w:rPr>
          <w:szCs w:val="24"/>
          <w:lang w:val="en-GB"/>
        </w:rPr>
      </w:pPr>
      <w:r w:rsidRPr="00571F0B">
        <w:rPr>
          <w:szCs w:val="24"/>
          <w:lang w:val="en-GB"/>
        </w:rPr>
        <w:t xml:space="preserve">Location, </w:t>
      </w:r>
      <w:r w:rsidR="001C332D" w:rsidRPr="00571F0B">
        <w:rPr>
          <w:szCs w:val="24"/>
          <w:lang w:val="en-GB"/>
        </w:rPr>
        <w:t>d</w:t>
      </w:r>
      <w:r w:rsidRPr="00571F0B">
        <w:rPr>
          <w:szCs w:val="24"/>
          <w:lang w:val="en-GB"/>
        </w:rPr>
        <w:t>uration and funding limits</w:t>
      </w:r>
    </w:p>
    <w:p w:rsidR="009F635E" w:rsidRDefault="009F635E" w:rsidP="000471AF">
      <w:pPr>
        <w:pStyle w:val="BodyText"/>
        <w:spacing w:before="0" w:after="0"/>
        <w:rPr>
          <w:szCs w:val="24"/>
          <w:lang w:val="en-GB"/>
        </w:rPr>
      </w:pPr>
      <w:r w:rsidRPr="00571F0B">
        <w:rPr>
          <w:szCs w:val="24"/>
          <w:lang w:val="en-GB"/>
        </w:rPr>
        <w:t xml:space="preserve">Projects will be implemented throughout PNG, and staff from the </w:t>
      </w:r>
      <w:r w:rsidR="00557D44">
        <w:rPr>
          <w:szCs w:val="24"/>
          <w:lang w:val="en-GB"/>
        </w:rPr>
        <w:t>Managing Contractor (</w:t>
      </w:r>
      <w:r w:rsidRPr="00571F0B">
        <w:rPr>
          <w:szCs w:val="24"/>
          <w:lang w:val="en-GB"/>
        </w:rPr>
        <w:t>MC</w:t>
      </w:r>
      <w:r w:rsidR="00557D44">
        <w:rPr>
          <w:szCs w:val="24"/>
          <w:lang w:val="en-GB"/>
        </w:rPr>
        <w:t>)</w:t>
      </w:r>
      <w:r w:rsidRPr="00571F0B">
        <w:rPr>
          <w:szCs w:val="24"/>
          <w:lang w:val="en-GB"/>
        </w:rPr>
        <w:t xml:space="preserve"> will be expected to travel extensively. There is no distribution strategy for projects or funds disbursement, however</w:t>
      </w:r>
      <w:r w:rsidR="00FD22D2">
        <w:rPr>
          <w:szCs w:val="24"/>
          <w:lang w:val="en-GB"/>
        </w:rPr>
        <w:t>,</w:t>
      </w:r>
      <w:r w:rsidRPr="00571F0B">
        <w:rPr>
          <w:szCs w:val="24"/>
          <w:lang w:val="en-GB"/>
        </w:rPr>
        <w:t xml:space="preserve"> </w:t>
      </w:r>
      <w:r w:rsidR="00C25359">
        <w:rPr>
          <w:szCs w:val="24"/>
          <w:lang w:val="en-GB"/>
        </w:rPr>
        <w:t xml:space="preserve">the </w:t>
      </w:r>
      <w:r w:rsidR="00F93CE9">
        <w:rPr>
          <w:szCs w:val="24"/>
          <w:lang w:val="en-GB"/>
        </w:rPr>
        <w:t>Department of Foreign Affairs and Trade (</w:t>
      </w:r>
      <w:r w:rsidRPr="00571F0B">
        <w:rPr>
          <w:szCs w:val="24"/>
          <w:lang w:val="en-GB"/>
        </w:rPr>
        <w:t>DFAT</w:t>
      </w:r>
      <w:r w:rsidR="00F93CE9">
        <w:rPr>
          <w:szCs w:val="24"/>
          <w:lang w:val="en-GB"/>
        </w:rPr>
        <w:t>)</w:t>
      </w:r>
      <w:r w:rsidRPr="00571F0B">
        <w:rPr>
          <w:szCs w:val="24"/>
          <w:lang w:val="en-GB"/>
        </w:rPr>
        <w:t xml:space="preserve"> and the </w:t>
      </w:r>
      <w:r w:rsidR="00F93CE9">
        <w:rPr>
          <w:szCs w:val="24"/>
          <w:lang w:val="en-GB"/>
        </w:rPr>
        <w:t>Management Group (</w:t>
      </w:r>
      <w:r w:rsidRPr="00571F0B">
        <w:rPr>
          <w:szCs w:val="24"/>
          <w:lang w:val="en-GB"/>
        </w:rPr>
        <w:t>MG</w:t>
      </w:r>
      <w:r w:rsidR="00F93CE9">
        <w:rPr>
          <w:szCs w:val="24"/>
          <w:lang w:val="en-GB"/>
        </w:rPr>
        <w:t>)</w:t>
      </w:r>
      <w:r w:rsidRPr="00571F0B">
        <w:rPr>
          <w:szCs w:val="24"/>
          <w:lang w:val="en-GB"/>
        </w:rPr>
        <w:t xml:space="preserve"> may decide to strategically focus IF (IV) support at times using various </w:t>
      </w:r>
      <w:r w:rsidR="00F93CE9">
        <w:rPr>
          <w:szCs w:val="24"/>
          <w:lang w:val="en-GB"/>
        </w:rPr>
        <w:t>Concept Paper Request (</w:t>
      </w:r>
      <w:r w:rsidRPr="00571F0B">
        <w:rPr>
          <w:szCs w:val="24"/>
          <w:lang w:val="en-GB"/>
        </w:rPr>
        <w:t>CPR</w:t>
      </w:r>
      <w:r w:rsidR="00F93CE9">
        <w:rPr>
          <w:szCs w:val="24"/>
          <w:lang w:val="en-GB"/>
        </w:rPr>
        <w:t>)</w:t>
      </w:r>
      <w:r w:rsidRPr="00571F0B">
        <w:rPr>
          <w:szCs w:val="24"/>
          <w:lang w:val="en-GB"/>
        </w:rPr>
        <w:t xml:space="preserve"> mechanisms. Eligible organisation location should not be a constraint provided an applicant meets the criteria.</w:t>
      </w:r>
      <w:r w:rsidR="001C332D" w:rsidRPr="00571F0B">
        <w:rPr>
          <w:szCs w:val="24"/>
          <w:lang w:val="en-GB"/>
        </w:rPr>
        <w:t xml:space="preserve"> </w:t>
      </w:r>
      <w:r w:rsidRPr="00571F0B">
        <w:rPr>
          <w:szCs w:val="24"/>
          <w:lang w:val="en-GB"/>
        </w:rPr>
        <w:t xml:space="preserve">The </w:t>
      </w:r>
      <w:r w:rsidR="004003BE" w:rsidRPr="004003BE">
        <w:rPr>
          <w:szCs w:val="24"/>
          <w:lang w:val="en-GB"/>
        </w:rPr>
        <w:t xml:space="preserve">IF (IV) </w:t>
      </w:r>
      <w:r w:rsidRPr="00571F0B">
        <w:rPr>
          <w:szCs w:val="24"/>
          <w:lang w:val="en-GB"/>
        </w:rPr>
        <w:t>office will be located in Port Moresby.</w:t>
      </w:r>
    </w:p>
    <w:p w:rsidR="00FD22D2" w:rsidRPr="00FD22D2" w:rsidRDefault="00FD22D2" w:rsidP="000471AF">
      <w:pPr>
        <w:pStyle w:val="BodyText"/>
        <w:spacing w:before="0" w:after="0"/>
        <w:rPr>
          <w:sz w:val="16"/>
          <w:szCs w:val="16"/>
          <w:lang w:val="en-GB"/>
        </w:rPr>
      </w:pPr>
    </w:p>
    <w:p w:rsidR="009F635E" w:rsidRDefault="009F635E" w:rsidP="000471AF">
      <w:pPr>
        <w:pStyle w:val="BodyText"/>
        <w:spacing w:before="0" w:after="0"/>
        <w:rPr>
          <w:szCs w:val="24"/>
          <w:lang w:val="en-GB"/>
        </w:rPr>
      </w:pPr>
      <w:proofErr w:type="gramStart"/>
      <w:r w:rsidRPr="00571F0B">
        <w:rPr>
          <w:szCs w:val="24"/>
          <w:lang w:val="en-GB"/>
        </w:rPr>
        <w:t xml:space="preserve">IF (IV) is planned to be operational in early 2015 for </w:t>
      </w:r>
      <w:r w:rsidR="00FD22D2">
        <w:rPr>
          <w:szCs w:val="24"/>
          <w:lang w:val="en-GB"/>
        </w:rPr>
        <w:t>a period of at l</w:t>
      </w:r>
      <w:r w:rsidR="004003BE">
        <w:rPr>
          <w:szCs w:val="24"/>
          <w:lang w:val="en-GB"/>
        </w:rPr>
        <w:t>e</w:t>
      </w:r>
      <w:r w:rsidR="00FD22D2">
        <w:rPr>
          <w:szCs w:val="24"/>
          <w:lang w:val="en-GB"/>
        </w:rPr>
        <w:t>ast six years</w:t>
      </w:r>
      <w:r w:rsidRPr="00571F0B">
        <w:rPr>
          <w:szCs w:val="24"/>
          <w:lang w:val="en-GB"/>
        </w:rPr>
        <w:t>.</w:t>
      </w:r>
      <w:proofErr w:type="gramEnd"/>
      <w:r w:rsidRPr="00571F0B">
        <w:rPr>
          <w:szCs w:val="24"/>
          <w:lang w:val="en-GB"/>
        </w:rPr>
        <w:t xml:space="preserve"> </w:t>
      </w:r>
      <w:r w:rsidR="00FD22D2">
        <w:rPr>
          <w:szCs w:val="24"/>
          <w:lang w:val="en-GB"/>
        </w:rPr>
        <w:t xml:space="preserve"> </w:t>
      </w:r>
      <w:r w:rsidRPr="00571F0B">
        <w:rPr>
          <w:szCs w:val="24"/>
          <w:lang w:val="en-GB"/>
        </w:rPr>
        <w:t xml:space="preserve">It is expected that a DFAT </w:t>
      </w:r>
      <w:r w:rsidR="004003BE">
        <w:rPr>
          <w:szCs w:val="24"/>
          <w:lang w:val="en-GB"/>
        </w:rPr>
        <w:t xml:space="preserve">activity support </w:t>
      </w:r>
      <w:r w:rsidRPr="00571F0B">
        <w:rPr>
          <w:szCs w:val="24"/>
          <w:lang w:val="en-GB"/>
        </w:rPr>
        <w:t xml:space="preserve">spending stream will be approved for a funding limit of </w:t>
      </w:r>
      <w:proofErr w:type="gramStart"/>
      <w:r w:rsidRPr="00571F0B">
        <w:rPr>
          <w:szCs w:val="24"/>
          <w:lang w:val="en-GB"/>
        </w:rPr>
        <w:t>A$</w:t>
      </w:r>
      <w:proofErr w:type="gramEnd"/>
      <w:r w:rsidR="004003BE">
        <w:rPr>
          <w:szCs w:val="24"/>
          <w:lang w:val="en-GB"/>
        </w:rPr>
        <w:t>72</w:t>
      </w:r>
      <w:r w:rsidRPr="00571F0B">
        <w:rPr>
          <w:szCs w:val="24"/>
          <w:lang w:val="en-GB"/>
        </w:rPr>
        <w:t xml:space="preserve"> million to meet all</w:t>
      </w:r>
      <w:r w:rsidR="004003BE">
        <w:rPr>
          <w:szCs w:val="24"/>
          <w:lang w:val="en-GB"/>
        </w:rPr>
        <w:t xml:space="preserve"> costs associated with the IF (IV) IFAs and </w:t>
      </w:r>
      <w:r w:rsidRPr="00571F0B">
        <w:rPr>
          <w:szCs w:val="24"/>
          <w:lang w:val="en-GB"/>
        </w:rPr>
        <w:t xml:space="preserve">A$10 million for </w:t>
      </w:r>
      <w:r w:rsidR="004003BE">
        <w:rPr>
          <w:szCs w:val="24"/>
          <w:lang w:val="en-GB"/>
        </w:rPr>
        <w:t xml:space="preserve">a new Innovation Fund </w:t>
      </w:r>
      <w:r w:rsidRPr="00571F0B">
        <w:rPr>
          <w:szCs w:val="24"/>
          <w:lang w:val="en-GB"/>
        </w:rPr>
        <w:t>component.</w:t>
      </w:r>
      <w:r w:rsidR="004003BE">
        <w:rPr>
          <w:szCs w:val="24"/>
          <w:lang w:val="en-GB"/>
        </w:rPr>
        <w:t xml:space="preserve"> Operational cost and fixed management fees are in addition to the </w:t>
      </w:r>
      <w:r w:rsidR="004003BE" w:rsidRPr="004003BE">
        <w:rPr>
          <w:szCs w:val="24"/>
          <w:lang w:val="en-GB"/>
        </w:rPr>
        <w:t>A$72 million</w:t>
      </w:r>
      <w:r w:rsidR="004003BE">
        <w:rPr>
          <w:szCs w:val="24"/>
          <w:lang w:val="en-GB"/>
        </w:rPr>
        <w:t>.</w:t>
      </w:r>
    </w:p>
    <w:p w:rsidR="00FD22D2" w:rsidRPr="00FD22D2" w:rsidRDefault="00FD22D2" w:rsidP="000471AF">
      <w:pPr>
        <w:pStyle w:val="BodyText"/>
        <w:spacing w:before="0" w:after="0"/>
        <w:rPr>
          <w:sz w:val="16"/>
          <w:szCs w:val="16"/>
          <w:lang w:val="en-GB"/>
        </w:rPr>
      </w:pPr>
    </w:p>
    <w:p w:rsidR="009F635E" w:rsidRDefault="009F635E" w:rsidP="000471AF">
      <w:pPr>
        <w:pStyle w:val="BodyText"/>
        <w:spacing w:before="0" w:after="0"/>
        <w:rPr>
          <w:szCs w:val="24"/>
          <w:lang w:val="en-GB"/>
        </w:rPr>
      </w:pPr>
      <w:r w:rsidRPr="00571F0B">
        <w:rPr>
          <w:szCs w:val="24"/>
          <w:lang w:val="en-GB"/>
        </w:rPr>
        <w:t xml:space="preserve">The total IFA value from Phase I, II and III was K351 million which today converts into A$160 million. If we divide this by the 59 IFAs the average IFA would be </w:t>
      </w:r>
      <w:proofErr w:type="gramStart"/>
      <w:r w:rsidRPr="00571F0B">
        <w:rPr>
          <w:szCs w:val="24"/>
          <w:lang w:val="en-GB"/>
        </w:rPr>
        <w:t>A$</w:t>
      </w:r>
      <w:proofErr w:type="gramEnd"/>
      <w:r w:rsidRPr="00571F0B">
        <w:rPr>
          <w:szCs w:val="24"/>
          <w:lang w:val="en-GB"/>
        </w:rPr>
        <w:t xml:space="preserve">2.7 million. </w:t>
      </w:r>
      <w:r w:rsidR="004003BE">
        <w:rPr>
          <w:szCs w:val="24"/>
          <w:lang w:val="en-GB"/>
        </w:rPr>
        <w:t>T</w:t>
      </w:r>
      <w:r w:rsidRPr="00571F0B">
        <w:rPr>
          <w:szCs w:val="24"/>
          <w:lang w:val="en-GB"/>
        </w:rPr>
        <w:t xml:space="preserve">he expected combined Incentive Fund (A$62 million) and Innovation Fund (A$10 million) will establish an IFA budget of </w:t>
      </w:r>
      <w:proofErr w:type="gramStart"/>
      <w:r w:rsidRPr="00571F0B">
        <w:rPr>
          <w:szCs w:val="24"/>
          <w:lang w:val="en-GB"/>
        </w:rPr>
        <w:t>A$</w:t>
      </w:r>
      <w:proofErr w:type="gramEnd"/>
      <w:r w:rsidRPr="00571F0B">
        <w:rPr>
          <w:szCs w:val="24"/>
          <w:lang w:val="en-GB"/>
        </w:rPr>
        <w:t>72 million of six years. This would suggest that IF (IV) will support approximately 26 proje</w:t>
      </w:r>
      <w:r w:rsidR="00FD22D2">
        <w:rPr>
          <w:szCs w:val="24"/>
          <w:lang w:val="en-GB"/>
        </w:rPr>
        <w:t>cts.</w:t>
      </w:r>
    </w:p>
    <w:p w:rsidR="00FD22D2" w:rsidRPr="00571F0B" w:rsidRDefault="00FD22D2" w:rsidP="000471AF">
      <w:pPr>
        <w:pStyle w:val="BodyText"/>
        <w:spacing w:before="0" w:after="0"/>
        <w:rPr>
          <w:szCs w:val="24"/>
          <w:lang w:val="en-GB"/>
        </w:rPr>
      </w:pPr>
    </w:p>
    <w:p w:rsidR="001C332D" w:rsidRPr="00571F0B" w:rsidRDefault="001C332D" w:rsidP="000471AF">
      <w:pPr>
        <w:pStyle w:val="Caption"/>
        <w:spacing w:before="0" w:after="0"/>
        <w:rPr>
          <w:szCs w:val="24"/>
          <w:lang w:val="en-GB"/>
        </w:rPr>
      </w:pPr>
      <w:r w:rsidRPr="00571F0B">
        <w:rPr>
          <w:szCs w:val="24"/>
          <w:lang w:val="en-GB"/>
        </w:rPr>
        <w:t>Funding priorities</w:t>
      </w:r>
    </w:p>
    <w:p w:rsidR="009F635E" w:rsidRDefault="009F635E" w:rsidP="000471AF">
      <w:pPr>
        <w:pStyle w:val="BodyText"/>
        <w:spacing w:before="0" w:after="0"/>
        <w:rPr>
          <w:szCs w:val="24"/>
          <w:lang w:val="en-GB"/>
        </w:rPr>
      </w:pPr>
      <w:r w:rsidRPr="00571F0B">
        <w:rPr>
          <w:szCs w:val="24"/>
          <w:lang w:val="en-GB"/>
        </w:rPr>
        <w:t xml:space="preserve">During design consultations DFAT confirmed that priority sector support for the </w:t>
      </w:r>
      <w:r w:rsidR="002B7876" w:rsidRPr="002B7876">
        <w:rPr>
          <w:szCs w:val="24"/>
          <w:lang w:val="en-GB"/>
        </w:rPr>
        <w:t xml:space="preserve">IF (IV) </w:t>
      </w:r>
      <w:r w:rsidRPr="00571F0B">
        <w:rPr>
          <w:szCs w:val="24"/>
          <w:lang w:val="en-GB"/>
        </w:rPr>
        <w:t xml:space="preserve">investments will </w:t>
      </w:r>
      <w:r w:rsidR="001C332D" w:rsidRPr="00571F0B">
        <w:rPr>
          <w:szCs w:val="24"/>
          <w:lang w:val="en-GB"/>
        </w:rPr>
        <w:t xml:space="preserve">be </w:t>
      </w:r>
      <w:r w:rsidRPr="00571F0B">
        <w:rPr>
          <w:szCs w:val="24"/>
          <w:lang w:val="en-GB"/>
        </w:rPr>
        <w:t xml:space="preserve">aligned with </w:t>
      </w:r>
      <w:r w:rsidR="00335F71">
        <w:rPr>
          <w:szCs w:val="24"/>
          <w:lang w:val="en-GB"/>
        </w:rPr>
        <w:t>aid a</w:t>
      </w:r>
      <w:r w:rsidR="00604ACB" w:rsidRPr="00571F0B">
        <w:rPr>
          <w:szCs w:val="24"/>
          <w:lang w:val="en-GB"/>
        </w:rPr>
        <w:t>ssessment Recommendations</w:t>
      </w:r>
      <w:r w:rsidR="001C332D" w:rsidRPr="00571F0B">
        <w:rPr>
          <w:szCs w:val="24"/>
          <w:lang w:val="en-GB"/>
        </w:rPr>
        <w:t xml:space="preserve">. </w:t>
      </w:r>
      <w:r w:rsidR="00335F71">
        <w:rPr>
          <w:szCs w:val="24"/>
          <w:lang w:val="en-GB"/>
        </w:rPr>
        <w:t>H</w:t>
      </w:r>
      <w:r w:rsidRPr="00571F0B">
        <w:rPr>
          <w:szCs w:val="24"/>
          <w:lang w:val="en-GB"/>
        </w:rPr>
        <w:t xml:space="preserve">ealth, education </w:t>
      </w:r>
      <w:r w:rsidR="00335F71">
        <w:rPr>
          <w:szCs w:val="24"/>
          <w:lang w:val="en-GB"/>
        </w:rPr>
        <w:t xml:space="preserve">and other sectors will be supported along with activities that stimulate </w:t>
      </w:r>
      <w:r w:rsidRPr="00571F0B">
        <w:rPr>
          <w:szCs w:val="24"/>
          <w:lang w:val="en-GB"/>
        </w:rPr>
        <w:t xml:space="preserve">economic </w:t>
      </w:r>
      <w:r w:rsidR="00AF79FB" w:rsidRPr="00AF79FB">
        <w:rPr>
          <w:szCs w:val="24"/>
          <w:lang w:val="en-GB"/>
        </w:rPr>
        <w:t>development</w:t>
      </w:r>
      <w:r w:rsidRPr="00571F0B">
        <w:rPr>
          <w:szCs w:val="24"/>
          <w:lang w:val="en-GB"/>
        </w:rPr>
        <w:t xml:space="preserve">. It is stressed that </w:t>
      </w:r>
      <w:r w:rsidR="00335F71">
        <w:rPr>
          <w:szCs w:val="24"/>
          <w:lang w:val="en-GB"/>
        </w:rPr>
        <w:t xml:space="preserve">during the </w:t>
      </w:r>
      <w:r w:rsidRPr="00571F0B">
        <w:rPr>
          <w:szCs w:val="24"/>
          <w:lang w:val="en-GB"/>
        </w:rPr>
        <w:t xml:space="preserve">design phase </w:t>
      </w:r>
      <w:r w:rsidR="00335F71">
        <w:rPr>
          <w:szCs w:val="24"/>
          <w:lang w:val="en-GB"/>
        </w:rPr>
        <w:t xml:space="preserve">sector or activity support funding allocations were not </w:t>
      </w:r>
      <w:r w:rsidR="00604ACB" w:rsidRPr="00571F0B">
        <w:rPr>
          <w:szCs w:val="24"/>
          <w:lang w:val="en-GB"/>
        </w:rPr>
        <w:t>requested</w:t>
      </w:r>
      <w:r w:rsidRPr="00571F0B">
        <w:rPr>
          <w:szCs w:val="24"/>
          <w:lang w:val="en-GB"/>
        </w:rPr>
        <w:t xml:space="preserve"> and th</w:t>
      </w:r>
      <w:r w:rsidR="00335F71">
        <w:rPr>
          <w:szCs w:val="24"/>
          <w:lang w:val="en-GB"/>
        </w:rPr>
        <w:t xml:space="preserve">ese </w:t>
      </w:r>
      <w:r w:rsidRPr="00571F0B">
        <w:rPr>
          <w:szCs w:val="24"/>
          <w:lang w:val="en-GB"/>
        </w:rPr>
        <w:t>will be a strategic decision made at the start of IF (IV) and implemented throug</w:t>
      </w:r>
      <w:r w:rsidR="00FD22D2">
        <w:rPr>
          <w:szCs w:val="24"/>
          <w:lang w:val="en-GB"/>
        </w:rPr>
        <w:t>h the annual planning process.</w:t>
      </w:r>
    </w:p>
    <w:p w:rsidR="00FD22D2" w:rsidRPr="00FD22D2" w:rsidRDefault="00FD22D2" w:rsidP="000471AF">
      <w:pPr>
        <w:pStyle w:val="BodyText"/>
        <w:spacing w:before="0" w:after="0"/>
        <w:rPr>
          <w:sz w:val="16"/>
          <w:szCs w:val="16"/>
          <w:lang w:val="en-GB"/>
        </w:rPr>
      </w:pPr>
    </w:p>
    <w:p w:rsidR="00335F71" w:rsidRDefault="00335F71" w:rsidP="00335F71">
      <w:pPr>
        <w:spacing w:before="0" w:after="0"/>
        <w:rPr>
          <w:lang w:val="en-GB"/>
        </w:rPr>
      </w:pPr>
      <w:r w:rsidRPr="00BE7C9E">
        <w:rPr>
          <w:lang w:val="en-GB"/>
        </w:rPr>
        <w:t xml:space="preserve">The </w:t>
      </w:r>
      <w:r w:rsidR="002B7876" w:rsidRPr="002B7876">
        <w:rPr>
          <w:lang w:val="en-GB"/>
        </w:rPr>
        <w:t xml:space="preserve">IF (IV) </w:t>
      </w:r>
      <w:r>
        <w:rPr>
          <w:lang w:val="en-GB"/>
        </w:rPr>
        <w:t xml:space="preserve">will introduce three investment </w:t>
      </w:r>
      <w:r w:rsidRPr="00BE7C9E">
        <w:rPr>
          <w:lang w:val="en-GB"/>
        </w:rPr>
        <w:t xml:space="preserve">portfolio </w:t>
      </w:r>
      <w:r>
        <w:rPr>
          <w:lang w:val="en-GB"/>
        </w:rPr>
        <w:t xml:space="preserve">targets to be met by the end-of-the program: </w:t>
      </w:r>
    </w:p>
    <w:p w:rsidR="00335F71" w:rsidRPr="00571F0B" w:rsidRDefault="00335F71" w:rsidP="00335F71">
      <w:pPr>
        <w:spacing w:before="0" w:after="0"/>
        <w:rPr>
          <w:lang w:val="en-GB"/>
        </w:rPr>
      </w:pPr>
      <w:r>
        <w:rPr>
          <w:lang w:val="en-GB"/>
        </w:rPr>
        <w:t xml:space="preserve"> </w:t>
      </w:r>
    </w:p>
    <w:p w:rsidR="00335F71" w:rsidRDefault="00335F71" w:rsidP="00A82AAB">
      <w:pPr>
        <w:pStyle w:val="ListParagraph"/>
        <w:numPr>
          <w:ilvl w:val="0"/>
          <w:numId w:val="14"/>
        </w:numPr>
        <w:spacing w:before="0" w:after="0"/>
        <w:rPr>
          <w:lang w:val="en-GB"/>
        </w:rPr>
      </w:pPr>
      <w:r>
        <w:rPr>
          <w:lang w:val="en-GB"/>
        </w:rPr>
        <w:t xml:space="preserve">At least 80 per cent of the investments will support empowerment of women and girls, aligned with the Pacific Women objectives and </w:t>
      </w:r>
      <w:r w:rsidRPr="00571F0B">
        <w:rPr>
          <w:lang w:val="en-GB"/>
        </w:rPr>
        <w:t xml:space="preserve">address gender issues </w:t>
      </w:r>
      <w:r>
        <w:rPr>
          <w:lang w:val="en-GB"/>
        </w:rPr>
        <w:t>during</w:t>
      </w:r>
      <w:r w:rsidRPr="00571F0B">
        <w:rPr>
          <w:lang w:val="en-GB"/>
        </w:rPr>
        <w:t xml:space="preserve"> implementation.  </w:t>
      </w:r>
      <w:r>
        <w:rPr>
          <w:lang w:val="en-GB"/>
        </w:rPr>
        <w:t>This will uphold Australian Aid</w:t>
      </w:r>
      <w:r w:rsidRPr="00571F0B">
        <w:rPr>
          <w:lang w:val="en-GB"/>
        </w:rPr>
        <w:t xml:space="preserve"> commitments through the 2012 Pacific Leaders’ Gender Equality Declaration and Australia’s delivery strategy </w:t>
      </w:r>
      <w:r w:rsidRPr="00571F0B">
        <w:rPr>
          <w:i/>
          <w:lang w:val="en-GB"/>
        </w:rPr>
        <w:t>Pacific Women Shaping Pacific Development</w:t>
      </w:r>
      <w:r w:rsidRPr="00571F0B">
        <w:rPr>
          <w:lang w:val="en-GB"/>
        </w:rPr>
        <w:t>.</w:t>
      </w:r>
    </w:p>
    <w:p w:rsidR="00335F71" w:rsidRPr="00571F0B" w:rsidRDefault="00335F71" w:rsidP="00335F71">
      <w:pPr>
        <w:pStyle w:val="ListParagraph"/>
        <w:spacing w:before="0" w:after="0"/>
        <w:ind w:left="284"/>
        <w:rPr>
          <w:lang w:val="en-GB"/>
        </w:rPr>
      </w:pPr>
    </w:p>
    <w:p w:rsidR="00335F71" w:rsidRDefault="00335F71" w:rsidP="00A82AAB">
      <w:pPr>
        <w:pStyle w:val="ListParagraph"/>
        <w:numPr>
          <w:ilvl w:val="0"/>
          <w:numId w:val="14"/>
        </w:numPr>
        <w:spacing w:before="0" w:after="0"/>
        <w:rPr>
          <w:lang w:val="en-GB"/>
        </w:rPr>
      </w:pPr>
      <w:r>
        <w:rPr>
          <w:lang w:val="en-GB"/>
        </w:rPr>
        <w:lastRenderedPageBreak/>
        <w:t xml:space="preserve">At least </w:t>
      </w:r>
      <w:r w:rsidRPr="00571F0B">
        <w:rPr>
          <w:lang w:val="en-GB"/>
        </w:rPr>
        <w:t>20</w:t>
      </w:r>
      <w:r>
        <w:rPr>
          <w:lang w:val="en-GB"/>
        </w:rPr>
        <w:t xml:space="preserve"> per cent of the investments </w:t>
      </w:r>
      <w:r w:rsidRPr="00571F0B">
        <w:rPr>
          <w:lang w:val="en-GB"/>
        </w:rPr>
        <w:t xml:space="preserve">will target private sector </w:t>
      </w:r>
      <w:r>
        <w:rPr>
          <w:lang w:val="en-GB"/>
        </w:rPr>
        <w:t xml:space="preserve">engagement. </w:t>
      </w:r>
      <w:r w:rsidRPr="00571F0B">
        <w:rPr>
          <w:lang w:val="en-GB"/>
        </w:rPr>
        <w:t>Setting th</w:t>
      </w:r>
      <w:r>
        <w:rPr>
          <w:lang w:val="en-GB"/>
        </w:rPr>
        <w:t xml:space="preserve">is target will create the space </w:t>
      </w:r>
      <w:r w:rsidRPr="00571F0B">
        <w:rPr>
          <w:lang w:val="en-GB"/>
        </w:rPr>
        <w:t xml:space="preserve">and opportunity </w:t>
      </w:r>
      <w:r>
        <w:rPr>
          <w:lang w:val="en-GB"/>
        </w:rPr>
        <w:t xml:space="preserve">for DFAT </w:t>
      </w:r>
      <w:r w:rsidRPr="00571F0B">
        <w:rPr>
          <w:lang w:val="en-GB"/>
        </w:rPr>
        <w:t xml:space="preserve">to </w:t>
      </w:r>
      <w:r>
        <w:rPr>
          <w:lang w:val="en-GB"/>
        </w:rPr>
        <w:t xml:space="preserve">establish greater </w:t>
      </w:r>
      <w:r w:rsidRPr="00571F0B">
        <w:rPr>
          <w:lang w:val="en-GB"/>
        </w:rPr>
        <w:t xml:space="preserve">private sector </w:t>
      </w:r>
      <w:r>
        <w:rPr>
          <w:lang w:val="en-GB"/>
        </w:rPr>
        <w:t xml:space="preserve">engagement, </w:t>
      </w:r>
      <w:r w:rsidRPr="00571F0B">
        <w:rPr>
          <w:lang w:val="en-GB"/>
        </w:rPr>
        <w:t xml:space="preserve">understanding, relationships and (ultimately) </w:t>
      </w:r>
      <w:r>
        <w:rPr>
          <w:lang w:val="en-GB"/>
        </w:rPr>
        <w:t xml:space="preserve">to support private sector </w:t>
      </w:r>
      <w:r w:rsidRPr="00571F0B">
        <w:rPr>
          <w:lang w:val="en-GB"/>
        </w:rPr>
        <w:t>investment</w:t>
      </w:r>
      <w:r>
        <w:rPr>
          <w:lang w:val="en-GB"/>
        </w:rPr>
        <w:t>s in development, including service delivery and/or economic development</w:t>
      </w:r>
      <w:r w:rsidRPr="00571F0B">
        <w:rPr>
          <w:lang w:val="en-GB"/>
        </w:rPr>
        <w:t xml:space="preserve">. It is recommended that current road infrastructure is not included in the attainment of this target because the intent </w:t>
      </w:r>
      <w:r>
        <w:rPr>
          <w:lang w:val="en-GB"/>
        </w:rPr>
        <w:t xml:space="preserve">of the Australian Aid policy </w:t>
      </w:r>
      <w:r w:rsidRPr="00571F0B">
        <w:rPr>
          <w:lang w:val="en-GB"/>
        </w:rPr>
        <w:t>is</w:t>
      </w:r>
      <w:r>
        <w:rPr>
          <w:lang w:val="en-GB"/>
        </w:rPr>
        <w:t xml:space="preserve"> to</w:t>
      </w:r>
      <w:r w:rsidRPr="00571F0B">
        <w:rPr>
          <w:lang w:val="en-GB"/>
        </w:rPr>
        <w:t xml:space="preserve"> drive expanded</w:t>
      </w:r>
      <w:r>
        <w:rPr>
          <w:lang w:val="en-GB"/>
        </w:rPr>
        <w:t xml:space="preserve"> private sector engagement. </w:t>
      </w:r>
    </w:p>
    <w:p w:rsidR="00335F71" w:rsidRPr="00BE7C9E" w:rsidRDefault="00335F71" w:rsidP="00335F71">
      <w:pPr>
        <w:spacing w:before="0" w:after="0"/>
        <w:rPr>
          <w:lang w:val="en-GB"/>
        </w:rPr>
      </w:pPr>
    </w:p>
    <w:p w:rsidR="00335F71" w:rsidRPr="00571F0B" w:rsidRDefault="00335F71" w:rsidP="00A82AAB">
      <w:pPr>
        <w:pStyle w:val="ListParagraph"/>
        <w:numPr>
          <w:ilvl w:val="0"/>
          <w:numId w:val="14"/>
        </w:numPr>
        <w:spacing w:before="0" w:after="0"/>
        <w:rPr>
          <w:lang w:val="en-GB"/>
        </w:rPr>
      </w:pPr>
      <w:r>
        <w:rPr>
          <w:lang w:val="en-GB"/>
        </w:rPr>
        <w:t xml:space="preserve">At least 50 per cent </w:t>
      </w:r>
      <w:r w:rsidRPr="00571F0B">
        <w:rPr>
          <w:lang w:val="en-GB"/>
        </w:rPr>
        <w:t xml:space="preserve">of the </w:t>
      </w:r>
      <w:r>
        <w:rPr>
          <w:lang w:val="en-GB"/>
        </w:rPr>
        <w:t xml:space="preserve">investments </w:t>
      </w:r>
      <w:r w:rsidRPr="00571F0B">
        <w:rPr>
          <w:lang w:val="en-GB"/>
        </w:rPr>
        <w:t xml:space="preserve">will be allocated to infrastructure. </w:t>
      </w:r>
      <w:r>
        <w:rPr>
          <w:lang w:val="en-GB"/>
        </w:rPr>
        <w:t xml:space="preserve">This is consistent with Australia’s proposed approaches under the aid assessment to align Australian Aid investments to the Government of PNG’s priorities and to help unlock PNGs economic potential. </w:t>
      </w:r>
    </w:p>
    <w:p w:rsidR="00335F71" w:rsidRDefault="00335F71" w:rsidP="00335F71">
      <w:pPr>
        <w:pStyle w:val="BodyText"/>
        <w:spacing w:before="0" w:after="0"/>
        <w:jc w:val="left"/>
        <w:rPr>
          <w:szCs w:val="24"/>
          <w:lang w:val="en-GB"/>
        </w:rPr>
      </w:pPr>
    </w:p>
    <w:p w:rsidR="009F635E" w:rsidRPr="00571F0B" w:rsidRDefault="009C6EAE" w:rsidP="000471AF">
      <w:pPr>
        <w:pStyle w:val="Caption"/>
        <w:spacing w:before="0" w:after="0"/>
        <w:rPr>
          <w:lang w:val="en-GB"/>
        </w:rPr>
      </w:pPr>
      <w:r w:rsidRPr="00571F0B">
        <w:rPr>
          <w:lang w:val="en-GB"/>
        </w:rPr>
        <w:t xml:space="preserve">The </w:t>
      </w:r>
      <w:r w:rsidR="004A5C2B" w:rsidRPr="00571F0B">
        <w:rPr>
          <w:lang w:val="en-GB"/>
        </w:rPr>
        <w:t>five stage application p</w:t>
      </w:r>
      <w:r w:rsidR="009F635E" w:rsidRPr="00571F0B">
        <w:rPr>
          <w:lang w:val="en-GB"/>
        </w:rPr>
        <w:t>rocess</w:t>
      </w:r>
    </w:p>
    <w:p w:rsidR="009C6EAE" w:rsidRPr="00571F0B" w:rsidRDefault="00D96292" w:rsidP="000471AF">
      <w:pPr>
        <w:spacing w:before="0" w:after="0"/>
        <w:rPr>
          <w:szCs w:val="24"/>
          <w:lang w:val="en-GB"/>
        </w:rPr>
      </w:pPr>
      <w:r>
        <w:rPr>
          <w:szCs w:val="24"/>
          <w:lang w:val="en-GB"/>
        </w:rPr>
        <w:t>Only c</w:t>
      </w:r>
      <w:r w:rsidR="009C6EAE" w:rsidRPr="00571F0B">
        <w:rPr>
          <w:szCs w:val="24"/>
          <w:lang w:val="en-GB"/>
        </w:rPr>
        <w:t xml:space="preserve">oncept paper </w:t>
      </w:r>
      <w:r>
        <w:rPr>
          <w:szCs w:val="24"/>
          <w:lang w:val="en-GB"/>
        </w:rPr>
        <w:t>meeting strict criteria will advance to a five stage application process:</w:t>
      </w:r>
    </w:p>
    <w:p w:rsidR="009C6EAE" w:rsidRPr="00F94E53" w:rsidRDefault="009C6EAE" w:rsidP="000471AF">
      <w:pPr>
        <w:spacing w:before="0" w:after="0"/>
        <w:rPr>
          <w:sz w:val="16"/>
          <w:szCs w:val="16"/>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771"/>
      </w:tblGrid>
      <w:tr w:rsidR="009F635E" w:rsidRPr="00571F0B" w:rsidTr="00083597">
        <w:trPr>
          <w:jc w:val="center"/>
        </w:trPr>
        <w:tc>
          <w:tcPr>
            <w:tcW w:w="2245" w:type="dxa"/>
            <w:tcBorders>
              <w:bottom w:val="single" w:sz="4" w:space="0" w:color="auto"/>
            </w:tcBorders>
            <w:shd w:val="clear" w:color="auto" w:fill="D6E3BC"/>
            <w:vAlign w:val="center"/>
          </w:tcPr>
          <w:p w:rsidR="009F635E" w:rsidRPr="00131988" w:rsidRDefault="009F635E" w:rsidP="00131988">
            <w:pPr>
              <w:pStyle w:val="BodyText"/>
              <w:spacing w:before="0" w:after="0"/>
              <w:jc w:val="left"/>
              <w:rPr>
                <w:rFonts w:ascii="Arial Narrow" w:hAnsi="Arial Narrow"/>
                <w:b/>
                <w:sz w:val="20"/>
                <w:lang w:val="en-GB"/>
              </w:rPr>
            </w:pPr>
            <w:r w:rsidRPr="00131988">
              <w:rPr>
                <w:rFonts w:ascii="Arial Narrow" w:hAnsi="Arial Narrow"/>
                <w:b/>
                <w:sz w:val="20"/>
                <w:lang w:val="en-GB"/>
              </w:rPr>
              <w:t>Stage One:</w:t>
            </w:r>
          </w:p>
          <w:p w:rsidR="009F635E" w:rsidRPr="00131988" w:rsidRDefault="009F635E" w:rsidP="00131988">
            <w:pPr>
              <w:pStyle w:val="BodyText"/>
              <w:spacing w:before="0" w:after="0"/>
              <w:jc w:val="left"/>
              <w:rPr>
                <w:rFonts w:ascii="Arial Narrow" w:hAnsi="Arial Narrow"/>
                <w:b/>
                <w:sz w:val="20"/>
                <w:lang w:val="en-GB"/>
              </w:rPr>
            </w:pPr>
            <w:r w:rsidRPr="00131988">
              <w:rPr>
                <w:rFonts w:ascii="Arial Narrow" w:hAnsi="Arial Narrow"/>
                <w:b/>
                <w:sz w:val="20"/>
                <w:lang w:val="en-GB"/>
              </w:rPr>
              <w:t>Gateway Screening</w:t>
            </w:r>
          </w:p>
        </w:tc>
        <w:tc>
          <w:tcPr>
            <w:tcW w:w="6771" w:type="dxa"/>
            <w:tcBorders>
              <w:bottom w:val="single" w:sz="4" w:space="0" w:color="auto"/>
            </w:tcBorders>
          </w:tcPr>
          <w:p w:rsidR="009F635E" w:rsidRDefault="009F635E" w:rsidP="000471AF">
            <w:pPr>
              <w:pStyle w:val="BodyText"/>
              <w:spacing w:before="0" w:after="0"/>
              <w:rPr>
                <w:rFonts w:ascii="Arial Narrow" w:hAnsi="Arial Narrow"/>
                <w:sz w:val="20"/>
                <w:lang w:val="en-GB"/>
              </w:rPr>
            </w:pPr>
            <w:r w:rsidRPr="00131988">
              <w:rPr>
                <w:rFonts w:ascii="Arial Narrow" w:hAnsi="Arial Narrow"/>
                <w:sz w:val="20"/>
                <w:lang w:val="en-GB"/>
              </w:rPr>
              <w:t>The Incentive Fund team carries out desk review</w:t>
            </w:r>
            <w:r w:rsidR="00705A88">
              <w:rPr>
                <w:rFonts w:ascii="Arial Narrow" w:hAnsi="Arial Narrow"/>
                <w:sz w:val="20"/>
                <w:lang w:val="en-GB"/>
              </w:rPr>
              <w:t>s</w:t>
            </w:r>
            <w:r w:rsidRPr="00131988">
              <w:rPr>
                <w:rFonts w:ascii="Arial Narrow" w:hAnsi="Arial Narrow"/>
                <w:sz w:val="20"/>
                <w:lang w:val="en-GB"/>
              </w:rPr>
              <w:t xml:space="preserve"> of Concept P</w:t>
            </w:r>
            <w:r w:rsidR="00604ACB" w:rsidRPr="00131988">
              <w:rPr>
                <w:rFonts w:ascii="Arial Narrow" w:hAnsi="Arial Narrow"/>
                <w:sz w:val="20"/>
                <w:lang w:val="en-GB"/>
              </w:rPr>
              <w:t>apers</w:t>
            </w:r>
            <w:r w:rsidRPr="00131988">
              <w:rPr>
                <w:rFonts w:ascii="Arial Narrow" w:hAnsi="Arial Narrow"/>
                <w:sz w:val="20"/>
                <w:lang w:val="en-GB"/>
              </w:rPr>
              <w:t xml:space="preserve"> (CPs) </w:t>
            </w:r>
            <w:r w:rsidR="00705A88">
              <w:rPr>
                <w:rFonts w:ascii="Arial Narrow" w:hAnsi="Arial Narrow"/>
                <w:sz w:val="20"/>
                <w:lang w:val="en-GB"/>
              </w:rPr>
              <w:t>and organisation self-assessments. Only</w:t>
            </w:r>
            <w:r w:rsidRPr="00131988">
              <w:rPr>
                <w:rFonts w:ascii="Arial Narrow" w:hAnsi="Arial Narrow"/>
                <w:sz w:val="20"/>
                <w:lang w:val="en-GB"/>
              </w:rPr>
              <w:t xml:space="preserve"> CPs that pass the gateway</w:t>
            </w:r>
            <w:r w:rsidR="00C25359">
              <w:rPr>
                <w:rFonts w:ascii="Arial Narrow" w:hAnsi="Arial Narrow"/>
                <w:sz w:val="20"/>
                <w:lang w:val="en-GB"/>
              </w:rPr>
              <w:t xml:space="preserve"> criteria screening </w:t>
            </w:r>
            <w:r w:rsidR="003B5D8F">
              <w:rPr>
                <w:rFonts w:ascii="Arial Narrow" w:hAnsi="Arial Narrow"/>
                <w:sz w:val="20"/>
                <w:lang w:val="en-GB"/>
              </w:rPr>
              <w:t xml:space="preserve">are transferred </w:t>
            </w:r>
            <w:r w:rsidR="00C25359">
              <w:rPr>
                <w:rFonts w:ascii="Arial Narrow" w:hAnsi="Arial Narrow"/>
                <w:sz w:val="20"/>
                <w:lang w:val="en-GB"/>
              </w:rPr>
              <w:t>to the Sub-</w:t>
            </w:r>
            <w:r w:rsidRPr="00131988">
              <w:rPr>
                <w:rFonts w:ascii="Arial Narrow" w:hAnsi="Arial Narrow"/>
                <w:sz w:val="20"/>
                <w:lang w:val="en-GB"/>
              </w:rPr>
              <w:t>Management Group (SMG)</w:t>
            </w:r>
            <w:r w:rsidR="003B5D8F">
              <w:rPr>
                <w:rFonts w:ascii="Arial Narrow" w:hAnsi="Arial Narrow"/>
                <w:sz w:val="20"/>
                <w:lang w:val="en-GB"/>
              </w:rPr>
              <w:t xml:space="preserve">, which has </w:t>
            </w:r>
            <w:r w:rsidRPr="00131988">
              <w:rPr>
                <w:rFonts w:ascii="Arial Narrow" w:hAnsi="Arial Narrow"/>
                <w:sz w:val="20"/>
                <w:lang w:val="en-GB"/>
              </w:rPr>
              <w:t>DFAT and DNPM</w:t>
            </w:r>
            <w:r w:rsidR="003B5D8F">
              <w:rPr>
                <w:rFonts w:ascii="Arial Narrow" w:hAnsi="Arial Narrow"/>
                <w:sz w:val="20"/>
                <w:lang w:val="en-GB"/>
              </w:rPr>
              <w:t xml:space="preserve"> members</w:t>
            </w:r>
            <w:r w:rsidRPr="00131988">
              <w:rPr>
                <w:rFonts w:ascii="Arial Narrow" w:hAnsi="Arial Narrow"/>
                <w:sz w:val="20"/>
                <w:lang w:val="en-GB"/>
              </w:rPr>
              <w:t>, for development priority assessment. At this stage the SMG will also be provided with a summary of all CPs indicating those that are non-compliant.</w:t>
            </w:r>
          </w:p>
          <w:p w:rsidR="00F94E53" w:rsidRPr="00F94E53" w:rsidRDefault="00F94E53" w:rsidP="000471AF">
            <w:pPr>
              <w:pStyle w:val="BodyText"/>
              <w:spacing w:before="0" w:after="0"/>
              <w:rPr>
                <w:rFonts w:ascii="Arial Narrow" w:hAnsi="Arial Narrow"/>
                <w:sz w:val="16"/>
                <w:szCs w:val="16"/>
                <w:lang w:val="en-GB"/>
              </w:rPr>
            </w:pPr>
          </w:p>
        </w:tc>
      </w:tr>
      <w:tr w:rsidR="009F635E" w:rsidRPr="00571F0B" w:rsidTr="00083597">
        <w:trPr>
          <w:jc w:val="center"/>
        </w:trPr>
        <w:tc>
          <w:tcPr>
            <w:tcW w:w="2245" w:type="dxa"/>
            <w:tcBorders>
              <w:top w:val="single" w:sz="4" w:space="0" w:color="auto"/>
              <w:bottom w:val="single" w:sz="4" w:space="0" w:color="auto"/>
            </w:tcBorders>
            <w:shd w:val="clear" w:color="auto" w:fill="D6E3BC"/>
            <w:vAlign w:val="center"/>
          </w:tcPr>
          <w:p w:rsidR="009F635E" w:rsidRPr="00131988" w:rsidRDefault="009F635E" w:rsidP="00131988">
            <w:pPr>
              <w:pStyle w:val="BodyText"/>
              <w:spacing w:before="0" w:after="0"/>
              <w:jc w:val="left"/>
              <w:rPr>
                <w:rFonts w:ascii="Arial Narrow" w:hAnsi="Arial Narrow"/>
                <w:b/>
                <w:sz w:val="20"/>
                <w:lang w:val="en-GB"/>
              </w:rPr>
            </w:pPr>
            <w:r w:rsidRPr="00131988">
              <w:rPr>
                <w:rFonts w:ascii="Arial Narrow" w:hAnsi="Arial Narrow"/>
                <w:b/>
                <w:sz w:val="20"/>
                <w:lang w:val="en-GB"/>
              </w:rPr>
              <w:t>Stage Two:</w:t>
            </w:r>
          </w:p>
          <w:p w:rsidR="009F635E" w:rsidRPr="00131988" w:rsidRDefault="009F635E" w:rsidP="00131988">
            <w:pPr>
              <w:pStyle w:val="BodyText"/>
              <w:spacing w:before="0" w:after="0"/>
              <w:jc w:val="left"/>
              <w:rPr>
                <w:rFonts w:ascii="Arial Narrow" w:hAnsi="Arial Narrow"/>
                <w:b/>
                <w:sz w:val="20"/>
                <w:lang w:val="en-GB"/>
              </w:rPr>
            </w:pPr>
            <w:r w:rsidRPr="00131988">
              <w:rPr>
                <w:rFonts w:ascii="Arial Narrow" w:hAnsi="Arial Narrow"/>
                <w:b/>
                <w:sz w:val="20"/>
                <w:lang w:val="en-GB"/>
              </w:rPr>
              <w:t>DNPM and DFAT Development Screening</w:t>
            </w:r>
          </w:p>
        </w:tc>
        <w:tc>
          <w:tcPr>
            <w:tcW w:w="6771" w:type="dxa"/>
            <w:tcBorders>
              <w:top w:val="single" w:sz="4" w:space="0" w:color="auto"/>
              <w:bottom w:val="single" w:sz="4" w:space="0" w:color="auto"/>
            </w:tcBorders>
          </w:tcPr>
          <w:p w:rsidR="009F635E" w:rsidRDefault="00C25359" w:rsidP="000471AF">
            <w:pPr>
              <w:pStyle w:val="BodyText"/>
              <w:spacing w:before="0" w:after="0"/>
              <w:rPr>
                <w:rFonts w:ascii="Arial Narrow" w:hAnsi="Arial Narrow"/>
                <w:sz w:val="20"/>
                <w:lang w:val="en-GB"/>
              </w:rPr>
            </w:pPr>
            <w:r>
              <w:rPr>
                <w:rFonts w:ascii="Arial Narrow" w:hAnsi="Arial Narrow"/>
                <w:sz w:val="20"/>
                <w:lang w:val="en-GB"/>
              </w:rPr>
              <w:t>The SMG coordinate with the</w:t>
            </w:r>
            <w:r w:rsidR="009F635E" w:rsidRPr="00131988">
              <w:rPr>
                <w:rFonts w:ascii="Arial Narrow" w:hAnsi="Arial Narrow"/>
                <w:sz w:val="20"/>
                <w:lang w:val="en-GB"/>
              </w:rPr>
              <w:t xml:space="preserve"> sectors, to have input on GoPNG development pri</w:t>
            </w:r>
            <w:r w:rsidR="002C12ED">
              <w:rPr>
                <w:rFonts w:ascii="Arial Narrow" w:hAnsi="Arial Narrow"/>
                <w:sz w:val="20"/>
                <w:lang w:val="en-GB"/>
              </w:rPr>
              <w:t>orities.  The SMG provides its</w:t>
            </w:r>
            <w:r w:rsidR="009F635E" w:rsidRPr="00131988">
              <w:rPr>
                <w:rFonts w:ascii="Arial Narrow" w:hAnsi="Arial Narrow"/>
                <w:sz w:val="20"/>
                <w:lang w:val="en-GB"/>
              </w:rPr>
              <w:t xml:space="preserve"> feedback to</w:t>
            </w:r>
            <w:r w:rsidR="002C12ED">
              <w:rPr>
                <w:rFonts w:ascii="Arial Narrow" w:hAnsi="Arial Narrow"/>
                <w:sz w:val="20"/>
                <w:lang w:val="en-GB"/>
              </w:rPr>
              <w:t xml:space="preserve"> the </w:t>
            </w:r>
            <w:r w:rsidR="009F635E" w:rsidRPr="00131988">
              <w:rPr>
                <w:rFonts w:ascii="Arial Narrow" w:hAnsi="Arial Narrow"/>
                <w:sz w:val="20"/>
                <w:lang w:val="en-GB"/>
              </w:rPr>
              <w:t xml:space="preserve">Incentive Fund on the CPs that </w:t>
            </w:r>
            <w:proofErr w:type="gramStart"/>
            <w:r w:rsidR="009F635E" w:rsidRPr="00131988">
              <w:rPr>
                <w:rFonts w:ascii="Arial Narrow" w:hAnsi="Arial Narrow"/>
                <w:sz w:val="20"/>
                <w:lang w:val="en-GB"/>
              </w:rPr>
              <w:t>meet</w:t>
            </w:r>
            <w:proofErr w:type="gramEnd"/>
            <w:r w:rsidR="009F635E" w:rsidRPr="00131988">
              <w:rPr>
                <w:rFonts w:ascii="Arial Narrow" w:hAnsi="Arial Narrow"/>
                <w:sz w:val="20"/>
                <w:lang w:val="en-GB"/>
              </w:rPr>
              <w:t xml:space="preserve"> or do not meet the development priorities. Independent members of the </w:t>
            </w:r>
            <w:r w:rsidR="00604ACB" w:rsidRPr="00131988">
              <w:rPr>
                <w:rFonts w:ascii="Arial Narrow" w:hAnsi="Arial Narrow"/>
                <w:sz w:val="20"/>
                <w:lang w:val="en-GB"/>
              </w:rPr>
              <w:t>Management Group (</w:t>
            </w:r>
            <w:r w:rsidR="009F635E" w:rsidRPr="00131988">
              <w:rPr>
                <w:rFonts w:ascii="Arial Narrow" w:hAnsi="Arial Narrow"/>
                <w:sz w:val="20"/>
                <w:lang w:val="en-GB"/>
              </w:rPr>
              <w:t>MG</w:t>
            </w:r>
            <w:r w:rsidR="00604ACB" w:rsidRPr="00131988">
              <w:rPr>
                <w:rFonts w:ascii="Arial Narrow" w:hAnsi="Arial Narrow"/>
                <w:sz w:val="20"/>
                <w:lang w:val="en-GB"/>
              </w:rPr>
              <w:t>)</w:t>
            </w:r>
            <w:r w:rsidR="009F635E" w:rsidRPr="00131988">
              <w:rPr>
                <w:rFonts w:ascii="Arial Narrow" w:hAnsi="Arial Narrow"/>
                <w:sz w:val="20"/>
                <w:lang w:val="en-GB"/>
              </w:rPr>
              <w:t xml:space="preserve"> provide feedback on any issues they may have on the gateway criteria selection. Recommendations are put to the MG for review and endorsement. The MG selects organisations to move to Stage 3 and undergo an organisational assessment (OA). If the OA is successful</w:t>
            </w:r>
            <w:r w:rsidR="002C12ED">
              <w:rPr>
                <w:rFonts w:ascii="Arial Narrow" w:hAnsi="Arial Narrow"/>
                <w:sz w:val="20"/>
                <w:lang w:val="en-GB"/>
              </w:rPr>
              <w:t>,</w:t>
            </w:r>
            <w:r w:rsidR="009F635E" w:rsidRPr="00131988">
              <w:rPr>
                <w:rFonts w:ascii="Arial Narrow" w:hAnsi="Arial Narrow"/>
                <w:sz w:val="20"/>
                <w:lang w:val="en-GB"/>
              </w:rPr>
              <w:t xml:space="preserve"> the organisation may be invited to </w:t>
            </w:r>
            <w:r w:rsidR="00F94E53">
              <w:rPr>
                <w:rFonts w:ascii="Arial Narrow" w:hAnsi="Arial Narrow"/>
                <w:sz w:val="20"/>
                <w:lang w:val="en-GB"/>
              </w:rPr>
              <w:t>prepare a detailed proposal</w:t>
            </w:r>
            <w:r w:rsidR="009F635E" w:rsidRPr="00131988">
              <w:rPr>
                <w:rFonts w:ascii="Arial Narrow" w:hAnsi="Arial Narrow"/>
                <w:sz w:val="20"/>
                <w:lang w:val="en-GB"/>
              </w:rPr>
              <w:t>.</w:t>
            </w:r>
          </w:p>
          <w:p w:rsidR="00F94E53" w:rsidRPr="00F94E53" w:rsidRDefault="00F94E53" w:rsidP="000471AF">
            <w:pPr>
              <w:pStyle w:val="BodyText"/>
              <w:spacing w:before="0" w:after="0"/>
              <w:rPr>
                <w:rFonts w:ascii="Arial Narrow" w:hAnsi="Arial Narrow"/>
                <w:sz w:val="16"/>
                <w:szCs w:val="16"/>
                <w:lang w:val="en-GB"/>
              </w:rPr>
            </w:pPr>
          </w:p>
        </w:tc>
      </w:tr>
      <w:tr w:rsidR="009F635E" w:rsidRPr="00571F0B" w:rsidTr="00083597">
        <w:trPr>
          <w:jc w:val="center"/>
        </w:trPr>
        <w:tc>
          <w:tcPr>
            <w:tcW w:w="2245" w:type="dxa"/>
            <w:tcBorders>
              <w:top w:val="single" w:sz="4" w:space="0" w:color="auto"/>
              <w:bottom w:val="single" w:sz="4" w:space="0" w:color="auto"/>
            </w:tcBorders>
            <w:shd w:val="clear" w:color="auto" w:fill="D6E3BC"/>
            <w:vAlign w:val="center"/>
          </w:tcPr>
          <w:p w:rsidR="009F635E" w:rsidRPr="00131988" w:rsidRDefault="009F635E" w:rsidP="00131988">
            <w:pPr>
              <w:pStyle w:val="BodyText"/>
              <w:spacing w:before="0" w:after="0"/>
              <w:jc w:val="left"/>
              <w:rPr>
                <w:rFonts w:ascii="Arial Narrow" w:hAnsi="Arial Narrow"/>
                <w:b/>
                <w:sz w:val="20"/>
                <w:lang w:val="en-GB"/>
              </w:rPr>
            </w:pPr>
            <w:r w:rsidRPr="00131988">
              <w:rPr>
                <w:rFonts w:ascii="Arial Narrow" w:hAnsi="Arial Narrow"/>
                <w:b/>
                <w:sz w:val="20"/>
                <w:lang w:val="en-GB"/>
              </w:rPr>
              <w:t>Stage Three:</w:t>
            </w:r>
          </w:p>
          <w:p w:rsidR="009F635E" w:rsidRPr="00131988" w:rsidRDefault="009F635E" w:rsidP="00131988">
            <w:pPr>
              <w:pStyle w:val="BodyText"/>
              <w:spacing w:before="0" w:after="0"/>
              <w:jc w:val="left"/>
              <w:rPr>
                <w:rFonts w:ascii="Arial Narrow" w:hAnsi="Arial Narrow"/>
                <w:b/>
                <w:sz w:val="20"/>
                <w:lang w:val="en-GB"/>
              </w:rPr>
            </w:pPr>
            <w:r w:rsidRPr="00131988">
              <w:rPr>
                <w:rFonts w:ascii="Arial Narrow" w:hAnsi="Arial Narrow"/>
                <w:b/>
                <w:sz w:val="20"/>
                <w:lang w:val="en-GB"/>
              </w:rPr>
              <w:t>Organisational Assessment (OA)</w:t>
            </w:r>
          </w:p>
        </w:tc>
        <w:tc>
          <w:tcPr>
            <w:tcW w:w="6771" w:type="dxa"/>
            <w:tcBorders>
              <w:top w:val="single" w:sz="4" w:space="0" w:color="auto"/>
              <w:bottom w:val="single" w:sz="4" w:space="0" w:color="auto"/>
            </w:tcBorders>
            <w:shd w:val="clear" w:color="auto" w:fill="FFFFFF"/>
          </w:tcPr>
          <w:p w:rsidR="009F635E" w:rsidRDefault="009F635E" w:rsidP="000471AF">
            <w:pPr>
              <w:pStyle w:val="BodyText"/>
              <w:spacing w:before="0" w:after="0"/>
              <w:rPr>
                <w:rFonts w:ascii="Arial Narrow" w:hAnsi="Arial Narrow"/>
                <w:sz w:val="20"/>
                <w:lang w:val="en-GB"/>
              </w:rPr>
            </w:pPr>
            <w:r w:rsidRPr="00131988">
              <w:rPr>
                <w:rFonts w:ascii="Arial Narrow" w:hAnsi="Arial Narrow"/>
                <w:sz w:val="20"/>
                <w:lang w:val="en-GB"/>
              </w:rPr>
              <w:t>Aligned with the high level target of working with the most effective partners</w:t>
            </w:r>
            <w:r w:rsidR="002C12ED">
              <w:rPr>
                <w:rFonts w:ascii="Arial Narrow" w:hAnsi="Arial Narrow"/>
                <w:sz w:val="20"/>
                <w:lang w:val="en-GB"/>
              </w:rPr>
              <w:t>,</w:t>
            </w:r>
            <w:r w:rsidRPr="00131988">
              <w:rPr>
                <w:rFonts w:ascii="Arial Narrow" w:hAnsi="Arial Narrow"/>
                <w:sz w:val="20"/>
                <w:lang w:val="en-GB"/>
              </w:rPr>
              <w:t xml:space="preserve"> the OAs </w:t>
            </w:r>
            <w:proofErr w:type="gramStart"/>
            <w:r w:rsidRPr="00131988">
              <w:rPr>
                <w:rFonts w:ascii="Arial Narrow" w:hAnsi="Arial Narrow"/>
                <w:sz w:val="20"/>
                <w:lang w:val="en-GB"/>
              </w:rPr>
              <w:t>ensure</w:t>
            </w:r>
            <w:proofErr w:type="gramEnd"/>
            <w:r w:rsidRPr="00131988">
              <w:rPr>
                <w:rFonts w:ascii="Arial Narrow" w:hAnsi="Arial Narrow"/>
                <w:sz w:val="20"/>
                <w:lang w:val="en-GB"/>
              </w:rPr>
              <w:t xml:space="preserve"> the organisation has the capacity to deliver the activity and maintain post-activity support. This includes a</w:t>
            </w:r>
            <w:r w:rsidRPr="00350A70">
              <w:rPr>
                <w:rFonts w:ascii="Arial Narrow" w:hAnsi="Arial Narrow"/>
                <w:sz w:val="20"/>
                <w:lang w:val="en-GB"/>
              </w:rPr>
              <w:t xml:space="preserve"> </w:t>
            </w:r>
            <w:r w:rsidR="00350A70" w:rsidRPr="00350A70">
              <w:rPr>
                <w:rFonts w:ascii="Arial Narrow" w:hAnsi="Arial Narrow"/>
                <w:sz w:val="20"/>
                <w:lang w:val="en-GB"/>
              </w:rPr>
              <w:t xml:space="preserve">local political economy and operating context </w:t>
            </w:r>
            <w:r w:rsidRPr="00131988">
              <w:rPr>
                <w:rFonts w:ascii="Arial Narrow" w:hAnsi="Arial Narrow"/>
                <w:sz w:val="20"/>
                <w:lang w:val="en-GB"/>
              </w:rPr>
              <w:t>assessment from the organisation highlighting any risks to the on-going operations and maintenance required from the IFA investment, and how risks will be mitigated. Organisations with capacity shortfalls may opt to delay further assessment and decisions until the organisation has had the opportunity to strengthen. OAs are summarised, shared with the SMG a</w:t>
            </w:r>
            <w:r w:rsidR="00131988">
              <w:rPr>
                <w:rFonts w:ascii="Arial Narrow" w:hAnsi="Arial Narrow"/>
                <w:sz w:val="20"/>
                <w:lang w:val="en-GB"/>
              </w:rPr>
              <w:t>nd sent to the MG for approval.</w:t>
            </w:r>
          </w:p>
          <w:p w:rsidR="00F94E53" w:rsidRPr="00F94E53" w:rsidRDefault="00F94E53" w:rsidP="000471AF">
            <w:pPr>
              <w:pStyle w:val="BodyText"/>
              <w:spacing w:before="0" w:after="0"/>
              <w:rPr>
                <w:rFonts w:ascii="Arial Narrow" w:hAnsi="Arial Narrow"/>
                <w:sz w:val="16"/>
                <w:szCs w:val="16"/>
                <w:lang w:val="en-GB"/>
              </w:rPr>
            </w:pPr>
          </w:p>
        </w:tc>
      </w:tr>
      <w:tr w:rsidR="009F635E" w:rsidRPr="00571F0B" w:rsidTr="00083597">
        <w:trPr>
          <w:jc w:val="center"/>
        </w:trPr>
        <w:tc>
          <w:tcPr>
            <w:tcW w:w="2245" w:type="dxa"/>
            <w:tcBorders>
              <w:top w:val="single" w:sz="4" w:space="0" w:color="auto"/>
              <w:bottom w:val="single" w:sz="4" w:space="0" w:color="auto"/>
            </w:tcBorders>
            <w:shd w:val="clear" w:color="auto" w:fill="D6E3BC"/>
            <w:vAlign w:val="center"/>
          </w:tcPr>
          <w:p w:rsidR="009F635E" w:rsidRPr="00131988" w:rsidRDefault="009F635E" w:rsidP="00131988">
            <w:pPr>
              <w:pStyle w:val="BodyText"/>
              <w:spacing w:before="0" w:after="0"/>
              <w:jc w:val="left"/>
              <w:rPr>
                <w:rFonts w:ascii="Arial Narrow" w:hAnsi="Arial Narrow"/>
                <w:b/>
                <w:sz w:val="20"/>
                <w:lang w:val="en-GB"/>
              </w:rPr>
            </w:pPr>
            <w:r w:rsidRPr="00131988">
              <w:rPr>
                <w:rFonts w:ascii="Arial Narrow" w:hAnsi="Arial Narrow"/>
                <w:b/>
                <w:sz w:val="20"/>
                <w:lang w:val="en-GB"/>
              </w:rPr>
              <w:t>Stage Four:</w:t>
            </w:r>
          </w:p>
          <w:p w:rsidR="009F635E" w:rsidRPr="00131988" w:rsidRDefault="009F635E" w:rsidP="00131988">
            <w:pPr>
              <w:pStyle w:val="BodyText"/>
              <w:spacing w:before="0" w:after="0"/>
              <w:jc w:val="left"/>
              <w:rPr>
                <w:rFonts w:ascii="Arial Narrow" w:hAnsi="Arial Narrow"/>
                <w:b/>
                <w:sz w:val="20"/>
                <w:lang w:val="en-GB"/>
              </w:rPr>
            </w:pPr>
            <w:r w:rsidRPr="00131988">
              <w:rPr>
                <w:rFonts w:ascii="Arial Narrow" w:hAnsi="Arial Narrow"/>
                <w:b/>
                <w:sz w:val="20"/>
                <w:lang w:val="en-GB"/>
              </w:rPr>
              <w:t>Detailed Proposal</w:t>
            </w:r>
          </w:p>
        </w:tc>
        <w:tc>
          <w:tcPr>
            <w:tcW w:w="6771" w:type="dxa"/>
            <w:tcBorders>
              <w:top w:val="single" w:sz="4" w:space="0" w:color="auto"/>
              <w:bottom w:val="single" w:sz="4" w:space="0" w:color="auto"/>
            </w:tcBorders>
          </w:tcPr>
          <w:p w:rsidR="009F635E" w:rsidRDefault="009F635E" w:rsidP="000471AF">
            <w:pPr>
              <w:pStyle w:val="BodyText"/>
              <w:spacing w:before="0" w:after="0"/>
              <w:rPr>
                <w:rFonts w:ascii="Arial Narrow" w:hAnsi="Arial Narrow"/>
                <w:sz w:val="20"/>
                <w:lang w:val="en-GB"/>
              </w:rPr>
            </w:pPr>
            <w:r w:rsidRPr="00131988">
              <w:rPr>
                <w:rFonts w:ascii="Arial Narrow" w:hAnsi="Arial Narrow"/>
                <w:sz w:val="20"/>
                <w:lang w:val="en-GB"/>
              </w:rPr>
              <w:t>Once CP and OA approval is given by the MG, with incentive fund team support a detailed proposal is developed with implementation plan, budget and a clear end of program position. At this point a new process must be identified and introduced so that the incentive fund can conduct a deta</w:t>
            </w:r>
            <w:r w:rsidR="00131988">
              <w:rPr>
                <w:rFonts w:ascii="Arial Narrow" w:hAnsi="Arial Narrow"/>
                <w:sz w:val="20"/>
                <w:lang w:val="en-GB"/>
              </w:rPr>
              <w:t xml:space="preserve">iled </w:t>
            </w:r>
            <w:r w:rsidR="00350A70" w:rsidRPr="00350A70">
              <w:rPr>
                <w:rFonts w:ascii="Arial Narrow" w:hAnsi="Arial Narrow"/>
                <w:sz w:val="20"/>
                <w:lang w:val="en-GB"/>
              </w:rPr>
              <w:t xml:space="preserve">local political economy and operating context </w:t>
            </w:r>
            <w:r w:rsidR="00131988">
              <w:rPr>
                <w:rFonts w:ascii="Arial Narrow" w:hAnsi="Arial Narrow"/>
                <w:sz w:val="20"/>
                <w:lang w:val="en-GB"/>
              </w:rPr>
              <w:t>assessment.</w:t>
            </w:r>
          </w:p>
          <w:p w:rsidR="00F94E53" w:rsidRPr="00F94E53" w:rsidRDefault="00F94E53" w:rsidP="000471AF">
            <w:pPr>
              <w:pStyle w:val="BodyText"/>
              <w:spacing w:before="0" w:after="0"/>
              <w:rPr>
                <w:rFonts w:ascii="Arial Narrow" w:hAnsi="Arial Narrow"/>
                <w:sz w:val="16"/>
                <w:szCs w:val="16"/>
                <w:lang w:val="en-GB"/>
              </w:rPr>
            </w:pPr>
          </w:p>
        </w:tc>
      </w:tr>
      <w:tr w:rsidR="009F635E" w:rsidRPr="00571F0B" w:rsidTr="00083597">
        <w:trPr>
          <w:jc w:val="center"/>
        </w:trPr>
        <w:tc>
          <w:tcPr>
            <w:tcW w:w="2245" w:type="dxa"/>
            <w:tcBorders>
              <w:top w:val="single" w:sz="4" w:space="0" w:color="auto"/>
            </w:tcBorders>
            <w:shd w:val="clear" w:color="auto" w:fill="D6E3BC"/>
            <w:vAlign w:val="center"/>
          </w:tcPr>
          <w:p w:rsidR="009F635E" w:rsidRPr="00131988" w:rsidRDefault="009F635E" w:rsidP="00131988">
            <w:pPr>
              <w:pStyle w:val="BodyText"/>
              <w:spacing w:before="0" w:after="0"/>
              <w:jc w:val="left"/>
              <w:rPr>
                <w:rFonts w:ascii="Arial Narrow" w:hAnsi="Arial Narrow"/>
                <w:b/>
                <w:sz w:val="20"/>
                <w:lang w:val="en-GB"/>
              </w:rPr>
            </w:pPr>
            <w:r w:rsidRPr="00131988">
              <w:rPr>
                <w:rFonts w:ascii="Arial Narrow" w:hAnsi="Arial Narrow"/>
                <w:b/>
                <w:sz w:val="20"/>
                <w:lang w:val="en-GB"/>
              </w:rPr>
              <w:t>Stage 5:</w:t>
            </w:r>
          </w:p>
          <w:p w:rsidR="009F635E" w:rsidRPr="00131988" w:rsidRDefault="009F635E" w:rsidP="00131988">
            <w:pPr>
              <w:pStyle w:val="BodyText"/>
              <w:spacing w:before="0" w:after="0"/>
              <w:jc w:val="left"/>
              <w:rPr>
                <w:rFonts w:ascii="Arial Narrow" w:hAnsi="Arial Narrow"/>
                <w:b/>
                <w:sz w:val="20"/>
                <w:lang w:val="en-GB"/>
              </w:rPr>
            </w:pPr>
            <w:r w:rsidRPr="00131988">
              <w:rPr>
                <w:rFonts w:ascii="Arial Narrow" w:hAnsi="Arial Narrow"/>
                <w:b/>
                <w:sz w:val="20"/>
                <w:lang w:val="en-GB"/>
              </w:rPr>
              <w:t>Agreement</w:t>
            </w:r>
          </w:p>
        </w:tc>
        <w:tc>
          <w:tcPr>
            <w:tcW w:w="6771" w:type="dxa"/>
            <w:tcBorders>
              <w:top w:val="single" w:sz="4" w:space="0" w:color="auto"/>
            </w:tcBorders>
          </w:tcPr>
          <w:p w:rsidR="009F635E" w:rsidRPr="00131988" w:rsidRDefault="009F635E" w:rsidP="000471AF">
            <w:pPr>
              <w:pStyle w:val="BodyText"/>
              <w:spacing w:before="0" w:after="0"/>
              <w:rPr>
                <w:rFonts w:ascii="Arial Narrow" w:hAnsi="Arial Narrow"/>
                <w:sz w:val="20"/>
                <w:lang w:val="en-GB"/>
              </w:rPr>
            </w:pPr>
            <w:r w:rsidRPr="00131988">
              <w:rPr>
                <w:rFonts w:ascii="Arial Narrow" w:hAnsi="Arial Narrow"/>
                <w:sz w:val="20"/>
                <w:lang w:val="en-GB"/>
              </w:rPr>
              <w:t>Once satisfied with the proposal</w:t>
            </w:r>
            <w:r w:rsidR="002C12ED">
              <w:rPr>
                <w:rFonts w:ascii="Arial Narrow" w:hAnsi="Arial Narrow"/>
                <w:sz w:val="20"/>
                <w:lang w:val="en-GB"/>
              </w:rPr>
              <w:t>,</w:t>
            </w:r>
            <w:r w:rsidRPr="00131988">
              <w:rPr>
                <w:rFonts w:ascii="Arial Narrow" w:hAnsi="Arial Narrow"/>
                <w:sz w:val="20"/>
                <w:lang w:val="en-GB"/>
              </w:rPr>
              <w:t xml:space="preserve"> the incentive fund team submit it to the MG for review and approval. If approval is given an Incentive Funding Agreement</w:t>
            </w:r>
            <w:r w:rsidR="002C12ED">
              <w:rPr>
                <w:rFonts w:ascii="Arial Narrow" w:hAnsi="Arial Narrow"/>
                <w:sz w:val="20"/>
                <w:lang w:val="en-GB"/>
              </w:rPr>
              <w:t xml:space="preserve"> is confirmed and signed.  F</w:t>
            </w:r>
            <w:r w:rsidRPr="00131988">
              <w:rPr>
                <w:rFonts w:ascii="Arial Narrow" w:hAnsi="Arial Narrow"/>
                <w:sz w:val="20"/>
                <w:lang w:val="en-GB"/>
              </w:rPr>
              <w:t>ollowing t</w:t>
            </w:r>
            <w:r w:rsidR="00131988">
              <w:rPr>
                <w:rFonts w:ascii="Arial Narrow" w:hAnsi="Arial Narrow"/>
                <w:sz w:val="20"/>
                <w:lang w:val="en-GB"/>
              </w:rPr>
              <w:t>his, implementation may start.</w:t>
            </w:r>
          </w:p>
        </w:tc>
      </w:tr>
    </w:tbl>
    <w:p w:rsidR="00131988" w:rsidRDefault="00131988" w:rsidP="000471AF">
      <w:pPr>
        <w:pStyle w:val="BodyText"/>
        <w:spacing w:before="0" w:after="0"/>
        <w:rPr>
          <w:szCs w:val="24"/>
          <w:lang w:val="en-GB"/>
        </w:rPr>
      </w:pPr>
    </w:p>
    <w:p w:rsidR="00131988" w:rsidRPr="00571F0B" w:rsidRDefault="00131988" w:rsidP="00131988">
      <w:pPr>
        <w:pStyle w:val="Caption"/>
        <w:spacing w:before="0" w:after="0"/>
        <w:rPr>
          <w:szCs w:val="24"/>
          <w:lang w:val="en-GB"/>
        </w:rPr>
      </w:pPr>
      <w:r w:rsidRPr="00571F0B">
        <w:rPr>
          <w:szCs w:val="24"/>
          <w:lang w:val="en-GB"/>
        </w:rPr>
        <w:t>Private sector considerations</w:t>
      </w:r>
    </w:p>
    <w:p w:rsidR="009F635E" w:rsidRDefault="009F635E" w:rsidP="000471AF">
      <w:pPr>
        <w:pStyle w:val="BodyText"/>
        <w:spacing w:before="0" w:after="0"/>
        <w:rPr>
          <w:szCs w:val="24"/>
          <w:lang w:val="en-GB"/>
        </w:rPr>
      </w:pPr>
      <w:r w:rsidRPr="00571F0B">
        <w:rPr>
          <w:szCs w:val="24"/>
          <w:lang w:val="en-GB"/>
        </w:rPr>
        <w:t xml:space="preserve">Some DFAT programs have enjoyed successful relationships with the private sector for many years. Many of these private sector </w:t>
      </w:r>
      <w:r w:rsidR="004212BB">
        <w:rPr>
          <w:szCs w:val="24"/>
          <w:lang w:val="en-GB"/>
        </w:rPr>
        <w:t>companies</w:t>
      </w:r>
      <w:r w:rsidRPr="00571F0B">
        <w:rPr>
          <w:szCs w:val="24"/>
          <w:lang w:val="en-GB"/>
        </w:rPr>
        <w:t xml:space="preserve"> work in the agricultural sector and were funded for economic </w:t>
      </w:r>
      <w:r w:rsidR="00AF79FB" w:rsidRPr="00AF79FB">
        <w:rPr>
          <w:szCs w:val="24"/>
          <w:lang w:val="en-GB"/>
        </w:rPr>
        <w:t>development</w:t>
      </w:r>
      <w:r w:rsidRPr="00571F0B">
        <w:rPr>
          <w:szCs w:val="24"/>
          <w:lang w:val="en-GB"/>
        </w:rPr>
        <w:t xml:space="preserve"> activities. </w:t>
      </w:r>
      <w:r w:rsidR="00083597">
        <w:rPr>
          <w:szCs w:val="24"/>
          <w:lang w:val="en-GB"/>
        </w:rPr>
        <w:t>IF (IV)</w:t>
      </w:r>
      <w:r w:rsidRPr="00571F0B">
        <w:rPr>
          <w:szCs w:val="24"/>
          <w:lang w:val="en-GB"/>
        </w:rPr>
        <w:t xml:space="preserve"> and DFAT </w:t>
      </w:r>
      <w:r w:rsidR="00604ACB" w:rsidRPr="00571F0B">
        <w:rPr>
          <w:szCs w:val="24"/>
          <w:lang w:val="en-GB"/>
        </w:rPr>
        <w:t>will</w:t>
      </w:r>
      <w:r w:rsidRPr="00571F0B">
        <w:rPr>
          <w:szCs w:val="24"/>
          <w:lang w:val="en-GB"/>
        </w:rPr>
        <w:t xml:space="preserve"> need to experiment and be flexible </w:t>
      </w:r>
      <w:r w:rsidR="002C12ED">
        <w:rPr>
          <w:szCs w:val="24"/>
          <w:lang w:val="en-GB"/>
        </w:rPr>
        <w:t xml:space="preserve">in order </w:t>
      </w:r>
      <w:r w:rsidRPr="00571F0B">
        <w:rPr>
          <w:szCs w:val="24"/>
          <w:lang w:val="en-GB"/>
        </w:rPr>
        <w:t xml:space="preserve">to find efficient ways to operate </w:t>
      </w:r>
      <w:r w:rsidR="004212BB">
        <w:rPr>
          <w:szCs w:val="24"/>
          <w:lang w:val="en-GB"/>
        </w:rPr>
        <w:t xml:space="preserve">more extensively </w:t>
      </w:r>
      <w:r w:rsidRPr="00571F0B">
        <w:rPr>
          <w:szCs w:val="24"/>
          <w:lang w:val="en-GB"/>
        </w:rPr>
        <w:t>with the private sector</w:t>
      </w:r>
      <w:r w:rsidR="00604ACB" w:rsidRPr="00571F0B">
        <w:rPr>
          <w:szCs w:val="24"/>
          <w:lang w:val="en-GB"/>
        </w:rPr>
        <w:t>.</w:t>
      </w:r>
    </w:p>
    <w:p w:rsidR="00131988" w:rsidRPr="00131988" w:rsidRDefault="00131988" w:rsidP="000471AF">
      <w:pPr>
        <w:pStyle w:val="BodyText"/>
        <w:spacing w:before="0" w:after="0"/>
        <w:rPr>
          <w:sz w:val="16"/>
          <w:szCs w:val="16"/>
          <w:lang w:val="en-GB"/>
        </w:rPr>
      </w:pPr>
    </w:p>
    <w:p w:rsidR="009F635E" w:rsidRDefault="004A0582" w:rsidP="000471AF">
      <w:pPr>
        <w:pStyle w:val="BodyText"/>
        <w:spacing w:before="0" w:after="0"/>
        <w:rPr>
          <w:szCs w:val="24"/>
          <w:lang w:val="en-GB"/>
        </w:rPr>
      </w:pPr>
      <w:r w:rsidRPr="00571F0B">
        <w:rPr>
          <w:szCs w:val="24"/>
          <w:lang w:val="en-GB"/>
        </w:rPr>
        <w:t>T</w:t>
      </w:r>
      <w:r w:rsidR="009F635E" w:rsidRPr="00571F0B">
        <w:rPr>
          <w:szCs w:val="24"/>
          <w:lang w:val="en-GB"/>
        </w:rPr>
        <w:t>he private sector is likely to have advanced skills in business planning ar</w:t>
      </w:r>
      <w:r w:rsidR="0036062E">
        <w:rPr>
          <w:szCs w:val="24"/>
          <w:lang w:val="en-GB"/>
        </w:rPr>
        <w:t>ound detailed economic activity</w:t>
      </w:r>
      <w:r w:rsidR="009F635E" w:rsidRPr="00571F0B">
        <w:rPr>
          <w:szCs w:val="24"/>
          <w:lang w:val="en-GB"/>
        </w:rPr>
        <w:t xml:space="preserve"> and this may challenge development administrators. It is logical to assume that business development </w:t>
      </w:r>
      <w:r w:rsidR="004212BB">
        <w:rPr>
          <w:szCs w:val="24"/>
          <w:lang w:val="en-GB"/>
        </w:rPr>
        <w:t xml:space="preserve">planning </w:t>
      </w:r>
      <w:r w:rsidR="009F635E" w:rsidRPr="00571F0B">
        <w:rPr>
          <w:szCs w:val="24"/>
          <w:lang w:val="en-GB"/>
        </w:rPr>
        <w:t xml:space="preserve">and sector specialists will be required to review a range </w:t>
      </w:r>
      <w:r w:rsidRPr="00571F0B">
        <w:rPr>
          <w:szCs w:val="24"/>
          <w:lang w:val="en-GB"/>
        </w:rPr>
        <w:t>of concept papers</w:t>
      </w:r>
      <w:r w:rsidR="009F635E" w:rsidRPr="00571F0B">
        <w:rPr>
          <w:szCs w:val="24"/>
          <w:lang w:val="en-GB"/>
        </w:rPr>
        <w:t xml:space="preserve">, business plans and undertake economic analysis and internal rates of return etc. Therefore IF (IV) must anticipate making changes in the way that it operates and works </w:t>
      </w:r>
      <w:r w:rsidR="009F635E" w:rsidRPr="00571F0B">
        <w:rPr>
          <w:szCs w:val="24"/>
          <w:lang w:val="en-GB"/>
        </w:rPr>
        <w:lastRenderedPageBreak/>
        <w:t>with the private sector. The s</w:t>
      </w:r>
      <w:r w:rsidR="0036062E">
        <w:rPr>
          <w:szCs w:val="24"/>
          <w:lang w:val="en-GB"/>
        </w:rPr>
        <w:t>ame applies for DFAT officers. E</w:t>
      </w:r>
      <w:r w:rsidR="009F635E" w:rsidRPr="00571F0B">
        <w:rPr>
          <w:szCs w:val="24"/>
          <w:lang w:val="en-GB"/>
        </w:rPr>
        <w:t>ngaging with the private sector will mean changing the way the development s</w:t>
      </w:r>
      <w:r w:rsidR="00131988">
        <w:rPr>
          <w:szCs w:val="24"/>
          <w:lang w:val="en-GB"/>
        </w:rPr>
        <w:t>ector has traditionally worked.</w:t>
      </w:r>
    </w:p>
    <w:p w:rsidR="00131988" w:rsidRPr="00131988" w:rsidRDefault="00131988" w:rsidP="000471AF">
      <w:pPr>
        <w:pStyle w:val="BodyText"/>
        <w:spacing w:before="0" w:after="0"/>
        <w:rPr>
          <w:sz w:val="16"/>
          <w:szCs w:val="16"/>
          <w:lang w:val="en-GB"/>
        </w:rPr>
      </w:pPr>
    </w:p>
    <w:p w:rsidR="009F635E" w:rsidRDefault="009F635E" w:rsidP="000471AF">
      <w:pPr>
        <w:pStyle w:val="BodyText"/>
        <w:spacing w:before="0" w:after="0"/>
        <w:rPr>
          <w:szCs w:val="24"/>
          <w:lang w:val="en-GB"/>
        </w:rPr>
      </w:pPr>
      <w:r w:rsidRPr="00571F0B">
        <w:rPr>
          <w:szCs w:val="24"/>
          <w:lang w:val="en-GB"/>
        </w:rPr>
        <w:t xml:space="preserve">IF (IV) should anticipate making changes to </w:t>
      </w:r>
      <w:r w:rsidR="004212BB">
        <w:rPr>
          <w:szCs w:val="24"/>
          <w:lang w:val="en-GB"/>
        </w:rPr>
        <w:t xml:space="preserve">all </w:t>
      </w:r>
      <w:r w:rsidRPr="00571F0B">
        <w:rPr>
          <w:szCs w:val="24"/>
          <w:lang w:val="en-GB"/>
        </w:rPr>
        <w:t>Stage</w:t>
      </w:r>
      <w:r w:rsidR="004212BB">
        <w:rPr>
          <w:szCs w:val="24"/>
          <w:lang w:val="en-GB"/>
        </w:rPr>
        <w:t xml:space="preserve">s </w:t>
      </w:r>
      <w:r w:rsidRPr="00571F0B">
        <w:rPr>
          <w:szCs w:val="24"/>
          <w:lang w:val="en-GB"/>
        </w:rPr>
        <w:t>of the application process as it engages in more private sector activity. There is an important opportunity for IF (IV) to lead the way forward in regard to private sector engagement, and</w:t>
      </w:r>
      <w:r w:rsidR="00131988">
        <w:rPr>
          <w:szCs w:val="24"/>
          <w:lang w:val="en-GB"/>
        </w:rPr>
        <w:t xml:space="preserve"> this is expected from IV (IF).</w:t>
      </w:r>
    </w:p>
    <w:p w:rsidR="00131988" w:rsidRPr="00571F0B" w:rsidRDefault="00131988" w:rsidP="000471AF">
      <w:pPr>
        <w:pStyle w:val="BodyText"/>
        <w:spacing w:before="0" w:after="0"/>
        <w:rPr>
          <w:szCs w:val="24"/>
          <w:lang w:val="en-GB"/>
        </w:rPr>
      </w:pPr>
    </w:p>
    <w:p w:rsidR="009F635E" w:rsidRPr="00571F0B" w:rsidRDefault="009F635E" w:rsidP="000471AF">
      <w:pPr>
        <w:pStyle w:val="Caption"/>
        <w:spacing w:before="0" w:after="0"/>
        <w:rPr>
          <w:szCs w:val="24"/>
          <w:lang w:val="en-GB"/>
        </w:rPr>
      </w:pPr>
      <w:r w:rsidRPr="00571F0B">
        <w:rPr>
          <w:szCs w:val="24"/>
          <w:lang w:val="en-GB"/>
        </w:rPr>
        <w:t>Development of the Innovation Fund</w:t>
      </w:r>
    </w:p>
    <w:p w:rsidR="009E1E17" w:rsidRDefault="009F635E" w:rsidP="006D02E0">
      <w:pPr>
        <w:pStyle w:val="BodyText"/>
        <w:spacing w:before="0" w:after="0"/>
        <w:rPr>
          <w:szCs w:val="24"/>
          <w:lang w:val="en-GB"/>
        </w:rPr>
      </w:pPr>
      <w:r w:rsidRPr="00571F0B">
        <w:rPr>
          <w:szCs w:val="24"/>
          <w:lang w:val="en-GB"/>
        </w:rPr>
        <w:t xml:space="preserve">Under DFATs aid policy, new aid investments will consider ways to engage the private sector and promote private sector </w:t>
      </w:r>
      <w:r w:rsidR="00AF79FB" w:rsidRPr="00AF79FB">
        <w:rPr>
          <w:szCs w:val="24"/>
          <w:lang w:val="en-GB"/>
        </w:rPr>
        <w:t>development</w:t>
      </w:r>
      <w:r w:rsidRPr="00571F0B">
        <w:rPr>
          <w:szCs w:val="24"/>
          <w:lang w:val="en-GB"/>
        </w:rPr>
        <w:t xml:space="preserve">. Over four years </w:t>
      </w:r>
      <w:proofErr w:type="gramStart"/>
      <w:r w:rsidRPr="00571F0B">
        <w:rPr>
          <w:szCs w:val="24"/>
          <w:lang w:val="en-GB"/>
        </w:rPr>
        <w:t>A$</w:t>
      </w:r>
      <w:proofErr w:type="gramEnd"/>
      <w:r w:rsidRPr="00571F0B">
        <w:rPr>
          <w:szCs w:val="24"/>
          <w:lang w:val="en-GB"/>
        </w:rPr>
        <w:t>140 million will be provided to trial and test innovation</w:t>
      </w:r>
      <w:r w:rsidR="0036062E">
        <w:rPr>
          <w:szCs w:val="24"/>
          <w:lang w:val="en-GB"/>
        </w:rPr>
        <w:t xml:space="preserve"> in development assistance. T</w:t>
      </w:r>
      <w:r w:rsidRPr="00571F0B">
        <w:rPr>
          <w:szCs w:val="24"/>
          <w:lang w:val="en-GB"/>
        </w:rPr>
        <w:t>o support this learning Australia will be a founding partner in the Global Development Innovation Ventures program. This should assist to inform and guide the PNG Innovation Fund component of IF (IV). Close coordination will be required between IF (IV), DFATs Innovation Hub team in Canberra and any other relevant innovation funding mechanisms.</w:t>
      </w:r>
    </w:p>
    <w:p w:rsidR="00335F71" w:rsidRDefault="00335F71" w:rsidP="006D02E0">
      <w:pPr>
        <w:pStyle w:val="BodyText"/>
        <w:spacing w:before="0" w:after="0"/>
        <w:rPr>
          <w:szCs w:val="24"/>
          <w:lang w:val="en-GB"/>
        </w:rPr>
      </w:pPr>
    </w:p>
    <w:p w:rsidR="009F635E" w:rsidRDefault="009F635E" w:rsidP="000471AF">
      <w:pPr>
        <w:pStyle w:val="BodyText"/>
        <w:spacing w:before="0" w:after="0"/>
        <w:rPr>
          <w:szCs w:val="24"/>
          <w:lang w:val="en-GB"/>
        </w:rPr>
      </w:pPr>
      <w:r w:rsidRPr="00571F0B">
        <w:rPr>
          <w:szCs w:val="24"/>
          <w:lang w:val="en-GB"/>
        </w:rPr>
        <w:t>Specifically, IF (IV) will be required</w:t>
      </w:r>
      <w:r w:rsidR="004212BB">
        <w:rPr>
          <w:szCs w:val="24"/>
          <w:lang w:val="en-GB"/>
        </w:rPr>
        <w:t xml:space="preserve"> to design and implement a new I</w:t>
      </w:r>
      <w:r w:rsidRPr="00571F0B">
        <w:rPr>
          <w:szCs w:val="24"/>
          <w:lang w:val="en-GB"/>
        </w:rPr>
        <w:t xml:space="preserve">nnovation </w:t>
      </w:r>
      <w:r w:rsidR="004212BB">
        <w:rPr>
          <w:szCs w:val="24"/>
          <w:lang w:val="en-GB"/>
        </w:rPr>
        <w:t>F</w:t>
      </w:r>
      <w:r w:rsidRPr="00571F0B">
        <w:rPr>
          <w:szCs w:val="24"/>
          <w:lang w:val="en-GB"/>
        </w:rPr>
        <w:t xml:space="preserve">und component. DFAT has quarantined </w:t>
      </w:r>
      <w:proofErr w:type="gramStart"/>
      <w:r w:rsidRPr="00571F0B">
        <w:rPr>
          <w:szCs w:val="24"/>
          <w:lang w:val="en-GB"/>
        </w:rPr>
        <w:t>A$</w:t>
      </w:r>
      <w:proofErr w:type="gramEnd"/>
      <w:r w:rsidRPr="00571F0B">
        <w:rPr>
          <w:szCs w:val="24"/>
          <w:lang w:val="en-GB"/>
        </w:rPr>
        <w:t xml:space="preserve">10 million for </w:t>
      </w:r>
      <w:r w:rsidR="004212BB" w:rsidRPr="004212BB">
        <w:rPr>
          <w:szCs w:val="24"/>
          <w:lang w:val="en-GB"/>
        </w:rPr>
        <w:t>th</w:t>
      </w:r>
      <w:r w:rsidR="004212BB">
        <w:rPr>
          <w:szCs w:val="24"/>
          <w:lang w:val="en-GB"/>
        </w:rPr>
        <w:t xml:space="preserve">e </w:t>
      </w:r>
      <w:r w:rsidR="004212BB" w:rsidRPr="004212BB">
        <w:rPr>
          <w:szCs w:val="24"/>
          <w:lang w:val="en-GB"/>
        </w:rPr>
        <w:t xml:space="preserve">Innovation Fund </w:t>
      </w:r>
      <w:r w:rsidRPr="00571F0B">
        <w:rPr>
          <w:szCs w:val="24"/>
          <w:lang w:val="en-GB"/>
        </w:rPr>
        <w:t xml:space="preserve">and it is anticipated that it will operate through </w:t>
      </w:r>
      <w:r w:rsidR="004212BB">
        <w:rPr>
          <w:szCs w:val="24"/>
          <w:lang w:val="en-GB"/>
        </w:rPr>
        <w:t>a separately managed mechanism</w:t>
      </w:r>
      <w:r w:rsidRPr="00571F0B">
        <w:rPr>
          <w:szCs w:val="24"/>
          <w:lang w:val="en-GB"/>
        </w:rPr>
        <w:t xml:space="preserve">, but still be subject to </w:t>
      </w:r>
      <w:r w:rsidR="004212BB">
        <w:rPr>
          <w:szCs w:val="24"/>
          <w:lang w:val="en-GB"/>
        </w:rPr>
        <w:t>adjusted</w:t>
      </w:r>
      <w:r w:rsidRPr="00571F0B">
        <w:rPr>
          <w:szCs w:val="24"/>
          <w:lang w:val="en-GB"/>
        </w:rPr>
        <w:t xml:space="preserve"> IF (IV) assessment processes. As yet there is no confirmed description of the function (what) or form (how and when) that the </w:t>
      </w:r>
      <w:r w:rsidR="004212BB" w:rsidRPr="004212BB">
        <w:rPr>
          <w:szCs w:val="24"/>
          <w:lang w:val="en-GB"/>
        </w:rPr>
        <w:t xml:space="preserve">Innovation Fund </w:t>
      </w:r>
      <w:r w:rsidRPr="00571F0B">
        <w:rPr>
          <w:szCs w:val="24"/>
          <w:lang w:val="en-GB"/>
        </w:rPr>
        <w:t xml:space="preserve">will adopt. However, it is anticipated that within the first six months of IF (IV) the </w:t>
      </w:r>
      <w:r w:rsidR="004212BB" w:rsidRPr="004212BB">
        <w:rPr>
          <w:szCs w:val="24"/>
          <w:lang w:val="en-GB"/>
        </w:rPr>
        <w:t xml:space="preserve">Innovation Fund </w:t>
      </w:r>
      <w:r w:rsidRPr="00571F0B">
        <w:rPr>
          <w:szCs w:val="24"/>
          <w:lang w:val="en-GB"/>
        </w:rPr>
        <w:t>concepts will start to be generated and IF (IV) should be ready to pilot and test discreet innovation funding to DFAT</w:t>
      </w:r>
      <w:r w:rsidR="0036062E">
        <w:rPr>
          <w:szCs w:val="24"/>
          <w:lang w:val="en-GB"/>
        </w:rPr>
        <w:t xml:space="preserve"> identified partners. </w:t>
      </w:r>
      <w:r w:rsidRPr="00571F0B">
        <w:rPr>
          <w:szCs w:val="24"/>
          <w:lang w:val="en-GB"/>
        </w:rPr>
        <w:t xml:space="preserve">DFAT </w:t>
      </w:r>
      <w:r w:rsidR="0036062E">
        <w:rPr>
          <w:szCs w:val="24"/>
          <w:lang w:val="en-GB"/>
        </w:rPr>
        <w:t xml:space="preserve">officers in the health, governance, education and gender sectors who were consulted during design consultations </w:t>
      </w:r>
      <w:r w:rsidRPr="00571F0B">
        <w:rPr>
          <w:szCs w:val="24"/>
          <w:lang w:val="en-GB"/>
        </w:rPr>
        <w:t>mentioned private sector partners they could engage</w:t>
      </w:r>
      <w:r w:rsidR="004212BB">
        <w:rPr>
          <w:szCs w:val="24"/>
          <w:lang w:val="en-GB"/>
        </w:rPr>
        <w:t xml:space="preserve">, </w:t>
      </w:r>
      <w:r w:rsidRPr="00571F0B">
        <w:rPr>
          <w:szCs w:val="24"/>
          <w:lang w:val="en-GB"/>
        </w:rPr>
        <w:t>so potentia</w:t>
      </w:r>
      <w:r w:rsidR="00131988">
        <w:rPr>
          <w:szCs w:val="24"/>
          <w:lang w:val="en-GB"/>
        </w:rPr>
        <w:t>l has already been identified.</w:t>
      </w:r>
    </w:p>
    <w:p w:rsidR="00131988" w:rsidRPr="00571F0B" w:rsidRDefault="00131988" w:rsidP="000471AF">
      <w:pPr>
        <w:pStyle w:val="BodyText"/>
        <w:spacing w:before="0" w:after="0"/>
        <w:rPr>
          <w:szCs w:val="24"/>
          <w:lang w:val="en-GB"/>
        </w:rPr>
      </w:pPr>
    </w:p>
    <w:p w:rsidR="009F635E" w:rsidRPr="00571F0B" w:rsidRDefault="004A0582" w:rsidP="000471AF">
      <w:pPr>
        <w:pStyle w:val="Caption"/>
        <w:spacing w:before="0" w:after="0"/>
        <w:rPr>
          <w:szCs w:val="24"/>
          <w:lang w:val="en-GB"/>
        </w:rPr>
      </w:pPr>
      <w:r w:rsidRPr="00571F0B">
        <w:rPr>
          <w:szCs w:val="24"/>
          <w:lang w:val="en-GB"/>
        </w:rPr>
        <w:t>Delivering IF (IV)</w:t>
      </w:r>
    </w:p>
    <w:p w:rsidR="007C10A8" w:rsidRPr="00571F0B" w:rsidRDefault="004A0582" w:rsidP="000471AF">
      <w:pPr>
        <w:pStyle w:val="BodyText"/>
        <w:spacing w:before="0" w:after="0"/>
        <w:rPr>
          <w:szCs w:val="24"/>
          <w:lang w:val="en-GB"/>
        </w:rPr>
      </w:pPr>
      <w:r w:rsidRPr="00571F0B">
        <w:rPr>
          <w:szCs w:val="24"/>
          <w:lang w:val="en-GB"/>
        </w:rPr>
        <w:t xml:space="preserve">The design retains the governance and management structures that effectively delivered Phase III. It introduces a grievance mechanism in anticipation of the need to mediate more when working with new private sector partners and through the new </w:t>
      </w:r>
      <w:r w:rsidR="004212BB" w:rsidRPr="004212BB">
        <w:rPr>
          <w:szCs w:val="24"/>
          <w:lang w:val="en-GB"/>
        </w:rPr>
        <w:t>Innovation Fund</w:t>
      </w:r>
      <w:r w:rsidR="004A5C2B" w:rsidRPr="00571F0B">
        <w:rPr>
          <w:szCs w:val="24"/>
          <w:lang w:val="en-GB"/>
        </w:rPr>
        <w:t>.</w:t>
      </w:r>
      <w:r w:rsidRPr="00571F0B">
        <w:rPr>
          <w:szCs w:val="24"/>
          <w:lang w:val="en-GB"/>
        </w:rPr>
        <w:t xml:space="preserve"> The concept of a grievance mechanism is not new and it may well expand to ser</w:t>
      </w:r>
      <w:r w:rsidR="00571F0B">
        <w:rPr>
          <w:szCs w:val="24"/>
          <w:lang w:val="en-GB"/>
        </w:rPr>
        <w:t>ve broader DFAT-Aid purposes.</w:t>
      </w:r>
    </w:p>
    <w:p w:rsidR="004A5C2B" w:rsidRPr="00131988" w:rsidRDefault="004A5C2B" w:rsidP="000471AF">
      <w:pPr>
        <w:pStyle w:val="BodyText"/>
        <w:spacing w:before="0" w:after="0"/>
        <w:rPr>
          <w:sz w:val="16"/>
          <w:szCs w:val="16"/>
          <w:lang w:val="en-GB"/>
        </w:rPr>
      </w:pPr>
    </w:p>
    <w:p w:rsidR="00C30F7F" w:rsidRDefault="004A5C2B" w:rsidP="000471AF">
      <w:pPr>
        <w:pStyle w:val="BodyText"/>
        <w:spacing w:before="0" w:after="0"/>
        <w:rPr>
          <w:szCs w:val="24"/>
          <w:lang w:val="en-GB"/>
        </w:rPr>
      </w:pPr>
      <w:r w:rsidRPr="00571F0B">
        <w:rPr>
          <w:szCs w:val="24"/>
          <w:lang w:val="en-GB"/>
        </w:rPr>
        <w:t>The design places e</w:t>
      </w:r>
      <w:r w:rsidR="00604ACB" w:rsidRPr="00571F0B">
        <w:rPr>
          <w:szCs w:val="24"/>
          <w:lang w:val="en-GB"/>
        </w:rPr>
        <w:t>m</w:t>
      </w:r>
      <w:r w:rsidRPr="00571F0B">
        <w:rPr>
          <w:szCs w:val="24"/>
          <w:lang w:val="en-GB"/>
        </w:rPr>
        <w:t>phasis on the public diplomacy value of IF (IV)</w:t>
      </w:r>
      <w:r w:rsidR="00C015A5" w:rsidRPr="00571F0B">
        <w:rPr>
          <w:szCs w:val="24"/>
          <w:lang w:val="en-GB"/>
        </w:rPr>
        <w:t>;</w:t>
      </w:r>
      <w:r w:rsidR="00052FDA" w:rsidRPr="00571F0B">
        <w:rPr>
          <w:szCs w:val="24"/>
          <w:lang w:val="en-GB"/>
        </w:rPr>
        <w:t xml:space="preserve"> IF (IV) needs to be a public diplomacy giant</w:t>
      </w:r>
      <w:r w:rsidRPr="00571F0B">
        <w:rPr>
          <w:szCs w:val="24"/>
          <w:lang w:val="en-GB"/>
        </w:rPr>
        <w:t xml:space="preserve"> and </w:t>
      </w:r>
      <w:r w:rsidR="00C015A5" w:rsidRPr="00571F0B">
        <w:rPr>
          <w:szCs w:val="24"/>
          <w:lang w:val="en-GB"/>
        </w:rPr>
        <w:t xml:space="preserve">will ensure </w:t>
      </w:r>
      <w:r w:rsidR="004212BB">
        <w:rPr>
          <w:szCs w:val="24"/>
          <w:lang w:val="en-GB"/>
        </w:rPr>
        <w:t>this by intro</w:t>
      </w:r>
      <w:r w:rsidR="00E17B78">
        <w:rPr>
          <w:szCs w:val="24"/>
          <w:lang w:val="en-GB"/>
        </w:rPr>
        <w:t>ducing strong public r</w:t>
      </w:r>
      <w:r w:rsidR="00083597">
        <w:rPr>
          <w:szCs w:val="24"/>
          <w:lang w:val="en-GB"/>
        </w:rPr>
        <w:t>elations m</w:t>
      </w:r>
      <w:r w:rsidR="004212BB">
        <w:rPr>
          <w:szCs w:val="24"/>
          <w:lang w:val="en-GB"/>
        </w:rPr>
        <w:t>anagement</w:t>
      </w:r>
      <w:r w:rsidRPr="00571F0B">
        <w:rPr>
          <w:szCs w:val="24"/>
          <w:lang w:val="en-GB"/>
        </w:rPr>
        <w:t>. Most significantly</w:t>
      </w:r>
      <w:r w:rsidR="00604ACB" w:rsidRPr="00571F0B">
        <w:rPr>
          <w:szCs w:val="24"/>
          <w:lang w:val="en-GB"/>
        </w:rPr>
        <w:t>,</w:t>
      </w:r>
      <w:r w:rsidRPr="00571F0B">
        <w:rPr>
          <w:szCs w:val="24"/>
          <w:lang w:val="en-GB"/>
        </w:rPr>
        <w:t xml:space="preserve"> the design insists on a Team Leader who understands the </w:t>
      </w:r>
      <w:r w:rsidR="00604ACB" w:rsidRPr="00571F0B">
        <w:rPr>
          <w:szCs w:val="24"/>
          <w:lang w:val="en-GB"/>
        </w:rPr>
        <w:t xml:space="preserve">local </w:t>
      </w:r>
      <w:r w:rsidRPr="00571F0B">
        <w:rPr>
          <w:szCs w:val="24"/>
          <w:lang w:val="en-GB"/>
        </w:rPr>
        <w:t xml:space="preserve">complexities of working in PNG </w:t>
      </w:r>
      <w:r w:rsidR="00604ACB" w:rsidRPr="00571F0B">
        <w:rPr>
          <w:szCs w:val="24"/>
          <w:lang w:val="en-GB"/>
        </w:rPr>
        <w:t xml:space="preserve">through a broad range of organisations and activities and who </w:t>
      </w:r>
      <w:r w:rsidRPr="00571F0B">
        <w:rPr>
          <w:szCs w:val="24"/>
          <w:lang w:val="en-GB"/>
        </w:rPr>
        <w:t xml:space="preserve">can navigate IF (IV) to the intended end-of-program position through a well-informed knowledge of the </w:t>
      </w:r>
      <w:r w:rsidR="00350A70" w:rsidRPr="00350A70">
        <w:rPr>
          <w:szCs w:val="24"/>
          <w:lang w:val="en-GB"/>
        </w:rPr>
        <w:t>local political economy and operating context</w:t>
      </w:r>
      <w:r w:rsidR="00604ACB" w:rsidRPr="00571F0B">
        <w:rPr>
          <w:szCs w:val="24"/>
          <w:lang w:val="en-GB"/>
        </w:rPr>
        <w:t>. To do this a</w:t>
      </w:r>
      <w:r w:rsidRPr="00571F0B">
        <w:rPr>
          <w:szCs w:val="24"/>
          <w:lang w:val="en-GB"/>
        </w:rPr>
        <w:t xml:space="preserve"> useful functioning monitoring and evaluation system that updates progress at the activity, program </w:t>
      </w:r>
      <w:r w:rsidR="009F5452">
        <w:rPr>
          <w:szCs w:val="24"/>
          <w:lang w:val="en-GB"/>
        </w:rPr>
        <w:t xml:space="preserve">and </w:t>
      </w:r>
      <w:r w:rsidRPr="00571F0B">
        <w:rPr>
          <w:szCs w:val="24"/>
          <w:lang w:val="en-GB"/>
        </w:rPr>
        <w:t>performance management level</w:t>
      </w:r>
      <w:r w:rsidR="009F5452">
        <w:rPr>
          <w:szCs w:val="24"/>
          <w:lang w:val="en-GB"/>
        </w:rPr>
        <w:t>s</w:t>
      </w:r>
      <w:r w:rsidR="004212BB">
        <w:rPr>
          <w:szCs w:val="24"/>
          <w:lang w:val="en-GB"/>
        </w:rPr>
        <w:t>,</w:t>
      </w:r>
      <w:r w:rsidR="009F5452">
        <w:rPr>
          <w:szCs w:val="24"/>
          <w:lang w:val="en-GB"/>
        </w:rPr>
        <w:t xml:space="preserve"> and informs the PAF</w:t>
      </w:r>
      <w:r w:rsidR="004212BB">
        <w:rPr>
          <w:szCs w:val="24"/>
          <w:lang w:val="en-GB"/>
        </w:rPr>
        <w:t>,</w:t>
      </w:r>
      <w:r w:rsidR="009F5452">
        <w:rPr>
          <w:szCs w:val="24"/>
          <w:lang w:val="en-GB"/>
        </w:rPr>
        <w:t xml:space="preserve"> </w:t>
      </w:r>
      <w:r w:rsidR="00604ACB" w:rsidRPr="00571F0B">
        <w:rPr>
          <w:szCs w:val="24"/>
          <w:lang w:val="en-GB"/>
        </w:rPr>
        <w:t>will be required</w:t>
      </w:r>
      <w:r w:rsidRPr="00571F0B">
        <w:rPr>
          <w:szCs w:val="24"/>
          <w:lang w:val="en-GB"/>
        </w:rPr>
        <w:t>.</w:t>
      </w:r>
    </w:p>
    <w:p w:rsidR="00EE49FD" w:rsidRDefault="00EE49FD" w:rsidP="000471AF">
      <w:pPr>
        <w:pStyle w:val="BodyText"/>
        <w:spacing w:before="0" w:after="0"/>
        <w:rPr>
          <w:szCs w:val="24"/>
          <w:lang w:val="en-GB"/>
        </w:rPr>
      </w:pPr>
    </w:p>
    <w:p w:rsidR="00EE49FD" w:rsidRPr="00571F0B" w:rsidRDefault="00EE49FD" w:rsidP="000471AF">
      <w:pPr>
        <w:pStyle w:val="BodyText"/>
        <w:spacing w:before="0" w:after="0"/>
        <w:rPr>
          <w:sz w:val="20"/>
          <w:lang w:val="en-GB"/>
        </w:rPr>
      </w:pPr>
    </w:p>
    <w:p w:rsidR="00664B96" w:rsidRPr="00571F0B" w:rsidRDefault="00664B96" w:rsidP="00456528">
      <w:pPr>
        <w:pStyle w:val="Heading1"/>
        <w:numPr>
          <w:ilvl w:val="0"/>
          <w:numId w:val="0"/>
        </w:numPr>
        <w:jc w:val="center"/>
        <w:rPr>
          <w:lang w:val="en-GB"/>
        </w:rPr>
      </w:pPr>
      <w:bookmarkStart w:id="2" w:name="_Toc403037555"/>
      <w:r w:rsidRPr="00571F0B">
        <w:rPr>
          <w:lang w:val="en-GB"/>
        </w:rPr>
        <w:lastRenderedPageBreak/>
        <w:t>Acronyms</w:t>
      </w:r>
      <w:bookmarkEnd w:id="2"/>
    </w:p>
    <w:tbl>
      <w:tblPr>
        <w:tblW w:w="8931" w:type="dxa"/>
        <w:tblInd w:w="108" w:type="dxa"/>
        <w:tblLook w:val="0000" w:firstRow="0" w:lastRow="0" w:firstColumn="0" w:lastColumn="0" w:noHBand="0" w:noVBand="0"/>
      </w:tblPr>
      <w:tblGrid>
        <w:gridCol w:w="1701"/>
        <w:gridCol w:w="7230"/>
      </w:tblGrid>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ABG</w:t>
            </w:r>
          </w:p>
        </w:tc>
        <w:tc>
          <w:tcPr>
            <w:tcW w:w="7230" w:type="dxa"/>
          </w:tcPr>
          <w:p w:rsidR="00BF209F" w:rsidRPr="00571F0B" w:rsidRDefault="00BF209F" w:rsidP="00BF209F">
            <w:pPr>
              <w:pStyle w:val="BodyText"/>
              <w:spacing w:before="0" w:after="0"/>
              <w:jc w:val="left"/>
              <w:rPr>
                <w:lang w:val="en-GB"/>
              </w:rPr>
            </w:pPr>
            <w:r w:rsidRPr="00571F0B">
              <w:rPr>
                <w:lang w:val="en-GB"/>
              </w:rPr>
              <w:t>Autonomous Bougainville Government</w:t>
            </w:r>
          </w:p>
        </w:tc>
      </w:tr>
      <w:tr w:rsidR="006414B0" w:rsidRPr="00571F0B" w:rsidTr="006414B0">
        <w:tc>
          <w:tcPr>
            <w:tcW w:w="1701" w:type="dxa"/>
          </w:tcPr>
          <w:p w:rsidR="006414B0" w:rsidRPr="00571F0B" w:rsidRDefault="006414B0" w:rsidP="00BF209F">
            <w:pPr>
              <w:pStyle w:val="BodyText"/>
              <w:spacing w:before="0" w:after="0"/>
              <w:rPr>
                <w:lang w:val="en-GB"/>
              </w:rPr>
            </w:pPr>
            <w:r w:rsidRPr="00571F0B">
              <w:rPr>
                <w:lang w:val="en-GB"/>
              </w:rPr>
              <w:t>ACR</w:t>
            </w:r>
          </w:p>
        </w:tc>
        <w:tc>
          <w:tcPr>
            <w:tcW w:w="7230" w:type="dxa"/>
          </w:tcPr>
          <w:p w:rsidR="006414B0" w:rsidRPr="00571F0B" w:rsidRDefault="006414B0" w:rsidP="00BF209F">
            <w:pPr>
              <w:pStyle w:val="BodyText"/>
              <w:spacing w:before="0" w:after="0"/>
              <w:jc w:val="left"/>
              <w:rPr>
                <w:lang w:val="en-GB"/>
              </w:rPr>
            </w:pPr>
            <w:r w:rsidRPr="00571F0B">
              <w:rPr>
                <w:lang w:val="en-GB"/>
              </w:rPr>
              <w:t>Activity Completion Report</w:t>
            </w:r>
          </w:p>
        </w:tc>
      </w:tr>
      <w:tr w:rsidR="00557D44" w:rsidRPr="00571F0B" w:rsidTr="006414B0">
        <w:tc>
          <w:tcPr>
            <w:tcW w:w="1701" w:type="dxa"/>
          </w:tcPr>
          <w:p w:rsidR="00557D44" w:rsidRPr="00571F0B" w:rsidRDefault="00557D44" w:rsidP="00BF209F">
            <w:pPr>
              <w:pStyle w:val="BodyText"/>
              <w:spacing w:before="0" w:after="0"/>
              <w:rPr>
                <w:lang w:val="en-GB"/>
              </w:rPr>
            </w:pPr>
            <w:r>
              <w:rPr>
                <w:lang w:val="en-GB"/>
              </w:rPr>
              <w:t>APNGIF</w:t>
            </w:r>
          </w:p>
        </w:tc>
        <w:tc>
          <w:tcPr>
            <w:tcW w:w="7230" w:type="dxa"/>
          </w:tcPr>
          <w:p w:rsidR="00557D44" w:rsidRPr="00571F0B" w:rsidRDefault="00557D44" w:rsidP="00BF209F">
            <w:pPr>
              <w:pStyle w:val="BodyText"/>
              <w:spacing w:before="0" w:after="0"/>
              <w:jc w:val="left"/>
              <w:rPr>
                <w:lang w:val="en-GB"/>
              </w:rPr>
            </w:pPr>
            <w:r w:rsidRPr="00557D44">
              <w:rPr>
                <w:lang w:val="en-GB"/>
              </w:rPr>
              <w:t>Australia Papua New Guinea Incentive Fund</w:t>
            </w:r>
          </w:p>
        </w:tc>
      </w:tr>
      <w:tr w:rsidR="00557D44" w:rsidRPr="00571F0B" w:rsidTr="006414B0">
        <w:tc>
          <w:tcPr>
            <w:tcW w:w="1701" w:type="dxa"/>
          </w:tcPr>
          <w:p w:rsidR="00557D44" w:rsidRDefault="00557D44" w:rsidP="00BF209F">
            <w:pPr>
              <w:pStyle w:val="BodyText"/>
              <w:spacing w:before="0" w:after="0"/>
              <w:rPr>
                <w:lang w:val="en-GB"/>
              </w:rPr>
            </w:pPr>
            <w:r>
              <w:rPr>
                <w:lang w:val="en-GB"/>
              </w:rPr>
              <w:t>APPR</w:t>
            </w:r>
          </w:p>
        </w:tc>
        <w:tc>
          <w:tcPr>
            <w:tcW w:w="7230" w:type="dxa"/>
          </w:tcPr>
          <w:p w:rsidR="00557D44" w:rsidRPr="00557D44" w:rsidRDefault="00557D44" w:rsidP="00BF209F">
            <w:pPr>
              <w:pStyle w:val="BodyText"/>
              <w:spacing w:before="0" w:after="0"/>
              <w:jc w:val="left"/>
              <w:rPr>
                <w:lang w:val="en-GB"/>
              </w:rPr>
            </w:pPr>
            <w:r w:rsidRPr="00557D44">
              <w:rPr>
                <w:lang w:val="en-GB"/>
              </w:rPr>
              <w:t>Aid Program Performance Report</w:t>
            </w:r>
          </w:p>
        </w:tc>
      </w:tr>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CP</w:t>
            </w:r>
          </w:p>
        </w:tc>
        <w:tc>
          <w:tcPr>
            <w:tcW w:w="7230" w:type="dxa"/>
          </w:tcPr>
          <w:p w:rsidR="00BF209F" w:rsidRPr="00571F0B" w:rsidRDefault="00BF209F" w:rsidP="00BF209F">
            <w:pPr>
              <w:pStyle w:val="BodyText"/>
              <w:spacing w:before="0" w:after="0"/>
              <w:jc w:val="left"/>
              <w:rPr>
                <w:lang w:val="en-GB"/>
              </w:rPr>
            </w:pPr>
            <w:r w:rsidRPr="00571F0B">
              <w:rPr>
                <w:lang w:val="en-GB"/>
              </w:rPr>
              <w:t>Concept Paper</w:t>
            </w:r>
          </w:p>
        </w:tc>
      </w:tr>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CPR</w:t>
            </w:r>
          </w:p>
        </w:tc>
        <w:tc>
          <w:tcPr>
            <w:tcW w:w="7230" w:type="dxa"/>
          </w:tcPr>
          <w:p w:rsidR="00BF209F" w:rsidRPr="00571F0B" w:rsidRDefault="00BF209F" w:rsidP="00BF209F">
            <w:pPr>
              <w:pStyle w:val="BodyText"/>
              <w:spacing w:before="0" w:after="0"/>
              <w:jc w:val="left"/>
              <w:rPr>
                <w:lang w:val="en-GB"/>
              </w:rPr>
            </w:pPr>
            <w:r w:rsidRPr="00571F0B">
              <w:rPr>
                <w:lang w:val="en-GB"/>
              </w:rPr>
              <w:t>Concept Paper Request</w:t>
            </w:r>
          </w:p>
        </w:tc>
      </w:tr>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CSO</w:t>
            </w:r>
          </w:p>
        </w:tc>
        <w:tc>
          <w:tcPr>
            <w:tcW w:w="7230" w:type="dxa"/>
          </w:tcPr>
          <w:p w:rsidR="00BF209F" w:rsidRPr="00571F0B" w:rsidRDefault="00BF209F" w:rsidP="00BF209F">
            <w:pPr>
              <w:spacing w:before="0" w:after="0"/>
              <w:rPr>
                <w:lang w:val="en-GB"/>
              </w:rPr>
            </w:pPr>
            <w:r w:rsidRPr="00571F0B">
              <w:rPr>
                <w:lang w:val="en-GB"/>
              </w:rPr>
              <w:t>Civil Society Organisation</w:t>
            </w:r>
          </w:p>
        </w:tc>
      </w:tr>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DFAT</w:t>
            </w:r>
          </w:p>
        </w:tc>
        <w:tc>
          <w:tcPr>
            <w:tcW w:w="7230" w:type="dxa"/>
          </w:tcPr>
          <w:p w:rsidR="00BF209F" w:rsidRPr="00571F0B" w:rsidRDefault="00BF209F" w:rsidP="00BF209F">
            <w:pPr>
              <w:pStyle w:val="BodyText"/>
              <w:spacing w:before="0" w:after="0"/>
              <w:jc w:val="left"/>
              <w:rPr>
                <w:lang w:val="en-GB"/>
              </w:rPr>
            </w:pPr>
            <w:r w:rsidRPr="00571F0B">
              <w:rPr>
                <w:lang w:val="en-GB"/>
              </w:rPr>
              <w:t>Australian Department of Foreign Affairs and Trade</w:t>
            </w:r>
          </w:p>
        </w:tc>
      </w:tr>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DNPM</w:t>
            </w:r>
          </w:p>
        </w:tc>
        <w:tc>
          <w:tcPr>
            <w:tcW w:w="7230" w:type="dxa"/>
          </w:tcPr>
          <w:p w:rsidR="00BF209F" w:rsidRPr="00571F0B" w:rsidRDefault="00BF209F" w:rsidP="00BF209F">
            <w:pPr>
              <w:pStyle w:val="BodyText"/>
              <w:spacing w:before="0" w:after="0"/>
              <w:jc w:val="left"/>
              <w:rPr>
                <w:lang w:val="en-GB"/>
              </w:rPr>
            </w:pPr>
            <w:r w:rsidRPr="00571F0B">
              <w:rPr>
                <w:lang w:val="en-GB"/>
              </w:rPr>
              <w:t>Papua New Guinea Department of National Planning and Monitoring</w:t>
            </w:r>
          </w:p>
        </w:tc>
      </w:tr>
      <w:tr w:rsidR="00F93CE9" w:rsidRPr="00571F0B" w:rsidTr="006414B0">
        <w:tc>
          <w:tcPr>
            <w:tcW w:w="1701" w:type="dxa"/>
          </w:tcPr>
          <w:p w:rsidR="00F93CE9" w:rsidRPr="00571F0B" w:rsidRDefault="00F93CE9" w:rsidP="00BF209F">
            <w:pPr>
              <w:pStyle w:val="BodyText"/>
              <w:spacing w:before="0" w:after="0"/>
              <w:rPr>
                <w:lang w:val="en-GB"/>
              </w:rPr>
            </w:pPr>
            <w:r>
              <w:rPr>
                <w:lang w:val="en-GB"/>
              </w:rPr>
              <w:t>DCT</w:t>
            </w:r>
          </w:p>
        </w:tc>
        <w:tc>
          <w:tcPr>
            <w:tcW w:w="7230" w:type="dxa"/>
          </w:tcPr>
          <w:p w:rsidR="00F93CE9" w:rsidRPr="00571F0B" w:rsidRDefault="00F93CE9" w:rsidP="00BF209F">
            <w:pPr>
              <w:pStyle w:val="BodyText"/>
              <w:spacing w:before="0" w:after="0"/>
              <w:jc w:val="left"/>
              <w:rPr>
                <w:lang w:val="en-GB"/>
              </w:rPr>
            </w:pPr>
            <w:r w:rsidRPr="00F93CE9">
              <w:rPr>
                <w:lang w:val="en-GB"/>
              </w:rPr>
              <w:t>Development Cooperation Treaty</w:t>
            </w:r>
          </w:p>
        </w:tc>
      </w:tr>
      <w:tr w:rsidR="00F93CE9" w:rsidRPr="00571F0B" w:rsidTr="006414B0">
        <w:tc>
          <w:tcPr>
            <w:tcW w:w="1701" w:type="dxa"/>
          </w:tcPr>
          <w:p w:rsidR="00F93CE9" w:rsidRDefault="00F93CE9" w:rsidP="00BF209F">
            <w:pPr>
              <w:pStyle w:val="BodyText"/>
              <w:spacing w:before="0" w:after="0"/>
              <w:rPr>
                <w:lang w:val="en-GB"/>
              </w:rPr>
            </w:pPr>
            <w:r>
              <w:rPr>
                <w:lang w:val="en-GB"/>
              </w:rPr>
              <w:t>FBO</w:t>
            </w:r>
          </w:p>
        </w:tc>
        <w:tc>
          <w:tcPr>
            <w:tcW w:w="7230" w:type="dxa"/>
          </w:tcPr>
          <w:p w:rsidR="00F93CE9" w:rsidRPr="00F93CE9" w:rsidRDefault="00F93CE9" w:rsidP="00BF209F">
            <w:pPr>
              <w:pStyle w:val="BodyText"/>
              <w:spacing w:before="0" w:after="0"/>
              <w:jc w:val="left"/>
              <w:rPr>
                <w:lang w:val="en-GB"/>
              </w:rPr>
            </w:pPr>
            <w:r>
              <w:rPr>
                <w:lang w:val="en-GB"/>
              </w:rPr>
              <w:t>Faith Based Organisation</w:t>
            </w:r>
          </w:p>
        </w:tc>
      </w:tr>
      <w:tr w:rsidR="00F93CE9" w:rsidRPr="00571F0B" w:rsidTr="006414B0">
        <w:tc>
          <w:tcPr>
            <w:tcW w:w="1701" w:type="dxa"/>
          </w:tcPr>
          <w:p w:rsidR="00F93CE9" w:rsidRPr="00571F0B" w:rsidRDefault="00F93CE9" w:rsidP="00BF209F">
            <w:pPr>
              <w:pStyle w:val="BodyText"/>
              <w:spacing w:before="0" w:after="0"/>
              <w:rPr>
                <w:lang w:val="en-GB"/>
              </w:rPr>
            </w:pPr>
            <w:r>
              <w:rPr>
                <w:lang w:val="en-GB"/>
              </w:rPr>
              <w:t>GDP</w:t>
            </w:r>
          </w:p>
        </w:tc>
        <w:tc>
          <w:tcPr>
            <w:tcW w:w="7230" w:type="dxa"/>
          </w:tcPr>
          <w:p w:rsidR="00F93CE9" w:rsidRPr="00571F0B" w:rsidRDefault="00F93CE9" w:rsidP="00BF209F">
            <w:pPr>
              <w:pStyle w:val="BodyText"/>
              <w:spacing w:before="0" w:after="0"/>
              <w:jc w:val="left"/>
              <w:rPr>
                <w:lang w:val="en-GB"/>
              </w:rPr>
            </w:pPr>
            <w:r>
              <w:rPr>
                <w:lang w:val="en-GB"/>
              </w:rPr>
              <w:t>Gross Domestic Product</w:t>
            </w:r>
          </w:p>
        </w:tc>
      </w:tr>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FBO</w:t>
            </w:r>
          </w:p>
        </w:tc>
        <w:tc>
          <w:tcPr>
            <w:tcW w:w="7230" w:type="dxa"/>
          </w:tcPr>
          <w:p w:rsidR="00BF209F" w:rsidRPr="00571F0B" w:rsidRDefault="00BF209F" w:rsidP="00BF209F">
            <w:pPr>
              <w:spacing w:before="0" w:after="0"/>
              <w:rPr>
                <w:lang w:val="en-GB"/>
              </w:rPr>
            </w:pPr>
            <w:r w:rsidRPr="00571F0B">
              <w:rPr>
                <w:lang w:val="en-GB"/>
              </w:rPr>
              <w:t>Faith Based Organisation</w:t>
            </w:r>
          </w:p>
        </w:tc>
      </w:tr>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GoA</w:t>
            </w:r>
          </w:p>
        </w:tc>
        <w:tc>
          <w:tcPr>
            <w:tcW w:w="7230" w:type="dxa"/>
          </w:tcPr>
          <w:p w:rsidR="00BF209F" w:rsidRPr="00571F0B" w:rsidRDefault="00BF209F" w:rsidP="00BF209F">
            <w:pPr>
              <w:pStyle w:val="BodyText"/>
              <w:spacing w:before="0" w:after="0"/>
              <w:jc w:val="left"/>
              <w:rPr>
                <w:lang w:val="en-GB"/>
              </w:rPr>
            </w:pPr>
            <w:r w:rsidRPr="00571F0B">
              <w:rPr>
                <w:lang w:val="en-GB"/>
              </w:rPr>
              <w:t>Government of Australia</w:t>
            </w:r>
          </w:p>
        </w:tc>
      </w:tr>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GoPNG</w:t>
            </w:r>
          </w:p>
        </w:tc>
        <w:tc>
          <w:tcPr>
            <w:tcW w:w="7230" w:type="dxa"/>
          </w:tcPr>
          <w:p w:rsidR="00BF209F" w:rsidRPr="00571F0B" w:rsidRDefault="00BF209F" w:rsidP="00BF209F">
            <w:pPr>
              <w:pStyle w:val="BodyText"/>
              <w:spacing w:before="0" w:after="0"/>
              <w:jc w:val="left"/>
              <w:rPr>
                <w:lang w:val="en-GB"/>
              </w:rPr>
            </w:pPr>
            <w:r w:rsidRPr="00571F0B">
              <w:rPr>
                <w:lang w:val="en-GB"/>
              </w:rPr>
              <w:t>Government of PNG</w:t>
            </w:r>
          </w:p>
        </w:tc>
      </w:tr>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IF</w:t>
            </w:r>
          </w:p>
        </w:tc>
        <w:tc>
          <w:tcPr>
            <w:tcW w:w="7230" w:type="dxa"/>
          </w:tcPr>
          <w:p w:rsidR="00BF209F" w:rsidRPr="00571F0B" w:rsidRDefault="00BF209F" w:rsidP="00BF209F">
            <w:pPr>
              <w:pStyle w:val="BodyText"/>
              <w:spacing w:before="0" w:after="0"/>
              <w:jc w:val="left"/>
              <w:rPr>
                <w:lang w:val="en-GB"/>
              </w:rPr>
            </w:pPr>
            <w:r w:rsidRPr="00571F0B">
              <w:rPr>
                <w:lang w:val="en-GB"/>
              </w:rPr>
              <w:t>Incentive Fund</w:t>
            </w:r>
          </w:p>
        </w:tc>
      </w:tr>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IFA</w:t>
            </w:r>
          </w:p>
        </w:tc>
        <w:tc>
          <w:tcPr>
            <w:tcW w:w="7230" w:type="dxa"/>
          </w:tcPr>
          <w:p w:rsidR="00BF209F" w:rsidRPr="00571F0B" w:rsidRDefault="00BF209F" w:rsidP="00BF209F">
            <w:pPr>
              <w:pStyle w:val="BodyText"/>
              <w:spacing w:before="0" w:after="0"/>
              <w:jc w:val="left"/>
              <w:rPr>
                <w:lang w:val="en-GB"/>
              </w:rPr>
            </w:pPr>
            <w:r w:rsidRPr="00571F0B">
              <w:rPr>
                <w:lang w:val="en-GB"/>
              </w:rPr>
              <w:t>Incentive Fund Agreement</w:t>
            </w:r>
          </w:p>
        </w:tc>
      </w:tr>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IFT</w:t>
            </w:r>
          </w:p>
        </w:tc>
        <w:tc>
          <w:tcPr>
            <w:tcW w:w="7230" w:type="dxa"/>
          </w:tcPr>
          <w:p w:rsidR="00BF209F" w:rsidRPr="00571F0B" w:rsidRDefault="00BF209F" w:rsidP="00BF209F">
            <w:pPr>
              <w:pStyle w:val="BodyText"/>
              <w:spacing w:before="0" w:after="0"/>
              <w:jc w:val="left"/>
              <w:rPr>
                <w:lang w:val="en-GB"/>
              </w:rPr>
            </w:pPr>
            <w:r w:rsidRPr="00571F0B">
              <w:rPr>
                <w:lang w:val="en-GB"/>
              </w:rPr>
              <w:t>Incentive Fund Team</w:t>
            </w:r>
          </w:p>
        </w:tc>
      </w:tr>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LNG</w:t>
            </w:r>
          </w:p>
        </w:tc>
        <w:tc>
          <w:tcPr>
            <w:tcW w:w="7230" w:type="dxa"/>
          </w:tcPr>
          <w:p w:rsidR="00BF209F" w:rsidRPr="00571F0B" w:rsidRDefault="00BF209F" w:rsidP="00BF209F">
            <w:pPr>
              <w:pStyle w:val="BodyText"/>
              <w:spacing w:before="0" w:after="0"/>
              <w:jc w:val="left"/>
              <w:rPr>
                <w:lang w:val="en-GB"/>
              </w:rPr>
            </w:pPr>
            <w:r w:rsidRPr="00571F0B">
              <w:rPr>
                <w:lang w:val="en-GB"/>
              </w:rPr>
              <w:t>Liquid Nitrogen Gas</w:t>
            </w:r>
          </w:p>
        </w:tc>
      </w:tr>
      <w:tr w:rsidR="00557D44" w:rsidRPr="00571F0B" w:rsidTr="006414B0">
        <w:tc>
          <w:tcPr>
            <w:tcW w:w="1701" w:type="dxa"/>
          </w:tcPr>
          <w:p w:rsidR="00557D44" w:rsidRPr="00571F0B" w:rsidRDefault="00557D44" w:rsidP="00BF209F">
            <w:pPr>
              <w:pStyle w:val="BodyText"/>
              <w:spacing w:before="0" w:after="0"/>
              <w:rPr>
                <w:lang w:val="en-GB"/>
              </w:rPr>
            </w:pPr>
            <w:r>
              <w:rPr>
                <w:lang w:val="en-GB"/>
              </w:rPr>
              <w:t>MC</w:t>
            </w:r>
          </w:p>
        </w:tc>
        <w:tc>
          <w:tcPr>
            <w:tcW w:w="7230" w:type="dxa"/>
          </w:tcPr>
          <w:p w:rsidR="00557D44" w:rsidRPr="00571F0B" w:rsidRDefault="00557D44" w:rsidP="00BF209F">
            <w:pPr>
              <w:pStyle w:val="BodyText"/>
              <w:spacing w:before="0" w:after="0"/>
              <w:jc w:val="left"/>
              <w:rPr>
                <w:lang w:val="en-GB"/>
              </w:rPr>
            </w:pPr>
            <w:r>
              <w:rPr>
                <w:lang w:val="en-GB"/>
              </w:rPr>
              <w:t>Managing Contractor</w:t>
            </w:r>
          </w:p>
        </w:tc>
      </w:tr>
      <w:tr w:rsidR="00A833E4" w:rsidRPr="00571F0B" w:rsidTr="006414B0">
        <w:tc>
          <w:tcPr>
            <w:tcW w:w="1701" w:type="dxa"/>
          </w:tcPr>
          <w:p w:rsidR="00A833E4" w:rsidRDefault="00A833E4" w:rsidP="00BF209F">
            <w:pPr>
              <w:pStyle w:val="BodyText"/>
              <w:spacing w:before="0" w:after="0"/>
              <w:rPr>
                <w:lang w:val="en-GB"/>
              </w:rPr>
            </w:pPr>
            <w:r>
              <w:rPr>
                <w:lang w:val="en-GB"/>
              </w:rPr>
              <w:t>M&amp;E</w:t>
            </w:r>
          </w:p>
        </w:tc>
        <w:tc>
          <w:tcPr>
            <w:tcW w:w="7230" w:type="dxa"/>
          </w:tcPr>
          <w:p w:rsidR="00A833E4" w:rsidRDefault="00A833E4" w:rsidP="00BF209F">
            <w:pPr>
              <w:pStyle w:val="BodyText"/>
              <w:spacing w:before="0" w:after="0"/>
              <w:jc w:val="left"/>
              <w:rPr>
                <w:lang w:val="en-GB"/>
              </w:rPr>
            </w:pPr>
            <w:r>
              <w:rPr>
                <w:lang w:val="en-GB"/>
              </w:rPr>
              <w:t>Monitoring and Evaluation</w:t>
            </w:r>
          </w:p>
        </w:tc>
      </w:tr>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MG</w:t>
            </w:r>
          </w:p>
        </w:tc>
        <w:tc>
          <w:tcPr>
            <w:tcW w:w="7230" w:type="dxa"/>
          </w:tcPr>
          <w:p w:rsidR="00BF209F" w:rsidRPr="00571F0B" w:rsidRDefault="00BF209F" w:rsidP="00BF209F">
            <w:pPr>
              <w:pStyle w:val="BodyText"/>
              <w:spacing w:before="0" w:after="0"/>
              <w:jc w:val="left"/>
              <w:rPr>
                <w:lang w:val="en-GB"/>
              </w:rPr>
            </w:pPr>
            <w:r w:rsidRPr="00571F0B">
              <w:rPr>
                <w:lang w:val="en-GB"/>
              </w:rPr>
              <w:t>Management Group</w:t>
            </w:r>
          </w:p>
        </w:tc>
      </w:tr>
      <w:tr w:rsidR="00C50B66" w:rsidRPr="00571F0B" w:rsidTr="006414B0">
        <w:tc>
          <w:tcPr>
            <w:tcW w:w="1701" w:type="dxa"/>
          </w:tcPr>
          <w:p w:rsidR="00C50B66" w:rsidRPr="00571F0B" w:rsidRDefault="00C50B66" w:rsidP="00BF209F">
            <w:pPr>
              <w:pStyle w:val="BodyText"/>
              <w:spacing w:before="0" w:after="0"/>
              <w:rPr>
                <w:lang w:val="en-GB"/>
              </w:rPr>
            </w:pPr>
            <w:r w:rsidRPr="00571F0B">
              <w:rPr>
                <w:lang w:val="en-GB"/>
              </w:rPr>
              <w:t>NEFC</w:t>
            </w:r>
          </w:p>
        </w:tc>
        <w:tc>
          <w:tcPr>
            <w:tcW w:w="7230" w:type="dxa"/>
          </w:tcPr>
          <w:p w:rsidR="00C50B66" w:rsidRPr="00571F0B" w:rsidRDefault="00C50B66" w:rsidP="00BF209F">
            <w:pPr>
              <w:pStyle w:val="BodyText"/>
              <w:spacing w:before="0" w:after="0"/>
              <w:jc w:val="left"/>
              <w:rPr>
                <w:lang w:val="en-GB"/>
              </w:rPr>
            </w:pPr>
            <w:r w:rsidRPr="00571F0B">
              <w:rPr>
                <w:lang w:val="en-GB"/>
              </w:rPr>
              <w:t>National Economic and Fiscal Commission</w:t>
            </w:r>
          </w:p>
        </w:tc>
      </w:tr>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OA</w:t>
            </w:r>
          </w:p>
        </w:tc>
        <w:tc>
          <w:tcPr>
            <w:tcW w:w="7230" w:type="dxa"/>
          </w:tcPr>
          <w:p w:rsidR="00BF209F" w:rsidRPr="00571F0B" w:rsidRDefault="00BF209F" w:rsidP="00BF209F">
            <w:pPr>
              <w:pStyle w:val="BodyText"/>
              <w:spacing w:before="0" w:after="0"/>
              <w:jc w:val="left"/>
              <w:rPr>
                <w:lang w:val="en-GB"/>
              </w:rPr>
            </w:pPr>
            <w:r w:rsidRPr="00571F0B">
              <w:rPr>
                <w:lang w:val="en-GB"/>
              </w:rPr>
              <w:t>Organisation Assessment</w:t>
            </w:r>
          </w:p>
        </w:tc>
      </w:tr>
      <w:tr w:rsidR="006B3178" w:rsidRPr="00571F0B" w:rsidTr="006414B0">
        <w:tc>
          <w:tcPr>
            <w:tcW w:w="1701" w:type="dxa"/>
          </w:tcPr>
          <w:p w:rsidR="006B3178" w:rsidRPr="00571F0B" w:rsidRDefault="006B3178" w:rsidP="00BF209F">
            <w:pPr>
              <w:pStyle w:val="BodyText"/>
              <w:spacing w:before="0" w:after="0"/>
              <w:rPr>
                <w:lang w:val="en-GB"/>
              </w:rPr>
            </w:pPr>
            <w:r>
              <w:rPr>
                <w:lang w:val="en-GB"/>
              </w:rPr>
              <w:t>PAF</w:t>
            </w:r>
          </w:p>
        </w:tc>
        <w:tc>
          <w:tcPr>
            <w:tcW w:w="7230" w:type="dxa"/>
          </w:tcPr>
          <w:p w:rsidR="006B3178" w:rsidRPr="00571F0B" w:rsidRDefault="006B3178" w:rsidP="00BF209F">
            <w:pPr>
              <w:pStyle w:val="BodyText"/>
              <w:spacing w:before="0" w:after="0"/>
              <w:jc w:val="left"/>
              <w:rPr>
                <w:lang w:val="en-GB"/>
              </w:rPr>
            </w:pPr>
            <w:r>
              <w:rPr>
                <w:lang w:val="en-GB"/>
              </w:rPr>
              <w:t>Performance Assessment Framework</w:t>
            </w:r>
          </w:p>
        </w:tc>
      </w:tr>
      <w:tr w:rsidR="00F93CE9" w:rsidRPr="00571F0B" w:rsidTr="006414B0">
        <w:tc>
          <w:tcPr>
            <w:tcW w:w="1701" w:type="dxa"/>
          </w:tcPr>
          <w:p w:rsidR="00F93CE9" w:rsidRPr="00571F0B" w:rsidRDefault="009A66E9" w:rsidP="00BF209F">
            <w:pPr>
              <w:pStyle w:val="BodyText"/>
              <w:spacing w:before="0" w:after="0"/>
              <w:rPr>
                <w:lang w:val="en-GB"/>
              </w:rPr>
            </w:pPr>
            <w:r>
              <w:rPr>
                <w:lang w:val="en-GB"/>
              </w:rPr>
              <w:t>I</w:t>
            </w:r>
            <w:r w:rsidR="00F93CE9">
              <w:rPr>
                <w:lang w:val="en-GB"/>
              </w:rPr>
              <w:t>DD</w:t>
            </w:r>
          </w:p>
        </w:tc>
        <w:tc>
          <w:tcPr>
            <w:tcW w:w="7230" w:type="dxa"/>
          </w:tcPr>
          <w:p w:rsidR="00F93CE9" w:rsidRPr="00571F0B" w:rsidRDefault="009A66E9" w:rsidP="00BF209F">
            <w:pPr>
              <w:pStyle w:val="BodyText"/>
              <w:spacing w:before="0" w:after="0"/>
              <w:jc w:val="left"/>
              <w:rPr>
                <w:lang w:val="en-GB"/>
              </w:rPr>
            </w:pPr>
            <w:r w:rsidRPr="009A66E9">
              <w:rPr>
                <w:lang w:val="en-GB"/>
              </w:rPr>
              <w:t>Investment</w:t>
            </w:r>
            <w:r w:rsidR="00F93CE9">
              <w:rPr>
                <w:lang w:val="en-GB"/>
              </w:rPr>
              <w:t xml:space="preserve"> Design Document</w:t>
            </w:r>
          </w:p>
        </w:tc>
      </w:tr>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PNG</w:t>
            </w:r>
          </w:p>
        </w:tc>
        <w:tc>
          <w:tcPr>
            <w:tcW w:w="7230" w:type="dxa"/>
          </w:tcPr>
          <w:p w:rsidR="00BF209F" w:rsidRPr="00571F0B" w:rsidRDefault="00BF209F" w:rsidP="00BF209F">
            <w:pPr>
              <w:pStyle w:val="BodyText"/>
              <w:spacing w:before="0" w:after="0"/>
              <w:jc w:val="left"/>
              <w:rPr>
                <w:lang w:val="en-GB"/>
              </w:rPr>
            </w:pPr>
            <w:r w:rsidRPr="00571F0B">
              <w:rPr>
                <w:lang w:val="en-GB"/>
              </w:rPr>
              <w:t>Papua New Guinea</w:t>
            </w:r>
          </w:p>
        </w:tc>
      </w:tr>
      <w:tr w:rsidR="00BF209F" w:rsidRPr="00571F0B" w:rsidTr="006414B0">
        <w:tc>
          <w:tcPr>
            <w:tcW w:w="1701" w:type="dxa"/>
          </w:tcPr>
          <w:p w:rsidR="00BF209F" w:rsidRPr="00571F0B" w:rsidRDefault="00BF209F" w:rsidP="00BF209F">
            <w:pPr>
              <w:pStyle w:val="BodyText"/>
              <w:spacing w:before="0" w:after="0"/>
              <w:rPr>
                <w:lang w:val="en-GB"/>
              </w:rPr>
            </w:pPr>
            <w:r w:rsidRPr="00571F0B">
              <w:rPr>
                <w:lang w:val="en-GB"/>
              </w:rPr>
              <w:t>SMG</w:t>
            </w:r>
          </w:p>
        </w:tc>
        <w:tc>
          <w:tcPr>
            <w:tcW w:w="7230" w:type="dxa"/>
          </w:tcPr>
          <w:p w:rsidR="00BF209F" w:rsidRPr="00571F0B" w:rsidRDefault="00BF209F" w:rsidP="00BF209F">
            <w:pPr>
              <w:pStyle w:val="BodyText"/>
              <w:spacing w:before="0" w:after="0"/>
              <w:jc w:val="left"/>
              <w:rPr>
                <w:lang w:val="en-GB"/>
              </w:rPr>
            </w:pPr>
            <w:r w:rsidRPr="00571F0B">
              <w:rPr>
                <w:lang w:val="en-GB"/>
              </w:rPr>
              <w:t>Sub-Management Group</w:t>
            </w:r>
          </w:p>
        </w:tc>
      </w:tr>
      <w:tr w:rsidR="00BF209F" w:rsidRPr="00571F0B" w:rsidTr="006414B0">
        <w:tc>
          <w:tcPr>
            <w:tcW w:w="1701" w:type="dxa"/>
          </w:tcPr>
          <w:p w:rsidR="00BF209F" w:rsidRPr="00571F0B" w:rsidRDefault="00345556" w:rsidP="00BF209F">
            <w:pPr>
              <w:pStyle w:val="BodyText"/>
              <w:spacing w:before="0" w:after="0"/>
              <w:rPr>
                <w:lang w:val="en-GB"/>
              </w:rPr>
            </w:pPr>
            <w:r w:rsidRPr="00571F0B">
              <w:rPr>
                <w:lang w:val="en-GB"/>
              </w:rPr>
              <w:t>SPSN</w:t>
            </w:r>
          </w:p>
        </w:tc>
        <w:tc>
          <w:tcPr>
            <w:tcW w:w="7230" w:type="dxa"/>
          </w:tcPr>
          <w:p w:rsidR="00BF209F" w:rsidRPr="00571F0B" w:rsidRDefault="00345556" w:rsidP="00BF209F">
            <w:pPr>
              <w:pStyle w:val="BodyText"/>
              <w:spacing w:before="0" w:after="0"/>
              <w:jc w:val="left"/>
              <w:rPr>
                <w:lang w:val="en-GB"/>
              </w:rPr>
            </w:pPr>
            <w:r w:rsidRPr="00571F0B">
              <w:rPr>
                <w:lang w:val="en-GB"/>
              </w:rPr>
              <w:t>Strongim Pipol Strongim Nesen</w:t>
            </w:r>
          </w:p>
        </w:tc>
      </w:tr>
      <w:tr w:rsidR="005240EE" w:rsidRPr="00571F0B" w:rsidTr="006414B0">
        <w:tc>
          <w:tcPr>
            <w:tcW w:w="1701" w:type="dxa"/>
          </w:tcPr>
          <w:p w:rsidR="005240EE" w:rsidRPr="00571F0B" w:rsidRDefault="005240EE" w:rsidP="00BF209F">
            <w:pPr>
              <w:pStyle w:val="BodyText"/>
              <w:spacing w:before="0" w:after="0"/>
              <w:rPr>
                <w:lang w:val="en-GB"/>
              </w:rPr>
            </w:pPr>
            <w:r>
              <w:rPr>
                <w:lang w:val="en-GB"/>
              </w:rPr>
              <w:t>UFU</w:t>
            </w:r>
          </w:p>
        </w:tc>
        <w:tc>
          <w:tcPr>
            <w:tcW w:w="7230" w:type="dxa"/>
          </w:tcPr>
          <w:p w:rsidR="005240EE" w:rsidRPr="00571F0B" w:rsidRDefault="005240EE" w:rsidP="00BF209F">
            <w:pPr>
              <w:pStyle w:val="BodyText"/>
              <w:spacing w:before="0" w:after="0"/>
              <w:jc w:val="left"/>
              <w:rPr>
                <w:lang w:val="en-GB"/>
              </w:rPr>
            </w:pPr>
            <w:r>
              <w:rPr>
                <w:lang w:val="en-GB"/>
              </w:rPr>
              <w:t>Unconditional Financial Undertaking</w:t>
            </w:r>
          </w:p>
        </w:tc>
      </w:tr>
      <w:tr w:rsidR="00557D44" w:rsidRPr="00571F0B" w:rsidTr="006414B0">
        <w:tc>
          <w:tcPr>
            <w:tcW w:w="1701" w:type="dxa"/>
          </w:tcPr>
          <w:p w:rsidR="00557D44" w:rsidRPr="00571F0B" w:rsidRDefault="00557D44" w:rsidP="00BF209F">
            <w:pPr>
              <w:pStyle w:val="BodyText"/>
              <w:spacing w:before="0" w:after="0"/>
              <w:rPr>
                <w:lang w:val="en-GB"/>
              </w:rPr>
            </w:pPr>
            <w:r>
              <w:rPr>
                <w:lang w:val="en-GB"/>
              </w:rPr>
              <w:t>UNDP</w:t>
            </w:r>
          </w:p>
        </w:tc>
        <w:tc>
          <w:tcPr>
            <w:tcW w:w="7230" w:type="dxa"/>
          </w:tcPr>
          <w:p w:rsidR="00557D44" w:rsidRPr="00571F0B" w:rsidRDefault="00557D44" w:rsidP="00BF209F">
            <w:pPr>
              <w:pStyle w:val="BodyText"/>
              <w:spacing w:before="0" w:after="0"/>
              <w:jc w:val="left"/>
              <w:rPr>
                <w:lang w:val="en-GB"/>
              </w:rPr>
            </w:pPr>
            <w:r>
              <w:rPr>
                <w:lang w:val="en-GB"/>
              </w:rPr>
              <w:t>United Nations Development Program</w:t>
            </w:r>
          </w:p>
        </w:tc>
      </w:tr>
      <w:tr w:rsidR="00BF209F" w:rsidRPr="00571F0B" w:rsidTr="006414B0">
        <w:tc>
          <w:tcPr>
            <w:tcW w:w="1701" w:type="dxa"/>
          </w:tcPr>
          <w:p w:rsidR="00BF209F" w:rsidRPr="00571F0B" w:rsidRDefault="006414B0" w:rsidP="00BF209F">
            <w:pPr>
              <w:pStyle w:val="BodyText"/>
              <w:spacing w:before="0" w:after="0"/>
              <w:rPr>
                <w:lang w:val="en-GB"/>
              </w:rPr>
            </w:pPr>
            <w:r w:rsidRPr="00571F0B">
              <w:rPr>
                <w:lang w:val="en-GB"/>
              </w:rPr>
              <w:t>VfM</w:t>
            </w:r>
          </w:p>
        </w:tc>
        <w:tc>
          <w:tcPr>
            <w:tcW w:w="7230" w:type="dxa"/>
          </w:tcPr>
          <w:p w:rsidR="00BF209F" w:rsidRPr="00571F0B" w:rsidRDefault="006414B0" w:rsidP="006414B0">
            <w:pPr>
              <w:pStyle w:val="BodyText"/>
              <w:spacing w:before="0" w:after="0"/>
              <w:jc w:val="left"/>
              <w:rPr>
                <w:lang w:val="en-GB"/>
              </w:rPr>
            </w:pPr>
            <w:r w:rsidRPr="00571F0B">
              <w:rPr>
                <w:lang w:val="en-GB"/>
              </w:rPr>
              <w:t>Value for Money</w:t>
            </w:r>
          </w:p>
        </w:tc>
      </w:tr>
      <w:tr w:rsidR="00BF209F" w:rsidRPr="00571F0B" w:rsidTr="006414B0">
        <w:tc>
          <w:tcPr>
            <w:tcW w:w="1701" w:type="dxa"/>
          </w:tcPr>
          <w:p w:rsidR="00BF209F" w:rsidRPr="00571F0B" w:rsidRDefault="00077178" w:rsidP="00BF209F">
            <w:pPr>
              <w:pStyle w:val="BodyText"/>
              <w:spacing w:before="0" w:after="0"/>
              <w:rPr>
                <w:lang w:val="en-GB"/>
              </w:rPr>
            </w:pPr>
            <w:r>
              <w:rPr>
                <w:lang w:val="en-GB"/>
              </w:rPr>
              <w:t>WASH</w:t>
            </w:r>
          </w:p>
        </w:tc>
        <w:tc>
          <w:tcPr>
            <w:tcW w:w="7230" w:type="dxa"/>
          </w:tcPr>
          <w:p w:rsidR="00BF209F" w:rsidRPr="00571F0B" w:rsidRDefault="00077178" w:rsidP="00077178">
            <w:pPr>
              <w:pStyle w:val="BodyText"/>
              <w:spacing w:before="0" w:after="0"/>
              <w:jc w:val="left"/>
              <w:rPr>
                <w:lang w:val="en-GB"/>
              </w:rPr>
            </w:pPr>
            <w:r>
              <w:rPr>
                <w:lang w:val="en-GB"/>
              </w:rPr>
              <w:t>Water</w:t>
            </w:r>
            <w:r w:rsidR="00994D0B">
              <w:rPr>
                <w:lang w:val="en-GB"/>
              </w:rPr>
              <w:t>,</w:t>
            </w:r>
            <w:r>
              <w:rPr>
                <w:lang w:val="en-GB"/>
              </w:rPr>
              <w:t xml:space="preserve"> Sanitation and Hygiene </w:t>
            </w:r>
          </w:p>
        </w:tc>
      </w:tr>
      <w:tr w:rsidR="00BF209F" w:rsidRPr="00571F0B" w:rsidTr="006414B0">
        <w:tc>
          <w:tcPr>
            <w:tcW w:w="1701" w:type="dxa"/>
          </w:tcPr>
          <w:p w:rsidR="00BF209F" w:rsidRPr="00571F0B" w:rsidRDefault="00BF209F" w:rsidP="00BF209F">
            <w:pPr>
              <w:pStyle w:val="BodyText"/>
              <w:spacing w:before="0" w:after="0"/>
              <w:rPr>
                <w:lang w:val="en-GB"/>
              </w:rPr>
            </w:pPr>
          </w:p>
        </w:tc>
        <w:tc>
          <w:tcPr>
            <w:tcW w:w="7230" w:type="dxa"/>
          </w:tcPr>
          <w:p w:rsidR="00BF209F" w:rsidRPr="00571F0B" w:rsidRDefault="00BF209F" w:rsidP="00BF209F">
            <w:pPr>
              <w:pStyle w:val="BodyText"/>
              <w:spacing w:before="0" w:after="0"/>
              <w:jc w:val="left"/>
              <w:rPr>
                <w:lang w:val="en-GB"/>
              </w:rPr>
            </w:pPr>
          </w:p>
        </w:tc>
      </w:tr>
    </w:tbl>
    <w:p w:rsidR="00F609FF" w:rsidRPr="00571F0B" w:rsidRDefault="00F609FF" w:rsidP="00F609FF">
      <w:pPr>
        <w:rPr>
          <w:lang w:val="en-GB"/>
        </w:rPr>
      </w:pPr>
      <w:bookmarkStart w:id="3" w:name="_Toc517146586"/>
    </w:p>
    <w:p w:rsidR="00F609FF" w:rsidRPr="00571F0B" w:rsidRDefault="00F609FF" w:rsidP="00F609FF">
      <w:pPr>
        <w:rPr>
          <w:lang w:val="en-GB"/>
        </w:rPr>
        <w:sectPr w:rsidR="00F609FF" w:rsidRPr="00571F0B" w:rsidSect="00C30F7F">
          <w:headerReference w:type="default" r:id="rId15"/>
          <w:pgSz w:w="11909" w:h="16834" w:code="9"/>
          <w:pgMar w:top="851" w:right="1418" w:bottom="851" w:left="1418" w:header="578" w:footer="578" w:gutter="0"/>
          <w:pgNumType w:fmt="lowerRoman" w:start="1"/>
          <w:cols w:space="720"/>
        </w:sectPr>
      </w:pPr>
    </w:p>
    <w:p w:rsidR="00C05D33" w:rsidRPr="00571F0B" w:rsidRDefault="00C05D33" w:rsidP="00C05D33">
      <w:pPr>
        <w:pStyle w:val="Heading1"/>
        <w:rPr>
          <w:lang w:val="en-GB"/>
        </w:rPr>
      </w:pPr>
      <w:bookmarkStart w:id="4" w:name="_Toc403037556"/>
      <w:r w:rsidRPr="00571F0B">
        <w:rPr>
          <w:lang w:val="en-GB"/>
        </w:rPr>
        <w:lastRenderedPageBreak/>
        <w:t>Context</w:t>
      </w:r>
      <w:bookmarkEnd w:id="4"/>
    </w:p>
    <w:p w:rsidR="00A435C5" w:rsidRPr="00571F0B" w:rsidRDefault="00A435C5" w:rsidP="00A435C5">
      <w:pPr>
        <w:pStyle w:val="Heading2"/>
        <w:rPr>
          <w:lang w:val="en-GB"/>
        </w:rPr>
      </w:pPr>
      <w:bookmarkStart w:id="5" w:name="_Toc403037557"/>
      <w:r w:rsidRPr="00571F0B">
        <w:rPr>
          <w:lang w:val="en-GB"/>
        </w:rPr>
        <w:t>Current development situation in PNG</w:t>
      </w:r>
      <w:bookmarkEnd w:id="5"/>
    </w:p>
    <w:p w:rsidR="0012353C" w:rsidRDefault="0012353C" w:rsidP="009E1E17">
      <w:pPr>
        <w:spacing w:before="0" w:after="0"/>
        <w:rPr>
          <w:lang w:val="en-GB"/>
        </w:rPr>
      </w:pPr>
      <w:r w:rsidRPr="00571F0B">
        <w:rPr>
          <w:lang w:val="en-GB"/>
        </w:rPr>
        <w:t xml:space="preserve">The following analysis </w:t>
      </w:r>
      <w:r w:rsidR="00BF647F" w:rsidRPr="00571F0B">
        <w:rPr>
          <w:lang w:val="en-GB"/>
        </w:rPr>
        <w:t>on</w:t>
      </w:r>
      <w:r w:rsidRPr="00571F0B">
        <w:rPr>
          <w:lang w:val="en-GB"/>
        </w:rPr>
        <w:t xml:space="preserve"> the current Papua New Guinea </w:t>
      </w:r>
      <w:r w:rsidR="000612CF" w:rsidRPr="00571F0B">
        <w:rPr>
          <w:lang w:val="en-GB"/>
        </w:rPr>
        <w:t xml:space="preserve">(PNG) </w:t>
      </w:r>
      <w:r w:rsidRPr="00571F0B">
        <w:rPr>
          <w:lang w:val="en-GB"/>
        </w:rPr>
        <w:t xml:space="preserve">country context </w:t>
      </w:r>
      <w:r w:rsidR="00BF647F" w:rsidRPr="00571F0B">
        <w:rPr>
          <w:lang w:val="en-GB"/>
        </w:rPr>
        <w:t xml:space="preserve">is </w:t>
      </w:r>
      <w:r w:rsidRPr="00571F0B">
        <w:rPr>
          <w:lang w:val="en-GB"/>
        </w:rPr>
        <w:t>as presented in the Aid Program Performance Report (APPR) which forms part of the annual Department of Foreign Affairs and Trade (DFAT) aid management system.</w:t>
      </w:r>
    </w:p>
    <w:p w:rsidR="00D73E0E" w:rsidRPr="00D73E0E" w:rsidRDefault="00D73E0E" w:rsidP="009E1E17">
      <w:pPr>
        <w:spacing w:before="0" w:after="0"/>
        <w:rPr>
          <w:sz w:val="16"/>
          <w:szCs w:val="16"/>
          <w:lang w:val="en-GB"/>
        </w:rPr>
      </w:pPr>
    </w:p>
    <w:p w:rsidR="0012353C" w:rsidRDefault="0012353C" w:rsidP="009E1E17">
      <w:pPr>
        <w:spacing w:before="0" w:after="0"/>
        <w:rPr>
          <w:lang w:val="en-GB"/>
        </w:rPr>
      </w:pPr>
      <w:r w:rsidRPr="00571F0B">
        <w:rPr>
          <w:lang w:val="en-GB"/>
        </w:rPr>
        <w:t xml:space="preserve">PNG has experienced over a decade of comparatively robust economic </w:t>
      </w:r>
      <w:r w:rsidR="00AF79FB" w:rsidRPr="00AF79FB">
        <w:rPr>
          <w:lang w:val="en-GB"/>
        </w:rPr>
        <w:t>development</w:t>
      </w:r>
      <w:r w:rsidRPr="00571F0B">
        <w:rPr>
          <w:lang w:val="en-GB"/>
        </w:rPr>
        <w:t>, with expanding formal empl</w:t>
      </w:r>
      <w:r w:rsidR="00350A70">
        <w:rPr>
          <w:lang w:val="en-GB"/>
        </w:rPr>
        <w:t xml:space="preserve">oyment opportunities and strong </w:t>
      </w:r>
      <w:r w:rsidR="00350A70" w:rsidRPr="00350A70">
        <w:t>development</w:t>
      </w:r>
      <w:r w:rsidRPr="00571F0B">
        <w:rPr>
          <w:lang w:val="en-GB"/>
        </w:rPr>
        <w:t xml:space="preserve"> in government expenditure and revenues.  This economic performance has been driven by high international prices for PNG’s exports (including for agriculture), conservative fiscal policies and, more recently, construction activity related to the Liquid Nitrogen Gas (LNG) project. However, economic growth slowed in 2013 (albeit to a still respectable headline figure of 5.1 per cent) due to weaker commodity prices, unfavourable weather conditions particularly affecting mining outputs and agriculture exports, and the winding down of construction activity assoc</w:t>
      </w:r>
      <w:r w:rsidR="00D73E0E">
        <w:rPr>
          <w:lang w:val="en-GB"/>
        </w:rPr>
        <w:t>iated with the PNG LNG project.</w:t>
      </w:r>
    </w:p>
    <w:p w:rsidR="00D73E0E" w:rsidRPr="00D73E0E" w:rsidRDefault="00D73E0E" w:rsidP="009E1E17">
      <w:pPr>
        <w:spacing w:before="0" w:after="0"/>
        <w:rPr>
          <w:sz w:val="16"/>
          <w:szCs w:val="16"/>
          <w:lang w:val="en-GB"/>
        </w:rPr>
      </w:pPr>
    </w:p>
    <w:p w:rsidR="0012353C" w:rsidRDefault="0012353C" w:rsidP="009E1E17">
      <w:pPr>
        <w:spacing w:before="0" w:after="0"/>
        <w:rPr>
          <w:lang w:val="en-GB"/>
        </w:rPr>
      </w:pPr>
      <w:r w:rsidRPr="00571F0B">
        <w:rPr>
          <w:lang w:val="en-GB"/>
        </w:rPr>
        <w:t>PNG’s economic growth in 2014 is forecast to be 5.4 per cent.  In 2015, GDP growth is forecast to exceed 20 per cent. This large, one-off spike in economic growth is due to exports from the PNG LNG Project. Non-mining GDP growth is projected to be a more moderate 4.3 per cent.</w:t>
      </w:r>
    </w:p>
    <w:p w:rsidR="00D73E0E" w:rsidRPr="00D73E0E" w:rsidRDefault="00D73E0E" w:rsidP="00D73E0E">
      <w:pPr>
        <w:spacing w:before="0" w:after="0"/>
        <w:rPr>
          <w:sz w:val="16"/>
          <w:szCs w:val="16"/>
          <w:lang w:val="en-GB"/>
        </w:rPr>
      </w:pPr>
    </w:p>
    <w:p w:rsidR="0012353C" w:rsidRDefault="0012353C" w:rsidP="00D73E0E">
      <w:pPr>
        <w:spacing w:before="0" w:after="0"/>
        <w:rPr>
          <w:lang w:val="en-GB"/>
        </w:rPr>
      </w:pPr>
      <w:r w:rsidRPr="00571F0B">
        <w:rPr>
          <w:lang w:val="en-GB"/>
        </w:rPr>
        <w:t>Unfortunately, despite sustained economic growth, the majority of the population has realised few tangible improvements to their quality of life. Over two million people in PNG remain poor and/or face hardship.</w:t>
      </w:r>
      <w:r w:rsidRPr="00571F0B">
        <w:rPr>
          <w:vertAlign w:val="superscript"/>
          <w:lang w:val="en-GB"/>
        </w:rPr>
        <w:footnoteReference w:id="1"/>
      </w:r>
      <w:r w:rsidRPr="00571F0B">
        <w:rPr>
          <w:lang w:val="en-GB"/>
        </w:rPr>
        <w:t xml:space="preserve"> With around 80 to 85 per cent of Papua New Guineans residing in traditional rural communities, the majority secure their livelihoods from subsistence gardens and small</w:t>
      </w:r>
      <w:r w:rsidRPr="00571F0B">
        <w:rPr>
          <w:lang w:val="en-GB"/>
        </w:rPr>
        <w:noBreakHyphen/>
        <w:t>scale cash cropping. A significant percentage of the population lacks access to health, education, water and sanitation</w:t>
      </w:r>
      <w:r w:rsidR="00D73E0E">
        <w:rPr>
          <w:lang w:val="en-GB"/>
        </w:rPr>
        <w:t>, and basic financial services.</w:t>
      </w:r>
    </w:p>
    <w:p w:rsidR="00D73E0E" w:rsidRPr="00D73E0E" w:rsidRDefault="00D73E0E" w:rsidP="00D73E0E">
      <w:pPr>
        <w:spacing w:before="0" w:after="0"/>
        <w:rPr>
          <w:sz w:val="16"/>
          <w:szCs w:val="16"/>
          <w:lang w:val="en-GB"/>
        </w:rPr>
      </w:pPr>
    </w:p>
    <w:p w:rsidR="0012353C" w:rsidRDefault="0012353C" w:rsidP="00D73E0E">
      <w:pPr>
        <w:spacing w:before="0" w:after="0"/>
        <w:rPr>
          <w:lang w:val="en-GB"/>
        </w:rPr>
      </w:pPr>
      <w:r w:rsidRPr="00571F0B">
        <w:rPr>
          <w:lang w:val="en-GB"/>
        </w:rPr>
        <w:t>In 2013, PNG was ranked 157 out of 187 countries in the Human Development Index.  It remains off track against all of the Millennium Development Goals and its health and education indicators lag behind the rest of the Pacific.</w:t>
      </w:r>
      <w:r w:rsidRPr="00571F0B">
        <w:rPr>
          <w:vertAlign w:val="superscript"/>
          <w:lang w:val="en-GB"/>
        </w:rPr>
        <w:footnoteReference w:id="2"/>
      </w:r>
      <w:r w:rsidRPr="00571F0B">
        <w:rPr>
          <w:lang w:val="en-GB"/>
        </w:rPr>
        <w:t xml:space="preserve">  Life expectancy is only 62 years, similar to that of Haiti and Sudan.</w:t>
      </w:r>
      <w:r w:rsidRPr="00571F0B">
        <w:rPr>
          <w:vertAlign w:val="superscript"/>
          <w:lang w:val="en-GB"/>
        </w:rPr>
        <w:footnoteReference w:id="3"/>
      </w:r>
    </w:p>
    <w:p w:rsidR="00D73E0E" w:rsidRPr="00D73E0E" w:rsidRDefault="00D73E0E" w:rsidP="00D73E0E">
      <w:pPr>
        <w:spacing w:before="0" w:after="0"/>
        <w:rPr>
          <w:sz w:val="16"/>
          <w:szCs w:val="16"/>
          <w:lang w:val="en-GB"/>
        </w:rPr>
      </w:pPr>
    </w:p>
    <w:p w:rsidR="0012353C" w:rsidRDefault="0012353C" w:rsidP="00D73E0E">
      <w:pPr>
        <w:spacing w:before="0" w:after="0"/>
        <w:rPr>
          <w:lang w:val="en-GB"/>
        </w:rPr>
      </w:pPr>
      <w:r w:rsidRPr="00571F0B">
        <w:rPr>
          <w:lang w:val="en-GB"/>
        </w:rPr>
        <w:t>In almost all respects, women and girls in PNG are worse off than their male counterparts. The 2013 UNDP Human Development Report Gender Inequality Index ranked PNG 134</w:t>
      </w:r>
      <w:r w:rsidRPr="00571F0B">
        <w:rPr>
          <w:vertAlign w:val="superscript"/>
          <w:lang w:val="en-GB"/>
        </w:rPr>
        <w:t>th</w:t>
      </w:r>
      <w:r w:rsidRPr="00571F0B">
        <w:rPr>
          <w:lang w:val="en-GB"/>
        </w:rPr>
        <w:t xml:space="preserve"> out of 148 countries. Women and girls are 25 per cent less likely than men to be literate, and suffer unacceptably high death rates related to pregnancy and maternal health issues. Studies have shown that at least 60 per cent of women have experienced violence at some point in their lives, with 80-90 per cent  of injuries treated at health clinics the result of domestic violence. Women are less likely to be employed in the formal sector, with men twice as likely as women to work for wages (40 per cent compared to 24 per cent of women nationally), and those women in formal sector positions are paid significantly less than men</w:t>
      </w:r>
      <w:r w:rsidR="00541095" w:rsidRPr="00571F0B">
        <w:rPr>
          <w:lang w:val="en-GB"/>
        </w:rPr>
        <w:t xml:space="preserve"> (A$340 for women compared to A$</w:t>
      </w:r>
      <w:r w:rsidRPr="00571F0B">
        <w:rPr>
          <w:lang w:val="en-GB"/>
        </w:rPr>
        <w:t xml:space="preserve">700 per month for men). </w:t>
      </w:r>
      <w:r w:rsidR="00D73E0E">
        <w:rPr>
          <w:lang w:val="en-GB"/>
        </w:rPr>
        <w:t xml:space="preserve"> </w:t>
      </w:r>
      <w:r w:rsidRPr="00571F0B">
        <w:rPr>
          <w:lang w:val="en-GB"/>
        </w:rPr>
        <w:t>In the private sector, women are less likely to register their business enterprise, and have limited access to the justice system to resolve commercial disputes.</w:t>
      </w:r>
      <w:r w:rsidR="00541095" w:rsidRPr="00571F0B">
        <w:rPr>
          <w:rStyle w:val="FootnoteReference"/>
          <w:lang w:val="en-GB"/>
        </w:rPr>
        <w:footnoteReference w:id="4"/>
      </w:r>
      <w:r w:rsidRPr="00571F0B">
        <w:rPr>
          <w:lang w:val="en-GB"/>
        </w:rPr>
        <w:t xml:space="preserve"> Women occupy few positions of leadership, from the village upwards. </w:t>
      </w:r>
      <w:r w:rsidRPr="00571F0B">
        <w:rPr>
          <w:lang w:val="en-GB"/>
        </w:rPr>
        <w:lastRenderedPageBreak/>
        <w:t>Of the 76,000 public servants in PNG, only 25 per cent are women and only 12 per cent of executive positions in PNG are held by women (few of which are in the private sector).</w:t>
      </w:r>
      <w:r w:rsidR="00541095" w:rsidRPr="00571F0B">
        <w:rPr>
          <w:rStyle w:val="FootnoteReference"/>
          <w:lang w:val="en-GB"/>
        </w:rPr>
        <w:footnoteReference w:id="5"/>
      </w:r>
    </w:p>
    <w:p w:rsidR="00D73E0E" w:rsidRPr="00D73E0E" w:rsidRDefault="00D73E0E" w:rsidP="00D73E0E">
      <w:pPr>
        <w:spacing w:before="0" w:after="0"/>
        <w:rPr>
          <w:sz w:val="16"/>
          <w:szCs w:val="16"/>
          <w:lang w:val="en-GB"/>
        </w:rPr>
      </w:pPr>
    </w:p>
    <w:p w:rsidR="0012353C" w:rsidRPr="00571F0B" w:rsidRDefault="0012353C" w:rsidP="00D73E0E">
      <w:pPr>
        <w:spacing w:before="0" w:after="0"/>
        <w:rPr>
          <w:lang w:val="en-GB"/>
        </w:rPr>
      </w:pPr>
      <w:r w:rsidRPr="00571F0B">
        <w:rPr>
          <w:lang w:val="en-GB"/>
        </w:rPr>
        <w:t>Despite the vast development challenges, PNG is seeking to achieve middle-income country status by 2030 (Development Strategic Plan, 2010-2030). Sector priorities, as set out in the 2012 Alotau Accord, include education, health, law and justice, infrastructure and sustainable economic growth. PNG’s economic growth agenda focuses upon investments in ‘high impact infrastructure’ - key roads, ports, power, and hospitals; job skills development; and partnering with the private sector - including supporting its role in service delivery.</w:t>
      </w:r>
    </w:p>
    <w:p w:rsidR="00D3593A" w:rsidRPr="00D73E0E" w:rsidRDefault="00D3593A" w:rsidP="00D73E0E">
      <w:pPr>
        <w:spacing w:before="0" w:after="0"/>
        <w:rPr>
          <w:sz w:val="16"/>
          <w:szCs w:val="16"/>
          <w:lang w:val="en-GB"/>
        </w:rPr>
      </w:pPr>
    </w:p>
    <w:p w:rsidR="0012353C" w:rsidRPr="00571F0B" w:rsidRDefault="0012353C" w:rsidP="00D73E0E">
      <w:pPr>
        <w:spacing w:before="0" w:after="0"/>
        <w:rPr>
          <w:lang w:val="en-GB"/>
        </w:rPr>
      </w:pPr>
      <w:r w:rsidRPr="00571F0B">
        <w:rPr>
          <w:lang w:val="en-GB"/>
        </w:rPr>
        <w:t>Reflecting the PNG Government’s ambitious development plans, the past two years has seen a marked departure from the conservative fiscal policies of the recent past. After a big expenditure program in 2013, the 2014 budget appropriations increased by 15.7 per cent to K15.3 billion (A$6.7 billion). The big increases in government expenditure have contributed to a budget deficit of 7.7 per cent of GDP in 2013 and an estimated 6.9 per cent of GDP in 2014. A Supplementary Budget for 2013 was tabled concurrently with the 2014 Budget with K379 million (A$166 million) re</w:t>
      </w:r>
      <w:r w:rsidR="00D3593A">
        <w:rPr>
          <w:lang w:val="en-GB"/>
        </w:rPr>
        <w:t>-</w:t>
      </w:r>
      <w:r w:rsidRPr="00571F0B">
        <w:rPr>
          <w:lang w:val="en-GB"/>
        </w:rPr>
        <w:t>appropriated. The majority of these funds came from uncompleted road transport projects, as well as unexpended health and education programs, and was primarily directed towards infrastructure associated wit</w:t>
      </w:r>
      <w:r w:rsidR="00D73E0E">
        <w:rPr>
          <w:lang w:val="en-GB"/>
        </w:rPr>
        <w:t>h the 2015 South Pacific Games.</w:t>
      </w:r>
    </w:p>
    <w:p w:rsidR="00D3593A" w:rsidRPr="00D73E0E" w:rsidRDefault="00D3593A" w:rsidP="00D73E0E">
      <w:pPr>
        <w:spacing w:before="0" w:after="0"/>
        <w:rPr>
          <w:sz w:val="16"/>
          <w:szCs w:val="16"/>
          <w:lang w:val="en-GB"/>
        </w:rPr>
      </w:pPr>
    </w:p>
    <w:p w:rsidR="0012353C" w:rsidRPr="00571F0B" w:rsidRDefault="0012353C" w:rsidP="00D73E0E">
      <w:pPr>
        <w:spacing w:before="0" w:after="0"/>
        <w:rPr>
          <w:lang w:val="en-GB"/>
        </w:rPr>
      </w:pPr>
      <w:r w:rsidRPr="00571F0B">
        <w:rPr>
          <w:lang w:val="en-GB"/>
        </w:rPr>
        <w:t>The strength in PNG’s economy will continue to be dependent on improving macroeconomic management, governance and microeconomic reforms that ensure stability and maintain a business environment to attract foreign investment. The 2013 Heritage Foundation’s “Index of Economic Freedom” ranked PNG 132 out of 178 countries. PNG rates 113th out of 189 economies on the World Bank’s ease of doing business ranking.  It rates particularly poorly in the critical category of ‘enforcing contracts’ (168th out of 189). Important reforms that signalled to international investors PNG’s commitment to good economic governance, such as the establishment of PNG’s Sovereign We</w:t>
      </w:r>
      <w:r w:rsidR="00D3593A">
        <w:rPr>
          <w:lang w:val="en-GB"/>
        </w:rPr>
        <w:t>alth Fund, stalled during 2013.</w:t>
      </w:r>
    </w:p>
    <w:p w:rsidR="00D3593A" w:rsidRPr="00D73E0E" w:rsidRDefault="00D3593A" w:rsidP="00D73E0E">
      <w:pPr>
        <w:spacing w:before="0" w:after="0"/>
        <w:rPr>
          <w:sz w:val="16"/>
          <w:szCs w:val="16"/>
          <w:lang w:val="en-GB"/>
        </w:rPr>
      </w:pPr>
    </w:p>
    <w:p w:rsidR="0012353C" w:rsidRPr="00571F0B" w:rsidRDefault="0012353C" w:rsidP="00D73E0E">
      <w:pPr>
        <w:spacing w:before="0" w:after="0"/>
        <w:rPr>
          <w:lang w:val="en-GB"/>
        </w:rPr>
      </w:pPr>
      <w:r w:rsidRPr="00571F0B">
        <w:rPr>
          <w:lang w:val="en-GB"/>
        </w:rPr>
        <w:t xml:space="preserve">In the Autonomous Region of Bougainville, the Autonomous Bougainville Government’s (ABG) major undertakings included the establishment of the Bougainville Public Service, further progress on the transfer of powers from the National Government and preparations for negotiations on the reopening of the Panguna mine. This major change agenda will continue to gather momentum with ABG Elections in 2015, and the start of the five year window for a referendum </w:t>
      </w:r>
      <w:r w:rsidR="00D3593A">
        <w:rPr>
          <w:lang w:val="en-GB"/>
        </w:rPr>
        <w:t>on its future political status.</w:t>
      </w:r>
    </w:p>
    <w:p w:rsidR="00C05D33" w:rsidRPr="00571F0B" w:rsidRDefault="00C05D33" w:rsidP="00D73E0E">
      <w:pPr>
        <w:spacing w:before="0" w:after="0"/>
        <w:rPr>
          <w:lang w:val="en-GB"/>
        </w:rPr>
      </w:pPr>
    </w:p>
    <w:p w:rsidR="00C05D33" w:rsidRPr="00D3593A" w:rsidRDefault="000612CF" w:rsidP="00D3593A">
      <w:pPr>
        <w:pStyle w:val="Heading2"/>
        <w:rPr>
          <w:lang w:val="en-GB"/>
        </w:rPr>
      </w:pPr>
      <w:bookmarkStart w:id="6" w:name="_Toc403037558"/>
      <w:r w:rsidRPr="00571F0B">
        <w:rPr>
          <w:lang w:val="en-GB"/>
        </w:rPr>
        <w:t>Strategic setting and rationale for Australian Aid engagement</w:t>
      </w:r>
      <w:bookmarkEnd w:id="6"/>
    </w:p>
    <w:p w:rsidR="000612CF" w:rsidRPr="00571F0B" w:rsidRDefault="000612CF" w:rsidP="00D73E0E">
      <w:pPr>
        <w:spacing w:before="0" w:after="0"/>
        <w:rPr>
          <w:lang w:val="en-GB"/>
        </w:rPr>
      </w:pPr>
      <w:r w:rsidRPr="00571F0B">
        <w:rPr>
          <w:lang w:val="en-GB"/>
        </w:rPr>
        <w:t>The Government of Papua New Guinea development policies are established through:</w:t>
      </w:r>
    </w:p>
    <w:p w:rsidR="000612CF" w:rsidRPr="00571F0B" w:rsidRDefault="000612CF" w:rsidP="00A82AAB">
      <w:pPr>
        <w:numPr>
          <w:ilvl w:val="0"/>
          <w:numId w:val="11"/>
        </w:numPr>
        <w:spacing w:before="0" w:after="0"/>
        <w:ind w:left="284" w:hanging="284"/>
        <w:rPr>
          <w:lang w:val="en-GB"/>
        </w:rPr>
      </w:pPr>
      <w:r w:rsidRPr="00571F0B">
        <w:rPr>
          <w:lang w:val="en-GB"/>
        </w:rPr>
        <w:t>Vision 2050</w:t>
      </w:r>
    </w:p>
    <w:p w:rsidR="000612CF" w:rsidRPr="00571F0B" w:rsidRDefault="000612CF" w:rsidP="00A82AAB">
      <w:pPr>
        <w:numPr>
          <w:ilvl w:val="0"/>
          <w:numId w:val="11"/>
        </w:numPr>
        <w:spacing w:before="0" w:after="0"/>
        <w:ind w:left="284" w:hanging="284"/>
        <w:rPr>
          <w:lang w:val="en-GB"/>
        </w:rPr>
      </w:pPr>
      <w:r w:rsidRPr="00571F0B">
        <w:rPr>
          <w:lang w:val="en-GB"/>
        </w:rPr>
        <w:t xml:space="preserve">The Papua New Guinea </w:t>
      </w:r>
      <w:r w:rsidR="00541095" w:rsidRPr="00571F0B">
        <w:rPr>
          <w:lang w:val="en-GB"/>
        </w:rPr>
        <w:t xml:space="preserve">Development </w:t>
      </w:r>
      <w:r w:rsidRPr="00571F0B">
        <w:rPr>
          <w:lang w:val="en-GB"/>
        </w:rPr>
        <w:t>Strategic Plan 2010-2030</w:t>
      </w:r>
    </w:p>
    <w:p w:rsidR="000612CF" w:rsidRDefault="000612CF" w:rsidP="00A82AAB">
      <w:pPr>
        <w:numPr>
          <w:ilvl w:val="0"/>
          <w:numId w:val="11"/>
        </w:numPr>
        <w:spacing w:before="0" w:after="0"/>
        <w:ind w:left="284" w:hanging="284"/>
        <w:rPr>
          <w:lang w:val="en-GB"/>
        </w:rPr>
      </w:pPr>
      <w:r w:rsidRPr="00571F0B">
        <w:rPr>
          <w:lang w:val="en-GB"/>
        </w:rPr>
        <w:t>The Medium Term Development Plan 2010-2015</w:t>
      </w:r>
    </w:p>
    <w:p w:rsidR="00335F71" w:rsidRPr="00571F0B" w:rsidRDefault="00335F71" w:rsidP="00A82AAB">
      <w:pPr>
        <w:numPr>
          <w:ilvl w:val="0"/>
          <w:numId w:val="11"/>
        </w:numPr>
        <w:spacing w:before="0" w:after="0"/>
        <w:ind w:left="284" w:hanging="284"/>
        <w:rPr>
          <w:lang w:val="en-GB"/>
        </w:rPr>
      </w:pPr>
      <w:r>
        <w:rPr>
          <w:lang w:val="en-GB"/>
        </w:rPr>
        <w:t>The Alotau Accord in 1212 which confirmed priorities as education, health, law and justice, infrastructure and sustainable economic growth focused upon infrastructure, job skills development and partnering with the private sector.</w:t>
      </w:r>
    </w:p>
    <w:p w:rsidR="000612CF" w:rsidRPr="00D73E0E" w:rsidRDefault="000612CF" w:rsidP="00D73E0E">
      <w:pPr>
        <w:spacing w:before="0" w:after="0"/>
        <w:rPr>
          <w:sz w:val="16"/>
          <w:szCs w:val="16"/>
          <w:lang w:val="en-GB"/>
        </w:rPr>
      </w:pPr>
    </w:p>
    <w:p w:rsidR="000612CF" w:rsidRPr="00571F0B" w:rsidRDefault="000612CF" w:rsidP="00D73E0E">
      <w:pPr>
        <w:spacing w:before="0" w:after="0"/>
        <w:rPr>
          <w:lang w:val="en-GB"/>
        </w:rPr>
      </w:pPr>
      <w:r w:rsidRPr="00571F0B">
        <w:rPr>
          <w:lang w:val="en-GB"/>
        </w:rPr>
        <w:t>The Australian Aid development support priorities are established through:</w:t>
      </w:r>
    </w:p>
    <w:p w:rsidR="000612CF" w:rsidRPr="00571F0B" w:rsidRDefault="000612CF" w:rsidP="00A82AAB">
      <w:pPr>
        <w:numPr>
          <w:ilvl w:val="0"/>
          <w:numId w:val="12"/>
        </w:numPr>
        <w:spacing w:before="0" w:after="0"/>
        <w:ind w:left="284" w:hanging="284"/>
        <w:rPr>
          <w:lang w:val="en-GB"/>
        </w:rPr>
      </w:pPr>
      <w:r w:rsidRPr="00571F0B">
        <w:rPr>
          <w:lang w:val="en-GB"/>
        </w:rPr>
        <w:t>Australian aid: promoting prosperity, reducing poverty, enhancing stability</w:t>
      </w:r>
    </w:p>
    <w:p w:rsidR="000612CF" w:rsidRPr="00571F0B" w:rsidRDefault="000612CF" w:rsidP="00A82AAB">
      <w:pPr>
        <w:numPr>
          <w:ilvl w:val="0"/>
          <w:numId w:val="12"/>
        </w:numPr>
        <w:spacing w:before="0" w:after="0"/>
        <w:ind w:left="284" w:hanging="284"/>
        <w:rPr>
          <w:lang w:val="en-GB"/>
        </w:rPr>
      </w:pPr>
      <w:r w:rsidRPr="00571F0B">
        <w:rPr>
          <w:lang w:val="en-GB"/>
        </w:rPr>
        <w:t>“Making Performance Count: enhancing accountability and effectiveness of Australian aid”</w:t>
      </w:r>
      <w:r w:rsidR="00CA5EE9" w:rsidRPr="00571F0B">
        <w:rPr>
          <w:lang w:val="en-GB"/>
        </w:rPr>
        <w:t xml:space="preserve"> </w:t>
      </w:r>
      <w:r w:rsidR="008E1E59" w:rsidRPr="00571F0B">
        <w:rPr>
          <w:lang w:val="en-GB"/>
        </w:rPr>
        <w:t>and specifically directing aid investments to the 10 high level strategic targets</w:t>
      </w:r>
      <w:r w:rsidR="00CA5EE9" w:rsidRPr="00571F0B">
        <w:rPr>
          <w:lang w:val="en-GB"/>
        </w:rPr>
        <w:t xml:space="preserve"> </w:t>
      </w:r>
    </w:p>
    <w:p w:rsidR="00335F71" w:rsidRDefault="00335F71" w:rsidP="00A82AAB">
      <w:pPr>
        <w:numPr>
          <w:ilvl w:val="0"/>
          <w:numId w:val="12"/>
        </w:numPr>
        <w:spacing w:before="0" w:after="0"/>
        <w:ind w:left="284" w:hanging="284"/>
        <w:rPr>
          <w:lang w:val="en-GB"/>
        </w:rPr>
      </w:pPr>
      <w:r>
        <w:rPr>
          <w:lang w:val="en-GB"/>
        </w:rPr>
        <w:lastRenderedPageBreak/>
        <w:t>The new Economic Cooperative Treaty signed in April 2014</w:t>
      </w:r>
    </w:p>
    <w:p w:rsidR="00335F71" w:rsidRPr="00571F0B" w:rsidRDefault="00335F71" w:rsidP="00A82AAB">
      <w:pPr>
        <w:numPr>
          <w:ilvl w:val="0"/>
          <w:numId w:val="12"/>
        </w:numPr>
        <w:spacing w:before="0" w:after="0"/>
        <w:ind w:left="284" w:hanging="284"/>
        <w:rPr>
          <w:lang w:val="en-GB"/>
        </w:rPr>
      </w:pPr>
      <w:r>
        <w:rPr>
          <w:lang w:val="en-GB"/>
        </w:rPr>
        <w:t xml:space="preserve">The </w:t>
      </w:r>
      <w:r w:rsidRPr="00335F71">
        <w:rPr>
          <w:lang w:val="en-GB"/>
        </w:rPr>
        <w:t xml:space="preserve">GoPNG and GoA </w:t>
      </w:r>
      <w:r w:rsidR="00CA1995">
        <w:rPr>
          <w:lang w:val="en-GB"/>
        </w:rPr>
        <w:t>a</w:t>
      </w:r>
      <w:r w:rsidRPr="00335F71">
        <w:rPr>
          <w:lang w:val="en-GB"/>
        </w:rPr>
        <w:t xml:space="preserve">id </w:t>
      </w:r>
      <w:r w:rsidR="00CA1995">
        <w:rPr>
          <w:lang w:val="en-GB"/>
        </w:rPr>
        <w:t>a</w:t>
      </w:r>
      <w:r w:rsidRPr="00335F71">
        <w:rPr>
          <w:lang w:val="en-GB"/>
        </w:rPr>
        <w:t xml:space="preserve">ssessment </w:t>
      </w:r>
      <w:r>
        <w:rPr>
          <w:lang w:val="en-GB"/>
        </w:rPr>
        <w:t>r</w:t>
      </w:r>
      <w:r w:rsidRPr="00335F71">
        <w:rPr>
          <w:lang w:val="en-GB"/>
        </w:rPr>
        <w:t>ecommendations</w:t>
      </w:r>
      <w:r>
        <w:rPr>
          <w:lang w:val="en-GB"/>
        </w:rPr>
        <w:t xml:space="preserve"> in 2014</w:t>
      </w:r>
      <w:r w:rsidR="00442E97">
        <w:rPr>
          <w:lang w:val="en-GB"/>
        </w:rPr>
        <w:t xml:space="preserve"> have been confirmed in a recent DFAT policy entitled </w:t>
      </w:r>
      <w:r w:rsidR="00442E97" w:rsidRPr="00442E97">
        <w:rPr>
          <w:i/>
          <w:lang w:val="en-GB"/>
        </w:rPr>
        <w:t>‘A New Direction for Australian Aid in PNG’</w:t>
      </w:r>
      <w:r w:rsidRPr="00442E97">
        <w:rPr>
          <w:i/>
          <w:lang w:val="en-GB"/>
        </w:rPr>
        <w:t>.</w:t>
      </w:r>
    </w:p>
    <w:p w:rsidR="00CA1995" w:rsidRPr="00571F0B" w:rsidRDefault="00335F71" w:rsidP="00F7641B">
      <w:pPr>
        <w:spacing w:before="0" w:after="0"/>
        <w:jc w:val="left"/>
        <w:rPr>
          <w:lang w:val="en-GB"/>
        </w:rPr>
      </w:pPr>
      <w:r>
        <w:rPr>
          <w:lang w:val="en-GB"/>
        </w:rPr>
        <w:t>T</w:t>
      </w:r>
      <w:r w:rsidR="00E375F6">
        <w:rPr>
          <w:lang w:val="en-GB"/>
        </w:rPr>
        <w:t>he following</w:t>
      </w:r>
      <w:r w:rsidR="00CA1995">
        <w:rPr>
          <w:lang w:val="en-GB"/>
        </w:rPr>
        <w:t xml:space="preserve"> aid a</w:t>
      </w:r>
      <w:r w:rsidR="000612CF" w:rsidRPr="00571F0B">
        <w:rPr>
          <w:lang w:val="en-GB"/>
        </w:rPr>
        <w:t xml:space="preserve">ssessment </w:t>
      </w:r>
      <w:r w:rsidR="00CA1995">
        <w:rPr>
          <w:lang w:val="en-GB"/>
        </w:rPr>
        <w:t>r</w:t>
      </w:r>
      <w:r w:rsidR="000612CF" w:rsidRPr="00571F0B">
        <w:rPr>
          <w:lang w:val="en-GB"/>
        </w:rPr>
        <w:t>ecommendations will guide Australia</w:t>
      </w:r>
      <w:r w:rsidR="00E375F6">
        <w:rPr>
          <w:lang w:val="en-GB"/>
        </w:rPr>
        <w:t>n</w:t>
      </w:r>
      <w:r w:rsidR="000612CF" w:rsidRPr="00571F0B">
        <w:rPr>
          <w:lang w:val="en-GB"/>
        </w:rPr>
        <w:t xml:space="preserve"> Aid support to PNG:</w:t>
      </w:r>
    </w:p>
    <w:p w:rsidR="00CA1995" w:rsidRDefault="00CA1995" w:rsidP="00A82AAB">
      <w:pPr>
        <w:pStyle w:val="ListParagraph"/>
        <w:numPr>
          <w:ilvl w:val="0"/>
          <w:numId w:val="92"/>
        </w:numPr>
      </w:pPr>
      <w:r w:rsidRPr="00CA1995">
        <w:rPr>
          <w:b/>
        </w:rPr>
        <w:t>Align the aid program with shared political and economic objectives of Australia and Papua New Guinea.</w:t>
      </w:r>
      <w:r>
        <w:t xml:space="preserve"> The integration of the former AusAID into the Department of Foreign Affairs and Trade will most directly support this overall objective.</w:t>
      </w:r>
    </w:p>
    <w:p w:rsidR="00CA1995" w:rsidRDefault="00CA1995" w:rsidP="00A82AAB">
      <w:pPr>
        <w:pStyle w:val="ListParagraph"/>
        <w:numPr>
          <w:ilvl w:val="0"/>
          <w:numId w:val="92"/>
        </w:numPr>
      </w:pPr>
      <w:r w:rsidRPr="00CA1995">
        <w:rPr>
          <w:b/>
        </w:rPr>
        <w:t>Reprioritise 30 per cent of the current aid program, over the coming three years, to fund initiatives focused on private sector-led growth and aid for trade.</w:t>
      </w:r>
      <w:r>
        <w:t xml:space="preserve"> Savings to fund these new initiatives could be sourced from phased reductions to basic service delivery activities agreed by both Governments. New areas of focus should include improving the enabling environment for business (particularly SMEs and partnering with the private sector), agriculture market investments, strengthening technical &amp; vocational training (TVET), and infrastructure support.</w:t>
      </w:r>
    </w:p>
    <w:p w:rsidR="00CA1995" w:rsidRDefault="00CA1995" w:rsidP="00A82AAB">
      <w:pPr>
        <w:pStyle w:val="ListParagraph"/>
        <w:numPr>
          <w:ilvl w:val="0"/>
          <w:numId w:val="92"/>
        </w:numPr>
      </w:pPr>
      <w:r w:rsidRPr="00CA1995">
        <w:rPr>
          <w:b/>
        </w:rPr>
        <w:t>Maintain priority investments in improving health, education, infrastructure and law and justice systems as they remain fundamental to delivering inclusive, sustainable economic growth and improved human development outcomes.</w:t>
      </w:r>
      <w:r>
        <w:t xml:space="preserve"> These investments should maintain a focus on supporting the PNG Government to take greater sovereign responsibility for meeting the needs of its people, including through system strengthening and transitioning out of basic service delivery.</w:t>
      </w:r>
    </w:p>
    <w:p w:rsidR="00CA1995" w:rsidRDefault="00CA1995" w:rsidP="00A82AAB">
      <w:pPr>
        <w:pStyle w:val="ListParagraph"/>
        <w:numPr>
          <w:ilvl w:val="0"/>
          <w:numId w:val="92"/>
        </w:numPr>
      </w:pPr>
      <w:r w:rsidRPr="00CA1995">
        <w:rPr>
          <w:b/>
        </w:rPr>
        <w:t>Increase effective partnerships with the private sector.</w:t>
      </w:r>
      <w:r>
        <w:t xml:space="preserve"> This should include increased engagement with business to guide improvements in the legal, regulatory and policy environment and to support more effective service delivery in PNG.</w:t>
      </w:r>
    </w:p>
    <w:p w:rsidR="00CA1995" w:rsidRDefault="00CA1995" w:rsidP="00A82AAB">
      <w:pPr>
        <w:pStyle w:val="ListParagraph"/>
        <w:numPr>
          <w:ilvl w:val="0"/>
          <w:numId w:val="92"/>
        </w:numPr>
      </w:pPr>
      <w:r w:rsidRPr="00CA1995">
        <w:rPr>
          <w:b/>
        </w:rPr>
        <w:t>Expand our support for good governance.</w:t>
      </w:r>
      <w:r>
        <w:t xml:space="preserve"> This should include expansion to the Strongim Gavman Program (‘SGP’), strengthened anti-corruption and security efforts, and professionalisation of the PNG public service through training and mentoring. There should also be a focus on improved accountability and leadership, improving PNG’s ability to lead and undertake critical economic reforms and meet the basic needs of its people.</w:t>
      </w:r>
    </w:p>
    <w:p w:rsidR="00CA1995" w:rsidRDefault="00CA1995" w:rsidP="00A82AAB">
      <w:pPr>
        <w:pStyle w:val="ListParagraph"/>
        <w:numPr>
          <w:ilvl w:val="0"/>
          <w:numId w:val="92"/>
        </w:numPr>
      </w:pPr>
      <w:r w:rsidRPr="00CA1995">
        <w:rPr>
          <w:b/>
        </w:rPr>
        <w:t>Maintain a strong program of support for building the capacity of PNG’s police.</w:t>
      </w:r>
      <w:r>
        <w:t xml:space="preserve"> This should include support for the Royal PNG Constabulary (RPNGC) to maintain law and order through the deployment of Australian Federal Police (AFP) officers in advisory and mentoring roles and an expansion of the training opportunities for RPNGC members in Australia.</w:t>
      </w:r>
    </w:p>
    <w:p w:rsidR="00CA1995" w:rsidRDefault="00CA1995" w:rsidP="00A82AAB">
      <w:pPr>
        <w:pStyle w:val="ListParagraph"/>
        <w:numPr>
          <w:ilvl w:val="0"/>
          <w:numId w:val="92"/>
        </w:numPr>
      </w:pPr>
      <w:r w:rsidRPr="00CA1995">
        <w:rPr>
          <w:b/>
        </w:rPr>
        <w:t>Expand support to women’s empowerment.</w:t>
      </w:r>
      <w:r>
        <w:t xml:space="preserve"> This should include increased focus on women’s effective participation in the economy through agribusiness, financial literacy, and microfinance; women’s leadership in public and community life; and improved security in public and private spaces.</w:t>
      </w:r>
    </w:p>
    <w:p w:rsidR="00CA1995" w:rsidRDefault="00CA1995" w:rsidP="00A82AAB">
      <w:pPr>
        <w:pStyle w:val="ListParagraph"/>
        <w:numPr>
          <w:ilvl w:val="0"/>
          <w:numId w:val="92"/>
        </w:numPr>
      </w:pPr>
      <w:r w:rsidRPr="00CA1995">
        <w:rPr>
          <w:b/>
        </w:rPr>
        <w:t>Increase aid investments in Bougainville as a greater proportion of the bilateral PNG program.</w:t>
      </w:r>
      <w:r>
        <w:t xml:space="preserve"> This should include a focus on supporting the effective implementation of autonomy arrangements and building the Autonomous Government of Bougainville’s capacity to deliver basic services ahead of the referendum to determine Bougainville’s political future; as agreed under the Bougainville Peace Agreement of which Australia was a witnessing signatory.</w:t>
      </w:r>
    </w:p>
    <w:p w:rsidR="00CA1995" w:rsidRDefault="00CA1995" w:rsidP="00A82AAB">
      <w:pPr>
        <w:pStyle w:val="ListParagraph"/>
        <w:numPr>
          <w:ilvl w:val="0"/>
          <w:numId w:val="92"/>
        </w:numPr>
      </w:pPr>
      <w:r w:rsidRPr="00CA1995">
        <w:rPr>
          <w:b/>
        </w:rPr>
        <w:t>Establish clearer, realistic performance benchmarks to assess both our and PNG’s performance against set targets, and to drive mutual accountability for agreed actions.</w:t>
      </w:r>
      <w:r>
        <w:t xml:space="preserve"> Both value for money and support to shared political and economic objectives of Australia and PNG should be key criteria in assessing effectiveness.</w:t>
      </w:r>
    </w:p>
    <w:p w:rsidR="00CA1995" w:rsidRDefault="00CA1995" w:rsidP="00D73E0E">
      <w:pPr>
        <w:spacing w:before="0" w:after="0"/>
        <w:rPr>
          <w:sz w:val="16"/>
          <w:szCs w:val="16"/>
          <w:lang w:val="en-GB"/>
        </w:rPr>
      </w:pPr>
    </w:p>
    <w:p w:rsidR="00C32FF0" w:rsidRPr="00571F0B" w:rsidRDefault="00C32FF0" w:rsidP="00D73E0E">
      <w:pPr>
        <w:spacing w:before="0" w:after="0"/>
        <w:rPr>
          <w:lang w:val="en-GB"/>
        </w:rPr>
      </w:pPr>
      <w:r w:rsidRPr="00571F0B">
        <w:rPr>
          <w:lang w:val="en-GB"/>
        </w:rPr>
        <w:t>During design consultations</w:t>
      </w:r>
      <w:r w:rsidR="00343332">
        <w:rPr>
          <w:lang w:val="en-GB"/>
        </w:rPr>
        <w:t>,</w:t>
      </w:r>
      <w:r w:rsidRPr="00571F0B">
        <w:rPr>
          <w:lang w:val="en-GB"/>
        </w:rPr>
        <w:t xml:space="preserve"> DFAT confirmed </w:t>
      </w:r>
      <w:r w:rsidR="00541095" w:rsidRPr="00571F0B">
        <w:rPr>
          <w:lang w:val="en-GB"/>
        </w:rPr>
        <w:t>support</w:t>
      </w:r>
      <w:r w:rsidR="005D3B0B">
        <w:rPr>
          <w:lang w:val="en-GB"/>
        </w:rPr>
        <w:t xml:space="preserve"> </w:t>
      </w:r>
      <w:r w:rsidR="00CA1995">
        <w:rPr>
          <w:lang w:val="en-GB"/>
        </w:rPr>
        <w:t xml:space="preserve">priorities </w:t>
      </w:r>
      <w:r w:rsidR="005D3B0B">
        <w:rPr>
          <w:lang w:val="en-GB"/>
        </w:rPr>
        <w:t>under</w:t>
      </w:r>
      <w:r w:rsidRPr="00571F0B">
        <w:rPr>
          <w:lang w:val="en-GB"/>
        </w:rPr>
        <w:t xml:space="preserve"> </w:t>
      </w:r>
      <w:r w:rsidR="00541095" w:rsidRPr="00571F0B">
        <w:rPr>
          <w:lang w:val="en-GB"/>
        </w:rPr>
        <w:t xml:space="preserve">the </w:t>
      </w:r>
      <w:r w:rsidR="002B7876" w:rsidRPr="002B7876">
        <w:rPr>
          <w:lang w:val="en-GB"/>
        </w:rPr>
        <w:t xml:space="preserve">IF (IV) </w:t>
      </w:r>
      <w:r w:rsidRPr="00571F0B">
        <w:rPr>
          <w:lang w:val="en-GB"/>
        </w:rPr>
        <w:t xml:space="preserve">investments </w:t>
      </w:r>
      <w:r w:rsidR="00541095" w:rsidRPr="00571F0B">
        <w:rPr>
          <w:lang w:val="en-GB"/>
        </w:rPr>
        <w:t xml:space="preserve">will </w:t>
      </w:r>
      <w:r w:rsidR="00343332">
        <w:rPr>
          <w:lang w:val="en-GB"/>
        </w:rPr>
        <w:t xml:space="preserve">be </w:t>
      </w:r>
      <w:r w:rsidR="00BF647F" w:rsidRPr="00571F0B">
        <w:rPr>
          <w:lang w:val="en-GB"/>
        </w:rPr>
        <w:t xml:space="preserve">aligned </w:t>
      </w:r>
      <w:r w:rsidR="00343332">
        <w:rPr>
          <w:lang w:val="en-GB"/>
        </w:rPr>
        <w:t xml:space="preserve">with </w:t>
      </w:r>
      <w:r w:rsidR="00CA1995">
        <w:rPr>
          <w:lang w:val="en-GB"/>
        </w:rPr>
        <w:t>the aid assessment r</w:t>
      </w:r>
      <w:r w:rsidR="00C91D63" w:rsidRPr="00571F0B">
        <w:rPr>
          <w:lang w:val="en-GB"/>
        </w:rPr>
        <w:t xml:space="preserve">ecommendations. </w:t>
      </w:r>
      <w:r w:rsidR="004212BB">
        <w:rPr>
          <w:lang w:val="en-GB"/>
        </w:rPr>
        <w:t>They include</w:t>
      </w:r>
      <w:r w:rsidR="00CA1995">
        <w:rPr>
          <w:lang w:val="en-GB"/>
        </w:rPr>
        <w:t xml:space="preserve"> health</w:t>
      </w:r>
      <w:r w:rsidR="004212BB">
        <w:rPr>
          <w:lang w:val="en-GB"/>
        </w:rPr>
        <w:t xml:space="preserve">, </w:t>
      </w:r>
      <w:r w:rsidR="00BF647F" w:rsidRPr="00571F0B">
        <w:rPr>
          <w:lang w:val="en-GB"/>
        </w:rPr>
        <w:t>education</w:t>
      </w:r>
      <w:r w:rsidR="00CA1995">
        <w:rPr>
          <w:lang w:val="en-GB"/>
        </w:rPr>
        <w:t xml:space="preserve"> and </w:t>
      </w:r>
      <w:r w:rsidR="004212BB">
        <w:rPr>
          <w:lang w:val="en-GB"/>
        </w:rPr>
        <w:t xml:space="preserve">other sectors and </w:t>
      </w:r>
      <w:r w:rsidR="00CA1995">
        <w:rPr>
          <w:lang w:val="en-GB"/>
        </w:rPr>
        <w:t xml:space="preserve">to stimulate </w:t>
      </w:r>
      <w:r w:rsidR="00BF647F" w:rsidRPr="00571F0B">
        <w:rPr>
          <w:lang w:val="en-GB"/>
        </w:rPr>
        <w:t xml:space="preserve">economic </w:t>
      </w:r>
      <w:r w:rsidR="00AF79FB" w:rsidRPr="00AF79FB">
        <w:rPr>
          <w:lang w:val="en-GB"/>
        </w:rPr>
        <w:t>development</w:t>
      </w:r>
      <w:r w:rsidR="00BF647F" w:rsidRPr="00571F0B">
        <w:rPr>
          <w:lang w:val="en-GB"/>
        </w:rPr>
        <w:t xml:space="preserve">. </w:t>
      </w:r>
      <w:r w:rsidR="00CA1995">
        <w:rPr>
          <w:lang w:val="en-GB"/>
        </w:rPr>
        <w:t xml:space="preserve">As presented in Table </w:t>
      </w:r>
      <w:r w:rsidR="004212BB">
        <w:rPr>
          <w:lang w:val="en-GB"/>
        </w:rPr>
        <w:t>1</w:t>
      </w:r>
      <w:r w:rsidR="00CA1995">
        <w:rPr>
          <w:lang w:val="en-GB"/>
        </w:rPr>
        <w:t xml:space="preserve"> t</w:t>
      </w:r>
      <w:r w:rsidR="00FA52E7" w:rsidRPr="00FA52E7">
        <w:rPr>
          <w:lang w:val="en-GB"/>
        </w:rPr>
        <w:t xml:space="preserve">hese priorities align with the demand from Phase III. </w:t>
      </w:r>
      <w:r w:rsidR="00BF647F" w:rsidRPr="00571F0B">
        <w:rPr>
          <w:lang w:val="en-GB"/>
        </w:rPr>
        <w:t xml:space="preserve">It is stressed that the </w:t>
      </w:r>
      <w:r w:rsidR="002820B7">
        <w:rPr>
          <w:lang w:val="en-GB"/>
        </w:rPr>
        <w:t>allocation</w:t>
      </w:r>
      <w:r w:rsidR="00BF647F" w:rsidRPr="00571F0B">
        <w:rPr>
          <w:lang w:val="en-GB"/>
        </w:rPr>
        <w:t xml:space="preserve"> for each </w:t>
      </w:r>
      <w:r w:rsidR="00BF647F" w:rsidRPr="00571F0B">
        <w:rPr>
          <w:lang w:val="en-GB"/>
        </w:rPr>
        <w:lastRenderedPageBreak/>
        <w:t xml:space="preserve">sector </w:t>
      </w:r>
      <w:r w:rsidR="00C91D63" w:rsidRPr="00571F0B">
        <w:rPr>
          <w:lang w:val="en-GB"/>
        </w:rPr>
        <w:t xml:space="preserve">was not </w:t>
      </w:r>
      <w:r w:rsidR="002820B7">
        <w:rPr>
          <w:lang w:val="en-GB"/>
        </w:rPr>
        <w:t>requested</w:t>
      </w:r>
      <w:r w:rsidR="00FA52E7" w:rsidRPr="00FA52E7">
        <w:t xml:space="preserve"> </w:t>
      </w:r>
      <w:r w:rsidR="00252675">
        <w:t>for</w:t>
      </w:r>
      <w:r w:rsidR="00FA52E7">
        <w:t xml:space="preserve"> the </w:t>
      </w:r>
      <w:r w:rsidR="003076C2">
        <w:rPr>
          <w:lang w:val="en-GB"/>
        </w:rPr>
        <w:t>design stage;</w:t>
      </w:r>
      <w:r w:rsidR="002820B7">
        <w:rPr>
          <w:lang w:val="en-GB"/>
        </w:rPr>
        <w:t xml:space="preserve"> neither was a detailed analysis of the </w:t>
      </w:r>
      <w:r w:rsidR="00343332">
        <w:rPr>
          <w:lang w:val="en-GB"/>
        </w:rPr>
        <w:t xml:space="preserve">support opportunities within </w:t>
      </w:r>
      <w:r w:rsidR="007F0723">
        <w:rPr>
          <w:lang w:val="en-GB"/>
        </w:rPr>
        <w:t xml:space="preserve">each </w:t>
      </w:r>
      <w:r w:rsidR="002820B7">
        <w:rPr>
          <w:lang w:val="en-GB"/>
        </w:rPr>
        <w:t xml:space="preserve">sector. The design has ensured that </w:t>
      </w:r>
      <w:r w:rsidR="007F0723">
        <w:rPr>
          <w:lang w:val="en-GB"/>
        </w:rPr>
        <w:t xml:space="preserve">sector support allocations are a key </w:t>
      </w:r>
      <w:r w:rsidR="00BF647F" w:rsidRPr="00571F0B">
        <w:rPr>
          <w:lang w:val="en-GB"/>
        </w:rPr>
        <w:t xml:space="preserve">strategic decision </w:t>
      </w:r>
      <w:r w:rsidR="007F0723">
        <w:rPr>
          <w:lang w:val="en-GB"/>
        </w:rPr>
        <w:t xml:space="preserve">to be </w:t>
      </w:r>
      <w:r w:rsidR="00BF647F" w:rsidRPr="00571F0B">
        <w:rPr>
          <w:lang w:val="en-GB"/>
        </w:rPr>
        <w:t>made at the start of IF (IV)</w:t>
      </w:r>
      <w:r w:rsidR="007F0723">
        <w:rPr>
          <w:lang w:val="en-GB"/>
        </w:rPr>
        <w:t>,</w:t>
      </w:r>
      <w:r w:rsidR="00BF647F" w:rsidRPr="00571F0B">
        <w:rPr>
          <w:lang w:val="en-GB"/>
        </w:rPr>
        <w:t xml:space="preserve"> and </w:t>
      </w:r>
      <w:r w:rsidR="007F0723">
        <w:rPr>
          <w:lang w:val="en-GB"/>
        </w:rPr>
        <w:t xml:space="preserve">that support will then be approved and </w:t>
      </w:r>
      <w:r w:rsidR="00BF647F" w:rsidRPr="00571F0B">
        <w:rPr>
          <w:lang w:val="en-GB"/>
        </w:rPr>
        <w:t>implemented through the annual planning process.</w:t>
      </w:r>
    </w:p>
    <w:p w:rsidR="00C32FF0" w:rsidRPr="00832208" w:rsidRDefault="00C32FF0" w:rsidP="00D73E0E">
      <w:pPr>
        <w:spacing w:before="0" w:after="0"/>
        <w:rPr>
          <w:sz w:val="16"/>
          <w:szCs w:val="16"/>
          <w:lang w:val="en-GB"/>
        </w:rPr>
      </w:pPr>
    </w:p>
    <w:p w:rsidR="00BF209F" w:rsidRPr="00571F0B" w:rsidRDefault="00BF209F" w:rsidP="00BF209F">
      <w:pPr>
        <w:pStyle w:val="Caption"/>
        <w:rPr>
          <w:lang w:val="en-GB"/>
        </w:rPr>
      </w:pPr>
      <w:bookmarkStart w:id="7" w:name="_Toc403037623"/>
      <w:r w:rsidRPr="00571F0B">
        <w:rPr>
          <w:lang w:val="en-GB"/>
        </w:rPr>
        <w:t xml:space="preserve">Table </w:t>
      </w:r>
      <w:r w:rsidR="00D3593A" w:rsidRPr="00571F0B">
        <w:rPr>
          <w:lang w:val="en-GB"/>
        </w:rPr>
        <w:fldChar w:fldCharType="begin"/>
      </w:r>
      <w:r w:rsidR="00D3593A" w:rsidRPr="00571F0B">
        <w:rPr>
          <w:lang w:val="en-GB"/>
        </w:rPr>
        <w:instrText xml:space="preserve"> SEQ Table \* ARABIC </w:instrText>
      </w:r>
      <w:r w:rsidR="00D3593A" w:rsidRPr="00571F0B">
        <w:rPr>
          <w:lang w:val="en-GB"/>
        </w:rPr>
        <w:fldChar w:fldCharType="separate"/>
      </w:r>
      <w:r w:rsidR="006C1E87">
        <w:rPr>
          <w:noProof/>
          <w:lang w:val="en-GB"/>
        </w:rPr>
        <w:t>1</w:t>
      </w:r>
      <w:r w:rsidR="00D3593A" w:rsidRPr="00571F0B">
        <w:rPr>
          <w:lang w:val="en-GB"/>
        </w:rPr>
        <w:fldChar w:fldCharType="end"/>
      </w:r>
      <w:r w:rsidR="00D3593A">
        <w:rPr>
          <w:lang w:val="en-GB"/>
        </w:rPr>
        <w:t xml:space="preserve">: </w:t>
      </w:r>
      <w:r w:rsidR="002B7876" w:rsidRPr="002B7876">
        <w:rPr>
          <w:lang w:val="en-GB"/>
        </w:rPr>
        <w:t xml:space="preserve">IF (IV) </w:t>
      </w:r>
      <w:r w:rsidR="00941395">
        <w:rPr>
          <w:lang w:val="en-GB"/>
        </w:rPr>
        <w:t>investment p</w:t>
      </w:r>
      <w:r w:rsidRPr="00571F0B">
        <w:rPr>
          <w:lang w:val="en-GB"/>
        </w:rPr>
        <w:t>riorities</w:t>
      </w:r>
      <w:bookmarkEnd w:id="7"/>
    </w:p>
    <w:tbl>
      <w:tblPr>
        <w:tblStyle w:val="TableGrid"/>
        <w:tblW w:w="0" w:type="auto"/>
        <w:jc w:val="center"/>
        <w:tblLook w:val="04A0" w:firstRow="1" w:lastRow="0" w:firstColumn="1" w:lastColumn="0" w:noHBand="0" w:noVBand="1"/>
      </w:tblPr>
      <w:tblGrid>
        <w:gridCol w:w="3096"/>
        <w:gridCol w:w="3096"/>
      </w:tblGrid>
      <w:tr w:rsidR="00BF209F" w:rsidRPr="00571F0B" w:rsidTr="00D3593A">
        <w:trPr>
          <w:jc w:val="center"/>
        </w:trPr>
        <w:tc>
          <w:tcPr>
            <w:tcW w:w="3096" w:type="dxa"/>
            <w:shd w:val="clear" w:color="auto" w:fill="D6E3BC" w:themeFill="accent3" w:themeFillTint="66"/>
          </w:tcPr>
          <w:p w:rsidR="00BF209F" w:rsidRPr="00571F0B" w:rsidRDefault="002B7876" w:rsidP="00BF209F">
            <w:pPr>
              <w:spacing w:before="0" w:after="0"/>
              <w:jc w:val="center"/>
              <w:rPr>
                <w:rFonts w:ascii="Arial Narrow" w:hAnsi="Arial Narrow"/>
                <w:b/>
                <w:lang w:val="en-GB"/>
              </w:rPr>
            </w:pPr>
            <w:r w:rsidRPr="002B7876">
              <w:rPr>
                <w:rFonts w:ascii="Arial Narrow" w:hAnsi="Arial Narrow"/>
                <w:b/>
                <w:lang w:val="en-GB"/>
              </w:rPr>
              <w:t xml:space="preserve">IF (IV) </w:t>
            </w:r>
            <w:r w:rsidR="00BF209F" w:rsidRPr="00571F0B">
              <w:rPr>
                <w:rFonts w:ascii="Arial Narrow" w:hAnsi="Arial Narrow"/>
                <w:b/>
                <w:lang w:val="en-GB"/>
              </w:rPr>
              <w:t>Priority Sector</w:t>
            </w:r>
          </w:p>
        </w:tc>
        <w:tc>
          <w:tcPr>
            <w:tcW w:w="3096" w:type="dxa"/>
            <w:shd w:val="clear" w:color="auto" w:fill="D6E3BC" w:themeFill="accent3" w:themeFillTint="66"/>
          </w:tcPr>
          <w:p w:rsidR="00BF209F" w:rsidRPr="00571F0B" w:rsidRDefault="00BF209F" w:rsidP="00BF209F">
            <w:pPr>
              <w:spacing w:before="0" w:after="0"/>
              <w:jc w:val="center"/>
              <w:rPr>
                <w:rFonts w:ascii="Arial Narrow" w:hAnsi="Arial Narrow"/>
                <w:b/>
                <w:lang w:val="en-GB"/>
              </w:rPr>
            </w:pPr>
            <w:r w:rsidRPr="00571F0B">
              <w:rPr>
                <w:rFonts w:ascii="Arial Narrow" w:hAnsi="Arial Narrow"/>
                <w:b/>
                <w:lang w:val="en-GB"/>
              </w:rPr>
              <w:t>Phase III Demand</w:t>
            </w:r>
          </w:p>
        </w:tc>
      </w:tr>
      <w:tr w:rsidR="00BF209F" w:rsidRPr="00571F0B" w:rsidTr="00D3593A">
        <w:trPr>
          <w:jc w:val="center"/>
        </w:trPr>
        <w:tc>
          <w:tcPr>
            <w:tcW w:w="3096" w:type="dxa"/>
          </w:tcPr>
          <w:p w:rsidR="00BF209F" w:rsidRPr="00571F0B" w:rsidRDefault="00BF209F" w:rsidP="000612CF">
            <w:pPr>
              <w:spacing w:before="0" w:after="0"/>
              <w:rPr>
                <w:rFonts w:ascii="Arial Narrow" w:hAnsi="Arial Narrow"/>
                <w:lang w:val="en-GB"/>
              </w:rPr>
            </w:pPr>
            <w:r w:rsidRPr="00571F0B">
              <w:rPr>
                <w:rFonts w:ascii="Arial Narrow" w:hAnsi="Arial Narrow"/>
                <w:lang w:val="en-GB"/>
              </w:rPr>
              <w:t>Health</w:t>
            </w:r>
          </w:p>
        </w:tc>
        <w:tc>
          <w:tcPr>
            <w:tcW w:w="3096" w:type="dxa"/>
          </w:tcPr>
          <w:p w:rsidR="00BF209F" w:rsidRPr="00571F0B" w:rsidRDefault="00BF209F" w:rsidP="00BF209F">
            <w:pPr>
              <w:spacing w:before="0" w:after="0"/>
              <w:jc w:val="center"/>
              <w:rPr>
                <w:rFonts w:ascii="Arial Narrow" w:hAnsi="Arial Narrow"/>
                <w:lang w:val="en-GB"/>
              </w:rPr>
            </w:pPr>
            <w:r w:rsidRPr="00571F0B">
              <w:rPr>
                <w:rFonts w:ascii="Arial Narrow" w:hAnsi="Arial Narrow"/>
                <w:lang w:val="en-GB"/>
              </w:rPr>
              <w:t>13%</w:t>
            </w:r>
          </w:p>
        </w:tc>
      </w:tr>
      <w:tr w:rsidR="00BF209F" w:rsidRPr="00571F0B" w:rsidTr="00D3593A">
        <w:trPr>
          <w:jc w:val="center"/>
        </w:trPr>
        <w:tc>
          <w:tcPr>
            <w:tcW w:w="3096" w:type="dxa"/>
          </w:tcPr>
          <w:p w:rsidR="00BF209F" w:rsidRPr="00571F0B" w:rsidRDefault="00BF209F" w:rsidP="000612CF">
            <w:pPr>
              <w:spacing w:before="0" w:after="0"/>
              <w:rPr>
                <w:rFonts w:ascii="Arial Narrow" w:hAnsi="Arial Narrow"/>
                <w:lang w:val="en-GB"/>
              </w:rPr>
            </w:pPr>
            <w:r w:rsidRPr="00571F0B">
              <w:rPr>
                <w:rFonts w:ascii="Arial Narrow" w:hAnsi="Arial Narrow"/>
                <w:lang w:val="en-GB"/>
              </w:rPr>
              <w:t>Education</w:t>
            </w:r>
          </w:p>
        </w:tc>
        <w:tc>
          <w:tcPr>
            <w:tcW w:w="3096" w:type="dxa"/>
          </w:tcPr>
          <w:p w:rsidR="00BF209F" w:rsidRPr="00571F0B" w:rsidRDefault="00BF209F" w:rsidP="00BF209F">
            <w:pPr>
              <w:spacing w:before="0" w:after="0"/>
              <w:jc w:val="center"/>
              <w:rPr>
                <w:rFonts w:ascii="Arial Narrow" w:hAnsi="Arial Narrow"/>
                <w:lang w:val="en-GB"/>
              </w:rPr>
            </w:pPr>
            <w:r w:rsidRPr="00571F0B">
              <w:rPr>
                <w:rFonts w:ascii="Arial Narrow" w:hAnsi="Arial Narrow"/>
                <w:lang w:val="en-GB"/>
              </w:rPr>
              <w:t>47%</w:t>
            </w:r>
          </w:p>
        </w:tc>
      </w:tr>
      <w:tr w:rsidR="00BF209F" w:rsidRPr="00571F0B" w:rsidTr="00D3593A">
        <w:trPr>
          <w:jc w:val="center"/>
        </w:trPr>
        <w:tc>
          <w:tcPr>
            <w:tcW w:w="3096" w:type="dxa"/>
          </w:tcPr>
          <w:p w:rsidR="00BF209F" w:rsidRPr="00571F0B" w:rsidRDefault="00BF209F" w:rsidP="000612CF">
            <w:pPr>
              <w:spacing w:before="0" w:after="0"/>
              <w:rPr>
                <w:rFonts w:ascii="Arial Narrow" w:hAnsi="Arial Narrow"/>
                <w:lang w:val="en-GB"/>
              </w:rPr>
            </w:pPr>
            <w:r w:rsidRPr="00571F0B">
              <w:rPr>
                <w:rFonts w:ascii="Arial Narrow" w:hAnsi="Arial Narrow"/>
                <w:lang w:val="en-GB"/>
              </w:rPr>
              <w:t xml:space="preserve">Economic </w:t>
            </w:r>
            <w:r w:rsidR="00AF79FB">
              <w:rPr>
                <w:rFonts w:ascii="Arial Narrow" w:hAnsi="Arial Narrow"/>
                <w:lang w:val="en-GB"/>
              </w:rPr>
              <w:t>D</w:t>
            </w:r>
            <w:r w:rsidR="00AF79FB" w:rsidRPr="00AF79FB">
              <w:rPr>
                <w:rFonts w:ascii="Arial Narrow" w:hAnsi="Arial Narrow"/>
                <w:lang w:val="en-GB"/>
              </w:rPr>
              <w:t>evelopment</w:t>
            </w:r>
          </w:p>
        </w:tc>
        <w:tc>
          <w:tcPr>
            <w:tcW w:w="3096" w:type="dxa"/>
          </w:tcPr>
          <w:p w:rsidR="00BF209F" w:rsidRPr="00571F0B" w:rsidRDefault="00BF209F" w:rsidP="00BF209F">
            <w:pPr>
              <w:spacing w:before="0" w:after="0"/>
              <w:jc w:val="center"/>
              <w:rPr>
                <w:rFonts w:ascii="Arial Narrow" w:hAnsi="Arial Narrow"/>
                <w:lang w:val="en-GB"/>
              </w:rPr>
            </w:pPr>
            <w:r w:rsidRPr="00571F0B">
              <w:rPr>
                <w:rFonts w:ascii="Arial Narrow" w:hAnsi="Arial Narrow"/>
                <w:lang w:val="en-GB"/>
              </w:rPr>
              <w:t>16%</w:t>
            </w:r>
          </w:p>
        </w:tc>
      </w:tr>
    </w:tbl>
    <w:p w:rsidR="00C32FF0" w:rsidRPr="00832208" w:rsidRDefault="00C32FF0" w:rsidP="00832208">
      <w:pPr>
        <w:spacing w:before="0" w:after="0"/>
        <w:rPr>
          <w:sz w:val="16"/>
          <w:szCs w:val="16"/>
          <w:lang w:val="en-GB"/>
        </w:rPr>
      </w:pPr>
    </w:p>
    <w:p w:rsidR="00CA1995" w:rsidRDefault="00276EEA" w:rsidP="00832208">
      <w:pPr>
        <w:spacing w:before="0" w:after="0"/>
        <w:rPr>
          <w:lang w:val="en-GB"/>
        </w:rPr>
      </w:pPr>
      <w:r>
        <w:rPr>
          <w:lang w:val="en-GB"/>
        </w:rPr>
        <w:t>Aid assessment recommendations have been c</w:t>
      </w:r>
      <w:r w:rsidR="00442E97">
        <w:rPr>
          <w:lang w:val="en-GB"/>
        </w:rPr>
        <w:t xml:space="preserve">onfirmed by </w:t>
      </w:r>
      <w:r>
        <w:rPr>
          <w:lang w:val="en-GB"/>
        </w:rPr>
        <w:t xml:space="preserve">a DFAT policy entitled </w:t>
      </w:r>
      <w:r w:rsidR="00442E97" w:rsidRPr="00442E97">
        <w:rPr>
          <w:i/>
          <w:lang w:val="en-GB"/>
        </w:rPr>
        <w:t>A New Direction for Australian Aid in PNG</w:t>
      </w:r>
      <w:r>
        <w:rPr>
          <w:i/>
          <w:lang w:val="en-GB"/>
        </w:rPr>
        <w:t xml:space="preserve">. </w:t>
      </w:r>
      <w:r w:rsidRPr="00276EEA">
        <w:rPr>
          <w:lang w:val="en-GB"/>
        </w:rPr>
        <w:t>T</w:t>
      </w:r>
      <w:r w:rsidR="00CA1995" w:rsidRPr="00276EEA">
        <w:rPr>
          <w:lang w:val="en-GB"/>
        </w:rPr>
        <w:t>he</w:t>
      </w:r>
      <w:r w:rsidR="00CA1995">
        <w:rPr>
          <w:lang w:val="en-GB"/>
        </w:rPr>
        <w:t xml:space="preserve"> following guidance presented in </w:t>
      </w:r>
      <w:r w:rsidR="00AD7F83">
        <w:rPr>
          <w:lang w:val="en-GB"/>
        </w:rPr>
        <w:t xml:space="preserve">Table 2 describes how </w:t>
      </w:r>
      <w:r w:rsidR="00CA1995">
        <w:rPr>
          <w:lang w:val="en-GB"/>
        </w:rPr>
        <w:t>Australia proposes to align aid investments to GoPNG priorities</w:t>
      </w:r>
      <w:r w:rsidR="00AD7F83">
        <w:rPr>
          <w:lang w:val="en-GB"/>
        </w:rPr>
        <w:t>.</w:t>
      </w:r>
      <w:r w:rsidR="00CA1995">
        <w:rPr>
          <w:lang w:val="en-GB"/>
        </w:rPr>
        <w:t xml:space="preserve"> </w:t>
      </w:r>
    </w:p>
    <w:p w:rsidR="00CA1995" w:rsidRDefault="00CA1995" w:rsidP="00832208">
      <w:pPr>
        <w:spacing w:before="0" w:after="0"/>
        <w:rPr>
          <w:lang w:val="en-GB"/>
        </w:rPr>
      </w:pPr>
    </w:p>
    <w:p w:rsidR="00CA1995" w:rsidRDefault="00CA1995" w:rsidP="00CA1995">
      <w:pPr>
        <w:pStyle w:val="Caption"/>
        <w:rPr>
          <w:lang w:val="en-GB"/>
        </w:rPr>
      </w:pPr>
      <w:bookmarkStart w:id="8" w:name="_Toc403037624"/>
      <w:r>
        <w:t xml:space="preserve">Table </w:t>
      </w:r>
      <w:fldSimple w:instr=" SEQ Table \* ARABIC ">
        <w:r w:rsidR="006C1E87">
          <w:rPr>
            <w:noProof/>
          </w:rPr>
          <w:t>2</w:t>
        </w:r>
      </w:fldSimple>
      <w:r w:rsidR="00AD7F83">
        <w:t xml:space="preserve"> </w:t>
      </w:r>
      <w:r w:rsidR="00AD7F83">
        <w:rPr>
          <w:lang w:val="en-GB"/>
        </w:rPr>
        <w:t>A</w:t>
      </w:r>
      <w:r w:rsidR="00AD7F83" w:rsidRPr="00AD7F83">
        <w:rPr>
          <w:lang w:val="en-GB"/>
        </w:rPr>
        <w:t>lign</w:t>
      </w:r>
      <w:r w:rsidR="00AD7F83">
        <w:rPr>
          <w:lang w:val="en-GB"/>
        </w:rPr>
        <w:t>ment of</w:t>
      </w:r>
      <w:r w:rsidR="00AD7F83" w:rsidRPr="00AD7F83">
        <w:rPr>
          <w:lang w:val="en-GB"/>
        </w:rPr>
        <w:t xml:space="preserve"> </w:t>
      </w:r>
      <w:r w:rsidR="00AD7F83">
        <w:rPr>
          <w:lang w:val="en-GB"/>
        </w:rPr>
        <w:t>Australian A</w:t>
      </w:r>
      <w:r w:rsidR="00AD7F83" w:rsidRPr="00AD7F83">
        <w:rPr>
          <w:lang w:val="en-GB"/>
        </w:rPr>
        <w:t>id investments</w:t>
      </w:r>
      <w:r w:rsidR="00AD7F83">
        <w:rPr>
          <w:lang w:val="en-GB"/>
        </w:rPr>
        <w:t xml:space="preserve"> to GoPNG priorities</w:t>
      </w:r>
      <w:bookmarkEnd w:id="8"/>
    </w:p>
    <w:p w:rsidR="00CA1995" w:rsidRDefault="00CA1995" w:rsidP="00832208">
      <w:pPr>
        <w:spacing w:before="0" w:after="0"/>
        <w:rPr>
          <w:lang w:val="en-GB"/>
        </w:rPr>
      </w:pPr>
    </w:p>
    <w:tbl>
      <w:tblPr>
        <w:tblStyle w:val="TableGrid"/>
        <w:tblW w:w="0" w:type="auto"/>
        <w:jc w:val="center"/>
        <w:tblLook w:val="04A0" w:firstRow="1" w:lastRow="0" w:firstColumn="1" w:lastColumn="0" w:noHBand="0" w:noVBand="1"/>
      </w:tblPr>
      <w:tblGrid>
        <w:gridCol w:w="1885"/>
        <w:gridCol w:w="7178"/>
      </w:tblGrid>
      <w:tr w:rsidR="00AD7F83" w:rsidRPr="00AD7F83" w:rsidTr="00083597">
        <w:trPr>
          <w:jc w:val="center"/>
        </w:trPr>
        <w:tc>
          <w:tcPr>
            <w:tcW w:w="1885" w:type="dxa"/>
            <w:shd w:val="clear" w:color="auto" w:fill="D6E3BC" w:themeFill="accent3" w:themeFillTint="66"/>
          </w:tcPr>
          <w:p w:rsidR="00AD7F83" w:rsidRPr="00AD7F83" w:rsidRDefault="00442E97" w:rsidP="00AD7F83">
            <w:pPr>
              <w:spacing w:before="0" w:after="0"/>
              <w:jc w:val="center"/>
              <w:rPr>
                <w:rFonts w:ascii="Arial Narrow" w:hAnsi="Arial Narrow"/>
                <w:b/>
                <w:sz w:val="20"/>
                <w:lang w:val="en-GB"/>
              </w:rPr>
            </w:pPr>
            <w:r>
              <w:rPr>
                <w:rFonts w:ascii="Arial Narrow" w:hAnsi="Arial Narrow"/>
                <w:b/>
                <w:sz w:val="20"/>
                <w:lang w:val="en-GB"/>
              </w:rPr>
              <w:t>GoPNG p</w:t>
            </w:r>
            <w:r w:rsidR="00AD7F83" w:rsidRPr="00AD7F83">
              <w:rPr>
                <w:rFonts w:ascii="Arial Narrow" w:hAnsi="Arial Narrow"/>
                <w:b/>
                <w:sz w:val="20"/>
                <w:lang w:val="en-GB"/>
              </w:rPr>
              <w:t>riority</w:t>
            </w:r>
          </w:p>
        </w:tc>
        <w:tc>
          <w:tcPr>
            <w:tcW w:w="7178" w:type="dxa"/>
            <w:shd w:val="clear" w:color="auto" w:fill="D6E3BC" w:themeFill="accent3" w:themeFillTint="66"/>
          </w:tcPr>
          <w:p w:rsidR="00AD7F83" w:rsidRPr="00AD7F83" w:rsidRDefault="00AD7F83" w:rsidP="00AD7F83">
            <w:pPr>
              <w:spacing w:before="0" w:after="0"/>
              <w:jc w:val="center"/>
              <w:rPr>
                <w:rFonts w:ascii="Arial Narrow" w:hAnsi="Arial Narrow"/>
                <w:b/>
                <w:sz w:val="20"/>
                <w:lang w:val="en-GB"/>
              </w:rPr>
            </w:pPr>
            <w:r w:rsidRPr="00AD7F83">
              <w:rPr>
                <w:rFonts w:ascii="Arial Narrow" w:hAnsi="Arial Narrow"/>
                <w:b/>
                <w:sz w:val="20"/>
                <w:lang w:val="en-GB"/>
              </w:rPr>
              <w:t>Australia’s proposed approach</w:t>
            </w:r>
          </w:p>
        </w:tc>
      </w:tr>
      <w:tr w:rsidR="00AD7F83" w:rsidTr="00083597">
        <w:trPr>
          <w:jc w:val="center"/>
        </w:trPr>
        <w:tc>
          <w:tcPr>
            <w:tcW w:w="1885" w:type="dxa"/>
          </w:tcPr>
          <w:p w:rsidR="00AD7F83" w:rsidRPr="00AD7F83" w:rsidRDefault="00AD7F83" w:rsidP="00AD7F83">
            <w:pPr>
              <w:spacing w:before="0" w:after="0"/>
              <w:jc w:val="left"/>
              <w:rPr>
                <w:rFonts w:ascii="Arial Narrow" w:hAnsi="Arial Narrow"/>
                <w:sz w:val="20"/>
                <w:lang w:val="en-GB"/>
              </w:rPr>
            </w:pPr>
            <w:r w:rsidRPr="00AD7F83">
              <w:rPr>
                <w:rFonts w:ascii="Arial Narrow" w:hAnsi="Arial Narrow"/>
                <w:sz w:val="20"/>
                <w:lang w:val="en-GB"/>
              </w:rPr>
              <w:t>Greater focus on infrastructure</w:t>
            </w:r>
          </w:p>
        </w:tc>
        <w:tc>
          <w:tcPr>
            <w:tcW w:w="7178" w:type="dxa"/>
          </w:tcPr>
          <w:p w:rsidR="00AD7F83" w:rsidRPr="00AD7F83" w:rsidRDefault="00AD7F83" w:rsidP="00AD7F83">
            <w:pPr>
              <w:spacing w:before="0" w:after="0"/>
              <w:rPr>
                <w:rFonts w:ascii="Arial Narrow" w:hAnsi="Arial Narrow"/>
                <w:sz w:val="20"/>
                <w:lang w:val="en-GB"/>
              </w:rPr>
            </w:pPr>
            <w:r w:rsidRPr="00AD7F83">
              <w:rPr>
                <w:rFonts w:ascii="Arial Narrow" w:hAnsi="Arial Narrow"/>
                <w:sz w:val="20"/>
                <w:lang w:val="en-GB"/>
              </w:rPr>
              <w:t>Insufficient or inadequate infrastructure creates significant costs to doing business, and constrains economic growth. Australia’s aid investment in infrastructure is currently set to increase from 37% of the program to approximately 50% by 2017. Australia should support the PNG Government’s goal of delivering infrastructure that will encourage economic growth. Australia should establish a new Economic Infrastructure Advice Facility to provide advice to the PNG Government on scoping, planning and financing the infrastructure needed to support economic growth, and the required reforms that underpin these efforts. It should also be available to provide advice on private-sector partnerships to leverage domestic and international finance for key infrastructure investment projects.</w:t>
            </w:r>
          </w:p>
        </w:tc>
      </w:tr>
      <w:tr w:rsidR="00AD7F83" w:rsidTr="00083597">
        <w:trPr>
          <w:jc w:val="center"/>
        </w:trPr>
        <w:tc>
          <w:tcPr>
            <w:tcW w:w="1885" w:type="dxa"/>
          </w:tcPr>
          <w:p w:rsidR="00AD7F83" w:rsidRPr="00AD7F83" w:rsidRDefault="00AD7F83" w:rsidP="00AD7F83">
            <w:pPr>
              <w:spacing w:before="0" w:after="0"/>
              <w:jc w:val="left"/>
              <w:rPr>
                <w:rFonts w:ascii="Arial Narrow" w:hAnsi="Arial Narrow"/>
                <w:sz w:val="20"/>
                <w:lang w:val="en-GB"/>
              </w:rPr>
            </w:pPr>
            <w:r w:rsidRPr="00AD7F83">
              <w:rPr>
                <w:rFonts w:ascii="Arial Narrow" w:hAnsi="Arial Narrow"/>
                <w:sz w:val="20"/>
                <w:lang w:val="en-GB"/>
              </w:rPr>
              <w:t>Australian aid to shift away from direct service delivery as PNG builds capacity to meet the needs of its population</w:t>
            </w:r>
          </w:p>
        </w:tc>
        <w:tc>
          <w:tcPr>
            <w:tcW w:w="7178" w:type="dxa"/>
          </w:tcPr>
          <w:p w:rsidR="00AD7F83" w:rsidRPr="00AD7F83" w:rsidRDefault="00AD7F83" w:rsidP="00AD7F83">
            <w:pPr>
              <w:spacing w:before="0" w:after="0"/>
              <w:rPr>
                <w:rFonts w:ascii="Arial Narrow" w:hAnsi="Arial Narrow"/>
                <w:sz w:val="20"/>
                <w:lang w:val="en-GB"/>
              </w:rPr>
            </w:pPr>
            <w:r w:rsidRPr="00AD7F83">
              <w:rPr>
                <w:rFonts w:ascii="Arial Narrow" w:hAnsi="Arial Narrow"/>
                <w:sz w:val="20"/>
                <w:lang w:val="en-GB"/>
              </w:rPr>
              <w:t>Transitioning Australian aid support away from direct service delivery should occur in a way that does not pose excessive risks to the lives of vulnerable people. Australia should include targeted support for PNG Government to assume responsibility for service delivery in line with Government of PNG’s free health and education policies - particularly the provision of basic medical supplies to the vulnerable poor. Australia should shift away from responsibility for text book distribution, payment of education subsidies and the provision of the majority of basic medical supplies.</w:t>
            </w:r>
          </w:p>
        </w:tc>
      </w:tr>
      <w:tr w:rsidR="00AD7F83" w:rsidTr="00083597">
        <w:trPr>
          <w:jc w:val="center"/>
        </w:trPr>
        <w:tc>
          <w:tcPr>
            <w:tcW w:w="1885" w:type="dxa"/>
          </w:tcPr>
          <w:p w:rsidR="00AD7F83" w:rsidRPr="00AD7F83" w:rsidRDefault="00AD7F83" w:rsidP="00AD7F83">
            <w:pPr>
              <w:spacing w:before="0" w:after="0"/>
              <w:jc w:val="left"/>
              <w:rPr>
                <w:rFonts w:ascii="Arial Narrow" w:hAnsi="Arial Narrow"/>
                <w:sz w:val="20"/>
                <w:lang w:val="en-GB"/>
              </w:rPr>
            </w:pPr>
            <w:r w:rsidRPr="00AD7F83">
              <w:rPr>
                <w:rFonts w:ascii="Arial Narrow" w:hAnsi="Arial Narrow"/>
                <w:sz w:val="20"/>
                <w:lang w:val="en-GB"/>
              </w:rPr>
              <w:t>Job skills development, including greater work-force participation amongst younger citizens</w:t>
            </w:r>
          </w:p>
        </w:tc>
        <w:tc>
          <w:tcPr>
            <w:tcW w:w="7178" w:type="dxa"/>
          </w:tcPr>
          <w:p w:rsidR="00AD7F83" w:rsidRPr="00AD7F83" w:rsidRDefault="00AD7F83" w:rsidP="00AD7F83">
            <w:pPr>
              <w:spacing w:before="0" w:after="0"/>
              <w:rPr>
                <w:rFonts w:ascii="Arial Narrow" w:hAnsi="Arial Narrow"/>
                <w:sz w:val="20"/>
                <w:lang w:val="en-GB"/>
              </w:rPr>
            </w:pPr>
            <w:r w:rsidRPr="00AD7F83">
              <w:rPr>
                <w:rFonts w:ascii="Arial Narrow" w:hAnsi="Arial Narrow"/>
                <w:sz w:val="20"/>
                <w:lang w:val="en-GB"/>
              </w:rPr>
              <w:t>Australia should increase aid investments in TVET and Higher Education, responding to businesses’ and government’s need for more skilled employees. People-to-people and institutional links between PNG and Australia should be grown. Australia should focus its investments in literacy, technical skills, better quality tertiary institutions, and an enhanced teaching and health workforce. Australian aid should support improvements in the quality of education by investing in teachers and school infrastructure enabling more school leavers to be literate and capable of engagement in the cash economy.</w:t>
            </w:r>
          </w:p>
        </w:tc>
      </w:tr>
      <w:tr w:rsidR="00AD7F83" w:rsidTr="00083597">
        <w:trPr>
          <w:jc w:val="center"/>
        </w:trPr>
        <w:tc>
          <w:tcPr>
            <w:tcW w:w="1885" w:type="dxa"/>
          </w:tcPr>
          <w:p w:rsidR="00AD7F83" w:rsidRPr="00AD7F83" w:rsidRDefault="00AD7F83" w:rsidP="00AD7F83">
            <w:pPr>
              <w:spacing w:before="0" w:after="0"/>
              <w:jc w:val="left"/>
              <w:rPr>
                <w:rFonts w:ascii="Arial Narrow" w:hAnsi="Arial Narrow"/>
                <w:sz w:val="20"/>
                <w:lang w:val="en-GB"/>
              </w:rPr>
            </w:pPr>
            <w:r w:rsidRPr="00AD7F83">
              <w:rPr>
                <w:rFonts w:ascii="Arial Narrow" w:hAnsi="Arial Narrow"/>
                <w:sz w:val="20"/>
                <w:lang w:val="en-GB"/>
              </w:rPr>
              <w:t>Focus on improving the enabling environment for business, particularly small-to-medium sized enterprises and partnering with the private sector</w:t>
            </w:r>
          </w:p>
        </w:tc>
        <w:tc>
          <w:tcPr>
            <w:tcW w:w="7178" w:type="dxa"/>
          </w:tcPr>
          <w:p w:rsidR="00AD7F83" w:rsidRPr="00AD7F83" w:rsidRDefault="00AD7F83" w:rsidP="00AD7F83">
            <w:pPr>
              <w:spacing w:before="0" w:after="0"/>
              <w:rPr>
                <w:rFonts w:ascii="Arial Narrow" w:hAnsi="Arial Narrow"/>
                <w:sz w:val="20"/>
                <w:lang w:val="en-GB"/>
              </w:rPr>
            </w:pPr>
            <w:r w:rsidRPr="00AD7F83">
              <w:rPr>
                <w:rFonts w:ascii="Arial Narrow" w:hAnsi="Arial Narrow"/>
                <w:sz w:val="20"/>
                <w:lang w:val="en-GB"/>
              </w:rPr>
              <w:t>The aid program’s private sector growth initiatives should focus where Australia has a comparative advantage and can achieve the most valuable results. This should include addressing economic and governance reforms important to sustainable growth; dialogue with the private sector to inform improvements to the legal, regulatory and policy environment benefiting the sector; partnering with the private sector for improved delivery of infrastructure, health, education and other services; supporting emerging businesses; assisting women’s economic empowerment; supporting rural livelihoods; and investing in technical education and vocational training and improved economic and financial literacy.</w:t>
            </w:r>
          </w:p>
        </w:tc>
      </w:tr>
      <w:tr w:rsidR="00AD7F83" w:rsidTr="00083597">
        <w:trPr>
          <w:jc w:val="center"/>
        </w:trPr>
        <w:tc>
          <w:tcPr>
            <w:tcW w:w="1885" w:type="dxa"/>
          </w:tcPr>
          <w:p w:rsidR="00AD7F83" w:rsidRPr="00AD7F83" w:rsidRDefault="00AD7F83" w:rsidP="00AD7F83">
            <w:pPr>
              <w:spacing w:before="0" w:after="0"/>
              <w:jc w:val="left"/>
              <w:rPr>
                <w:rFonts w:ascii="Arial Narrow" w:hAnsi="Arial Narrow"/>
                <w:sz w:val="20"/>
                <w:lang w:val="en-GB"/>
              </w:rPr>
            </w:pPr>
            <w:r w:rsidRPr="00AD7F83">
              <w:rPr>
                <w:rFonts w:ascii="Arial Narrow" w:hAnsi="Arial Narrow"/>
                <w:sz w:val="20"/>
                <w:lang w:val="en-GB"/>
              </w:rPr>
              <w:t>Law and justice</w:t>
            </w:r>
          </w:p>
        </w:tc>
        <w:tc>
          <w:tcPr>
            <w:tcW w:w="7178" w:type="dxa"/>
          </w:tcPr>
          <w:p w:rsidR="00AD7F83" w:rsidRPr="00AD7F83" w:rsidRDefault="00AD7F83" w:rsidP="00AD7F83">
            <w:pPr>
              <w:spacing w:before="0" w:after="0"/>
              <w:rPr>
                <w:rFonts w:ascii="Arial Narrow" w:hAnsi="Arial Narrow"/>
                <w:sz w:val="20"/>
                <w:lang w:val="en-GB"/>
              </w:rPr>
            </w:pPr>
            <w:r w:rsidRPr="00AD7F83">
              <w:rPr>
                <w:rFonts w:ascii="Arial Narrow" w:hAnsi="Arial Narrow"/>
                <w:sz w:val="20"/>
                <w:lang w:val="en-GB"/>
              </w:rPr>
              <w:t xml:space="preserve">Australia should maintain a strong program of support for building the capacity of the RPNGC to manage law &amp; order including through the deployment of AFP officers in advisory and mentoring roles and expanding the training opportunities for RPNGC members in Australia. Australia will continue to support PNG to improve the business enabling environment by supporting PNG’s efforts to combat corruption through improving legislative and regulatory frameworks, detection, investigation, prosecution and resistance to corruption initiatives and implementing the recommendations of the Financial Action Task Force (FATF). Australia should focus on promoting a culture of performance in the delivering of cost-effective law and justice services. Australia’s aid should continue to strengthen access to justice and local conflict </w:t>
            </w:r>
            <w:r w:rsidRPr="00AD7F83">
              <w:rPr>
                <w:rFonts w:ascii="Arial Narrow" w:hAnsi="Arial Narrow"/>
                <w:sz w:val="20"/>
                <w:lang w:val="en-GB"/>
              </w:rPr>
              <w:lastRenderedPageBreak/>
              <w:t xml:space="preserve">resolution mechanisms to promote community safety and stability. Opportunities to build on existing cooperation with the private sector </w:t>
            </w:r>
            <w:r w:rsidRPr="00AD7F83">
              <w:rPr>
                <w:rFonts w:ascii="Arial Narrow" w:hAnsi="Arial Narrow"/>
                <w:i/>
                <w:sz w:val="20"/>
                <w:lang w:val="en-GB"/>
              </w:rPr>
              <w:t>e.g</w:t>
            </w:r>
            <w:r>
              <w:rPr>
                <w:rFonts w:ascii="Arial Narrow" w:hAnsi="Arial Narrow"/>
                <w:sz w:val="20"/>
                <w:lang w:val="en-GB"/>
              </w:rPr>
              <w:t>.</w:t>
            </w:r>
            <w:r w:rsidRPr="00AD7F83">
              <w:rPr>
                <w:rFonts w:ascii="Arial Narrow" w:hAnsi="Arial Narrow"/>
                <w:sz w:val="20"/>
                <w:lang w:val="en-GB"/>
              </w:rPr>
              <w:t xml:space="preserve"> to increase support for victims of family and sexual violence should be pursued.</w:t>
            </w:r>
          </w:p>
          <w:p w:rsidR="00AD7F83" w:rsidRPr="00AD7F83" w:rsidRDefault="00AD7F83" w:rsidP="00AD7F83">
            <w:pPr>
              <w:spacing w:before="0" w:after="0"/>
              <w:rPr>
                <w:rFonts w:ascii="Arial Narrow" w:hAnsi="Arial Narrow"/>
                <w:sz w:val="20"/>
                <w:lang w:val="en-GB"/>
              </w:rPr>
            </w:pPr>
            <w:r w:rsidRPr="00AD7F83">
              <w:rPr>
                <w:rFonts w:ascii="Arial Narrow" w:hAnsi="Arial Narrow"/>
                <w:sz w:val="20"/>
                <w:lang w:val="en-GB"/>
              </w:rPr>
              <w:t>As a witness to the Bougainville Peace Agreement, strengthening the Bougainville Police Service should be a particular focus for Australia.</w:t>
            </w:r>
          </w:p>
        </w:tc>
      </w:tr>
    </w:tbl>
    <w:p w:rsidR="004212BB" w:rsidRDefault="004212BB" w:rsidP="00832208">
      <w:pPr>
        <w:spacing w:before="0" w:after="0"/>
        <w:rPr>
          <w:lang w:val="en-GB"/>
        </w:rPr>
      </w:pPr>
    </w:p>
    <w:p w:rsidR="00CA1995" w:rsidRDefault="00AD7F83" w:rsidP="00832208">
      <w:pPr>
        <w:spacing w:before="0" w:after="0"/>
        <w:rPr>
          <w:lang w:val="en-GB"/>
        </w:rPr>
      </w:pPr>
      <w:r>
        <w:rPr>
          <w:lang w:val="en-GB"/>
        </w:rPr>
        <w:t xml:space="preserve">Importantly for IF (IV) </w:t>
      </w:r>
      <w:r w:rsidR="00442E97" w:rsidRPr="00442E97">
        <w:rPr>
          <w:i/>
          <w:lang w:val="en-GB"/>
        </w:rPr>
        <w:t>A New Direction for Australian Aid in PNG</w:t>
      </w:r>
      <w:r w:rsidR="00442E97" w:rsidRPr="00442E97">
        <w:rPr>
          <w:lang w:val="en-GB"/>
        </w:rPr>
        <w:t xml:space="preserve"> </w:t>
      </w:r>
      <w:r w:rsidR="00442E97">
        <w:rPr>
          <w:lang w:val="en-GB"/>
        </w:rPr>
        <w:t xml:space="preserve">provides details </w:t>
      </w:r>
      <w:r w:rsidR="00276EEA">
        <w:rPr>
          <w:lang w:val="en-GB"/>
        </w:rPr>
        <w:t xml:space="preserve">of </w:t>
      </w:r>
      <w:r w:rsidR="00442E97">
        <w:rPr>
          <w:lang w:val="en-GB"/>
        </w:rPr>
        <w:t xml:space="preserve">new areas </w:t>
      </w:r>
      <w:r w:rsidR="00276EEA">
        <w:rPr>
          <w:lang w:val="en-GB"/>
        </w:rPr>
        <w:t xml:space="preserve">where </w:t>
      </w:r>
      <w:r w:rsidR="00442E97">
        <w:rPr>
          <w:lang w:val="en-GB"/>
        </w:rPr>
        <w:t>Australian Aid investment in PNG could support economic development. These are presented in Table 3.</w:t>
      </w:r>
    </w:p>
    <w:p w:rsidR="00442E97" w:rsidRDefault="00442E97" w:rsidP="00832208">
      <w:pPr>
        <w:spacing w:before="0" w:after="0"/>
        <w:rPr>
          <w:lang w:val="en-GB"/>
        </w:rPr>
      </w:pPr>
    </w:p>
    <w:p w:rsidR="00442E97" w:rsidRDefault="00442E97" w:rsidP="00442E97">
      <w:pPr>
        <w:pStyle w:val="Caption"/>
        <w:rPr>
          <w:lang w:val="en-GB"/>
        </w:rPr>
      </w:pPr>
      <w:bookmarkStart w:id="9" w:name="_Toc403037625"/>
      <w:r>
        <w:t xml:space="preserve">Table </w:t>
      </w:r>
      <w:fldSimple w:instr=" SEQ Table \* ARABIC ">
        <w:r w:rsidR="006C1E87">
          <w:rPr>
            <w:noProof/>
          </w:rPr>
          <w:t>3</w:t>
        </w:r>
      </w:fldSimple>
      <w:r>
        <w:t xml:space="preserve"> Australian Aid support to economic development in PNG</w:t>
      </w:r>
      <w:bookmarkEnd w:id="9"/>
    </w:p>
    <w:tbl>
      <w:tblPr>
        <w:tblStyle w:val="TableGrid"/>
        <w:tblW w:w="0" w:type="auto"/>
        <w:jc w:val="center"/>
        <w:tblLook w:val="04A0" w:firstRow="1" w:lastRow="0" w:firstColumn="1" w:lastColumn="0" w:noHBand="0" w:noVBand="1"/>
      </w:tblPr>
      <w:tblGrid>
        <w:gridCol w:w="1525"/>
        <w:gridCol w:w="7538"/>
      </w:tblGrid>
      <w:tr w:rsidR="00442E97" w:rsidRPr="00276EEA" w:rsidTr="00083597">
        <w:trPr>
          <w:jc w:val="center"/>
        </w:trPr>
        <w:tc>
          <w:tcPr>
            <w:tcW w:w="1525" w:type="dxa"/>
            <w:shd w:val="clear" w:color="auto" w:fill="D6E3BC" w:themeFill="accent3" w:themeFillTint="66"/>
          </w:tcPr>
          <w:p w:rsidR="00442E97" w:rsidRPr="00276EEA" w:rsidRDefault="00442E97" w:rsidP="00276EEA">
            <w:pPr>
              <w:spacing w:before="0" w:after="0"/>
              <w:jc w:val="center"/>
              <w:rPr>
                <w:rFonts w:ascii="Arial Narrow" w:hAnsi="Arial Narrow"/>
                <w:b/>
                <w:sz w:val="20"/>
                <w:lang w:val="en-GB"/>
              </w:rPr>
            </w:pPr>
            <w:r w:rsidRPr="00276EEA">
              <w:rPr>
                <w:rFonts w:ascii="Arial Narrow" w:hAnsi="Arial Narrow"/>
                <w:b/>
                <w:sz w:val="20"/>
                <w:lang w:val="en-GB"/>
              </w:rPr>
              <w:t>Support area</w:t>
            </w:r>
          </w:p>
        </w:tc>
        <w:tc>
          <w:tcPr>
            <w:tcW w:w="7538" w:type="dxa"/>
            <w:shd w:val="clear" w:color="auto" w:fill="D6E3BC" w:themeFill="accent3" w:themeFillTint="66"/>
          </w:tcPr>
          <w:p w:rsidR="00442E97" w:rsidRPr="00276EEA" w:rsidRDefault="00442E97" w:rsidP="00276EEA">
            <w:pPr>
              <w:spacing w:before="0" w:after="0"/>
              <w:jc w:val="center"/>
              <w:rPr>
                <w:rFonts w:ascii="Arial Narrow" w:hAnsi="Arial Narrow"/>
                <w:b/>
                <w:sz w:val="20"/>
                <w:lang w:val="en-GB"/>
              </w:rPr>
            </w:pPr>
            <w:r w:rsidRPr="00276EEA">
              <w:rPr>
                <w:rFonts w:ascii="Arial Narrow" w:hAnsi="Arial Narrow"/>
                <w:b/>
                <w:sz w:val="20"/>
                <w:lang w:val="en-GB"/>
              </w:rPr>
              <w:t>New area for support</w:t>
            </w:r>
          </w:p>
        </w:tc>
      </w:tr>
      <w:tr w:rsidR="00442E97" w:rsidTr="00083597">
        <w:trPr>
          <w:jc w:val="center"/>
        </w:trPr>
        <w:tc>
          <w:tcPr>
            <w:tcW w:w="1525" w:type="dxa"/>
          </w:tcPr>
          <w:p w:rsidR="00442E97" w:rsidRPr="00276EEA" w:rsidRDefault="00442E97" w:rsidP="00276EEA">
            <w:pPr>
              <w:spacing w:before="0" w:after="0"/>
              <w:jc w:val="left"/>
              <w:rPr>
                <w:rFonts w:ascii="Arial Narrow" w:hAnsi="Arial Narrow"/>
                <w:sz w:val="20"/>
                <w:lang w:val="en-GB"/>
              </w:rPr>
            </w:pPr>
            <w:r w:rsidRPr="00276EEA">
              <w:rPr>
                <w:rFonts w:ascii="Arial Narrow" w:hAnsi="Arial Narrow"/>
                <w:sz w:val="20"/>
                <w:lang w:val="en-GB"/>
              </w:rPr>
              <w:t>Support to policing</w:t>
            </w:r>
          </w:p>
        </w:tc>
        <w:tc>
          <w:tcPr>
            <w:tcW w:w="7538" w:type="dxa"/>
          </w:tcPr>
          <w:p w:rsidR="00442E97" w:rsidRPr="00276EEA" w:rsidRDefault="00442E97" w:rsidP="00276EEA">
            <w:pPr>
              <w:spacing w:before="0" w:after="0"/>
              <w:rPr>
                <w:rFonts w:ascii="Arial Narrow" w:hAnsi="Arial Narrow"/>
                <w:sz w:val="20"/>
                <w:lang w:val="en-GB"/>
              </w:rPr>
            </w:pPr>
            <w:r w:rsidRPr="00276EEA">
              <w:rPr>
                <w:rFonts w:ascii="Arial Narrow" w:hAnsi="Arial Narrow"/>
                <w:sz w:val="20"/>
                <w:lang w:val="en-GB"/>
              </w:rPr>
              <w:t>Maintain a strong program of support for building the capacity of the RPNGC to manage law &amp; order including through the deployment of AFP officers in advisory and mentoring roles and expanding the training opportunities for RPNGC members in Australia.</w:t>
            </w:r>
          </w:p>
        </w:tc>
      </w:tr>
      <w:tr w:rsidR="00442E97" w:rsidTr="00083597">
        <w:trPr>
          <w:jc w:val="center"/>
        </w:trPr>
        <w:tc>
          <w:tcPr>
            <w:tcW w:w="1525" w:type="dxa"/>
          </w:tcPr>
          <w:p w:rsidR="00442E97" w:rsidRPr="00276EEA" w:rsidRDefault="00442E97" w:rsidP="00276EEA">
            <w:pPr>
              <w:spacing w:before="0" w:after="0"/>
              <w:jc w:val="left"/>
              <w:rPr>
                <w:rFonts w:ascii="Arial Narrow" w:hAnsi="Arial Narrow"/>
                <w:sz w:val="20"/>
                <w:lang w:val="en-GB"/>
              </w:rPr>
            </w:pPr>
            <w:r w:rsidRPr="00276EEA">
              <w:rPr>
                <w:rFonts w:ascii="Arial Narrow" w:hAnsi="Arial Narrow"/>
                <w:sz w:val="20"/>
                <w:lang w:val="en-GB"/>
              </w:rPr>
              <w:t>Increased support to Strongim Gavman Program (SGP)</w:t>
            </w:r>
          </w:p>
        </w:tc>
        <w:tc>
          <w:tcPr>
            <w:tcW w:w="7538" w:type="dxa"/>
          </w:tcPr>
          <w:p w:rsidR="00442E97" w:rsidRPr="00276EEA" w:rsidRDefault="00442E97" w:rsidP="00276EEA">
            <w:pPr>
              <w:spacing w:before="0" w:after="0"/>
              <w:rPr>
                <w:rFonts w:ascii="Arial Narrow" w:hAnsi="Arial Narrow"/>
                <w:sz w:val="20"/>
                <w:lang w:val="en-GB"/>
              </w:rPr>
            </w:pPr>
            <w:r w:rsidRPr="00276EEA">
              <w:rPr>
                <w:rFonts w:ascii="Arial Narrow" w:hAnsi="Arial Narrow"/>
                <w:sz w:val="20"/>
                <w:lang w:val="en-GB"/>
              </w:rPr>
              <w:t>Increased advisory support to strengthen government capacity through strategically placed advisors and enhanced training of public sector leaders. This would include the use of both Australian Government officials and contracted technical advisors to pursue essential economic and public sector reforms, to encourage anti-corruption, support functioning markets, reduce barriers of trade and investment, and improve PNG’s service delivery capability. This assistance will aim to build a more effective, transparent and accountable PNG public sector.</w:t>
            </w:r>
          </w:p>
        </w:tc>
      </w:tr>
      <w:tr w:rsidR="00442E97" w:rsidTr="00083597">
        <w:trPr>
          <w:jc w:val="center"/>
        </w:trPr>
        <w:tc>
          <w:tcPr>
            <w:tcW w:w="1525" w:type="dxa"/>
          </w:tcPr>
          <w:p w:rsidR="00442E97" w:rsidRPr="00276EEA" w:rsidRDefault="00442E97" w:rsidP="00276EEA">
            <w:pPr>
              <w:spacing w:before="0" w:after="0"/>
              <w:jc w:val="left"/>
              <w:rPr>
                <w:rFonts w:ascii="Arial Narrow" w:hAnsi="Arial Narrow"/>
                <w:sz w:val="20"/>
                <w:lang w:val="en-GB"/>
              </w:rPr>
            </w:pPr>
            <w:r w:rsidRPr="00276EEA">
              <w:rPr>
                <w:rFonts w:ascii="Arial Narrow" w:hAnsi="Arial Narrow"/>
                <w:sz w:val="20"/>
                <w:lang w:val="en-GB"/>
              </w:rPr>
              <w:t>Private sector development/Aid for Trade</w:t>
            </w:r>
          </w:p>
        </w:tc>
        <w:tc>
          <w:tcPr>
            <w:tcW w:w="7538" w:type="dxa"/>
          </w:tcPr>
          <w:p w:rsidR="00442E97" w:rsidRPr="00276EEA" w:rsidRDefault="00442E97" w:rsidP="00276EEA">
            <w:pPr>
              <w:spacing w:before="0" w:after="0"/>
              <w:rPr>
                <w:rFonts w:ascii="Arial Narrow" w:hAnsi="Arial Narrow"/>
                <w:sz w:val="20"/>
                <w:lang w:val="en-GB"/>
              </w:rPr>
            </w:pPr>
            <w:r w:rsidRPr="00276EEA">
              <w:rPr>
                <w:rFonts w:ascii="Arial Narrow" w:hAnsi="Arial Narrow"/>
                <w:sz w:val="20"/>
                <w:lang w:val="en-GB"/>
              </w:rPr>
              <w:t>Upgrade existing arrangements for consultations with business on the aid program, including by expanding the dialogue to encompass the broader economic policy settings in PNG.</w:t>
            </w:r>
          </w:p>
          <w:p w:rsidR="00442E97" w:rsidRPr="00276EEA" w:rsidRDefault="00442E97" w:rsidP="00276EEA">
            <w:pPr>
              <w:spacing w:before="0" w:after="0"/>
              <w:rPr>
                <w:rFonts w:ascii="Arial Narrow" w:hAnsi="Arial Narrow"/>
                <w:sz w:val="20"/>
                <w:lang w:val="en-GB"/>
              </w:rPr>
            </w:pPr>
            <w:r w:rsidRPr="00276EEA">
              <w:rPr>
                <w:rFonts w:ascii="Arial Narrow" w:hAnsi="Arial Narrow"/>
                <w:sz w:val="20"/>
                <w:lang w:val="en-GB"/>
              </w:rPr>
              <w:t>Increased support for rural livelihoods, in partnership with ACIAR, with a focus on developing markets in the agriculture sector. Opportunities exist to partner with the private sector to provide targeted support to develop markets, generate new economic opportunities and improve access to finance, particularly for women.</w:t>
            </w:r>
          </w:p>
          <w:p w:rsidR="00442E97" w:rsidRPr="00276EEA" w:rsidRDefault="00442E97" w:rsidP="00276EEA">
            <w:pPr>
              <w:spacing w:before="0" w:after="0"/>
              <w:rPr>
                <w:rFonts w:ascii="Arial Narrow" w:hAnsi="Arial Narrow"/>
                <w:sz w:val="20"/>
                <w:lang w:val="en-GB"/>
              </w:rPr>
            </w:pPr>
            <w:r w:rsidRPr="00276EEA">
              <w:rPr>
                <w:rFonts w:ascii="Arial Narrow" w:hAnsi="Arial Narrow"/>
                <w:sz w:val="20"/>
                <w:lang w:val="en-GB"/>
              </w:rPr>
              <w:t>Targeted aid-for-trade support to build PNG’s capacity to deal with cross-border trade issues such as quarantine and customs, to help PNG access international markets, and support for PNG’s preparation for hosting APEC in 2018.</w:t>
            </w:r>
          </w:p>
          <w:p w:rsidR="00442E97" w:rsidRPr="00276EEA" w:rsidRDefault="00442E97" w:rsidP="00276EEA">
            <w:pPr>
              <w:spacing w:before="0" w:after="0"/>
              <w:rPr>
                <w:rFonts w:ascii="Arial Narrow" w:hAnsi="Arial Narrow"/>
                <w:sz w:val="20"/>
                <w:lang w:val="en-GB"/>
              </w:rPr>
            </w:pPr>
            <w:r w:rsidRPr="00276EEA">
              <w:rPr>
                <w:rFonts w:ascii="Arial Narrow" w:hAnsi="Arial Narrow"/>
                <w:sz w:val="20"/>
                <w:lang w:val="en-GB"/>
              </w:rPr>
              <w:t>An innovation fund to encourage social entrepreneurship and business-led investments through a competitive process. The fund would build on the approach of the Incentive Fund and Enterprise Challenge Fund pilot program, aiming to work with well performing institutions and offering</w:t>
            </w:r>
            <w:r w:rsidRPr="00276EEA">
              <w:rPr>
                <w:rFonts w:ascii="Arial Narrow" w:hAnsi="Arial Narrow"/>
                <w:sz w:val="20"/>
              </w:rPr>
              <w:t xml:space="preserve"> </w:t>
            </w:r>
            <w:r w:rsidRPr="00276EEA">
              <w:rPr>
                <w:rFonts w:ascii="Arial Narrow" w:hAnsi="Arial Narrow"/>
                <w:sz w:val="20"/>
                <w:lang w:val="en-GB"/>
              </w:rPr>
              <w:t>innovative solutions to stimulate economic development and support women’s economic empowerment.</w:t>
            </w:r>
          </w:p>
        </w:tc>
      </w:tr>
      <w:tr w:rsidR="00442E97" w:rsidTr="00083597">
        <w:trPr>
          <w:jc w:val="center"/>
        </w:trPr>
        <w:tc>
          <w:tcPr>
            <w:tcW w:w="1525" w:type="dxa"/>
          </w:tcPr>
          <w:p w:rsidR="00442E97" w:rsidRPr="00276EEA" w:rsidRDefault="00442E97" w:rsidP="00276EEA">
            <w:pPr>
              <w:spacing w:before="0" w:after="0"/>
              <w:jc w:val="left"/>
              <w:rPr>
                <w:rFonts w:ascii="Arial Narrow" w:hAnsi="Arial Narrow"/>
                <w:sz w:val="20"/>
                <w:lang w:val="en-GB"/>
              </w:rPr>
            </w:pPr>
            <w:r w:rsidRPr="00276EEA">
              <w:rPr>
                <w:rFonts w:ascii="Arial Narrow" w:hAnsi="Arial Narrow"/>
                <w:sz w:val="20"/>
                <w:lang w:val="en-GB"/>
              </w:rPr>
              <w:t>Increased support to technical vocational education and training (TVET)</w:t>
            </w:r>
          </w:p>
        </w:tc>
        <w:tc>
          <w:tcPr>
            <w:tcW w:w="7538" w:type="dxa"/>
          </w:tcPr>
          <w:p w:rsidR="00442E97" w:rsidRPr="00276EEA" w:rsidRDefault="00442E97" w:rsidP="00276EEA">
            <w:pPr>
              <w:spacing w:before="0" w:after="0"/>
              <w:rPr>
                <w:rFonts w:ascii="Arial Narrow" w:hAnsi="Arial Narrow"/>
                <w:sz w:val="20"/>
                <w:lang w:val="en-GB"/>
              </w:rPr>
            </w:pPr>
            <w:r w:rsidRPr="00276EEA">
              <w:rPr>
                <w:rFonts w:ascii="Arial Narrow" w:hAnsi="Arial Narrow"/>
                <w:sz w:val="20"/>
                <w:lang w:val="en-GB"/>
              </w:rPr>
              <w:t>Increased support to technical vocational education and training (TVET) for skilled human capital. An enhanced investment in the TVET sector would be welcomed by the private sector and could be a key hub in enhanced collaboration with business. Increased investment in TVET would complement the European Union’s expected niche support and Australian aid support for education quality, teachers and school infrastructure enabling more school leavers to be literate and capable of engag</w:t>
            </w:r>
            <w:r w:rsidR="004212BB">
              <w:rPr>
                <w:rFonts w:ascii="Arial Narrow" w:hAnsi="Arial Narrow"/>
                <w:sz w:val="20"/>
                <w:lang w:val="en-GB"/>
              </w:rPr>
              <w:t>e</w:t>
            </w:r>
            <w:r w:rsidRPr="00276EEA">
              <w:rPr>
                <w:rFonts w:ascii="Arial Narrow" w:hAnsi="Arial Narrow"/>
                <w:sz w:val="20"/>
                <w:lang w:val="en-GB"/>
              </w:rPr>
              <w:t>ment in the cash economy.</w:t>
            </w:r>
          </w:p>
          <w:p w:rsidR="00442E97" w:rsidRPr="00276EEA" w:rsidRDefault="00442E97" w:rsidP="00276EEA">
            <w:pPr>
              <w:spacing w:before="0" w:after="0"/>
              <w:rPr>
                <w:rFonts w:ascii="Arial Narrow" w:hAnsi="Arial Narrow"/>
                <w:sz w:val="20"/>
                <w:lang w:val="en-GB"/>
              </w:rPr>
            </w:pPr>
            <w:r w:rsidRPr="00276EEA">
              <w:rPr>
                <w:rFonts w:ascii="Arial Narrow" w:hAnsi="Arial Narrow"/>
                <w:sz w:val="20"/>
                <w:lang w:val="en-GB"/>
              </w:rPr>
              <w:t>Targeted investments to improve economic literacy among graduates and local research institutions, to provide the private and public sectors the critical capacity needed to undertake policy-relevant economic inquiry required to drive economic reform at the national level.</w:t>
            </w:r>
          </w:p>
        </w:tc>
      </w:tr>
      <w:tr w:rsidR="00442E97" w:rsidTr="00083597">
        <w:trPr>
          <w:jc w:val="center"/>
        </w:trPr>
        <w:tc>
          <w:tcPr>
            <w:tcW w:w="1525" w:type="dxa"/>
          </w:tcPr>
          <w:p w:rsidR="00442E97" w:rsidRPr="00276EEA" w:rsidRDefault="00442E97" w:rsidP="00276EEA">
            <w:pPr>
              <w:spacing w:before="0" w:after="0"/>
              <w:jc w:val="left"/>
              <w:rPr>
                <w:rFonts w:ascii="Arial Narrow" w:hAnsi="Arial Narrow"/>
                <w:sz w:val="20"/>
                <w:lang w:val="en-GB"/>
              </w:rPr>
            </w:pPr>
            <w:r w:rsidRPr="00276EEA">
              <w:rPr>
                <w:rFonts w:ascii="Arial Narrow" w:hAnsi="Arial Narrow"/>
                <w:sz w:val="20"/>
                <w:lang w:val="en-GB"/>
              </w:rPr>
              <w:t>Infrastructure</w:t>
            </w:r>
          </w:p>
        </w:tc>
        <w:tc>
          <w:tcPr>
            <w:tcW w:w="7538" w:type="dxa"/>
          </w:tcPr>
          <w:p w:rsidR="00442E97" w:rsidRPr="00276EEA" w:rsidRDefault="00442E97" w:rsidP="00276EEA">
            <w:pPr>
              <w:spacing w:before="0" w:after="0"/>
              <w:rPr>
                <w:rFonts w:ascii="Arial Narrow" w:hAnsi="Arial Narrow"/>
                <w:sz w:val="20"/>
                <w:lang w:val="en-GB"/>
              </w:rPr>
            </w:pPr>
            <w:r w:rsidRPr="00276EEA">
              <w:rPr>
                <w:rFonts w:ascii="Arial Narrow" w:hAnsi="Arial Narrow"/>
                <w:sz w:val="20"/>
                <w:lang w:val="en-GB"/>
              </w:rPr>
              <w:t xml:space="preserve">An Economic Infrastructure Advice Facility to provide advice to the PNG Government on scoping, planning and financing the infrastructure needed to support economic growth, and required reforms, including SOE reforms and privatisation. It would also be available to </w:t>
            </w:r>
            <w:proofErr w:type="gramStart"/>
            <w:r w:rsidRPr="00276EEA">
              <w:rPr>
                <w:rFonts w:ascii="Arial Narrow" w:hAnsi="Arial Narrow"/>
                <w:sz w:val="20"/>
                <w:lang w:val="en-GB"/>
              </w:rPr>
              <w:t>advise</w:t>
            </w:r>
            <w:proofErr w:type="gramEnd"/>
            <w:r w:rsidRPr="00276EEA">
              <w:rPr>
                <w:rFonts w:ascii="Arial Narrow" w:hAnsi="Arial Narrow"/>
                <w:sz w:val="20"/>
                <w:lang w:val="en-GB"/>
              </w:rPr>
              <w:t xml:space="preserve"> on private-sector partnerships to leverage domestic and international finance for key development projects.</w:t>
            </w:r>
          </w:p>
          <w:p w:rsidR="00442E97" w:rsidRPr="00276EEA" w:rsidRDefault="00442E97" w:rsidP="00276EEA">
            <w:pPr>
              <w:spacing w:before="0" w:after="0"/>
              <w:rPr>
                <w:rFonts w:ascii="Arial Narrow" w:hAnsi="Arial Narrow"/>
                <w:sz w:val="20"/>
                <w:lang w:val="en-GB"/>
              </w:rPr>
            </w:pPr>
            <w:r w:rsidRPr="00276EEA">
              <w:rPr>
                <w:rFonts w:ascii="Arial Narrow" w:hAnsi="Arial Narrow"/>
                <w:sz w:val="20"/>
                <w:lang w:val="en-GB"/>
              </w:rPr>
              <w:t>Shifting aid investments from road maintenance to the reconstruction and upgrading of key economic roads critical to supporting the PNG economy, including the Ramu and Highlands Highways as PNG agrees to increase its funding for road maintenance.</w:t>
            </w:r>
          </w:p>
        </w:tc>
      </w:tr>
      <w:tr w:rsidR="00442E97" w:rsidTr="00083597">
        <w:trPr>
          <w:jc w:val="center"/>
        </w:trPr>
        <w:tc>
          <w:tcPr>
            <w:tcW w:w="1525" w:type="dxa"/>
          </w:tcPr>
          <w:p w:rsidR="00442E97" w:rsidRPr="00276EEA" w:rsidRDefault="00442E97" w:rsidP="00276EEA">
            <w:pPr>
              <w:spacing w:before="0" w:after="0"/>
              <w:jc w:val="left"/>
              <w:rPr>
                <w:rFonts w:ascii="Arial Narrow" w:hAnsi="Arial Narrow"/>
                <w:sz w:val="20"/>
                <w:lang w:val="en-GB"/>
              </w:rPr>
            </w:pPr>
            <w:r w:rsidRPr="00276EEA">
              <w:rPr>
                <w:rFonts w:ascii="Arial Narrow" w:hAnsi="Arial Narrow"/>
                <w:sz w:val="20"/>
                <w:lang w:val="en-GB"/>
              </w:rPr>
              <w:t>Women’s leadership and economic empowerment</w:t>
            </w:r>
          </w:p>
        </w:tc>
        <w:tc>
          <w:tcPr>
            <w:tcW w:w="7538" w:type="dxa"/>
          </w:tcPr>
          <w:p w:rsidR="00442E97" w:rsidRPr="00276EEA" w:rsidRDefault="00442E97" w:rsidP="00276EEA">
            <w:pPr>
              <w:spacing w:before="0" w:after="0"/>
              <w:rPr>
                <w:rFonts w:ascii="Arial Narrow" w:hAnsi="Arial Narrow"/>
                <w:sz w:val="20"/>
                <w:lang w:val="en-GB"/>
              </w:rPr>
            </w:pPr>
            <w:r w:rsidRPr="00276EEA">
              <w:rPr>
                <w:rFonts w:ascii="Arial Narrow" w:hAnsi="Arial Narrow"/>
                <w:sz w:val="20"/>
                <w:lang w:val="en-GB"/>
              </w:rPr>
              <w:t>Expanded support to women’s economic empowerment in PNG, including through the Australia-Pacific Women Parliamentary Partnerships program; supporting access to adequate services for survivors of family and sexual violence; addressing constraints to women’s effective participation in labour markets and agribusiness through financial literacy, microfinance, and building markets.</w:t>
            </w:r>
          </w:p>
        </w:tc>
      </w:tr>
      <w:tr w:rsidR="00442E97" w:rsidTr="00083597">
        <w:trPr>
          <w:jc w:val="center"/>
        </w:trPr>
        <w:tc>
          <w:tcPr>
            <w:tcW w:w="1525" w:type="dxa"/>
          </w:tcPr>
          <w:p w:rsidR="00442E97" w:rsidRPr="00276EEA" w:rsidRDefault="00442E97" w:rsidP="00276EEA">
            <w:pPr>
              <w:spacing w:before="0" w:after="0"/>
              <w:jc w:val="left"/>
              <w:rPr>
                <w:rFonts w:ascii="Arial Narrow" w:hAnsi="Arial Narrow"/>
                <w:sz w:val="20"/>
                <w:lang w:val="en-GB"/>
              </w:rPr>
            </w:pPr>
            <w:r w:rsidRPr="00276EEA">
              <w:rPr>
                <w:rFonts w:ascii="Arial Narrow" w:hAnsi="Arial Narrow"/>
                <w:sz w:val="20"/>
                <w:lang w:val="en-GB"/>
              </w:rPr>
              <w:t>Sports</w:t>
            </w:r>
          </w:p>
        </w:tc>
        <w:tc>
          <w:tcPr>
            <w:tcW w:w="7538" w:type="dxa"/>
          </w:tcPr>
          <w:p w:rsidR="00442E97" w:rsidRPr="00276EEA" w:rsidRDefault="00442E97" w:rsidP="00276EEA">
            <w:pPr>
              <w:spacing w:before="0" w:after="0"/>
              <w:rPr>
                <w:rFonts w:ascii="Arial Narrow" w:hAnsi="Arial Narrow"/>
                <w:sz w:val="20"/>
                <w:lang w:val="en-GB"/>
              </w:rPr>
            </w:pPr>
            <w:r w:rsidRPr="00276EEA">
              <w:rPr>
                <w:rFonts w:ascii="Arial Narrow" w:hAnsi="Arial Narrow"/>
                <w:sz w:val="20"/>
                <w:lang w:val="en-GB"/>
              </w:rPr>
              <w:t>Harnessing the political leverage, public diplomacy and nation building opportunities through new development-through-sport investment in PNG, including partnering with local communities and the private sector.</w:t>
            </w:r>
          </w:p>
        </w:tc>
      </w:tr>
      <w:tr w:rsidR="00442E97" w:rsidTr="00083597">
        <w:trPr>
          <w:jc w:val="center"/>
        </w:trPr>
        <w:tc>
          <w:tcPr>
            <w:tcW w:w="1525" w:type="dxa"/>
          </w:tcPr>
          <w:p w:rsidR="00442E97" w:rsidRPr="00276EEA" w:rsidRDefault="00442E97" w:rsidP="00276EEA">
            <w:pPr>
              <w:spacing w:before="0" w:after="0"/>
              <w:jc w:val="left"/>
              <w:rPr>
                <w:rFonts w:ascii="Arial Narrow" w:hAnsi="Arial Narrow"/>
                <w:sz w:val="20"/>
                <w:lang w:val="en-GB"/>
              </w:rPr>
            </w:pPr>
            <w:r w:rsidRPr="00276EEA">
              <w:rPr>
                <w:rFonts w:ascii="Arial Narrow" w:hAnsi="Arial Narrow"/>
                <w:sz w:val="20"/>
                <w:lang w:val="en-GB"/>
              </w:rPr>
              <w:t>Bougainville</w:t>
            </w:r>
          </w:p>
        </w:tc>
        <w:tc>
          <w:tcPr>
            <w:tcW w:w="7538" w:type="dxa"/>
          </w:tcPr>
          <w:p w:rsidR="00442E97" w:rsidRPr="00276EEA" w:rsidRDefault="00276EEA" w:rsidP="00276EEA">
            <w:pPr>
              <w:spacing w:before="0" w:after="0"/>
              <w:rPr>
                <w:rFonts w:ascii="Arial Narrow" w:hAnsi="Arial Narrow"/>
                <w:sz w:val="20"/>
                <w:lang w:val="en-GB"/>
              </w:rPr>
            </w:pPr>
            <w:r w:rsidRPr="00276EEA">
              <w:rPr>
                <w:rFonts w:ascii="Arial Narrow" w:hAnsi="Arial Narrow"/>
                <w:sz w:val="20"/>
                <w:lang w:val="en-GB"/>
              </w:rPr>
              <w:t>Additional funding for a separate Bougainville-specific suite of activities designed to support governance, economic development, the peace process and preparations for the referendum.</w:t>
            </w:r>
          </w:p>
        </w:tc>
      </w:tr>
    </w:tbl>
    <w:p w:rsidR="00CA1995" w:rsidRDefault="00CA1995" w:rsidP="00832208">
      <w:pPr>
        <w:spacing w:before="0" w:after="0"/>
        <w:rPr>
          <w:lang w:val="en-GB"/>
        </w:rPr>
      </w:pPr>
    </w:p>
    <w:p w:rsidR="00F7641B" w:rsidRDefault="00F7641B" w:rsidP="00832208">
      <w:pPr>
        <w:spacing w:before="0" w:after="0"/>
        <w:rPr>
          <w:lang w:val="en-GB"/>
        </w:rPr>
      </w:pPr>
    </w:p>
    <w:p w:rsidR="00276EEA" w:rsidRPr="00D3593A" w:rsidRDefault="00276EEA" w:rsidP="00276EEA">
      <w:pPr>
        <w:pStyle w:val="Heading2"/>
        <w:rPr>
          <w:lang w:val="en-GB"/>
        </w:rPr>
      </w:pPr>
      <w:bookmarkStart w:id="10" w:name="_Toc403037559"/>
      <w:r>
        <w:rPr>
          <w:lang w:val="en-GB"/>
        </w:rPr>
        <w:t>Relevant DFAT policy and guidelines for implementation</w:t>
      </w:r>
      <w:bookmarkEnd w:id="10"/>
    </w:p>
    <w:p w:rsidR="00276EEA" w:rsidRDefault="00276EEA" w:rsidP="00832208">
      <w:pPr>
        <w:spacing w:before="0" w:after="0"/>
        <w:rPr>
          <w:lang w:val="en-GB"/>
        </w:rPr>
      </w:pPr>
    </w:p>
    <w:p w:rsidR="000612CF" w:rsidRPr="00571F0B" w:rsidRDefault="000612CF" w:rsidP="00832208">
      <w:pPr>
        <w:spacing w:before="0" w:after="0"/>
        <w:rPr>
          <w:lang w:val="en-GB"/>
        </w:rPr>
      </w:pPr>
      <w:r w:rsidRPr="00571F0B">
        <w:rPr>
          <w:lang w:val="en-GB"/>
        </w:rPr>
        <w:t xml:space="preserve">The implementation of IF (IV) </w:t>
      </w:r>
      <w:r w:rsidR="00541095" w:rsidRPr="00571F0B">
        <w:rPr>
          <w:lang w:val="en-GB"/>
        </w:rPr>
        <w:t>will</w:t>
      </w:r>
      <w:r w:rsidRPr="00571F0B">
        <w:rPr>
          <w:lang w:val="en-GB"/>
        </w:rPr>
        <w:t xml:space="preserve"> be guided by</w:t>
      </w:r>
      <w:r w:rsidR="00C32FF0" w:rsidRPr="00571F0B">
        <w:rPr>
          <w:lang w:val="en-GB"/>
        </w:rPr>
        <w:t xml:space="preserve"> the following DFAT policies and guidelines</w:t>
      </w:r>
      <w:r w:rsidRPr="00571F0B">
        <w:rPr>
          <w:lang w:val="en-GB"/>
        </w:rPr>
        <w:t>:</w:t>
      </w:r>
    </w:p>
    <w:p w:rsidR="000612CF" w:rsidRPr="00571F0B" w:rsidRDefault="000612CF" w:rsidP="00A82AAB">
      <w:pPr>
        <w:numPr>
          <w:ilvl w:val="0"/>
          <w:numId w:val="13"/>
        </w:numPr>
        <w:spacing w:before="0" w:after="0"/>
        <w:ind w:left="284" w:hanging="284"/>
        <w:rPr>
          <w:lang w:val="en-GB"/>
        </w:rPr>
      </w:pPr>
      <w:r w:rsidRPr="00571F0B">
        <w:rPr>
          <w:lang w:val="en-GB"/>
        </w:rPr>
        <w:t>DFAT Gender equality and empowering women and girls</w:t>
      </w:r>
    </w:p>
    <w:p w:rsidR="000612CF" w:rsidRPr="00571F0B" w:rsidRDefault="000612CF" w:rsidP="00A82AAB">
      <w:pPr>
        <w:numPr>
          <w:ilvl w:val="0"/>
          <w:numId w:val="13"/>
        </w:numPr>
        <w:spacing w:before="0" w:after="0"/>
        <w:ind w:left="284" w:hanging="284"/>
        <w:rPr>
          <w:lang w:val="en-GB"/>
        </w:rPr>
      </w:pPr>
      <w:r w:rsidRPr="00571F0B">
        <w:rPr>
          <w:lang w:val="en-GB"/>
        </w:rPr>
        <w:t>DFAT Disability-Inclusive Development / DFAT Accessibility Design Guide</w:t>
      </w:r>
    </w:p>
    <w:p w:rsidR="000612CF" w:rsidRPr="00571F0B" w:rsidRDefault="000612CF" w:rsidP="00A82AAB">
      <w:pPr>
        <w:numPr>
          <w:ilvl w:val="0"/>
          <w:numId w:val="13"/>
        </w:numPr>
        <w:spacing w:before="0" w:after="0"/>
        <w:ind w:left="284" w:hanging="284"/>
        <w:rPr>
          <w:lang w:val="en-GB"/>
        </w:rPr>
      </w:pPr>
      <w:r w:rsidRPr="00571F0B">
        <w:rPr>
          <w:lang w:val="en-GB"/>
        </w:rPr>
        <w:t>DFAT Child Protection Policy</w:t>
      </w:r>
    </w:p>
    <w:p w:rsidR="000612CF" w:rsidRPr="00571F0B" w:rsidRDefault="000612CF" w:rsidP="00A82AAB">
      <w:pPr>
        <w:numPr>
          <w:ilvl w:val="0"/>
          <w:numId w:val="13"/>
        </w:numPr>
        <w:spacing w:before="0" w:after="0"/>
        <w:ind w:left="284" w:hanging="284"/>
        <w:rPr>
          <w:lang w:val="en-GB"/>
        </w:rPr>
      </w:pPr>
      <w:r w:rsidRPr="00571F0B">
        <w:rPr>
          <w:lang w:val="en-GB"/>
        </w:rPr>
        <w:t>DFAT Economic Diplomacy</w:t>
      </w:r>
    </w:p>
    <w:p w:rsidR="000612CF" w:rsidRPr="00571F0B" w:rsidRDefault="000612CF" w:rsidP="00A82AAB">
      <w:pPr>
        <w:numPr>
          <w:ilvl w:val="0"/>
          <w:numId w:val="13"/>
        </w:numPr>
        <w:spacing w:before="0" w:after="0"/>
        <w:ind w:left="284" w:hanging="284"/>
        <w:rPr>
          <w:lang w:val="en-GB"/>
        </w:rPr>
      </w:pPr>
      <w:r w:rsidRPr="00571F0B">
        <w:rPr>
          <w:lang w:val="en-GB"/>
        </w:rPr>
        <w:t>Private Sector development and private sector engagement: guidance note, July 2014</w:t>
      </w:r>
    </w:p>
    <w:p w:rsidR="000612CF" w:rsidRPr="00571F0B" w:rsidRDefault="000612CF" w:rsidP="00A82AAB">
      <w:pPr>
        <w:numPr>
          <w:ilvl w:val="0"/>
          <w:numId w:val="13"/>
        </w:numPr>
        <w:spacing w:before="0" w:after="0"/>
        <w:ind w:left="284" w:hanging="284"/>
        <w:rPr>
          <w:lang w:val="en-GB"/>
        </w:rPr>
      </w:pPr>
      <w:r w:rsidRPr="00571F0B">
        <w:rPr>
          <w:lang w:val="en-GB"/>
        </w:rPr>
        <w:t>DFAT Monitoring and Evaluation Standards, June 2014</w:t>
      </w:r>
    </w:p>
    <w:p w:rsidR="000612CF" w:rsidRPr="00571F0B" w:rsidRDefault="000612CF" w:rsidP="00A82AAB">
      <w:pPr>
        <w:numPr>
          <w:ilvl w:val="0"/>
          <w:numId w:val="13"/>
        </w:numPr>
        <w:spacing w:before="0" w:after="0"/>
        <w:ind w:left="284" w:hanging="284"/>
        <w:rPr>
          <w:lang w:val="en-GB"/>
        </w:rPr>
      </w:pPr>
      <w:r w:rsidRPr="00571F0B">
        <w:rPr>
          <w:lang w:val="en-GB"/>
        </w:rPr>
        <w:t>DFAT Investment Design Quality Standards</w:t>
      </w:r>
    </w:p>
    <w:p w:rsidR="000612CF" w:rsidRDefault="000612CF" w:rsidP="00832208">
      <w:pPr>
        <w:spacing w:before="0" w:after="0"/>
        <w:rPr>
          <w:lang w:val="en-GB"/>
        </w:rPr>
      </w:pPr>
    </w:p>
    <w:p w:rsidR="00C05D33" w:rsidRPr="00571F0B" w:rsidRDefault="00941395" w:rsidP="00C05D33">
      <w:pPr>
        <w:pStyle w:val="Heading2"/>
        <w:rPr>
          <w:lang w:val="en-GB"/>
        </w:rPr>
      </w:pPr>
      <w:bookmarkStart w:id="11" w:name="_Toc403037560"/>
      <w:r>
        <w:rPr>
          <w:lang w:val="en-GB"/>
        </w:rPr>
        <w:t>Origin of the Incentive Fund c</w:t>
      </w:r>
      <w:r w:rsidR="00C05D33" w:rsidRPr="00571F0B">
        <w:rPr>
          <w:lang w:val="en-GB"/>
        </w:rPr>
        <w:t>oncept</w:t>
      </w:r>
      <w:bookmarkEnd w:id="11"/>
    </w:p>
    <w:p w:rsidR="00EE49FD" w:rsidRDefault="004212BB" w:rsidP="00EE49FD">
      <w:pPr>
        <w:spacing w:before="0" w:after="0"/>
        <w:rPr>
          <w:lang w:val="en-GB"/>
        </w:rPr>
      </w:pPr>
      <w:r w:rsidRPr="004212BB">
        <w:rPr>
          <w:lang w:val="en-GB"/>
        </w:rPr>
        <w:t>During the 1999 Development Cooperation Treaty (DCT) negotiations between GoPNG and GoA, it was agreed that Australia’s development cooperation program would include jointly programmed assistance to be known as the Australia Papua New Guinea Incentive Fund (APNGIF). The Incentive Fund mechanism is the only support program specifically named in a bilateral treaty, partnership or agreement and it continues to be named in the Economic Cooperative Treaty signed in April 2014. This confirms both governments’ have a strong interest in IF (IV).</w:t>
      </w:r>
    </w:p>
    <w:p w:rsidR="004212BB" w:rsidRPr="009E1E17" w:rsidRDefault="004212BB" w:rsidP="00EE49FD">
      <w:pPr>
        <w:spacing w:before="0" w:after="0"/>
        <w:rPr>
          <w:sz w:val="16"/>
          <w:szCs w:val="16"/>
          <w:lang w:val="en-GB"/>
        </w:rPr>
      </w:pPr>
    </w:p>
    <w:p w:rsidR="00832208" w:rsidRPr="00832208" w:rsidRDefault="00EE49FD" w:rsidP="00EE49FD">
      <w:pPr>
        <w:spacing w:before="0" w:after="0"/>
        <w:rPr>
          <w:sz w:val="16"/>
          <w:szCs w:val="16"/>
          <w:lang w:val="en-GB"/>
        </w:rPr>
      </w:pPr>
      <w:r w:rsidRPr="00EE49FD">
        <w:rPr>
          <w:lang w:val="en-GB"/>
        </w:rPr>
        <w:t>The APNGIF was designed to provide funds directly to private and public sector organisations that were efficient and accountable. The emphasis was on obtaining measurable results by targeting performing organisations with project proposals that were ‘excellent’ in their preparation and aligned with the joint development priorities of GoPNG and GoA.</w:t>
      </w:r>
    </w:p>
    <w:p w:rsidR="00EE49FD" w:rsidRPr="009E1E17" w:rsidRDefault="00EE49FD" w:rsidP="00832208">
      <w:pPr>
        <w:spacing w:before="0" w:after="0"/>
        <w:rPr>
          <w:sz w:val="16"/>
          <w:szCs w:val="16"/>
          <w:lang w:val="en-GB"/>
        </w:rPr>
      </w:pPr>
    </w:p>
    <w:p w:rsidR="00307244" w:rsidRPr="00571F0B" w:rsidRDefault="00307244" w:rsidP="00832208">
      <w:pPr>
        <w:spacing w:before="0" w:after="0"/>
        <w:rPr>
          <w:lang w:val="en-GB"/>
        </w:rPr>
      </w:pPr>
      <w:r w:rsidRPr="00571F0B">
        <w:rPr>
          <w:lang w:val="en-GB"/>
        </w:rPr>
        <w:t xml:space="preserve">Funding PNG’s performing organisations was intended to: i) </w:t>
      </w:r>
      <w:r w:rsidR="005A1D69" w:rsidRPr="00571F0B">
        <w:rPr>
          <w:lang w:val="en-GB"/>
        </w:rPr>
        <w:t>recognize excellence</w:t>
      </w:r>
      <w:r w:rsidRPr="00571F0B">
        <w:rPr>
          <w:lang w:val="en-GB"/>
        </w:rPr>
        <w:t xml:space="preserve">; and ii) provide an incentive to other organisations to improve their performance so they too could seek funding. This relationship between </w:t>
      </w:r>
      <w:r w:rsidR="005A1D69" w:rsidRPr="00571F0B">
        <w:rPr>
          <w:lang w:val="en-GB"/>
        </w:rPr>
        <w:t xml:space="preserve">recognition, reward and incentivisation </w:t>
      </w:r>
      <w:r w:rsidRPr="00571F0B">
        <w:rPr>
          <w:lang w:val="en-GB"/>
        </w:rPr>
        <w:t xml:space="preserve">can be applied in many ways and the </w:t>
      </w:r>
      <w:r w:rsidR="002B7876" w:rsidRPr="002B7876">
        <w:rPr>
          <w:lang w:val="en-GB"/>
        </w:rPr>
        <w:t xml:space="preserve">IF (IV) </w:t>
      </w:r>
      <w:r w:rsidRPr="00571F0B">
        <w:rPr>
          <w:lang w:val="en-GB"/>
        </w:rPr>
        <w:t>will need to explore more broadly how to adopt these principles, and particularly in regard to expanding DFAT enga</w:t>
      </w:r>
      <w:r w:rsidR="00832208">
        <w:rPr>
          <w:lang w:val="en-GB"/>
        </w:rPr>
        <w:t>gement with the private sector.</w:t>
      </w:r>
    </w:p>
    <w:p w:rsidR="00D3593A" w:rsidRPr="00832208" w:rsidRDefault="00D3593A" w:rsidP="00832208">
      <w:pPr>
        <w:spacing w:before="0" w:after="0"/>
        <w:rPr>
          <w:sz w:val="16"/>
          <w:szCs w:val="16"/>
          <w:lang w:val="en-GB"/>
        </w:rPr>
      </w:pPr>
    </w:p>
    <w:p w:rsidR="00307244" w:rsidRDefault="00307244" w:rsidP="00832208">
      <w:pPr>
        <w:spacing w:before="0" w:after="0"/>
        <w:rPr>
          <w:lang w:val="en-GB"/>
        </w:rPr>
      </w:pPr>
      <w:r w:rsidRPr="00571F0B">
        <w:rPr>
          <w:lang w:val="en-GB"/>
        </w:rPr>
        <w:t xml:space="preserve">There were two phases </w:t>
      </w:r>
      <w:r w:rsidR="005A1D69" w:rsidRPr="00571F0B">
        <w:rPr>
          <w:lang w:val="en-GB"/>
        </w:rPr>
        <w:t>to the initial</w:t>
      </w:r>
      <w:r w:rsidRPr="00571F0B">
        <w:rPr>
          <w:lang w:val="en-GB"/>
        </w:rPr>
        <w:t xml:space="preserve"> APNGIF: Phase I from 2000 to 2003 and Phase II from 2004 to 2008. Thirty-nine projects to the value of A$110 million covering fifteen provinces </w:t>
      </w:r>
      <w:r w:rsidR="00F4161C" w:rsidRPr="00571F0B">
        <w:rPr>
          <w:lang w:val="en-GB"/>
        </w:rPr>
        <w:t xml:space="preserve">were completed and contributed to outcomes in eight areas -  health, education, transport, Law and Justice, WASH, research, agriculture and economic </w:t>
      </w:r>
      <w:r w:rsidR="00AF79FB" w:rsidRPr="00AF79FB">
        <w:rPr>
          <w:lang w:val="en-GB"/>
        </w:rPr>
        <w:t>development</w:t>
      </w:r>
      <w:r w:rsidR="00F4161C" w:rsidRPr="00571F0B">
        <w:rPr>
          <w:lang w:val="en-GB"/>
        </w:rPr>
        <w:t xml:space="preserve"> and vocational training</w:t>
      </w:r>
      <w:r w:rsidR="00832208">
        <w:rPr>
          <w:lang w:val="en-GB"/>
        </w:rPr>
        <w:t>.</w:t>
      </w:r>
    </w:p>
    <w:p w:rsidR="00832208" w:rsidRPr="00832208" w:rsidRDefault="00832208" w:rsidP="00832208">
      <w:pPr>
        <w:spacing w:before="0" w:after="0"/>
        <w:rPr>
          <w:sz w:val="16"/>
          <w:szCs w:val="16"/>
          <w:lang w:val="en-GB"/>
        </w:rPr>
      </w:pPr>
    </w:p>
    <w:p w:rsidR="00F4161C" w:rsidRPr="00571F0B" w:rsidRDefault="00307244" w:rsidP="00832208">
      <w:pPr>
        <w:spacing w:before="0" w:after="0"/>
        <w:rPr>
          <w:lang w:val="en-GB"/>
        </w:rPr>
      </w:pPr>
      <w:r w:rsidRPr="00571F0B">
        <w:rPr>
          <w:lang w:val="en-GB"/>
        </w:rPr>
        <w:t xml:space="preserve">The Incentive Fund Phase III commenced in June 2010 and ended </w:t>
      </w:r>
      <w:r w:rsidR="005A1D69" w:rsidRPr="00571F0B">
        <w:rPr>
          <w:lang w:val="en-GB"/>
        </w:rPr>
        <w:t>in</w:t>
      </w:r>
      <w:r w:rsidRPr="00571F0B">
        <w:rPr>
          <w:lang w:val="en-GB"/>
        </w:rPr>
        <w:t xml:space="preserve"> June 2014. </w:t>
      </w:r>
      <w:r w:rsidR="00395436" w:rsidRPr="00571F0B">
        <w:rPr>
          <w:lang w:val="en-GB"/>
        </w:rPr>
        <w:t xml:space="preserve">Twenty projects to the value of </w:t>
      </w:r>
      <w:proofErr w:type="gramStart"/>
      <w:r w:rsidR="00395436" w:rsidRPr="00571F0B">
        <w:rPr>
          <w:lang w:val="en-GB"/>
        </w:rPr>
        <w:t>A$</w:t>
      </w:r>
      <w:proofErr w:type="gramEnd"/>
      <w:r w:rsidR="00395436" w:rsidRPr="00571F0B">
        <w:rPr>
          <w:lang w:val="en-GB"/>
        </w:rPr>
        <w:t xml:space="preserve">60 million covering nine provinces were successfully completed. These projects were 100 per cent infrastructure of which </w:t>
      </w:r>
      <w:r w:rsidR="00F4161C" w:rsidRPr="00571F0B">
        <w:rPr>
          <w:lang w:val="en-GB"/>
        </w:rPr>
        <w:t>37% contributed to health outcomes and 63% contributed to education outco</w:t>
      </w:r>
      <w:r w:rsidR="00832208">
        <w:rPr>
          <w:lang w:val="en-GB"/>
        </w:rPr>
        <w:t>mes.</w:t>
      </w:r>
    </w:p>
    <w:p w:rsidR="00D3593A" w:rsidRPr="00832208" w:rsidRDefault="00D3593A" w:rsidP="00832208">
      <w:pPr>
        <w:spacing w:before="0" w:after="0"/>
        <w:rPr>
          <w:sz w:val="16"/>
          <w:szCs w:val="16"/>
          <w:lang w:val="en-GB"/>
        </w:rPr>
      </w:pPr>
    </w:p>
    <w:p w:rsidR="00F4161C" w:rsidRDefault="00D3593A" w:rsidP="00832208">
      <w:pPr>
        <w:spacing w:before="0" w:after="0"/>
        <w:rPr>
          <w:lang w:val="en-GB"/>
        </w:rPr>
      </w:pPr>
      <w:r>
        <w:rPr>
          <w:lang w:val="en-GB"/>
        </w:rPr>
        <w:t>This design recognis</w:t>
      </w:r>
      <w:r w:rsidR="00F4161C" w:rsidRPr="00571F0B">
        <w:rPr>
          <w:lang w:val="en-GB"/>
        </w:rPr>
        <w:t xml:space="preserve">es there are overlaps in the above assessment </w:t>
      </w:r>
      <w:r w:rsidR="00F4161C" w:rsidRPr="00571F0B">
        <w:rPr>
          <w:i/>
          <w:lang w:val="en-GB"/>
        </w:rPr>
        <w:t>e.g.</w:t>
      </w:r>
      <w:r w:rsidR="00F4161C" w:rsidRPr="00571F0B">
        <w:rPr>
          <w:lang w:val="en-GB"/>
        </w:rPr>
        <w:t xml:space="preserve"> WASH could be considered as contributing to a health outcome, but the point being made is that Phase I and Phase II </w:t>
      </w:r>
      <w:r w:rsidR="00C91D63" w:rsidRPr="00571F0B">
        <w:rPr>
          <w:lang w:val="en-GB"/>
        </w:rPr>
        <w:t>provided broader sector support</w:t>
      </w:r>
      <w:r>
        <w:rPr>
          <w:lang w:val="en-GB"/>
        </w:rPr>
        <w:t xml:space="preserve"> than Phase III.</w:t>
      </w:r>
    </w:p>
    <w:p w:rsidR="00D3593A" w:rsidRPr="00832208" w:rsidRDefault="00D3593A" w:rsidP="00832208">
      <w:pPr>
        <w:spacing w:before="0" w:after="0"/>
        <w:rPr>
          <w:sz w:val="16"/>
          <w:szCs w:val="16"/>
          <w:lang w:val="en-GB"/>
        </w:rPr>
      </w:pPr>
    </w:p>
    <w:p w:rsidR="00307244" w:rsidRDefault="00F4161C" w:rsidP="00832208">
      <w:pPr>
        <w:spacing w:before="0" w:after="0"/>
        <w:rPr>
          <w:lang w:val="en-GB"/>
        </w:rPr>
      </w:pPr>
      <w:r w:rsidRPr="00571F0B">
        <w:rPr>
          <w:lang w:val="en-GB"/>
        </w:rPr>
        <w:t>In Phase III t</w:t>
      </w:r>
      <w:r w:rsidR="00307244" w:rsidRPr="00571F0B">
        <w:rPr>
          <w:lang w:val="en-GB"/>
        </w:rPr>
        <w:t xml:space="preserve">he ‘incentive’ </w:t>
      </w:r>
      <w:r w:rsidR="005A1D69" w:rsidRPr="00571F0B">
        <w:rPr>
          <w:lang w:val="en-GB"/>
        </w:rPr>
        <w:t xml:space="preserve">had changed and </w:t>
      </w:r>
      <w:r w:rsidR="00307244" w:rsidRPr="00571F0B">
        <w:rPr>
          <w:lang w:val="en-GB"/>
        </w:rPr>
        <w:t xml:space="preserve">was </w:t>
      </w:r>
      <w:r w:rsidR="005A1D69" w:rsidRPr="00571F0B">
        <w:rPr>
          <w:lang w:val="en-GB"/>
        </w:rPr>
        <w:t>applied</w:t>
      </w:r>
      <w:r w:rsidR="00307244" w:rsidRPr="00571F0B">
        <w:rPr>
          <w:lang w:val="en-GB"/>
        </w:rPr>
        <w:t xml:space="preserve"> to provide the opportunity for PNG service delivery organisations to ‘lift their game’, to expand their ability to ‘do their job’ and then become eligible to access the significant resources available under the Incentive Fund. </w:t>
      </w:r>
      <w:r w:rsidR="005A1D69" w:rsidRPr="00571F0B">
        <w:rPr>
          <w:lang w:val="en-GB"/>
        </w:rPr>
        <w:t>The actual funding became t</w:t>
      </w:r>
      <w:r w:rsidR="00307244" w:rsidRPr="00571F0B">
        <w:rPr>
          <w:lang w:val="en-GB"/>
        </w:rPr>
        <w:t xml:space="preserve">he incentive, </w:t>
      </w:r>
      <w:r w:rsidR="005A1D69" w:rsidRPr="00571F0B">
        <w:rPr>
          <w:lang w:val="en-GB"/>
        </w:rPr>
        <w:t xml:space="preserve">providing </w:t>
      </w:r>
      <w:r w:rsidR="00307244" w:rsidRPr="00571F0B">
        <w:rPr>
          <w:lang w:val="en-GB"/>
        </w:rPr>
        <w:t xml:space="preserve">the encouragement and the reward for those organisations that </w:t>
      </w:r>
      <w:r w:rsidR="005A1D69" w:rsidRPr="00571F0B">
        <w:rPr>
          <w:lang w:val="en-GB"/>
        </w:rPr>
        <w:t>attain good performance, with the intent to incentivize capable</w:t>
      </w:r>
      <w:r w:rsidR="00307244" w:rsidRPr="00571F0B">
        <w:rPr>
          <w:lang w:val="en-GB"/>
        </w:rPr>
        <w:t xml:space="preserve"> </w:t>
      </w:r>
      <w:r w:rsidR="005A1D69" w:rsidRPr="00571F0B">
        <w:rPr>
          <w:lang w:val="en-GB"/>
        </w:rPr>
        <w:t xml:space="preserve">organisations </w:t>
      </w:r>
      <w:r w:rsidR="00307244" w:rsidRPr="00571F0B">
        <w:rPr>
          <w:lang w:val="en-GB"/>
        </w:rPr>
        <w:t xml:space="preserve">with </w:t>
      </w:r>
      <w:r w:rsidR="005A1D69" w:rsidRPr="00571F0B">
        <w:rPr>
          <w:lang w:val="en-GB"/>
        </w:rPr>
        <w:t>capacity and leadership to as</w:t>
      </w:r>
      <w:r w:rsidR="00307244" w:rsidRPr="00571F0B">
        <w:rPr>
          <w:lang w:val="en-GB"/>
        </w:rPr>
        <w:t xml:space="preserve">pire to do better. Only organisations that are </w:t>
      </w:r>
      <w:r w:rsidR="00307244" w:rsidRPr="00571F0B">
        <w:rPr>
          <w:lang w:val="en-GB"/>
        </w:rPr>
        <w:lastRenderedPageBreak/>
        <w:t xml:space="preserve">already capable and can demonstrate capacity to expand their </w:t>
      </w:r>
      <w:r w:rsidR="005A1D69" w:rsidRPr="00571F0B">
        <w:rPr>
          <w:lang w:val="en-GB"/>
        </w:rPr>
        <w:t xml:space="preserve">contribution to </w:t>
      </w:r>
      <w:r w:rsidR="00307244" w:rsidRPr="00571F0B">
        <w:rPr>
          <w:lang w:val="en-GB"/>
        </w:rPr>
        <w:t xml:space="preserve">development </w:t>
      </w:r>
      <w:r w:rsidR="005A1D69" w:rsidRPr="00571F0B">
        <w:rPr>
          <w:lang w:val="en-GB"/>
        </w:rPr>
        <w:t>further</w:t>
      </w:r>
      <w:r w:rsidR="00307244" w:rsidRPr="00571F0B">
        <w:rPr>
          <w:lang w:val="en-GB"/>
        </w:rPr>
        <w:t xml:space="preserve"> were eligible.</w:t>
      </w:r>
    </w:p>
    <w:p w:rsidR="00D3593A" w:rsidRPr="00832208" w:rsidRDefault="00D3593A" w:rsidP="00832208">
      <w:pPr>
        <w:spacing w:before="0" w:after="0"/>
        <w:rPr>
          <w:sz w:val="16"/>
          <w:szCs w:val="16"/>
          <w:lang w:val="en-GB"/>
        </w:rPr>
      </w:pPr>
    </w:p>
    <w:p w:rsidR="00307244" w:rsidRPr="00571F0B" w:rsidRDefault="00307244" w:rsidP="00832208">
      <w:pPr>
        <w:spacing w:before="0" w:after="0"/>
        <w:rPr>
          <w:lang w:val="en-GB"/>
        </w:rPr>
      </w:pPr>
      <w:r w:rsidRPr="00571F0B">
        <w:rPr>
          <w:lang w:val="en-GB"/>
        </w:rPr>
        <w:t xml:space="preserve">Though </w:t>
      </w:r>
      <w:r w:rsidR="00923047" w:rsidRPr="00571F0B">
        <w:rPr>
          <w:lang w:val="en-GB"/>
        </w:rPr>
        <w:t xml:space="preserve">seemingly </w:t>
      </w:r>
      <w:r w:rsidRPr="00571F0B">
        <w:rPr>
          <w:lang w:val="en-GB"/>
        </w:rPr>
        <w:t xml:space="preserve">subtle, the incentive mechanism shifted </w:t>
      </w:r>
      <w:r w:rsidR="00923047" w:rsidRPr="00571F0B">
        <w:rPr>
          <w:lang w:val="en-GB"/>
        </w:rPr>
        <w:t xml:space="preserve">considerably </w:t>
      </w:r>
      <w:r w:rsidRPr="00571F0B">
        <w:rPr>
          <w:lang w:val="en-GB"/>
        </w:rPr>
        <w:t xml:space="preserve">between Phases I and II and Phase III from </w:t>
      </w:r>
      <w:r w:rsidR="008417F8" w:rsidRPr="00571F0B">
        <w:rPr>
          <w:lang w:val="en-GB"/>
        </w:rPr>
        <w:t xml:space="preserve">what were believed to be </w:t>
      </w:r>
      <w:r w:rsidR="00923047" w:rsidRPr="00571F0B">
        <w:rPr>
          <w:lang w:val="en-GB"/>
        </w:rPr>
        <w:t xml:space="preserve">strongly </w:t>
      </w:r>
      <w:r w:rsidRPr="00571F0B">
        <w:rPr>
          <w:lang w:val="en-GB"/>
        </w:rPr>
        <w:t>performing organisations who demonstrate</w:t>
      </w:r>
      <w:r w:rsidR="00F4161C" w:rsidRPr="00571F0B">
        <w:rPr>
          <w:lang w:val="en-GB"/>
        </w:rPr>
        <w:t>d</w:t>
      </w:r>
      <w:r w:rsidRPr="00571F0B">
        <w:rPr>
          <w:lang w:val="en-GB"/>
        </w:rPr>
        <w:t xml:space="preserve"> </w:t>
      </w:r>
      <w:r w:rsidR="008417F8" w:rsidRPr="00571F0B">
        <w:rPr>
          <w:i/>
          <w:lang w:val="en-GB"/>
        </w:rPr>
        <w:t>‘</w:t>
      </w:r>
      <w:r w:rsidRPr="00571F0B">
        <w:rPr>
          <w:i/>
          <w:lang w:val="en-GB"/>
        </w:rPr>
        <w:t>excellence</w:t>
      </w:r>
      <w:r w:rsidR="008417F8" w:rsidRPr="00571F0B">
        <w:rPr>
          <w:i/>
          <w:lang w:val="en-GB"/>
        </w:rPr>
        <w:t>’</w:t>
      </w:r>
      <w:r w:rsidRPr="00571F0B">
        <w:rPr>
          <w:lang w:val="en-GB"/>
        </w:rPr>
        <w:t xml:space="preserve"> </w:t>
      </w:r>
      <w:r w:rsidR="00F4161C" w:rsidRPr="00571F0B">
        <w:rPr>
          <w:lang w:val="en-GB"/>
        </w:rPr>
        <w:t xml:space="preserve">through documentation </w:t>
      </w:r>
      <w:r w:rsidR="00912E6C" w:rsidRPr="00571F0B">
        <w:rPr>
          <w:lang w:val="en-GB"/>
        </w:rPr>
        <w:t xml:space="preserve">(and </w:t>
      </w:r>
      <w:r w:rsidR="00632A42" w:rsidRPr="00571F0B">
        <w:rPr>
          <w:lang w:val="en-GB"/>
        </w:rPr>
        <w:t xml:space="preserve">it was assumed they would </w:t>
      </w:r>
      <w:r w:rsidR="00912E6C" w:rsidRPr="00571F0B">
        <w:rPr>
          <w:lang w:val="en-GB"/>
        </w:rPr>
        <w:t xml:space="preserve">inspire other organization to do similar) </w:t>
      </w:r>
      <w:r w:rsidR="00832208">
        <w:rPr>
          <w:lang w:val="en-GB"/>
        </w:rPr>
        <w:t>to incentivis</w:t>
      </w:r>
      <w:r w:rsidRPr="00571F0B">
        <w:rPr>
          <w:lang w:val="en-GB"/>
        </w:rPr>
        <w:t xml:space="preserve">ing organisations </w:t>
      </w:r>
      <w:r w:rsidR="008417F8" w:rsidRPr="00571F0B">
        <w:rPr>
          <w:lang w:val="en-GB"/>
        </w:rPr>
        <w:t xml:space="preserve">actually </w:t>
      </w:r>
      <w:r w:rsidR="00F4161C" w:rsidRPr="00571F0B">
        <w:rPr>
          <w:lang w:val="en-GB"/>
        </w:rPr>
        <w:t>assessed as being good performers</w:t>
      </w:r>
      <w:r w:rsidR="000D4BB3">
        <w:rPr>
          <w:lang w:val="en-GB"/>
        </w:rPr>
        <w:t xml:space="preserve">, and which could improve </w:t>
      </w:r>
      <w:r w:rsidR="00912E6C" w:rsidRPr="00571F0B">
        <w:rPr>
          <w:lang w:val="en-GB"/>
        </w:rPr>
        <w:t xml:space="preserve">their performance </w:t>
      </w:r>
      <w:r w:rsidR="00F4161C" w:rsidRPr="00571F0B">
        <w:rPr>
          <w:lang w:val="en-GB"/>
        </w:rPr>
        <w:t xml:space="preserve">further and </w:t>
      </w:r>
      <w:r w:rsidR="00912E6C" w:rsidRPr="00571F0B">
        <w:rPr>
          <w:lang w:val="en-GB"/>
        </w:rPr>
        <w:t xml:space="preserve">expand </w:t>
      </w:r>
      <w:r w:rsidR="00F4161C" w:rsidRPr="00571F0B">
        <w:rPr>
          <w:lang w:val="en-GB"/>
        </w:rPr>
        <w:t xml:space="preserve">their contribution to </w:t>
      </w:r>
      <w:r w:rsidR="000D4BB3">
        <w:rPr>
          <w:lang w:val="en-GB"/>
        </w:rPr>
        <w:t xml:space="preserve">PNG </w:t>
      </w:r>
      <w:r w:rsidR="00F4161C" w:rsidRPr="00571F0B">
        <w:rPr>
          <w:lang w:val="en-GB"/>
        </w:rPr>
        <w:t>development</w:t>
      </w:r>
      <w:r w:rsidR="000D4BB3">
        <w:rPr>
          <w:lang w:val="en-GB"/>
        </w:rPr>
        <w:t xml:space="preserve"> priorities</w:t>
      </w:r>
      <w:r w:rsidR="00912E6C" w:rsidRPr="00571F0B">
        <w:rPr>
          <w:lang w:val="en-GB"/>
        </w:rPr>
        <w:t>. This is an importa</w:t>
      </w:r>
      <w:r w:rsidR="00632A42" w:rsidRPr="00571F0B">
        <w:rPr>
          <w:lang w:val="en-GB"/>
        </w:rPr>
        <w:t xml:space="preserve">nt </w:t>
      </w:r>
      <w:r w:rsidR="00F4161C" w:rsidRPr="00571F0B">
        <w:rPr>
          <w:lang w:val="en-GB"/>
        </w:rPr>
        <w:t xml:space="preserve">selection change because </w:t>
      </w:r>
      <w:r w:rsidR="00632A42" w:rsidRPr="00571F0B">
        <w:rPr>
          <w:lang w:val="en-GB"/>
        </w:rPr>
        <w:t>it allowed</w:t>
      </w:r>
      <w:r w:rsidR="00912E6C" w:rsidRPr="00571F0B">
        <w:rPr>
          <w:lang w:val="en-GB"/>
        </w:rPr>
        <w:t xml:space="preserve"> DFAT to </w:t>
      </w:r>
      <w:r w:rsidR="00F4161C" w:rsidRPr="00571F0B">
        <w:rPr>
          <w:lang w:val="en-GB"/>
        </w:rPr>
        <w:t xml:space="preserve">actively </w:t>
      </w:r>
      <w:r w:rsidR="008417F8" w:rsidRPr="00571F0B">
        <w:rPr>
          <w:lang w:val="en-GB"/>
        </w:rPr>
        <w:t xml:space="preserve">seek and </w:t>
      </w:r>
      <w:r w:rsidR="00912E6C" w:rsidRPr="00571F0B">
        <w:rPr>
          <w:lang w:val="en-GB"/>
        </w:rPr>
        <w:t xml:space="preserve">support </w:t>
      </w:r>
      <w:r w:rsidR="008417F8" w:rsidRPr="00571F0B">
        <w:rPr>
          <w:lang w:val="en-GB"/>
        </w:rPr>
        <w:t>o</w:t>
      </w:r>
      <w:r w:rsidR="000D4BB3">
        <w:rPr>
          <w:lang w:val="en-GB"/>
        </w:rPr>
        <w:t>rganis</w:t>
      </w:r>
      <w:r w:rsidR="00912E6C" w:rsidRPr="00571F0B">
        <w:rPr>
          <w:lang w:val="en-GB"/>
        </w:rPr>
        <w:t>ation</w:t>
      </w:r>
      <w:r w:rsidR="008417F8" w:rsidRPr="00571F0B">
        <w:rPr>
          <w:lang w:val="en-GB"/>
        </w:rPr>
        <w:t>s with demonstrated good performance capability</w:t>
      </w:r>
      <w:r w:rsidR="00832208">
        <w:rPr>
          <w:lang w:val="en-GB"/>
        </w:rPr>
        <w:t>.</w:t>
      </w:r>
    </w:p>
    <w:p w:rsidR="00DB73DE" w:rsidRPr="00571F0B" w:rsidRDefault="00E26257" w:rsidP="00832208">
      <w:pPr>
        <w:spacing w:before="0" w:after="0"/>
        <w:rPr>
          <w:lang w:val="en-GB"/>
        </w:rPr>
      </w:pPr>
      <w:r w:rsidRPr="00571F0B">
        <w:rPr>
          <w:lang w:val="en-GB"/>
        </w:rPr>
        <w:t>Considering</w:t>
      </w:r>
      <w:r w:rsidR="00912E6C" w:rsidRPr="00571F0B">
        <w:rPr>
          <w:lang w:val="en-GB"/>
        </w:rPr>
        <w:t xml:space="preserve"> </w:t>
      </w:r>
      <w:r w:rsidR="00257613" w:rsidRPr="00571F0B">
        <w:rPr>
          <w:lang w:val="en-GB"/>
        </w:rPr>
        <w:t xml:space="preserve">the </w:t>
      </w:r>
      <w:r w:rsidR="00912E6C" w:rsidRPr="00571F0B">
        <w:rPr>
          <w:lang w:val="en-GB"/>
        </w:rPr>
        <w:t>o</w:t>
      </w:r>
      <w:r w:rsidR="00832208">
        <w:rPr>
          <w:lang w:val="en-GB"/>
        </w:rPr>
        <w:t>rganis</w:t>
      </w:r>
      <w:r w:rsidR="00912E6C" w:rsidRPr="00571F0B">
        <w:rPr>
          <w:lang w:val="en-GB"/>
        </w:rPr>
        <w:t>ational change theory</w:t>
      </w:r>
      <w:r w:rsidR="00912E6C" w:rsidRPr="00571F0B">
        <w:rPr>
          <w:rStyle w:val="FootnoteReference"/>
          <w:lang w:val="en-GB"/>
        </w:rPr>
        <w:footnoteReference w:id="6"/>
      </w:r>
      <w:r w:rsidR="00257613" w:rsidRPr="00571F0B">
        <w:rPr>
          <w:lang w:val="en-GB"/>
        </w:rPr>
        <w:t xml:space="preserve"> </w:t>
      </w:r>
      <w:r w:rsidR="00832208">
        <w:rPr>
          <w:lang w:val="en-GB"/>
        </w:rPr>
        <w:t xml:space="preserve">presented </w:t>
      </w:r>
      <w:r w:rsidR="00832208" w:rsidRPr="0095356B">
        <w:rPr>
          <w:lang w:val="en-GB"/>
        </w:rPr>
        <w:t>in F</w:t>
      </w:r>
      <w:r w:rsidR="00257613" w:rsidRPr="0095356B">
        <w:rPr>
          <w:lang w:val="en-GB"/>
        </w:rPr>
        <w:t>igure 1</w:t>
      </w:r>
      <w:r w:rsidR="00632A42" w:rsidRPr="0095356B">
        <w:rPr>
          <w:lang w:val="en-GB"/>
        </w:rPr>
        <w:t>,</w:t>
      </w:r>
      <w:r w:rsidR="00632A42" w:rsidRPr="00571F0B">
        <w:rPr>
          <w:lang w:val="en-GB"/>
        </w:rPr>
        <w:t xml:space="preserve"> </w:t>
      </w:r>
      <w:r w:rsidR="00257613" w:rsidRPr="00571F0B">
        <w:rPr>
          <w:lang w:val="en-GB"/>
        </w:rPr>
        <w:t>in Phase I and II the theory behind the Incentive F</w:t>
      </w:r>
      <w:r w:rsidR="00912E6C" w:rsidRPr="00571F0B">
        <w:rPr>
          <w:lang w:val="en-GB"/>
        </w:rPr>
        <w:t xml:space="preserve">und </w:t>
      </w:r>
      <w:r w:rsidR="00257613" w:rsidRPr="00571F0B">
        <w:rPr>
          <w:lang w:val="en-GB"/>
        </w:rPr>
        <w:t xml:space="preserve">was to </w:t>
      </w:r>
      <w:r w:rsidR="00832208">
        <w:rPr>
          <w:lang w:val="en-GB"/>
        </w:rPr>
        <w:t>reward organis</w:t>
      </w:r>
      <w:r w:rsidR="00912E6C" w:rsidRPr="00571F0B">
        <w:rPr>
          <w:lang w:val="en-GB"/>
        </w:rPr>
        <w:t xml:space="preserve">ations that had </w:t>
      </w:r>
      <w:r w:rsidR="00832208">
        <w:rPr>
          <w:lang w:val="en-GB"/>
        </w:rPr>
        <w:t>already institutionalis</w:t>
      </w:r>
      <w:r w:rsidR="00632A42" w:rsidRPr="00571F0B">
        <w:rPr>
          <w:lang w:val="en-GB"/>
        </w:rPr>
        <w:t xml:space="preserve">ed good performance, with the assumption </w:t>
      </w:r>
      <w:r w:rsidR="00832208">
        <w:rPr>
          <w:lang w:val="en-GB"/>
        </w:rPr>
        <w:t xml:space="preserve">being that </w:t>
      </w:r>
      <w:r w:rsidR="00632A42" w:rsidRPr="00571F0B">
        <w:rPr>
          <w:lang w:val="en-GB"/>
        </w:rPr>
        <w:t xml:space="preserve">they would inspire others to </w:t>
      </w:r>
      <w:r w:rsidR="00832208">
        <w:rPr>
          <w:lang w:val="en-GB"/>
        </w:rPr>
        <w:t>behave</w:t>
      </w:r>
      <w:r w:rsidR="00632A42" w:rsidRPr="00571F0B">
        <w:rPr>
          <w:lang w:val="en-GB"/>
        </w:rPr>
        <w:t xml:space="preserve"> similar</w:t>
      </w:r>
      <w:r w:rsidR="00832208">
        <w:rPr>
          <w:lang w:val="en-GB"/>
        </w:rPr>
        <w:t>ly</w:t>
      </w:r>
      <w:r w:rsidR="00DB73DE" w:rsidRPr="00571F0B">
        <w:rPr>
          <w:lang w:val="en-GB"/>
        </w:rPr>
        <w:t xml:space="preserve">. </w:t>
      </w:r>
      <w:r w:rsidR="00832208">
        <w:rPr>
          <w:lang w:val="en-GB"/>
        </w:rPr>
        <w:t xml:space="preserve"> </w:t>
      </w:r>
      <w:r w:rsidR="00DB73DE" w:rsidRPr="00571F0B">
        <w:rPr>
          <w:lang w:val="en-GB"/>
        </w:rPr>
        <w:t>However</w:t>
      </w:r>
      <w:r w:rsidR="00832208">
        <w:rPr>
          <w:lang w:val="en-GB"/>
        </w:rPr>
        <w:t>,</w:t>
      </w:r>
      <w:r w:rsidR="00DB73DE" w:rsidRPr="00571F0B">
        <w:rPr>
          <w:lang w:val="en-GB"/>
        </w:rPr>
        <w:t xml:space="preserve"> there was</w:t>
      </w:r>
      <w:r w:rsidR="00832208">
        <w:rPr>
          <w:lang w:val="en-GB"/>
        </w:rPr>
        <w:t xml:space="preserve"> no or little organis</w:t>
      </w:r>
      <w:r w:rsidR="00DB73DE" w:rsidRPr="00571F0B">
        <w:rPr>
          <w:lang w:val="en-GB"/>
        </w:rPr>
        <w:t xml:space="preserve">ation assessment and performance was assessed upon the presentation of </w:t>
      </w:r>
      <w:r w:rsidR="00DB73DE" w:rsidRPr="00571F0B">
        <w:rPr>
          <w:i/>
          <w:lang w:val="en-GB"/>
        </w:rPr>
        <w:t>‘excellent’</w:t>
      </w:r>
      <w:r w:rsidR="00DB73DE" w:rsidRPr="00571F0B">
        <w:rPr>
          <w:lang w:val="en-GB"/>
        </w:rPr>
        <w:t xml:space="preserve"> proposals – the preparation of proposals for some organisations was outsourced so</w:t>
      </w:r>
      <w:r w:rsidR="005A1D69" w:rsidRPr="00571F0B">
        <w:rPr>
          <w:lang w:val="en-GB"/>
        </w:rPr>
        <w:t xml:space="preserve">, in practice, </w:t>
      </w:r>
      <w:r w:rsidR="00DB73DE" w:rsidRPr="00571F0B">
        <w:rPr>
          <w:lang w:val="en-GB"/>
        </w:rPr>
        <w:t xml:space="preserve">this was not a meaningful assessment of </w:t>
      </w:r>
      <w:r w:rsidR="00A22C87" w:rsidRPr="00571F0B">
        <w:rPr>
          <w:lang w:val="en-GB"/>
        </w:rPr>
        <w:t xml:space="preserve">excellent </w:t>
      </w:r>
      <w:r w:rsidR="00DB73DE" w:rsidRPr="00571F0B">
        <w:rPr>
          <w:lang w:val="en-GB"/>
        </w:rPr>
        <w:t xml:space="preserve">performance. </w:t>
      </w:r>
      <w:r w:rsidR="00257613" w:rsidRPr="00571F0B">
        <w:rPr>
          <w:lang w:val="en-GB"/>
        </w:rPr>
        <w:t>De</w:t>
      </w:r>
      <w:r w:rsidR="00632A42" w:rsidRPr="00571F0B">
        <w:rPr>
          <w:lang w:val="en-GB"/>
        </w:rPr>
        <w:t xml:space="preserve">spite no evaluation around </w:t>
      </w:r>
      <w:r w:rsidR="00DB73DE" w:rsidRPr="00571F0B">
        <w:rPr>
          <w:lang w:val="en-GB"/>
        </w:rPr>
        <w:t>the</w:t>
      </w:r>
      <w:r w:rsidR="00632A42" w:rsidRPr="00571F0B">
        <w:rPr>
          <w:lang w:val="en-GB"/>
        </w:rPr>
        <w:t xml:space="preserve"> assumption </w:t>
      </w:r>
      <w:r w:rsidR="00DB73DE" w:rsidRPr="00571F0B">
        <w:rPr>
          <w:lang w:val="en-GB"/>
        </w:rPr>
        <w:t xml:space="preserve">of </w:t>
      </w:r>
      <w:r w:rsidR="00DB73DE" w:rsidRPr="00571F0B">
        <w:rPr>
          <w:i/>
          <w:lang w:val="en-GB"/>
        </w:rPr>
        <w:t>‘inspirational influence’</w:t>
      </w:r>
      <w:r w:rsidR="00DB73DE" w:rsidRPr="00571F0B">
        <w:rPr>
          <w:lang w:val="en-GB"/>
        </w:rPr>
        <w:t xml:space="preserve"> </w:t>
      </w:r>
      <w:r w:rsidR="00632A42" w:rsidRPr="00571F0B">
        <w:rPr>
          <w:lang w:val="en-GB"/>
        </w:rPr>
        <w:t xml:space="preserve">it is </w:t>
      </w:r>
      <w:r w:rsidR="00A22C87" w:rsidRPr="00571F0B">
        <w:rPr>
          <w:lang w:val="en-GB"/>
        </w:rPr>
        <w:t xml:space="preserve">also </w:t>
      </w:r>
      <w:r w:rsidR="00632A42" w:rsidRPr="00571F0B">
        <w:rPr>
          <w:lang w:val="en-GB"/>
        </w:rPr>
        <w:t xml:space="preserve">generally accepted </w:t>
      </w:r>
      <w:r w:rsidR="00A22C87" w:rsidRPr="00571F0B">
        <w:rPr>
          <w:lang w:val="en-GB"/>
        </w:rPr>
        <w:t>that other organisations we</w:t>
      </w:r>
      <w:r w:rsidR="008417F8" w:rsidRPr="00571F0B">
        <w:rPr>
          <w:lang w:val="en-GB"/>
        </w:rPr>
        <w:t>re</w:t>
      </w:r>
      <w:r w:rsidR="00A22C87" w:rsidRPr="00571F0B">
        <w:rPr>
          <w:lang w:val="en-GB"/>
        </w:rPr>
        <w:t xml:space="preserve"> not influenced, and no examples </w:t>
      </w:r>
      <w:r w:rsidR="008417F8" w:rsidRPr="00571F0B">
        <w:rPr>
          <w:lang w:val="en-GB"/>
        </w:rPr>
        <w:t xml:space="preserve">of inspired organisations </w:t>
      </w:r>
      <w:r w:rsidR="00A22C87" w:rsidRPr="00571F0B">
        <w:rPr>
          <w:lang w:val="en-GB"/>
        </w:rPr>
        <w:t>have been documented</w:t>
      </w:r>
      <w:r w:rsidR="0029348A">
        <w:rPr>
          <w:lang w:val="en-GB"/>
        </w:rPr>
        <w:t xml:space="preserve"> or presented to this design team</w:t>
      </w:r>
      <w:r w:rsidR="00A22C87" w:rsidRPr="00571F0B">
        <w:rPr>
          <w:lang w:val="en-GB"/>
        </w:rPr>
        <w:t>.</w:t>
      </w:r>
    </w:p>
    <w:p w:rsidR="00D3593A" w:rsidRPr="00832208" w:rsidRDefault="00D3593A" w:rsidP="00832208">
      <w:pPr>
        <w:spacing w:before="0" w:after="0"/>
        <w:rPr>
          <w:sz w:val="16"/>
          <w:szCs w:val="16"/>
          <w:lang w:val="en-GB"/>
        </w:rPr>
      </w:pPr>
    </w:p>
    <w:p w:rsidR="00912E6C" w:rsidRDefault="00A22C87" w:rsidP="00832208">
      <w:pPr>
        <w:spacing w:before="0" w:after="0"/>
        <w:rPr>
          <w:lang w:val="en-GB"/>
        </w:rPr>
      </w:pPr>
      <w:r w:rsidRPr="00571F0B">
        <w:rPr>
          <w:lang w:val="en-GB"/>
        </w:rPr>
        <w:t>I</w:t>
      </w:r>
      <w:r w:rsidR="00632A42" w:rsidRPr="00571F0B">
        <w:rPr>
          <w:lang w:val="en-GB"/>
        </w:rPr>
        <w:t xml:space="preserve">n </w:t>
      </w:r>
      <w:proofErr w:type="gramStart"/>
      <w:r w:rsidR="00632A42" w:rsidRPr="00571F0B">
        <w:rPr>
          <w:lang w:val="en-GB"/>
        </w:rPr>
        <w:t>phase</w:t>
      </w:r>
      <w:proofErr w:type="gramEnd"/>
      <w:r w:rsidR="00632A42" w:rsidRPr="00571F0B">
        <w:rPr>
          <w:lang w:val="en-GB"/>
        </w:rPr>
        <w:t xml:space="preserve"> III the opportunity to </w:t>
      </w:r>
      <w:r w:rsidR="00422DDC">
        <w:rPr>
          <w:lang w:val="en-GB"/>
        </w:rPr>
        <w:t>assess organis</w:t>
      </w:r>
      <w:r w:rsidR="00DB73DE" w:rsidRPr="00571F0B">
        <w:rPr>
          <w:lang w:val="en-GB"/>
        </w:rPr>
        <w:t xml:space="preserve">ations and to then select, </w:t>
      </w:r>
      <w:r w:rsidR="00632A42" w:rsidRPr="00571F0B">
        <w:rPr>
          <w:lang w:val="en-GB"/>
        </w:rPr>
        <w:t xml:space="preserve">support and </w:t>
      </w:r>
      <w:r w:rsidR="00DB73DE" w:rsidRPr="00571F0B">
        <w:rPr>
          <w:lang w:val="en-GB"/>
        </w:rPr>
        <w:t xml:space="preserve">reward performing </w:t>
      </w:r>
      <w:r w:rsidR="00632A42" w:rsidRPr="00571F0B">
        <w:rPr>
          <w:lang w:val="en-GB"/>
        </w:rPr>
        <w:t xml:space="preserve">organisations was </w:t>
      </w:r>
      <w:r w:rsidRPr="00571F0B">
        <w:rPr>
          <w:lang w:val="en-GB"/>
        </w:rPr>
        <w:t xml:space="preserve">deliberately </w:t>
      </w:r>
      <w:r w:rsidR="00632A42" w:rsidRPr="00571F0B">
        <w:rPr>
          <w:lang w:val="en-GB"/>
        </w:rPr>
        <w:t xml:space="preserve">sought. In practice this </w:t>
      </w:r>
      <w:r w:rsidR="00257613" w:rsidRPr="00571F0B">
        <w:rPr>
          <w:lang w:val="en-GB"/>
        </w:rPr>
        <w:t xml:space="preserve">seems to have resulted </w:t>
      </w:r>
      <w:r w:rsidR="00DB73DE" w:rsidRPr="00571F0B">
        <w:rPr>
          <w:lang w:val="en-GB"/>
        </w:rPr>
        <w:t xml:space="preserve">in Phase III </w:t>
      </w:r>
      <w:r w:rsidR="001A07E6">
        <w:rPr>
          <w:lang w:val="en-GB"/>
        </w:rPr>
        <w:t>supporting organis</w:t>
      </w:r>
      <w:r w:rsidR="00632A42" w:rsidRPr="00571F0B">
        <w:rPr>
          <w:lang w:val="en-GB"/>
        </w:rPr>
        <w:t>ation</w:t>
      </w:r>
      <w:r w:rsidR="001A07E6">
        <w:rPr>
          <w:lang w:val="en-GB"/>
        </w:rPr>
        <w:t>s that</w:t>
      </w:r>
      <w:r w:rsidR="00632A42" w:rsidRPr="00571F0B">
        <w:rPr>
          <w:lang w:val="en-GB"/>
        </w:rPr>
        <w:t xml:space="preserve"> had already committed </w:t>
      </w:r>
      <w:r w:rsidR="001A07E6">
        <w:rPr>
          <w:lang w:val="en-GB"/>
        </w:rPr>
        <w:t>and institutionalis</w:t>
      </w:r>
      <w:r w:rsidR="00DB73DE" w:rsidRPr="00571F0B">
        <w:rPr>
          <w:lang w:val="en-GB"/>
        </w:rPr>
        <w:t xml:space="preserve">ed </w:t>
      </w:r>
      <w:r w:rsidR="00632A42" w:rsidRPr="00571F0B">
        <w:rPr>
          <w:lang w:val="en-GB"/>
        </w:rPr>
        <w:t xml:space="preserve">good performance </w:t>
      </w:r>
      <w:r w:rsidR="00923047" w:rsidRPr="00571F0B">
        <w:rPr>
          <w:lang w:val="en-GB"/>
        </w:rPr>
        <w:t xml:space="preserve">and </w:t>
      </w:r>
      <w:r w:rsidR="001A07E6">
        <w:rPr>
          <w:lang w:val="en-GB"/>
        </w:rPr>
        <w:t>that</w:t>
      </w:r>
      <w:r w:rsidRPr="00571F0B">
        <w:rPr>
          <w:lang w:val="en-GB"/>
        </w:rPr>
        <w:t xml:space="preserve"> could use funding and technical </w:t>
      </w:r>
      <w:r w:rsidR="00632A42" w:rsidRPr="00571F0B">
        <w:rPr>
          <w:lang w:val="en-GB"/>
        </w:rPr>
        <w:t xml:space="preserve">support to ‘raise their game’ </w:t>
      </w:r>
      <w:r w:rsidR="005A1D69" w:rsidRPr="00571F0B">
        <w:rPr>
          <w:lang w:val="en-GB"/>
        </w:rPr>
        <w:t xml:space="preserve">further </w:t>
      </w:r>
      <w:r w:rsidR="00632A42" w:rsidRPr="00571F0B">
        <w:rPr>
          <w:lang w:val="en-GB"/>
        </w:rPr>
        <w:t>to expand the</w:t>
      </w:r>
      <w:r w:rsidR="00E26257" w:rsidRPr="00571F0B">
        <w:rPr>
          <w:lang w:val="en-GB"/>
        </w:rPr>
        <w:t>ir</w:t>
      </w:r>
      <w:r w:rsidR="00632A42" w:rsidRPr="00571F0B">
        <w:rPr>
          <w:lang w:val="en-GB"/>
        </w:rPr>
        <w:t xml:space="preserve"> institutional capacity</w:t>
      </w:r>
      <w:r w:rsidR="00DB73DE" w:rsidRPr="00571F0B">
        <w:rPr>
          <w:lang w:val="en-GB"/>
        </w:rPr>
        <w:t xml:space="preserve">, </w:t>
      </w:r>
      <w:r w:rsidR="005A1D69" w:rsidRPr="00571F0B">
        <w:rPr>
          <w:lang w:val="en-GB"/>
        </w:rPr>
        <w:t>contribut</w:t>
      </w:r>
      <w:r w:rsidRPr="00571F0B">
        <w:rPr>
          <w:lang w:val="en-GB"/>
        </w:rPr>
        <w:t xml:space="preserve">e more </w:t>
      </w:r>
      <w:r w:rsidR="005A1D69" w:rsidRPr="00571F0B">
        <w:rPr>
          <w:lang w:val="en-GB"/>
        </w:rPr>
        <w:t xml:space="preserve">to development outcomes and strengthen </w:t>
      </w:r>
      <w:r w:rsidR="00DB73DE" w:rsidRPr="00571F0B">
        <w:rPr>
          <w:lang w:val="en-GB"/>
        </w:rPr>
        <w:t>the enabling environment</w:t>
      </w:r>
      <w:r w:rsidR="00D3593A">
        <w:rPr>
          <w:lang w:val="en-GB"/>
        </w:rPr>
        <w:t>.</w:t>
      </w:r>
    </w:p>
    <w:p w:rsidR="00D3593A" w:rsidRPr="00571F0B" w:rsidRDefault="00D3593A" w:rsidP="00832208">
      <w:pPr>
        <w:spacing w:before="0" w:after="0"/>
        <w:rPr>
          <w:lang w:val="en-GB"/>
        </w:rPr>
      </w:pPr>
    </w:p>
    <w:p w:rsidR="00912E6C" w:rsidRPr="00571F0B" w:rsidRDefault="00257613" w:rsidP="00257613">
      <w:pPr>
        <w:pStyle w:val="Caption"/>
        <w:rPr>
          <w:lang w:val="en-GB"/>
        </w:rPr>
      </w:pPr>
      <w:bookmarkStart w:id="12" w:name="_Toc403037639"/>
      <w:r w:rsidRPr="00571F0B">
        <w:rPr>
          <w:lang w:val="en-GB"/>
        </w:rPr>
        <w:t xml:space="preserve">Figure </w:t>
      </w:r>
      <w:r w:rsidR="00D3593A" w:rsidRPr="00571F0B">
        <w:rPr>
          <w:lang w:val="en-GB"/>
        </w:rPr>
        <w:fldChar w:fldCharType="begin"/>
      </w:r>
      <w:r w:rsidR="00D3593A" w:rsidRPr="00571F0B">
        <w:rPr>
          <w:lang w:val="en-GB"/>
        </w:rPr>
        <w:instrText xml:space="preserve"> SEQ Figure \* ARABIC </w:instrText>
      </w:r>
      <w:r w:rsidR="00D3593A" w:rsidRPr="00571F0B">
        <w:rPr>
          <w:lang w:val="en-GB"/>
        </w:rPr>
        <w:fldChar w:fldCharType="separate"/>
      </w:r>
      <w:r w:rsidR="006C1E87">
        <w:rPr>
          <w:noProof/>
          <w:lang w:val="en-GB"/>
        </w:rPr>
        <w:t>1</w:t>
      </w:r>
      <w:r w:rsidR="00D3593A" w:rsidRPr="00571F0B">
        <w:rPr>
          <w:lang w:val="en-GB"/>
        </w:rPr>
        <w:fldChar w:fldCharType="end"/>
      </w:r>
      <w:r w:rsidR="00D3593A">
        <w:rPr>
          <w:lang w:val="en-GB"/>
        </w:rPr>
        <w:t>:</w:t>
      </w:r>
      <w:r w:rsidRPr="00571F0B">
        <w:rPr>
          <w:lang w:val="en-GB"/>
        </w:rPr>
        <w:t xml:space="preserve"> Theory of Organisational Change</w:t>
      </w:r>
      <w:bookmarkEnd w:id="12"/>
    </w:p>
    <w:p w:rsidR="00912E6C" w:rsidRPr="00571F0B" w:rsidRDefault="00912E6C" w:rsidP="00083597">
      <w:pPr>
        <w:spacing w:after="0"/>
        <w:jc w:val="center"/>
        <w:rPr>
          <w:lang w:val="en-GB"/>
        </w:rPr>
      </w:pPr>
      <w:r w:rsidRPr="00571F0B">
        <w:rPr>
          <w:noProof/>
          <w:lang w:eastAsia="en-AU"/>
        </w:rPr>
        <w:drawing>
          <wp:inline distT="0" distB="0" distL="0" distR="0" wp14:anchorId="27D3AF7B" wp14:editId="7EFFC198">
            <wp:extent cx="5761355" cy="1657350"/>
            <wp:effectExtent l="0" t="0" r="0" b="0"/>
            <wp:docPr id="140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1657350"/>
                    </a:xfrm>
                    <a:prstGeom prst="rect">
                      <a:avLst/>
                    </a:prstGeom>
                    <a:noFill/>
                    <a:ln>
                      <a:noFill/>
                    </a:ln>
                    <a:effectLst/>
                    <a:extLst/>
                  </pic:spPr>
                </pic:pic>
              </a:graphicData>
            </a:graphic>
          </wp:inline>
        </w:drawing>
      </w:r>
    </w:p>
    <w:p w:rsidR="00D3593A" w:rsidRPr="00832208" w:rsidRDefault="00D3593A" w:rsidP="00832208">
      <w:pPr>
        <w:spacing w:before="0" w:after="0"/>
        <w:rPr>
          <w:sz w:val="16"/>
          <w:szCs w:val="16"/>
          <w:lang w:val="en-GB"/>
        </w:rPr>
      </w:pPr>
    </w:p>
    <w:p w:rsidR="008417F8" w:rsidRDefault="002B7876" w:rsidP="00832208">
      <w:pPr>
        <w:spacing w:before="0" w:after="0"/>
        <w:rPr>
          <w:lang w:val="en-GB"/>
        </w:rPr>
      </w:pPr>
      <w:r w:rsidRPr="002B7876">
        <w:rPr>
          <w:lang w:val="en-GB"/>
        </w:rPr>
        <w:t xml:space="preserve">IF (IV) </w:t>
      </w:r>
      <w:r w:rsidR="008417F8" w:rsidRPr="00571F0B">
        <w:rPr>
          <w:lang w:val="en-GB"/>
        </w:rPr>
        <w:t>will</w:t>
      </w:r>
      <w:r w:rsidR="00257613" w:rsidRPr="00571F0B">
        <w:rPr>
          <w:lang w:val="en-GB"/>
        </w:rPr>
        <w:t xml:space="preserve"> </w:t>
      </w:r>
      <w:r w:rsidR="00DB73DE" w:rsidRPr="00571F0B">
        <w:rPr>
          <w:lang w:val="en-GB"/>
        </w:rPr>
        <w:t xml:space="preserve">continue to assess </w:t>
      </w:r>
      <w:r w:rsidR="00257613" w:rsidRPr="00571F0B">
        <w:rPr>
          <w:lang w:val="en-GB"/>
        </w:rPr>
        <w:t xml:space="preserve">the </w:t>
      </w:r>
      <w:r w:rsidR="008417F8" w:rsidRPr="00571F0B">
        <w:rPr>
          <w:lang w:val="en-GB"/>
        </w:rPr>
        <w:t>governance, management</w:t>
      </w:r>
      <w:r w:rsidR="00257613" w:rsidRPr="00571F0B">
        <w:rPr>
          <w:lang w:val="en-GB"/>
        </w:rPr>
        <w:t xml:space="preserve"> and </w:t>
      </w:r>
      <w:r w:rsidR="00DB73DE" w:rsidRPr="00571F0B">
        <w:rPr>
          <w:lang w:val="en-GB"/>
        </w:rPr>
        <w:t>performance</w:t>
      </w:r>
      <w:r w:rsidR="00FD6F95">
        <w:rPr>
          <w:lang w:val="en-GB"/>
        </w:rPr>
        <w:t xml:space="preserve"> of an organis</w:t>
      </w:r>
      <w:r w:rsidR="00257613" w:rsidRPr="00571F0B">
        <w:rPr>
          <w:lang w:val="en-GB"/>
        </w:rPr>
        <w:t xml:space="preserve">ation to fully understand whether investments are being used to expand entrenched institutional capacity </w:t>
      </w:r>
      <w:r w:rsidR="00FD6F95">
        <w:rPr>
          <w:lang w:val="en-GB"/>
        </w:rPr>
        <w:t>within a well performing organis</w:t>
      </w:r>
      <w:r w:rsidR="00257613" w:rsidRPr="00571F0B">
        <w:rPr>
          <w:lang w:val="en-GB"/>
        </w:rPr>
        <w:t>ation</w:t>
      </w:r>
      <w:r w:rsidR="008417F8" w:rsidRPr="00571F0B">
        <w:rPr>
          <w:lang w:val="en-GB"/>
        </w:rPr>
        <w:t>, and to then support</w:t>
      </w:r>
      <w:r w:rsidR="00FD6F95">
        <w:rPr>
          <w:lang w:val="en-GB"/>
        </w:rPr>
        <w:t xml:space="preserve"> the organis</w:t>
      </w:r>
      <w:r w:rsidR="00257613" w:rsidRPr="00571F0B">
        <w:rPr>
          <w:lang w:val="en-GB"/>
        </w:rPr>
        <w:t xml:space="preserve">ation to </w:t>
      </w:r>
      <w:r w:rsidR="00D3593A">
        <w:rPr>
          <w:lang w:val="en-GB"/>
        </w:rPr>
        <w:t>change to a new (institutionalised) level of performance.</w:t>
      </w:r>
    </w:p>
    <w:p w:rsidR="00705A88" w:rsidRDefault="00705A88" w:rsidP="00832208">
      <w:pPr>
        <w:spacing w:before="0" w:after="0"/>
        <w:rPr>
          <w:lang w:val="en-GB"/>
        </w:rPr>
      </w:pPr>
    </w:p>
    <w:p w:rsidR="00705A88" w:rsidRDefault="00705A88" w:rsidP="00705A88">
      <w:pPr>
        <w:spacing w:before="0" w:after="0"/>
      </w:pPr>
      <w:r w:rsidRPr="00705A88">
        <w:t xml:space="preserve">Figure </w:t>
      </w:r>
      <w:r>
        <w:t>2</w:t>
      </w:r>
      <w:r w:rsidR="006D02E0">
        <w:t xml:space="preserve"> presents an </w:t>
      </w:r>
      <w:r w:rsidRPr="00705A88">
        <w:t>overview of organisation performance theory</w:t>
      </w:r>
      <w:r>
        <w:t xml:space="preserve"> int</w:t>
      </w:r>
      <w:r w:rsidR="00C833F4">
        <w:t>roduced in the Phase III design. This theory was</w:t>
      </w:r>
      <w:r>
        <w:t xml:space="preserve"> </w:t>
      </w:r>
      <w:r w:rsidR="00C833F4">
        <w:t xml:space="preserve">implemented by adopting an </w:t>
      </w:r>
      <w:r>
        <w:t xml:space="preserve">organisation assessment </w:t>
      </w:r>
      <w:r w:rsidR="003B5D8F">
        <w:t>developed by DFAT grant mechanism</w:t>
      </w:r>
      <w:r w:rsidR="0029348A">
        <w:t>s</w:t>
      </w:r>
      <w:r w:rsidR="00C833F4">
        <w:t xml:space="preserve"> in PNG, </w:t>
      </w:r>
      <w:r w:rsidR="003B5D8F">
        <w:t xml:space="preserve">and </w:t>
      </w:r>
      <w:r>
        <w:t>presented in the Information Handbook.</w:t>
      </w:r>
      <w:r w:rsidRPr="00705A88">
        <w:t xml:space="preserve"> </w:t>
      </w:r>
    </w:p>
    <w:p w:rsidR="00C833F4" w:rsidRDefault="00C833F4" w:rsidP="00705A88">
      <w:pPr>
        <w:spacing w:before="0" w:after="0"/>
      </w:pPr>
    </w:p>
    <w:p w:rsidR="00F7641B" w:rsidRDefault="00F7641B" w:rsidP="00705A88">
      <w:pPr>
        <w:spacing w:before="0" w:after="0"/>
      </w:pPr>
    </w:p>
    <w:p w:rsidR="00F7641B" w:rsidRDefault="00F7641B" w:rsidP="00705A88">
      <w:pPr>
        <w:spacing w:before="0" w:after="0"/>
      </w:pPr>
    </w:p>
    <w:p w:rsidR="00F7641B" w:rsidRDefault="00F7641B" w:rsidP="00705A88">
      <w:pPr>
        <w:spacing w:before="0" w:after="0"/>
      </w:pPr>
    </w:p>
    <w:p w:rsidR="00F7641B" w:rsidRDefault="00F7641B" w:rsidP="00705A88">
      <w:pPr>
        <w:spacing w:before="0" w:after="0"/>
      </w:pPr>
    </w:p>
    <w:p w:rsidR="00705A88" w:rsidRPr="00705A88" w:rsidRDefault="00705A88" w:rsidP="00705A88">
      <w:pPr>
        <w:pStyle w:val="Caption"/>
      </w:pPr>
      <w:bookmarkStart w:id="13" w:name="_Toc403037640"/>
      <w:r>
        <w:t xml:space="preserve">Figure </w:t>
      </w:r>
      <w:fldSimple w:instr=" SEQ Figure \* ARABIC ">
        <w:r w:rsidR="006C1E87">
          <w:rPr>
            <w:noProof/>
          </w:rPr>
          <w:t>2</w:t>
        </w:r>
      </w:fldSimple>
      <w:r w:rsidR="00C833F4">
        <w:rPr>
          <w:noProof/>
        </w:rPr>
        <w:t>: O</w:t>
      </w:r>
      <w:r w:rsidRPr="00705A88">
        <w:t>verview of organisation performance theory</w:t>
      </w:r>
      <w:bookmarkEnd w:id="13"/>
    </w:p>
    <w:p w:rsidR="00705A88" w:rsidRPr="00705A88" w:rsidRDefault="00705A88" w:rsidP="00705A88">
      <w:pPr>
        <w:spacing w:before="0" w:after="0"/>
        <w:jc w:val="center"/>
      </w:pPr>
      <w:r w:rsidRPr="00705A88">
        <w:object w:dxaOrig="8380" w:dyaOrig="2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85pt;height:149.6pt" o:ole="">
            <v:imagedata r:id="rId17" o:title=""/>
          </v:shape>
          <o:OLEObject Type="Embed" ProgID="Visio.Drawing.11" ShapeID="_x0000_i1025" DrawAspect="Content" ObjectID="_1508246529" r:id="rId18"/>
        </w:object>
      </w:r>
    </w:p>
    <w:p w:rsidR="00705A88" w:rsidRPr="00705A88" w:rsidRDefault="00705A88" w:rsidP="00705A88">
      <w:pPr>
        <w:spacing w:before="0" w:after="0"/>
      </w:pPr>
      <w:r w:rsidRPr="00705A88">
        <w:t xml:space="preserve">Consider a nascent organisation that is ready to develop in key organisational areas, which may include, but are not limited to: identify; management; compliance; personnel; implementation; stakeholders; finance; and administration. This organisation may not yet be a good performing organisation and it may present greater risk as a partner. Conversely, an organisation that has developed and institutionalised good practice and behaviour in all of these areas is more likely to be a better performing organisation and present lower risk as a partner.  Tools such as the </w:t>
      </w:r>
      <w:r w:rsidR="003B5D8F">
        <w:t>joint organisation assessment</w:t>
      </w:r>
      <w:r w:rsidRPr="00705A88">
        <w:t xml:space="preserve"> allow the user to assess whether an organisation has fully committed and institutionalised good practice and behaviour in key organisational areas. This assists the user to understand how well the organisation is performing and the level of risk the organisation may present as a partner. </w:t>
      </w:r>
    </w:p>
    <w:p w:rsidR="00705A88" w:rsidRPr="00705A88" w:rsidRDefault="00705A88" w:rsidP="00705A88">
      <w:pPr>
        <w:spacing w:before="0" w:after="0"/>
      </w:pPr>
    </w:p>
    <w:p w:rsidR="00705A88" w:rsidRPr="00705A88" w:rsidRDefault="00705A88" w:rsidP="00705A88">
      <w:pPr>
        <w:spacing w:before="0" w:after="0"/>
      </w:pPr>
      <w:r w:rsidRPr="00705A88">
        <w:t>Programs seeking to support good performing, and presumably effective, partners will try to identify and support only organisations with high levels of commitment and institutionalisation in key organisational areas. Programs that are seeking to support organisational change and improved performance will try to identify organisations that are adopting good practice and behaviour and demonstrate real intention to commit further and fully institutionalise good practice and behaviour.</w:t>
      </w:r>
    </w:p>
    <w:p w:rsidR="00FD6F95" w:rsidRPr="00832208" w:rsidRDefault="00FD6F95" w:rsidP="00832208">
      <w:pPr>
        <w:spacing w:before="0" w:after="0"/>
        <w:rPr>
          <w:sz w:val="16"/>
          <w:szCs w:val="16"/>
          <w:lang w:val="en-GB"/>
        </w:rPr>
      </w:pPr>
    </w:p>
    <w:p w:rsidR="00257613" w:rsidRDefault="0099002E" w:rsidP="00832208">
      <w:pPr>
        <w:spacing w:before="0" w:after="0"/>
        <w:rPr>
          <w:lang w:val="en-GB"/>
        </w:rPr>
      </w:pPr>
      <w:r w:rsidRPr="00571F0B">
        <w:rPr>
          <w:lang w:val="en-GB"/>
        </w:rPr>
        <w:t xml:space="preserve">To confirm, </w:t>
      </w:r>
      <w:r w:rsidR="00257613" w:rsidRPr="00571F0B">
        <w:rPr>
          <w:lang w:val="en-GB"/>
        </w:rPr>
        <w:t xml:space="preserve">IF (IV) is not the mechanism to support </w:t>
      </w:r>
      <w:r w:rsidR="00DB73DE" w:rsidRPr="00571F0B">
        <w:rPr>
          <w:lang w:val="en-GB"/>
        </w:rPr>
        <w:t>and capacity build an organi</w:t>
      </w:r>
      <w:r w:rsidR="00FD6F95">
        <w:rPr>
          <w:lang w:val="en-GB"/>
        </w:rPr>
        <w:t>s</w:t>
      </w:r>
      <w:r w:rsidR="00DB73DE" w:rsidRPr="00571F0B">
        <w:rPr>
          <w:lang w:val="en-GB"/>
        </w:rPr>
        <w:t>ation to achieve effective performance</w:t>
      </w:r>
      <w:r w:rsidR="000D4BB3">
        <w:rPr>
          <w:lang w:val="en-GB"/>
        </w:rPr>
        <w:t xml:space="preserve">. IF (IV) </w:t>
      </w:r>
      <w:r w:rsidR="00257613" w:rsidRPr="00571F0B">
        <w:rPr>
          <w:lang w:val="en-GB"/>
        </w:rPr>
        <w:t xml:space="preserve">is the mechanism to reward </w:t>
      </w:r>
      <w:r w:rsidR="008417F8" w:rsidRPr="00571F0B">
        <w:rPr>
          <w:lang w:val="en-GB"/>
        </w:rPr>
        <w:t xml:space="preserve">already performing organisations and support them </w:t>
      </w:r>
      <w:r w:rsidR="000D4BB3">
        <w:rPr>
          <w:lang w:val="en-GB"/>
        </w:rPr>
        <w:t xml:space="preserve">to </w:t>
      </w:r>
      <w:r w:rsidR="008417F8" w:rsidRPr="00571F0B">
        <w:rPr>
          <w:lang w:val="en-GB"/>
        </w:rPr>
        <w:t xml:space="preserve">expand their performance further. </w:t>
      </w:r>
      <w:r w:rsidR="00A760D2">
        <w:rPr>
          <w:lang w:val="en-GB"/>
        </w:rPr>
        <w:t xml:space="preserve"> This is the incentive.</w:t>
      </w:r>
    </w:p>
    <w:p w:rsidR="00A760D2" w:rsidRDefault="00A760D2" w:rsidP="00832208">
      <w:pPr>
        <w:spacing w:before="0" w:after="0"/>
        <w:rPr>
          <w:lang w:val="en-GB"/>
        </w:rPr>
      </w:pPr>
    </w:p>
    <w:p w:rsidR="00A760D2" w:rsidRPr="00571F0B" w:rsidRDefault="00A760D2" w:rsidP="00A760D2">
      <w:pPr>
        <w:pStyle w:val="Heading2"/>
        <w:rPr>
          <w:lang w:val="en-GB"/>
        </w:rPr>
      </w:pPr>
      <w:bookmarkStart w:id="14" w:name="_Toc403037561"/>
      <w:r w:rsidRPr="00571F0B">
        <w:rPr>
          <w:lang w:val="en-GB"/>
        </w:rPr>
        <w:t>Overview of Incentive Fund support</w:t>
      </w:r>
      <w:bookmarkEnd w:id="14"/>
    </w:p>
    <w:p w:rsidR="00A760D2" w:rsidRDefault="00A760D2" w:rsidP="00A760D2">
      <w:pPr>
        <w:spacing w:before="0" w:after="0"/>
        <w:rPr>
          <w:lang w:val="en-GB"/>
        </w:rPr>
      </w:pPr>
      <w:r w:rsidRPr="00571F0B">
        <w:rPr>
          <w:lang w:val="en-GB"/>
        </w:rPr>
        <w:t xml:space="preserve">Significantly, in late 2010 an Australian Aid policy was introduced to enhance the delivery of health and education results. This had a demonstrable effect on the targeting and end-of-program outputs and contribution to outcomes provided by Phase III. </w:t>
      </w:r>
      <w:r w:rsidRPr="0095356B">
        <w:rPr>
          <w:lang w:val="en-GB"/>
        </w:rPr>
        <w:t xml:space="preserve">Comparing Chart </w:t>
      </w:r>
      <w:r w:rsidR="00422DDC" w:rsidRPr="0095356B">
        <w:rPr>
          <w:lang w:val="en-GB"/>
        </w:rPr>
        <w:t>1</w:t>
      </w:r>
      <w:r w:rsidRPr="00571F0B">
        <w:rPr>
          <w:lang w:val="en-GB"/>
        </w:rPr>
        <w:t xml:space="preserve"> and </w:t>
      </w:r>
      <w:r w:rsidRPr="0095356B">
        <w:rPr>
          <w:lang w:val="en-GB"/>
        </w:rPr>
        <w:t xml:space="preserve">Chart 2 demonstrates how the end-of-program position </w:t>
      </w:r>
      <w:r w:rsidR="000D4BB3">
        <w:rPr>
          <w:lang w:val="en-GB"/>
        </w:rPr>
        <w:t>was</w:t>
      </w:r>
      <w:r w:rsidRPr="0095356B">
        <w:rPr>
          <w:lang w:val="en-GB"/>
        </w:rPr>
        <w:t xml:space="preserve"> significantly altered by</w:t>
      </w:r>
      <w:r w:rsidRPr="00571F0B">
        <w:rPr>
          <w:lang w:val="en-GB"/>
        </w:rPr>
        <w:t xml:space="preserve"> specifically targeting the education and health sectors.</w:t>
      </w:r>
    </w:p>
    <w:p w:rsidR="00832208" w:rsidRDefault="00832208">
      <w:pPr>
        <w:spacing w:before="0" w:after="0"/>
        <w:jc w:val="left"/>
        <w:rPr>
          <w:lang w:val="en-GB"/>
        </w:rPr>
      </w:pPr>
    </w:p>
    <w:p w:rsidR="00F7641B" w:rsidRDefault="00F7641B" w:rsidP="009E3624">
      <w:pPr>
        <w:pStyle w:val="Caption"/>
        <w:rPr>
          <w:lang w:val="en-GB"/>
        </w:rPr>
      </w:pPr>
    </w:p>
    <w:p w:rsidR="00F7641B" w:rsidRDefault="00F7641B" w:rsidP="009E3624">
      <w:pPr>
        <w:pStyle w:val="Caption"/>
        <w:rPr>
          <w:lang w:val="en-GB"/>
        </w:rPr>
      </w:pPr>
    </w:p>
    <w:p w:rsidR="00F7641B" w:rsidRDefault="00F7641B" w:rsidP="009E3624">
      <w:pPr>
        <w:pStyle w:val="Caption"/>
        <w:rPr>
          <w:lang w:val="en-GB"/>
        </w:rPr>
      </w:pPr>
    </w:p>
    <w:p w:rsidR="00F7641B" w:rsidRDefault="00F7641B" w:rsidP="009E3624">
      <w:pPr>
        <w:pStyle w:val="Caption"/>
        <w:rPr>
          <w:lang w:val="en-GB"/>
        </w:rPr>
      </w:pPr>
    </w:p>
    <w:p w:rsidR="00F7641B" w:rsidRDefault="00F7641B" w:rsidP="009E3624">
      <w:pPr>
        <w:pStyle w:val="Caption"/>
        <w:rPr>
          <w:lang w:val="en-GB"/>
        </w:rPr>
      </w:pPr>
    </w:p>
    <w:p w:rsidR="00F7641B" w:rsidRDefault="00F7641B" w:rsidP="009E3624">
      <w:pPr>
        <w:pStyle w:val="Caption"/>
        <w:rPr>
          <w:lang w:val="en-GB"/>
        </w:rPr>
      </w:pPr>
    </w:p>
    <w:p w:rsidR="00F7641B" w:rsidRDefault="00F7641B" w:rsidP="009E3624">
      <w:pPr>
        <w:pStyle w:val="Caption"/>
        <w:rPr>
          <w:lang w:val="en-GB"/>
        </w:rPr>
      </w:pPr>
    </w:p>
    <w:p w:rsidR="00F7641B" w:rsidRDefault="00F7641B" w:rsidP="009E3624">
      <w:pPr>
        <w:pStyle w:val="Caption"/>
        <w:rPr>
          <w:lang w:val="en-GB"/>
        </w:rPr>
      </w:pPr>
    </w:p>
    <w:p w:rsidR="00923047" w:rsidRPr="00571F0B" w:rsidRDefault="009E3624" w:rsidP="009E3624">
      <w:pPr>
        <w:pStyle w:val="Caption"/>
        <w:rPr>
          <w:lang w:val="en-GB"/>
        </w:rPr>
      </w:pPr>
      <w:bookmarkStart w:id="15" w:name="_Toc403037587"/>
      <w:r w:rsidRPr="00571F0B">
        <w:rPr>
          <w:lang w:val="en-GB"/>
        </w:rPr>
        <w:t xml:space="preserve">Chart </w:t>
      </w:r>
      <w:r w:rsidR="00D3593A" w:rsidRPr="00571F0B">
        <w:rPr>
          <w:lang w:val="en-GB"/>
        </w:rPr>
        <w:fldChar w:fldCharType="begin"/>
      </w:r>
      <w:r w:rsidR="00D3593A" w:rsidRPr="00571F0B">
        <w:rPr>
          <w:lang w:val="en-GB"/>
        </w:rPr>
        <w:instrText xml:space="preserve"> SEQ Chart \* ARABIC </w:instrText>
      </w:r>
      <w:r w:rsidR="00D3593A" w:rsidRPr="00571F0B">
        <w:rPr>
          <w:lang w:val="en-GB"/>
        </w:rPr>
        <w:fldChar w:fldCharType="separate"/>
      </w:r>
      <w:r w:rsidR="006C1E87">
        <w:rPr>
          <w:noProof/>
          <w:lang w:val="en-GB"/>
        </w:rPr>
        <w:t>1</w:t>
      </w:r>
      <w:r w:rsidR="00D3593A" w:rsidRPr="00571F0B">
        <w:rPr>
          <w:lang w:val="en-GB"/>
        </w:rPr>
        <w:fldChar w:fldCharType="end"/>
      </w:r>
      <w:r w:rsidR="00FD6F95">
        <w:rPr>
          <w:lang w:val="en-GB"/>
        </w:rPr>
        <w:t>:</w:t>
      </w:r>
      <w:r w:rsidRPr="00571F0B">
        <w:rPr>
          <w:lang w:val="en-GB"/>
        </w:rPr>
        <w:t xml:space="preserve"> Incentive Fund Agreements from Phases I and II</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8"/>
        <w:gridCol w:w="2251"/>
      </w:tblGrid>
      <w:tr w:rsidR="007E1E28" w:rsidRPr="00571F0B" w:rsidTr="00BA3A68">
        <w:tc>
          <w:tcPr>
            <w:tcW w:w="7038" w:type="dxa"/>
          </w:tcPr>
          <w:p w:rsidR="007E1E28" w:rsidRPr="00571F0B" w:rsidRDefault="00BA3A68" w:rsidP="00307244">
            <w:pPr>
              <w:spacing w:before="0" w:after="0"/>
              <w:rPr>
                <w:lang w:val="en-GB"/>
              </w:rPr>
            </w:pPr>
            <w:r w:rsidRPr="00571F0B">
              <w:rPr>
                <w:noProof/>
                <w:lang w:eastAsia="en-AU"/>
              </w:rPr>
              <w:drawing>
                <wp:inline distT="0" distB="0" distL="0" distR="0" wp14:anchorId="34B2E219" wp14:editId="4D98B8EA">
                  <wp:extent cx="4276725" cy="29337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2251" w:type="dxa"/>
            <w:shd w:val="clear" w:color="auto" w:fill="D6E3BC" w:themeFill="accent3" w:themeFillTint="66"/>
          </w:tcPr>
          <w:p w:rsidR="00974030" w:rsidRPr="00571F0B" w:rsidRDefault="00974030" w:rsidP="004109D8">
            <w:pPr>
              <w:spacing w:before="0" w:after="0"/>
              <w:jc w:val="left"/>
              <w:rPr>
                <w:rFonts w:ascii="Arial" w:hAnsi="Arial" w:cs="Arial"/>
                <w:sz w:val="22"/>
                <w:szCs w:val="22"/>
                <w:lang w:val="en-GB"/>
              </w:rPr>
            </w:pPr>
          </w:p>
          <w:p w:rsidR="00BA3A68" w:rsidRPr="00571F0B" w:rsidRDefault="00974030" w:rsidP="004109D8">
            <w:pPr>
              <w:spacing w:before="0" w:after="0"/>
              <w:jc w:val="left"/>
              <w:rPr>
                <w:rFonts w:ascii="Arial" w:hAnsi="Arial" w:cs="Arial"/>
                <w:sz w:val="22"/>
                <w:szCs w:val="22"/>
                <w:lang w:val="en-GB"/>
              </w:rPr>
            </w:pPr>
            <w:r w:rsidRPr="00571F0B">
              <w:rPr>
                <w:rFonts w:ascii="Arial" w:hAnsi="Arial" w:cs="Arial"/>
                <w:sz w:val="22"/>
                <w:szCs w:val="22"/>
                <w:lang w:val="en-GB"/>
              </w:rPr>
              <w:t>Total K220 million</w:t>
            </w:r>
          </w:p>
          <w:p w:rsidR="00974030" w:rsidRPr="00571F0B" w:rsidRDefault="00974030" w:rsidP="00BA3A68">
            <w:pPr>
              <w:spacing w:before="0" w:after="0"/>
              <w:jc w:val="left"/>
              <w:rPr>
                <w:rFonts w:ascii="Arial" w:hAnsi="Arial" w:cs="Arial"/>
                <w:sz w:val="22"/>
                <w:szCs w:val="22"/>
                <w:lang w:val="en-GB"/>
              </w:rPr>
            </w:pPr>
          </w:p>
          <w:p w:rsidR="00974030" w:rsidRPr="00571F0B" w:rsidRDefault="00A47A57" w:rsidP="00BA3A68">
            <w:pPr>
              <w:spacing w:before="0" w:after="0"/>
              <w:jc w:val="left"/>
              <w:rPr>
                <w:rFonts w:ascii="Arial Narrow" w:hAnsi="Arial Narrow" w:cs="Arial"/>
                <w:szCs w:val="24"/>
                <w:lang w:val="en-GB"/>
              </w:rPr>
            </w:pPr>
            <w:r w:rsidRPr="00571F0B">
              <w:rPr>
                <w:rFonts w:ascii="Arial Narrow" w:hAnsi="Arial Narrow" w:cs="Arial"/>
                <w:szCs w:val="24"/>
                <w:lang w:val="en-GB"/>
              </w:rPr>
              <w:t xml:space="preserve">39 </w:t>
            </w:r>
            <w:r w:rsidR="00BA3A68" w:rsidRPr="00571F0B">
              <w:rPr>
                <w:rFonts w:ascii="Arial Narrow" w:hAnsi="Arial Narrow" w:cs="Arial"/>
                <w:szCs w:val="24"/>
                <w:lang w:val="en-GB"/>
              </w:rPr>
              <w:t>IFAs</w:t>
            </w:r>
            <w:r w:rsidR="0095356B">
              <w:rPr>
                <w:rStyle w:val="FootnoteReference"/>
                <w:rFonts w:ascii="Arial Narrow" w:hAnsi="Arial Narrow" w:cs="Arial"/>
                <w:szCs w:val="24"/>
                <w:lang w:val="en-GB"/>
              </w:rPr>
              <w:footnoteReference w:id="7"/>
            </w:r>
            <w:r w:rsidR="00974030" w:rsidRPr="00571F0B">
              <w:rPr>
                <w:rFonts w:ascii="Arial Narrow" w:hAnsi="Arial Narrow" w:cs="Arial"/>
                <w:szCs w:val="24"/>
                <w:lang w:val="en-GB"/>
              </w:rPr>
              <w:t>,</w:t>
            </w:r>
            <w:r w:rsidR="00BA3A68" w:rsidRPr="00571F0B">
              <w:rPr>
                <w:rFonts w:ascii="Arial Narrow" w:hAnsi="Arial Narrow" w:cs="Arial"/>
                <w:szCs w:val="24"/>
                <w:lang w:val="en-GB"/>
              </w:rPr>
              <w:t xml:space="preserve"> </w:t>
            </w:r>
            <w:r w:rsidR="00974030" w:rsidRPr="00571F0B">
              <w:rPr>
                <w:rFonts w:ascii="Arial Narrow" w:hAnsi="Arial Narrow" w:cs="Arial"/>
                <w:szCs w:val="24"/>
                <w:lang w:val="en-GB"/>
              </w:rPr>
              <w:t>value range</w:t>
            </w:r>
            <w:r w:rsidRPr="00571F0B">
              <w:rPr>
                <w:rFonts w:ascii="Arial Narrow" w:hAnsi="Arial Narrow" w:cs="Arial"/>
                <w:szCs w:val="24"/>
                <w:lang w:val="en-GB"/>
              </w:rPr>
              <w:t xml:space="preserve"> </w:t>
            </w:r>
            <w:r w:rsidR="00531023" w:rsidRPr="00571F0B">
              <w:rPr>
                <w:rFonts w:ascii="Arial Narrow" w:hAnsi="Arial Narrow" w:cs="Arial"/>
                <w:szCs w:val="24"/>
                <w:lang w:val="en-GB"/>
              </w:rPr>
              <w:t xml:space="preserve"> </w:t>
            </w:r>
          </w:p>
          <w:p w:rsidR="00BA3A68" w:rsidRPr="00571F0B" w:rsidRDefault="00974030" w:rsidP="00BA3A68">
            <w:pPr>
              <w:spacing w:before="0" w:after="0"/>
              <w:jc w:val="left"/>
              <w:rPr>
                <w:rFonts w:ascii="Arial Narrow" w:hAnsi="Arial Narrow" w:cs="Arial"/>
                <w:szCs w:val="24"/>
                <w:lang w:val="en-GB"/>
              </w:rPr>
            </w:pPr>
            <w:r w:rsidRPr="00571F0B">
              <w:rPr>
                <w:rFonts w:ascii="Arial Narrow" w:hAnsi="Arial Narrow" w:cs="Arial"/>
                <w:szCs w:val="24"/>
                <w:lang w:val="en-GB"/>
              </w:rPr>
              <w:t>K</w:t>
            </w:r>
            <w:r w:rsidR="00BA3A68" w:rsidRPr="00571F0B">
              <w:rPr>
                <w:rFonts w:ascii="Arial Narrow" w:hAnsi="Arial Narrow" w:cs="Arial"/>
                <w:szCs w:val="24"/>
                <w:lang w:val="en-GB"/>
              </w:rPr>
              <w:t xml:space="preserve">1.07-12.6 million </w:t>
            </w:r>
          </w:p>
          <w:p w:rsidR="00BA3A68" w:rsidRPr="00571F0B" w:rsidRDefault="00BA3A68" w:rsidP="00BA3A68">
            <w:pPr>
              <w:spacing w:before="0" w:after="0"/>
              <w:jc w:val="left"/>
              <w:rPr>
                <w:rFonts w:ascii="Arial Narrow" w:hAnsi="Arial Narrow" w:cs="Arial"/>
                <w:szCs w:val="24"/>
                <w:lang w:val="en-GB"/>
              </w:rPr>
            </w:pPr>
          </w:p>
          <w:p w:rsidR="005E4DBA" w:rsidRPr="00571F0B" w:rsidRDefault="005E4DBA" w:rsidP="00BA3A68">
            <w:pPr>
              <w:spacing w:before="0" w:after="0"/>
              <w:jc w:val="left"/>
              <w:rPr>
                <w:rFonts w:ascii="Arial Narrow" w:hAnsi="Arial Narrow" w:cs="Arial"/>
                <w:szCs w:val="24"/>
                <w:lang w:val="en-GB"/>
              </w:rPr>
            </w:pPr>
            <w:r w:rsidRPr="00571F0B">
              <w:rPr>
                <w:rFonts w:ascii="Arial Narrow" w:hAnsi="Arial Narrow" w:cs="Arial"/>
                <w:szCs w:val="24"/>
                <w:lang w:val="en-GB"/>
              </w:rPr>
              <w:t>76% Infrastructure</w:t>
            </w:r>
          </w:p>
          <w:p w:rsidR="005E4DBA" w:rsidRPr="00571F0B" w:rsidRDefault="005E4DBA" w:rsidP="00BA3A68">
            <w:pPr>
              <w:spacing w:before="0" w:after="0"/>
              <w:jc w:val="left"/>
              <w:rPr>
                <w:rFonts w:ascii="Arial Narrow" w:hAnsi="Arial Narrow" w:cs="Arial"/>
                <w:szCs w:val="24"/>
                <w:lang w:val="en-GB"/>
              </w:rPr>
            </w:pPr>
          </w:p>
          <w:p w:rsidR="00BA3A68" w:rsidRPr="00571F0B" w:rsidRDefault="00531023" w:rsidP="00BA3A68">
            <w:pPr>
              <w:jc w:val="left"/>
              <w:rPr>
                <w:rFonts w:ascii="Arial Narrow" w:hAnsi="Arial Narrow" w:cs="Arial"/>
                <w:szCs w:val="24"/>
                <w:lang w:val="en-GB"/>
              </w:rPr>
            </w:pPr>
            <w:r w:rsidRPr="00571F0B">
              <w:rPr>
                <w:rFonts w:ascii="Arial Narrow" w:hAnsi="Arial Narrow" w:cs="Arial"/>
                <w:szCs w:val="24"/>
                <w:lang w:val="en-GB"/>
              </w:rPr>
              <w:t>11 x CSOs/FBOs</w:t>
            </w:r>
          </w:p>
          <w:p w:rsidR="00BA3A68" w:rsidRPr="00571F0B" w:rsidRDefault="00BA3A68" w:rsidP="00BA3A68">
            <w:pPr>
              <w:jc w:val="left"/>
              <w:rPr>
                <w:rFonts w:ascii="Arial Narrow" w:hAnsi="Arial Narrow" w:cs="Arial"/>
                <w:szCs w:val="24"/>
                <w:lang w:val="en-GB"/>
              </w:rPr>
            </w:pPr>
            <w:r w:rsidRPr="00571F0B">
              <w:rPr>
                <w:rFonts w:ascii="Arial Narrow" w:hAnsi="Arial Narrow" w:cs="Arial"/>
                <w:szCs w:val="24"/>
                <w:lang w:val="en-GB"/>
              </w:rPr>
              <w:t xml:space="preserve">5 </w:t>
            </w:r>
            <w:r w:rsidR="00531023" w:rsidRPr="00571F0B">
              <w:rPr>
                <w:rFonts w:ascii="Arial Narrow" w:hAnsi="Arial Narrow" w:cs="Arial"/>
                <w:szCs w:val="24"/>
                <w:lang w:val="en-GB"/>
              </w:rPr>
              <w:t xml:space="preserve">  </w:t>
            </w:r>
            <w:r w:rsidRPr="00571F0B">
              <w:rPr>
                <w:rFonts w:ascii="Arial Narrow" w:hAnsi="Arial Narrow" w:cs="Arial"/>
                <w:szCs w:val="24"/>
                <w:lang w:val="en-GB"/>
              </w:rPr>
              <w:t xml:space="preserve">x </w:t>
            </w:r>
            <w:r w:rsidR="005E4DBA" w:rsidRPr="00571F0B">
              <w:rPr>
                <w:rFonts w:ascii="Arial Narrow" w:hAnsi="Arial Narrow" w:cs="Arial"/>
                <w:szCs w:val="24"/>
                <w:lang w:val="en-GB"/>
              </w:rPr>
              <w:t xml:space="preserve">PNG </w:t>
            </w:r>
            <w:r w:rsidRPr="00571F0B">
              <w:rPr>
                <w:rFonts w:ascii="Arial Narrow" w:hAnsi="Arial Narrow" w:cs="Arial"/>
                <w:szCs w:val="24"/>
                <w:lang w:val="en-GB"/>
              </w:rPr>
              <w:t xml:space="preserve">Institutions. </w:t>
            </w:r>
          </w:p>
          <w:p w:rsidR="00BA3A68" w:rsidRPr="00571F0B" w:rsidRDefault="00BA3A68" w:rsidP="00BA3A68">
            <w:pPr>
              <w:jc w:val="left"/>
              <w:rPr>
                <w:rFonts w:ascii="Arial Narrow" w:hAnsi="Arial Narrow" w:cs="Arial"/>
                <w:szCs w:val="24"/>
                <w:lang w:val="en-GB"/>
              </w:rPr>
            </w:pPr>
            <w:r w:rsidRPr="00571F0B">
              <w:rPr>
                <w:rFonts w:ascii="Arial Narrow" w:hAnsi="Arial Narrow" w:cs="Arial"/>
                <w:szCs w:val="24"/>
                <w:lang w:val="en-GB"/>
              </w:rPr>
              <w:t xml:space="preserve">12 x Prov. Gov. </w:t>
            </w:r>
          </w:p>
          <w:p w:rsidR="004109D8" w:rsidRPr="00571F0B" w:rsidRDefault="00BA3A68" w:rsidP="00BA3A68">
            <w:pPr>
              <w:jc w:val="left"/>
              <w:rPr>
                <w:rFonts w:ascii="Arial Narrow" w:hAnsi="Arial Narrow" w:cs="Arial"/>
                <w:szCs w:val="24"/>
                <w:lang w:val="en-GB"/>
              </w:rPr>
            </w:pPr>
            <w:r w:rsidRPr="00571F0B">
              <w:rPr>
                <w:rFonts w:ascii="Arial Narrow" w:hAnsi="Arial Narrow" w:cs="Arial"/>
                <w:szCs w:val="24"/>
                <w:lang w:val="en-GB"/>
              </w:rPr>
              <w:t xml:space="preserve">2 </w:t>
            </w:r>
            <w:r w:rsidR="00531023" w:rsidRPr="00571F0B">
              <w:rPr>
                <w:rFonts w:ascii="Arial Narrow" w:hAnsi="Arial Narrow" w:cs="Arial"/>
                <w:szCs w:val="24"/>
                <w:lang w:val="en-GB"/>
              </w:rPr>
              <w:t xml:space="preserve">  </w:t>
            </w:r>
            <w:r w:rsidRPr="00571F0B">
              <w:rPr>
                <w:rFonts w:ascii="Arial Narrow" w:hAnsi="Arial Narrow" w:cs="Arial"/>
                <w:szCs w:val="24"/>
                <w:lang w:val="en-GB"/>
              </w:rPr>
              <w:t xml:space="preserve">x Private Sector. </w:t>
            </w:r>
            <w:r w:rsidR="004109D8" w:rsidRPr="00571F0B">
              <w:rPr>
                <w:rFonts w:ascii="Arial Narrow" w:hAnsi="Arial Narrow" w:cs="Arial"/>
                <w:szCs w:val="24"/>
                <w:lang w:val="en-GB"/>
              </w:rPr>
              <w:t xml:space="preserve"> </w:t>
            </w:r>
          </w:p>
          <w:p w:rsidR="00BA3A68" w:rsidRPr="00571F0B" w:rsidRDefault="00BA3A68" w:rsidP="00BA3A68">
            <w:pPr>
              <w:jc w:val="left"/>
              <w:rPr>
                <w:rFonts w:ascii="Arial Narrow" w:hAnsi="Arial Narrow" w:cs="Arial"/>
                <w:szCs w:val="24"/>
                <w:lang w:val="en-GB"/>
              </w:rPr>
            </w:pPr>
            <w:r w:rsidRPr="00571F0B">
              <w:rPr>
                <w:rFonts w:ascii="Arial Narrow" w:hAnsi="Arial Narrow" w:cs="Arial"/>
                <w:szCs w:val="24"/>
                <w:lang w:val="en-GB"/>
              </w:rPr>
              <w:t xml:space="preserve">4 </w:t>
            </w:r>
            <w:r w:rsidR="00531023" w:rsidRPr="00571F0B">
              <w:rPr>
                <w:rFonts w:ascii="Arial Narrow" w:hAnsi="Arial Narrow" w:cs="Arial"/>
                <w:szCs w:val="24"/>
                <w:lang w:val="en-GB"/>
              </w:rPr>
              <w:t xml:space="preserve">  </w:t>
            </w:r>
            <w:r w:rsidRPr="00571F0B">
              <w:rPr>
                <w:rFonts w:ascii="Arial Narrow" w:hAnsi="Arial Narrow" w:cs="Arial"/>
                <w:szCs w:val="24"/>
                <w:lang w:val="en-GB"/>
              </w:rPr>
              <w:t>x Stat. Auth.</w:t>
            </w:r>
          </w:p>
          <w:p w:rsidR="007E1E28" w:rsidRPr="00571F0B" w:rsidRDefault="007E1E28" w:rsidP="004109D8">
            <w:pPr>
              <w:spacing w:before="0" w:after="0"/>
              <w:jc w:val="left"/>
              <w:rPr>
                <w:b/>
                <w:lang w:val="en-GB"/>
              </w:rPr>
            </w:pPr>
          </w:p>
        </w:tc>
      </w:tr>
    </w:tbl>
    <w:p w:rsidR="00A760D2" w:rsidRDefault="00A760D2" w:rsidP="00A760D2">
      <w:pPr>
        <w:rPr>
          <w:lang w:val="en-GB"/>
        </w:rPr>
      </w:pPr>
    </w:p>
    <w:p w:rsidR="006D02E0" w:rsidRDefault="006D02E0" w:rsidP="00B46D92">
      <w:pPr>
        <w:pStyle w:val="Caption"/>
        <w:rPr>
          <w:lang w:val="en-GB"/>
        </w:rPr>
      </w:pPr>
    </w:p>
    <w:p w:rsidR="00B46D92" w:rsidRPr="00571F0B" w:rsidRDefault="00B46D92" w:rsidP="00B46D92">
      <w:pPr>
        <w:pStyle w:val="Caption"/>
        <w:rPr>
          <w:lang w:val="en-GB"/>
        </w:rPr>
      </w:pPr>
      <w:bookmarkStart w:id="16" w:name="_Toc403037633"/>
      <w:r w:rsidRPr="00571F0B">
        <w:rPr>
          <w:lang w:val="en-GB"/>
        </w:rPr>
        <w:t xml:space="preserve">Box </w:t>
      </w:r>
      <w:r w:rsidR="00D3593A" w:rsidRPr="00571F0B">
        <w:rPr>
          <w:lang w:val="en-GB"/>
        </w:rPr>
        <w:fldChar w:fldCharType="begin"/>
      </w:r>
      <w:r w:rsidR="00D3593A" w:rsidRPr="00571F0B">
        <w:rPr>
          <w:lang w:val="en-GB"/>
        </w:rPr>
        <w:instrText xml:space="preserve"> SEQ Box \* ARABIC </w:instrText>
      </w:r>
      <w:r w:rsidR="00D3593A" w:rsidRPr="00571F0B">
        <w:rPr>
          <w:lang w:val="en-GB"/>
        </w:rPr>
        <w:fldChar w:fldCharType="separate"/>
      </w:r>
      <w:r w:rsidR="006C1E87">
        <w:rPr>
          <w:noProof/>
          <w:lang w:val="en-GB"/>
        </w:rPr>
        <w:t>1</w:t>
      </w:r>
      <w:r w:rsidR="00D3593A" w:rsidRPr="00571F0B">
        <w:rPr>
          <w:lang w:val="en-GB"/>
        </w:rPr>
        <w:fldChar w:fldCharType="end"/>
      </w:r>
      <w:r w:rsidR="00FD6F95">
        <w:rPr>
          <w:lang w:val="en-GB"/>
        </w:rPr>
        <w:t>:</w:t>
      </w:r>
      <w:r w:rsidRPr="00571F0B">
        <w:rPr>
          <w:lang w:val="en-GB"/>
        </w:rPr>
        <w:t xml:space="preserve"> Summary of Phase I and II </w:t>
      </w:r>
      <w:r w:rsidR="00941395">
        <w:rPr>
          <w:lang w:val="en-GB"/>
        </w:rPr>
        <w:t>a</w:t>
      </w:r>
      <w:r w:rsidR="005E4DBA" w:rsidRPr="00571F0B">
        <w:rPr>
          <w:lang w:val="en-GB"/>
        </w:rPr>
        <w:t>chievements</w:t>
      </w:r>
      <w:r w:rsidRPr="00571F0B">
        <w:rPr>
          <w:vertAlign w:val="superscript"/>
          <w:lang w:val="en-GB"/>
        </w:rPr>
        <w:footnoteReference w:id="8"/>
      </w:r>
      <w:bookmarkEnd w:id="1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1"/>
      </w:tblGrid>
      <w:tr w:rsidR="00CA5EE9" w:rsidRPr="00571F0B" w:rsidTr="004109D8">
        <w:tc>
          <w:tcPr>
            <w:tcW w:w="9181" w:type="dxa"/>
            <w:shd w:val="clear" w:color="auto" w:fill="D6E3BC" w:themeFill="accent3" w:themeFillTint="66"/>
          </w:tcPr>
          <w:p w:rsidR="00CA5EE9" w:rsidRPr="00A760D2" w:rsidRDefault="005E4DBA" w:rsidP="00A82AAB">
            <w:pPr>
              <w:numPr>
                <w:ilvl w:val="0"/>
                <w:numId w:val="15"/>
              </w:numPr>
              <w:spacing w:before="0" w:after="0"/>
              <w:ind w:left="357" w:hanging="357"/>
              <w:rPr>
                <w:rFonts w:ascii="Arial Narrow" w:hAnsi="Arial Narrow"/>
                <w:sz w:val="20"/>
                <w:lang w:val="en-GB"/>
              </w:rPr>
            </w:pPr>
            <w:r w:rsidRPr="00A760D2">
              <w:rPr>
                <w:rFonts w:ascii="Arial Narrow" w:hAnsi="Arial Narrow"/>
                <w:sz w:val="20"/>
                <w:lang w:val="en-GB"/>
              </w:rPr>
              <w:t>N</w:t>
            </w:r>
            <w:r w:rsidR="00CA5EE9" w:rsidRPr="00A760D2">
              <w:rPr>
                <w:rFonts w:ascii="Arial Narrow" w:hAnsi="Arial Narrow"/>
                <w:sz w:val="20"/>
                <w:lang w:val="en-GB"/>
              </w:rPr>
              <w:t>ew or improved health services in</w:t>
            </w:r>
            <w:r w:rsidR="00A760D2" w:rsidRPr="00A760D2">
              <w:rPr>
                <w:rFonts w:ascii="Arial Narrow" w:hAnsi="Arial Narrow"/>
                <w:sz w:val="20"/>
                <w:lang w:val="en-GB"/>
              </w:rPr>
              <w:t xml:space="preserve"> urban, rural and remote areas</w:t>
            </w:r>
          </w:p>
          <w:p w:rsidR="00CA5EE9" w:rsidRPr="00A760D2" w:rsidRDefault="005E4DBA" w:rsidP="00A82AAB">
            <w:pPr>
              <w:numPr>
                <w:ilvl w:val="0"/>
                <w:numId w:val="15"/>
              </w:numPr>
              <w:spacing w:before="0" w:after="0"/>
              <w:ind w:left="357" w:hanging="357"/>
              <w:rPr>
                <w:rFonts w:ascii="Arial Narrow" w:hAnsi="Arial Narrow"/>
                <w:sz w:val="20"/>
                <w:lang w:val="en-GB"/>
              </w:rPr>
            </w:pPr>
            <w:r w:rsidRPr="00A760D2">
              <w:rPr>
                <w:rFonts w:ascii="Arial Narrow" w:hAnsi="Arial Narrow"/>
                <w:sz w:val="20"/>
                <w:lang w:val="en-GB"/>
              </w:rPr>
              <w:t>B</w:t>
            </w:r>
            <w:r w:rsidR="00CA5EE9" w:rsidRPr="00A760D2">
              <w:rPr>
                <w:rFonts w:ascii="Arial Narrow" w:hAnsi="Arial Narrow"/>
                <w:sz w:val="20"/>
                <w:lang w:val="en-GB"/>
              </w:rPr>
              <w:t>etter access to health services i</w:t>
            </w:r>
            <w:r w:rsidR="00A760D2" w:rsidRPr="00A760D2">
              <w:rPr>
                <w:rFonts w:ascii="Arial Narrow" w:hAnsi="Arial Narrow"/>
                <w:sz w:val="20"/>
                <w:lang w:val="en-GB"/>
              </w:rPr>
              <w:t>n urban, rural and remote areas</w:t>
            </w:r>
          </w:p>
          <w:p w:rsidR="00CA5EE9" w:rsidRPr="00A760D2" w:rsidRDefault="005E4DBA" w:rsidP="00A82AAB">
            <w:pPr>
              <w:numPr>
                <w:ilvl w:val="0"/>
                <w:numId w:val="15"/>
              </w:numPr>
              <w:spacing w:before="0" w:after="0"/>
              <w:ind w:left="357" w:hanging="357"/>
              <w:rPr>
                <w:rFonts w:ascii="Arial Narrow" w:hAnsi="Arial Narrow"/>
                <w:sz w:val="20"/>
                <w:lang w:val="en-GB"/>
              </w:rPr>
            </w:pPr>
            <w:r w:rsidRPr="00A760D2">
              <w:rPr>
                <w:rFonts w:ascii="Arial Narrow" w:hAnsi="Arial Narrow"/>
                <w:sz w:val="20"/>
                <w:lang w:val="en-GB"/>
              </w:rPr>
              <w:t>I</w:t>
            </w:r>
            <w:r w:rsidR="00CA5EE9" w:rsidRPr="00A760D2">
              <w:rPr>
                <w:rFonts w:ascii="Arial Narrow" w:hAnsi="Arial Narrow"/>
                <w:sz w:val="20"/>
                <w:lang w:val="en-GB"/>
              </w:rPr>
              <w:t>mproved access to potable water sup</w:t>
            </w:r>
            <w:r w:rsidR="00A760D2" w:rsidRPr="00A760D2">
              <w:rPr>
                <w:rFonts w:ascii="Arial Narrow" w:hAnsi="Arial Narrow"/>
                <w:sz w:val="20"/>
                <w:lang w:val="en-GB"/>
              </w:rPr>
              <w:t>plies in rural and remote areas</w:t>
            </w:r>
          </w:p>
          <w:p w:rsidR="00CA5EE9" w:rsidRPr="00A760D2" w:rsidRDefault="005E4DBA" w:rsidP="00A82AAB">
            <w:pPr>
              <w:numPr>
                <w:ilvl w:val="0"/>
                <w:numId w:val="15"/>
              </w:numPr>
              <w:spacing w:before="0" w:after="0"/>
              <w:ind w:left="357" w:hanging="357"/>
              <w:rPr>
                <w:rFonts w:ascii="Arial Narrow" w:hAnsi="Arial Narrow"/>
                <w:sz w:val="20"/>
                <w:lang w:val="en-GB"/>
              </w:rPr>
            </w:pPr>
            <w:r w:rsidRPr="00A760D2">
              <w:rPr>
                <w:rFonts w:ascii="Arial Narrow" w:hAnsi="Arial Narrow"/>
                <w:sz w:val="20"/>
                <w:lang w:val="en-GB"/>
              </w:rPr>
              <w:t>I</w:t>
            </w:r>
            <w:r w:rsidR="00CA5EE9" w:rsidRPr="00A760D2">
              <w:rPr>
                <w:rFonts w:ascii="Arial Narrow" w:hAnsi="Arial Narrow"/>
                <w:sz w:val="20"/>
                <w:lang w:val="en-GB"/>
              </w:rPr>
              <w:t>mproved quality of education provision i</w:t>
            </w:r>
            <w:r w:rsidR="00A760D2" w:rsidRPr="00A760D2">
              <w:rPr>
                <w:rFonts w:ascii="Arial Narrow" w:hAnsi="Arial Narrow"/>
                <w:sz w:val="20"/>
                <w:lang w:val="en-GB"/>
              </w:rPr>
              <w:t>n urban, rural and remote areas</w:t>
            </w:r>
          </w:p>
          <w:p w:rsidR="00CA5EE9" w:rsidRPr="00A760D2" w:rsidRDefault="005E4DBA" w:rsidP="00A82AAB">
            <w:pPr>
              <w:numPr>
                <w:ilvl w:val="0"/>
                <w:numId w:val="15"/>
              </w:numPr>
              <w:spacing w:before="0" w:after="0"/>
              <w:ind w:left="357" w:hanging="357"/>
              <w:rPr>
                <w:rFonts w:ascii="Arial Narrow" w:hAnsi="Arial Narrow"/>
                <w:sz w:val="20"/>
                <w:lang w:val="en-GB"/>
              </w:rPr>
            </w:pPr>
            <w:r w:rsidRPr="00A760D2">
              <w:rPr>
                <w:rFonts w:ascii="Arial Narrow" w:hAnsi="Arial Narrow"/>
                <w:sz w:val="20"/>
                <w:lang w:val="en-GB"/>
              </w:rPr>
              <w:t>I</w:t>
            </w:r>
            <w:r w:rsidR="00CA5EE9" w:rsidRPr="00A760D2">
              <w:rPr>
                <w:rFonts w:ascii="Arial Narrow" w:hAnsi="Arial Narrow"/>
                <w:sz w:val="20"/>
                <w:lang w:val="en-GB"/>
              </w:rPr>
              <w:t>mproved educat</w:t>
            </w:r>
            <w:r w:rsidR="00A760D2" w:rsidRPr="00A760D2">
              <w:rPr>
                <w:rFonts w:ascii="Arial Narrow" w:hAnsi="Arial Narrow"/>
                <w:sz w:val="20"/>
                <w:lang w:val="en-GB"/>
              </w:rPr>
              <w:t>ional opportunities for females</w:t>
            </w:r>
          </w:p>
          <w:p w:rsidR="00CA5EE9" w:rsidRPr="00A760D2" w:rsidRDefault="005E4DBA" w:rsidP="00A82AAB">
            <w:pPr>
              <w:numPr>
                <w:ilvl w:val="0"/>
                <w:numId w:val="15"/>
              </w:numPr>
              <w:spacing w:before="0" w:after="0"/>
              <w:ind w:left="357" w:hanging="357"/>
              <w:rPr>
                <w:rFonts w:ascii="Arial Narrow" w:hAnsi="Arial Narrow"/>
                <w:sz w:val="20"/>
                <w:lang w:val="en-GB"/>
              </w:rPr>
            </w:pPr>
            <w:r w:rsidRPr="00A760D2">
              <w:rPr>
                <w:rFonts w:ascii="Arial Narrow" w:hAnsi="Arial Narrow"/>
                <w:sz w:val="20"/>
                <w:lang w:val="en-GB"/>
              </w:rPr>
              <w:t>N</w:t>
            </w:r>
            <w:r w:rsidR="00A760D2" w:rsidRPr="00A760D2">
              <w:rPr>
                <w:rFonts w:ascii="Arial Narrow" w:hAnsi="Arial Narrow"/>
                <w:sz w:val="20"/>
                <w:lang w:val="en-GB"/>
              </w:rPr>
              <w:t>ew commercial opportunities</w:t>
            </w:r>
          </w:p>
          <w:p w:rsidR="00CA5EE9" w:rsidRPr="00A760D2" w:rsidRDefault="005E4DBA" w:rsidP="00A82AAB">
            <w:pPr>
              <w:numPr>
                <w:ilvl w:val="0"/>
                <w:numId w:val="15"/>
              </w:numPr>
              <w:spacing w:before="0" w:after="0"/>
              <w:ind w:left="357" w:hanging="357"/>
              <w:rPr>
                <w:rFonts w:ascii="Arial Narrow" w:hAnsi="Arial Narrow"/>
                <w:sz w:val="20"/>
                <w:lang w:val="en-GB"/>
              </w:rPr>
            </w:pPr>
            <w:r w:rsidRPr="00A760D2">
              <w:rPr>
                <w:rFonts w:ascii="Arial Narrow" w:hAnsi="Arial Narrow"/>
                <w:sz w:val="20"/>
                <w:lang w:val="en-GB"/>
              </w:rPr>
              <w:t>I</w:t>
            </w:r>
            <w:r w:rsidR="00CA5EE9" w:rsidRPr="00A760D2">
              <w:rPr>
                <w:rFonts w:ascii="Arial Narrow" w:hAnsi="Arial Narrow"/>
                <w:sz w:val="20"/>
                <w:lang w:val="en-GB"/>
              </w:rPr>
              <w:t xml:space="preserve">ncome </w:t>
            </w:r>
            <w:r w:rsidR="00A760D2" w:rsidRPr="00A760D2">
              <w:rPr>
                <w:rFonts w:ascii="Arial Narrow" w:hAnsi="Arial Narrow"/>
                <w:sz w:val="20"/>
                <w:lang w:val="en-GB"/>
              </w:rPr>
              <w:t>earning opportunities for women</w:t>
            </w:r>
          </w:p>
          <w:p w:rsidR="00CA5EE9" w:rsidRPr="00A760D2" w:rsidRDefault="005E4DBA" w:rsidP="00A82AAB">
            <w:pPr>
              <w:numPr>
                <w:ilvl w:val="0"/>
                <w:numId w:val="15"/>
              </w:numPr>
              <w:spacing w:before="0" w:after="0"/>
              <w:ind w:left="357" w:hanging="357"/>
              <w:rPr>
                <w:rFonts w:ascii="Arial Narrow" w:hAnsi="Arial Narrow"/>
                <w:sz w:val="20"/>
                <w:lang w:val="en-GB"/>
              </w:rPr>
            </w:pPr>
            <w:r w:rsidRPr="00A760D2">
              <w:rPr>
                <w:rFonts w:ascii="Arial Narrow" w:hAnsi="Arial Narrow"/>
                <w:sz w:val="20"/>
                <w:lang w:val="en-GB"/>
              </w:rPr>
              <w:t>E</w:t>
            </w:r>
            <w:r w:rsidR="00CA5EE9" w:rsidRPr="00A760D2">
              <w:rPr>
                <w:rFonts w:ascii="Arial Narrow" w:hAnsi="Arial Narrow"/>
                <w:sz w:val="20"/>
                <w:lang w:val="en-GB"/>
              </w:rPr>
              <w:t>conomic</w:t>
            </w:r>
            <w:r w:rsidR="00A760D2" w:rsidRPr="00A760D2">
              <w:rPr>
                <w:rFonts w:ascii="Arial Narrow" w:hAnsi="Arial Narrow"/>
                <w:sz w:val="20"/>
                <w:lang w:val="en-GB"/>
              </w:rPr>
              <w:t xml:space="preserve"> benefits for wider communities</w:t>
            </w:r>
          </w:p>
          <w:p w:rsidR="00CA5EE9" w:rsidRPr="00A760D2" w:rsidRDefault="005E4DBA" w:rsidP="00A82AAB">
            <w:pPr>
              <w:numPr>
                <w:ilvl w:val="0"/>
                <w:numId w:val="15"/>
              </w:numPr>
              <w:spacing w:before="0" w:after="0"/>
              <w:ind w:left="357" w:hanging="357"/>
              <w:rPr>
                <w:rFonts w:ascii="Arial Narrow" w:hAnsi="Arial Narrow"/>
                <w:sz w:val="20"/>
                <w:lang w:val="en-GB"/>
              </w:rPr>
            </w:pPr>
            <w:r w:rsidRPr="00A760D2">
              <w:rPr>
                <w:rFonts w:ascii="Arial Narrow" w:hAnsi="Arial Narrow"/>
                <w:sz w:val="20"/>
                <w:lang w:val="en-GB"/>
              </w:rPr>
              <w:t>I</w:t>
            </w:r>
            <w:r w:rsidR="00CA5EE9" w:rsidRPr="00A760D2">
              <w:rPr>
                <w:rFonts w:ascii="Arial Narrow" w:hAnsi="Arial Narrow"/>
                <w:sz w:val="20"/>
                <w:lang w:val="en-GB"/>
              </w:rPr>
              <w:t>ncr</w:t>
            </w:r>
            <w:r w:rsidR="00A760D2" w:rsidRPr="00A760D2">
              <w:rPr>
                <w:rFonts w:ascii="Arial Narrow" w:hAnsi="Arial Narrow"/>
                <w:sz w:val="20"/>
                <w:lang w:val="en-GB"/>
              </w:rPr>
              <w:t>ease in organisations’ capacity</w:t>
            </w:r>
          </w:p>
          <w:p w:rsidR="00CA5EE9" w:rsidRPr="00A760D2" w:rsidRDefault="005E4DBA" w:rsidP="00A82AAB">
            <w:pPr>
              <w:numPr>
                <w:ilvl w:val="0"/>
                <w:numId w:val="15"/>
              </w:numPr>
              <w:spacing w:before="0" w:after="0"/>
              <w:ind w:left="357" w:hanging="357"/>
              <w:rPr>
                <w:rFonts w:ascii="Arial Narrow" w:hAnsi="Arial Narrow"/>
                <w:sz w:val="20"/>
                <w:lang w:val="en-GB"/>
              </w:rPr>
            </w:pPr>
            <w:r w:rsidRPr="00A760D2">
              <w:rPr>
                <w:rFonts w:ascii="Arial Narrow" w:hAnsi="Arial Narrow"/>
                <w:sz w:val="20"/>
                <w:lang w:val="en-GB"/>
              </w:rPr>
              <w:t>M</w:t>
            </w:r>
            <w:r w:rsidR="00A760D2" w:rsidRPr="00A760D2">
              <w:rPr>
                <w:rFonts w:ascii="Arial Narrow" w:hAnsi="Arial Narrow"/>
                <w:sz w:val="20"/>
                <w:lang w:val="en-GB"/>
              </w:rPr>
              <w:t>ore attractive to new staff</w:t>
            </w:r>
          </w:p>
          <w:p w:rsidR="00CA5EE9" w:rsidRPr="00A760D2" w:rsidRDefault="005E4DBA" w:rsidP="00A82AAB">
            <w:pPr>
              <w:numPr>
                <w:ilvl w:val="0"/>
                <w:numId w:val="15"/>
              </w:numPr>
              <w:spacing w:before="0" w:after="0"/>
              <w:ind w:left="357" w:hanging="357"/>
              <w:rPr>
                <w:sz w:val="20"/>
                <w:lang w:val="en-GB"/>
              </w:rPr>
            </w:pPr>
            <w:r w:rsidRPr="00A760D2">
              <w:rPr>
                <w:rFonts w:ascii="Arial Narrow" w:hAnsi="Arial Narrow"/>
                <w:sz w:val="20"/>
                <w:lang w:val="en-GB"/>
              </w:rPr>
              <w:t>A</w:t>
            </w:r>
            <w:r w:rsidR="00CA5EE9" w:rsidRPr="00A760D2">
              <w:rPr>
                <w:rFonts w:ascii="Arial Narrow" w:hAnsi="Arial Narrow"/>
                <w:sz w:val="20"/>
                <w:lang w:val="en-GB"/>
              </w:rPr>
              <w:t>bility to attract other funding; and other achievements.</w:t>
            </w:r>
          </w:p>
        </w:tc>
      </w:tr>
    </w:tbl>
    <w:p w:rsidR="00FD6F95" w:rsidRDefault="00FD6F95" w:rsidP="00307244">
      <w:pPr>
        <w:spacing w:before="0" w:after="0"/>
        <w:rPr>
          <w:lang w:val="en-GB"/>
        </w:rPr>
      </w:pPr>
    </w:p>
    <w:p w:rsidR="00F7641B" w:rsidRDefault="00F7641B" w:rsidP="00307244">
      <w:pPr>
        <w:spacing w:before="0" w:after="0"/>
        <w:rPr>
          <w:lang w:val="en-GB"/>
        </w:rPr>
      </w:pPr>
    </w:p>
    <w:p w:rsidR="00F7641B" w:rsidRDefault="00F7641B" w:rsidP="00307244">
      <w:pPr>
        <w:spacing w:before="0" w:after="0"/>
        <w:rPr>
          <w:lang w:val="en-GB"/>
        </w:rPr>
      </w:pPr>
    </w:p>
    <w:p w:rsidR="00F7641B" w:rsidRDefault="00F7641B" w:rsidP="00307244">
      <w:pPr>
        <w:spacing w:before="0" w:after="0"/>
        <w:rPr>
          <w:lang w:val="en-GB"/>
        </w:rPr>
      </w:pPr>
    </w:p>
    <w:p w:rsidR="00F7641B" w:rsidRDefault="00F7641B" w:rsidP="00307244">
      <w:pPr>
        <w:spacing w:before="0" w:after="0"/>
        <w:rPr>
          <w:lang w:val="en-GB"/>
        </w:rPr>
      </w:pPr>
    </w:p>
    <w:p w:rsidR="00F7641B" w:rsidRDefault="00F7641B" w:rsidP="00307244">
      <w:pPr>
        <w:spacing w:before="0" w:after="0"/>
        <w:rPr>
          <w:lang w:val="en-GB"/>
        </w:rPr>
      </w:pPr>
    </w:p>
    <w:p w:rsidR="00F7641B" w:rsidRDefault="00F7641B" w:rsidP="00307244">
      <w:pPr>
        <w:spacing w:before="0" w:after="0"/>
        <w:rPr>
          <w:lang w:val="en-GB"/>
        </w:rPr>
      </w:pPr>
    </w:p>
    <w:p w:rsidR="00F7641B" w:rsidRDefault="00F7641B" w:rsidP="00307244">
      <w:pPr>
        <w:spacing w:before="0" w:after="0"/>
        <w:rPr>
          <w:lang w:val="en-GB"/>
        </w:rPr>
      </w:pPr>
    </w:p>
    <w:p w:rsidR="00F7641B" w:rsidRDefault="00F7641B" w:rsidP="00307244">
      <w:pPr>
        <w:spacing w:before="0" w:after="0"/>
        <w:rPr>
          <w:lang w:val="en-GB"/>
        </w:rPr>
      </w:pPr>
    </w:p>
    <w:p w:rsidR="00F7641B" w:rsidRDefault="00F7641B" w:rsidP="00307244">
      <w:pPr>
        <w:spacing w:before="0" w:after="0"/>
        <w:rPr>
          <w:lang w:val="en-GB"/>
        </w:rPr>
      </w:pPr>
    </w:p>
    <w:p w:rsidR="00F7641B" w:rsidRDefault="00F7641B" w:rsidP="00307244">
      <w:pPr>
        <w:spacing w:before="0" w:after="0"/>
        <w:rPr>
          <w:lang w:val="en-GB"/>
        </w:rPr>
      </w:pPr>
    </w:p>
    <w:p w:rsidR="00F7641B" w:rsidRDefault="00F7641B" w:rsidP="00307244">
      <w:pPr>
        <w:spacing w:before="0" w:after="0"/>
        <w:rPr>
          <w:lang w:val="en-GB"/>
        </w:rPr>
      </w:pPr>
    </w:p>
    <w:p w:rsidR="00F7641B" w:rsidRDefault="00F7641B" w:rsidP="00307244">
      <w:pPr>
        <w:spacing w:before="0" w:after="0"/>
        <w:rPr>
          <w:lang w:val="en-GB"/>
        </w:rPr>
      </w:pPr>
    </w:p>
    <w:p w:rsidR="00F7641B" w:rsidRDefault="00F7641B" w:rsidP="00307244">
      <w:pPr>
        <w:spacing w:before="0" w:after="0"/>
        <w:rPr>
          <w:lang w:val="en-GB"/>
        </w:rPr>
      </w:pPr>
    </w:p>
    <w:p w:rsidR="00F7641B" w:rsidRDefault="00F7641B" w:rsidP="00307244">
      <w:pPr>
        <w:spacing w:before="0" w:after="0"/>
        <w:rPr>
          <w:lang w:val="en-GB"/>
        </w:rPr>
      </w:pPr>
    </w:p>
    <w:p w:rsidR="00F7641B" w:rsidRDefault="00F7641B" w:rsidP="00307244">
      <w:pPr>
        <w:spacing w:before="0" w:after="0"/>
        <w:rPr>
          <w:lang w:val="en-GB"/>
        </w:rPr>
      </w:pPr>
    </w:p>
    <w:p w:rsidR="00F7641B" w:rsidRDefault="00F7641B" w:rsidP="00307244">
      <w:pPr>
        <w:spacing w:before="0" w:after="0"/>
        <w:rPr>
          <w:lang w:val="en-GB"/>
        </w:rPr>
      </w:pPr>
    </w:p>
    <w:p w:rsidR="006110C2" w:rsidRPr="00571F0B" w:rsidRDefault="009E3624" w:rsidP="009E3624">
      <w:pPr>
        <w:pStyle w:val="Caption"/>
        <w:rPr>
          <w:lang w:val="en-GB"/>
        </w:rPr>
      </w:pPr>
      <w:bookmarkStart w:id="17" w:name="_Toc403037588"/>
      <w:r w:rsidRPr="00571F0B">
        <w:rPr>
          <w:lang w:val="en-GB"/>
        </w:rPr>
        <w:t xml:space="preserve">Chart </w:t>
      </w:r>
      <w:r w:rsidR="00D3593A" w:rsidRPr="00571F0B">
        <w:rPr>
          <w:lang w:val="en-GB"/>
        </w:rPr>
        <w:fldChar w:fldCharType="begin"/>
      </w:r>
      <w:r w:rsidR="00D3593A" w:rsidRPr="00571F0B">
        <w:rPr>
          <w:lang w:val="en-GB"/>
        </w:rPr>
        <w:instrText xml:space="preserve"> SEQ Chart \* ARABIC </w:instrText>
      </w:r>
      <w:r w:rsidR="00D3593A" w:rsidRPr="00571F0B">
        <w:rPr>
          <w:lang w:val="en-GB"/>
        </w:rPr>
        <w:fldChar w:fldCharType="separate"/>
      </w:r>
      <w:r w:rsidR="006C1E87">
        <w:rPr>
          <w:noProof/>
          <w:lang w:val="en-GB"/>
        </w:rPr>
        <w:t>2</w:t>
      </w:r>
      <w:r w:rsidR="00D3593A" w:rsidRPr="00571F0B">
        <w:rPr>
          <w:lang w:val="en-GB"/>
        </w:rPr>
        <w:fldChar w:fldCharType="end"/>
      </w:r>
      <w:r w:rsidR="00FD6F95">
        <w:rPr>
          <w:lang w:val="en-GB"/>
        </w:rPr>
        <w:t>:</w:t>
      </w:r>
      <w:r w:rsidRPr="00571F0B">
        <w:rPr>
          <w:lang w:val="en-GB"/>
        </w:rPr>
        <w:t xml:space="preserve"> Incentive Fund Agreements from Phase III</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2293"/>
      </w:tblGrid>
      <w:tr w:rsidR="007E1E28" w:rsidRPr="00571F0B" w:rsidTr="00C91D63">
        <w:trPr>
          <w:trHeight w:val="4054"/>
        </w:trPr>
        <w:tc>
          <w:tcPr>
            <w:tcW w:w="6996" w:type="dxa"/>
          </w:tcPr>
          <w:p w:rsidR="007E1E28" w:rsidRPr="00571F0B" w:rsidRDefault="00531023" w:rsidP="00123FB1">
            <w:pPr>
              <w:spacing w:before="0" w:after="0"/>
              <w:rPr>
                <w:lang w:val="en-GB"/>
              </w:rPr>
            </w:pPr>
            <w:r w:rsidRPr="00571F0B">
              <w:rPr>
                <w:noProof/>
                <w:lang w:eastAsia="en-AU"/>
              </w:rPr>
              <w:drawing>
                <wp:inline distT="0" distB="0" distL="0" distR="0" wp14:anchorId="76FACF0F" wp14:editId="0EE65B6D">
                  <wp:extent cx="4294144" cy="2844239"/>
                  <wp:effectExtent l="0" t="0" r="1143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2293" w:type="dxa"/>
            <w:shd w:val="clear" w:color="auto" w:fill="D6E3BC" w:themeFill="accent3" w:themeFillTint="66"/>
          </w:tcPr>
          <w:p w:rsidR="00CA5EE9" w:rsidRPr="00571F0B" w:rsidRDefault="00CA5EE9" w:rsidP="00CA5EE9">
            <w:pPr>
              <w:spacing w:before="0" w:after="0"/>
              <w:jc w:val="left"/>
              <w:rPr>
                <w:b/>
                <w:i/>
                <w:lang w:val="en-GB"/>
              </w:rPr>
            </w:pPr>
          </w:p>
          <w:p w:rsidR="00974030" w:rsidRPr="00571F0B" w:rsidRDefault="00974030" w:rsidP="00330115">
            <w:pPr>
              <w:spacing w:before="0" w:after="0"/>
              <w:jc w:val="left"/>
              <w:rPr>
                <w:rFonts w:ascii="Arial Narrow" w:hAnsi="Arial Narrow"/>
                <w:lang w:val="en-GB"/>
              </w:rPr>
            </w:pPr>
            <w:r w:rsidRPr="00571F0B">
              <w:rPr>
                <w:rFonts w:ascii="Arial Narrow" w:hAnsi="Arial Narrow"/>
                <w:lang w:val="en-GB"/>
              </w:rPr>
              <w:t>Total K131 million</w:t>
            </w:r>
          </w:p>
          <w:p w:rsidR="00974030" w:rsidRPr="00571F0B" w:rsidRDefault="00974030" w:rsidP="00330115">
            <w:pPr>
              <w:spacing w:before="0" w:after="0"/>
              <w:jc w:val="left"/>
              <w:rPr>
                <w:rFonts w:ascii="Arial Narrow" w:hAnsi="Arial Narrow"/>
                <w:lang w:val="en-GB"/>
              </w:rPr>
            </w:pPr>
          </w:p>
          <w:p w:rsidR="005E4DBA" w:rsidRPr="00571F0B" w:rsidRDefault="00B4616D" w:rsidP="00330115">
            <w:pPr>
              <w:spacing w:before="0" w:after="0"/>
              <w:jc w:val="left"/>
              <w:rPr>
                <w:rFonts w:ascii="Arial Narrow" w:hAnsi="Arial Narrow"/>
                <w:lang w:val="en-GB"/>
              </w:rPr>
            </w:pPr>
            <w:r w:rsidRPr="00571F0B">
              <w:rPr>
                <w:rFonts w:ascii="Arial Narrow" w:hAnsi="Arial Narrow"/>
                <w:lang w:val="en-GB"/>
              </w:rPr>
              <w:t xml:space="preserve">20 </w:t>
            </w:r>
            <w:r w:rsidR="00BA3A68" w:rsidRPr="00571F0B">
              <w:rPr>
                <w:rFonts w:ascii="Arial Narrow" w:hAnsi="Arial Narrow"/>
                <w:lang w:val="en-GB"/>
              </w:rPr>
              <w:t>IFAs</w:t>
            </w:r>
            <w:r w:rsidR="00974030" w:rsidRPr="00571F0B">
              <w:rPr>
                <w:rFonts w:ascii="Arial Narrow" w:hAnsi="Arial Narrow"/>
                <w:lang w:val="en-GB"/>
              </w:rPr>
              <w:t xml:space="preserve">, value range </w:t>
            </w:r>
            <w:r w:rsidR="00275B1C" w:rsidRPr="00571F0B">
              <w:rPr>
                <w:rFonts w:ascii="Arial Narrow" w:hAnsi="Arial Narrow"/>
                <w:lang w:val="en-GB"/>
              </w:rPr>
              <w:t xml:space="preserve">Kina </w:t>
            </w:r>
            <w:r w:rsidR="00CA5EE9" w:rsidRPr="00571F0B">
              <w:rPr>
                <w:rFonts w:ascii="Arial Narrow" w:hAnsi="Arial Narrow"/>
                <w:lang w:val="en-GB"/>
              </w:rPr>
              <w:t>2.2</w:t>
            </w:r>
            <w:r w:rsidR="00330115" w:rsidRPr="00571F0B">
              <w:rPr>
                <w:rFonts w:ascii="Arial Narrow" w:hAnsi="Arial Narrow"/>
                <w:lang w:val="en-GB"/>
              </w:rPr>
              <w:t xml:space="preserve"> – 10 </w:t>
            </w:r>
            <w:r w:rsidR="00CA5EE9" w:rsidRPr="00571F0B">
              <w:rPr>
                <w:rFonts w:ascii="Arial Narrow" w:hAnsi="Arial Narrow"/>
                <w:lang w:val="en-GB"/>
              </w:rPr>
              <w:t xml:space="preserve">million. </w:t>
            </w:r>
          </w:p>
          <w:p w:rsidR="00531023" w:rsidRPr="00571F0B" w:rsidRDefault="00531023" w:rsidP="00330115">
            <w:pPr>
              <w:spacing w:before="0" w:after="0"/>
              <w:jc w:val="left"/>
              <w:rPr>
                <w:rFonts w:ascii="Arial Narrow" w:hAnsi="Arial Narrow"/>
                <w:lang w:val="en-GB"/>
              </w:rPr>
            </w:pPr>
          </w:p>
          <w:p w:rsidR="005E4DBA" w:rsidRPr="00571F0B" w:rsidRDefault="00CA5EE9" w:rsidP="00330115">
            <w:pPr>
              <w:spacing w:before="0" w:after="0"/>
              <w:jc w:val="left"/>
              <w:rPr>
                <w:rFonts w:ascii="Arial Narrow" w:hAnsi="Arial Narrow"/>
                <w:lang w:val="en-GB"/>
              </w:rPr>
            </w:pPr>
            <w:r w:rsidRPr="00571F0B">
              <w:rPr>
                <w:rFonts w:ascii="Arial Narrow" w:hAnsi="Arial Narrow"/>
                <w:lang w:val="en-GB"/>
              </w:rPr>
              <w:t>100% infrastructure</w:t>
            </w:r>
            <w:r w:rsidR="005E4DBA" w:rsidRPr="00571F0B">
              <w:rPr>
                <w:rFonts w:ascii="Arial Narrow" w:hAnsi="Arial Narrow"/>
                <w:lang w:val="en-GB"/>
              </w:rPr>
              <w:t xml:space="preserve">. </w:t>
            </w:r>
          </w:p>
          <w:p w:rsidR="00531023" w:rsidRPr="00571F0B" w:rsidRDefault="00531023" w:rsidP="005E4DBA">
            <w:pPr>
              <w:spacing w:before="0" w:after="0"/>
              <w:jc w:val="left"/>
              <w:rPr>
                <w:rFonts w:ascii="Arial Narrow" w:hAnsi="Arial Narrow"/>
                <w:lang w:val="en-GB"/>
              </w:rPr>
            </w:pPr>
          </w:p>
          <w:p w:rsidR="005E4DBA" w:rsidRPr="00571F0B" w:rsidRDefault="00CA5EE9" w:rsidP="005E4DBA">
            <w:pPr>
              <w:spacing w:before="0" w:after="0"/>
              <w:jc w:val="left"/>
              <w:rPr>
                <w:rFonts w:ascii="Arial Narrow" w:hAnsi="Arial Narrow"/>
                <w:lang w:val="en-GB"/>
              </w:rPr>
            </w:pPr>
            <w:r w:rsidRPr="00571F0B">
              <w:rPr>
                <w:rFonts w:ascii="Arial Narrow" w:hAnsi="Arial Narrow"/>
                <w:lang w:val="en-GB"/>
              </w:rPr>
              <w:t xml:space="preserve">15 </w:t>
            </w:r>
            <w:r w:rsidR="005E4DBA" w:rsidRPr="00571F0B">
              <w:rPr>
                <w:rFonts w:ascii="Arial Narrow" w:hAnsi="Arial Narrow"/>
                <w:lang w:val="en-GB"/>
              </w:rPr>
              <w:t xml:space="preserve">x </w:t>
            </w:r>
            <w:r w:rsidRPr="00571F0B">
              <w:rPr>
                <w:rFonts w:ascii="Arial Narrow" w:hAnsi="Arial Narrow"/>
                <w:lang w:val="en-GB"/>
              </w:rPr>
              <w:t>F</w:t>
            </w:r>
            <w:r w:rsidR="005E4DBA" w:rsidRPr="00571F0B">
              <w:rPr>
                <w:rFonts w:ascii="Arial Narrow" w:hAnsi="Arial Narrow"/>
                <w:lang w:val="en-GB"/>
              </w:rPr>
              <w:t>BOs</w:t>
            </w:r>
          </w:p>
          <w:p w:rsidR="005E4DBA" w:rsidRPr="00571F0B" w:rsidRDefault="00330115" w:rsidP="005E4DBA">
            <w:pPr>
              <w:spacing w:before="0" w:after="0"/>
              <w:jc w:val="left"/>
              <w:rPr>
                <w:rFonts w:ascii="Arial Narrow" w:hAnsi="Arial Narrow"/>
                <w:lang w:val="en-GB"/>
              </w:rPr>
            </w:pPr>
            <w:r w:rsidRPr="00571F0B">
              <w:rPr>
                <w:rFonts w:ascii="Arial Narrow" w:hAnsi="Arial Narrow"/>
                <w:lang w:val="en-GB"/>
              </w:rPr>
              <w:t>(71</w:t>
            </w:r>
            <w:r w:rsidR="00CA5EE9" w:rsidRPr="00571F0B">
              <w:rPr>
                <w:rFonts w:ascii="Arial Narrow" w:hAnsi="Arial Narrow"/>
                <w:lang w:val="en-GB"/>
              </w:rPr>
              <w:t>%</w:t>
            </w:r>
            <w:r w:rsidRPr="00571F0B">
              <w:rPr>
                <w:rFonts w:ascii="Arial Narrow" w:hAnsi="Arial Narrow"/>
                <w:lang w:val="en-GB"/>
              </w:rPr>
              <w:t xml:space="preserve"> of funding</w:t>
            </w:r>
            <w:r w:rsidR="00CA5EE9" w:rsidRPr="00571F0B">
              <w:rPr>
                <w:rFonts w:ascii="Arial Narrow" w:hAnsi="Arial Narrow"/>
                <w:lang w:val="en-GB"/>
              </w:rPr>
              <w:t xml:space="preserve">), </w:t>
            </w:r>
          </w:p>
          <w:p w:rsidR="005E4DBA" w:rsidRPr="00571F0B" w:rsidRDefault="005E4DBA" w:rsidP="005E4DBA">
            <w:pPr>
              <w:spacing w:before="0" w:after="0"/>
              <w:jc w:val="left"/>
              <w:rPr>
                <w:rFonts w:ascii="Arial Narrow" w:hAnsi="Arial Narrow"/>
                <w:lang w:val="en-GB"/>
              </w:rPr>
            </w:pPr>
          </w:p>
          <w:p w:rsidR="005E4DBA" w:rsidRPr="00571F0B" w:rsidRDefault="00CA5EE9" w:rsidP="005E4DBA">
            <w:pPr>
              <w:spacing w:before="0" w:after="0"/>
              <w:jc w:val="left"/>
              <w:rPr>
                <w:rFonts w:ascii="Arial Narrow" w:hAnsi="Arial Narrow"/>
                <w:lang w:val="en-GB"/>
              </w:rPr>
            </w:pPr>
            <w:r w:rsidRPr="00571F0B">
              <w:rPr>
                <w:rFonts w:ascii="Arial Narrow" w:hAnsi="Arial Narrow"/>
                <w:lang w:val="en-GB"/>
              </w:rPr>
              <w:t xml:space="preserve">4 </w:t>
            </w:r>
            <w:r w:rsidR="005E4DBA" w:rsidRPr="00571F0B">
              <w:rPr>
                <w:rFonts w:ascii="Arial Narrow" w:hAnsi="Arial Narrow"/>
                <w:lang w:val="en-GB"/>
              </w:rPr>
              <w:t xml:space="preserve">x </w:t>
            </w:r>
            <w:r w:rsidRPr="00571F0B">
              <w:rPr>
                <w:rFonts w:ascii="Arial Narrow" w:hAnsi="Arial Narrow"/>
                <w:lang w:val="en-GB"/>
              </w:rPr>
              <w:t>Stat</w:t>
            </w:r>
            <w:r w:rsidR="005E4DBA" w:rsidRPr="00571F0B">
              <w:rPr>
                <w:rFonts w:ascii="Arial Narrow" w:hAnsi="Arial Narrow"/>
                <w:lang w:val="en-GB"/>
              </w:rPr>
              <w:t>. Auth.</w:t>
            </w:r>
            <w:r w:rsidRPr="00571F0B">
              <w:rPr>
                <w:rFonts w:ascii="Arial Narrow" w:hAnsi="Arial Narrow"/>
                <w:lang w:val="en-GB"/>
              </w:rPr>
              <w:t xml:space="preserve"> </w:t>
            </w:r>
          </w:p>
          <w:p w:rsidR="005E4DBA" w:rsidRPr="00571F0B" w:rsidRDefault="00CA5EE9" w:rsidP="005E4DBA">
            <w:pPr>
              <w:spacing w:before="0" w:after="0"/>
              <w:jc w:val="left"/>
              <w:rPr>
                <w:rFonts w:ascii="Arial Narrow" w:hAnsi="Arial Narrow"/>
                <w:lang w:val="en-GB"/>
              </w:rPr>
            </w:pPr>
            <w:r w:rsidRPr="00571F0B">
              <w:rPr>
                <w:rFonts w:ascii="Arial Narrow" w:hAnsi="Arial Narrow"/>
                <w:lang w:val="en-GB"/>
              </w:rPr>
              <w:t>(2</w:t>
            </w:r>
            <w:r w:rsidR="003A6101" w:rsidRPr="00571F0B">
              <w:rPr>
                <w:rFonts w:ascii="Arial Narrow" w:hAnsi="Arial Narrow"/>
                <w:lang w:val="en-GB"/>
              </w:rPr>
              <w:t>2</w:t>
            </w:r>
            <w:r w:rsidRPr="00571F0B">
              <w:rPr>
                <w:rFonts w:ascii="Arial Narrow" w:hAnsi="Arial Narrow"/>
                <w:lang w:val="en-GB"/>
              </w:rPr>
              <w:t>%</w:t>
            </w:r>
            <w:r w:rsidR="003A6101" w:rsidRPr="00571F0B">
              <w:rPr>
                <w:rFonts w:ascii="Arial Narrow" w:hAnsi="Arial Narrow"/>
                <w:lang w:val="en-GB"/>
              </w:rPr>
              <w:t xml:space="preserve"> of funding</w:t>
            </w:r>
            <w:r w:rsidRPr="00571F0B">
              <w:rPr>
                <w:rFonts w:ascii="Arial Narrow" w:hAnsi="Arial Narrow"/>
                <w:lang w:val="en-GB"/>
              </w:rPr>
              <w:t xml:space="preserve">) </w:t>
            </w:r>
          </w:p>
          <w:p w:rsidR="005E4DBA" w:rsidRPr="00571F0B" w:rsidRDefault="005E4DBA" w:rsidP="005E4DBA">
            <w:pPr>
              <w:spacing w:before="0" w:after="0"/>
              <w:jc w:val="left"/>
              <w:rPr>
                <w:rFonts w:ascii="Arial Narrow" w:hAnsi="Arial Narrow"/>
                <w:lang w:val="en-GB"/>
              </w:rPr>
            </w:pPr>
          </w:p>
          <w:p w:rsidR="005E4DBA" w:rsidRPr="00571F0B" w:rsidRDefault="00CA5EE9" w:rsidP="005E4DBA">
            <w:pPr>
              <w:spacing w:before="0" w:after="0"/>
              <w:jc w:val="left"/>
              <w:rPr>
                <w:rFonts w:ascii="Arial Narrow" w:hAnsi="Arial Narrow"/>
                <w:lang w:val="en-GB"/>
              </w:rPr>
            </w:pPr>
            <w:r w:rsidRPr="00571F0B">
              <w:rPr>
                <w:rFonts w:ascii="Arial Narrow" w:hAnsi="Arial Narrow"/>
                <w:lang w:val="en-GB"/>
              </w:rPr>
              <w:t xml:space="preserve">1 </w:t>
            </w:r>
            <w:r w:rsidR="005E4DBA" w:rsidRPr="00571F0B">
              <w:rPr>
                <w:rFonts w:ascii="Arial Narrow" w:hAnsi="Arial Narrow"/>
                <w:lang w:val="en-GB"/>
              </w:rPr>
              <w:t xml:space="preserve">x </w:t>
            </w:r>
            <w:r w:rsidRPr="00571F0B">
              <w:rPr>
                <w:rFonts w:ascii="Arial Narrow" w:hAnsi="Arial Narrow"/>
                <w:lang w:val="en-GB"/>
              </w:rPr>
              <w:t>Prov</w:t>
            </w:r>
            <w:r w:rsidR="005E4DBA" w:rsidRPr="00571F0B">
              <w:rPr>
                <w:rFonts w:ascii="Arial Narrow" w:hAnsi="Arial Narrow"/>
                <w:lang w:val="en-GB"/>
              </w:rPr>
              <w:t>.</w:t>
            </w:r>
            <w:r w:rsidRPr="00571F0B">
              <w:rPr>
                <w:rFonts w:ascii="Arial Narrow" w:hAnsi="Arial Narrow"/>
                <w:lang w:val="en-GB"/>
              </w:rPr>
              <w:t xml:space="preserve"> Gov</w:t>
            </w:r>
          </w:p>
          <w:p w:rsidR="007E1E28" w:rsidRPr="00571F0B" w:rsidRDefault="00CA5EE9" w:rsidP="005E4DBA">
            <w:pPr>
              <w:spacing w:before="0" w:after="0"/>
              <w:jc w:val="left"/>
              <w:rPr>
                <w:lang w:val="en-GB"/>
              </w:rPr>
            </w:pPr>
            <w:r w:rsidRPr="00571F0B">
              <w:rPr>
                <w:rFonts w:ascii="Arial Narrow" w:hAnsi="Arial Narrow"/>
                <w:lang w:val="en-GB"/>
              </w:rPr>
              <w:t>(</w:t>
            </w:r>
            <w:r w:rsidR="003A6101" w:rsidRPr="00571F0B">
              <w:rPr>
                <w:rFonts w:ascii="Arial Narrow" w:hAnsi="Arial Narrow"/>
                <w:lang w:val="en-GB"/>
              </w:rPr>
              <w:t>7</w:t>
            </w:r>
            <w:r w:rsidRPr="00571F0B">
              <w:rPr>
                <w:rFonts w:ascii="Arial Narrow" w:hAnsi="Arial Narrow"/>
                <w:lang w:val="en-GB"/>
              </w:rPr>
              <w:t>%</w:t>
            </w:r>
            <w:r w:rsidR="003A6101" w:rsidRPr="00571F0B">
              <w:rPr>
                <w:rFonts w:ascii="Arial Narrow" w:hAnsi="Arial Narrow"/>
                <w:lang w:val="en-GB"/>
              </w:rPr>
              <w:t xml:space="preserve"> of funding</w:t>
            </w:r>
            <w:r w:rsidRPr="00571F0B">
              <w:rPr>
                <w:rFonts w:ascii="Arial Narrow" w:hAnsi="Arial Narrow"/>
                <w:lang w:val="en-GB"/>
              </w:rPr>
              <w:t>).</w:t>
            </w:r>
            <w:r w:rsidRPr="00571F0B">
              <w:rPr>
                <w:lang w:val="en-GB"/>
              </w:rPr>
              <w:t xml:space="preserve"> </w:t>
            </w:r>
          </w:p>
        </w:tc>
      </w:tr>
    </w:tbl>
    <w:p w:rsidR="008417F8" w:rsidRPr="00571F0B" w:rsidRDefault="00B46D92" w:rsidP="00C91D63">
      <w:pPr>
        <w:pStyle w:val="Caption"/>
        <w:rPr>
          <w:lang w:val="en-GB"/>
        </w:rPr>
      </w:pPr>
      <w:bookmarkStart w:id="18" w:name="_Toc403037634"/>
      <w:r w:rsidRPr="00571F0B">
        <w:rPr>
          <w:lang w:val="en-GB"/>
        </w:rPr>
        <w:t xml:space="preserve">Box </w:t>
      </w:r>
      <w:r w:rsidR="00D3593A" w:rsidRPr="00571F0B">
        <w:rPr>
          <w:lang w:val="en-GB"/>
        </w:rPr>
        <w:fldChar w:fldCharType="begin"/>
      </w:r>
      <w:r w:rsidR="00D3593A" w:rsidRPr="00571F0B">
        <w:rPr>
          <w:lang w:val="en-GB"/>
        </w:rPr>
        <w:instrText xml:space="preserve"> SEQ Box \* ARABIC </w:instrText>
      </w:r>
      <w:r w:rsidR="00D3593A" w:rsidRPr="00571F0B">
        <w:rPr>
          <w:lang w:val="en-GB"/>
        </w:rPr>
        <w:fldChar w:fldCharType="separate"/>
      </w:r>
      <w:r w:rsidR="006C1E87">
        <w:rPr>
          <w:noProof/>
          <w:lang w:val="en-GB"/>
        </w:rPr>
        <w:t>2</w:t>
      </w:r>
      <w:r w:rsidR="00D3593A" w:rsidRPr="00571F0B">
        <w:rPr>
          <w:lang w:val="en-GB"/>
        </w:rPr>
        <w:fldChar w:fldCharType="end"/>
      </w:r>
      <w:r w:rsidR="00FD6F95">
        <w:rPr>
          <w:lang w:val="en-GB"/>
        </w:rPr>
        <w:t>:</w:t>
      </w:r>
      <w:r w:rsidR="00941395">
        <w:rPr>
          <w:lang w:val="en-GB"/>
        </w:rPr>
        <w:t xml:space="preserve"> Summary of Phase III o</w:t>
      </w:r>
      <w:r w:rsidRPr="00571F0B">
        <w:rPr>
          <w:lang w:val="en-GB"/>
        </w:rPr>
        <w:t>utputs</w:t>
      </w:r>
      <w:r w:rsidRPr="00571F0B">
        <w:rPr>
          <w:rStyle w:val="FootnoteReference"/>
          <w:lang w:val="en-GB"/>
        </w:rPr>
        <w:footnoteReference w:id="9"/>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9"/>
      </w:tblGrid>
      <w:tr w:rsidR="003B1461" w:rsidRPr="00A760D2" w:rsidTr="004109D8">
        <w:tc>
          <w:tcPr>
            <w:tcW w:w="9289" w:type="dxa"/>
            <w:shd w:val="clear" w:color="auto" w:fill="D6E3BC" w:themeFill="accent3" w:themeFillTint="66"/>
          </w:tcPr>
          <w:p w:rsidR="009D5B31" w:rsidRPr="00A760D2" w:rsidRDefault="009D5B31" w:rsidP="009D5B31">
            <w:pPr>
              <w:spacing w:before="0" w:after="0"/>
              <w:rPr>
                <w:rFonts w:ascii="Arial Narrow" w:hAnsi="Arial Narrow"/>
                <w:b/>
                <w:sz w:val="20"/>
                <w:lang w:val="en-GB"/>
              </w:rPr>
            </w:pPr>
            <w:r w:rsidRPr="00A760D2">
              <w:rPr>
                <w:rFonts w:ascii="Arial Narrow" w:hAnsi="Arial Narrow"/>
                <w:b/>
                <w:sz w:val="20"/>
                <w:lang w:val="en-GB"/>
              </w:rPr>
              <w:t>Increased Access to Education from 13 projects:</w:t>
            </w:r>
          </w:p>
          <w:p w:rsidR="009D5B31" w:rsidRPr="00A760D2" w:rsidRDefault="009D5B31" w:rsidP="009D5B31">
            <w:pPr>
              <w:spacing w:before="0" w:after="0"/>
              <w:rPr>
                <w:rFonts w:ascii="Arial Narrow" w:hAnsi="Arial Narrow"/>
                <w:sz w:val="20"/>
                <w:lang w:val="en-GB"/>
              </w:rPr>
            </w:pPr>
            <w:r w:rsidRPr="00A760D2">
              <w:rPr>
                <w:rFonts w:ascii="Arial Narrow" w:hAnsi="Arial Narrow"/>
                <w:b/>
                <w:i/>
                <w:sz w:val="20"/>
                <w:lang w:val="en-GB"/>
              </w:rPr>
              <w:t>Tertiary/research:</w:t>
            </w:r>
            <w:r w:rsidRPr="00A760D2">
              <w:rPr>
                <w:rFonts w:ascii="Arial Narrow" w:hAnsi="Arial Narrow"/>
                <w:sz w:val="20"/>
                <w:lang w:val="en-GB"/>
              </w:rPr>
              <w:t xml:space="preserve"> new accommodation for 296 females and 126 males, 1 new nurse’s house and accommodation for 7 visiting scientists</w:t>
            </w:r>
          </w:p>
          <w:p w:rsidR="009D5B31" w:rsidRPr="00A760D2" w:rsidRDefault="009D5B31" w:rsidP="009D5B31">
            <w:pPr>
              <w:spacing w:before="0" w:after="0"/>
              <w:rPr>
                <w:rFonts w:ascii="Arial Narrow" w:hAnsi="Arial Narrow"/>
                <w:sz w:val="20"/>
                <w:lang w:val="en-GB"/>
              </w:rPr>
            </w:pPr>
            <w:r w:rsidRPr="00A760D2">
              <w:rPr>
                <w:rFonts w:ascii="Arial Narrow" w:hAnsi="Arial Narrow"/>
                <w:b/>
                <w:i/>
                <w:sz w:val="20"/>
                <w:lang w:val="en-GB"/>
              </w:rPr>
              <w:t>Vocational/technical:</w:t>
            </w:r>
            <w:r w:rsidRPr="00A760D2">
              <w:rPr>
                <w:rFonts w:ascii="Arial Narrow" w:hAnsi="Arial Narrow"/>
                <w:sz w:val="20"/>
                <w:lang w:val="en-GB"/>
              </w:rPr>
              <w:t xml:space="preserve"> accommodation (new) for 48 females and 368 males, 6 new houses for teachers</w:t>
            </w:r>
          </w:p>
          <w:p w:rsidR="003B1461" w:rsidRDefault="009D5B31" w:rsidP="009D5B31">
            <w:pPr>
              <w:spacing w:before="0" w:after="0"/>
              <w:rPr>
                <w:rFonts w:ascii="Arial Narrow" w:hAnsi="Arial Narrow"/>
                <w:sz w:val="20"/>
                <w:lang w:val="en-GB"/>
              </w:rPr>
            </w:pPr>
            <w:r w:rsidRPr="00A760D2">
              <w:rPr>
                <w:rFonts w:ascii="Arial Narrow" w:hAnsi="Arial Narrow"/>
                <w:b/>
                <w:i/>
                <w:sz w:val="20"/>
                <w:lang w:val="en-GB"/>
              </w:rPr>
              <w:t>Secondary:</w:t>
            </w:r>
            <w:r w:rsidRPr="00A760D2">
              <w:rPr>
                <w:rFonts w:ascii="Arial Narrow" w:hAnsi="Arial Narrow"/>
                <w:sz w:val="20"/>
                <w:lang w:val="en-GB"/>
              </w:rPr>
              <w:t xml:space="preserve"> new accommodation for 372 females</w:t>
            </w:r>
            <w:r w:rsidR="001A07E6">
              <w:rPr>
                <w:rFonts w:ascii="Arial Narrow" w:hAnsi="Arial Narrow"/>
                <w:sz w:val="20"/>
                <w:lang w:val="en-GB"/>
              </w:rPr>
              <w:t xml:space="preserve"> </w:t>
            </w:r>
            <w:r w:rsidRPr="00A760D2">
              <w:rPr>
                <w:rFonts w:ascii="Arial Narrow" w:hAnsi="Arial Narrow"/>
                <w:sz w:val="20"/>
                <w:lang w:val="en-GB"/>
              </w:rPr>
              <w:t>19 and 200 males, renovated accommodation for 190 females and 30 males, 27 new and 38 renovated houses for teachers.</w:t>
            </w:r>
          </w:p>
          <w:p w:rsidR="00422DDC" w:rsidRPr="00422DDC" w:rsidRDefault="00422DDC" w:rsidP="009D5B31">
            <w:pPr>
              <w:spacing w:before="0" w:after="0"/>
              <w:rPr>
                <w:rFonts w:ascii="Arial Narrow" w:hAnsi="Arial Narrow"/>
                <w:sz w:val="16"/>
                <w:szCs w:val="16"/>
                <w:lang w:val="en-GB"/>
              </w:rPr>
            </w:pPr>
          </w:p>
        </w:tc>
      </w:tr>
      <w:tr w:rsidR="003B1461" w:rsidRPr="00A760D2" w:rsidTr="004109D8">
        <w:tc>
          <w:tcPr>
            <w:tcW w:w="9289" w:type="dxa"/>
            <w:shd w:val="clear" w:color="auto" w:fill="D6E3BC" w:themeFill="accent3" w:themeFillTint="66"/>
          </w:tcPr>
          <w:p w:rsidR="009D5B31" w:rsidRPr="00A760D2" w:rsidRDefault="009D5B31" w:rsidP="003B1461">
            <w:pPr>
              <w:autoSpaceDE w:val="0"/>
              <w:autoSpaceDN w:val="0"/>
              <w:adjustRightInd w:val="0"/>
              <w:spacing w:before="0" w:after="0"/>
              <w:jc w:val="left"/>
              <w:rPr>
                <w:rFonts w:ascii="Arial Narrow" w:hAnsi="Arial Narrow"/>
                <w:b/>
                <w:sz w:val="20"/>
                <w:lang w:val="en-GB" w:eastAsia="en-AU"/>
              </w:rPr>
            </w:pPr>
            <w:r w:rsidRPr="00A760D2">
              <w:rPr>
                <w:rFonts w:ascii="Arial Narrow" w:hAnsi="Arial Narrow"/>
                <w:b/>
                <w:sz w:val="20"/>
                <w:lang w:val="en-GB" w:eastAsia="en-AU"/>
              </w:rPr>
              <w:t xml:space="preserve">Increased Access to Health from 7 projects: </w:t>
            </w:r>
          </w:p>
          <w:p w:rsidR="003B1461" w:rsidRPr="00A760D2" w:rsidRDefault="003B1461" w:rsidP="009D5B31">
            <w:pPr>
              <w:rPr>
                <w:rFonts w:ascii="Arial Narrow" w:hAnsi="Arial Narrow"/>
                <w:sz w:val="20"/>
                <w:lang w:val="en-GB"/>
              </w:rPr>
            </w:pPr>
            <w:r w:rsidRPr="00A760D2">
              <w:rPr>
                <w:rFonts w:ascii="Arial Narrow" w:hAnsi="Arial Narrow"/>
                <w:b/>
                <w:i/>
                <w:sz w:val="20"/>
                <w:lang w:val="en-GB"/>
              </w:rPr>
              <w:t>Improved service delivery</w:t>
            </w:r>
            <w:r w:rsidR="009D5B31" w:rsidRPr="00A760D2">
              <w:rPr>
                <w:rFonts w:ascii="Arial Narrow" w:hAnsi="Arial Narrow"/>
                <w:b/>
                <w:i/>
                <w:sz w:val="20"/>
                <w:lang w:val="en-GB"/>
              </w:rPr>
              <w:t>:</w:t>
            </w:r>
            <w:r w:rsidR="009D5B31" w:rsidRPr="00A760D2">
              <w:rPr>
                <w:rFonts w:ascii="Arial Narrow" w:hAnsi="Arial Narrow"/>
                <w:b/>
                <w:sz w:val="20"/>
                <w:lang w:val="en-GB"/>
              </w:rPr>
              <w:t xml:space="preserve"> </w:t>
            </w:r>
            <w:r w:rsidRPr="00A760D2">
              <w:rPr>
                <w:rFonts w:ascii="Arial Narrow" w:hAnsi="Arial Narrow"/>
                <w:sz w:val="20"/>
                <w:lang w:val="en-GB"/>
              </w:rPr>
              <w:t>24 new and 4 renovated wards</w:t>
            </w:r>
            <w:r w:rsidR="009D5B31" w:rsidRPr="00A760D2">
              <w:rPr>
                <w:rFonts w:ascii="Arial Narrow" w:hAnsi="Arial Narrow"/>
                <w:sz w:val="20"/>
                <w:lang w:val="en-GB"/>
              </w:rPr>
              <w:t xml:space="preserve">, </w:t>
            </w:r>
            <w:r w:rsidR="001A07E6">
              <w:rPr>
                <w:rFonts w:ascii="Arial Narrow" w:hAnsi="Arial Narrow"/>
                <w:sz w:val="20"/>
                <w:lang w:val="en-GB"/>
              </w:rPr>
              <w:t>n</w:t>
            </w:r>
            <w:r w:rsidRPr="00A760D2">
              <w:rPr>
                <w:rFonts w:ascii="Arial Narrow" w:hAnsi="Arial Narrow"/>
                <w:sz w:val="20"/>
                <w:lang w:val="en-GB"/>
              </w:rPr>
              <w:t>ew accommodation for 116 nurses</w:t>
            </w:r>
            <w:r w:rsidR="009D5B31" w:rsidRPr="00A760D2">
              <w:rPr>
                <w:rFonts w:ascii="Arial Narrow" w:hAnsi="Arial Narrow"/>
                <w:sz w:val="20"/>
                <w:lang w:val="en-GB"/>
              </w:rPr>
              <w:t xml:space="preserve">, </w:t>
            </w:r>
            <w:r w:rsidRPr="00A760D2">
              <w:rPr>
                <w:rFonts w:ascii="Arial Narrow" w:hAnsi="Arial Narrow"/>
                <w:sz w:val="20"/>
                <w:lang w:val="en-GB"/>
              </w:rPr>
              <w:t>70 new and 6 renovated houses for</w:t>
            </w:r>
            <w:r w:rsidR="009D5B31" w:rsidRPr="00A760D2">
              <w:rPr>
                <w:rFonts w:ascii="Arial Narrow" w:hAnsi="Arial Narrow"/>
                <w:sz w:val="20"/>
                <w:lang w:val="en-GB"/>
              </w:rPr>
              <w:t xml:space="preserve"> </w:t>
            </w:r>
            <w:r w:rsidRPr="00A760D2">
              <w:rPr>
                <w:rFonts w:ascii="Arial Narrow" w:hAnsi="Arial Narrow"/>
                <w:sz w:val="20"/>
                <w:lang w:val="en-GB"/>
              </w:rPr>
              <w:t>medical staff</w:t>
            </w:r>
            <w:r w:rsidR="009D5B31" w:rsidRPr="00A760D2">
              <w:rPr>
                <w:rFonts w:ascii="Arial Narrow" w:hAnsi="Arial Narrow"/>
                <w:sz w:val="20"/>
                <w:lang w:val="en-GB"/>
              </w:rPr>
              <w:t xml:space="preserve">, </w:t>
            </w:r>
            <w:r w:rsidRPr="00A760D2">
              <w:rPr>
                <w:rFonts w:ascii="Arial Narrow" w:hAnsi="Arial Narrow"/>
                <w:sz w:val="20"/>
                <w:lang w:val="en-GB"/>
              </w:rPr>
              <w:t>6 new and 8 renovated specialist clinics</w:t>
            </w:r>
            <w:r w:rsidR="00275B1C" w:rsidRPr="00A760D2">
              <w:rPr>
                <w:rFonts w:ascii="Arial Narrow" w:hAnsi="Arial Narrow"/>
                <w:sz w:val="20"/>
                <w:lang w:val="en-GB"/>
              </w:rPr>
              <w:t xml:space="preserve"> </w:t>
            </w:r>
            <w:r w:rsidRPr="00A760D2">
              <w:rPr>
                <w:rFonts w:ascii="Arial Narrow" w:hAnsi="Arial Narrow"/>
                <w:sz w:val="20"/>
                <w:lang w:val="en-GB"/>
              </w:rPr>
              <w:t>and services such as radiology, disability,</w:t>
            </w:r>
            <w:r w:rsidR="00275B1C" w:rsidRPr="00A760D2">
              <w:rPr>
                <w:rFonts w:ascii="Arial Narrow" w:hAnsi="Arial Narrow"/>
                <w:sz w:val="20"/>
                <w:lang w:val="en-GB"/>
              </w:rPr>
              <w:t xml:space="preserve"> </w:t>
            </w:r>
            <w:r w:rsidRPr="00A760D2">
              <w:rPr>
                <w:rFonts w:ascii="Arial Narrow" w:hAnsi="Arial Narrow"/>
                <w:sz w:val="20"/>
                <w:lang w:val="en-GB"/>
              </w:rPr>
              <w:t>dental services</w:t>
            </w:r>
            <w:r w:rsidR="00275B1C" w:rsidRPr="00A760D2">
              <w:rPr>
                <w:rFonts w:ascii="Arial Narrow" w:hAnsi="Arial Narrow"/>
                <w:sz w:val="20"/>
                <w:lang w:val="en-GB"/>
              </w:rPr>
              <w:t xml:space="preserve">, </w:t>
            </w:r>
            <w:r w:rsidRPr="00A760D2">
              <w:rPr>
                <w:rFonts w:ascii="Arial Narrow" w:hAnsi="Arial Narrow"/>
                <w:sz w:val="20"/>
                <w:lang w:val="en-GB"/>
              </w:rPr>
              <w:t>6 new and 1 renovated remote aid post</w:t>
            </w:r>
            <w:r w:rsidR="009D5B31" w:rsidRPr="00A760D2">
              <w:rPr>
                <w:rFonts w:ascii="Arial Narrow" w:hAnsi="Arial Narrow"/>
                <w:sz w:val="20"/>
                <w:lang w:val="en-GB"/>
              </w:rPr>
              <w:t xml:space="preserve"> </w:t>
            </w:r>
            <w:r w:rsidRPr="00A760D2">
              <w:rPr>
                <w:rFonts w:ascii="Arial Narrow" w:hAnsi="Arial Narrow"/>
                <w:sz w:val="20"/>
                <w:lang w:val="en-GB"/>
              </w:rPr>
              <w:t>2 new and 2 renovated rural and remote</w:t>
            </w:r>
            <w:r w:rsidR="00275B1C" w:rsidRPr="00A760D2">
              <w:rPr>
                <w:rFonts w:ascii="Arial Narrow" w:hAnsi="Arial Narrow"/>
                <w:sz w:val="20"/>
                <w:lang w:val="en-GB"/>
              </w:rPr>
              <w:t xml:space="preserve"> </w:t>
            </w:r>
            <w:r w:rsidRPr="00A760D2">
              <w:rPr>
                <w:rFonts w:ascii="Arial Narrow" w:hAnsi="Arial Narrow"/>
                <w:sz w:val="20"/>
                <w:lang w:val="en-GB"/>
              </w:rPr>
              <w:t>health centres</w:t>
            </w:r>
            <w:r w:rsidR="00275B1C" w:rsidRPr="00A760D2">
              <w:rPr>
                <w:rFonts w:ascii="Arial Narrow" w:hAnsi="Arial Narrow"/>
                <w:sz w:val="20"/>
                <w:lang w:val="en-GB"/>
              </w:rPr>
              <w:t xml:space="preserve">, </w:t>
            </w:r>
            <w:r w:rsidR="009D5B31" w:rsidRPr="00A760D2">
              <w:rPr>
                <w:rFonts w:ascii="Arial Narrow" w:hAnsi="Arial Narrow"/>
                <w:sz w:val="20"/>
                <w:lang w:val="en-GB"/>
              </w:rPr>
              <w:t xml:space="preserve">3 </w:t>
            </w:r>
            <w:r w:rsidRPr="00A760D2">
              <w:rPr>
                <w:rFonts w:ascii="Arial Narrow" w:hAnsi="Arial Narrow"/>
                <w:sz w:val="20"/>
                <w:lang w:val="en-GB"/>
              </w:rPr>
              <w:t>new remote health posts</w:t>
            </w:r>
            <w:r w:rsidR="00275B1C" w:rsidRPr="00A760D2">
              <w:rPr>
                <w:rFonts w:ascii="Arial Narrow" w:hAnsi="Arial Narrow"/>
                <w:sz w:val="20"/>
                <w:lang w:val="en-GB"/>
              </w:rPr>
              <w:t xml:space="preserve"> and </w:t>
            </w:r>
            <w:r w:rsidR="009D5B31" w:rsidRPr="00A760D2">
              <w:rPr>
                <w:rFonts w:ascii="Arial Narrow" w:hAnsi="Arial Narrow"/>
                <w:sz w:val="20"/>
                <w:lang w:val="en-GB"/>
              </w:rPr>
              <w:t xml:space="preserve">3 </w:t>
            </w:r>
            <w:r w:rsidRPr="00A760D2">
              <w:rPr>
                <w:rFonts w:ascii="Arial Narrow" w:hAnsi="Arial Narrow"/>
                <w:sz w:val="20"/>
                <w:lang w:val="en-GB"/>
              </w:rPr>
              <w:t>new dispensaries</w:t>
            </w:r>
          </w:p>
          <w:p w:rsidR="003B1461" w:rsidRPr="00A760D2" w:rsidRDefault="003B1461" w:rsidP="009D5B31">
            <w:pPr>
              <w:rPr>
                <w:rFonts w:ascii="Arial Narrow" w:hAnsi="Arial Narrow"/>
                <w:sz w:val="20"/>
                <w:lang w:val="en-GB"/>
              </w:rPr>
            </w:pPr>
            <w:r w:rsidRPr="00A760D2">
              <w:rPr>
                <w:rFonts w:ascii="Arial Narrow" w:hAnsi="Arial Narrow"/>
                <w:b/>
                <w:i/>
                <w:sz w:val="20"/>
                <w:lang w:val="en-GB"/>
              </w:rPr>
              <w:t>Improved child survival</w:t>
            </w:r>
            <w:r w:rsidR="009D5B31" w:rsidRPr="00A760D2">
              <w:rPr>
                <w:rFonts w:ascii="Arial Narrow" w:hAnsi="Arial Narrow"/>
                <w:b/>
                <w:i/>
                <w:sz w:val="20"/>
                <w:lang w:val="en-GB"/>
              </w:rPr>
              <w:t xml:space="preserve"> </w:t>
            </w:r>
            <w:r w:rsidRPr="00A760D2">
              <w:rPr>
                <w:rFonts w:ascii="Arial Narrow" w:hAnsi="Arial Narrow"/>
                <w:b/>
                <w:i/>
                <w:sz w:val="20"/>
                <w:lang w:val="en-GB"/>
              </w:rPr>
              <w:t>and maternal health</w:t>
            </w:r>
            <w:r w:rsidR="00275B1C" w:rsidRPr="00A760D2">
              <w:rPr>
                <w:rFonts w:ascii="Arial Narrow" w:hAnsi="Arial Narrow"/>
                <w:b/>
                <w:i/>
                <w:sz w:val="20"/>
                <w:lang w:val="en-GB"/>
              </w:rPr>
              <w:t>:</w:t>
            </w:r>
            <w:r w:rsidR="00275B1C" w:rsidRPr="00A760D2">
              <w:rPr>
                <w:rFonts w:ascii="Arial Narrow" w:hAnsi="Arial Narrow"/>
                <w:b/>
                <w:sz w:val="20"/>
                <w:lang w:val="en-GB"/>
              </w:rPr>
              <w:t xml:space="preserve"> </w:t>
            </w:r>
            <w:r w:rsidR="009D5B31" w:rsidRPr="00A760D2">
              <w:rPr>
                <w:rFonts w:ascii="Arial Narrow" w:hAnsi="Arial Narrow"/>
                <w:sz w:val="20"/>
                <w:lang w:val="en-GB"/>
              </w:rPr>
              <w:t>1</w:t>
            </w:r>
            <w:r w:rsidRPr="00A760D2">
              <w:rPr>
                <w:rFonts w:ascii="Arial Narrow" w:hAnsi="Arial Narrow"/>
                <w:sz w:val="20"/>
                <w:lang w:val="en-GB"/>
              </w:rPr>
              <w:t>0,000 children in rural and remote</w:t>
            </w:r>
            <w:r w:rsidR="009D5B31" w:rsidRPr="00A760D2">
              <w:rPr>
                <w:rFonts w:ascii="Arial Narrow" w:hAnsi="Arial Narrow"/>
                <w:sz w:val="20"/>
                <w:lang w:val="en-GB"/>
              </w:rPr>
              <w:t xml:space="preserve"> </w:t>
            </w:r>
            <w:r w:rsidRPr="00A760D2">
              <w:rPr>
                <w:rFonts w:ascii="Arial Narrow" w:hAnsi="Arial Narrow"/>
                <w:sz w:val="20"/>
                <w:lang w:val="en-GB"/>
              </w:rPr>
              <w:t>Madang province immunised</w:t>
            </w:r>
            <w:r w:rsidR="00275B1C" w:rsidRPr="00A760D2">
              <w:rPr>
                <w:rFonts w:ascii="Arial Narrow" w:hAnsi="Arial Narrow"/>
                <w:sz w:val="20"/>
                <w:lang w:val="en-GB"/>
              </w:rPr>
              <w:t xml:space="preserve">, </w:t>
            </w:r>
            <w:r w:rsidRPr="00A760D2">
              <w:rPr>
                <w:rFonts w:ascii="Arial Narrow" w:hAnsi="Arial Narrow"/>
                <w:sz w:val="20"/>
                <w:lang w:val="en-GB"/>
              </w:rPr>
              <w:t>supplementary immunisation for tetanus</w:t>
            </w:r>
            <w:r w:rsidR="009D5B31" w:rsidRPr="00A760D2">
              <w:rPr>
                <w:rFonts w:ascii="Arial Narrow" w:hAnsi="Arial Narrow"/>
                <w:sz w:val="20"/>
                <w:lang w:val="en-GB"/>
              </w:rPr>
              <w:t xml:space="preserve"> </w:t>
            </w:r>
            <w:r w:rsidRPr="00A760D2">
              <w:rPr>
                <w:rFonts w:ascii="Arial Narrow" w:hAnsi="Arial Narrow"/>
                <w:sz w:val="20"/>
                <w:lang w:val="en-GB"/>
              </w:rPr>
              <w:t>for maternal care in Madang</w:t>
            </w:r>
            <w:r w:rsidR="00275B1C" w:rsidRPr="00A760D2">
              <w:rPr>
                <w:rFonts w:ascii="Arial Narrow" w:hAnsi="Arial Narrow"/>
                <w:sz w:val="20"/>
                <w:lang w:val="en-GB"/>
              </w:rPr>
              <w:t xml:space="preserve"> and </w:t>
            </w:r>
            <w:r w:rsidRPr="00A760D2">
              <w:rPr>
                <w:rFonts w:ascii="Arial Narrow" w:hAnsi="Arial Narrow"/>
                <w:sz w:val="20"/>
                <w:lang w:val="en-GB"/>
              </w:rPr>
              <w:t>3 new mama waiting haus</w:t>
            </w:r>
            <w:r w:rsidR="00275B1C" w:rsidRPr="00A760D2">
              <w:rPr>
                <w:rFonts w:ascii="Arial Narrow" w:hAnsi="Arial Narrow"/>
                <w:sz w:val="20"/>
                <w:lang w:val="en-GB"/>
              </w:rPr>
              <w:t>.</w:t>
            </w:r>
          </w:p>
          <w:p w:rsidR="003B1461" w:rsidRPr="00A760D2" w:rsidRDefault="003B1461" w:rsidP="00275B1C">
            <w:pPr>
              <w:rPr>
                <w:rFonts w:ascii="Arial Narrow" w:hAnsi="Arial Narrow"/>
                <w:sz w:val="20"/>
                <w:lang w:val="en-GB"/>
              </w:rPr>
            </w:pPr>
            <w:r w:rsidRPr="00A760D2">
              <w:rPr>
                <w:rFonts w:ascii="Arial Narrow" w:hAnsi="Arial Narrow"/>
                <w:b/>
                <w:i/>
                <w:sz w:val="20"/>
                <w:lang w:val="en-GB"/>
              </w:rPr>
              <w:t>Promote healthy lifestyle</w:t>
            </w:r>
            <w:r w:rsidR="00275B1C" w:rsidRPr="00A760D2">
              <w:rPr>
                <w:rFonts w:ascii="Arial Narrow" w:hAnsi="Arial Narrow"/>
                <w:b/>
                <w:i/>
                <w:sz w:val="20"/>
                <w:lang w:val="en-GB"/>
              </w:rPr>
              <w:t>:</w:t>
            </w:r>
            <w:r w:rsidR="00275B1C" w:rsidRPr="00A760D2">
              <w:rPr>
                <w:rFonts w:ascii="Arial Narrow" w:hAnsi="Arial Narrow"/>
                <w:b/>
                <w:sz w:val="20"/>
                <w:lang w:val="en-GB"/>
              </w:rPr>
              <w:t xml:space="preserve"> </w:t>
            </w:r>
            <w:r w:rsidR="00275B1C" w:rsidRPr="00A760D2">
              <w:rPr>
                <w:rFonts w:ascii="Arial Narrow" w:hAnsi="Arial Narrow"/>
                <w:sz w:val="20"/>
                <w:lang w:val="en-GB"/>
              </w:rPr>
              <w:t xml:space="preserve">3 </w:t>
            </w:r>
            <w:r w:rsidRPr="00A760D2">
              <w:rPr>
                <w:rFonts w:ascii="Arial Narrow" w:hAnsi="Arial Narrow"/>
                <w:sz w:val="20"/>
                <w:lang w:val="en-GB"/>
              </w:rPr>
              <w:t>new VCCT clinics</w:t>
            </w:r>
            <w:r w:rsidR="00275B1C" w:rsidRPr="00A760D2">
              <w:rPr>
                <w:rFonts w:ascii="Arial Narrow" w:hAnsi="Arial Narrow"/>
                <w:sz w:val="20"/>
                <w:lang w:val="en-GB"/>
              </w:rPr>
              <w:t xml:space="preserve">, </w:t>
            </w:r>
            <w:r w:rsidRPr="00A760D2">
              <w:rPr>
                <w:rFonts w:ascii="Arial Narrow" w:hAnsi="Arial Narrow"/>
                <w:sz w:val="20"/>
                <w:lang w:val="en-GB"/>
              </w:rPr>
              <w:t>6 new and 1 renovated patient waiting</w:t>
            </w:r>
            <w:r w:rsidR="009D5B31" w:rsidRPr="00A760D2">
              <w:rPr>
                <w:rFonts w:ascii="Arial Narrow" w:hAnsi="Arial Narrow"/>
                <w:sz w:val="20"/>
                <w:lang w:val="en-GB"/>
              </w:rPr>
              <w:t xml:space="preserve"> </w:t>
            </w:r>
            <w:r w:rsidRPr="00A760D2">
              <w:rPr>
                <w:rFonts w:ascii="Arial Narrow" w:hAnsi="Arial Narrow"/>
                <w:sz w:val="20"/>
                <w:lang w:val="en-GB"/>
              </w:rPr>
              <w:t>places also used for lifestyle awareness</w:t>
            </w:r>
            <w:r w:rsidR="009D5B31" w:rsidRPr="00A760D2">
              <w:rPr>
                <w:rFonts w:ascii="Arial Narrow" w:hAnsi="Arial Narrow"/>
                <w:sz w:val="20"/>
                <w:lang w:val="en-GB"/>
              </w:rPr>
              <w:t xml:space="preserve"> </w:t>
            </w:r>
            <w:r w:rsidRPr="00A760D2">
              <w:rPr>
                <w:rFonts w:ascii="Arial Narrow" w:hAnsi="Arial Narrow"/>
                <w:sz w:val="20"/>
                <w:lang w:val="en-GB"/>
              </w:rPr>
              <w:t>sessions</w:t>
            </w:r>
            <w:r w:rsidR="00275B1C" w:rsidRPr="00A760D2">
              <w:rPr>
                <w:rFonts w:ascii="Arial Narrow" w:hAnsi="Arial Narrow"/>
                <w:sz w:val="20"/>
                <w:lang w:val="en-GB"/>
              </w:rPr>
              <w:t>.</w:t>
            </w:r>
          </w:p>
          <w:p w:rsidR="003B1461" w:rsidRPr="00A760D2" w:rsidRDefault="003B1461" w:rsidP="00A760D2">
            <w:pPr>
              <w:rPr>
                <w:rFonts w:ascii="Arial Narrow" w:hAnsi="Arial Narrow"/>
                <w:sz w:val="20"/>
                <w:lang w:val="en-GB"/>
              </w:rPr>
            </w:pPr>
            <w:r w:rsidRPr="00A760D2">
              <w:rPr>
                <w:rFonts w:ascii="Arial Narrow" w:hAnsi="Arial Narrow"/>
                <w:b/>
                <w:i/>
                <w:sz w:val="20"/>
                <w:lang w:val="en-GB"/>
              </w:rPr>
              <w:t>Other improvements to health infrastructure</w:t>
            </w:r>
            <w:r w:rsidR="00275B1C" w:rsidRPr="00A760D2">
              <w:rPr>
                <w:rFonts w:ascii="Arial Narrow" w:hAnsi="Arial Narrow"/>
                <w:b/>
                <w:i/>
                <w:sz w:val="20"/>
                <w:lang w:val="en-GB"/>
              </w:rPr>
              <w:t>:</w:t>
            </w:r>
            <w:r w:rsidR="00275B1C" w:rsidRPr="00A760D2">
              <w:rPr>
                <w:rFonts w:ascii="Arial Narrow" w:hAnsi="Arial Narrow"/>
                <w:b/>
                <w:sz w:val="20"/>
                <w:lang w:val="en-GB"/>
              </w:rPr>
              <w:t xml:space="preserve"> </w:t>
            </w:r>
            <w:r w:rsidR="009D5B31" w:rsidRPr="00A760D2">
              <w:rPr>
                <w:rFonts w:ascii="Arial Narrow" w:hAnsi="Arial Narrow"/>
                <w:sz w:val="20"/>
                <w:lang w:val="en-GB"/>
              </w:rPr>
              <w:t xml:space="preserve"> </w:t>
            </w:r>
            <w:r w:rsidRPr="00A760D2">
              <w:rPr>
                <w:rFonts w:ascii="Arial Narrow" w:hAnsi="Arial Narrow"/>
                <w:sz w:val="20"/>
                <w:lang w:val="en-GB"/>
              </w:rPr>
              <w:t>include seventy-five water tanks, forty-two</w:t>
            </w:r>
            <w:r w:rsidR="00A760D2">
              <w:rPr>
                <w:rFonts w:ascii="Arial Narrow" w:hAnsi="Arial Narrow"/>
                <w:sz w:val="20"/>
                <w:lang w:val="en-GB"/>
              </w:rPr>
              <w:t xml:space="preserve"> </w:t>
            </w:r>
            <w:r w:rsidRPr="00A760D2">
              <w:rPr>
                <w:rFonts w:ascii="Arial Narrow" w:hAnsi="Arial Narrow"/>
                <w:sz w:val="20"/>
                <w:lang w:val="en-GB"/>
              </w:rPr>
              <w:t>solar panels and twenty-three solar units,</w:t>
            </w:r>
            <w:r w:rsidR="009D5B31" w:rsidRPr="00A760D2">
              <w:rPr>
                <w:rFonts w:ascii="Arial Narrow" w:hAnsi="Arial Narrow"/>
                <w:sz w:val="20"/>
                <w:lang w:val="en-GB"/>
              </w:rPr>
              <w:t xml:space="preserve"> </w:t>
            </w:r>
            <w:r w:rsidRPr="00A760D2">
              <w:rPr>
                <w:rFonts w:ascii="Arial Narrow" w:hAnsi="Arial Narrow"/>
                <w:sz w:val="20"/>
                <w:lang w:val="en-GB"/>
              </w:rPr>
              <w:t>thirty-one staff offices, six generator sets and</w:t>
            </w:r>
            <w:r w:rsidR="00A760D2">
              <w:rPr>
                <w:rFonts w:ascii="Arial Narrow" w:hAnsi="Arial Narrow"/>
                <w:sz w:val="20"/>
                <w:lang w:val="en-GB"/>
              </w:rPr>
              <w:t xml:space="preserve"> </w:t>
            </w:r>
            <w:r w:rsidRPr="00A760D2">
              <w:rPr>
                <w:rFonts w:ascii="Arial Narrow" w:hAnsi="Arial Narrow"/>
                <w:sz w:val="20"/>
                <w:lang w:val="en-GB"/>
              </w:rPr>
              <w:t>six incinerators for medical waste, six new</w:t>
            </w:r>
            <w:r w:rsidR="009D5B31" w:rsidRPr="00A760D2">
              <w:rPr>
                <w:rFonts w:ascii="Arial Narrow" w:hAnsi="Arial Narrow"/>
                <w:sz w:val="20"/>
                <w:lang w:val="en-GB"/>
              </w:rPr>
              <w:t xml:space="preserve"> </w:t>
            </w:r>
            <w:r w:rsidRPr="00A760D2">
              <w:rPr>
                <w:rFonts w:ascii="Arial Narrow" w:hAnsi="Arial Narrow"/>
                <w:sz w:val="20"/>
                <w:lang w:val="en-GB"/>
              </w:rPr>
              <w:t>kitchens and five new laundries, four security</w:t>
            </w:r>
            <w:r w:rsidR="00A760D2">
              <w:rPr>
                <w:rFonts w:ascii="Arial Narrow" w:hAnsi="Arial Narrow"/>
                <w:sz w:val="20"/>
                <w:lang w:val="en-GB"/>
              </w:rPr>
              <w:t xml:space="preserve"> </w:t>
            </w:r>
            <w:r w:rsidRPr="00A760D2">
              <w:rPr>
                <w:rFonts w:ascii="Arial Narrow" w:hAnsi="Arial Narrow"/>
                <w:sz w:val="20"/>
                <w:lang w:val="en-GB"/>
              </w:rPr>
              <w:t>fences, four vehicles, two boats, two local area</w:t>
            </w:r>
            <w:r w:rsidR="009D5B31" w:rsidRPr="00A760D2">
              <w:rPr>
                <w:rFonts w:ascii="Arial Narrow" w:hAnsi="Arial Narrow"/>
                <w:sz w:val="20"/>
                <w:lang w:val="en-GB"/>
              </w:rPr>
              <w:t xml:space="preserve"> </w:t>
            </w:r>
            <w:r w:rsidRPr="00A760D2">
              <w:rPr>
                <w:rFonts w:ascii="Arial Narrow" w:hAnsi="Arial Narrow"/>
                <w:sz w:val="20"/>
                <w:lang w:val="en-GB"/>
              </w:rPr>
              <w:t>networks, two renovated reticulated water</w:t>
            </w:r>
            <w:r w:rsidR="00A760D2">
              <w:rPr>
                <w:rFonts w:ascii="Arial Narrow" w:hAnsi="Arial Narrow"/>
                <w:sz w:val="20"/>
                <w:lang w:val="en-GB"/>
              </w:rPr>
              <w:t xml:space="preserve"> </w:t>
            </w:r>
            <w:r w:rsidRPr="00A760D2">
              <w:rPr>
                <w:rFonts w:ascii="Arial Narrow" w:hAnsi="Arial Narrow"/>
                <w:sz w:val="20"/>
                <w:lang w:val="en-GB"/>
              </w:rPr>
              <w:t>systems and a hydro system including dam,</w:t>
            </w:r>
            <w:r w:rsidR="009D5B31" w:rsidRPr="00A760D2">
              <w:rPr>
                <w:rFonts w:ascii="Arial Narrow" w:hAnsi="Arial Narrow"/>
                <w:sz w:val="20"/>
                <w:lang w:val="en-GB"/>
              </w:rPr>
              <w:t xml:space="preserve"> </w:t>
            </w:r>
            <w:r w:rsidRPr="00A760D2">
              <w:rPr>
                <w:rFonts w:ascii="Arial Narrow" w:hAnsi="Arial Narrow"/>
                <w:sz w:val="20"/>
                <w:lang w:val="en-GB"/>
              </w:rPr>
              <w:t>raceway, penstock gates and turbines.</w:t>
            </w:r>
          </w:p>
        </w:tc>
      </w:tr>
      <w:bookmarkEnd w:id="3"/>
    </w:tbl>
    <w:p w:rsidR="00C05D33" w:rsidRPr="00571F0B" w:rsidRDefault="00C05D33" w:rsidP="00A760D2">
      <w:pPr>
        <w:spacing w:before="0" w:after="0"/>
        <w:rPr>
          <w:lang w:val="en-GB"/>
        </w:rPr>
      </w:pPr>
    </w:p>
    <w:p w:rsidR="00B23A31" w:rsidRDefault="00B23A31" w:rsidP="00B23A31">
      <w:pPr>
        <w:pStyle w:val="Heading3"/>
        <w:rPr>
          <w:lang w:val="en-GB"/>
        </w:rPr>
      </w:pPr>
      <w:r>
        <w:rPr>
          <w:lang w:val="en-GB"/>
        </w:rPr>
        <w:t>Delivery of Phase III</w:t>
      </w:r>
    </w:p>
    <w:p w:rsidR="00B2338D" w:rsidRPr="00571F0B" w:rsidRDefault="008417F8" w:rsidP="00A760D2">
      <w:pPr>
        <w:spacing w:before="0" w:after="0"/>
        <w:rPr>
          <w:lang w:val="en-GB"/>
        </w:rPr>
      </w:pPr>
      <w:r w:rsidRPr="00571F0B">
        <w:rPr>
          <w:lang w:val="en-GB"/>
        </w:rPr>
        <w:t xml:space="preserve">The </w:t>
      </w:r>
      <w:r w:rsidR="00B2338D" w:rsidRPr="00571F0B">
        <w:rPr>
          <w:lang w:val="en-GB"/>
        </w:rPr>
        <w:t xml:space="preserve">Incentive Fund Phase III was a four year </w:t>
      </w:r>
      <w:proofErr w:type="gramStart"/>
      <w:r w:rsidR="00B2338D" w:rsidRPr="00571F0B">
        <w:rPr>
          <w:lang w:val="en-GB"/>
        </w:rPr>
        <w:t>A$</w:t>
      </w:r>
      <w:proofErr w:type="gramEnd"/>
      <w:r w:rsidR="00B2338D" w:rsidRPr="00571F0B">
        <w:rPr>
          <w:lang w:val="en-GB"/>
        </w:rPr>
        <w:t>60 million program</w:t>
      </w:r>
      <w:r w:rsidR="00B46D92" w:rsidRPr="00571F0B">
        <w:rPr>
          <w:lang w:val="en-GB"/>
        </w:rPr>
        <w:t>. The</w:t>
      </w:r>
      <w:r w:rsidR="00B2338D" w:rsidRPr="00571F0B">
        <w:rPr>
          <w:lang w:val="en-GB"/>
        </w:rPr>
        <w:t xml:space="preserve"> goal and purpose were</w:t>
      </w:r>
      <w:r w:rsidRPr="00571F0B">
        <w:rPr>
          <w:lang w:val="en-GB"/>
        </w:rPr>
        <w:t>:</w:t>
      </w:r>
    </w:p>
    <w:p w:rsidR="00B2338D" w:rsidRPr="00FD6F95" w:rsidRDefault="00B2338D" w:rsidP="00A760D2">
      <w:pPr>
        <w:spacing w:before="0" w:after="0"/>
        <w:rPr>
          <w:sz w:val="16"/>
          <w:szCs w:val="16"/>
          <w:lang w:val="en-GB"/>
        </w:rPr>
      </w:pPr>
    </w:p>
    <w:p w:rsidR="004A7125" w:rsidRPr="00571F0B" w:rsidRDefault="004A7125" w:rsidP="00A760D2">
      <w:pPr>
        <w:spacing w:before="0" w:after="0"/>
        <w:ind w:left="720"/>
        <w:rPr>
          <w:lang w:val="en-GB"/>
        </w:rPr>
      </w:pPr>
      <w:r w:rsidRPr="00571F0B">
        <w:rPr>
          <w:i/>
          <w:iCs/>
          <w:lang w:val="en-GB"/>
        </w:rPr>
        <w:t>To deliver significant and immediately tangible economic and/or social development outco</w:t>
      </w:r>
      <w:r w:rsidR="00B2338D" w:rsidRPr="00571F0B">
        <w:rPr>
          <w:i/>
          <w:iCs/>
          <w:lang w:val="en-GB"/>
        </w:rPr>
        <w:t>mes for men, women and children, and</w:t>
      </w:r>
      <w:r w:rsidRPr="00571F0B">
        <w:rPr>
          <w:i/>
          <w:iCs/>
          <w:lang w:val="en-GB"/>
        </w:rPr>
        <w:t xml:space="preserve"> </w:t>
      </w:r>
    </w:p>
    <w:p w:rsidR="007F15D7" w:rsidRPr="00A760D2" w:rsidRDefault="007F15D7" w:rsidP="00A760D2">
      <w:pPr>
        <w:spacing w:before="0" w:after="0"/>
        <w:ind w:left="720"/>
        <w:rPr>
          <w:sz w:val="16"/>
          <w:szCs w:val="16"/>
          <w:lang w:val="en-GB"/>
        </w:rPr>
      </w:pPr>
    </w:p>
    <w:p w:rsidR="004A7125" w:rsidRPr="00571F0B" w:rsidRDefault="004A7125" w:rsidP="00A760D2">
      <w:pPr>
        <w:spacing w:before="0" w:after="0"/>
        <w:ind w:left="720"/>
        <w:rPr>
          <w:lang w:val="en-GB"/>
        </w:rPr>
      </w:pPr>
      <w:r w:rsidRPr="00571F0B">
        <w:rPr>
          <w:i/>
          <w:iCs/>
          <w:lang w:val="en-GB"/>
        </w:rPr>
        <w:t>To strengthen and reward performing Papua New Guinean organisations capable of delivering high impact development activities that benefit men, women and children</w:t>
      </w:r>
      <w:r w:rsidRPr="00571F0B">
        <w:rPr>
          <w:lang w:val="en-GB"/>
        </w:rPr>
        <w:t xml:space="preserve">. </w:t>
      </w:r>
    </w:p>
    <w:p w:rsidR="004A7125" w:rsidRPr="00A760D2" w:rsidRDefault="004A7125" w:rsidP="00A760D2">
      <w:pPr>
        <w:spacing w:before="0" w:after="0"/>
        <w:rPr>
          <w:sz w:val="16"/>
          <w:szCs w:val="16"/>
          <w:lang w:val="en-GB"/>
        </w:rPr>
      </w:pPr>
    </w:p>
    <w:p w:rsidR="007F15D7" w:rsidRPr="00571F0B" w:rsidRDefault="00B2338D" w:rsidP="00A760D2">
      <w:pPr>
        <w:spacing w:before="0" w:after="0"/>
        <w:rPr>
          <w:lang w:val="en-GB"/>
        </w:rPr>
      </w:pPr>
      <w:r w:rsidRPr="00571F0B">
        <w:rPr>
          <w:lang w:val="en-GB"/>
        </w:rPr>
        <w:lastRenderedPageBreak/>
        <w:t xml:space="preserve">Recognising the </w:t>
      </w:r>
      <w:r w:rsidR="00984632" w:rsidRPr="00571F0B">
        <w:rPr>
          <w:lang w:val="en-GB"/>
        </w:rPr>
        <w:t xml:space="preserve">non-extendible </w:t>
      </w:r>
      <w:r w:rsidRPr="00571F0B">
        <w:rPr>
          <w:lang w:val="en-GB"/>
        </w:rPr>
        <w:t xml:space="preserve">four year timeframe to implement Phase III and deliver </w:t>
      </w:r>
      <w:r w:rsidR="00112952" w:rsidRPr="00571F0B">
        <w:rPr>
          <w:lang w:val="en-GB"/>
        </w:rPr>
        <w:t xml:space="preserve">strong processes and all </w:t>
      </w:r>
      <w:r w:rsidRPr="00571F0B">
        <w:rPr>
          <w:lang w:val="en-GB"/>
        </w:rPr>
        <w:t>outputs</w:t>
      </w:r>
      <w:r w:rsidR="00984632" w:rsidRPr="00571F0B">
        <w:rPr>
          <w:lang w:val="en-GB"/>
        </w:rPr>
        <w:t>,</w:t>
      </w:r>
      <w:r w:rsidRPr="00571F0B">
        <w:rPr>
          <w:lang w:val="en-GB"/>
        </w:rPr>
        <w:t xml:space="preserve"> Phase III was implemented with a</w:t>
      </w:r>
      <w:r w:rsidR="00112952" w:rsidRPr="00571F0B">
        <w:rPr>
          <w:lang w:val="en-GB"/>
        </w:rPr>
        <w:t xml:space="preserve"> </w:t>
      </w:r>
      <w:r w:rsidRPr="00571F0B">
        <w:rPr>
          <w:lang w:val="en-GB"/>
        </w:rPr>
        <w:t xml:space="preserve">focus on </w:t>
      </w:r>
      <w:r w:rsidR="00CC556B" w:rsidRPr="00571F0B">
        <w:rPr>
          <w:lang w:val="en-GB"/>
        </w:rPr>
        <w:t>four</w:t>
      </w:r>
      <w:r w:rsidRPr="00571F0B">
        <w:rPr>
          <w:lang w:val="en-GB"/>
        </w:rPr>
        <w:t xml:space="preserve"> </w:t>
      </w:r>
      <w:r w:rsidR="00984632" w:rsidRPr="00571F0B">
        <w:rPr>
          <w:lang w:val="en-GB"/>
        </w:rPr>
        <w:t xml:space="preserve">distinct </w:t>
      </w:r>
      <w:r w:rsidR="0074025D" w:rsidRPr="00571F0B">
        <w:rPr>
          <w:lang w:val="en-GB"/>
        </w:rPr>
        <w:t xml:space="preserve">management </w:t>
      </w:r>
      <w:r w:rsidR="00112952" w:rsidRPr="00571F0B">
        <w:rPr>
          <w:lang w:val="en-GB"/>
        </w:rPr>
        <w:t>areas:</w:t>
      </w:r>
    </w:p>
    <w:p w:rsidR="00112952" w:rsidRPr="00A760D2" w:rsidRDefault="00112952" w:rsidP="00A760D2">
      <w:pPr>
        <w:spacing w:before="0" w:after="0"/>
        <w:rPr>
          <w:sz w:val="16"/>
          <w:szCs w:val="16"/>
          <w:lang w:val="en-GB"/>
        </w:rPr>
      </w:pPr>
    </w:p>
    <w:p w:rsidR="008F03C0" w:rsidRDefault="00984632" w:rsidP="00A760D2">
      <w:pPr>
        <w:spacing w:before="0" w:after="0"/>
        <w:rPr>
          <w:lang w:val="en-GB"/>
        </w:rPr>
      </w:pPr>
      <w:r w:rsidRPr="00571F0B">
        <w:rPr>
          <w:b/>
          <w:lang w:val="en-GB"/>
        </w:rPr>
        <w:t>P</w:t>
      </w:r>
      <w:r w:rsidR="00B15DE7" w:rsidRPr="00571F0B">
        <w:rPr>
          <w:b/>
          <w:lang w:val="en-GB"/>
        </w:rPr>
        <w:t>rogram I</w:t>
      </w:r>
      <w:r w:rsidR="007F15D7" w:rsidRPr="00571F0B">
        <w:rPr>
          <w:b/>
          <w:lang w:val="en-GB"/>
        </w:rPr>
        <w:t>mplementation</w:t>
      </w:r>
      <w:r w:rsidRPr="00571F0B">
        <w:rPr>
          <w:lang w:val="en-GB"/>
        </w:rPr>
        <w:t xml:space="preserve"> –</w:t>
      </w:r>
      <w:r w:rsidR="005E062C" w:rsidRPr="00571F0B">
        <w:rPr>
          <w:lang w:val="en-GB"/>
        </w:rPr>
        <w:t xml:space="preserve"> </w:t>
      </w:r>
      <w:r w:rsidRPr="00571F0B">
        <w:rPr>
          <w:lang w:val="en-GB"/>
        </w:rPr>
        <w:t>all funding was allocated in the first 18 month</w:t>
      </w:r>
      <w:r w:rsidR="005E062C" w:rsidRPr="00571F0B">
        <w:rPr>
          <w:lang w:val="en-GB"/>
        </w:rPr>
        <w:t xml:space="preserve">s which required the </w:t>
      </w:r>
      <w:r w:rsidRPr="00571F0B">
        <w:rPr>
          <w:lang w:val="en-GB"/>
        </w:rPr>
        <w:t xml:space="preserve">front-end loading of all Incentive Fund Agreements (IFAs). </w:t>
      </w:r>
      <w:r w:rsidR="00A300DE" w:rsidRPr="00571F0B">
        <w:rPr>
          <w:lang w:val="en-GB"/>
        </w:rPr>
        <w:t xml:space="preserve">This can be referred to as front-end loading </w:t>
      </w:r>
      <w:r w:rsidR="008417F8" w:rsidRPr="00571F0B">
        <w:rPr>
          <w:lang w:val="en-GB"/>
        </w:rPr>
        <w:t xml:space="preserve">of </w:t>
      </w:r>
      <w:r w:rsidR="00A300DE" w:rsidRPr="00571F0B">
        <w:rPr>
          <w:lang w:val="en-GB"/>
        </w:rPr>
        <w:t xml:space="preserve">a grant mechanism. </w:t>
      </w:r>
      <w:r w:rsidRPr="00571F0B">
        <w:rPr>
          <w:lang w:val="en-GB"/>
        </w:rPr>
        <w:t xml:space="preserve">By June 2012 all IFAs were approved and the remaining 30 months were dedicated to </w:t>
      </w:r>
      <w:r w:rsidR="005E062C" w:rsidRPr="00571F0B">
        <w:rPr>
          <w:lang w:val="en-GB"/>
        </w:rPr>
        <w:t xml:space="preserve">the </w:t>
      </w:r>
      <w:r w:rsidRPr="00571F0B">
        <w:rPr>
          <w:lang w:val="en-GB"/>
        </w:rPr>
        <w:t>implementation</w:t>
      </w:r>
      <w:r w:rsidR="005E062C" w:rsidRPr="00571F0B">
        <w:rPr>
          <w:lang w:val="en-GB"/>
        </w:rPr>
        <w:t xml:space="preserve"> of all grant activities</w:t>
      </w:r>
      <w:r w:rsidRPr="00571F0B">
        <w:rPr>
          <w:lang w:val="en-GB"/>
        </w:rPr>
        <w:t xml:space="preserve">. This early allocation process was greatly assisted by pre-identifying 25% of the </w:t>
      </w:r>
      <w:r w:rsidR="005E062C" w:rsidRPr="00571F0B">
        <w:rPr>
          <w:lang w:val="en-GB"/>
        </w:rPr>
        <w:t>final IFAs</w:t>
      </w:r>
      <w:r w:rsidRPr="00571F0B">
        <w:rPr>
          <w:lang w:val="en-GB"/>
        </w:rPr>
        <w:t xml:space="preserve"> through a pre-program Concept Paper Request (CPR) </w:t>
      </w:r>
      <w:r w:rsidR="00FD6F95">
        <w:rPr>
          <w:lang w:val="en-GB"/>
        </w:rPr>
        <w:t>round.</w:t>
      </w:r>
    </w:p>
    <w:p w:rsidR="00FD6F95" w:rsidRPr="00A760D2" w:rsidRDefault="00FD6F95" w:rsidP="00A760D2">
      <w:pPr>
        <w:spacing w:before="0" w:after="0"/>
        <w:rPr>
          <w:sz w:val="16"/>
          <w:szCs w:val="16"/>
          <w:lang w:val="en-GB"/>
        </w:rPr>
      </w:pPr>
    </w:p>
    <w:p w:rsidR="008F03C0" w:rsidRDefault="00A300DE" w:rsidP="00A760D2">
      <w:pPr>
        <w:spacing w:before="0" w:after="0"/>
        <w:rPr>
          <w:lang w:val="en-GB"/>
        </w:rPr>
      </w:pPr>
      <w:r w:rsidRPr="00571F0B">
        <w:rPr>
          <w:lang w:val="en-GB"/>
        </w:rPr>
        <w:t>N</w:t>
      </w:r>
      <w:r w:rsidR="00984632" w:rsidRPr="00571F0B">
        <w:rPr>
          <w:lang w:val="en-GB"/>
        </w:rPr>
        <w:t xml:space="preserve">ew efficiencies introduced through the </w:t>
      </w:r>
      <w:r w:rsidR="005E062C" w:rsidRPr="00571F0B">
        <w:rPr>
          <w:lang w:val="en-GB"/>
        </w:rPr>
        <w:t>revised Phase III</w:t>
      </w:r>
      <w:r w:rsidR="00984632" w:rsidRPr="00571F0B">
        <w:rPr>
          <w:lang w:val="en-GB"/>
        </w:rPr>
        <w:t xml:space="preserve"> </w:t>
      </w:r>
      <w:r w:rsidRPr="00571F0B">
        <w:rPr>
          <w:lang w:val="en-GB"/>
        </w:rPr>
        <w:t xml:space="preserve">four stage </w:t>
      </w:r>
      <w:r w:rsidR="00984632" w:rsidRPr="00571F0B">
        <w:rPr>
          <w:lang w:val="en-GB"/>
        </w:rPr>
        <w:t>screening and assessment process</w:t>
      </w:r>
      <w:r w:rsidRPr="00571F0B">
        <w:rPr>
          <w:lang w:val="en-GB"/>
        </w:rPr>
        <w:t xml:space="preserve"> were significant </w:t>
      </w:r>
      <w:r w:rsidR="008417F8" w:rsidRPr="00571F0B">
        <w:rPr>
          <w:lang w:val="en-GB"/>
        </w:rPr>
        <w:t xml:space="preserve">and allowed </w:t>
      </w:r>
      <w:r w:rsidRPr="00571F0B">
        <w:rPr>
          <w:lang w:val="en-GB"/>
        </w:rPr>
        <w:t>manag</w:t>
      </w:r>
      <w:r w:rsidR="008417F8" w:rsidRPr="00571F0B">
        <w:rPr>
          <w:lang w:val="en-GB"/>
        </w:rPr>
        <w:t xml:space="preserve">ement of </w:t>
      </w:r>
      <w:r w:rsidRPr="00571F0B">
        <w:rPr>
          <w:lang w:val="en-GB"/>
        </w:rPr>
        <w:t>a high response to subsequent CPRs</w:t>
      </w:r>
      <w:r w:rsidR="005E062C" w:rsidRPr="00571F0B">
        <w:rPr>
          <w:lang w:val="en-GB"/>
        </w:rPr>
        <w:t xml:space="preserve">. By the end of Phase III </w:t>
      </w:r>
      <w:r w:rsidRPr="00571F0B">
        <w:rPr>
          <w:lang w:val="en-GB"/>
        </w:rPr>
        <w:t xml:space="preserve">the Incentive Fund </w:t>
      </w:r>
      <w:r w:rsidR="005E062C" w:rsidRPr="00571F0B">
        <w:rPr>
          <w:lang w:val="en-GB"/>
        </w:rPr>
        <w:t>had received 1</w:t>
      </w:r>
      <w:r w:rsidR="00422DDC">
        <w:rPr>
          <w:lang w:val="en-GB"/>
        </w:rPr>
        <w:t>,</w:t>
      </w:r>
      <w:r w:rsidR="005E062C" w:rsidRPr="00571F0B">
        <w:rPr>
          <w:lang w:val="en-GB"/>
        </w:rPr>
        <w:t>697 enquir</w:t>
      </w:r>
      <w:r w:rsidR="00422DDC">
        <w:rPr>
          <w:lang w:val="en-GB"/>
        </w:rPr>
        <w:t>i</w:t>
      </w:r>
      <w:r w:rsidR="005E062C" w:rsidRPr="00571F0B">
        <w:rPr>
          <w:lang w:val="en-GB"/>
        </w:rPr>
        <w:t xml:space="preserve">es, reduced these to </w:t>
      </w:r>
      <w:r w:rsidR="007B079B" w:rsidRPr="00571F0B">
        <w:rPr>
          <w:lang w:val="en-GB"/>
        </w:rPr>
        <w:t>226</w:t>
      </w:r>
      <w:r w:rsidR="008F03C0" w:rsidRPr="00571F0B">
        <w:rPr>
          <w:lang w:val="en-GB"/>
        </w:rPr>
        <w:t xml:space="preserve"> Concept P</w:t>
      </w:r>
      <w:r w:rsidR="005E062C" w:rsidRPr="00571F0B">
        <w:rPr>
          <w:lang w:val="en-GB"/>
        </w:rPr>
        <w:t xml:space="preserve">apers </w:t>
      </w:r>
      <w:r w:rsidR="008F03C0" w:rsidRPr="00571F0B">
        <w:rPr>
          <w:lang w:val="en-GB"/>
        </w:rPr>
        <w:t xml:space="preserve">(CP) </w:t>
      </w:r>
      <w:r w:rsidR="005E062C" w:rsidRPr="00571F0B">
        <w:rPr>
          <w:lang w:val="en-GB"/>
        </w:rPr>
        <w:t>and then reduced these to 2</w:t>
      </w:r>
      <w:r w:rsidR="007B079B" w:rsidRPr="00571F0B">
        <w:rPr>
          <w:lang w:val="en-GB"/>
        </w:rPr>
        <w:t>2</w:t>
      </w:r>
      <w:r w:rsidR="005E062C" w:rsidRPr="00571F0B">
        <w:rPr>
          <w:lang w:val="en-GB"/>
        </w:rPr>
        <w:t xml:space="preserve"> detailed proposals and budgets</w:t>
      </w:r>
      <w:r w:rsidRPr="00571F0B">
        <w:rPr>
          <w:lang w:val="en-GB"/>
        </w:rPr>
        <w:t xml:space="preserve">, of which </w:t>
      </w:r>
      <w:r w:rsidR="007B079B" w:rsidRPr="00571F0B">
        <w:rPr>
          <w:lang w:val="en-GB"/>
        </w:rPr>
        <w:t>2</w:t>
      </w:r>
      <w:r w:rsidR="00966F2B" w:rsidRPr="00571F0B">
        <w:rPr>
          <w:lang w:val="en-GB"/>
        </w:rPr>
        <w:t>0</w:t>
      </w:r>
      <w:r w:rsidR="007B079B" w:rsidRPr="00571F0B">
        <w:rPr>
          <w:lang w:val="en-GB"/>
        </w:rPr>
        <w:t xml:space="preserve"> </w:t>
      </w:r>
      <w:r w:rsidR="005E062C" w:rsidRPr="00571F0B">
        <w:rPr>
          <w:lang w:val="en-GB"/>
        </w:rPr>
        <w:t>were approved</w:t>
      </w:r>
      <w:r w:rsidRPr="00571F0B">
        <w:rPr>
          <w:lang w:val="en-GB"/>
        </w:rPr>
        <w:t xml:space="preserve">, </w:t>
      </w:r>
      <w:r w:rsidR="005E062C" w:rsidRPr="00571F0B">
        <w:rPr>
          <w:lang w:val="en-GB"/>
        </w:rPr>
        <w:t>funded</w:t>
      </w:r>
      <w:r w:rsidRPr="00571F0B">
        <w:rPr>
          <w:lang w:val="en-GB"/>
        </w:rPr>
        <w:t xml:space="preserve"> and implemented</w:t>
      </w:r>
      <w:r w:rsidR="00FD6F95">
        <w:rPr>
          <w:lang w:val="en-GB"/>
        </w:rPr>
        <w:t>.</w:t>
      </w:r>
    </w:p>
    <w:p w:rsidR="00FD6F95" w:rsidRPr="00A760D2" w:rsidRDefault="00FD6F95" w:rsidP="00A760D2">
      <w:pPr>
        <w:spacing w:before="0" w:after="0"/>
        <w:rPr>
          <w:sz w:val="16"/>
          <w:szCs w:val="16"/>
          <w:lang w:val="en-GB"/>
        </w:rPr>
      </w:pPr>
    </w:p>
    <w:p w:rsidR="00A760D2" w:rsidRDefault="008F03C0" w:rsidP="00B23A31">
      <w:pPr>
        <w:spacing w:before="0" w:after="0"/>
        <w:rPr>
          <w:lang w:val="en-GB"/>
        </w:rPr>
      </w:pPr>
      <w:r w:rsidRPr="00571F0B">
        <w:rPr>
          <w:lang w:val="en-GB"/>
        </w:rPr>
        <w:t>The Incentive F</w:t>
      </w:r>
      <w:r w:rsidR="005E062C" w:rsidRPr="00571F0B">
        <w:rPr>
          <w:lang w:val="en-GB"/>
        </w:rPr>
        <w:t xml:space="preserve">und </w:t>
      </w:r>
      <w:r w:rsidRPr="00571F0B">
        <w:rPr>
          <w:lang w:val="en-GB"/>
        </w:rPr>
        <w:t xml:space="preserve">Team (IFT) </w:t>
      </w:r>
      <w:r w:rsidR="005E062C" w:rsidRPr="00571F0B">
        <w:rPr>
          <w:lang w:val="en-GB"/>
        </w:rPr>
        <w:t>successfully applied implementation pressure and sufficient support to ensure IFAs were mana</w:t>
      </w:r>
      <w:r w:rsidR="00FD6F95">
        <w:rPr>
          <w:lang w:val="en-GB"/>
        </w:rPr>
        <w:t xml:space="preserve">ged to completion by June 2014.  </w:t>
      </w:r>
      <w:r w:rsidR="00A300DE" w:rsidRPr="00571F0B">
        <w:rPr>
          <w:lang w:val="en-GB"/>
        </w:rPr>
        <w:t>When a CP</w:t>
      </w:r>
      <w:r w:rsidR="007B079B" w:rsidRPr="00571F0B">
        <w:rPr>
          <w:lang w:val="en-GB"/>
        </w:rPr>
        <w:t xml:space="preserve"> </w:t>
      </w:r>
      <w:r w:rsidR="00A300DE" w:rsidRPr="00571F0B">
        <w:rPr>
          <w:lang w:val="en-GB"/>
        </w:rPr>
        <w:t xml:space="preserve">is received the </w:t>
      </w:r>
      <w:r w:rsidR="007B079B" w:rsidRPr="00571F0B">
        <w:rPr>
          <w:lang w:val="en-GB"/>
        </w:rPr>
        <w:t xml:space="preserve">organisation </w:t>
      </w:r>
      <w:r w:rsidRPr="00571F0B">
        <w:rPr>
          <w:lang w:val="en-GB"/>
        </w:rPr>
        <w:t>submits a self</w:t>
      </w:r>
      <w:r w:rsidR="00A300DE" w:rsidRPr="00571F0B">
        <w:rPr>
          <w:lang w:val="en-GB"/>
        </w:rPr>
        <w:t xml:space="preserve">-assessment checklist. </w:t>
      </w:r>
      <w:r w:rsidR="007B079B" w:rsidRPr="00571F0B">
        <w:rPr>
          <w:lang w:val="en-GB"/>
        </w:rPr>
        <w:t>86</w:t>
      </w:r>
      <w:r w:rsidR="00A300DE" w:rsidRPr="00571F0B">
        <w:rPr>
          <w:lang w:val="en-GB"/>
        </w:rPr>
        <w:t xml:space="preserve"> per cent of</w:t>
      </w:r>
      <w:r w:rsidR="007B079B" w:rsidRPr="00571F0B">
        <w:rPr>
          <w:lang w:val="en-GB"/>
        </w:rPr>
        <w:t xml:space="preserve"> the organisations were rejected because of a failure to produce two years of audited accounts</w:t>
      </w:r>
      <w:r w:rsidR="00A300DE" w:rsidRPr="00571F0B">
        <w:rPr>
          <w:lang w:val="en-GB"/>
        </w:rPr>
        <w:t xml:space="preserve">. </w:t>
      </w:r>
      <w:r w:rsidR="007B079B" w:rsidRPr="00571F0B">
        <w:rPr>
          <w:lang w:val="en-GB"/>
        </w:rPr>
        <w:t>54 of the</w:t>
      </w:r>
      <w:r w:rsidR="00A300DE" w:rsidRPr="00571F0B">
        <w:rPr>
          <w:lang w:val="en-GB"/>
        </w:rPr>
        <w:t>se (28%</w:t>
      </w:r>
      <w:r w:rsidR="007B079B" w:rsidRPr="00571F0B">
        <w:rPr>
          <w:lang w:val="en-GB"/>
        </w:rPr>
        <w:t xml:space="preserve">) were from Provincial Governments. </w:t>
      </w:r>
      <w:r w:rsidR="00FD6F95">
        <w:rPr>
          <w:lang w:val="en-GB"/>
        </w:rPr>
        <w:t xml:space="preserve"> </w:t>
      </w:r>
      <w:r w:rsidR="007B079B" w:rsidRPr="00571F0B">
        <w:rPr>
          <w:lang w:val="en-GB"/>
        </w:rPr>
        <w:t>Th</w:t>
      </w:r>
      <w:r w:rsidR="003568E3" w:rsidRPr="00571F0B">
        <w:rPr>
          <w:lang w:val="en-GB"/>
        </w:rPr>
        <w:t xml:space="preserve">is </w:t>
      </w:r>
      <w:r w:rsidR="006110C2" w:rsidRPr="00571F0B">
        <w:rPr>
          <w:lang w:val="en-GB"/>
        </w:rPr>
        <w:t xml:space="preserve">following </w:t>
      </w:r>
      <w:r w:rsidR="005A4DEB" w:rsidRPr="00571F0B">
        <w:rPr>
          <w:lang w:val="en-GB"/>
        </w:rPr>
        <w:t xml:space="preserve">analysis </w:t>
      </w:r>
      <w:r w:rsidR="007B079B" w:rsidRPr="00571F0B">
        <w:rPr>
          <w:lang w:val="en-GB"/>
        </w:rPr>
        <w:t xml:space="preserve">of Concept Papers (CPs) </w:t>
      </w:r>
      <w:r w:rsidR="00A300DE" w:rsidRPr="00571F0B">
        <w:rPr>
          <w:lang w:val="en-GB"/>
        </w:rPr>
        <w:t xml:space="preserve">presented in </w:t>
      </w:r>
      <w:r w:rsidR="00A300DE" w:rsidRPr="0095356B">
        <w:rPr>
          <w:lang w:val="en-GB"/>
        </w:rPr>
        <w:t xml:space="preserve">Table 2 </w:t>
      </w:r>
      <w:r w:rsidR="007B079B" w:rsidRPr="0095356B">
        <w:rPr>
          <w:lang w:val="en-GB"/>
        </w:rPr>
        <w:t>is</w:t>
      </w:r>
      <w:r w:rsidR="007B079B" w:rsidRPr="00571F0B">
        <w:rPr>
          <w:lang w:val="en-GB"/>
        </w:rPr>
        <w:t xml:space="preserve"> useful to identify </w:t>
      </w:r>
      <w:r w:rsidR="005A4DEB" w:rsidRPr="00571F0B">
        <w:rPr>
          <w:lang w:val="en-GB"/>
        </w:rPr>
        <w:t xml:space="preserve">sector support </w:t>
      </w:r>
      <w:r w:rsidR="007B079B" w:rsidRPr="00571F0B">
        <w:rPr>
          <w:lang w:val="en-GB"/>
        </w:rPr>
        <w:t>potential for IF (IV)</w:t>
      </w:r>
      <w:r w:rsidR="006110C2" w:rsidRPr="00571F0B">
        <w:rPr>
          <w:lang w:val="en-GB"/>
        </w:rPr>
        <w:t>.</w:t>
      </w:r>
      <w:r w:rsidR="006D02E0">
        <w:rPr>
          <w:lang w:val="en-GB"/>
        </w:rPr>
        <w:t xml:space="preserve"> </w:t>
      </w:r>
    </w:p>
    <w:p w:rsidR="007B079B" w:rsidRPr="00571F0B" w:rsidRDefault="009E3624" w:rsidP="009E3624">
      <w:pPr>
        <w:pStyle w:val="Caption"/>
        <w:rPr>
          <w:lang w:val="en-GB"/>
        </w:rPr>
      </w:pPr>
      <w:bookmarkStart w:id="19" w:name="_Toc403037626"/>
      <w:r w:rsidRPr="00571F0B">
        <w:rPr>
          <w:lang w:val="en-GB"/>
        </w:rPr>
        <w:t xml:space="preserve">Table </w:t>
      </w:r>
      <w:r w:rsidR="00D3593A" w:rsidRPr="00571F0B">
        <w:rPr>
          <w:lang w:val="en-GB"/>
        </w:rPr>
        <w:fldChar w:fldCharType="begin"/>
      </w:r>
      <w:r w:rsidR="00D3593A" w:rsidRPr="00571F0B">
        <w:rPr>
          <w:lang w:val="en-GB"/>
        </w:rPr>
        <w:instrText xml:space="preserve"> SEQ Table \* ARABIC </w:instrText>
      </w:r>
      <w:r w:rsidR="00D3593A" w:rsidRPr="00571F0B">
        <w:rPr>
          <w:lang w:val="en-GB"/>
        </w:rPr>
        <w:fldChar w:fldCharType="separate"/>
      </w:r>
      <w:r w:rsidR="006C1E87">
        <w:rPr>
          <w:noProof/>
          <w:lang w:val="en-GB"/>
        </w:rPr>
        <w:t>4</w:t>
      </w:r>
      <w:r w:rsidR="00D3593A" w:rsidRPr="00571F0B">
        <w:rPr>
          <w:lang w:val="en-GB"/>
        </w:rPr>
        <w:fldChar w:fldCharType="end"/>
      </w:r>
      <w:r w:rsidR="00FD6F95">
        <w:rPr>
          <w:lang w:val="en-GB"/>
        </w:rPr>
        <w:t>:</w:t>
      </w:r>
      <w:r w:rsidRPr="00571F0B">
        <w:rPr>
          <w:lang w:val="en-GB"/>
        </w:rPr>
        <w:t xml:space="preserve"> Phase III Concept Paper Requests</w:t>
      </w:r>
      <w:bookmarkEnd w:id="19"/>
    </w:p>
    <w:tbl>
      <w:tblPr>
        <w:tblStyle w:val="TableGrid"/>
        <w:tblW w:w="0" w:type="auto"/>
        <w:jc w:val="center"/>
        <w:tblLook w:val="04A0" w:firstRow="1" w:lastRow="0" w:firstColumn="1" w:lastColumn="0" w:noHBand="0" w:noVBand="1"/>
      </w:tblPr>
      <w:tblGrid>
        <w:gridCol w:w="1857"/>
        <w:gridCol w:w="1858"/>
        <w:gridCol w:w="1858"/>
        <w:gridCol w:w="1858"/>
        <w:gridCol w:w="1858"/>
      </w:tblGrid>
      <w:tr w:rsidR="007B079B" w:rsidRPr="00A760D2" w:rsidTr="00FD6F95">
        <w:trPr>
          <w:tblHeader/>
          <w:jc w:val="center"/>
        </w:trPr>
        <w:tc>
          <w:tcPr>
            <w:tcW w:w="1857" w:type="dxa"/>
            <w:shd w:val="clear" w:color="auto" w:fill="C2D69B" w:themeFill="accent3" w:themeFillTint="99"/>
            <w:vAlign w:val="center"/>
          </w:tcPr>
          <w:p w:rsidR="007B079B" w:rsidRPr="00A760D2" w:rsidRDefault="007B079B" w:rsidP="00FD6F95">
            <w:pPr>
              <w:jc w:val="center"/>
              <w:rPr>
                <w:rFonts w:ascii="Arial Narrow" w:hAnsi="Arial Narrow"/>
                <w:b/>
                <w:sz w:val="20"/>
                <w:lang w:val="en-GB"/>
              </w:rPr>
            </w:pPr>
            <w:r w:rsidRPr="00A760D2">
              <w:rPr>
                <w:rFonts w:ascii="Arial Narrow" w:hAnsi="Arial Narrow"/>
                <w:b/>
                <w:sz w:val="20"/>
                <w:lang w:val="en-GB"/>
              </w:rPr>
              <w:t>Sector</w:t>
            </w:r>
          </w:p>
        </w:tc>
        <w:tc>
          <w:tcPr>
            <w:tcW w:w="1858" w:type="dxa"/>
            <w:shd w:val="clear" w:color="auto" w:fill="C2D69B" w:themeFill="accent3" w:themeFillTint="99"/>
            <w:vAlign w:val="center"/>
          </w:tcPr>
          <w:p w:rsidR="007B079B" w:rsidRPr="00A760D2" w:rsidRDefault="007B079B" w:rsidP="00FD6F95">
            <w:pPr>
              <w:jc w:val="center"/>
              <w:rPr>
                <w:rFonts w:ascii="Arial Narrow" w:hAnsi="Arial Narrow"/>
                <w:b/>
                <w:sz w:val="20"/>
                <w:lang w:val="en-GB"/>
              </w:rPr>
            </w:pPr>
            <w:r w:rsidRPr="00A760D2">
              <w:rPr>
                <w:rFonts w:ascii="Arial Narrow" w:hAnsi="Arial Narrow"/>
                <w:b/>
                <w:sz w:val="20"/>
                <w:lang w:val="en-GB"/>
              </w:rPr>
              <w:t>No. of CPs</w:t>
            </w:r>
          </w:p>
        </w:tc>
        <w:tc>
          <w:tcPr>
            <w:tcW w:w="1858" w:type="dxa"/>
            <w:shd w:val="clear" w:color="auto" w:fill="C2D69B" w:themeFill="accent3" w:themeFillTint="99"/>
            <w:vAlign w:val="center"/>
          </w:tcPr>
          <w:p w:rsidR="007B079B" w:rsidRPr="00A760D2" w:rsidRDefault="007B079B" w:rsidP="00FD6F95">
            <w:pPr>
              <w:jc w:val="center"/>
              <w:rPr>
                <w:rFonts w:ascii="Arial Narrow" w:hAnsi="Arial Narrow"/>
                <w:b/>
                <w:sz w:val="20"/>
                <w:lang w:val="en-GB"/>
              </w:rPr>
            </w:pPr>
            <w:r w:rsidRPr="00A760D2">
              <w:rPr>
                <w:rFonts w:ascii="Arial Narrow" w:hAnsi="Arial Narrow"/>
                <w:b/>
                <w:sz w:val="20"/>
                <w:lang w:val="en-GB"/>
              </w:rPr>
              <w:t>% of CPs</w:t>
            </w:r>
          </w:p>
        </w:tc>
        <w:tc>
          <w:tcPr>
            <w:tcW w:w="1858" w:type="dxa"/>
            <w:shd w:val="clear" w:color="auto" w:fill="C2D69B" w:themeFill="accent3" w:themeFillTint="99"/>
            <w:vAlign w:val="center"/>
          </w:tcPr>
          <w:p w:rsidR="007B079B" w:rsidRPr="00A760D2" w:rsidRDefault="007B079B" w:rsidP="00FD6F95">
            <w:pPr>
              <w:jc w:val="center"/>
              <w:rPr>
                <w:rFonts w:ascii="Arial Narrow" w:hAnsi="Arial Narrow"/>
                <w:b/>
                <w:sz w:val="20"/>
                <w:lang w:val="en-GB"/>
              </w:rPr>
            </w:pPr>
            <w:r w:rsidRPr="00A760D2">
              <w:rPr>
                <w:rFonts w:ascii="Arial Narrow" w:hAnsi="Arial Narrow"/>
                <w:b/>
                <w:sz w:val="20"/>
                <w:lang w:val="en-GB"/>
              </w:rPr>
              <w:t>Value of CPs (PGK) million</w:t>
            </w:r>
          </w:p>
        </w:tc>
        <w:tc>
          <w:tcPr>
            <w:tcW w:w="1858" w:type="dxa"/>
            <w:shd w:val="clear" w:color="auto" w:fill="C2D69B" w:themeFill="accent3" w:themeFillTint="99"/>
            <w:vAlign w:val="center"/>
          </w:tcPr>
          <w:p w:rsidR="007B079B" w:rsidRPr="00A760D2" w:rsidRDefault="007B079B" w:rsidP="00FD6F95">
            <w:pPr>
              <w:jc w:val="center"/>
              <w:rPr>
                <w:rFonts w:ascii="Arial Narrow" w:hAnsi="Arial Narrow"/>
                <w:b/>
                <w:sz w:val="20"/>
                <w:lang w:val="en-GB"/>
              </w:rPr>
            </w:pPr>
            <w:r w:rsidRPr="00A760D2">
              <w:rPr>
                <w:rFonts w:ascii="Arial Narrow" w:hAnsi="Arial Narrow"/>
                <w:b/>
                <w:sz w:val="20"/>
                <w:lang w:val="en-GB"/>
              </w:rPr>
              <w:t>% of total value</w:t>
            </w:r>
          </w:p>
        </w:tc>
      </w:tr>
      <w:tr w:rsidR="007B079B" w:rsidRPr="00A760D2" w:rsidTr="00FD6F95">
        <w:trPr>
          <w:jc w:val="center"/>
        </w:trPr>
        <w:tc>
          <w:tcPr>
            <w:tcW w:w="1857" w:type="dxa"/>
          </w:tcPr>
          <w:p w:rsidR="007B079B" w:rsidRPr="00A760D2" w:rsidRDefault="007B079B" w:rsidP="003568E3">
            <w:pPr>
              <w:jc w:val="left"/>
              <w:rPr>
                <w:rFonts w:ascii="Arial Narrow" w:hAnsi="Arial Narrow"/>
                <w:sz w:val="20"/>
                <w:lang w:val="en-GB"/>
              </w:rPr>
            </w:pPr>
            <w:r w:rsidRPr="00A760D2">
              <w:rPr>
                <w:rFonts w:ascii="Arial Narrow" w:hAnsi="Arial Narrow"/>
                <w:sz w:val="20"/>
                <w:lang w:val="en-GB"/>
              </w:rPr>
              <w:t>Education</w:t>
            </w:r>
          </w:p>
        </w:tc>
        <w:tc>
          <w:tcPr>
            <w:tcW w:w="1858" w:type="dxa"/>
          </w:tcPr>
          <w:p w:rsidR="007B079B" w:rsidRPr="00A760D2" w:rsidRDefault="007B079B" w:rsidP="007B079B">
            <w:pPr>
              <w:jc w:val="center"/>
              <w:rPr>
                <w:rFonts w:ascii="Arial Narrow" w:hAnsi="Arial Narrow"/>
                <w:sz w:val="20"/>
                <w:lang w:val="en-GB"/>
              </w:rPr>
            </w:pPr>
            <w:r w:rsidRPr="00A760D2">
              <w:rPr>
                <w:rFonts w:ascii="Arial Narrow" w:hAnsi="Arial Narrow"/>
                <w:sz w:val="20"/>
                <w:lang w:val="en-GB"/>
              </w:rPr>
              <w:t>106</w:t>
            </w:r>
          </w:p>
        </w:tc>
        <w:tc>
          <w:tcPr>
            <w:tcW w:w="1858" w:type="dxa"/>
          </w:tcPr>
          <w:p w:rsidR="007B079B" w:rsidRPr="00A760D2" w:rsidRDefault="007B079B" w:rsidP="007B079B">
            <w:pPr>
              <w:jc w:val="center"/>
              <w:rPr>
                <w:rFonts w:ascii="Arial Narrow" w:hAnsi="Arial Narrow"/>
                <w:sz w:val="20"/>
                <w:lang w:val="en-GB"/>
              </w:rPr>
            </w:pPr>
            <w:r w:rsidRPr="00A760D2">
              <w:rPr>
                <w:rFonts w:ascii="Arial Narrow" w:hAnsi="Arial Narrow"/>
                <w:sz w:val="20"/>
                <w:lang w:val="en-GB"/>
              </w:rPr>
              <w:t>47%</w:t>
            </w:r>
          </w:p>
        </w:tc>
        <w:tc>
          <w:tcPr>
            <w:tcW w:w="1858" w:type="dxa"/>
          </w:tcPr>
          <w:p w:rsidR="007B079B" w:rsidRPr="00A760D2" w:rsidRDefault="007B079B" w:rsidP="007B079B">
            <w:pPr>
              <w:jc w:val="center"/>
              <w:rPr>
                <w:rFonts w:ascii="Arial Narrow" w:hAnsi="Arial Narrow"/>
                <w:sz w:val="20"/>
                <w:lang w:val="en-GB"/>
              </w:rPr>
            </w:pPr>
            <w:r w:rsidRPr="00A760D2">
              <w:rPr>
                <w:rFonts w:ascii="Arial Narrow" w:hAnsi="Arial Narrow"/>
                <w:sz w:val="20"/>
                <w:lang w:val="en-GB"/>
              </w:rPr>
              <w:t>458</w:t>
            </w:r>
          </w:p>
        </w:tc>
        <w:tc>
          <w:tcPr>
            <w:tcW w:w="1858" w:type="dxa"/>
          </w:tcPr>
          <w:p w:rsidR="007B079B" w:rsidRPr="00A760D2" w:rsidRDefault="007B079B" w:rsidP="007B079B">
            <w:pPr>
              <w:jc w:val="center"/>
              <w:rPr>
                <w:rFonts w:ascii="Arial Narrow" w:hAnsi="Arial Narrow"/>
                <w:sz w:val="20"/>
                <w:lang w:val="en-GB"/>
              </w:rPr>
            </w:pPr>
            <w:r w:rsidRPr="00A760D2">
              <w:rPr>
                <w:rFonts w:ascii="Arial Narrow" w:hAnsi="Arial Narrow"/>
                <w:sz w:val="20"/>
                <w:lang w:val="en-GB"/>
              </w:rPr>
              <w:t>50%</w:t>
            </w:r>
          </w:p>
        </w:tc>
      </w:tr>
      <w:tr w:rsidR="007B079B" w:rsidRPr="00A760D2" w:rsidTr="00FD6F95">
        <w:trPr>
          <w:jc w:val="center"/>
        </w:trPr>
        <w:tc>
          <w:tcPr>
            <w:tcW w:w="1857" w:type="dxa"/>
          </w:tcPr>
          <w:p w:rsidR="007B079B" w:rsidRPr="00A760D2" w:rsidRDefault="00A760D2" w:rsidP="003568E3">
            <w:pPr>
              <w:jc w:val="left"/>
              <w:rPr>
                <w:rFonts w:ascii="Arial Narrow" w:hAnsi="Arial Narrow"/>
                <w:sz w:val="20"/>
                <w:lang w:val="en-GB"/>
              </w:rPr>
            </w:pPr>
            <w:r>
              <w:rPr>
                <w:rFonts w:ascii="Arial Narrow" w:hAnsi="Arial Narrow"/>
                <w:sz w:val="20"/>
                <w:lang w:val="en-GB"/>
              </w:rPr>
              <w:t>Health</w:t>
            </w:r>
          </w:p>
        </w:tc>
        <w:tc>
          <w:tcPr>
            <w:tcW w:w="1858" w:type="dxa"/>
          </w:tcPr>
          <w:p w:rsidR="007B079B" w:rsidRPr="00A760D2" w:rsidRDefault="007B079B" w:rsidP="007B079B">
            <w:pPr>
              <w:jc w:val="center"/>
              <w:rPr>
                <w:rFonts w:ascii="Arial Narrow" w:hAnsi="Arial Narrow"/>
                <w:sz w:val="20"/>
                <w:lang w:val="en-GB"/>
              </w:rPr>
            </w:pPr>
            <w:r w:rsidRPr="00A760D2">
              <w:rPr>
                <w:rFonts w:ascii="Arial Narrow" w:hAnsi="Arial Narrow"/>
                <w:sz w:val="20"/>
                <w:lang w:val="en-GB"/>
              </w:rPr>
              <w:t>30</w:t>
            </w:r>
          </w:p>
        </w:tc>
        <w:tc>
          <w:tcPr>
            <w:tcW w:w="1858" w:type="dxa"/>
          </w:tcPr>
          <w:p w:rsidR="007B079B" w:rsidRPr="00A760D2" w:rsidRDefault="007B079B" w:rsidP="007B079B">
            <w:pPr>
              <w:jc w:val="center"/>
              <w:rPr>
                <w:rFonts w:ascii="Arial Narrow" w:hAnsi="Arial Narrow"/>
                <w:sz w:val="20"/>
                <w:lang w:val="en-GB"/>
              </w:rPr>
            </w:pPr>
            <w:r w:rsidRPr="00A760D2">
              <w:rPr>
                <w:rFonts w:ascii="Arial Narrow" w:hAnsi="Arial Narrow"/>
                <w:sz w:val="20"/>
                <w:lang w:val="en-GB"/>
              </w:rPr>
              <w:t xml:space="preserve">13% </w:t>
            </w:r>
          </w:p>
        </w:tc>
        <w:tc>
          <w:tcPr>
            <w:tcW w:w="1858" w:type="dxa"/>
          </w:tcPr>
          <w:p w:rsidR="007B079B" w:rsidRPr="00A760D2" w:rsidRDefault="007B079B" w:rsidP="007B079B">
            <w:pPr>
              <w:jc w:val="center"/>
              <w:rPr>
                <w:rFonts w:ascii="Arial Narrow" w:hAnsi="Arial Narrow"/>
                <w:sz w:val="20"/>
                <w:lang w:val="en-GB"/>
              </w:rPr>
            </w:pPr>
            <w:r w:rsidRPr="00A760D2">
              <w:rPr>
                <w:rFonts w:ascii="Arial Narrow" w:hAnsi="Arial Narrow"/>
                <w:sz w:val="20"/>
                <w:lang w:val="en-GB"/>
              </w:rPr>
              <w:t>162</w:t>
            </w:r>
          </w:p>
        </w:tc>
        <w:tc>
          <w:tcPr>
            <w:tcW w:w="1858" w:type="dxa"/>
          </w:tcPr>
          <w:p w:rsidR="007B079B" w:rsidRPr="00A760D2" w:rsidRDefault="007B079B" w:rsidP="007B079B">
            <w:pPr>
              <w:jc w:val="center"/>
              <w:rPr>
                <w:rFonts w:ascii="Arial Narrow" w:hAnsi="Arial Narrow"/>
                <w:sz w:val="20"/>
                <w:lang w:val="en-GB"/>
              </w:rPr>
            </w:pPr>
            <w:r w:rsidRPr="00A760D2">
              <w:rPr>
                <w:rFonts w:ascii="Arial Narrow" w:hAnsi="Arial Narrow"/>
                <w:sz w:val="20"/>
                <w:lang w:val="en-GB"/>
              </w:rPr>
              <w:t>18%</w:t>
            </w:r>
          </w:p>
        </w:tc>
      </w:tr>
      <w:tr w:rsidR="007B079B" w:rsidRPr="00A760D2" w:rsidTr="00FD6F95">
        <w:trPr>
          <w:jc w:val="center"/>
        </w:trPr>
        <w:tc>
          <w:tcPr>
            <w:tcW w:w="1857" w:type="dxa"/>
          </w:tcPr>
          <w:p w:rsidR="007B079B" w:rsidRPr="00A760D2" w:rsidRDefault="007B079B" w:rsidP="003568E3">
            <w:pPr>
              <w:jc w:val="left"/>
              <w:rPr>
                <w:rFonts w:ascii="Arial Narrow" w:hAnsi="Arial Narrow"/>
                <w:sz w:val="20"/>
                <w:lang w:val="en-GB"/>
              </w:rPr>
            </w:pPr>
            <w:r w:rsidRPr="00A760D2">
              <w:rPr>
                <w:rFonts w:ascii="Arial Narrow" w:hAnsi="Arial Narrow"/>
                <w:sz w:val="20"/>
                <w:lang w:val="en-GB"/>
              </w:rPr>
              <w:t>Economic</w:t>
            </w:r>
          </w:p>
        </w:tc>
        <w:tc>
          <w:tcPr>
            <w:tcW w:w="1858" w:type="dxa"/>
          </w:tcPr>
          <w:p w:rsidR="007B079B" w:rsidRPr="00A760D2" w:rsidRDefault="007B079B" w:rsidP="007B079B">
            <w:pPr>
              <w:jc w:val="center"/>
              <w:rPr>
                <w:rFonts w:ascii="Arial Narrow" w:hAnsi="Arial Narrow"/>
                <w:sz w:val="20"/>
                <w:lang w:val="en-GB"/>
              </w:rPr>
            </w:pPr>
            <w:r w:rsidRPr="00A760D2">
              <w:rPr>
                <w:rFonts w:ascii="Arial Narrow" w:hAnsi="Arial Narrow"/>
                <w:sz w:val="20"/>
                <w:lang w:val="en-GB"/>
              </w:rPr>
              <w:t>37</w:t>
            </w:r>
          </w:p>
        </w:tc>
        <w:tc>
          <w:tcPr>
            <w:tcW w:w="1858" w:type="dxa"/>
          </w:tcPr>
          <w:p w:rsidR="007B079B" w:rsidRPr="00A760D2" w:rsidRDefault="007B079B" w:rsidP="007B079B">
            <w:pPr>
              <w:jc w:val="center"/>
              <w:rPr>
                <w:rFonts w:ascii="Arial Narrow" w:hAnsi="Arial Narrow"/>
                <w:sz w:val="20"/>
                <w:lang w:val="en-GB"/>
              </w:rPr>
            </w:pPr>
            <w:r w:rsidRPr="00A760D2">
              <w:rPr>
                <w:rFonts w:ascii="Arial Narrow" w:hAnsi="Arial Narrow"/>
                <w:sz w:val="20"/>
                <w:lang w:val="en-GB"/>
              </w:rPr>
              <w:t>16%</w:t>
            </w:r>
          </w:p>
        </w:tc>
        <w:tc>
          <w:tcPr>
            <w:tcW w:w="1858" w:type="dxa"/>
          </w:tcPr>
          <w:p w:rsidR="007B079B" w:rsidRPr="00A760D2" w:rsidRDefault="007B079B" w:rsidP="007B079B">
            <w:pPr>
              <w:jc w:val="center"/>
              <w:rPr>
                <w:rFonts w:ascii="Arial Narrow" w:hAnsi="Arial Narrow"/>
                <w:sz w:val="20"/>
                <w:lang w:val="en-GB"/>
              </w:rPr>
            </w:pPr>
            <w:r w:rsidRPr="00A760D2">
              <w:rPr>
                <w:rFonts w:ascii="Arial Narrow" w:hAnsi="Arial Narrow"/>
                <w:sz w:val="20"/>
                <w:lang w:val="en-GB"/>
              </w:rPr>
              <w:t>97</w:t>
            </w:r>
          </w:p>
        </w:tc>
        <w:tc>
          <w:tcPr>
            <w:tcW w:w="1858" w:type="dxa"/>
          </w:tcPr>
          <w:p w:rsidR="007B079B" w:rsidRPr="00A760D2" w:rsidRDefault="007B079B" w:rsidP="007B079B">
            <w:pPr>
              <w:jc w:val="center"/>
              <w:rPr>
                <w:rFonts w:ascii="Arial Narrow" w:hAnsi="Arial Narrow"/>
                <w:sz w:val="20"/>
                <w:lang w:val="en-GB"/>
              </w:rPr>
            </w:pPr>
            <w:r w:rsidRPr="00A760D2">
              <w:rPr>
                <w:rFonts w:ascii="Arial Narrow" w:hAnsi="Arial Narrow"/>
                <w:sz w:val="20"/>
                <w:lang w:val="en-GB"/>
              </w:rPr>
              <w:t>11%</w:t>
            </w:r>
          </w:p>
        </w:tc>
      </w:tr>
      <w:tr w:rsidR="007B079B" w:rsidRPr="00A760D2" w:rsidTr="00FD6F95">
        <w:trPr>
          <w:jc w:val="center"/>
        </w:trPr>
        <w:tc>
          <w:tcPr>
            <w:tcW w:w="1857" w:type="dxa"/>
          </w:tcPr>
          <w:p w:rsidR="007B079B" w:rsidRPr="00A760D2" w:rsidRDefault="003568E3" w:rsidP="003568E3">
            <w:pPr>
              <w:jc w:val="left"/>
              <w:rPr>
                <w:rFonts w:ascii="Arial Narrow" w:hAnsi="Arial Narrow"/>
                <w:sz w:val="20"/>
                <w:lang w:val="en-GB"/>
              </w:rPr>
            </w:pPr>
            <w:r w:rsidRPr="00A760D2">
              <w:rPr>
                <w:rFonts w:ascii="Arial Narrow" w:hAnsi="Arial Narrow"/>
                <w:sz w:val="20"/>
                <w:lang w:val="en-GB"/>
              </w:rPr>
              <w:t>CCI</w:t>
            </w:r>
          </w:p>
        </w:tc>
        <w:tc>
          <w:tcPr>
            <w:tcW w:w="1858" w:type="dxa"/>
          </w:tcPr>
          <w:p w:rsidR="007B079B" w:rsidRPr="00A760D2" w:rsidRDefault="003568E3" w:rsidP="007B079B">
            <w:pPr>
              <w:jc w:val="center"/>
              <w:rPr>
                <w:rFonts w:ascii="Arial Narrow" w:hAnsi="Arial Narrow"/>
                <w:sz w:val="20"/>
                <w:lang w:val="en-GB"/>
              </w:rPr>
            </w:pPr>
            <w:r w:rsidRPr="00A760D2">
              <w:rPr>
                <w:rFonts w:ascii="Arial Narrow" w:hAnsi="Arial Narrow"/>
                <w:sz w:val="20"/>
                <w:lang w:val="en-GB"/>
              </w:rPr>
              <w:t>5</w:t>
            </w:r>
          </w:p>
        </w:tc>
        <w:tc>
          <w:tcPr>
            <w:tcW w:w="1858" w:type="dxa"/>
          </w:tcPr>
          <w:p w:rsidR="007B079B" w:rsidRPr="00A760D2" w:rsidRDefault="003568E3" w:rsidP="007B079B">
            <w:pPr>
              <w:jc w:val="center"/>
              <w:rPr>
                <w:rFonts w:ascii="Arial Narrow" w:hAnsi="Arial Narrow"/>
                <w:sz w:val="20"/>
                <w:lang w:val="en-GB"/>
              </w:rPr>
            </w:pPr>
            <w:r w:rsidRPr="00A760D2">
              <w:rPr>
                <w:rFonts w:ascii="Arial Narrow" w:hAnsi="Arial Narrow"/>
                <w:sz w:val="20"/>
                <w:lang w:val="en-GB"/>
              </w:rPr>
              <w:t>2%</w:t>
            </w:r>
          </w:p>
        </w:tc>
        <w:tc>
          <w:tcPr>
            <w:tcW w:w="1858" w:type="dxa"/>
          </w:tcPr>
          <w:p w:rsidR="007B079B" w:rsidRPr="00A760D2" w:rsidRDefault="003568E3" w:rsidP="007B079B">
            <w:pPr>
              <w:jc w:val="center"/>
              <w:rPr>
                <w:rFonts w:ascii="Arial Narrow" w:hAnsi="Arial Narrow"/>
                <w:sz w:val="20"/>
                <w:lang w:val="en-GB"/>
              </w:rPr>
            </w:pPr>
            <w:r w:rsidRPr="00A760D2">
              <w:rPr>
                <w:rFonts w:ascii="Arial Narrow" w:hAnsi="Arial Narrow"/>
                <w:sz w:val="20"/>
                <w:lang w:val="en-GB"/>
              </w:rPr>
              <w:t>24</w:t>
            </w:r>
          </w:p>
        </w:tc>
        <w:tc>
          <w:tcPr>
            <w:tcW w:w="1858" w:type="dxa"/>
          </w:tcPr>
          <w:p w:rsidR="007B079B" w:rsidRPr="00A760D2" w:rsidRDefault="003568E3" w:rsidP="007B079B">
            <w:pPr>
              <w:jc w:val="center"/>
              <w:rPr>
                <w:rFonts w:ascii="Arial Narrow" w:hAnsi="Arial Narrow"/>
                <w:sz w:val="20"/>
                <w:lang w:val="en-GB"/>
              </w:rPr>
            </w:pPr>
            <w:r w:rsidRPr="00A760D2">
              <w:rPr>
                <w:rFonts w:ascii="Arial Narrow" w:hAnsi="Arial Narrow"/>
                <w:sz w:val="20"/>
                <w:lang w:val="en-GB"/>
              </w:rPr>
              <w:t>3%</w:t>
            </w:r>
          </w:p>
        </w:tc>
      </w:tr>
      <w:tr w:rsidR="003568E3" w:rsidRPr="00A760D2" w:rsidTr="00FD6F95">
        <w:trPr>
          <w:jc w:val="center"/>
        </w:trPr>
        <w:tc>
          <w:tcPr>
            <w:tcW w:w="1857" w:type="dxa"/>
          </w:tcPr>
          <w:p w:rsidR="003568E3" w:rsidRPr="00A760D2" w:rsidRDefault="003568E3" w:rsidP="003568E3">
            <w:pPr>
              <w:jc w:val="left"/>
              <w:rPr>
                <w:rFonts w:ascii="Arial Narrow" w:hAnsi="Arial Narrow"/>
                <w:sz w:val="20"/>
                <w:lang w:val="en-GB"/>
              </w:rPr>
            </w:pPr>
            <w:r w:rsidRPr="00A760D2">
              <w:rPr>
                <w:rFonts w:ascii="Arial Narrow" w:hAnsi="Arial Narrow"/>
                <w:sz w:val="20"/>
                <w:lang w:val="en-GB"/>
              </w:rPr>
              <w:t>All other</w:t>
            </w:r>
          </w:p>
        </w:tc>
        <w:tc>
          <w:tcPr>
            <w:tcW w:w="1858" w:type="dxa"/>
          </w:tcPr>
          <w:p w:rsidR="003568E3" w:rsidRPr="00A760D2" w:rsidRDefault="003568E3" w:rsidP="007B079B">
            <w:pPr>
              <w:jc w:val="center"/>
              <w:rPr>
                <w:rFonts w:ascii="Arial Narrow" w:hAnsi="Arial Narrow"/>
                <w:sz w:val="20"/>
                <w:lang w:val="en-GB"/>
              </w:rPr>
            </w:pPr>
            <w:r w:rsidRPr="00A760D2">
              <w:rPr>
                <w:rFonts w:ascii="Arial Narrow" w:hAnsi="Arial Narrow"/>
                <w:sz w:val="20"/>
                <w:lang w:val="en-GB"/>
              </w:rPr>
              <w:t>48</w:t>
            </w:r>
          </w:p>
        </w:tc>
        <w:tc>
          <w:tcPr>
            <w:tcW w:w="1858" w:type="dxa"/>
          </w:tcPr>
          <w:p w:rsidR="003568E3" w:rsidRPr="00A760D2" w:rsidRDefault="003568E3" w:rsidP="007B079B">
            <w:pPr>
              <w:jc w:val="center"/>
              <w:rPr>
                <w:rFonts w:ascii="Arial Narrow" w:hAnsi="Arial Narrow"/>
                <w:sz w:val="20"/>
                <w:lang w:val="en-GB"/>
              </w:rPr>
            </w:pPr>
            <w:r w:rsidRPr="00A760D2">
              <w:rPr>
                <w:rFonts w:ascii="Arial Narrow" w:hAnsi="Arial Narrow"/>
                <w:sz w:val="20"/>
                <w:lang w:val="en-GB"/>
              </w:rPr>
              <w:t>22%</w:t>
            </w:r>
          </w:p>
        </w:tc>
        <w:tc>
          <w:tcPr>
            <w:tcW w:w="1858" w:type="dxa"/>
          </w:tcPr>
          <w:p w:rsidR="003568E3" w:rsidRPr="00A760D2" w:rsidRDefault="003568E3" w:rsidP="007B079B">
            <w:pPr>
              <w:jc w:val="center"/>
              <w:rPr>
                <w:rFonts w:ascii="Arial Narrow" w:hAnsi="Arial Narrow"/>
                <w:sz w:val="20"/>
                <w:lang w:val="en-GB"/>
              </w:rPr>
            </w:pPr>
            <w:r w:rsidRPr="00A760D2">
              <w:rPr>
                <w:rFonts w:ascii="Arial Narrow" w:hAnsi="Arial Narrow"/>
                <w:sz w:val="20"/>
                <w:lang w:val="en-GB"/>
              </w:rPr>
              <w:t>165</w:t>
            </w:r>
          </w:p>
        </w:tc>
        <w:tc>
          <w:tcPr>
            <w:tcW w:w="1858" w:type="dxa"/>
          </w:tcPr>
          <w:p w:rsidR="003568E3" w:rsidRPr="00A760D2" w:rsidRDefault="003568E3" w:rsidP="007B079B">
            <w:pPr>
              <w:jc w:val="center"/>
              <w:rPr>
                <w:rFonts w:ascii="Arial Narrow" w:hAnsi="Arial Narrow"/>
                <w:sz w:val="20"/>
                <w:lang w:val="en-GB"/>
              </w:rPr>
            </w:pPr>
            <w:r w:rsidRPr="00A760D2">
              <w:rPr>
                <w:rFonts w:ascii="Arial Narrow" w:hAnsi="Arial Narrow"/>
                <w:sz w:val="20"/>
                <w:lang w:val="en-GB"/>
              </w:rPr>
              <w:t>18%</w:t>
            </w:r>
          </w:p>
        </w:tc>
      </w:tr>
      <w:tr w:rsidR="003568E3" w:rsidRPr="00A760D2" w:rsidTr="00FD6F95">
        <w:trPr>
          <w:jc w:val="center"/>
        </w:trPr>
        <w:tc>
          <w:tcPr>
            <w:tcW w:w="1857" w:type="dxa"/>
          </w:tcPr>
          <w:p w:rsidR="003568E3" w:rsidRPr="00A760D2" w:rsidRDefault="003568E3" w:rsidP="003568E3">
            <w:pPr>
              <w:jc w:val="right"/>
              <w:rPr>
                <w:rFonts w:ascii="Arial Narrow" w:hAnsi="Arial Narrow"/>
                <w:b/>
                <w:sz w:val="20"/>
                <w:lang w:val="en-GB"/>
              </w:rPr>
            </w:pPr>
            <w:r w:rsidRPr="00A760D2">
              <w:rPr>
                <w:rFonts w:ascii="Arial Narrow" w:hAnsi="Arial Narrow"/>
                <w:b/>
                <w:sz w:val="20"/>
                <w:lang w:val="en-GB"/>
              </w:rPr>
              <w:t>Total</w:t>
            </w:r>
          </w:p>
        </w:tc>
        <w:tc>
          <w:tcPr>
            <w:tcW w:w="1858" w:type="dxa"/>
          </w:tcPr>
          <w:p w:rsidR="003568E3" w:rsidRPr="00A760D2" w:rsidRDefault="003568E3" w:rsidP="007B079B">
            <w:pPr>
              <w:jc w:val="center"/>
              <w:rPr>
                <w:rFonts w:ascii="Arial Narrow" w:hAnsi="Arial Narrow"/>
                <w:sz w:val="20"/>
                <w:lang w:val="en-GB"/>
              </w:rPr>
            </w:pPr>
            <w:r w:rsidRPr="00A760D2">
              <w:rPr>
                <w:rFonts w:ascii="Arial Narrow" w:hAnsi="Arial Narrow"/>
                <w:sz w:val="20"/>
                <w:lang w:val="en-GB"/>
              </w:rPr>
              <w:t>226</w:t>
            </w:r>
          </w:p>
        </w:tc>
        <w:tc>
          <w:tcPr>
            <w:tcW w:w="1858" w:type="dxa"/>
          </w:tcPr>
          <w:p w:rsidR="003568E3" w:rsidRPr="00A760D2" w:rsidRDefault="003568E3" w:rsidP="007B079B">
            <w:pPr>
              <w:jc w:val="center"/>
              <w:rPr>
                <w:rFonts w:ascii="Arial Narrow" w:hAnsi="Arial Narrow"/>
                <w:sz w:val="20"/>
                <w:lang w:val="en-GB"/>
              </w:rPr>
            </w:pPr>
            <w:r w:rsidRPr="00A760D2">
              <w:rPr>
                <w:rFonts w:ascii="Arial Narrow" w:hAnsi="Arial Narrow"/>
                <w:sz w:val="20"/>
                <w:lang w:val="en-GB"/>
              </w:rPr>
              <w:t>100%</w:t>
            </w:r>
          </w:p>
        </w:tc>
        <w:tc>
          <w:tcPr>
            <w:tcW w:w="1858" w:type="dxa"/>
          </w:tcPr>
          <w:p w:rsidR="003568E3" w:rsidRPr="00A760D2" w:rsidRDefault="003568E3" w:rsidP="007B079B">
            <w:pPr>
              <w:jc w:val="center"/>
              <w:rPr>
                <w:rFonts w:ascii="Arial Narrow" w:hAnsi="Arial Narrow"/>
                <w:sz w:val="20"/>
                <w:lang w:val="en-GB"/>
              </w:rPr>
            </w:pPr>
            <w:r w:rsidRPr="00A760D2">
              <w:rPr>
                <w:rFonts w:ascii="Arial Narrow" w:hAnsi="Arial Narrow"/>
                <w:sz w:val="20"/>
                <w:lang w:val="en-GB"/>
              </w:rPr>
              <w:t>907</w:t>
            </w:r>
          </w:p>
        </w:tc>
        <w:tc>
          <w:tcPr>
            <w:tcW w:w="1858" w:type="dxa"/>
          </w:tcPr>
          <w:p w:rsidR="003568E3" w:rsidRPr="00A760D2" w:rsidRDefault="003568E3" w:rsidP="007B079B">
            <w:pPr>
              <w:jc w:val="center"/>
              <w:rPr>
                <w:rFonts w:ascii="Arial Narrow" w:hAnsi="Arial Narrow"/>
                <w:sz w:val="20"/>
                <w:lang w:val="en-GB"/>
              </w:rPr>
            </w:pPr>
            <w:r w:rsidRPr="00A760D2">
              <w:rPr>
                <w:rFonts w:ascii="Arial Narrow" w:hAnsi="Arial Narrow"/>
                <w:sz w:val="20"/>
                <w:lang w:val="en-GB"/>
              </w:rPr>
              <w:t>100%</w:t>
            </w:r>
          </w:p>
        </w:tc>
      </w:tr>
    </w:tbl>
    <w:p w:rsidR="00B46D92" w:rsidRPr="00571F0B" w:rsidRDefault="00B46D92" w:rsidP="00A760D2">
      <w:pPr>
        <w:spacing w:before="0" w:after="0"/>
        <w:rPr>
          <w:lang w:val="en-GB"/>
        </w:rPr>
      </w:pPr>
    </w:p>
    <w:p w:rsidR="007B079B" w:rsidRPr="00571F0B" w:rsidRDefault="00C91D63" w:rsidP="00A760D2">
      <w:pPr>
        <w:spacing w:before="0" w:after="0"/>
        <w:rPr>
          <w:lang w:val="en-GB"/>
        </w:rPr>
      </w:pPr>
      <w:r w:rsidRPr="00571F0B">
        <w:rPr>
          <w:lang w:val="en-GB"/>
        </w:rPr>
        <w:t>A</w:t>
      </w:r>
      <w:r w:rsidR="003568E3" w:rsidRPr="00571F0B">
        <w:rPr>
          <w:lang w:val="en-GB"/>
        </w:rPr>
        <w:t xml:space="preserve">nalysis of the above data indicates that demand </w:t>
      </w:r>
      <w:r w:rsidR="00A300DE" w:rsidRPr="00571F0B">
        <w:rPr>
          <w:lang w:val="en-GB"/>
        </w:rPr>
        <w:t>in</w:t>
      </w:r>
      <w:r w:rsidR="003568E3" w:rsidRPr="00571F0B">
        <w:rPr>
          <w:lang w:val="en-GB"/>
        </w:rPr>
        <w:t xml:space="preserve"> </w:t>
      </w:r>
      <w:r w:rsidR="00A300DE" w:rsidRPr="00571F0B">
        <w:rPr>
          <w:lang w:val="en-GB"/>
        </w:rPr>
        <w:t>Phase III</w:t>
      </w:r>
      <w:r w:rsidR="000D4BB3">
        <w:rPr>
          <w:lang w:val="en-GB"/>
        </w:rPr>
        <w:t xml:space="preserve"> was significant and that</w:t>
      </w:r>
      <w:r w:rsidR="003568E3" w:rsidRPr="00571F0B">
        <w:rPr>
          <w:lang w:val="en-GB"/>
        </w:rPr>
        <w:t xml:space="preserve"> targeted health and educ</w:t>
      </w:r>
      <w:r w:rsidR="000D4BB3">
        <w:rPr>
          <w:lang w:val="en-GB"/>
        </w:rPr>
        <w:t>ation priorities represented 6 per cent</w:t>
      </w:r>
      <w:r w:rsidR="003568E3" w:rsidRPr="00571F0B">
        <w:rPr>
          <w:lang w:val="en-GB"/>
        </w:rPr>
        <w:t xml:space="preserve"> of </w:t>
      </w:r>
      <w:r w:rsidR="008F03C0" w:rsidRPr="00571F0B">
        <w:rPr>
          <w:lang w:val="en-GB"/>
        </w:rPr>
        <w:t>total</w:t>
      </w:r>
      <w:r w:rsidR="003568E3" w:rsidRPr="00571F0B">
        <w:rPr>
          <w:lang w:val="en-GB"/>
        </w:rPr>
        <w:t xml:space="preserve"> demand</w:t>
      </w:r>
      <w:r w:rsidR="008F03C0" w:rsidRPr="00571F0B">
        <w:rPr>
          <w:lang w:val="en-GB"/>
        </w:rPr>
        <w:t xml:space="preserve">. </w:t>
      </w:r>
      <w:r w:rsidR="000D4BB3">
        <w:rPr>
          <w:lang w:val="en-GB"/>
        </w:rPr>
        <w:t>Despite the fact that 40 per cent</w:t>
      </w:r>
      <w:r w:rsidR="003568E3" w:rsidRPr="00571F0B">
        <w:rPr>
          <w:lang w:val="en-GB"/>
        </w:rPr>
        <w:t xml:space="preserve"> </w:t>
      </w:r>
      <w:r w:rsidR="00B46D92" w:rsidRPr="00571F0B">
        <w:rPr>
          <w:lang w:val="en-GB"/>
        </w:rPr>
        <w:t xml:space="preserve">of </w:t>
      </w:r>
      <w:r w:rsidR="000D4BB3">
        <w:rPr>
          <w:lang w:val="en-GB"/>
        </w:rPr>
        <w:t xml:space="preserve">this </w:t>
      </w:r>
      <w:r w:rsidR="00B46D92" w:rsidRPr="00571F0B">
        <w:rPr>
          <w:lang w:val="en-GB"/>
        </w:rPr>
        <w:t xml:space="preserve">demand </w:t>
      </w:r>
      <w:r w:rsidR="008F03C0" w:rsidRPr="00571F0B">
        <w:rPr>
          <w:lang w:val="en-GB"/>
        </w:rPr>
        <w:t xml:space="preserve">was </w:t>
      </w:r>
      <w:r w:rsidR="003568E3" w:rsidRPr="00571F0B">
        <w:rPr>
          <w:lang w:val="en-GB"/>
        </w:rPr>
        <w:t>unsupport</w:t>
      </w:r>
      <w:r w:rsidR="000D4BB3">
        <w:rPr>
          <w:lang w:val="en-GB"/>
        </w:rPr>
        <w:t>ed, 16 per cent</w:t>
      </w:r>
      <w:r w:rsidR="00A300DE" w:rsidRPr="00571F0B">
        <w:rPr>
          <w:lang w:val="en-GB"/>
        </w:rPr>
        <w:t xml:space="preserve"> </w:t>
      </w:r>
      <w:r w:rsidR="008F03C0" w:rsidRPr="00571F0B">
        <w:rPr>
          <w:lang w:val="en-GB"/>
        </w:rPr>
        <w:t xml:space="preserve">of it </w:t>
      </w:r>
      <w:r w:rsidR="00A300DE" w:rsidRPr="00571F0B">
        <w:rPr>
          <w:lang w:val="en-GB"/>
        </w:rPr>
        <w:t>came from the e</w:t>
      </w:r>
      <w:r w:rsidR="003568E3" w:rsidRPr="00571F0B">
        <w:rPr>
          <w:lang w:val="en-GB"/>
        </w:rPr>
        <w:t xml:space="preserve">conomic </w:t>
      </w:r>
      <w:r w:rsidR="00AF79FB" w:rsidRPr="00AF79FB">
        <w:rPr>
          <w:lang w:val="en-GB"/>
        </w:rPr>
        <w:t>development</w:t>
      </w:r>
      <w:r w:rsidR="00B46D92" w:rsidRPr="00571F0B">
        <w:rPr>
          <w:lang w:val="en-GB"/>
        </w:rPr>
        <w:t xml:space="preserve"> sector</w:t>
      </w:r>
      <w:r w:rsidR="00435882" w:rsidRPr="00571F0B">
        <w:rPr>
          <w:lang w:val="en-GB"/>
        </w:rPr>
        <w:t xml:space="preserve">. The health, education and economic </w:t>
      </w:r>
      <w:r w:rsidR="00AF79FB" w:rsidRPr="00AF79FB">
        <w:rPr>
          <w:lang w:val="en-GB"/>
        </w:rPr>
        <w:t>development</w:t>
      </w:r>
      <w:r w:rsidR="00435882" w:rsidRPr="00571F0B">
        <w:rPr>
          <w:lang w:val="en-GB"/>
        </w:rPr>
        <w:t xml:space="preserve"> support areas DFAT has decided to target in </w:t>
      </w:r>
      <w:r w:rsidR="002B7876" w:rsidRPr="002B7876">
        <w:rPr>
          <w:lang w:val="en-GB"/>
        </w:rPr>
        <w:t xml:space="preserve">IF (IV) </w:t>
      </w:r>
      <w:r w:rsidR="000D4BB3">
        <w:rPr>
          <w:lang w:val="en-GB"/>
        </w:rPr>
        <w:t>proportionally represent 76 per cent</w:t>
      </w:r>
      <w:r w:rsidR="00435882" w:rsidRPr="00571F0B">
        <w:rPr>
          <w:lang w:val="en-GB"/>
        </w:rPr>
        <w:t xml:space="preserve"> of the </w:t>
      </w:r>
      <w:r w:rsidR="00B46D92" w:rsidRPr="00571F0B">
        <w:rPr>
          <w:lang w:val="en-GB"/>
        </w:rPr>
        <w:t xml:space="preserve">identified </w:t>
      </w:r>
      <w:r w:rsidR="00435882" w:rsidRPr="00571F0B">
        <w:rPr>
          <w:lang w:val="en-GB"/>
        </w:rPr>
        <w:t xml:space="preserve">demand from </w:t>
      </w:r>
      <w:r w:rsidR="00B46D92" w:rsidRPr="00571F0B">
        <w:rPr>
          <w:lang w:val="en-GB"/>
        </w:rPr>
        <w:t>Phase III</w:t>
      </w:r>
      <w:r w:rsidR="003568E3" w:rsidRPr="00571F0B">
        <w:rPr>
          <w:lang w:val="en-GB"/>
        </w:rPr>
        <w:t>.</w:t>
      </w:r>
    </w:p>
    <w:p w:rsidR="007B079B" w:rsidRPr="001A6015" w:rsidRDefault="007B079B" w:rsidP="00A760D2">
      <w:pPr>
        <w:spacing w:before="0" w:after="0"/>
        <w:rPr>
          <w:sz w:val="16"/>
          <w:szCs w:val="16"/>
          <w:lang w:val="en-GB"/>
        </w:rPr>
      </w:pPr>
    </w:p>
    <w:p w:rsidR="0074025D" w:rsidRPr="00571F0B" w:rsidRDefault="00941395" w:rsidP="00A760D2">
      <w:pPr>
        <w:spacing w:before="0" w:after="0"/>
        <w:rPr>
          <w:lang w:val="en-GB"/>
        </w:rPr>
      </w:pPr>
      <w:r>
        <w:rPr>
          <w:b/>
          <w:lang w:val="en-GB"/>
        </w:rPr>
        <w:t>Monitoring and E</w:t>
      </w:r>
      <w:r w:rsidR="00B15DE7" w:rsidRPr="00571F0B">
        <w:rPr>
          <w:b/>
          <w:lang w:val="en-GB"/>
        </w:rPr>
        <w:t xml:space="preserve">valuation </w:t>
      </w:r>
      <w:r w:rsidR="00435882" w:rsidRPr="00571F0B">
        <w:rPr>
          <w:b/>
          <w:lang w:val="en-GB"/>
        </w:rPr>
        <w:t>(M&amp;E)</w:t>
      </w:r>
      <w:r w:rsidR="00435882" w:rsidRPr="00571F0B">
        <w:rPr>
          <w:lang w:val="en-GB"/>
        </w:rPr>
        <w:t xml:space="preserve"> </w:t>
      </w:r>
      <w:r w:rsidR="00B15DE7" w:rsidRPr="00571F0B">
        <w:rPr>
          <w:lang w:val="en-GB"/>
        </w:rPr>
        <w:t>– Phase III focused upon project level IFA monitoring</w:t>
      </w:r>
      <w:r w:rsidR="00435882" w:rsidRPr="00571F0B">
        <w:rPr>
          <w:lang w:val="en-GB"/>
        </w:rPr>
        <w:t xml:space="preserve"> </w:t>
      </w:r>
      <w:r w:rsidR="00B15DE7" w:rsidRPr="00571F0B">
        <w:rPr>
          <w:lang w:val="en-GB"/>
        </w:rPr>
        <w:t xml:space="preserve">to ensure </w:t>
      </w:r>
      <w:r w:rsidR="00435882" w:rsidRPr="00571F0B">
        <w:rPr>
          <w:lang w:val="en-GB"/>
        </w:rPr>
        <w:t xml:space="preserve">the required IFA </w:t>
      </w:r>
      <w:r w:rsidR="005A4DEB" w:rsidRPr="00571F0B">
        <w:rPr>
          <w:lang w:val="en-GB"/>
        </w:rPr>
        <w:t xml:space="preserve">quality at </w:t>
      </w:r>
      <w:r w:rsidR="00B15DE7" w:rsidRPr="00571F0B">
        <w:rPr>
          <w:lang w:val="en-GB"/>
        </w:rPr>
        <w:t xml:space="preserve">implementation progress </w:t>
      </w:r>
      <w:r w:rsidR="00435882" w:rsidRPr="00571F0B">
        <w:rPr>
          <w:lang w:val="en-GB"/>
        </w:rPr>
        <w:t>was maintained within the limited timeframe. E</w:t>
      </w:r>
      <w:r w:rsidR="00B15DE7" w:rsidRPr="00571F0B">
        <w:rPr>
          <w:lang w:val="en-GB"/>
        </w:rPr>
        <w:t xml:space="preserve">valuation of project level reviews and process to identify lessons learnt and disseminate </w:t>
      </w:r>
      <w:r w:rsidR="000D4BB3">
        <w:rPr>
          <w:lang w:val="en-GB"/>
        </w:rPr>
        <w:t xml:space="preserve">them </w:t>
      </w:r>
      <w:r w:rsidR="00B15DE7" w:rsidRPr="00571F0B">
        <w:rPr>
          <w:lang w:val="en-GB"/>
        </w:rPr>
        <w:t>to relevant stakeholders</w:t>
      </w:r>
      <w:r w:rsidR="00A300DE" w:rsidRPr="00571F0B">
        <w:rPr>
          <w:lang w:val="en-GB"/>
        </w:rPr>
        <w:t xml:space="preserve"> presented that </w:t>
      </w:r>
      <w:r w:rsidR="00B15DE7" w:rsidRPr="00571F0B">
        <w:rPr>
          <w:lang w:val="en-GB"/>
        </w:rPr>
        <w:t xml:space="preserve">210 </w:t>
      </w:r>
      <w:r w:rsidR="00435882" w:rsidRPr="00571F0B">
        <w:rPr>
          <w:lang w:val="en-GB"/>
        </w:rPr>
        <w:t>project implementation managers and personnel attended workshops</w:t>
      </w:r>
      <w:r w:rsidR="000D4BB3">
        <w:rPr>
          <w:lang w:val="en-GB"/>
        </w:rPr>
        <w:t xml:space="preserve">. This enabled them </w:t>
      </w:r>
      <w:r w:rsidR="00435882" w:rsidRPr="00571F0B">
        <w:rPr>
          <w:lang w:val="en-GB"/>
        </w:rPr>
        <w:t>to develop their own M&amp;E Framework</w:t>
      </w:r>
      <w:r w:rsidR="000D4BB3">
        <w:rPr>
          <w:lang w:val="en-GB"/>
        </w:rPr>
        <w:t>s</w:t>
      </w:r>
      <w:r w:rsidR="00435882" w:rsidRPr="00571F0B">
        <w:rPr>
          <w:lang w:val="en-GB"/>
        </w:rPr>
        <w:t xml:space="preserve"> relevant to their specific pro</w:t>
      </w:r>
      <w:r w:rsidR="00A300DE" w:rsidRPr="00571F0B">
        <w:rPr>
          <w:lang w:val="en-GB"/>
        </w:rPr>
        <w:t xml:space="preserve">ject </w:t>
      </w:r>
      <w:r w:rsidR="00435882" w:rsidRPr="00571F0B">
        <w:rPr>
          <w:lang w:val="en-GB"/>
        </w:rPr>
        <w:t>objectives. Process evaluations on seven pr</w:t>
      </w:r>
      <w:r w:rsidR="000D4BB3">
        <w:rPr>
          <w:lang w:val="en-GB"/>
        </w:rPr>
        <w:t>ojects, a sample size of 35 per cent</w:t>
      </w:r>
      <w:r w:rsidR="00435882" w:rsidRPr="00571F0B">
        <w:rPr>
          <w:lang w:val="en-GB"/>
        </w:rPr>
        <w:t xml:space="preserve">, identified key lessons including the importance of: wide consultation in planning and designing the project; user feedback during planning and implementation; engaging a strong project management team; construction skills to ensure quality controls; </w:t>
      </w:r>
      <w:r w:rsidR="0074025D" w:rsidRPr="00571F0B">
        <w:rPr>
          <w:lang w:val="en-GB"/>
        </w:rPr>
        <w:t xml:space="preserve">a dedicated project manager; realistic timeframes which when faced with factors beyond a project managers control </w:t>
      </w:r>
      <w:r w:rsidR="0074025D" w:rsidRPr="00571F0B">
        <w:rPr>
          <w:i/>
          <w:lang w:val="en-GB"/>
        </w:rPr>
        <w:t>e.g.</w:t>
      </w:r>
      <w:r w:rsidR="00A300DE" w:rsidRPr="00571F0B">
        <w:rPr>
          <w:lang w:val="en-GB"/>
        </w:rPr>
        <w:t xml:space="preserve"> weather and </w:t>
      </w:r>
      <w:r w:rsidR="0074025D" w:rsidRPr="00571F0B">
        <w:rPr>
          <w:lang w:val="en-GB"/>
        </w:rPr>
        <w:t>suppl</w:t>
      </w:r>
      <w:r w:rsidR="00A300DE" w:rsidRPr="00571F0B">
        <w:rPr>
          <w:lang w:val="en-GB"/>
        </w:rPr>
        <w:t>y delivery</w:t>
      </w:r>
      <w:r w:rsidR="0074025D" w:rsidRPr="00571F0B">
        <w:rPr>
          <w:lang w:val="en-GB"/>
        </w:rPr>
        <w:t xml:space="preserve"> delays caused by the Physical Planning and Building Board.</w:t>
      </w:r>
    </w:p>
    <w:p w:rsidR="001A6015" w:rsidRPr="001A6015" w:rsidRDefault="001A6015" w:rsidP="00A760D2">
      <w:pPr>
        <w:spacing w:before="0" w:after="0"/>
        <w:rPr>
          <w:sz w:val="16"/>
          <w:szCs w:val="16"/>
          <w:lang w:val="en-GB"/>
        </w:rPr>
      </w:pPr>
    </w:p>
    <w:p w:rsidR="00B15DE7" w:rsidRPr="00571F0B" w:rsidRDefault="00A300DE" w:rsidP="00A760D2">
      <w:pPr>
        <w:spacing w:before="0" w:after="0"/>
        <w:rPr>
          <w:lang w:val="en-GB"/>
        </w:rPr>
      </w:pPr>
      <w:r w:rsidRPr="00571F0B">
        <w:rPr>
          <w:lang w:val="en-GB"/>
        </w:rPr>
        <w:lastRenderedPageBreak/>
        <w:t>D</w:t>
      </w:r>
      <w:r w:rsidR="0074025D" w:rsidRPr="00571F0B">
        <w:rPr>
          <w:lang w:val="en-GB"/>
        </w:rPr>
        <w:t>ocumentation review and limited consultations during th</w:t>
      </w:r>
      <w:r w:rsidR="00C13C18" w:rsidRPr="00571F0B">
        <w:rPr>
          <w:lang w:val="en-GB"/>
        </w:rPr>
        <w:t xml:space="preserve">e </w:t>
      </w:r>
      <w:r w:rsidR="002B7876" w:rsidRPr="002B7876">
        <w:rPr>
          <w:lang w:val="en-GB"/>
        </w:rPr>
        <w:t xml:space="preserve">IF (IV) </w:t>
      </w:r>
      <w:r w:rsidR="0074025D" w:rsidRPr="00571F0B">
        <w:rPr>
          <w:lang w:val="en-GB"/>
        </w:rPr>
        <w:t>design identif</w:t>
      </w:r>
      <w:r w:rsidR="00395436" w:rsidRPr="00571F0B">
        <w:rPr>
          <w:lang w:val="en-GB"/>
        </w:rPr>
        <w:t xml:space="preserve">ied </w:t>
      </w:r>
      <w:r w:rsidR="0074025D" w:rsidRPr="00571F0B">
        <w:rPr>
          <w:lang w:val="en-GB"/>
        </w:rPr>
        <w:t xml:space="preserve">a need for a whole-of-incentive fund evaluation to assess sustainability </w:t>
      </w:r>
      <w:r w:rsidR="00395436" w:rsidRPr="00571F0B">
        <w:rPr>
          <w:lang w:val="en-GB"/>
        </w:rPr>
        <w:t>and identify the extent to which infrastructure projects (which represented 100</w:t>
      </w:r>
      <w:r w:rsidR="00F6025A">
        <w:rPr>
          <w:lang w:val="en-GB"/>
        </w:rPr>
        <w:t xml:space="preserve"> per cent </w:t>
      </w:r>
      <w:r w:rsidR="00395436" w:rsidRPr="00571F0B">
        <w:rPr>
          <w:lang w:val="en-GB"/>
        </w:rPr>
        <w:t xml:space="preserve">of IFAs in Phase III) had been built to sufficient quality specifications, were fit-for-purpose and had secured </w:t>
      </w:r>
      <w:r w:rsidR="0074025D" w:rsidRPr="00571F0B">
        <w:rPr>
          <w:lang w:val="en-GB"/>
        </w:rPr>
        <w:t>on-going operation</w:t>
      </w:r>
      <w:r w:rsidR="00395436" w:rsidRPr="00571F0B">
        <w:rPr>
          <w:lang w:val="en-GB"/>
        </w:rPr>
        <w:t xml:space="preserve">al costs </w:t>
      </w:r>
      <w:r w:rsidR="0074025D" w:rsidRPr="00571F0B">
        <w:rPr>
          <w:lang w:val="en-GB"/>
        </w:rPr>
        <w:t xml:space="preserve">and </w:t>
      </w:r>
      <w:r w:rsidR="00395436" w:rsidRPr="00571F0B">
        <w:rPr>
          <w:lang w:val="en-GB"/>
        </w:rPr>
        <w:t xml:space="preserve">funded </w:t>
      </w:r>
      <w:r w:rsidR="0074025D" w:rsidRPr="00571F0B">
        <w:rPr>
          <w:lang w:val="en-GB"/>
        </w:rPr>
        <w:t>maintenance</w:t>
      </w:r>
      <w:r w:rsidR="00395436" w:rsidRPr="00571F0B">
        <w:rPr>
          <w:lang w:val="en-GB"/>
        </w:rPr>
        <w:t xml:space="preserve"> schedules.</w:t>
      </w:r>
    </w:p>
    <w:p w:rsidR="007B079B" w:rsidRPr="001A6015" w:rsidRDefault="007B079B" w:rsidP="00A760D2">
      <w:pPr>
        <w:spacing w:before="0" w:after="0"/>
        <w:rPr>
          <w:sz w:val="16"/>
          <w:szCs w:val="16"/>
          <w:lang w:val="en-GB"/>
        </w:rPr>
      </w:pPr>
    </w:p>
    <w:p w:rsidR="007F15D7" w:rsidRPr="00571F0B" w:rsidRDefault="0074025D" w:rsidP="00A760D2">
      <w:pPr>
        <w:spacing w:before="0" w:after="0"/>
        <w:rPr>
          <w:lang w:val="en-GB"/>
        </w:rPr>
      </w:pPr>
      <w:r w:rsidRPr="00571F0B">
        <w:rPr>
          <w:b/>
          <w:lang w:val="en-GB"/>
        </w:rPr>
        <w:t>P</w:t>
      </w:r>
      <w:r w:rsidR="007F15D7" w:rsidRPr="00571F0B">
        <w:rPr>
          <w:b/>
          <w:lang w:val="en-GB"/>
        </w:rPr>
        <w:t xml:space="preserve">rogram </w:t>
      </w:r>
      <w:r w:rsidRPr="00571F0B">
        <w:rPr>
          <w:b/>
          <w:lang w:val="en-GB"/>
        </w:rPr>
        <w:t>P</w:t>
      </w:r>
      <w:r w:rsidR="00B2338D" w:rsidRPr="00571F0B">
        <w:rPr>
          <w:b/>
          <w:lang w:val="en-GB"/>
        </w:rPr>
        <w:t xml:space="preserve">erformance </w:t>
      </w:r>
      <w:r w:rsidRPr="00571F0B">
        <w:rPr>
          <w:b/>
          <w:lang w:val="en-GB"/>
        </w:rPr>
        <w:t>M</w:t>
      </w:r>
      <w:r w:rsidR="007F15D7" w:rsidRPr="00571F0B">
        <w:rPr>
          <w:b/>
          <w:lang w:val="en-GB"/>
        </w:rPr>
        <w:t>anagement</w:t>
      </w:r>
      <w:r w:rsidRPr="00571F0B">
        <w:rPr>
          <w:lang w:val="en-GB"/>
        </w:rPr>
        <w:t xml:space="preserve"> </w:t>
      </w:r>
      <w:r w:rsidR="00CC556B" w:rsidRPr="00571F0B">
        <w:rPr>
          <w:lang w:val="en-GB"/>
        </w:rPr>
        <w:t>–</w:t>
      </w:r>
      <w:r w:rsidRPr="00571F0B">
        <w:rPr>
          <w:lang w:val="en-GB"/>
        </w:rPr>
        <w:t xml:space="preserve"> </w:t>
      </w:r>
      <w:r w:rsidR="00CC556B" w:rsidRPr="00571F0B">
        <w:rPr>
          <w:lang w:val="en-GB"/>
        </w:rPr>
        <w:t xml:space="preserve">the key objective </w:t>
      </w:r>
      <w:r w:rsidR="00395436" w:rsidRPr="00571F0B">
        <w:rPr>
          <w:lang w:val="en-GB"/>
        </w:rPr>
        <w:t>was to</w:t>
      </w:r>
      <w:r w:rsidR="00CC556B" w:rsidRPr="00571F0B">
        <w:rPr>
          <w:lang w:val="en-GB"/>
        </w:rPr>
        <w:t xml:space="preserve"> establish and maintain a relevant management, staff and technical team to deliver Phase III. Performance Management specifically required: identifying and adjusting</w:t>
      </w:r>
      <w:r w:rsidR="006662CC">
        <w:rPr>
          <w:lang w:val="en-GB"/>
        </w:rPr>
        <w:t xml:space="preserve"> </w:t>
      </w:r>
      <w:r w:rsidR="008F03C0" w:rsidRPr="00571F0B">
        <w:rPr>
          <w:lang w:val="en-GB"/>
        </w:rPr>
        <w:t>IFT support</w:t>
      </w:r>
      <w:r w:rsidR="00CC556B" w:rsidRPr="00571F0B">
        <w:rPr>
          <w:lang w:val="en-GB"/>
        </w:rPr>
        <w:t xml:space="preserve"> as the program shifted from the front-end loading of 20 approved IFAs to implementation to com</w:t>
      </w:r>
      <w:r w:rsidR="00345556" w:rsidRPr="00571F0B">
        <w:rPr>
          <w:lang w:val="en-GB"/>
        </w:rPr>
        <w:t xml:space="preserve">pletion in the last 30 months; </w:t>
      </w:r>
      <w:r w:rsidR="00CC556B" w:rsidRPr="00571F0B">
        <w:rPr>
          <w:lang w:val="en-GB"/>
        </w:rPr>
        <w:t>strong financial predictions and the aggregation of project level cash-flow requirements –financial risks a</w:t>
      </w:r>
      <w:r w:rsidR="00345556" w:rsidRPr="00571F0B">
        <w:rPr>
          <w:lang w:val="en-GB"/>
        </w:rPr>
        <w:t xml:space="preserve">nd cash-flows are </w:t>
      </w:r>
      <w:r w:rsidR="00345556" w:rsidRPr="0095356B">
        <w:rPr>
          <w:lang w:val="en-GB"/>
        </w:rPr>
        <w:t>discussed in S</w:t>
      </w:r>
      <w:r w:rsidR="00CC556B" w:rsidRPr="0095356B">
        <w:rPr>
          <w:lang w:val="en-GB"/>
        </w:rPr>
        <w:t>ection</w:t>
      </w:r>
      <w:r w:rsidR="00345556" w:rsidRPr="0095356B">
        <w:rPr>
          <w:lang w:val="en-GB"/>
        </w:rPr>
        <w:t xml:space="preserve"> 3.2.1.</w:t>
      </w:r>
    </w:p>
    <w:p w:rsidR="007F15D7" w:rsidRPr="001A6015" w:rsidRDefault="007F15D7" w:rsidP="00A760D2">
      <w:pPr>
        <w:spacing w:before="0" w:after="0"/>
        <w:rPr>
          <w:sz w:val="16"/>
          <w:szCs w:val="16"/>
          <w:lang w:val="en-GB"/>
        </w:rPr>
      </w:pPr>
    </w:p>
    <w:p w:rsidR="001A6015" w:rsidRDefault="00CC556B" w:rsidP="00276EEA">
      <w:pPr>
        <w:spacing w:before="0" w:after="0"/>
        <w:rPr>
          <w:lang w:val="en-GB"/>
        </w:rPr>
      </w:pPr>
      <w:r w:rsidRPr="00571F0B">
        <w:rPr>
          <w:b/>
          <w:lang w:val="en-GB"/>
        </w:rPr>
        <w:t>Social Inclusion -</w:t>
      </w:r>
      <w:r w:rsidRPr="00571F0B">
        <w:rPr>
          <w:lang w:val="en-GB"/>
        </w:rPr>
        <w:t xml:space="preserve"> i</w:t>
      </w:r>
      <w:r w:rsidR="007F15D7" w:rsidRPr="00571F0B">
        <w:rPr>
          <w:lang w:val="en-GB"/>
        </w:rPr>
        <w:t xml:space="preserve">mportantly, Phase III integrated a compulsory social inclusion planning component into each project to ensure </w:t>
      </w:r>
      <w:r w:rsidR="005A4DEB" w:rsidRPr="00571F0B">
        <w:rPr>
          <w:lang w:val="en-GB"/>
        </w:rPr>
        <w:t xml:space="preserve">every IFA recipient </w:t>
      </w:r>
      <w:r w:rsidR="007F15D7" w:rsidRPr="00571F0B">
        <w:rPr>
          <w:lang w:val="en-GB"/>
        </w:rPr>
        <w:t>maintained a</w:t>
      </w:r>
      <w:r w:rsidR="00B46D92" w:rsidRPr="00571F0B">
        <w:rPr>
          <w:lang w:val="en-GB"/>
        </w:rPr>
        <w:t xml:space="preserve">n appropriate </w:t>
      </w:r>
      <w:r w:rsidR="007F15D7" w:rsidRPr="00571F0B">
        <w:rPr>
          <w:lang w:val="en-GB"/>
        </w:rPr>
        <w:t>policy setting that included Gender Equality, Child Protection, Disability-inclusive development and HIV and AIDS.</w:t>
      </w:r>
      <w:r w:rsidRPr="00571F0B">
        <w:rPr>
          <w:lang w:val="en-GB"/>
        </w:rPr>
        <w:t xml:space="preserve"> Awareness and strengthening activities were supported as part of the IFAs. </w:t>
      </w:r>
      <w:r w:rsidR="00C13C18" w:rsidRPr="00571F0B">
        <w:rPr>
          <w:lang w:val="en-GB"/>
        </w:rPr>
        <w:t xml:space="preserve">All 20 organisations funded in Phase III have integrated social inclusion into </w:t>
      </w:r>
      <w:r w:rsidR="00681A24" w:rsidRPr="00571F0B">
        <w:rPr>
          <w:lang w:val="en-GB"/>
        </w:rPr>
        <w:t xml:space="preserve">their </w:t>
      </w:r>
      <w:r w:rsidR="00C13C18" w:rsidRPr="00571F0B">
        <w:rPr>
          <w:lang w:val="en-GB"/>
        </w:rPr>
        <w:t xml:space="preserve">organisational policy frameworks. This is </w:t>
      </w:r>
      <w:r w:rsidR="00681A24" w:rsidRPr="00571F0B">
        <w:rPr>
          <w:lang w:val="en-GB"/>
        </w:rPr>
        <w:t>a key</w:t>
      </w:r>
      <w:r w:rsidR="00C13C18" w:rsidRPr="00571F0B">
        <w:rPr>
          <w:lang w:val="en-GB"/>
        </w:rPr>
        <w:t xml:space="preserve"> consideration in </w:t>
      </w:r>
      <w:r w:rsidR="002B7876" w:rsidRPr="002B7876">
        <w:rPr>
          <w:lang w:val="en-GB"/>
        </w:rPr>
        <w:t xml:space="preserve">IF (IV) </w:t>
      </w:r>
      <w:r w:rsidR="00C13C18" w:rsidRPr="00571F0B">
        <w:rPr>
          <w:lang w:val="en-GB"/>
        </w:rPr>
        <w:t>where</w:t>
      </w:r>
      <w:r w:rsidR="00681A24" w:rsidRPr="00571F0B">
        <w:rPr>
          <w:lang w:val="en-GB"/>
        </w:rPr>
        <w:t>,</w:t>
      </w:r>
      <w:r w:rsidR="00C13C18" w:rsidRPr="00571F0B">
        <w:rPr>
          <w:lang w:val="en-GB"/>
        </w:rPr>
        <w:t xml:space="preserve"> aligned with GoA policy targets</w:t>
      </w:r>
      <w:r w:rsidR="00681A24" w:rsidRPr="00571F0B">
        <w:rPr>
          <w:lang w:val="en-GB"/>
        </w:rPr>
        <w:t>,</w:t>
      </w:r>
      <w:r w:rsidR="00C13C18" w:rsidRPr="00571F0B">
        <w:rPr>
          <w:lang w:val="en-GB"/>
        </w:rPr>
        <w:t xml:space="preserve"> </w:t>
      </w:r>
      <w:r w:rsidR="00463D79" w:rsidRPr="00463D79">
        <w:rPr>
          <w:lang w:val="en-GB"/>
        </w:rPr>
        <w:t>80 per cent of the investments will support empowerment of women and girls</w:t>
      </w:r>
      <w:r w:rsidR="001A6015">
        <w:rPr>
          <w:lang w:val="en-GB"/>
        </w:rPr>
        <w:t>.</w:t>
      </w:r>
    </w:p>
    <w:p w:rsidR="00276EEA" w:rsidRDefault="00276EEA" w:rsidP="00276EEA">
      <w:pPr>
        <w:spacing w:before="0" w:after="0"/>
        <w:rPr>
          <w:lang w:val="en-GB"/>
        </w:rPr>
      </w:pPr>
    </w:p>
    <w:p w:rsidR="00827AFD" w:rsidRPr="00571F0B" w:rsidRDefault="00827AFD" w:rsidP="00827AFD">
      <w:pPr>
        <w:pStyle w:val="Heading2"/>
        <w:rPr>
          <w:lang w:val="en-GB"/>
        </w:rPr>
      </w:pPr>
      <w:bookmarkStart w:id="20" w:name="_Toc403037562"/>
      <w:r w:rsidRPr="00571F0B">
        <w:rPr>
          <w:lang w:val="en-GB"/>
        </w:rPr>
        <w:t>Conclusions from previous incentive fund support</w:t>
      </w:r>
      <w:bookmarkEnd w:id="20"/>
    </w:p>
    <w:p w:rsidR="00B2338D" w:rsidRPr="00571F0B" w:rsidRDefault="005A4DEB" w:rsidP="00C05D33">
      <w:pPr>
        <w:spacing w:before="0" w:after="0"/>
        <w:rPr>
          <w:lang w:val="en-GB"/>
        </w:rPr>
      </w:pPr>
      <w:r w:rsidRPr="00571F0B">
        <w:rPr>
          <w:lang w:val="en-GB"/>
        </w:rPr>
        <w:t xml:space="preserve">The following provides </w:t>
      </w:r>
      <w:r w:rsidR="00827AFD" w:rsidRPr="00571F0B">
        <w:rPr>
          <w:lang w:val="en-GB"/>
        </w:rPr>
        <w:t xml:space="preserve">a summary of </w:t>
      </w:r>
      <w:r w:rsidRPr="00571F0B">
        <w:rPr>
          <w:lang w:val="en-GB"/>
        </w:rPr>
        <w:t>conclusions drawn from a rapid assessment of previous incentive fund phases and design consultations</w:t>
      </w:r>
      <w:r w:rsidR="00BE120C">
        <w:rPr>
          <w:lang w:val="en-GB"/>
        </w:rPr>
        <w:t xml:space="preserve"> which </w:t>
      </w:r>
      <w:r w:rsidR="00F6025A">
        <w:rPr>
          <w:lang w:val="en-GB"/>
        </w:rPr>
        <w:t>have</w:t>
      </w:r>
      <w:r w:rsidR="00F021AD" w:rsidRPr="00571F0B">
        <w:rPr>
          <w:lang w:val="en-GB"/>
        </w:rPr>
        <w:t xml:space="preserve"> </w:t>
      </w:r>
      <w:r w:rsidRPr="00571F0B">
        <w:rPr>
          <w:lang w:val="en-GB"/>
        </w:rPr>
        <w:t>inform</w:t>
      </w:r>
      <w:r w:rsidR="00F6025A">
        <w:rPr>
          <w:lang w:val="en-GB"/>
        </w:rPr>
        <w:t>ed</w:t>
      </w:r>
      <w:r w:rsidRPr="00571F0B">
        <w:rPr>
          <w:lang w:val="en-GB"/>
        </w:rPr>
        <w:t xml:space="preserve"> the </w:t>
      </w:r>
      <w:r w:rsidR="002B7876" w:rsidRPr="002B7876">
        <w:rPr>
          <w:lang w:val="en-GB"/>
        </w:rPr>
        <w:t xml:space="preserve">IF (IV) </w:t>
      </w:r>
      <w:r w:rsidRPr="00571F0B">
        <w:rPr>
          <w:lang w:val="en-GB"/>
        </w:rPr>
        <w:t>design.</w:t>
      </w:r>
    </w:p>
    <w:p w:rsidR="005A4DEB" w:rsidRPr="00571F0B" w:rsidRDefault="005A4DEB" w:rsidP="00C05D33">
      <w:pPr>
        <w:spacing w:before="0" w:after="0"/>
        <w:rPr>
          <w:lang w:val="en-GB"/>
        </w:rPr>
      </w:pPr>
    </w:p>
    <w:p w:rsidR="00B2338D" w:rsidRPr="00F6025A" w:rsidRDefault="005A4DEB" w:rsidP="00A82AAB">
      <w:pPr>
        <w:pStyle w:val="ListParagraph"/>
        <w:numPr>
          <w:ilvl w:val="0"/>
          <w:numId w:val="95"/>
        </w:numPr>
        <w:spacing w:before="0" w:after="0"/>
        <w:ind w:left="360"/>
        <w:rPr>
          <w:lang w:val="en-GB"/>
        </w:rPr>
      </w:pPr>
      <w:r w:rsidRPr="00F6025A">
        <w:rPr>
          <w:b/>
          <w:lang w:val="en-GB"/>
        </w:rPr>
        <w:t xml:space="preserve">The Incentive Fund is a </w:t>
      </w:r>
      <w:r w:rsidR="00C53862" w:rsidRPr="00F6025A">
        <w:rPr>
          <w:b/>
          <w:lang w:val="en-GB"/>
        </w:rPr>
        <w:t>strong b</w:t>
      </w:r>
      <w:r w:rsidR="00B2338D" w:rsidRPr="00F6025A">
        <w:rPr>
          <w:b/>
          <w:lang w:val="en-GB"/>
        </w:rPr>
        <w:t>rand</w:t>
      </w:r>
      <w:r w:rsidR="00827AFD" w:rsidRPr="00F6025A">
        <w:rPr>
          <w:b/>
          <w:lang w:val="en-GB"/>
        </w:rPr>
        <w:t xml:space="preserve"> and </w:t>
      </w:r>
      <w:r w:rsidR="000A7929" w:rsidRPr="00F6025A">
        <w:rPr>
          <w:b/>
          <w:lang w:val="en-GB"/>
        </w:rPr>
        <w:t xml:space="preserve">IF (IV) </w:t>
      </w:r>
      <w:r w:rsidR="00827AFD" w:rsidRPr="00F6025A">
        <w:rPr>
          <w:b/>
          <w:lang w:val="en-GB"/>
        </w:rPr>
        <w:t>needs to protect</w:t>
      </w:r>
      <w:r w:rsidR="000A7929" w:rsidRPr="00F6025A">
        <w:rPr>
          <w:b/>
          <w:lang w:val="en-GB"/>
        </w:rPr>
        <w:t xml:space="preserve"> it</w:t>
      </w:r>
      <w:r w:rsidR="00827AFD" w:rsidRPr="00F6025A">
        <w:rPr>
          <w:b/>
          <w:lang w:val="en-GB"/>
        </w:rPr>
        <w:t>:</w:t>
      </w:r>
      <w:r w:rsidRPr="00F6025A">
        <w:rPr>
          <w:lang w:val="en-GB"/>
        </w:rPr>
        <w:t xml:space="preserve"> F</w:t>
      </w:r>
      <w:r w:rsidR="00827AFD" w:rsidRPr="00F6025A">
        <w:rPr>
          <w:lang w:val="en-GB"/>
        </w:rPr>
        <w:t xml:space="preserve">ourteen years after the </w:t>
      </w:r>
      <w:r w:rsidRPr="00F6025A">
        <w:rPr>
          <w:lang w:val="en-GB"/>
        </w:rPr>
        <w:t>demand from both the GoA and GoPNG for an incentive funding mechanism in the 1999 Development Cooperation Treaty (DCT)</w:t>
      </w:r>
      <w:r w:rsidR="00827AFD" w:rsidRPr="00F6025A">
        <w:rPr>
          <w:lang w:val="en-GB"/>
        </w:rPr>
        <w:t>, the Incentive Fund is the most recognised component of the Australian Aid program. It is popular and it is visible</w:t>
      </w:r>
      <w:r w:rsidR="001A07E6" w:rsidRPr="00F6025A">
        <w:rPr>
          <w:lang w:val="en-GB"/>
        </w:rPr>
        <w:t>,</w:t>
      </w:r>
      <w:r w:rsidR="00827AFD" w:rsidRPr="00F6025A">
        <w:rPr>
          <w:lang w:val="en-GB"/>
        </w:rPr>
        <w:t xml:space="preserve"> so it has high public diplomacy value. The incentive fund provides technical and funding su</w:t>
      </w:r>
      <w:r w:rsidR="00E4220C" w:rsidRPr="00F6025A">
        <w:rPr>
          <w:lang w:val="en-GB"/>
        </w:rPr>
        <w:t>pport and is flexible in nature. It is</w:t>
      </w:r>
      <w:r w:rsidR="00827AFD" w:rsidRPr="00F6025A">
        <w:rPr>
          <w:lang w:val="en-GB"/>
        </w:rPr>
        <w:t xml:space="preserve"> able to reward good performance across all sectors anywhere in PNG. Australia’s new development policy directs Australian Aid to actively work with effective partners, ensure value-for-money and to work with the private sector and this makes the Incentive Fund a highly relevant mechanism to achieve new partners and work in new ways. However, the Incentive Fund must be protected and we can only ensure this by not compromising on the principles that have successfully underpinned the Incentive Fund. Foremost is t</w:t>
      </w:r>
      <w:r w:rsidR="00BE120C" w:rsidRPr="00F6025A">
        <w:rPr>
          <w:lang w:val="en-GB"/>
        </w:rPr>
        <w:t>o only support</w:t>
      </w:r>
      <w:r w:rsidR="00827AFD" w:rsidRPr="00F6025A">
        <w:rPr>
          <w:lang w:val="en-GB"/>
        </w:rPr>
        <w:t xml:space="preserve"> </w:t>
      </w:r>
      <w:r w:rsidR="008F03C0" w:rsidRPr="00F6025A">
        <w:rPr>
          <w:lang w:val="en-GB"/>
        </w:rPr>
        <w:t>good</w:t>
      </w:r>
      <w:r w:rsidR="00827AFD" w:rsidRPr="00F6025A">
        <w:rPr>
          <w:lang w:val="en-GB"/>
        </w:rPr>
        <w:t xml:space="preserve"> performers, no exceptions, and to resist any pressure to deviate from the rigid compliance process that is t</w:t>
      </w:r>
      <w:r w:rsidR="001A6015" w:rsidRPr="00F6025A">
        <w:rPr>
          <w:lang w:val="en-GB"/>
        </w:rPr>
        <w:t>he incentive funding mechanism.</w:t>
      </w:r>
    </w:p>
    <w:p w:rsidR="00B2338D" w:rsidRPr="00571F0B" w:rsidRDefault="00B2338D" w:rsidP="00F6025A">
      <w:pPr>
        <w:spacing w:before="0" w:after="0"/>
        <w:rPr>
          <w:lang w:val="en-GB"/>
        </w:rPr>
      </w:pPr>
    </w:p>
    <w:p w:rsidR="00F6025A" w:rsidRPr="00F6025A" w:rsidRDefault="000A7929" w:rsidP="00A82AAB">
      <w:pPr>
        <w:pStyle w:val="ListParagraph"/>
        <w:numPr>
          <w:ilvl w:val="0"/>
          <w:numId w:val="95"/>
        </w:numPr>
        <w:spacing w:before="0" w:after="0"/>
        <w:ind w:left="360"/>
        <w:rPr>
          <w:lang w:val="en-GB"/>
        </w:rPr>
      </w:pPr>
      <w:r w:rsidRPr="00F6025A">
        <w:rPr>
          <w:b/>
          <w:lang w:val="en-GB"/>
        </w:rPr>
        <w:t xml:space="preserve">IF (IV) needs to ensure outputs </w:t>
      </w:r>
      <w:r w:rsidR="00681A24" w:rsidRPr="00F6025A">
        <w:rPr>
          <w:b/>
          <w:lang w:val="en-GB"/>
        </w:rPr>
        <w:t xml:space="preserve">make a contribution to outcomes: </w:t>
      </w:r>
      <w:r w:rsidR="00681A24" w:rsidRPr="00F6025A">
        <w:rPr>
          <w:lang w:val="en-GB"/>
        </w:rPr>
        <w:t xml:space="preserve">The incentive funding mechanism is a strategic process driven </w:t>
      </w:r>
      <w:r w:rsidR="009019CE" w:rsidRPr="00F6025A">
        <w:rPr>
          <w:lang w:val="en-GB"/>
        </w:rPr>
        <w:t xml:space="preserve">large </w:t>
      </w:r>
      <w:r w:rsidR="0099688D" w:rsidRPr="00F6025A">
        <w:rPr>
          <w:lang w:val="en-GB"/>
        </w:rPr>
        <w:t xml:space="preserve">grant </w:t>
      </w:r>
      <w:r w:rsidR="00681A24" w:rsidRPr="00F6025A">
        <w:rPr>
          <w:lang w:val="en-GB"/>
        </w:rPr>
        <w:t>mechanism that leads to the delivery of inputs, activities and outputs</w:t>
      </w:r>
      <w:r w:rsidR="0099688D" w:rsidRPr="00F6025A">
        <w:rPr>
          <w:lang w:val="en-GB"/>
        </w:rPr>
        <w:t xml:space="preserve"> by carefully assessed and effective partners</w:t>
      </w:r>
      <w:r w:rsidR="00681A24" w:rsidRPr="00F6025A">
        <w:rPr>
          <w:lang w:val="en-GB"/>
        </w:rPr>
        <w:t xml:space="preserve">. It is the effective delivery of this process that leads to intermediate outcomes </w:t>
      </w:r>
      <w:r w:rsidR="009019CE" w:rsidRPr="00F6025A">
        <w:rPr>
          <w:i/>
          <w:lang w:val="en-GB"/>
        </w:rPr>
        <w:t>e.g.</w:t>
      </w:r>
      <w:r w:rsidR="009019CE" w:rsidRPr="00F6025A">
        <w:rPr>
          <w:lang w:val="en-GB"/>
        </w:rPr>
        <w:t xml:space="preserve"> </w:t>
      </w:r>
      <w:r w:rsidR="00681A24" w:rsidRPr="00F6025A">
        <w:rPr>
          <w:lang w:val="en-GB"/>
        </w:rPr>
        <w:t xml:space="preserve">improved organisational </w:t>
      </w:r>
      <w:proofErr w:type="gramStart"/>
      <w:r w:rsidR="00681A24" w:rsidRPr="00F6025A">
        <w:rPr>
          <w:lang w:val="en-GB"/>
        </w:rPr>
        <w:t>knowledge,</w:t>
      </w:r>
      <w:proofErr w:type="gramEnd"/>
      <w:r w:rsidR="00681A24" w:rsidRPr="00F6025A">
        <w:rPr>
          <w:lang w:val="en-GB"/>
        </w:rPr>
        <w:t xml:space="preserve"> management and practice</w:t>
      </w:r>
      <w:r w:rsidR="008F03C0" w:rsidRPr="00F6025A">
        <w:rPr>
          <w:lang w:val="en-GB"/>
        </w:rPr>
        <w:t xml:space="preserve"> that </w:t>
      </w:r>
      <w:r w:rsidR="00681A24" w:rsidRPr="00F6025A">
        <w:rPr>
          <w:lang w:val="en-GB"/>
        </w:rPr>
        <w:t>drive end-of-program outcomes</w:t>
      </w:r>
      <w:r w:rsidR="009019CE" w:rsidRPr="00F6025A">
        <w:rPr>
          <w:lang w:val="en-GB"/>
        </w:rPr>
        <w:t xml:space="preserve"> which </w:t>
      </w:r>
      <w:r w:rsidR="00681A24" w:rsidRPr="00F6025A">
        <w:rPr>
          <w:lang w:val="en-GB"/>
        </w:rPr>
        <w:t xml:space="preserve">contribute to </w:t>
      </w:r>
      <w:r w:rsidR="0099688D" w:rsidRPr="00F6025A">
        <w:rPr>
          <w:lang w:val="en-GB"/>
        </w:rPr>
        <w:t xml:space="preserve">a better enabling environment </w:t>
      </w:r>
      <w:r w:rsidR="0099688D" w:rsidRPr="00F6025A">
        <w:rPr>
          <w:i/>
          <w:lang w:val="en-GB"/>
        </w:rPr>
        <w:t>e.g.</w:t>
      </w:r>
      <w:r w:rsidR="0099688D" w:rsidRPr="00F6025A">
        <w:rPr>
          <w:lang w:val="en-GB"/>
        </w:rPr>
        <w:t xml:space="preserve"> </w:t>
      </w:r>
      <w:r w:rsidR="008F03C0" w:rsidRPr="00F6025A">
        <w:rPr>
          <w:lang w:val="en-GB"/>
        </w:rPr>
        <w:t xml:space="preserve">improved </w:t>
      </w:r>
      <w:r w:rsidR="0099688D" w:rsidRPr="00F6025A">
        <w:rPr>
          <w:lang w:val="en-GB"/>
        </w:rPr>
        <w:t>health</w:t>
      </w:r>
      <w:r w:rsidR="009019CE" w:rsidRPr="00F6025A">
        <w:rPr>
          <w:lang w:val="en-GB"/>
        </w:rPr>
        <w:t xml:space="preserve"> </w:t>
      </w:r>
      <w:r w:rsidR="008F03C0" w:rsidRPr="00F6025A">
        <w:rPr>
          <w:lang w:val="en-GB"/>
        </w:rPr>
        <w:t>services reaching more people</w:t>
      </w:r>
      <w:r w:rsidR="001A6015" w:rsidRPr="00F6025A">
        <w:rPr>
          <w:lang w:val="en-GB"/>
        </w:rPr>
        <w:t>.</w:t>
      </w:r>
    </w:p>
    <w:p w:rsidR="00F6025A" w:rsidRPr="00F6025A" w:rsidRDefault="00F6025A" w:rsidP="00F6025A">
      <w:pPr>
        <w:pStyle w:val="ListParagraph"/>
        <w:ind w:left="360"/>
        <w:rPr>
          <w:lang w:val="en-GB"/>
        </w:rPr>
      </w:pPr>
    </w:p>
    <w:p w:rsidR="00DC7AC1" w:rsidRPr="00F6025A" w:rsidRDefault="00F6025A" w:rsidP="00A82AAB">
      <w:pPr>
        <w:pStyle w:val="ListParagraph"/>
        <w:numPr>
          <w:ilvl w:val="0"/>
          <w:numId w:val="95"/>
        </w:numPr>
        <w:spacing w:before="0" w:after="0"/>
        <w:ind w:left="360"/>
        <w:rPr>
          <w:lang w:val="en-GB"/>
        </w:rPr>
      </w:pPr>
      <w:r w:rsidRPr="00F6025A">
        <w:rPr>
          <w:lang w:val="en-GB"/>
        </w:rPr>
        <w:t xml:space="preserve">IF (IV) needs to be able to determine the application of value-for-money: An evaluation of a large sample of Phase I, II and III projects is required to understand value-for-money concepts and its application. The following all undermine incentive fund investments and </w:t>
      </w:r>
      <w:r w:rsidRPr="00F6025A">
        <w:rPr>
          <w:lang w:val="en-GB"/>
        </w:rPr>
        <w:lastRenderedPageBreak/>
        <w:t>reduce contributions to outcomes: poor quality construction; poor quality project management; no on-going operational budget or funded maintenance schedule; inappropriate designs (e.g. Phase I water wells no longer working); and poor costing which leads to build reductions and major re-work. If outputs do not convert to outcomes, value-for-money assessments will be poor. The design terms of reference state all Phase III investments represent good value-for-money. This needs to be tested and lessons learned.</w:t>
      </w:r>
    </w:p>
    <w:p w:rsidR="00F6025A" w:rsidRPr="00571F0B" w:rsidRDefault="00F6025A" w:rsidP="00F6025A">
      <w:pPr>
        <w:pStyle w:val="ListParagraph"/>
        <w:ind w:left="0"/>
        <w:rPr>
          <w:lang w:val="en-GB"/>
        </w:rPr>
      </w:pPr>
    </w:p>
    <w:p w:rsidR="0099688D" w:rsidRPr="00F6025A" w:rsidRDefault="000A7929" w:rsidP="00A82AAB">
      <w:pPr>
        <w:pStyle w:val="ListParagraph"/>
        <w:numPr>
          <w:ilvl w:val="0"/>
          <w:numId w:val="95"/>
        </w:numPr>
        <w:spacing w:before="0" w:after="0"/>
        <w:ind w:left="360"/>
        <w:rPr>
          <w:lang w:val="en-GB"/>
        </w:rPr>
      </w:pPr>
      <w:r w:rsidRPr="00F6025A">
        <w:rPr>
          <w:b/>
          <w:lang w:val="en-GB"/>
        </w:rPr>
        <w:t xml:space="preserve">IF (IV) must better </w:t>
      </w:r>
      <w:r w:rsidR="00DA1EBD" w:rsidRPr="00F6025A">
        <w:rPr>
          <w:b/>
          <w:lang w:val="en-GB"/>
        </w:rPr>
        <w:t>und</w:t>
      </w:r>
      <w:r w:rsidRPr="00F6025A">
        <w:rPr>
          <w:b/>
          <w:lang w:val="en-GB"/>
        </w:rPr>
        <w:t>erstand the local poli</w:t>
      </w:r>
      <w:r w:rsidR="00DA1EBD" w:rsidRPr="00F6025A">
        <w:rPr>
          <w:b/>
          <w:lang w:val="en-GB"/>
        </w:rPr>
        <w:t xml:space="preserve">tical economy and </w:t>
      </w:r>
      <w:r w:rsidR="00350A70" w:rsidRPr="00F6025A">
        <w:rPr>
          <w:b/>
          <w:lang w:val="en-GB"/>
        </w:rPr>
        <w:t>operating context</w:t>
      </w:r>
      <w:r w:rsidR="00DC7AC1" w:rsidRPr="00F6025A">
        <w:rPr>
          <w:b/>
          <w:lang w:val="en-GB"/>
        </w:rPr>
        <w:t>:</w:t>
      </w:r>
      <w:r w:rsidR="00DC7AC1" w:rsidRPr="00F6025A">
        <w:rPr>
          <w:lang w:val="en-GB"/>
        </w:rPr>
        <w:t xml:space="preserve"> </w:t>
      </w:r>
      <w:r w:rsidR="0099688D" w:rsidRPr="00F6025A">
        <w:rPr>
          <w:lang w:val="en-GB"/>
        </w:rPr>
        <w:t xml:space="preserve"> </w:t>
      </w:r>
      <w:r w:rsidR="00DC7AC1" w:rsidRPr="00F6025A">
        <w:rPr>
          <w:lang w:val="en-GB"/>
        </w:rPr>
        <w:t>M</w:t>
      </w:r>
      <w:r w:rsidR="0099688D" w:rsidRPr="00F6025A">
        <w:rPr>
          <w:lang w:val="en-GB"/>
        </w:rPr>
        <w:t xml:space="preserve">ore needs to be </w:t>
      </w:r>
      <w:r w:rsidR="009019CE" w:rsidRPr="00F6025A">
        <w:rPr>
          <w:lang w:val="en-GB"/>
        </w:rPr>
        <w:t xml:space="preserve">understood in regard to </w:t>
      </w:r>
      <w:r w:rsidR="00BE120C" w:rsidRPr="00F6025A">
        <w:rPr>
          <w:lang w:val="en-GB"/>
        </w:rPr>
        <w:t>the local context</w:t>
      </w:r>
      <w:r w:rsidR="0099688D" w:rsidRPr="00F6025A">
        <w:rPr>
          <w:lang w:val="en-GB"/>
        </w:rPr>
        <w:t xml:space="preserve"> </w:t>
      </w:r>
      <w:r w:rsidR="009019CE" w:rsidRPr="00F6025A">
        <w:rPr>
          <w:lang w:val="en-GB"/>
        </w:rPr>
        <w:t xml:space="preserve">to secure </w:t>
      </w:r>
      <w:r w:rsidR="00DC7AC1" w:rsidRPr="00F6025A">
        <w:rPr>
          <w:lang w:val="en-GB"/>
        </w:rPr>
        <w:t xml:space="preserve">appropriate </w:t>
      </w:r>
      <w:r w:rsidR="00BE120C" w:rsidRPr="00F6025A">
        <w:rPr>
          <w:lang w:val="en-GB"/>
        </w:rPr>
        <w:t xml:space="preserve">GoPNG revenues that will </w:t>
      </w:r>
      <w:r w:rsidR="009019CE" w:rsidRPr="00F6025A">
        <w:rPr>
          <w:lang w:val="en-GB"/>
        </w:rPr>
        <w:t>ensure</w:t>
      </w:r>
      <w:r w:rsidR="00DC7AC1" w:rsidRPr="00F6025A">
        <w:rPr>
          <w:lang w:val="en-GB"/>
        </w:rPr>
        <w:t xml:space="preserve"> </w:t>
      </w:r>
      <w:r w:rsidR="00BE120C" w:rsidRPr="00F6025A">
        <w:rPr>
          <w:lang w:val="en-GB"/>
        </w:rPr>
        <w:t xml:space="preserve">the on-going operation and maintenance of public goods delivered by the </w:t>
      </w:r>
      <w:r w:rsidR="0099688D" w:rsidRPr="00F6025A">
        <w:rPr>
          <w:lang w:val="en-GB"/>
        </w:rPr>
        <w:t>incentive fund</w:t>
      </w:r>
      <w:r w:rsidR="00DC7AC1" w:rsidRPr="00F6025A">
        <w:rPr>
          <w:lang w:val="en-GB"/>
        </w:rPr>
        <w:t>. D</w:t>
      </w:r>
      <w:r w:rsidR="00154FD5" w:rsidRPr="00F6025A">
        <w:rPr>
          <w:lang w:val="en-GB"/>
        </w:rPr>
        <w:t xml:space="preserve">FAT and the </w:t>
      </w:r>
      <w:r w:rsidR="00F6025A">
        <w:rPr>
          <w:lang w:val="en-GB"/>
        </w:rPr>
        <w:t>IF (IV)</w:t>
      </w:r>
      <w:r w:rsidR="00154FD5" w:rsidRPr="00F6025A">
        <w:rPr>
          <w:lang w:val="en-GB"/>
        </w:rPr>
        <w:t xml:space="preserve"> need</w:t>
      </w:r>
      <w:r w:rsidR="00DC7AC1" w:rsidRPr="00F6025A">
        <w:rPr>
          <w:lang w:val="en-GB"/>
        </w:rPr>
        <w:t xml:space="preserve"> to better</w:t>
      </w:r>
      <w:r w:rsidR="0099688D" w:rsidRPr="00F6025A">
        <w:rPr>
          <w:lang w:val="en-GB"/>
        </w:rPr>
        <w:t xml:space="preserve"> understand the operating environments, the political economy and </w:t>
      </w:r>
      <w:r w:rsidR="00DC7AC1" w:rsidRPr="00F6025A">
        <w:rPr>
          <w:lang w:val="en-GB"/>
        </w:rPr>
        <w:t xml:space="preserve">how to link to sustainable GoPNG service delivery payment mechanisms. It is not enough to </w:t>
      </w:r>
      <w:r w:rsidR="00154FD5" w:rsidRPr="00F6025A">
        <w:rPr>
          <w:lang w:val="en-GB"/>
        </w:rPr>
        <w:t>mere</w:t>
      </w:r>
      <w:r w:rsidR="00DC7AC1" w:rsidRPr="00F6025A">
        <w:rPr>
          <w:lang w:val="en-GB"/>
        </w:rPr>
        <w:t xml:space="preserve">ly promote linkages </w:t>
      </w:r>
      <w:r w:rsidR="00154FD5" w:rsidRPr="00F6025A">
        <w:rPr>
          <w:lang w:val="en-GB"/>
        </w:rPr>
        <w:t>between the Incentive Fund and h</w:t>
      </w:r>
      <w:r w:rsidR="00DC7AC1" w:rsidRPr="00F6025A">
        <w:rPr>
          <w:lang w:val="en-GB"/>
        </w:rPr>
        <w:t>ea</w:t>
      </w:r>
      <w:r w:rsidR="00154FD5" w:rsidRPr="00F6025A">
        <w:rPr>
          <w:lang w:val="en-GB"/>
        </w:rPr>
        <w:t>lth or education s</w:t>
      </w:r>
      <w:r w:rsidR="00DC7AC1" w:rsidRPr="00F6025A">
        <w:rPr>
          <w:lang w:val="en-GB"/>
        </w:rPr>
        <w:t>ector programs</w:t>
      </w:r>
      <w:r w:rsidR="00BE120C" w:rsidRPr="00F6025A">
        <w:rPr>
          <w:lang w:val="en-GB"/>
        </w:rPr>
        <w:t xml:space="preserve">, which </w:t>
      </w:r>
      <w:proofErr w:type="gramStart"/>
      <w:r w:rsidR="00BE120C" w:rsidRPr="00F6025A">
        <w:rPr>
          <w:lang w:val="en-GB"/>
        </w:rPr>
        <w:t>was</w:t>
      </w:r>
      <w:proofErr w:type="gramEnd"/>
      <w:r w:rsidR="00BE120C" w:rsidRPr="00F6025A">
        <w:rPr>
          <w:lang w:val="en-GB"/>
        </w:rPr>
        <w:t xml:space="preserve"> the practice under Phase III</w:t>
      </w:r>
      <w:r w:rsidR="00DC7AC1" w:rsidRPr="00F6025A">
        <w:rPr>
          <w:lang w:val="en-GB"/>
        </w:rPr>
        <w:t>.</w:t>
      </w:r>
    </w:p>
    <w:p w:rsidR="009019CE" w:rsidRPr="00571F0B" w:rsidRDefault="009019CE" w:rsidP="00F6025A">
      <w:pPr>
        <w:pStyle w:val="ListParagraph"/>
        <w:ind w:left="0"/>
        <w:rPr>
          <w:lang w:val="en-GB"/>
        </w:rPr>
      </w:pPr>
    </w:p>
    <w:p w:rsidR="00B2338D" w:rsidRPr="00F6025A" w:rsidRDefault="00DB0B1D" w:rsidP="00A82AAB">
      <w:pPr>
        <w:pStyle w:val="ListParagraph"/>
        <w:numPr>
          <w:ilvl w:val="0"/>
          <w:numId w:val="95"/>
        </w:numPr>
        <w:spacing w:before="0" w:after="0"/>
        <w:ind w:left="360"/>
        <w:rPr>
          <w:lang w:val="en-GB"/>
        </w:rPr>
      </w:pPr>
      <w:r w:rsidRPr="00F6025A">
        <w:rPr>
          <w:b/>
          <w:lang w:val="en-GB"/>
        </w:rPr>
        <w:t>IF (IV</w:t>
      </w:r>
      <w:r w:rsidR="000A7929" w:rsidRPr="00F6025A">
        <w:rPr>
          <w:b/>
          <w:lang w:val="en-GB"/>
        </w:rPr>
        <w:t xml:space="preserve">) will target </w:t>
      </w:r>
      <w:r w:rsidR="009019CE" w:rsidRPr="00F6025A">
        <w:rPr>
          <w:b/>
          <w:lang w:val="en-GB"/>
        </w:rPr>
        <w:t>organisations, sectors and geographical areas:</w:t>
      </w:r>
      <w:r w:rsidR="009019CE" w:rsidRPr="00F6025A">
        <w:rPr>
          <w:lang w:val="en-GB"/>
        </w:rPr>
        <w:t xml:space="preserve"> Phase III has clearly demonstrated that the incentive funding mechanisms can be used to target specific types of organisations operating in</w:t>
      </w:r>
      <w:r w:rsidRPr="00F6025A">
        <w:rPr>
          <w:lang w:val="en-GB"/>
        </w:rPr>
        <w:t xml:space="preserve"> defined sectors and locations</w:t>
      </w:r>
      <w:r w:rsidR="00276EEA" w:rsidRPr="00F6025A">
        <w:rPr>
          <w:lang w:val="en-GB"/>
        </w:rPr>
        <w:t>. Targeting concept p</w:t>
      </w:r>
      <w:r w:rsidR="009019CE" w:rsidRPr="00F6025A">
        <w:rPr>
          <w:lang w:val="en-GB"/>
        </w:rPr>
        <w:t xml:space="preserve">apers </w:t>
      </w:r>
      <w:r w:rsidR="00276EEA" w:rsidRPr="00F6025A">
        <w:rPr>
          <w:lang w:val="en-GB"/>
        </w:rPr>
        <w:t>r</w:t>
      </w:r>
      <w:r w:rsidR="009019CE" w:rsidRPr="00F6025A">
        <w:rPr>
          <w:lang w:val="en-GB"/>
        </w:rPr>
        <w:t xml:space="preserve">equests needs to be </w:t>
      </w:r>
      <w:r w:rsidR="00276EEA" w:rsidRPr="00F6025A">
        <w:rPr>
          <w:lang w:val="en-GB"/>
        </w:rPr>
        <w:t xml:space="preserve">used </w:t>
      </w:r>
      <w:r w:rsidR="009019CE" w:rsidRPr="00F6025A">
        <w:rPr>
          <w:lang w:val="en-GB"/>
        </w:rPr>
        <w:t xml:space="preserve">strategically as Australian Aid seeks </w:t>
      </w:r>
      <w:r w:rsidR="00276EEA" w:rsidRPr="00F6025A">
        <w:rPr>
          <w:lang w:val="en-GB"/>
        </w:rPr>
        <w:t xml:space="preserve">to support </w:t>
      </w:r>
      <w:r w:rsidR="009019CE" w:rsidRPr="00F6025A">
        <w:rPr>
          <w:lang w:val="en-GB"/>
        </w:rPr>
        <w:t xml:space="preserve">new effective partners, </w:t>
      </w:r>
      <w:r w:rsidR="00276EEA" w:rsidRPr="00F6025A">
        <w:rPr>
          <w:lang w:val="en-GB"/>
        </w:rPr>
        <w:t>specific sectors and activities, or specific locations.</w:t>
      </w:r>
    </w:p>
    <w:p w:rsidR="00C30390" w:rsidRPr="00571F0B" w:rsidRDefault="00C30390" w:rsidP="00C30390">
      <w:pPr>
        <w:pStyle w:val="Heading1"/>
        <w:rPr>
          <w:lang w:val="en-GB"/>
        </w:rPr>
      </w:pPr>
      <w:bookmarkStart w:id="21" w:name="_Toc403037563"/>
      <w:r w:rsidRPr="00571F0B">
        <w:rPr>
          <w:lang w:val="en-GB"/>
        </w:rPr>
        <w:lastRenderedPageBreak/>
        <w:t xml:space="preserve">Incentive Fund </w:t>
      </w:r>
      <w:r w:rsidR="002B7876">
        <w:rPr>
          <w:lang w:val="en-GB"/>
        </w:rPr>
        <w:t xml:space="preserve">Phase </w:t>
      </w:r>
      <w:r w:rsidRPr="00571F0B">
        <w:rPr>
          <w:lang w:val="en-GB"/>
        </w:rPr>
        <w:t>IV</w:t>
      </w:r>
      <w:bookmarkEnd w:id="21"/>
    </w:p>
    <w:p w:rsidR="007F548D" w:rsidRPr="00571F0B" w:rsidRDefault="00C32777" w:rsidP="007819EF">
      <w:pPr>
        <w:pStyle w:val="Heading2"/>
        <w:rPr>
          <w:lang w:val="en-GB"/>
        </w:rPr>
      </w:pPr>
      <w:bookmarkStart w:id="22" w:name="_Toc403037564"/>
      <w:r w:rsidRPr="00571F0B">
        <w:rPr>
          <w:lang w:val="en-GB"/>
        </w:rPr>
        <w:t xml:space="preserve">Philosophy for </w:t>
      </w:r>
      <w:r w:rsidR="002B7876" w:rsidRPr="002B7876">
        <w:rPr>
          <w:lang w:val="en-GB"/>
        </w:rPr>
        <w:t>IF (IV)</w:t>
      </w:r>
      <w:bookmarkEnd w:id="22"/>
    </w:p>
    <w:p w:rsidR="00484894" w:rsidRDefault="00484894" w:rsidP="003039F4">
      <w:pPr>
        <w:spacing w:before="0" w:after="0"/>
        <w:rPr>
          <w:lang w:val="en-GB"/>
        </w:rPr>
      </w:pPr>
      <w:r w:rsidRPr="00571F0B">
        <w:rPr>
          <w:lang w:val="en-GB"/>
        </w:rPr>
        <w:t xml:space="preserve">To keep adding value </w:t>
      </w:r>
      <w:r w:rsidR="00792A8F" w:rsidRPr="00571F0B">
        <w:rPr>
          <w:lang w:val="en-GB"/>
        </w:rPr>
        <w:t xml:space="preserve">to </w:t>
      </w:r>
      <w:r w:rsidRPr="00571F0B">
        <w:rPr>
          <w:lang w:val="en-GB"/>
        </w:rPr>
        <w:t>the current Australian aid program</w:t>
      </w:r>
      <w:r w:rsidR="00C025DC">
        <w:rPr>
          <w:lang w:val="en-GB"/>
        </w:rPr>
        <w:t>,</w:t>
      </w:r>
      <w:r w:rsidRPr="00571F0B">
        <w:rPr>
          <w:lang w:val="en-GB"/>
        </w:rPr>
        <w:t xml:space="preserve"> the </w:t>
      </w:r>
      <w:r w:rsidR="00F6025A">
        <w:rPr>
          <w:lang w:val="en-GB"/>
        </w:rPr>
        <w:t>IF (IV)</w:t>
      </w:r>
      <w:r w:rsidRPr="00571F0B">
        <w:rPr>
          <w:lang w:val="en-GB"/>
        </w:rPr>
        <w:t xml:space="preserve"> must, through the funding of a major activity, provide a real incentive to an organisation and its leaders to enhance the management of an organisation to deliver its mandate, and for the organisation to deliver all funded process and outputs and make defined contributions to </w:t>
      </w:r>
      <w:r w:rsidR="00F6025A">
        <w:rPr>
          <w:lang w:val="en-GB"/>
        </w:rPr>
        <w:t>service delivery and/or economic development</w:t>
      </w:r>
      <w:r w:rsidR="00792A8F" w:rsidRPr="00571F0B">
        <w:rPr>
          <w:lang w:val="en-GB"/>
        </w:rPr>
        <w:t xml:space="preserve">. </w:t>
      </w:r>
      <w:r w:rsidRPr="00571F0B">
        <w:rPr>
          <w:lang w:val="en-GB"/>
        </w:rPr>
        <w:t xml:space="preserve">This implies that capacity development of an organisation occurs in parallel with, and in a real sense as part of, the planning and implementation of the activity. In the medium term this should then enable improved delivery of its mandate as a direct outcome from </w:t>
      </w:r>
      <w:r w:rsidR="00F32C27" w:rsidRPr="00F32C27">
        <w:rPr>
          <w:lang w:val="en-GB"/>
        </w:rPr>
        <w:t xml:space="preserve">IF (IV) </w:t>
      </w:r>
      <w:r w:rsidRPr="00571F0B">
        <w:rPr>
          <w:lang w:val="en-GB"/>
        </w:rPr>
        <w:t xml:space="preserve">support. This </w:t>
      </w:r>
      <w:r w:rsidR="009A66E9" w:rsidRPr="009A66E9">
        <w:rPr>
          <w:lang w:val="en-GB"/>
        </w:rPr>
        <w:t>Investment</w:t>
      </w:r>
      <w:r w:rsidR="00792A8F" w:rsidRPr="00571F0B">
        <w:rPr>
          <w:lang w:val="en-GB"/>
        </w:rPr>
        <w:t xml:space="preserve"> Design Document (</w:t>
      </w:r>
      <w:r w:rsidR="009A66E9" w:rsidRPr="009A66E9">
        <w:rPr>
          <w:lang w:val="en-GB"/>
        </w:rPr>
        <w:t>IDD</w:t>
      </w:r>
      <w:r w:rsidR="00792A8F" w:rsidRPr="00571F0B">
        <w:rPr>
          <w:lang w:val="en-GB"/>
        </w:rPr>
        <w:t>)</w:t>
      </w:r>
      <w:r w:rsidRPr="00571F0B">
        <w:rPr>
          <w:lang w:val="en-GB"/>
        </w:rPr>
        <w:t xml:space="preserve"> subscribes strongly to the concept that improved capacity is something that emerges if an organisation is given the opportunity to grow via processes that </w:t>
      </w:r>
      <w:r w:rsidR="00154FD5" w:rsidRPr="00571F0B">
        <w:rPr>
          <w:lang w:val="en-GB"/>
        </w:rPr>
        <w:t>are</w:t>
      </w:r>
      <w:r w:rsidRPr="00571F0B">
        <w:rPr>
          <w:lang w:val="en-GB"/>
        </w:rPr>
        <w:t xml:space="preserve"> managed internally.</w:t>
      </w:r>
      <w:r w:rsidR="003039F4">
        <w:rPr>
          <w:lang w:val="en-GB"/>
        </w:rPr>
        <w:t xml:space="preserve"> Capacity development is a long-</w:t>
      </w:r>
      <w:r w:rsidRPr="00571F0B">
        <w:rPr>
          <w:lang w:val="en-GB"/>
        </w:rPr>
        <w:t xml:space="preserve">haul </w:t>
      </w:r>
      <w:proofErr w:type="gramStart"/>
      <w:r w:rsidRPr="00571F0B">
        <w:rPr>
          <w:lang w:val="en-GB"/>
        </w:rPr>
        <w:t>process</w:t>
      </w:r>
      <w:proofErr w:type="gramEnd"/>
      <w:r w:rsidRPr="00571F0B">
        <w:rPr>
          <w:lang w:val="en-GB"/>
        </w:rPr>
        <w:t xml:space="preserve"> not a quick fix or a set of inputs that merge to creat</w:t>
      </w:r>
      <w:r w:rsidR="003039F4">
        <w:rPr>
          <w:lang w:val="en-GB"/>
        </w:rPr>
        <w:t>e tangible ‘enhanced capacity.’</w:t>
      </w:r>
    </w:p>
    <w:p w:rsidR="003039F4" w:rsidRPr="009E1E17" w:rsidRDefault="003039F4" w:rsidP="003039F4">
      <w:pPr>
        <w:spacing w:before="0" w:after="0"/>
        <w:rPr>
          <w:sz w:val="16"/>
          <w:szCs w:val="16"/>
          <w:lang w:val="en-GB"/>
        </w:rPr>
      </w:pPr>
    </w:p>
    <w:p w:rsidR="00484894" w:rsidRPr="00571F0B" w:rsidRDefault="00484894" w:rsidP="003039F4">
      <w:pPr>
        <w:spacing w:before="0" w:after="0"/>
        <w:rPr>
          <w:lang w:val="en-GB"/>
        </w:rPr>
      </w:pPr>
      <w:r w:rsidRPr="00571F0B">
        <w:rPr>
          <w:lang w:val="en-GB"/>
        </w:rPr>
        <w:t xml:space="preserve">Using </w:t>
      </w:r>
      <w:r w:rsidR="004E08D3">
        <w:rPr>
          <w:lang w:val="en-GB"/>
        </w:rPr>
        <w:t>IF (IV)</w:t>
      </w:r>
      <w:r w:rsidRPr="00571F0B">
        <w:rPr>
          <w:lang w:val="en-GB"/>
        </w:rPr>
        <w:t xml:space="preserve"> for capacity development implies at least three interpretations of the applicat</w:t>
      </w:r>
      <w:r w:rsidR="003039F4">
        <w:rPr>
          <w:lang w:val="en-GB"/>
        </w:rPr>
        <w:t>ion of the incentive principle:</w:t>
      </w:r>
    </w:p>
    <w:p w:rsidR="00484894" w:rsidRPr="00571F0B" w:rsidRDefault="00484894" w:rsidP="00A82AAB">
      <w:pPr>
        <w:pStyle w:val="ListParagraph"/>
        <w:numPr>
          <w:ilvl w:val="0"/>
          <w:numId w:val="16"/>
        </w:numPr>
        <w:spacing w:before="0" w:after="0"/>
        <w:ind w:left="284" w:hanging="284"/>
        <w:rPr>
          <w:lang w:val="en-GB"/>
        </w:rPr>
      </w:pPr>
      <w:r w:rsidRPr="00571F0B">
        <w:rPr>
          <w:lang w:val="en-GB"/>
        </w:rPr>
        <w:t xml:space="preserve">The organisation has demonstrated an organisational capability </w:t>
      </w:r>
      <w:r w:rsidR="00154FD5" w:rsidRPr="00571F0B">
        <w:rPr>
          <w:lang w:val="en-GB"/>
        </w:rPr>
        <w:t>to deliver</w:t>
      </w:r>
      <w:r w:rsidRPr="00571F0B">
        <w:rPr>
          <w:lang w:val="en-GB"/>
        </w:rPr>
        <w:t xml:space="preserve"> development outcomes i.e. it is performing well in its current scope. </w:t>
      </w:r>
      <w:r w:rsidR="004E08D3">
        <w:rPr>
          <w:lang w:val="en-GB"/>
        </w:rPr>
        <w:t>IF (IV)</w:t>
      </w:r>
      <w:r w:rsidRPr="00571F0B">
        <w:rPr>
          <w:lang w:val="en-GB"/>
        </w:rPr>
        <w:t xml:space="preserve"> is effectively used to acknowledge and reward those achievements and to encourage further improve</w:t>
      </w:r>
      <w:r w:rsidR="00EB7820" w:rsidRPr="00571F0B">
        <w:rPr>
          <w:lang w:val="en-GB"/>
        </w:rPr>
        <w:t>ment in</w:t>
      </w:r>
      <w:r w:rsidRPr="00571F0B">
        <w:rPr>
          <w:lang w:val="en-GB"/>
        </w:rPr>
        <w:t xml:space="preserve"> reach</w:t>
      </w:r>
      <w:r w:rsidR="004E08D3">
        <w:rPr>
          <w:lang w:val="en-GB"/>
        </w:rPr>
        <w:t>, coverage and quality</w:t>
      </w:r>
      <w:r w:rsidRPr="00571F0B">
        <w:rPr>
          <w:lang w:val="en-GB"/>
        </w:rPr>
        <w:t xml:space="preserve"> – building greater internal capacity that in turn contributes to a better enabling environment.  </w:t>
      </w:r>
    </w:p>
    <w:p w:rsidR="00484894" w:rsidRPr="00571F0B" w:rsidRDefault="00484894" w:rsidP="00A82AAB">
      <w:pPr>
        <w:pStyle w:val="ListParagraph"/>
        <w:numPr>
          <w:ilvl w:val="0"/>
          <w:numId w:val="16"/>
        </w:numPr>
        <w:spacing w:before="0" w:after="0"/>
        <w:ind w:left="284" w:hanging="284"/>
        <w:rPr>
          <w:lang w:val="en-GB"/>
        </w:rPr>
      </w:pPr>
      <w:r w:rsidRPr="00571F0B">
        <w:rPr>
          <w:lang w:val="en-GB"/>
        </w:rPr>
        <w:t xml:space="preserve">As a result of the improved capacity it can expand its ‘business’ resulting in improved delivery of services </w:t>
      </w:r>
      <w:r w:rsidR="004E08D3">
        <w:rPr>
          <w:lang w:val="en-GB"/>
        </w:rPr>
        <w:t xml:space="preserve">or economic development, </w:t>
      </w:r>
      <w:r w:rsidRPr="00571F0B">
        <w:rPr>
          <w:lang w:val="en-GB"/>
        </w:rPr>
        <w:t xml:space="preserve">and ultimately improved development outcomes.  </w:t>
      </w:r>
    </w:p>
    <w:p w:rsidR="00484894" w:rsidRPr="00571F0B" w:rsidRDefault="00484894" w:rsidP="00A82AAB">
      <w:pPr>
        <w:pStyle w:val="ListParagraph"/>
        <w:numPr>
          <w:ilvl w:val="0"/>
          <w:numId w:val="16"/>
        </w:numPr>
        <w:spacing w:before="0" w:after="0"/>
        <w:ind w:left="284" w:hanging="284"/>
        <w:rPr>
          <w:lang w:val="en-GB"/>
        </w:rPr>
      </w:pPr>
      <w:r w:rsidRPr="00571F0B">
        <w:rPr>
          <w:lang w:val="en-GB"/>
        </w:rPr>
        <w:t xml:space="preserve">Other organisations will be encouraged to follow the same path with </w:t>
      </w:r>
      <w:r w:rsidR="004E08D3">
        <w:rPr>
          <w:lang w:val="en-GB"/>
        </w:rPr>
        <w:t>IF (IV)</w:t>
      </w:r>
      <w:r w:rsidRPr="00571F0B">
        <w:rPr>
          <w:lang w:val="en-GB"/>
        </w:rPr>
        <w:t xml:space="preserve"> promo</w:t>
      </w:r>
      <w:r w:rsidR="00154FD5" w:rsidRPr="00571F0B">
        <w:rPr>
          <w:lang w:val="en-GB"/>
        </w:rPr>
        <w:t>ting self-</w:t>
      </w:r>
      <w:r w:rsidRPr="00571F0B">
        <w:rPr>
          <w:lang w:val="en-GB"/>
        </w:rPr>
        <w:t>improvement or, used more stra</w:t>
      </w:r>
      <w:r w:rsidR="00FD7A02">
        <w:rPr>
          <w:lang w:val="en-GB"/>
        </w:rPr>
        <w:t>tegically, DFAT can encourage</w:t>
      </w:r>
      <w:r w:rsidRPr="00571F0B">
        <w:rPr>
          <w:lang w:val="en-GB"/>
        </w:rPr>
        <w:t xml:space="preserve"> improved performance </w:t>
      </w:r>
      <w:r w:rsidR="00EB7820" w:rsidRPr="00571F0B">
        <w:rPr>
          <w:lang w:val="en-GB"/>
        </w:rPr>
        <w:t>from strategic partner</w:t>
      </w:r>
      <w:r w:rsidR="00FD7A02">
        <w:rPr>
          <w:lang w:val="en-GB"/>
        </w:rPr>
        <w:t>s</w:t>
      </w:r>
      <w:r w:rsidR="00EB7820" w:rsidRPr="00571F0B">
        <w:rPr>
          <w:lang w:val="en-GB"/>
        </w:rPr>
        <w:t xml:space="preserve"> </w:t>
      </w:r>
      <w:r w:rsidRPr="00571F0B">
        <w:rPr>
          <w:lang w:val="en-GB"/>
        </w:rPr>
        <w:t xml:space="preserve">which could </w:t>
      </w:r>
      <w:r w:rsidR="00154FD5" w:rsidRPr="00571F0B">
        <w:rPr>
          <w:lang w:val="en-GB"/>
        </w:rPr>
        <w:t xml:space="preserve">then </w:t>
      </w:r>
      <w:r w:rsidRPr="00571F0B">
        <w:rPr>
          <w:lang w:val="en-GB"/>
        </w:rPr>
        <w:t>be recognised and reward</w:t>
      </w:r>
      <w:r w:rsidR="00EB7820" w:rsidRPr="00571F0B">
        <w:rPr>
          <w:lang w:val="en-GB"/>
        </w:rPr>
        <w:t>ed</w:t>
      </w:r>
      <w:r w:rsidRPr="00571F0B">
        <w:rPr>
          <w:lang w:val="en-GB"/>
        </w:rPr>
        <w:t xml:space="preserve"> through </w:t>
      </w:r>
      <w:r w:rsidR="004E08D3" w:rsidRPr="004E08D3">
        <w:rPr>
          <w:lang w:val="en-GB"/>
        </w:rPr>
        <w:t>IF (IV)</w:t>
      </w:r>
      <w:r w:rsidRPr="00571F0B">
        <w:rPr>
          <w:lang w:val="en-GB"/>
        </w:rPr>
        <w:t xml:space="preserve">. </w:t>
      </w:r>
    </w:p>
    <w:p w:rsidR="003039F4" w:rsidRDefault="003039F4" w:rsidP="003039F4">
      <w:pPr>
        <w:pStyle w:val="BodyText"/>
        <w:spacing w:before="0" w:after="0"/>
        <w:rPr>
          <w:szCs w:val="24"/>
          <w:lang w:val="en-GB"/>
        </w:rPr>
      </w:pPr>
    </w:p>
    <w:p w:rsidR="000A51FF" w:rsidRPr="00571F0B" w:rsidRDefault="000A51FF" w:rsidP="003039F4">
      <w:pPr>
        <w:pStyle w:val="BodyText"/>
        <w:spacing w:before="0" w:after="0"/>
        <w:rPr>
          <w:szCs w:val="24"/>
          <w:lang w:val="en-GB"/>
        </w:rPr>
      </w:pPr>
      <w:r w:rsidRPr="00571F0B">
        <w:rPr>
          <w:szCs w:val="24"/>
          <w:lang w:val="en-GB"/>
        </w:rPr>
        <w:t xml:space="preserve">This </w:t>
      </w:r>
      <w:r w:rsidR="009A66E9" w:rsidRPr="009A66E9">
        <w:rPr>
          <w:szCs w:val="24"/>
          <w:lang w:val="en-GB"/>
        </w:rPr>
        <w:t>IDD</w:t>
      </w:r>
      <w:r w:rsidRPr="00571F0B">
        <w:rPr>
          <w:szCs w:val="24"/>
          <w:lang w:val="en-GB"/>
        </w:rPr>
        <w:t xml:space="preserve"> aligns key concepts of </w:t>
      </w:r>
      <w:r w:rsidR="00F32C27" w:rsidRPr="00F32C27">
        <w:rPr>
          <w:szCs w:val="24"/>
          <w:lang w:val="en-GB"/>
        </w:rPr>
        <w:t xml:space="preserve">IF (IV) </w:t>
      </w:r>
      <w:r w:rsidRPr="00571F0B">
        <w:rPr>
          <w:szCs w:val="24"/>
          <w:lang w:val="en-GB"/>
        </w:rPr>
        <w:t>with Australia’s new development policy by:</w:t>
      </w:r>
    </w:p>
    <w:p w:rsidR="000A51FF" w:rsidRPr="00571F0B" w:rsidRDefault="000A51FF" w:rsidP="00A82AAB">
      <w:pPr>
        <w:pStyle w:val="BodyText"/>
        <w:numPr>
          <w:ilvl w:val="0"/>
          <w:numId w:val="27"/>
        </w:numPr>
        <w:spacing w:before="0" w:after="0"/>
        <w:ind w:left="284" w:hanging="284"/>
        <w:rPr>
          <w:szCs w:val="24"/>
          <w:lang w:val="en-GB"/>
        </w:rPr>
      </w:pPr>
      <w:r w:rsidRPr="00571F0B">
        <w:rPr>
          <w:szCs w:val="24"/>
          <w:lang w:val="en-GB"/>
        </w:rPr>
        <w:t>rewarding performing organisations that can further contribute to a better enabling environment</w:t>
      </w:r>
      <w:r w:rsidR="00FD7A02">
        <w:rPr>
          <w:szCs w:val="24"/>
          <w:lang w:val="en-GB"/>
        </w:rPr>
        <w:t>;</w:t>
      </w:r>
    </w:p>
    <w:p w:rsidR="000A51FF" w:rsidRPr="00571F0B" w:rsidRDefault="000A51FF" w:rsidP="00A82AAB">
      <w:pPr>
        <w:pStyle w:val="BodyText"/>
        <w:numPr>
          <w:ilvl w:val="0"/>
          <w:numId w:val="27"/>
        </w:numPr>
        <w:spacing w:before="0" w:after="0"/>
        <w:ind w:left="284" w:hanging="284"/>
        <w:rPr>
          <w:szCs w:val="24"/>
          <w:lang w:val="en-GB"/>
        </w:rPr>
      </w:pPr>
      <w:r w:rsidRPr="00571F0B">
        <w:rPr>
          <w:szCs w:val="24"/>
          <w:lang w:val="en-GB"/>
        </w:rPr>
        <w:t xml:space="preserve">ensuring that at least </w:t>
      </w:r>
      <w:r w:rsidR="00463D79" w:rsidRPr="00463D79">
        <w:rPr>
          <w:szCs w:val="24"/>
          <w:lang w:val="en-GB"/>
        </w:rPr>
        <w:t>80 per cent of the investments will support empowerment of women and girls</w:t>
      </w:r>
      <w:r w:rsidR="00FD7A02">
        <w:rPr>
          <w:szCs w:val="24"/>
          <w:lang w:val="en-GB"/>
        </w:rPr>
        <w:t>;</w:t>
      </w:r>
    </w:p>
    <w:p w:rsidR="000A51FF" w:rsidRPr="00571F0B" w:rsidRDefault="000A51FF" w:rsidP="00A82AAB">
      <w:pPr>
        <w:pStyle w:val="BodyText"/>
        <w:numPr>
          <w:ilvl w:val="0"/>
          <w:numId w:val="27"/>
        </w:numPr>
        <w:spacing w:before="0" w:after="0"/>
        <w:ind w:left="284" w:hanging="284"/>
        <w:rPr>
          <w:szCs w:val="24"/>
          <w:lang w:val="en-GB"/>
        </w:rPr>
      </w:pPr>
      <w:r w:rsidRPr="00571F0B">
        <w:rPr>
          <w:szCs w:val="24"/>
          <w:lang w:val="en-GB"/>
        </w:rPr>
        <w:t xml:space="preserve">understanding </w:t>
      </w:r>
      <w:r w:rsidRPr="00350A70">
        <w:rPr>
          <w:szCs w:val="24"/>
          <w:lang w:val="en-GB"/>
        </w:rPr>
        <w:t xml:space="preserve">the </w:t>
      </w:r>
      <w:r w:rsidR="00350A70" w:rsidRPr="00350A70">
        <w:rPr>
          <w:szCs w:val="24"/>
          <w:lang w:val="en-GB"/>
        </w:rPr>
        <w:t>local political economy and operating context</w:t>
      </w:r>
      <w:r w:rsidR="00FD7A02" w:rsidRPr="00350A70">
        <w:rPr>
          <w:szCs w:val="24"/>
          <w:lang w:val="en-GB"/>
        </w:rPr>
        <w:t>;</w:t>
      </w:r>
    </w:p>
    <w:p w:rsidR="000A51FF" w:rsidRPr="00571F0B" w:rsidRDefault="000A51FF" w:rsidP="00A82AAB">
      <w:pPr>
        <w:pStyle w:val="BodyText"/>
        <w:numPr>
          <w:ilvl w:val="0"/>
          <w:numId w:val="27"/>
        </w:numPr>
        <w:spacing w:before="0" w:after="0"/>
        <w:ind w:left="284" w:hanging="284"/>
        <w:rPr>
          <w:szCs w:val="24"/>
          <w:lang w:val="en-GB"/>
        </w:rPr>
      </w:pPr>
      <w:r w:rsidRPr="00571F0B">
        <w:rPr>
          <w:szCs w:val="24"/>
          <w:lang w:val="en-GB"/>
        </w:rPr>
        <w:t>tightening the linkages to ensure conti</w:t>
      </w:r>
      <w:r w:rsidR="003039F4">
        <w:rPr>
          <w:szCs w:val="24"/>
          <w:lang w:val="en-GB"/>
        </w:rPr>
        <w:t>nued operating and maintenance</w:t>
      </w:r>
      <w:r w:rsidR="00FD7A02">
        <w:rPr>
          <w:szCs w:val="24"/>
          <w:lang w:val="en-GB"/>
        </w:rPr>
        <w:t>;</w:t>
      </w:r>
    </w:p>
    <w:p w:rsidR="000A51FF" w:rsidRPr="00571F0B" w:rsidRDefault="000A51FF" w:rsidP="00A82AAB">
      <w:pPr>
        <w:pStyle w:val="BodyText"/>
        <w:numPr>
          <w:ilvl w:val="0"/>
          <w:numId w:val="27"/>
        </w:numPr>
        <w:spacing w:before="0" w:after="0"/>
        <w:ind w:left="284" w:hanging="284"/>
        <w:rPr>
          <w:szCs w:val="24"/>
          <w:lang w:val="en-GB"/>
        </w:rPr>
      </w:pPr>
      <w:r w:rsidRPr="00571F0B">
        <w:rPr>
          <w:szCs w:val="24"/>
          <w:lang w:val="en-GB"/>
        </w:rPr>
        <w:t>attracting new effective partners and particularly from the private sector</w:t>
      </w:r>
      <w:r w:rsidR="00FD7A02">
        <w:rPr>
          <w:szCs w:val="24"/>
          <w:lang w:val="en-GB"/>
        </w:rPr>
        <w:t>;</w:t>
      </w:r>
    </w:p>
    <w:p w:rsidR="000A51FF" w:rsidRPr="00571F0B" w:rsidRDefault="000A51FF" w:rsidP="00A82AAB">
      <w:pPr>
        <w:pStyle w:val="BodyText"/>
        <w:numPr>
          <w:ilvl w:val="0"/>
          <w:numId w:val="27"/>
        </w:numPr>
        <w:spacing w:before="0" w:after="0"/>
        <w:ind w:left="284" w:hanging="284"/>
        <w:rPr>
          <w:szCs w:val="24"/>
          <w:lang w:val="en-GB"/>
        </w:rPr>
      </w:pPr>
      <w:proofErr w:type="gramStart"/>
      <w:r w:rsidRPr="00571F0B">
        <w:rPr>
          <w:szCs w:val="24"/>
          <w:lang w:val="en-GB"/>
        </w:rPr>
        <w:t>assessing</w:t>
      </w:r>
      <w:proofErr w:type="gramEnd"/>
      <w:r w:rsidRPr="00571F0B">
        <w:rPr>
          <w:szCs w:val="24"/>
          <w:lang w:val="en-GB"/>
        </w:rPr>
        <w:t xml:space="preserve"> actual capacity and further contributions to outcomes likely to be made to determine value-for-money (VfM)</w:t>
      </w:r>
      <w:r w:rsidR="003039F4">
        <w:rPr>
          <w:szCs w:val="24"/>
          <w:lang w:val="en-GB"/>
        </w:rPr>
        <w:t>.</w:t>
      </w:r>
    </w:p>
    <w:p w:rsidR="000A51FF" w:rsidRPr="003039F4" w:rsidRDefault="000A51FF" w:rsidP="003039F4">
      <w:pPr>
        <w:spacing w:before="0" w:after="0"/>
        <w:rPr>
          <w:sz w:val="16"/>
          <w:szCs w:val="16"/>
          <w:lang w:val="en-GB"/>
        </w:rPr>
      </w:pPr>
    </w:p>
    <w:p w:rsidR="00484894" w:rsidRDefault="00422DDC" w:rsidP="003039F4">
      <w:pPr>
        <w:spacing w:before="0" w:after="0"/>
        <w:rPr>
          <w:lang w:val="en-GB"/>
        </w:rPr>
      </w:pPr>
      <w:r>
        <w:rPr>
          <w:lang w:val="en-GB"/>
        </w:rPr>
        <w:t>All</w:t>
      </w:r>
      <w:r w:rsidR="00484894" w:rsidRPr="00571F0B">
        <w:rPr>
          <w:lang w:val="en-GB"/>
        </w:rPr>
        <w:t xml:space="preserve"> Phase III IFA’s were for health and education infrastructure. Appropriately </w:t>
      </w:r>
      <w:r w:rsidR="00154FD5" w:rsidRPr="00571F0B">
        <w:rPr>
          <w:lang w:val="en-GB"/>
        </w:rPr>
        <w:t>built, operated and maintained i</w:t>
      </w:r>
      <w:r w:rsidR="00484894" w:rsidRPr="00571F0B">
        <w:rPr>
          <w:lang w:val="en-GB"/>
        </w:rPr>
        <w:t>nfrastructure makes an important contribution to outcomes, and this is recognised</w:t>
      </w:r>
      <w:r w:rsidR="00154FD5" w:rsidRPr="00571F0B">
        <w:rPr>
          <w:lang w:val="en-GB"/>
        </w:rPr>
        <w:t xml:space="preserve"> by the </w:t>
      </w:r>
      <w:r w:rsidR="00484894" w:rsidRPr="00571F0B">
        <w:rPr>
          <w:lang w:val="en-GB"/>
        </w:rPr>
        <w:t xml:space="preserve">GoA and GoPNG </w:t>
      </w:r>
      <w:r w:rsidR="00154FD5" w:rsidRPr="00571F0B">
        <w:rPr>
          <w:lang w:val="en-GB"/>
        </w:rPr>
        <w:t xml:space="preserve">who </w:t>
      </w:r>
      <w:r w:rsidR="00484894" w:rsidRPr="00571F0B">
        <w:rPr>
          <w:lang w:val="en-GB"/>
        </w:rPr>
        <w:t>have agreed that more than 50</w:t>
      </w:r>
      <w:r w:rsidR="00154FD5" w:rsidRPr="00571F0B">
        <w:rPr>
          <w:lang w:val="en-GB"/>
        </w:rPr>
        <w:t xml:space="preserve"> per cent </w:t>
      </w:r>
      <w:r w:rsidR="00484894" w:rsidRPr="00571F0B">
        <w:rPr>
          <w:lang w:val="en-GB"/>
        </w:rPr>
        <w:t xml:space="preserve">of </w:t>
      </w:r>
      <w:r w:rsidR="002B7876" w:rsidRPr="002B7876">
        <w:rPr>
          <w:lang w:val="en-GB"/>
        </w:rPr>
        <w:t xml:space="preserve">IF (IV) </w:t>
      </w:r>
      <w:r w:rsidR="00484894" w:rsidRPr="00571F0B">
        <w:rPr>
          <w:lang w:val="en-GB"/>
        </w:rPr>
        <w:t xml:space="preserve">investments will be </w:t>
      </w:r>
      <w:r w:rsidR="00154FD5" w:rsidRPr="00571F0B">
        <w:rPr>
          <w:lang w:val="en-GB"/>
        </w:rPr>
        <w:t xml:space="preserve">allocated </w:t>
      </w:r>
      <w:r w:rsidR="00484894" w:rsidRPr="00571F0B">
        <w:rPr>
          <w:lang w:val="en-GB"/>
        </w:rPr>
        <w:t>for infrast</w:t>
      </w:r>
      <w:r w:rsidR="003039F4">
        <w:rPr>
          <w:lang w:val="en-GB"/>
        </w:rPr>
        <w:t>ructure.</w:t>
      </w:r>
    </w:p>
    <w:p w:rsidR="003039F4" w:rsidRDefault="003039F4">
      <w:pPr>
        <w:spacing w:before="0" w:after="0"/>
        <w:jc w:val="left"/>
        <w:rPr>
          <w:lang w:val="en-GB"/>
        </w:rPr>
      </w:pPr>
      <w:r>
        <w:rPr>
          <w:lang w:val="en-GB"/>
        </w:rPr>
        <w:br w:type="page"/>
      </w:r>
    </w:p>
    <w:p w:rsidR="00484894" w:rsidRDefault="00484894" w:rsidP="003039F4">
      <w:pPr>
        <w:spacing w:before="0" w:after="0"/>
        <w:rPr>
          <w:lang w:val="en-GB"/>
        </w:rPr>
      </w:pPr>
      <w:r w:rsidRPr="00571F0B">
        <w:rPr>
          <w:lang w:val="en-GB"/>
        </w:rPr>
        <w:lastRenderedPageBreak/>
        <w:t xml:space="preserve">There are many </w:t>
      </w:r>
      <w:r w:rsidR="00154FD5" w:rsidRPr="00571F0B">
        <w:rPr>
          <w:lang w:val="en-GB"/>
        </w:rPr>
        <w:t>good</w:t>
      </w:r>
      <w:r w:rsidRPr="00571F0B">
        <w:rPr>
          <w:lang w:val="en-GB"/>
        </w:rPr>
        <w:t xml:space="preserve"> performing PNG and international organisations that do not require </w:t>
      </w:r>
      <w:r w:rsidR="0069056C" w:rsidRPr="00571F0B">
        <w:rPr>
          <w:lang w:val="en-GB"/>
        </w:rPr>
        <w:t>and could not safely and effectively deliver K1</w:t>
      </w:r>
      <w:r w:rsidRPr="00571F0B">
        <w:rPr>
          <w:lang w:val="en-GB"/>
        </w:rPr>
        <w:t xml:space="preserve">million </w:t>
      </w:r>
      <w:r w:rsidR="0069056C" w:rsidRPr="00571F0B">
        <w:rPr>
          <w:lang w:val="en-GB"/>
        </w:rPr>
        <w:t xml:space="preserve">of DFAT support </w:t>
      </w:r>
      <w:r w:rsidR="00154FD5" w:rsidRPr="00571F0B">
        <w:rPr>
          <w:lang w:val="en-GB"/>
        </w:rPr>
        <w:t xml:space="preserve">to </w:t>
      </w:r>
      <w:r w:rsidRPr="00571F0B">
        <w:rPr>
          <w:lang w:val="en-GB"/>
        </w:rPr>
        <w:t xml:space="preserve">expand activities </w:t>
      </w:r>
      <w:r w:rsidR="0069056C" w:rsidRPr="00571F0B">
        <w:rPr>
          <w:lang w:val="en-GB"/>
        </w:rPr>
        <w:t xml:space="preserve">and </w:t>
      </w:r>
      <w:r w:rsidR="00154FD5" w:rsidRPr="00571F0B">
        <w:rPr>
          <w:lang w:val="en-GB"/>
        </w:rPr>
        <w:t xml:space="preserve">contribute </w:t>
      </w:r>
      <w:r w:rsidR="004E08D3">
        <w:rPr>
          <w:lang w:val="en-GB"/>
        </w:rPr>
        <w:t>more to service delivery or economic development</w:t>
      </w:r>
      <w:r w:rsidRPr="00571F0B">
        <w:rPr>
          <w:lang w:val="en-GB"/>
        </w:rPr>
        <w:t xml:space="preserve">. Whether they can access other Australian Aid </w:t>
      </w:r>
      <w:r w:rsidR="0069056C" w:rsidRPr="00571F0B">
        <w:rPr>
          <w:lang w:val="en-GB"/>
        </w:rPr>
        <w:t xml:space="preserve">and lower </w:t>
      </w:r>
      <w:r w:rsidRPr="00571F0B">
        <w:rPr>
          <w:lang w:val="en-GB"/>
        </w:rPr>
        <w:t>grant</w:t>
      </w:r>
      <w:r w:rsidR="0069056C" w:rsidRPr="00571F0B">
        <w:rPr>
          <w:lang w:val="en-GB"/>
        </w:rPr>
        <w:t xml:space="preserve"> amounts </w:t>
      </w:r>
      <w:r w:rsidRPr="00571F0B">
        <w:rPr>
          <w:lang w:val="en-GB"/>
        </w:rPr>
        <w:t>and</w:t>
      </w:r>
      <w:r w:rsidR="0069056C" w:rsidRPr="00571F0B">
        <w:rPr>
          <w:lang w:val="en-GB"/>
        </w:rPr>
        <w:t xml:space="preserve"> then</w:t>
      </w:r>
      <w:r w:rsidRPr="00571F0B">
        <w:rPr>
          <w:lang w:val="en-GB"/>
        </w:rPr>
        <w:t xml:space="preserve"> elevate to </w:t>
      </w:r>
      <w:r w:rsidR="004E08D3">
        <w:rPr>
          <w:lang w:val="en-GB"/>
        </w:rPr>
        <w:t>IF (IV)</w:t>
      </w:r>
      <w:r w:rsidRPr="00571F0B">
        <w:rPr>
          <w:lang w:val="en-GB"/>
        </w:rPr>
        <w:t xml:space="preserve"> is not a strategic consideration for </w:t>
      </w:r>
      <w:r w:rsidR="004E08D3">
        <w:rPr>
          <w:lang w:val="en-GB"/>
        </w:rPr>
        <w:t>IF (IV)</w:t>
      </w:r>
      <w:r w:rsidRPr="00571F0B">
        <w:rPr>
          <w:lang w:val="en-GB"/>
        </w:rPr>
        <w:t>. Attempts to achieve this in Phase III did not work because the Incentive Fund sought larger, effective partners</w:t>
      </w:r>
      <w:r w:rsidR="00154FD5" w:rsidRPr="00571F0B">
        <w:rPr>
          <w:lang w:val="en-GB"/>
        </w:rPr>
        <w:t>. P</w:t>
      </w:r>
      <w:r w:rsidRPr="00571F0B">
        <w:rPr>
          <w:lang w:val="en-GB"/>
        </w:rPr>
        <w:t xml:space="preserve">rograms, including Strongim Pipol Strongim Nesen </w:t>
      </w:r>
      <w:r w:rsidR="00345556" w:rsidRPr="00571F0B">
        <w:rPr>
          <w:lang w:val="en-GB"/>
        </w:rPr>
        <w:t xml:space="preserve">(SPSN) </w:t>
      </w:r>
      <w:r w:rsidRPr="00571F0B">
        <w:rPr>
          <w:lang w:val="en-GB"/>
        </w:rPr>
        <w:t>for example, had their own governance and approval mechanisms and funding priorities</w:t>
      </w:r>
      <w:r w:rsidR="00154FD5" w:rsidRPr="00571F0B">
        <w:rPr>
          <w:lang w:val="en-GB"/>
        </w:rPr>
        <w:t>,</w:t>
      </w:r>
      <w:r w:rsidRPr="00571F0B">
        <w:rPr>
          <w:lang w:val="en-GB"/>
        </w:rPr>
        <w:t xml:space="preserve"> and </w:t>
      </w:r>
      <w:r w:rsidR="00154FD5" w:rsidRPr="00571F0B">
        <w:rPr>
          <w:lang w:val="en-GB"/>
        </w:rPr>
        <w:t xml:space="preserve">they </w:t>
      </w:r>
      <w:r w:rsidRPr="00571F0B">
        <w:rPr>
          <w:lang w:val="en-GB"/>
        </w:rPr>
        <w:t>quickly allocated funds</w:t>
      </w:r>
      <w:r w:rsidR="0069056C" w:rsidRPr="00571F0B">
        <w:rPr>
          <w:lang w:val="en-GB"/>
        </w:rPr>
        <w:t xml:space="preserve"> without any strategic consideration of the Incentive Fund</w:t>
      </w:r>
      <w:r w:rsidRPr="00571F0B">
        <w:rPr>
          <w:lang w:val="en-GB"/>
        </w:rPr>
        <w:t xml:space="preserve">. </w:t>
      </w:r>
      <w:proofErr w:type="gramStart"/>
      <w:r w:rsidR="004E08D3">
        <w:rPr>
          <w:lang w:val="en-GB"/>
        </w:rPr>
        <w:t>IF (IV)</w:t>
      </w:r>
      <w:r w:rsidRPr="00571F0B">
        <w:rPr>
          <w:lang w:val="en-GB"/>
        </w:rPr>
        <w:t xml:space="preserve"> is seeking to make a significant contribution to improved development outcomes and is only seeking organisations capable of effectively managing </w:t>
      </w:r>
      <w:r w:rsidR="00154FD5" w:rsidRPr="00571F0B">
        <w:rPr>
          <w:lang w:val="en-GB"/>
        </w:rPr>
        <w:t xml:space="preserve">at least </w:t>
      </w:r>
      <w:r w:rsidRPr="00571F0B">
        <w:rPr>
          <w:lang w:val="en-GB"/>
        </w:rPr>
        <w:t>K1 million.</w:t>
      </w:r>
      <w:proofErr w:type="gramEnd"/>
      <w:r w:rsidR="0069056C" w:rsidRPr="00571F0B">
        <w:rPr>
          <w:lang w:val="en-GB"/>
        </w:rPr>
        <w:t xml:space="preserve"> </w:t>
      </w:r>
      <w:r w:rsidRPr="00571F0B">
        <w:rPr>
          <w:lang w:val="en-GB"/>
        </w:rPr>
        <w:t xml:space="preserve">Eligible organisations that are incentivised to scale-up and improve their performance to secure </w:t>
      </w:r>
      <w:r w:rsidR="003039F4">
        <w:rPr>
          <w:lang w:val="en-GB"/>
        </w:rPr>
        <w:t xml:space="preserve">support </w:t>
      </w:r>
      <w:r w:rsidR="004E08D3">
        <w:rPr>
          <w:lang w:val="en-GB"/>
        </w:rPr>
        <w:t xml:space="preserve">to expand service delivery or economic development </w:t>
      </w:r>
      <w:r w:rsidR="003039F4">
        <w:rPr>
          <w:lang w:val="en-GB"/>
        </w:rPr>
        <w:t>will be encourage</w:t>
      </w:r>
      <w:r w:rsidR="00FD7A02">
        <w:rPr>
          <w:lang w:val="en-GB"/>
        </w:rPr>
        <w:t>d</w:t>
      </w:r>
      <w:r w:rsidR="003039F4">
        <w:rPr>
          <w:lang w:val="en-GB"/>
        </w:rPr>
        <w:t>.</w:t>
      </w:r>
    </w:p>
    <w:p w:rsidR="003039F4" w:rsidRPr="003039F4" w:rsidRDefault="003039F4" w:rsidP="003039F4">
      <w:pPr>
        <w:spacing w:before="0" w:after="0"/>
        <w:rPr>
          <w:sz w:val="16"/>
          <w:szCs w:val="16"/>
          <w:lang w:val="en-GB"/>
        </w:rPr>
      </w:pPr>
    </w:p>
    <w:p w:rsidR="00484894" w:rsidRDefault="00FD7A02" w:rsidP="003039F4">
      <w:pPr>
        <w:spacing w:before="0" w:after="0"/>
        <w:rPr>
          <w:lang w:val="en-GB"/>
        </w:rPr>
      </w:pPr>
      <w:r>
        <w:rPr>
          <w:lang w:val="en-GB"/>
        </w:rPr>
        <w:t>As in</w:t>
      </w:r>
      <w:r w:rsidR="00484894" w:rsidRPr="00571F0B">
        <w:rPr>
          <w:lang w:val="en-GB"/>
        </w:rPr>
        <w:t xml:space="preserve"> Phase III</w:t>
      </w:r>
      <w:r w:rsidR="003039F4">
        <w:rPr>
          <w:lang w:val="en-GB"/>
        </w:rPr>
        <w:t xml:space="preserve">, organisations from remote or non-urban </w:t>
      </w:r>
      <w:r w:rsidR="00484894" w:rsidRPr="00571F0B">
        <w:rPr>
          <w:lang w:val="en-GB"/>
        </w:rPr>
        <w:t xml:space="preserve">parts of Papua New Guinea with a good development concept that meet the criteria will not be denied support due to </w:t>
      </w:r>
      <w:r w:rsidR="004E08D3">
        <w:rPr>
          <w:lang w:val="en-GB"/>
        </w:rPr>
        <w:t xml:space="preserve">the </w:t>
      </w:r>
      <w:r w:rsidR="00484894" w:rsidRPr="00571F0B">
        <w:rPr>
          <w:lang w:val="en-GB"/>
        </w:rPr>
        <w:t xml:space="preserve">increased costs of implementation at their location. </w:t>
      </w:r>
      <w:r w:rsidR="0069056C" w:rsidRPr="00571F0B">
        <w:rPr>
          <w:lang w:val="en-GB"/>
        </w:rPr>
        <w:t>I</w:t>
      </w:r>
      <w:r w:rsidR="00484894" w:rsidRPr="00571F0B">
        <w:rPr>
          <w:lang w:val="en-GB"/>
        </w:rPr>
        <w:t xml:space="preserve">t is not a requirement or priority for </w:t>
      </w:r>
      <w:r w:rsidR="00F32C27" w:rsidRPr="00F32C27">
        <w:rPr>
          <w:lang w:val="en-GB"/>
        </w:rPr>
        <w:t xml:space="preserve">IF (IV) </w:t>
      </w:r>
      <w:r w:rsidR="00484894" w:rsidRPr="00571F0B">
        <w:rPr>
          <w:lang w:val="en-GB"/>
        </w:rPr>
        <w:t>to evenly divide funding across the GoPNG’s</w:t>
      </w:r>
      <w:r w:rsidR="003039F4">
        <w:rPr>
          <w:lang w:val="en-GB"/>
        </w:rPr>
        <w:t xml:space="preserve"> sectors or across provinces</w:t>
      </w:r>
      <w:r w:rsidR="00484894" w:rsidRPr="00571F0B">
        <w:rPr>
          <w:lang w:val="en-GB"/>
        </w:rPr>
        <w:t>, or to promote positive discrimination in favour of remote area</w:t>
      </w:r>
      <w:r w:rsidR="0069056C" w:rsidRPr="00571F0B">
        <w:rPr>
          <w:lang w:val="en-GB"/>
        </w:rPr>
        <w:t>s</w:t>
      </w:r>
      <w:r w:rsidR="00484894" w:rsidRPr="00571F0B">
        <w:rPr>
          <w:lang w:val="en-GB"/>
        </w:rPr>
        <w:t>. However, remoteness will not be a disabling factor</w:t>
      </w:r>
      <w:r w:rsidR="0069056C" w:rsidRPr="00571F0B">
        <w:rPr>
          <w:lang w:val="en-GB"/>
        </w:rPr>
        <w:t xml:space="preserve"> and good performing organisations working in the health, education and </w:t>
      </w:r>
      <w:r w:rsidR="00AF79FB">
        <w:rPr>
          <w:lang w:val="en-GB"/>
        </w:rPr>
        <w:t xml:space="preserve">other sectors and stimulating </w:t>
      </w:r>
      <w:r w:rsidR="0069056C" w:rsidRPr="00571F0B">
        <w:rPr>
          <w:lang w:val="en-GB"/>
        </w:rPr>
        <w:t xml:space="preserve">economic </w:t>
      </w:r>
      <w:r w:rsidR="00AF79FB" w:rsidRPr="00AF79FB">
        <w:rPr>
          <w:lang w:val="en-GB"/>
        </w:rPr>
        <w:t>development</w:t>
      </w:r>
      <w:r w:rsidR="0069056C" w:rsidRPr="00571F0B">
        <w:rPr>
          <w:lang w:val="en-GB"/>
        </w:rPr>
        <w:t xml:space="preserve"> will always be encouraged to apply</w:t>
      </w:r>
      <w:r w:rsidR="00484894" w:rsidRPr="00571F0B">
        <w:rPr>
          <w:lang w:val="en-GB"/>
        </w:rPr>
        <w:t>.</w:t>
      </w:r>
    </w:p>
    <w:p w:rsidR="003039F4" w:rsidRPr="003039F4" w:rsidRDefault="003039F4" w:rsidP="003039F4">
      <w:pPr>
        <w:spacing w:before="0" w:after="0"/>
        <w:rPr>
          <w:sz w:val="16"/>
          <w:szCs w:val="16"/>
          <w:lang w:val="en-GB"/>
        </w:rPr>
      </w:pPr>
    </w:p>
    <w:p w:rsidR="00484894" w:rsidRDefault="00484894" w:rsidP="003039F4">
      <w:pPr>
        <w:spacing w:before="0" w:after="0"/>
        <w:rPr>
          <w:lang w:val="en-GB"/>
        </w:rPr>
      </w:pPr>
      <w:r w:rsidRPr="00571F0B">
        <w:rPr>
          <w:lang w:val="en-GB"/>
        </w:rPr>
        <w:t xml:space="preserve">There is some commentary that for a few organisations the Incentive Fund is ‘the gift that keeps on giving’. When appropriate, it should. If organisations continue to meet </w:t>
      </w:r>
      <w:r w:rsidR="004E08D3">
        <w:rPr>
          <w:lang w:val="en-GB"/>
        </w:rPr>
        <w:t>IF (IV)</w:t>
      </w:r>
      <w:r w:rsidRPr="00571F0B">
        <w:rPr>
          <w:lang w:val="en-GB"/>
        </w:rPr>
        <w:t xml:space="preserve"> criteria they should not be denied the opportunity. There is a rigid selection process to satisfy and </w:t>
      </w:r>
      <w:r w:rsidR="0069056C" w:rsidRPr="00571F0B">
        <w:rPr>
          <w:lang w:val="en-GB"/>
        </w:rPr>
        <w:t>all good performing organisations should be allowed to compete in this space</w:t>
      </w:r>
      <w:r w:rsidRPr="00571F0B">
        <w:rPr>
          <w:lang w:val="en-GB"/>
        </w:rPr>
        <w:t>. However, in a situation where there is limited funding</w:t>
      </w:r>
      <w:r w:rsidR="00FD7A02">
        <w:rPr>
          <w:lang w:val="en-GB"/>
        </w:rPr>
        <w:t xml:space="preserve"> available,</w:t>
      </w:r>
      <w:r w:rsidRPr="00571F0B">
        <w:rPr>
          <w:lang w:val="en-GB"/>
        </w:rPr>
        <w:t xml:space="preserve"> preference will be given to a new</w:t>
      </w:r>
      <w:r w:rsidR="00FD7A02">
        <w:rPr>
          <w:lang w:val="en-GB"/>
        </w:rPr>
        <w:t>ly qualifying</w:t>
      </w:r>
      <w:r w:rsidRPr="00571F0B">
        <w:rPr>
          <w:lang w:val="en-GB"/>
        </w:rPr>
        <w:t xml:space="preserve"> partner, rather than </w:t>
      </w:r>
      <w:r w:rsidR="004E08D3">
        <w:rPr>
          <w:lang w:val="en-GB"/>
        </w:rPr>
        <w:t>provide</w:t>
      </w:r>
      <w:r w:rsidR="00FD7A02">
        <w:rPr>
          <w:lang w:val="en-GB"/>
        </w:rPr>
        <w:t xml:space="preserve"> </w:t>
      </w:r>
      <w:r w:rsidRPr="00571F0B">
        <w:rPr>
          <w:lang w:val="en-GB"/>
        </w:rPr>
        <w:t>repeat fund</w:t>
      </w:r>
      <w:r w:rsidR="00FD7A02">
        <w:rPr>
          <w:lang w:val="en-GB"/>
        </w:rPr>
        <w:t>ing to</w:t>
      </w:r>
      <w:r w:rsidRPr="00571F0B">
        <w:rPr>
          <w:lang w:val="en-GB"/>
        </w:rPr>
        <w:t xml:space="preserve"> a p</w:t>
      </w:r>
      <w:r w:rsidR="003039F4">
        <w:rPr>
          <w:lang w:val="en-GB"/>
        </w:rPr>
        <w:t>revious (or existing) partner.</w:t>
      </w:r>
    </w:p>
    <w:p w:rsidR="003039F4" w:rsidRPr="003039F4" w:rsidRDefault="003039F4" w:rsidP="003039F4">
      <w:pPr>
        <w:spacing w:before="0" w:after="0"/>
        <w:rPr>
          <w:sz w:val="16"/>
          <w:szCs w:val="16"/>
          <w:lang w:val="en-GB"/>
        </w:rPr>
      </w:pPr>
    </w:p>
    <w:p w:rsidR="00484894" w:rsidRDefault="00484894" w:rsidP="003039F4">
      <w:pPr>
        <w:spacing w:before="0" w:after="0"/>
        <w:rPr>
          <w:lang w:val="en-GB"/>
        </w:rPr>
      </w:pPr>
      <w:r w:rsidRPr="00571F0B">
        <w:rPr>
          <w:lang w:val="en-GB"/>
        </w:rPr>
        <w:t xml:space="preserve">One strong rationale for </w:t>
      </w:r>
      <w:r w:rsidR="00F32C27" w:rsidRPr="00F32C27">
        <w:rPr>
          <w:lang w:val="en-GB"/>
        </w:rPr>
        <w:t xml:space="preserve">IF (IV) </w:t>
      </w:r>
      <w:r w:rsidRPr="00571F0B">
        <w:rPr>
          <w:lang w:val="en-GB"/>
        </w:rPr>
        <w:t xml:space="preserve">is that it gives effective organisations across PNG, and particularly the private sector, access to partner with Australian Aid. </w:t>
      </w:r>
      <w:r w:rsidR="004E08D3">
        <w:rPr>
          <w:lang w:val="en-GB"/>
        </w:rPr>
        <w:t>IF (IV)</w:t>
      </w:r>
      <w:r w:rsidRPr="00571F0B">
        <w:rPr>
          <w:lang w:val="en-GB"/>
        </w:rPr>
        <w:t xml:space="preserve"> can actively target private sector </w:t>
      </w:r>
      <w:r w:rsidR="004E08D3">
        <w:rPr>
          <w:lang w:val="en-GB"/>
        </w:rPr>
        <w:t>companies</w:t>
      </w:r>
      <w:r w:rsidRPr="00571F0B">
        <w:rPr>
          <w:lang w:val="en-GB"/>
        </w:rPr>
        <w:t xml:space="preserve"> and create the space within the Aid program to provide an opportunity to drive private sector </w:t>
      </w:r>
      <w:r w:rsidR="004E08D3">
        <w:rPr>
          <w:lang w:val="en-GB"/>
        </w:rPr>
        <w:t>engagement</w:t>
      </w:r>
      <w:r w:rsidRPr="00571F0B">
        <w:rPr>
          <w:lang w:val="en-GB"/>
        </w:rPr>
        <w:t xml:space="preserve">, understanding, relationships and (ultimately) </w:t>
      </w:r>
      <w:r w:rsidR="004E08D3">
        <w:rPr>
          <w:lang w:val="en-GB"/>
        </w:rPr>
        <w:t xml:space="preserve">to engage in development </w:t>
      </w:r>
      <w:r w:rsidRPr="00571F0B">
        <w:rPr>
          <w:lang w:val="en-GB"/>
        </w:rPr>
        <w:t>investment opportunities. Put simply</w:t>
      </w:r>
      <w:r w:rsidR="005A421E">
        <w:rPr>
          <w:lang w:val="en-GB"/>
        </w:rPr>
        <w:t>, this is an</w:t>
      </w:r>
      <w:r w:rsidRPr="00571F0B">
        <w:rPr>
          <w:lang w:val="en-GB"/>
        </w:rPr>
        <w:t xml:space="preserve"> opportunity for Australian Aid </w:t>
      </w:r>
      <w:r w:rsidR="005A421E">
        <w:rPr>
          <w:lang w:val="en-GB"/>
        </w:rPr>
        <w:t xml:space="preserve">and the private sector to have meaningful engagement which is likely to </w:t>
      </w:r>
      <w:r w:rsidRPr="00571F0B">
        <w:rPr>
          <w:lang w:val="en-GB"/>
        </w:rPr>
        <w:t xml:space="preserve">inform and then assist </w:t>
      </w:r>
      <w:r w:rsidR="005A421E">
        <w:rPr>
          <w:lang w:val="en-GB"/>
        </w:rPr>
        <w:t xml:space="preserve">the </w:t>
      </w:r>
      <w:r w:rsidRPr="00571F0B">
        <w:rPr>
          <w:lang w:val="en-GB"/>
        </w:rPr>
        <w:t xml:space="preserve">development </w:t>
      </w:r>
      <w:r w:rsidR="005A421E">
        <w:rPr>
          <w:lang w:val="en-GB"/>
        </w:rPr>
        <w:t xml:space="preserve">of </w:t>
      </w:r>
      <w:r w:rsidRPr="00571F0B">
        <w:rPr>
          <w:lang w:val="en-GB"/>
        </w:rPr>
        <w:t>broader private sector engage</w:t>
      </w:r>
      <w:r w:rsidR="003039F4">
        <w:rPr>
          <w:lang w:val="en-GB"/>
        </w:rPr>
        <w:t>ment with Australian Aid.</w:t>
      </w:r>
    </w:p>
    <w:p w:rsidR="003039F4" w:rsidRPr="003039F4" w:rsidRDefault="003039F4" w:rsidP="003039F4">
      <w:pPr>
        <w:spacing w:before="0" w:after="0"/>
        <w:rPr>
          <w:sz w:val="16"/>
          <w:szCs w:val="16"/>
          <w:lang w:val="en-GB"/>
        </w:rPr>
      </w:pPr>
    </w:p>
    <w:p w:rsidR="00484894" w:rsidRPr="00571F0B" w:rsidRDefault="00484894" w:rsidP="003039F4">
      <w:pPr>
        <w:spacing w:before="0" w:after="0"/>
        <w:rPr>
          <w:lang w:val="en-GB"/>
        </w:rPr>
      </w:pPr>
      <w:r w:rsidRPr="00571F0B">
        <w:rPr>
          <w:lang w:val="en-GB"/>
        </w:rPr>
        <w:t xml:space="preserve">Finally, a new </w:t>
      </w:r>
      <w:proofErr w:type="gramStart"/>
      <w:r w:rsidRPr="00571F0B">
        <w:rPr>
          <w:lang w:val="en-GB"/>
        </w:rPr>
        <w:t>A$</w:t>
      </w:r>
      <w:proofErr w:type="gramEnd"/>
      <w:r w:rsidRPr="00571F0B">
        <w:rPr>
          <w:lang w:val="en-GB"/>
        </w:rPr>
        <w:t xml:space="preserve">10 million Innovation Fund will be designed and implemented </w:t>
      </w:r>
      <w:r w:rsidR="00BE7C9E">
        <w:rPr>
          <w:lang w:val="en-GB"/>
        </w:rPr>
        <w:t>alongside</w:t>
      </w:r>
      <w:r w:rsidR="004E08D3">
        <w:rPr>
          <w:lang w:val="en-GB"/>
        </w:rPr>
        <w:t>,</w:t>
      </w:r>
      <w:r w:rsidR="00BE7C9E">
        <w:rPr>
          <w:lang w:val="en-GB"/>
        </w:rPr>
        <w:t xml:space="preserve"> but operated separately to </w:t>
      </w:r>
      <w:r w:rsidR="004E08D3">
        <w:rPr>
          <w:lang w:val="en-GB"/>
        </w:rPr>
        <w:t>IF (IV)</w:t>
      </w:r>
      <w:r w:rsidR="00BE7C9E">
        <w:rPr>
          <w:lang w:val="en-GB"/>
        </w:rPr>
        <w:t xml:space="preserve">. The Innovation Funds </w:t>
      </w:r>
      <w:r w:rsidR="003155FE">
        <w:rPr>
          <w:lang w:val="en-GB"/>
        </w:rPr>
        <w:t>purpose will be</w:t>
      </w:r>
      <w:r w:rsidRPr="00571F0B">
        <w:rPr>
          <w:lang w:val="en-GB"/>
        </w:rPr>
        <w:t xml:space="preserve"> to identify new effective partners and new ways for Australian Aid</w:t>
      </w:r>
      <w:r w:rsidR="003155FE">
        <w:rPr>
          <w:lang w:val="en-GB"/>
        </w:rPr>
        <w:t xml:space="preserve"> to tackle development problems</w:t>
      </w:r>
      <w:r w:rsidRPr="00571F0B">
        <w:rPr>
          <w:lang w:val="en-GB"/>
        </w:rPr>
        <w:t xml:space="preserve"> </w:t>
      </w:r>
      <w:r w:rsidR="00BE7C9E">
        <w:rPr>
          <w:lang w:val="en-GB"/>
        </w:rPr>
        <w:t>across sectors and</w:t>
      </w:r>
      <w:r w:rsidR="004E08D3">
        <w:rPr>
          <w:lang w:val="en-GB"/>
        </w:rPr>
        <w:t xml:space="preserve"> improve service delivery from partners </w:t>
      </w:r>
      <w:r w:rsidR="00BE7C9E">
        <w:rPr>
          <w:lang w:val="en-GB"/>
        </w:rPr>
        <w:t xml:space="preserve">or </w:t>
      </w:r>
      <w:r w:rsidR="004E08D3">
        <w:rPr>
          <w:lang w:val="en-GB"/>
        </w:rPr>
        <w:t>stimulate</w:t>
      </w:r>
      <w:r w:rsidR="00BE7C9E">
        <w:rPr>
          <w:lang w:val="en-GB"/>
        </w:rPr>
        <w:t xml:space="preserve"> economic development</w:t>
      </w:r>
      <w:r w:rsidRPr="00571F0B">
        <w:rPr>
          <w:lang w:val="en-GB"/>
        </w:rPr>
        <w:t>.</w:t>
      </w:r>
    </w:p>
    <w:p w:rsidR="00484894" w:rsidRPr="00571F0B" w:rsidRDefault="00484894" w:rsidP="003039F4">
      <w:pPr>
        <w:spacing w:before="0" w:after="0"/>
        <w:rPr>
          <w:lang w:val="en-GB"/>
        </w:rPr>
      </w:pPr>
    </w:p>
    <w:p w:rsidR="00484894" w:rsidRPr="00571F0B" w:rsidRDefault="00CB2CE2" w:rsidP="00C30390">
      <w:pPr>
        <w:pStyle w:val="Heading2"/>
        <w:rPr>
          <w:lang w:val="en-GB"/>
        </w:rPr>
      </w:pPr>
      <w:bookmarkStart w:id="23" w:name="_Toc403037565"/>
      <w:r w:rsidRPr="00571F0B">
        <w:rPr>
          <w:lang w:val="en-GB"/>
        </w:rPr>
        <w:t xml:space="preserve">Definition of the </w:t>
      </w:r>
      <w:r w:rsidR="00484894" w:rsidRPr="00571F0B">
        <w:rPr>
          <w:lang w:val="en-GB"/>
        </w:rPr>
        <w:t>Incentive Fund Principles</w:t>
      </w:r>
      <w:bookmarkEnd w:id="23"/>
    </w:p>
    <w:p w:rsidR="009A6CC1" w:rsidRDefault="006662CC" w:rsidP="003039F4">
      <w:pPr>
        <w:spacing w:before="0" w:after="0"/>
        <w:rPr>
          <w:lang w:val="en-GB"/>
        </w:rPr>
      </w:pPr>
      <w:r w:rsidRPr="006662CC">
        <w:rPr>
          <w:lang w:val="en-GB"/>
        </w:rPr>
        <w:t xml:space="preserve">In early 2007 the Department of National Planning and Monitoring (DNPM) and </w:t>
      </w:r>
      <w:r w:rsidR="009A6CC1">
        <w:rPr>
          <w:lang w:val="en-GB"/>
        </w:rPr>
        <w:t>DFAT</w:t>
      </w:r>
      <w:r w:rsidRPr="006662CC">
        <w:rPr>
          <w:lang w:val="en-GB"/>
        </w:rPr>
        <w:t xml:space="preserve"> agreed on </w:t>
      </w:r>
      <w:r w:rsidR="009A6CC1">
        <w:rPr>
          <w:lang w:val="en-GB"/>
        </w:rPr>
        <w:t xml:space="preserve">the </w:t>
      </w:r>
      <w:r w:rsidRPr="006662CC">
        <w:rPr>
          <w:lang w:val="en-GB"/>
        </w:rPr>
        <w:t>overarching principles</w:t>
      </w:r>
      <w:r w:rsidR="009A6CC1">
        <w:rPr>
          <w:lang w:val="en-GB"/>
        </w:rPr>
        <w:t xml:space="preserve"> to underpin the incentive funding mechanism. This design briefly reviewed these principles </w:t>
      </w:r>
      <w:r w:rsidR="007F0723">
        <w:rPr>
          <w:lang w:val="en-GB"/>
        </w:rPr>
        <w:t>during</w:t>
      </w:r>
      <w:r w:rsidR="009A6CC1">
        <w:rPr>
          <w:lang w:val="en-GB"/>
        </w:rPr>
        <w:t xml:space="preserve"> consultations and confirms them as follows:</w:t>
      </w:r>
    </w:p>
    <w:p w:rsidR="003039F4" w:rsidRPr="009E1E17" w:rsidRDefault="003039F4" w:rsidP="003039F4">
      <w:pPr>
        <w:spacing w:before="0" w:after="0"/>
        <w:rPr>
          <w:sz w:val="16"/>
          <w:szCs w:val="16"/>
          <w:lang w:val="en-GB"/>
        </w:rPr>
      </w:pPr>
    </w:p>
    <w:p w:rsidR="00484894" w:rsidRPr="00571F0B" w:rsidRDefault="00484894" w:rsidP="003039F4">
      <w:pPr>
        <w:spacing w:before="0" w:after="0"/>
        <w:rPr>
          <w:lang w:val="en-GB"/>
        </w:rPr>
      </w:pPr>
      <w:r w:rsidRPr="00571F0B">
        <w:rPr>
          <w:b/>
          <w:lang w:val="en-GB"/>
        </w:rPr>
        <w:t>Incentive:</w:t>
      </w:r>
      <w:r w:rsidRPr="00571F0B">
        <w:rPr>
          <w:lang w:val="en-GB"/>
        </w:rPr>
        <w:t xml:space="preserve"> the incentive is </w:t>
      </w:r>
      <w:r w:rsidR="002A3F6E" w:rsidRPr="00571F0B">
        <w:rPr>
          <w:lang w:val="en-GB"/>
        </w:rPr>
        <w:t xml:space="preserve">a reward for effective partners </w:t>
      </w:r>
      <w:r w:rsidRPr="00571F0B">
        <w:rPr>
          <w:lang w:val="en-GB"/>
        </w:rPr>
        <w:t xml:space="preserve">that </w:t>
      </w:r>
      <w:r w:rsidR="002A3F6E" w:rsidRPr="00571F0B">
        <w:rPr>
          <w:lang w:val="en-GB"/>
        </w:rPr>
        <w:t xml:space="preserve">make a contribution to </w:t>
      </w:r>
      <w:r w:rsidRPr="00571F0B">
        <w:rPr>
          <w:lang w:val="en-GB"/>
        </w:rPr>
        <w:t>deliver significant and tangible human developmen</w:t>
      </w:r>
      <w:r w:rsidR="00792A8F" w:rsidRPr="00571F0B">
        <w:rPr>
          <w:lang w:val="en-GB"/>
        </w:rPr>
        <w:t xml:space="preserve">t changes </w:t>
      </w:r>
      <w:r w:rsidR="004E08D3">
        <w:rPr>
          <w:lang w:val="en-GB"/>
        </w:rPr>
        <w:t xml:space="preserve">through the </w:t>
      </w:r>
      <w:r w:rsidRPr="00571F0B">
        <w:rPr>
          <w:lang w:val="en-GB"/>
        </w:rPr>
        <w:t xml:space="preserve">expansion </w:t>
      </w:r>
      <w:r w:rsidR="004E08D3">
        <w:rPr>
          <w:lang w:val="en-GB"/>
        </w:rPr>
        <w:t xml:space="preserve">of </w:t>
      </w:r>
      <w:r w:rsidR="00792A8F" w:rsidRPr="00571F0B">
        <w:rPr>
          <w:lang w:val="en-GB"/>
        </w:rPr>
        <w:t xml:space="preserve">service delivery or economic </w:t>
      </w:r>
      <w:r w:rsidR="00AF79FB" w:rsidRPr="00AF79FB">
        <w:rPr>
          <w:lang w:val="en-GB"/>
        </w:rPr>
        <w:t>development</w:t>
      </w:r>
      <w:r w:rsidR="003039F4">
        <w:rPr>
          <w:lang w:val="en-GB"/>
        </w:rPr>
        <w:t>.</w:t>
      </w:r>
    </w:p>
    <w:p w:rsidR="00531023" w:rsidRPr="003039F4" w:rsidRDefault="00531023" w:rsidP="003039F4">
      <w:pPr>
        <w:spacing w:before="0" w:after="0"/>
        <w:rPr>
          <w:sz w:val="16"/>
          <w:szCs w:val="16"/>
          <w:lang w:val="en-GB"/>
        </w:rPr>
      </w:pPr>
    </w:p>
    <w:p w:rsidR="00F7641B" w:rsidRDefault="00484894" w:rsidP="003039F4">
      <w:pPr>
        <w:spacing w:before="0" w:after="0"/>
        <w:rPr>
          <w:lang w:val="en-GB"/>
        </w:rPr>
      </w:pPr>
      <w:r w:rsidRPr="00571F0B">
        <w:rPr>
          <w:b/>
          <w:lang w:val="en-GB"/>
        </w:rPr>
        <w:t>Flexible funding mechanism:</w:t>
      </w:r>
      <w:r w:rsidRPr="00571F0B">
        <w:rPr>
          <w:lang w:val="en-GB"/>
        </w:rPr>
        <w:t xml:space="preserve"> IF</w:t>
      </w:r>
      <w:r w:rsidR="00CB4417" w:rsidRPr="00571F0B">
        <w:rPr>
          <w:lang w:val="en-GB"/>
        </w:rPr>
        <w:t xml:space="preserve"> </w:t>
      </w:r>
      <w:r w:rsidRPr="00571F0B">
        <w:rPr>
          <w:lang w:val="en-GB"/>
        </w:rPr>
        <w:t>(</w:t>
      </w:r>
      <w:r w:rsidR="00792A8F" w:rsidRPr="00571F0B">
        <w:rPr>
          <w:lang w:val="en-GB"/>
        </w:rPr>
        <w:t>IV</w:t>
      </w:r>
      <w:r w:rsidRPr="00571F0B">
        <w:rPr>
          <w:lang w:val="en-GB"/>
        </w:rPr>
        <w:t xml:space="preserve">) should provide a flexible funding mechanism capable of </w:t>
      </w:r>
      <w:r w:rsidR="00792A8F" w:rsidRPr="00571F0B">
        <w:rPr>
          <w:lang w:val="en-GB"/>
        </w:rPr>
        <w:t>responding to demand from the health, education</w:t>
      </w:r>
      <w:r w:rsidR="00427730">
        <w:rPr>
          <w:lang w:val="en-GB"/>
        </w:rPr>
        <w:t xml:space="preserve"> and other sectors</w:t>
      </w:r>
      <w:r w:rsidR="00792A8F" w:rsidRPr="00571F0B">
        <w:rPr>
          <w:lang w:val="en-GB"/>
        </w:rPr>
        <w:t xml:space="preserve"> and</w:t>
      </w:r>
      <w:r w:rsidR="00427730">
        <w:rPr>
          <w:lang w:val="en-GB"/>
        </w:rPr>
        <w:t xml:space="preserve"> to simulate </w:t>
      </w:r>
      <w:r w:rsidR="00792A8F" w:rsidRPr="00571F0B">
        <w:rPr>
          <w:lang w:val="en-GB"/>
        </w:rPr>
        <w:lastRenderedPageBreak/>
        <w:t xml:space="preserve">economic </w:t>
      </w:r>
      <w:r w:rsidR="00AF79FB" w:rsidRPr="00AF79FB">
        <w:rPr>
          <w:lang w:val="en-GB"/>
        </w:rPr>
        <w:t>development</w:t>
      </w:r>
      <w:r w:rsidRPr="00571F0B">
        <w:rPr>
          <w:lang w:val="en-GB"/>
        </w:rPr>
        <w:t>.</w:t>
      </w:r>
      <w:r w:rsidR="00792A8F" w:rsidRPr="00571F0B">
        <w:rPr>
          <w:lang w:val="en-GB"/>
        </w:rPr>
        <w:t xml:space="preserve"> It should be able to support the full range of eligible organisations and it should be able to strategic</w:t>
      </w:r>
      <w:r w:rsidR="003039F4">
        <w:rPr>
          <w:lang w:val="en-GB"/>
        </w:rPr>
        <w:t>ally target demand and support</w:t>
      </w:r>
      <w:r w:rsidR="009A6CC1">
        <w:rPr>
          <w:lang w:val="en-GB"/>
        </w:rPr>
        <w:t xml:space="preserve"> through the use of well-designed CPRs</w:t>
      </w:r>
      <w:r w:rsidR="003039F4">
        <w:rPr>
          <w:lang w:val="en-GB"/>
        </w:rPr>
        <w:t>.</w:t>
      </w:r>
    </w:p>
    <w:p w:rsidR="00F7641B" w:rsidRDefault="00F7641B" w:rsidP="003039F4">
      <w:pPr>
        <w:spacing w:before="0" w:after="0"/>
        <w:rPr>
          <w:lang w:val="en-GB"/>
        </w:rPr>
      </w:pPr>
    </w:p>
    <w:p w:rsidR="00484894" w:rsidRPr="00571F0B" w:rsidRDefault="00484894" w:rsidP="003039F4">
      <w:pPr>
        <w:spacing w:before="0" w:after="0"/>
        <w:rPr>
          <w:lang w:val="en-GB"/>
        </w:rPr>
      </w:pPr>
      <w:r w:rsidRPr="00571F0B">
        <w:rPr>
          <w:b/>
          <w:lang w:val="en-GB"/>
        </w:rPr>
        <w:t>Demand</w:t>
      </w:r>
      <w:r w:rsidR="002F2A04" w:rsidRPr="00571F0B">
        <w:rPr>
          <w:b/>
          <w:lang w:val="en-GB"/>
        </w:rPr>
        <w:t xml:space="preserve"> driven</w:t>
      </w:r>
      <w:r w:rsidRPr="00571F0B">
        <w:rPr>
          <w:b/>
          <w:lang w:val="en-GB"/>
        </w:rPr>
        <w:t>:</w:t>
      </w:r>
      <w:r w:rsidRPr="00571F0B">
        <w:rPr>
          <w:lang w:val="en-GB"/>
        </w:rPr>
        <w:t xml:space="preserve"> IF</w:t>
      </w:r>
      <w:r w:rsidR="00CB4417" w:rsidRPr="00571F0B">
        <w:rPr>
          <w:lang w:val="en-GB"/>
        </w:rPr>
        <w:t xml:space="preserve"> </w:t>
      </w:r>
      <w:r w:rsidRPr="00571F0B">
        <w:rPr>
          <w:lang w:val="en-GB"/>
        </w:rPr>
        <w:t>(</w:t>
      </w:r>
      <w:r w:rsidR="00792A8F" w:rsidRPr="00571F0B">
        <w:rPr>
          <w:lang w:val="en-GB"/>
        </w:rPr>
        <w:t>IV</w:t>
      </w:r>
      <w:r w:rsidRPr="00571F0B">
        <w:rPr>
          <w:lang w:val="en-GB"/>
        </w:rPr>
        <w:t xml:space="preserve">) should be ‘demand driven’ which means funds are potentially accessible by all eligible </w:t>
      </w:r>
      <w:r w:rsidR="00CB4417" w:rsidRPr="00571F0B">
        <w:rPr>
          <w:lang w:val="en-GB"/>
        </w:rPr>
        <w:t>organisations</w:t>
      </w:r>
      <w:r w:rsidRPr="00571F0B">
        <w:rPr>
          <w:lang w:val="en-GB"/>
        </w:rPr>
        <w:t xml:space="preserve">. </w:t>
      </w:r>
      <w:r w:rsidR="00CB4417" w:rsidRPr="00571F0B">
        <w:rPr>
          <w:lang w:val="en-GB"/>
        </w:rPr>
        <w:t xml:space="preserve">All funding should demonstrate intermediate and end-of program outcomes that </w:t>
      </w:r>
      <w:r w:rsidR="0069056C" w:rsidRPr="00571F0B">
        <w:rPr>
          <w:lang w:val="en-GB"/>
        </w:rPr>
        <w:t>show</w:t>
      </w:r>
      <w:r w:rsidR="00CB4417" w:rsidRPr="00571F0B">
        <w:rPr>
          <w:lang w:val="en-GB"/>
        </w:rPr>
        <w:t xml:space="preserve"> the organisation can </w:t>
      </w:r>
      <w:r w:rsidR="00427730">
        <w:rPr>
          <w:lang w:val="en-GB"/>
        </w:rPr>
        <w:t>provide improved service delivery or economic development</w:t>
      </w:r>
      <w:r w:rsidR="00CB4417" w:rsidRPr="00571F0B">
        <w:rPr>
          <w:lang w:val="en-GB"/>
        </w:rPr>
        <w:t>. Demand is affirmed by ensuring the eligible organisation can qualify with minimum standards and pass the rigid concept paper revi</w:t>
      </w:r>
      <w:r w:rsidR="000774F0">
        <w:rPr>
          <w:lang w:val="en-GB"/>
        </w:rPr>
        <w:t>ew and organisation assessment.</w:t>
      </w:r>
    </w:p>
    <w:p w:rsidR="00531023" w:rsidRPr="000774F0" w:rsidRDefault="00531023" w:rsidP="003039F4">
      <w:pPr>
        <w:spacing w:before="0" w:after="0"/>
        <w:rPr>
          <w:sz w:val="16"/>
          <w:szCs w:val="16"/>
          <w:lang w:val="en-GB"/>
        </w:rPr>
      </w:pPr>
    </w:p>
    <w:p w:rsidR="00792A8F" w:rsidRPr="00571F0B" w:rsidRDefault="00792A8F" w:rsidP="003039F4">
      <w:pPr>
        <w:spacing w:before="0" w:after="0"/>
        <w:rPr>
          <w:b/>
          <w:lang w:val="en-GB"/>
        </w:rPr>
      </w:pPr>
      <w:r w:rsidRPr="00571F0B">
        <w:rPr>
          <w:b/>
          <w:lang w:val="en-GB"/>
        </w:rPr>
        <w:t>Innovation:</w:t>
      </w:r>
      <w:r w:rsidR="00CB4417" w:rsidRPr="00571F0B">
        <w:rPr>
          <w:b/>
          <w:lang w:val="en-GB"/>
        </w:rPr>
        <w:t xml:space="preserve"> </w:t>
      </w:r>
      <w:r w:rsidR="00CB4417" w:rsidRPr="00571F0B">
        <w:rPr>
          <w:lang w:val="en-GB"/>
        </w:rPr>
        <w:t>IF (IV) will actively s</w:t>
      </w:r>
      <w:r w:rsidR="00152FC4">
        <w:rPr>
          <w:lang w:val="en-GB"/>
        </w:rPr>
        <w:t xml:space="preserve">eek new effective partners, </w:t>
      </w:r>
      <w:r w:rsidR="00CB4417" w:rsidRPr="00571F0B">
        <w:rPr>
          <w:lang w:val="en-GB"/>
        </w:rPr>
        <w:t xml:space="preserve">particularly from the private sector. It will also innovate new ways to stimulate economic development </w:t>
      </w:r>
      <w:r w:rsidR="00CB4417" w:rsidRPr="00427730">
        <w:rPr>
          <w:i/>
          <w:lang w:val="en-GB"/>
        </w:rPr>
        <w:t>e.g.</w:t>
      </w:r>
      <w:r w:rsidR="00CB4417" w:rsidRPr="00571F0B">
        <w:rPr>
          <w:lang w:val="en-GB"/>
        </w:rPr>
        <w:t xml:space="preserve"> through agriculture and communication sectors. IF (IV) provides a dedicated space within the aid program to engage, pilot and test </w:t>
      </w:r>
      <w:r w:rsidR="00427730">
        <w:rPr>
          <w:lang w:val="en-GB"/>
        </w:rPr>
        <w:t>a new Innovation Fund</w:t>
      </w:r>
      <w:r w:rsidR="00CB4417" w:rsidRPr="00571F0B">
        <w:rPr>
          <w:lang w:val="en-GB"/>
        </w:rPr>
        <w:t xml:space="preserve"> and </w:t>
      </w:r>
      <w:proofErr w:type="gramStart"/>
      <w:r w:rsidR="00CB4417" w:rsidRPr="00571F0B">
        <w:rPr>
          <w:lang w:val="en-GB"/>
        </w:rPr>
        <w:t>A$</w:t>
      </w:r>
      <w:proofErr w:type="gramEnd"/>
      <w:r w:rsidR="00152FC4">
        <w:rPr>
          <w:lang w:val="en-GB"/>
        </w:rPr>
        <w:t>10 million has</w:t>
      </w:r>
      <w:r w:rsidR="00CB4417" w:rsidRPr="00571F0B">
        <w:rPr>
          <w:lang w:val="en-GB"/>
        </w:rPr>
        <w:t xml:space="preserve"> bee</w:t>
      </w:r>
      <w:r w:rsidR="000774F0">
        <w:rPr>
          <w:lang w:val="en-GB"/>
        </w:rPr>
        <w:t>n quarantined for this purpose.</w:t>
      </w:r>
    </w:p>
    <w:p w:rsidR="00531023" w:rsidRPr="000774F0" w:rsidRDefault="00531023" w:rsidP="003039F4">
      <w:pPr>
        <w:spacing w:before="0" w:after="0"/>
        <w:rPr>
          <w:sz w:val="16"/>
          <w:szCs w:val="16"/>
          <w:lang w:val="en-GB"/>
        </w:rPr>
      </w:pPr>
    </w:p>
    <w:p w:rsidR="00484894" w:rsidRPr="00571F0B" w:rsidRDefault="00CB4417" w:rsidP="003039F4">
      <w:pPr>
        <w:spacing w:before="0" w:after="0"/>
        <w:rPr>
          <w:lang w:val="en-GB"/>
        </w:rPr>
      </w:pPr>
      <w:r w:rsidRPr="00571F0B">
        <w:rPr>
          <w:b/>
          <w:lang w:val="en-GB"/>
        </w:rPr>
        <w:t>Effective Partners</w:t>
      </w:r>
      <w:r w:rsidR="00484894" w:rsidRPr="00571F0B">
        <w:rPr>
          <w:b/>
          <w:lang w:val="en-GB"/>
        </w:rPr>
        <w:t>:</w:t>
      </w:r>
      <w:r w:rsidR="00484894" w:rsidRPr="00571F0B">
        <w:rPr>
          <w:lang w:val="en-GB"/>
        </w:rPr>
        <w:t xml:space="preserve"> IF</w:t>
      </w:r>
      <w:r w:rsidRPr="00571F0B">
        <w:rPr>
          <w:lang w:val="en-GB"/>
        </w:rPr>
        <w:t xml:space="preserve"> </w:t>
      </w:r>
      <w:r w:rsidR="00484894" w:rsidRPr="00571F0B">
        <w:rPr>
          <w:lang w:val="en-GB"/>
        </w:rPr>
        <w:t>(</w:t>
      </w:r>
      <w:r w:rsidRPr="00571F0B">
        <w:rPr>
          <w:lang w:val="en-GB"/>
        </w:rPr>
        <w:t>IV</w:t>
      </w:r>
      <w:r w:rsidR="00484894" w:rsidRPr="00571F0B">
        <w:rPr>
          <w:lang w:val="en-GB"/>
        </w:rPr>
        <w:t xml:space="preserve">) will </w:t>
      </w:r>
      <w:r w:rsidR="00152FC4">
        <w:rPr>
          <w:lang w:val="en-GB"/>
        </w:rPr>
        <w:t>always conduct organisation</w:t>
      </w:r>
      <w:r w:rsidRPr="00571F0B">
        <w:rPr>
          <w:lang w:val="en-GB"/>
        </w:rPr>
        <w:t xml:space="preserve"> </w:t>
      </w:r>
      <w:r w:rsidR="002F2A04" w:rsidRPr="00571F0B">
        <w:rPr>
          <w:lang w:val="en-GB"/>
        </w:rPr>
        <w:t>assessments on eligible</w:t>
      </w:r>
      <w:r w:rsidR="00152FC4">
        <w:rPr>
          <w:lang w:val="en-GB"/>
        </w:rPr>
        <w:t xml:space="preserve"> organisations</w:t>
      </w:r>
      <w:r w:rsidR="002F2A04" w:rsidRPr="00571F0B">
        <w:rPr>
          <w:lang w:val="en-GB"/>
        </w:rPr>
        <w:t xml:space="preserve"> </w:t>
      </w:r>
      <w:r w:rsidRPr="00571F0B">
        <w:rPr>
          <w:lang w:val="en-GB"/>
        </w:rPr>
        <w:t xml:space="preserve">(Stage </w:t>
      </w:r>
      <w:r w:rsidR="00427730">
        <w:rPr>
          <w:lang w:val="en-GB"/>
        </w:rPr>
        <w:t>4</w:t>
      </w:r>
      <w:r w:rsidRPr="00571F0B">
        <w:rPr>
          <w:lang w:val="en-GB"/>
        </w:rPr>
        <w:t xml:space="preserve"> of the application process)</w:t>
      </w:r>
      <w:r w:rsidR="002F2A04" w:rsidRPr="00571F0B">
        <w:rPr>
          <w:lang w:val="en-GB"/>
        </w:rPr>
        <w:t xml:space="preserve"> and there can be no exceptions to demonstrating adequate capability – which includes at the management, administration, planning and implementation levels. IF (IV) is not an organisation capacity building program, however, process outcomes </w:t>
      </w:r>
      <w:r w:rsidR="00152FC4">
        <w:rPr>
          <w:lang w:val="en-GB"/>
        </w:rPr>
        <w:t xml:space="preserve">are expected </w:t>
      </w:r>
      <w:r w:rsidR="002F2A04" w:rsidRPr="00571F0B">
        <w:rPr>
          <w:lang w:val="en-GB"/>
        </w:rPr>
        <w:t xml:space="preserve">as a result of </w:t>
      </w:r>
      <w:r w:rsidR="00427730">
        <w:rPr>
          <w:lang w:val="en-GB"/>
        </w:rPr>
        <w:t>implementing support</w:t>
      </w:r>
      <w:r w:rsidR="00152FC4">
        <w:rPr>
          <w:lang w:val="en-GB"/>
        </w:rPr>
        <w:t>.</w:t>
      </w:r>
    </w:p>
    <w:p w:rsidR="00531023" w:rsidRPr="000774F0" w:rsidRDefault="00531023" w:rsidP="003039F4">
      <w:pPr>
        <w:spacing w:before="0" w:after="0"/>
        <w:rPr>
          <w:sz w:val="16"/>
          <w:szCs w:val="16"/>
          <w:lang w:val="en-GB"/>
        </w:rPr>
      </w:pPr>
    </w:p>
    <w:p w:rsidR="00484894" w:rsidRPr="00571F0B" w:rsidRDefault="00484894" w:rsidP="003039F4">
      <w:pPr>
        <w:spacing w:before="0" w:after="0"/>
        <w:rPr>
          <w:lang w:val="en-GB"/>
        </w:rPr>
      </w:pPr>
      <w:r w:rsidRPr="00571F0B">
        <w:rPr>
          <w:b/>
          <w:lang w:val="en-GB"/>
        </w:rPr>
        <w:t>Co</w:t>
      </w:r>
      <w:r w:rsidR="002F2A04" w:rsidRPr="00571F0B">
        <w:rPr>
          <w:b/>
          <w:lang w:val="en-GB"/>
        </w:rPr>
        <w:t>mpetitive</w:t>
      </w:r>
      <w:r w:rsidRPr="00571F0B">
        <w:rPr>
          <w:b/>
          <w:lang w:val="en-GB"/>
        </w:rPr>
        <w:t>:</w:t>
      </w:r>
      <w:r w:rsidRPr="00571F0B">
        <w:rPr>
          <w:lang w:val="en-GB"/>
        </w:rPr>
        <w:t xml:space="preserve"> IF</w:t>
      </w:r>
      <w:r w:rsidR="002F2A04" w:rsidRPr="00571F0B">
        <w:rPr>
          <w:lang w:val="en-GB"/>
        </w:rPr>
        <w:t xml:space="preserve"> (IV</w:t>
      </w:r>
      <w:r w:rsidRPr="00571F0B">
        <w:rPr>
          <w:lang w:val="en-GB"/>
        </w:rPr>
        <w:t xml:space="preserve">) is a competitive funding mechanism </w:t>
      </w:r>
      <w:r w:rsidR="003042FC">
        <w:rPr>
          <w:lang w:val="en-GB"/>
        </w:rPr>
        <w:t xml:space="preserve">which applies </w:t>
      </w:r>
      <w:r w:rsidR="002F2A04" w:rsidRPr="00571F0B">
        <w:rPr>
          <w:lang w:val="en-GB"/>
        </w:rPr>
        <w:t xml:space="preserve">rigid criteria through the application process. The </w:t>
      </w:r>
      <w:r w:rsidRPr="00571F0B">
        <w:rPr>
          <w:lang w:val="en-GB"/>
        </w:rPr>
        <w:t xml:space="preserve">unashamedly restrictive gateway criteria, </w:t>
      </w:r>
      <w:r w:rsidR="002F2A04" w:rsidRPr="00571F0B">
        <w:rPr>
          <w:lang w:val="en-GB"/>
        </w:rPr>
        <w:t xml:space="preserve">concept paper review, organisation assessment, </w:t>
      </w:r>
      <w:r w:rsidRPr="00571F0B">
        <w:rPr>
          <w:lang w:val="en-GB"/>
        </w:rPr>
        <w:t>sector endorsements and prioritisation against other concepts</w:t>
      </w:r>
      <w:r w:rsidR="002F2A04" w:rsidRPr="00571F0B">
        <w:rPr>
          <w:lang w:val="en-GB"/>
        </w:rPr>
        <w:t xml:space="preserve"> and eligible organisations</w:t>
      </w:r>
      <w:r w:rsidR="003042FC">
        <w:rPr>
          <w:lang w:val="en-GB"/>
        </w:rPr>
        <w:t>, will reduce</w:t>
      </w:r>
      <w:r w:rsidRPr="00571F0B">
        <w:rPr>
          <w:lang w:val="en-GB"/>
        </w:rPr>
        <w:t xml:space="preserve"> the number of potential applicants. </w:t>
      </w:r>
      <w:r w:rsidR="000774F0">
        <w:rPr>
          <w:lang w:val="en-GB"/>
        </w:rPr>
        <w:t xml:space="preserve"> </w:t>
      </w:r>
      <w:proofErr w:type="gramStart"/>
      <w:r w:rsidR="002F2A04" w:rsidRPr="00571F0B">
        <w:rPr>
          <w:lang w:val="en-GB"/>
        </w:rPr>
        <w:t xml:space="preserve">IF (IV) will only support organisations assessed as </w:t>
      </w:r>
      <w:r w:rsidR="000774F0">
        <w:rPr>
          <w:lang w:val="en-GB"/>
        </w:rPr>
        <w:t>being effective.</w:t>
      </w:r>
      <w:proofErr w:type="gramEnd"/>
      <w:r w:rsidR="000774F0">
        <w:rPr>
          <w:lang w:val="en-GB"/>
        </w:rPr>
        <w:t xml:space="preserve">  There are no exceptions to this principle.</w:t>
      </w:r>
    </w:p>
    <w:p w:rsidR="00531023" w:rsidRPr="000774F0" w:rsidRDefault="00531023" w:rsidP="003039F4">
      <w:pPr>
        <w:spacing w:before="0" w:after="0"/>
        <w:rPr>
          <w:sz w:val="16"/>
          <w:szCs w:val="16"/>
          <w:lang w:val="en-GB"/>
        </w:rPr>
      </w:pPr>
    </w:p>
    <w:p w:rsidR="00484894" w:rsidRDefault="00484894" w:rsidP="003039F4">
      <w:pPr>
        <w:spacing w:before="0" w:after="0"/>
        <w:rPr>
          <w:lang w:val="en-GB"/>
        </w:rPr>
      </w:pPr>
      <w:r w:rsidRPr="00571F0B">
        <w:rPr>
          <w:b/>
          <w:lang w:val="en-GB"/>
        </w:rPr>
        <w:t>Accountability:</w:t>
      </w:r>
      <w:r w:rsidRPr="00571F0B">
        <w:rPr>
          <w:lang w:val="en-GB"/>
        </w:rPr>
        <w:t xml:space="preserve"> </w:t>
      </w:r>
      <w:r w:rsidR="002F2A04" w:rsidRPr="00571F0B">
        <w:rPr>
          <w:lang w:val="en-GB"/>
        </w:rPr>
        <w:t xml:space="preserve">IF (IV) imposes minimum standards in key organisation and project management areas, which include: </w:t>
      </w:r>
      <w:r w:rsidR="00AA3EF1" w:rsidRPr="00571F0B">
        <w:rPr>
          <w:lang w:val="en-GB"/>
        </w:rPr>
        <w:t xml:space="preserve">financial management and reporting; project planning and implementation management; monitoring and evaluation; progress reporting; gender equality; child protection; disability-inclusive development; social inclusion; anti-corruption practices; </w:t>
      </w:r>
      <w:r w:rsidR="002F2A04" w:rsidRPr="00571F0B">
        <w:rPr>
          <w:lang w:val="en-GB"/>
        </w:rPr>
        <w:t xml:space="preserve">and </w:t>
      </w:r>
      <w:r w:rsidR="00AA3EF1" w:rsidRPr="00571F0B">
        <w:rPr>
          <w:lang w:val="en-GB"/>
        </w:rPr>
        <w:t>full IFA contract compliance. IF (IV) will provide a reasonable and agreed level of management and technical advice and mentoring including any required information, templates and training as required. However, the eligible</w:t>
      </w:r>
      <w:r w:rsidR="003042FC">
        <w:rPr>
          <w:lang w:val="en-GB"/>
        </w:rPr>
        <w:t xml:space="preserve"> organisation is accountable for ensuring</w:t>
      </w:r>
      <w:r w:rsidR="00AA3EF1" w:rsidRPr="00571F0B">
        <w:rPr>
          <w:lang w:val="en-GB"/>
        </w:rPr>
        <w:t xml:space="preserve"> full compliance.</w:t>
      </w:r>
    </w:p>
    <w:p w:rsidR="000774F0" w:rsidRDefault="000774F0" w:rsidP="003039F4">
      <w:pPr>
        <w:spacing w:before="0" w:after="0"/>
        <w:rPr>
          <w:lang w:val="en-GB"/>
        </w:rPr>
      </w:pPr>
    </w:p>
    <w:p w:rsidR="000774F0" w:rsidRPr="00571F0B" w:rsidRDefault="000774F0" w:rsidP="000774F0">
      <w:pPr>
        <w:pStyle w:val="Heading2"/>
        <w:rPr>
          <w:lang w:val="en-GB"/>
        </w:rPr>
      </w:pPr>
      <w:bookmarkStart w:id="24" w:name="_Toc403037566"/>
      <w:r w:rsidRPr="00571F0B">
        <w:rPr>
          <w:lang w:val="en-GB"/>
        </w:rPr>
        <w:t>Incentive Fund Logic and expected outcomes</w:t>
      </w:r>
      <w:bookmarkEnd w:id="24"/>
    </w:p>
    <w:p w:rsidR="00BE7C9E" w:rsidRPr="00BE7C9E" w:rsidRDefault="00BE7C9E" w:rsidP="00BE7C9E">
      <w:pPr>
        <w:pStyle w:val="Heading3"/>
        <w:rPr>
          <w:lang w:val="en-GB"/>
        </w:rPr>
      </w:pPr>
      <w:r w:rsidRPr="00BE7C9E">
        <w:rPr>
          <w:lang w:val="en-GB"/>
        </w:rPr>
        <w:t>Theory of change</w:t>
      </w:r>
    </w:p>
    <w:p w:rsidR="003E03F2" w:rsidRDefault="00D36D8B" w:rsidP="00D46525">
      <w:pPr>
        <w:rPr>
          <w:lang w:val="en-GB"/>
        </w:rPr>
      </w:pPr>
      <w:r>
        <w:rPr>
          <w:lang w:val="en-GB"/>
        </w:rPr>
        <w:t xml:space="preserve">The </w:t>
      </w:r>
      <w:r w:rsidR="00F32C27" w:rsidRPr="00F32C27">
        <w:rPr>
          <w:lang w:val="en-GB"/>
        </w:rPr>
        <w:t xml:space="preserve">IF (IV) </w:t>
      </w:r>
      <w:r>
        <w:rPr>
          <w:lang w:val="en-GB"/>
        </w:rPr>
        <w:t xml:space="preserve">logic </w:t>
      </w:r>
      <w:r w:rsidR="00593D1B">
        <w:rPr>
          <w:lang w:val="en-GB"/>
        </w:rPr>
        <w:t xml:space="preserve">needs to be confirmed at the start-up of </w:t>
      </w:r>
      <w:r w:rsidR="002B7876" w:rsidRPr="002B7876">
        <w:rPr>
          <w:lang w:val="en-GB"/>
        </w:rPr>
        <w:t xml:space="preserve">IF (IV) </w:t>
      </w:r>
      <w:r w:rsidR="00593D1B">
        <w:rPr>
          <w:lang w:val="en-GB"/>
        </w:rPr>
        <w:t xml:space="preserve">through the findings of the Incentive Fund Phase I-III evaluation and then by setting the </w:t>
      </w:r>
      <w:r w:rsidR="00C06AA2">
        <w:rPr>
          <w:lang w:val="en-GB"/>
        </w:rPr>
        <w:t xml:space="preserve">initial </w:t>
      </w:r>
      <w:r w:rsidR="00E121C0">
        <w:rPr>
          <w:lang w:val="en-GB"/>
        </w:rPr>
        <w:t xml:space="preserve">Delivery Strategy </w:t>
      </w:r>
      <w:r w:rsidR="00D46525">
        <w:rPr>
          <w:lang w:val="en-GB"/>
        </w:rPr>
        <w:t xml:space="preserve">and Annual Plan. In summary, the theory of change behind the </w:t>
      </w:r>
      <w:r w:rsidR="00F32C27" w:rsidRPr="00F32C27">
        <w:rPr>
          <w:lang w:val="en-GB"/>
        </w:rPr>
        <w:t xml:space="preserve">IF (IV) </w:t>
      </w:r>
      <w:r w:rsidR="00F32C27">
        <w:rPr>
          <w:lang w:val="en-GB"/>
        </w:rPr>
        <w:t>l</w:t>
      </w:r>
      <w:r w:rsidR="00D46525">
        <w:rPr>
          <w:lang w:val="en-GB"/>
        </w:rPr>
        <w:t>ogic is:</w:t>
      </w:r>
    </w:p>
    <w:p w:rsidR="003E03F2" w:rsidRDefault="003E03F2" w:rsidP="00D46525">
      <w:pPr>
        <w:rPr>
          <w:lang w:val="en-GB"/>
        </w:rPr>
      </w:pPr>
    </w:p>
    <w:p w:rsidR="00D46525" w:rsidRPr="00D46525" w:rsidRDefault="00D46525" w:rsidP="00A82AAB">
      <w:pPr>
        <w:numPr>
          <w:ilvl w:val="0"/>
          <w:numId w:val="64"/>
        </w:numPr>
        <w:spacing w:before="0" w:after="0" w:line="259" w:lineRule="auto"/>
        <w:rPr>
          <w:rFonts w:eastAsia="Calibri"/>
          <w:szCs w:val="24"/>
          <w:lang w:val="en-GB"/>
        </w:rPr>
      </w:pPr>
      <w:r w:rsidRPr="00D46525">
        <w:rPr>
          <w:rFonts w:eastAsia="Calibri"/>
          <w:szCs w:val="24"/>
          <w:lang w:val="en-GB"/>
        </w:rPr>
        <w:t>If</w:t>
      </w:r>
      <w:r w:rsidR="00F32C27">
        <w:rPr>
          <w:rFonts w:eastAsia="Calibri"/>
          <w:szCs w:val="24"/>
          <w:lang w:val="en-GB"/>
        </w:rPr>
        <w:t>,</w:t>
      </w:r>
      <w:r w:rsidRPr="00D46525">
        <w:rPr>
          <w:rFonts w:eastAsia="Calibri"/>
          <w:szCs w:val="24"/>
          <w:lang w:val="en-GB"/>
        </w:rPr>
        <w:t xml:space="preserve"> </w:t>
      </w:r>
      <w:r w:rsidR="00F32C27" w:rsidRPr="00F32C27">
        <w:rPr>
          <w:rFonts w:eastAsia="Calibri"/>
          <w:szCs w:val="24"/>
          <w:lang w:val="en-GB"/>
        </w:rPr>
        <w:t xml:space="preserve">IF (IV) </w:t>
      </w:r>
      <w:r w:rsidRPr="00D46525">
        <w:rPr>
          <w:rFonts w:eastAsia="Calibri"/>
          <w:szCs w:val="24"/>
          <w:lang w:val="en-GB"/>
        </w:rPr>
        <w:t xml:space="preserve">strategically targets, identifies and only supports good performing organisations </w:t>
      </w:r>
      <w:r>
        <w:rPr>
          <w:rFonts w:eastAsia="Calibri"/>
          <w:szCs w:val="24"/>
          <w:lang w:val="en-GB"/>
        </w:rPr>
        <w:t xml:space="preserve">that are </w:t>
      </w:r>
      <w:r w:rsidRPr="00D46525">
        <w:rPr>
          <w:rFonts w:eastAsia="Calibri"/>
          <w:szCs w:val="24"/>
          <w:lang w:val="en-GB"/>
        </w:rPr>
        <w:t xml:space="preserve">making a contribution </w:t>
      </w:r>
      <w:r>
        <w:rPr>
          <w:rFonts w:eastAsia="Calibri"/>
          <w:szCs w:val="24"/>
          <w:lang w:val="en-GB"/>
        </w:rPr>
        <w:t>to service delivery and/or economic development</w:t>
      </w:r>
      <w:r w:rsidRPr="00D46525">
        <w:rPr>
          <w:rFonts w:eastAsia="Calibri"/>
          <w:szCs w:val="24"/>
          <w:lang w:val="en-GB"/>
        </w:rPr>
        <w:t>; and then</w:t>
      </w:r>
    </w:p>
    <w:p w:rsidR="00D46525" w:rsidRPr="00D46525" w:rsidRDefault="00D46525" w:rsidP="00A82AAB">
      <w:pPr>
        <w:numPr>
          <w:ilvl w:val="0"/>
          <w:numId w:val="64"/>
        </w:numPr>
        <w:spacing w:before="0" w:after="0" w:line="259" w:lineRule="auto"/>
        <w:rPr>
          <w:rFonts w:eastAsia="Calibri"/>
          <w:szCs w:val="24"/>
          <w:lang w:val="en-GB"/>
        </w:rPr>
      </w:pPr>
      <w:r w:rsidRPr="00D46525">
        <w:rPr>
          <w:rFonts w:eastAsia="Calibri"/>
          <w:szCs w:val="24"/>
          <w:lang w:val="en-GB"/>
        </w:rPr>
        <w:t>If</w:t>
      </w:r>
      <w:r w:rsidR="00E121C0">
        <w:rPr>
          <w:rFonts w:eastAsia="Calibri"/>
          <w:szCs w:val="24"/>
          <w:lang w:val="en-GB"/>
        </w:rPr>
        <w:t>,</w:t>
      </w:r>
      <w:r w:rsidRPr="00D46525">
        <w:rPr>
          <w:rFonts w:eastAsia="Calibri"/>
          <w:szCs w:val="24"/>
          <w:lang w:val="en-GB"/>
        </w:rPr>
        <w:t xml:space="preserve"> the organisation passes strict concept paper and eligibility tests</w:t>
      </w:r>
      <w:r>
        <w:rPr>
          <w:rFonts w:eastAsia="Calibri"/>
          <w:szCs w:val="24"/>
          <w:lang w:val="en-GB"/>
        </w:rPr>
        <w:t xml:space="preserve">, a </w:t>
      </w:r>
      <w:r w:rsidRPr="00D46525">
        <w:rPr>
          <w:rFonts w:eastAsia="Calibri"/>
          <w:szCs w:val="24"/>
          <w:lang w:val="en-GB"/>
        </w:rPr>
        <w:t xml:space="preserve">proposal is </w:t>
      </w:r>
      <w:r>
        <w:rPr>
          <w:rFonts w:eastAsia="Calibri"/>
          <w:szCs w:val="24"/>
          <w:lang w:val="en-GB"/>
        </w:rPr>
        <w:t>developed and approved and an Incentive Funding Agreement is signed</w:t>
      </w:r>
      <w:r w:rsidRPr="00D46525">
        <w:rPr>
          <w:rFonts w:eastAsia="Calibri"/>
          <w:szCs w:val="24"/>
          <w:lang w:val="en-GB"/>
        </w:rPr>
        <w:t>; and then</w:t>
      </w:r>
    </w:p>
    <w:p w:rsidR="00D46525" w:rsidRPr="00D46525" w:rsidRDefault="00D46525" w:rsidP="00A82AAB">
      <w:pPr>
        <w:numPr>
          <w:ilvl w:val="0"/>
          <w:numId w:val="64"/>
        </w:numPr>
        <w:spacing w:before="0" w:after="0" w:line="259" w:lineRule="auto"/>
        <w:rPr>
          <w:rFonts w:eastAsia="Calibri"/>
          <w:szCs w:val="24"/>
          <w:lang w:val="en-GB"/>
        </w:rPr>
      </w:pPr>
      <w:r w:rsidRPr="00D46525">
        <w:rPr>
          <w:rFonts w:eastAsia="Calibri"/>
          <w:szCs w:val="24"/>
          <w:lang w:val="en-GB"/>
        </w:rPr>
        <w:t>If</w:t>
      </w:r>
      <w:r w:rsidR="00F32C27">
        <w:rPr>
          <w:rFonts w:eastAsia="Calibri"/>
          <w:szCs w:val="24"/>
          <w:lang w:val="en-GB"/>
        </w:rPr>
        <w:t>,</w:t>
      </w:r>
      <w:r w:rsidR="00E121C0">
        <w:rPr>
          <w:rFonts w:eastAsia="Calibri"/>
          <w:szCs w:val="24"/>
          <w:lang w:val="en-GB"/>
        </w:rPr>
        <w:t xml:space="preserve"> </w:t>
      </w:r>
      <w:r w:rsidRPr="00D46525">
        <w:rPr>
          <w:rFonts w:eastAsia="Calibri"/>
          <w:szCs w:val="24"/>
          <w:lang w:val="en-GB"/>
        </w:rPr>
        <w:t xml:space="preserve">the activities are </w:t>
      </w:r>
      <w:r w:rsidR="009D3E68">
        <w:rPr>
          <w:rFonts w:eastAsia="Calibri"/>
          <w:szCs w:val="24"/>
          <w:lang w:val="en-GB"/>
        </w:rPr>
        <w:t>managed</w:t>
      </w:r>
      <w:r w:rsidRPr="00D46525">
        <w:rPr>
          <w:rFonts w:eastAsia="Calibri"/>
          <w:szCs w:val="24"/>
          <w:lang w:val="en-GB"/>
        </w:rPr>
        <w:t xml:space="preserve"> efficiently and effectively to deliver </w:t>
      </w:r>
      <w:r>
        <w:rPr>
          <w:rFonts w:eastAsia="Calibri"/>
          <w:szCs w:val="24"/>
          <w:lang w:val="en-GB"/>
        </w:rPr>
        <w:t xml:space="preserve">identified </w:t>
      </w:r>
      <w:r w:rsidRPr="00D46525">
        <w:rPr>
          <w:rFonts w:eastAsia="Calibri"/>
          <w:szCs w:val="24"/>
          <w:lang w:val="en-GB"/>
        </w:rPr>
        <w:t>outputs, supported by the incentive fund team, then process outcomes and output outcomes should be delivered that lead to the intermediate outcomes being targeted through the PAF; and,</w:t>
      </w:r>
    </w:p>
    <w:p w:rsidR="00D46525" w:rsidRPr="00D46525" w:rsidRDefault="00D46525" w:rsidP="00A82AAB">
      <w:pPr>
        <w:numPr>
          <w:ilvl w:val="0"/>
          <w:numId w:val="64"/>
        </w:numPr>
        <w:spacing w:before="0" w:after="0" w:line="259" w:lineRule="auto"/>
        <w:rPr>
          <w:rFonts w:eastAsia="Calibri"/>
          <w:szCs w:val="24"/>
          <w:lang w:val="en-GB"/>
        </w:rPr>
      </w:pPr>
      <w:r w:rsidRPr="00D46525">
        <w:rPr>
          <w:rFonts w:eastAsia="Calibri"/>
          <w:szCs w:val="24"/>
          <w:lang w:val="en-GB"/>
        </w:rPr>
        <w:lastRenderedPageBreak/>
        <w:t xml:space="preserve">Through this conversion of outputs to outcomes: relevant contributions to </w:t>
      </w:r>
      <w:r>
        <w:rPr>
          <w:rFonts w:eastAsia="Calibri"/>
          <w:szCs w:val="24"/>
          <w:lang w:val="en-GB"/>
        </w:rPr>
        <w:t xml:space="preserve">sector </w:t>
      </w:r>
      <w:r w:rsidRPr="00D46525">
        <w:rPr>
          <w:rFonts w:eastAsia="Calibri"/>
          <w:szCs w:val="24"/>
          <w:lang w:val="en-GB"/>
        </w:rPr>
        <w:t xml:space="preserve">outcomes </w:t>
      </w:r>
      <w:r w:rsidR="00C06AA2">
        <w:rPr>
          <w:rFonts w:eastAsia="Calibri"/>
          <w:szCs w:val="24"/>
          <w:lang w:val="en-GB"/>
        </w:rPr>
        <w:t xml:space="preserve">and/or </w:t>
      </w:r>
      <w:r>
        <w:rPr>
          <w:rFonts w:eastAsia="Calibri"/>
          <w:szCs w:val="24"/>
          <w:lang w:val="en-GB"/>
        </w:rPr>
        <w:t xml:space="preserve">economic development </w:t>
      </w:r>
      <w:r w:rsidRPr="00D46525">
        <w:rPr>
          <w:rFonts w:eastAsia="Calibri"/>
          <w:szCs w:val="24"/>
          <w:lang w:val="en-GB"/>
        </w:rPr>
        <w:t>will have occurred; a stronger organisation with a team capable of expanding its development support further should be in place; and there is a better enabling environment</w:t>
      </w:r>
      <w:r>
        <w:rPr>
          <w:rFonts w:eastAsia="Calibri"/>
          <w:szCs w:val="24"/>
          <w:lang w:val="en-GB"/>
        </w:rPr>
        <w:t xml:space="preserve"> for service delivery </w:t>
      </w:r>
      <w:r w:rsidR="00C06AA2">
        <w:rPr>
          <w:rFonts w:eastAsia="Calibri"/>
          <w:szCs w:val="24"/>
          <w:lang w:val="en-GB"/>
        </w:rPr>
        <w:t>or</w:t>
      </w:r>
      <w:r>
        <w:rPr>
          <w:rFonts w:eastAsia="Calibri"/>
          <w:szCs w:val="24"/>
          <w:lang w:val="en-GB"/>
        </w:rPr>
        <w:t xml:space="preserve"> economic development</w:t>
      </w:r>
      <w:r w:rsidRPr="00D46525">
        <w:rPr>
          <w:rFonts w:eastAsia="Calibri"/>
          <w:szCs w:val="24"/>
          <w:lang w:val="en-GB"/>
        </w:rPr>
        <w:t>.</w:t>
      </w:r>
    </w:p>
    <w:p w:rsidR="00D46525" w:rsidRDefault="00D46525" w:rsidP="000774F0">
      <w:pPr>
        <w:rPr>
          <w:lang w:val="en-GB"/>
        </w:rPr>
      </w:pPr>
    </w:p>
    <w:p w:rsidR="00BE7C9E" w:rsidRPr="00BE7C9E" w:rsidRDefault="00BE7C9E" w:rsidP="00BE7C9E">
      <w:pPr>
        <w:pStyle w:val="Heading3"/>
        <w:rPr>
          <w:lang w:val="en-GB"/>
        </w:rPr>
      </w:pPr>
      <w:r>
        <w:rPr>
          <w:lang w:val="en-GB"/>
        </w:rPr>
        <w:t>Goal and Purpose</w:t>
      </w:r>
    </w:p>
    <w:p w:rsidR="009E1E17" w:rsidRPr="007228A0" w:rsidRDefault="009E1E17" w:rsidP="009E1E17">
      <w:pPr>
        <w:spacing w:before="0" w:after="0"/>
        <w:rPr>
          <w:lang w:val="en-GB"/>
        </w:rPr>
      </w:pPr>
      <w:r w:rsidRPr="00571F0B">
        <w:rPr>
          <w:lang w:val="en-GB"/>
        </w:rPr>
        <w:t xml:space="preserve">The Incentive Fund </w:t>
      </w:r>
      <w:r w:rsidR="00C06AA2">
        <w:rPr>
          <w:lang w:val="en-GB"/>
        </w:rPr>
        <w:t xml:space="preserve">Phase IV </w:t>
      </w:r>
      <w:r>
        <w:rPr>
          <w:lang w:val="en-GB"/>
        </w:rPr>
        <w:t xml:space="preserve">(post program) </w:t>
      </w:r>
      <w:r w:rsidRPr="00571F0B">
        <w:rPr>
          <w:lang w:val="en-GB"/>
        </w:rPr>
        <w:t>Goal</w:t>
      </w:r>
      <w:r w:rsidR="00C06AA2">
        <w:rPr>
          <w:lang w:val="en-GB"/>
        </w:rPr>
        <w:t xml:space="preserve"> is</w:t>
      </w:r>
      <w:r>
        <w:rPr>
          <w:lang w:val="en-GB"/>
        </w:rPr>
        <w:t>:</w:t>
      </w:r>
    </w:p>
    <w:p w:rsidR="009E1E17" w:rsidRPr="00571F0B" w:rsidRDefault="009E1E17" w:rsidP="00C06AA2">
      <w:pPr>
        <w:spacing w:before="0" w:after="0"/>
        <w:ind w:left="720"/>
        <w:rPr>
          <w:b/>
          <w:i/>
          <w:lang w:val="en-GB"/>
        </w:rPr>
      </w:pPr>
      <w:r w:rsidRPr="00571F0B">
        <w:rPr>
          <w:b/>
          <w:i/>
          <w:lang w:val="en-GB"/>
        </w:rPr>
        <w:t xml:space="preserve">To </w:t>
      </w:r>
      <w:r w:rsidR="00C06AA2">
        <w:rPr>
          <w:b/>
          <w:i/>
          <w:lang w:val="en-GB"/>
        </w:rPr>
        <w:t>improve the capacity of organisation</w:t>
      </w:r>
      <w:r w:rsidR="003E03F2">
        <w:rPr>
          <w:b/>
          <w:i/>
          <w:lang w:val="en-GB"/>
        </w:rPr>
        <w:t>s</w:t>
      </w:r>
      <w:r w:rsidR="00C06AA2">
        <w:rPr>
          <w:b/>
          <w:i/>
          <w:lang w:val="en-GB"/>
        </w:rPr>
        <w:t xml:space="preserve"> to meet the service delivery and economic development needs of the women, children and men of Papua New Guinea. </w:t>
      </w:r>
    </w:p>
    <w:p w:rsidR="009E1E17" w:rsidRPr="00571F0B" w:rsidRDefault="009E1E17" w:rsidP="009E1E17">
      <w:pPr>
        <w:spacing w:before="0" w:after="0"/>
        <w:rPr>
          <w:lang w:val="en-GB"/>
        </w:rPr>
      </w:pPr>
    </w:p>
    <w:p w:rsidR="009E1E17" w:rsidRPr="00571F0B" w:rsidRDefault="009E1E17" w:rsidP="009E1E17">
      <w:pPr>
        <w:spacing w:before="0" w:after="0"/>
        <w:rPr>
          <w:lang w:val="en-GB"/>
        </w:rPr>
      </w:pPr>
      <w:r>
        <w:rPr>
          <w:lang w:val="en-GB"/>
        </w:rPr>
        <w:t xml:space="preserve">The Goal will </w:t>
      </w:r>
      <w:r w:rsidRPr="006033B5">
        <w:rPr>
          <w:lang w:val="en-GB"/>
        </w:rPr>
        <w:t>ensure</w:t>
      </w:r>
      <w:r>
        <w:rPr>
          <w:lang w:val="en-GB"/>
        </w:rPr>
        <w:t xml:space="preserve"> </w:t>
      </w:r>
      <w:r w:rsidRPr="006033B5">
        <w:rPr>
          <w:lang w:val="en-GB"/>
        </w:rPr>
        <w:t xml:space="preserve">this large grant funding mechanism is aligned with </w:t>
      </w:r>
      <w:r>
        <w:rPr>
          <w:lang w:val="en-GB"/>
        </w:rPr>
        <w:t xml:space="preserve">the new </w:t>
      </w:r>
      <w:r w:rsidRPr="006033B5">
        <w:rPr>
          <w:lang w:val="en-GB"/>
        </w:rPr>
        <w:t xml:space="preserve">Australian Aid </w:t>
      </w:r>
      <w:r>
        <w:rPr>
          <w:lang w:val="en-GB"/>
        </w:rPr>
        <w:t>Policy</w:t>
      </w:r>
      <w:r w:rsidR="003E03F2">
        <w:rPr>
          <w:lang w:val="en-GB"/>
        </w:rPr>
        <w:t xml:space="preserve"> and shifts the delivery of Australian Aid from projects and direct service delivery mechanisms to supporting delivery through effective partners</w:t>
      </w:r>
      <w:r>
        <w:rPr>
          <w:lang w:val="en-GB"/>
        </w:rPr>
        <w:t xml:space="preserve">. </w:t>
      </w:r>
      <w:r w:rsidRPr="00571F0B">
        <w:rPr>
          <w:lang w:val="en-GB"/>
        </w:rPr>
        <w:t xml:space="preserve">For over fourteen years the incentive funding mechanism has delivered significant </w:t>
      </w:r>
      <w:r w:rsidR="00C06AA2">
        <w:rPr>
          <w:lang w:val="en-GB"/>
        </w:rPr>
        <w:t xml:space="preserve">process and output outcomes and </w:t>
      </w:r>
      <w:r w:rsidRPr="00571F0B">
        <w:rPr>
          <w:lang w:val="en-GB"/>
        </w:rPr>
        <w:t xml:space="preserve">infrastructure through </w:t>
      </w:r>
      <w:r w:rsidR="00C06AA2">
        <w:rPr>
          <w:lang w:val="en-GB"/>
        </w:rPr>
        <w:t xml:space="preserve">a </w:t>
      </w:r>
      <w:r w:rsidRPr="00571F0B">
        <w:rPr>
          <w:lang w:val="en-GB"/>
        </w:rPr>
        <w:t xml:space="preserve">strong </w:t>
      </w:r>
      <w:r w:rsidR="003E03F2">
        <w:rPr>
          <w:lang w:val="en-GB"/>
        </w:rPr>
        <w:t xml:space="preserve">partner led </w:t>
      </w:r>
      <w:r w:rsidRPr="00571F0B">
        <w:rPr>
          <w:lang w:val="en-GB"/>
        </w:rPr>
        <w:t>delivery process</w:t>
      </w:r>
      <w:r w:rsidR="00C06AA2">
        <w:rPr>
          <w:lang w:val="en-GB"/>
        </w:rPr>
        <w:t>.</w:t>
      </w:r>
      <w:r w:rsidRPr="00571F0B">
        <w:rPr>
          <w:lang w:val="en-GB"/>
        </w:rPr>
        <w:t xml:space="preserve"> </w:t>
      </w:r>
      <w:r w:rsidR="00C06AA2">
        <w:rPr>
          <w:lang w:val="en-GB"/>
        </w:rPr>
        <w:t xml:space="preserve">It remains a relevant delivery mechanism for cross-sector support and to establish improved private sector engagement in Papua New Guinea’s development.  </w:t>
      </w:r>
    </w:p>
    <w:p w:rsidR="009E1E17" w:rsidRPr="007228A0" w:rsidRDefault="009E1E17" w:rsidP="009E1E17">
      <w:pPr>
        <w:spacing w:before="0" w:after="0"/>
        <w:rPr>
          <w:sz w:val="16"/>
          <w:szCs w:val="16"/>
          <w:lang w:val="en-GB"/>
        </w:rPr>
      </w:pPr>
    </w:p>
    <w:p w:rsidR="009E1E17" w:rsidRPr="007228A0" w:rsidRDefault="009E1E17" w:rsidP="009E1E17">
      <w:pPr>
        <w:spacing w:before="0" w:after="0"/>
        <w:rPr>
          <w:sz w:val="16"/>
          <w:szCs w:val="16"/>
          <w:lang w:val="en-GB"/>
        </w:rPr>
      </w:pPr>
      <w:r>
        <w:rPr>
          <w:lang w:val="en-GB"/>
        </w:rPr>
        <w:t xml:space="preserve">The Incentive Fund </w:t>
      </w:r>
      <w:r w:rsidR="00BE7C9E">
        <w:rPr>
          <w:lang w:val="en-GB"/>
        </w:rPr>
        <w:t xml:space="preserve">Phase IV </w:t>
      </w:r>
      <w:r>
        <w:rPr>
          <w:lang w:val="en-GB"/>
        </w:rPr>
        <w:t>Purpose is:</w:t>
      </w:r>
    </w:p>
    <w:p w:rsidR="00C06AA2" w:rsidRDefault="00C06AA2" w:rsidP="009E1E17">
      <w:pPr>
        <w:spacing w:before="0" w:after="0"/>
        <w:ind w:left="720"/>
        <w:rPr>
          <w:b/>
          <w:i/>
          <w:lang w:val="en-GB"/>
        </w:rPr>
      </w:pPr>
      <w:r>
        <w:rPr>
          <w:b/>
          <w:i/>
          <w:lang w:val="en-GB"/>
        </w:rPr>
        <w:t xml:space="preserve">To attract, identify and incentivise good performing </w:t>
      </w:r>
      <w:r w:rsidR="00223FEE">
        <w:rPr>
          <w:b/>
          <w:i/>
          <w:lang w:val="en-GB"/>
        </w:rPr>
        <w:t xml:space="preserve">organisations to expand the reach, coverage and quality of their contribution to service delivery and/or economic </w:t>
      </w:r>
      <w:r w:rsidR="00AF79FB" w:rsidRPr="00AF79FB">
        <w:rPr>
          <w:b/>
          <w:i/>
          <w:lang w:val="en-GB"/>
        </w:rPr>
        <w:t>development</w:t>
      </w:r>
      <w:r w:rsidR="00223FEE">
        <w:rPr>
          <w:b/>
          <w:i/>
          <w:lang w:val="en-GB"/>
        </w:rPr>
        <w:t xml:space="preserve"> in Papua New Guinea. </w:t>
      </w:r>
    </w:p>
    <w:p w:rsidR="000774F0" w:rsidRPr="00571F0B" w:rsidRDefault="000774F0" w:rsidP="003039F4">
      <w:pPr>
        <w:spacing w:before="0" w:after="0"/>
        <w:rPr>
          <w:lang w:val="en-GB"/>
        </w:rPr>
      </w:pPr>
    </w:p>
    <w:p w:rsidR="00BE7C9E" w:rsidRDefault="00BE7C9E" w:rsidP="003039F4">
      <w:pPr>
        <w:spacing w:before="0" w:after="0"/>
        <w:rPr>
          <w:lang w:val="en-GB"/>
        </w:rPr>
      </w:pPr>
      <w:r w:rsidRPr="00BE7C9E">
        <w:rPr>
          <w:lang w:val="en-GB"/>
        </w:rPr>
        <w:t xml:space="preserve">The Incentive Fund Phase IV </w:t>
      </w:r>
      <w:r>
        <w:rPr>
          <w:lang w:val="en-GB"/>
        </w:rPr>
        <w:t xml:space="preserve">will </w:t>
      </w:r>
      <w:r w:rsidR="00F95155">
        <w:rPr>
          <w:lang w:val="en-GB"/>
        </w:rPr>
        <w:t>introduce</w:t>
      </w:r>
      <w:r>
        <w:rPr>
          <w:lang w:val="en-GB"/>
        </w:rPr>
        <w:t xml:space="preserve"> three investment </w:t>
      </w:r>
      <w:r w:rsidRPr="00BE7C9E">
        <w:rPr>
          <w:lang w:val="en-GB"/>
        </w:rPr>
        <w:t xml:space="preserve">portfolio </w:t>
      </w:r>
      <w:r>
        <w:rPr>
          <w:lang w:val="en-GB"/>
        </w:rPr>
        <w:t xml:space="preserve">targets to </w:t>
      </w:r>
      <w:r w:rsidR="00F95155">
        <w:rPr>
          <w:lang w:val="en-GB"/>
        </w:rPr>
        <w:t>be met by the end-of-the program</w:t>
      </w:r>
      <w:r>
        <w:rPr>
          <w:lang w:val="en-GB"/>
        </w:rPr>
        <w:t xml:space="preserve">: </w:t>
      </w:r>
    </w:p>
    <w:p w:rsidR="00BE7C9E" w:rsidRPr="00571F0B" w:rsidRDefault="00BE7C9E" w:rsidP="00BE7C9E">
      <w:pPr>
        <w:spacing w:before="0" w:after="0"/>
        <w:rPr>
          <w:lang w:val="en-GB"/>
        </w:rPr>
      </w:pPr>
      <w:r>
        <w:rPr>
          <w:lang w:val="en-GB"/>
        </w:rPr>
        <w:t xml:space="preserve"> </w:t>
      </w:r>
    </w:p>
    <w:p w:rsidR="00BE7C9E" w:rsidRDefault="00EB5D54" w:rsidP="00A82AAB">
      <w:pPr>
        <w:pStyle w:val="ListParagraph"/>
        <w:numPr>
          <w:ilvl w:val="0"/>
          <w:numId w:val="24"/>
        </w:numPr>
        <w:spacing w:before="0" w:after="0"/>
        <w:ind w:left="284" w:hanging="284"/>
        <w:rPr>
          <w:lang w:val="en-GB"/>
        </w:rPr>
      </w:pPr>
      <w:r>
        <w:rPr>
          <w:lang w:val="en-GB"/>
        </w:rPr>
        <w:t xml:space="preserve">At least </w:t>
      </w:r>
      <w:r w:rsidR="00BE7C9E">
        <w:rPr>
          <w:lang w:val="en-GB"/>
        </w:rPr>
        <w:t xml:space="preserve">80 per cent </w:t>
      </w:r>
      <w:r>
        <w:rPr>
          <w:lang w:val="en-GB"/>
        </w:rPr>
        <w:t xml:space="preserve">of the investments will support empowerment of women and girls, aligned with the Pacific Women objectives and </w:t>
      </w:r>
      <w:r w:rsidR="00BE7C9E" w:rsidRPr="00571F0B">
        <w:rPr>
          <w:lang w:val="en-GB"/>
        </w:rPr>
        <w:t xml:space="preserve">address gender issues </w:t>
      </w:r>
      <w:r>
        <w:rPr>
          <w:lang w:val="en-GB"/>
        </w:rPr>
        <w:t>during</w:t>
      </w:r>
      <w:r w:rsidR="00BE7C9E" w:rsidRPr="00571F0B">
        <w:rPr>
          <w:lang w:val="en-GB"/>
        </w:rPr>
        <w:t xml:space="preserve"> implementation.  </w:t>
      </w:r>
      <w:r w:rsidR="00BE7C9E">
        <w:rPr>
          <w:lang w:val="en-GB"/>
        </w:rPr>
        <w:t>This will uphold Australian Aid</w:t>
      </w:r>
      <w:r w:rsidR="00BE7C9E" w:rsidRPr="00571F0B">
        <w:rPr>
          <w:lang w:val="en-GB"/>
        </w:rPr>
        <w:t xml:space="preserve"> commitments through the 2012 Pacific Leaders’ Gender Equality Declaration and Australia’s delivery strategy </w:t>
      </w:r>
      <w:r w:rsidR="00BE7C9E" w:rsidRPr="00571F0B">
        <w:rPr>
          <w:i/>
          <w:lang w:val="en-GB"/>
        </w:rPr>
        <w:t>Pacific Women Shaping Pacific Development</w:t>
      </w:r>
      <w:r w:rsidR="00BE7C9E" w:rsidRPr="00571F0B">
        <w:rPr>
          <w:lang w:val="en-GB"/>
        </w:rPr>
        <w:t>.</w:t>
      </w:r>
    </w:p>
    <w:p w:rsidR="00BE7C9E" w:rsidRPr="00571F0B" w:rsidRDefault="00BE7C9E" w:rsidP="00BE7C9E">
      <w:pPr>
        <w:pStyle w:val="ListParagraph"/>
        <w:spacing w:before="0" w:after="0"/>
        <w:ind w:left="284"/>
        <w:rPr>
          <w:lang w:val="en-GB"/>
        </w:rPr>
      </w:pPr>
    </w:p>
    <w:p w:rsidR="00BE7C9E" w:rsidRDefault="00EB5D54" w:rsidP="00A82AAB">
      <w:pPr>
        <w:pStyle w:val="ListParagraph"/>
        <w:numPr>
          <w:ilvl w:val="0"/>
          <w:numId w:val="24"/>
        </w:numPr>
        <w:spacing w:before="0" w:after="0"/>
        <w:ind w:left="284" w:hanging="284"/>
        <w:rPr>
          <w:lang w:val="en-GB"/>
        </w:rPr>
      </w:pPr>
      <w:r>
        <w:rPr>
          <w:lang w:val="en-GB"/>
        </w:rPr>
        <w:t xml:space="preserve">At least </w:t>
      </w:r>
      <w:r w:rsidR="00BE7C9E" w:rsidRPr="00571F0B">
        <w:rPr>
          <w:lang w:val="en-GB"/>
        </w:rPr>
        <w:t>20</w:t>
      </w:r>
      <w:r>
        <w:rPr>
          <w:lang w:val="en-GB"/>
        </w:rPr>
        <w:t xml:space="preserve"> per cent of the investments </w:t>
      </w:r>
      <w:r w:rsidR="00BE7C9E" w:rsidRPr="00571F0B">
        <w:rPr>
          <w:lang w:val="en-GB"/>
        </w:rPr>
        <w:t xml:space="preserve">will target private sector </w:t>
      </w:r>
      <w:r>
        <w:rPr>
          <w:lang w:val="en-GB"/>
        </w:rPr>
        <w:t xml:space="preserve">engagement. </w:t>
      </w:r>
      <w:r w:rsidR="00BE7C9E" w:rsidRPr="00571F0B">
        <w:rPr>
          <w:lang w:val="en-GB"/>
        </w:rPr>
        <w:t>Setting th</w:t>
      </w:r>
      <w:r>
        <w:rPr>
          <w:lang w:val="en-GB"/>
        </w:rPr>
        <w:t xml:space="preserve">is target will create the space </w:t>
      </w:r>
      <w:r w:rsidR="00BE7C9E" w:rsidRPr="00571F0B">
        <w:rPr>
          <w:lang w:val="en-GB"/>
        </w:rPr>
        <w:t xml:space="preserve">and opportunity </w:t>
      </w:r>
      <w:r>
        <w:rPr>
          <w:lang w:val="en-GB"/>
        </w:rPr>
        <w:t xml:space="preserve">for DFAT </w:t>
      </w:r>
      <w:r w:rsidR="00BE7C9E" w:rsidRPr="00571F0B">
        <w:rPr>
          <w:lang w:val="en-GB"/>
        </w:rPr>
        <w:t xml:space="preserve">to </w:t>
      </w:r>
      <w:r>
        <w:rPr>
          <w:lang w:val="en-GB"/>
        </w:rPr>
        <w:t xml:space="preserve">establish greater </w:t>
      </w:r>
      <w:r w:rsidR="00BE7C9E" w:rsidRPr="00571F0B">
        <w:rPr>
          <w:lang w:val="en-GB"/>
        </w:rPr>
        <w:t xml:space="preserve">private sector </w:t>
      </w:r>
      <w:r>
        <w:rPr>
          <w:lang w:val="en-GB"/>
        </w:rPr>
        <w:t xml:space="preserve">engagement, </w:t>
      </w:r>
      <w:r w:rsidR="00BE7C9E" w:rsidRPr="00571F0B">
        <w:rPr>
          <w:lang w:val="en-GB"/>
        </w:rPr>
        <w:t xml:space="preserve">understanding, relationships and (ultimately) </w:t>
      </w:r>
      <w:r>
        <w:rPr>
          <w:lang w:val="en-GB"/>
        </w:rPr>
        <w:t xml:space="preserve">to support private sector </w:t>
      </w:r>
      <w:r w:rsidR="00BE7C9E" w:rsidRPr="00571F0B">
        <w:rPr>
          <w:lang w:val="en-GB"/>
        </w:rPr>
        <w:t>investment</w:t>
      </w:r>
      <w:r>
        <w:rPr>
          <w:lang w:val="en-GB"/>
        </w:rPr>
        <w:t>s in development</w:t>
      </w:r>
      <w:r w:rsidR="00B03A91">
        <w:rPr>
          <w:lang w:val="en-GB"/>
        </w:rPr>
        <w:t>,</w:t>
      </w:r>
      <w:r w:rsidR="00427730">
        <w:rPr>
          <w:lang w:val="en-GB"/>
        </w:rPr>
        <w:t xml:space="preserve"> including service delivery and/</w:t>
      </w:r>
      <w:r>
        <w:rPr>
          <w:lang w:val="en-GB"/>
        </w:rPr>
        <w:t>or economic development</w:t>
      </w:r>
      <w:r w:rsidR="00BE7C9E" w:rsidRPr="00571F0B">
        <w:rPr>
          <w:lang w:val="en-GB"/>
        </w:rPr>
        <w:t xml:space="preserve">. It is recommended that current road infrastructure is not included in the attainment of this target because the </w:t>
      </w:r>
      <w:r w:rsidR="00427730">
        <w:rPr>
          <w:lang w:val="en-GB"/>
        </w:rPr>
        <w:t xml:space="preserve">policy </w:t>
      </w:r>
      <w:r w:rsidR="00BE7C9E" w:rsidRPr="00571F0B">
        <w:rPr>
          <w:lang w:val="en-GB"/>
        </w:rPr>
        <w:t xml:space="preserve">intent </w:t>
      </w:r>
      <w:r w:rsidR="00427730">
        <w:rPr>
          <w:lang w:val="en-GB"/>
        </w:rPr>
        <w:t>for</w:t>
      </w:r>
      <w:r w:rsidR="00B03A91">
        <w:rPr>
          <w:lang w:val="en-GB"/>
        </w:rPr>
        <w:t xml:space="preserve"> Australian Aid </w:t>
      </w:r>
      <w:r w:rsidR="00427730">
        <w:rPr>
          <w:lang w:val="en-GB"/>
        </w:rPr>
        <w:t xml:space="preserve">is </w:t>
      </w:r>
      <w:r w:rsidR="00BE7C9E">
        <w:rPr>
          <w:lang w:val="en-GB"/>
        </w:rPr>
        <w:t>to</w:t>
      </w:r>
      <w:r w:rsidR="00BE7C9E" w:rsidRPr="00571F0B">
        <w:rPr>
          <w:lang w:val="en-GB"/>
        </w:rPr>
        <w:t xml:space="preserve"> drive expanded</w:t>
      </w:r>
      <w:r w:rsidR="00BE7C9E">
        <w:rPr>
          <w:lang w:val="en-GB"/>
        </w:rPr>
        <w:t xml:space="preserve"> private sector engagement. </w:t>
      </w:r>
    </w:p>
    <w:p w:rsidR="00BE7C9E" w:rsidRPr="00BE7C9E" w:rsidRDefault="00BE7C9E" w:rsidP="00BE7C9E">
      <w:pPr>
        <w:spacing w:before="0" w:after="0"/>
        <w:rPr>
          <w:lang w:val="en-GB"/>
        </w:rPr>
      </w:pPr>
    </w:p>
    <w:p w:rsidR="00BE7C9E" w:rsidRPr="00571F0B" w:rsidRDefault="00EB5D54" w:rsidP="00A82AAB">
      <w:pPr>
        <w:pStyle w:val="ListParagraph"/>
        <w:numPr>
          <w:ilvl w:val="0"/>
          <w:numId w:val="24"/>
        </w:numPr>
        <w:spacing w:before="0" w:after="0"/>
        <w:ind w:left="284" w:hanging="284"/>
        <w:rPr>
          <w:lang w:val="en-GB"/>
        </w:rPr>
      </w:pPr>
      <w:r>
        <w:rPr>
          <w:lang w:val="en-GB"/>
        </w:rPr>
        <w:t xml:space="preserve">At least 50 per cent </w:t>
      </w:r>
      <w:r w:rsidR="00BE7C9E" w:rsidRPr="00571F0B">
        <w:rPr>
          <w:lang w:val="en-GB"/>
        </w:rPr>
        <w:t xml:space="preserve">of the </w:t>
      </w:r>
      <w:r>
        <w:rPr>
          <w:lang w:val="en-GB"/>
        </w:rPr>
        <w:t xml:space="preserve">investments </w:t>
      </w:r>
      <w:r w:rsidR="00BE7C9E" w:rsidRPr="00571F0B">
        <w:rPr>
          <w:lang w:val="en-GB"/>
        </w:rPr>
        <w:t xml:space="preserve">will be allocated to infrastructure. </w:t>
      </w:r>
      <w:r>
        <w:rPr>
          <w:lang w:val="en-GB"/>
        </w:rPr>
        <w:t xml:space="preserve">This is consistent with Australia’s proposed approaches </w:t>
      </w:r>
      <w:r w:rsidR="00F95155">
        <w:rPr>
          <w:lang w:val="en-GB"/>
        </w:rPr>
        <w:t xml:space="preserve">under the aid assessment </w:t>
      </w:r>
      <w:r>
        <w:rPr>
          <w:lang w:val="en-GB"/>
        </w:rPr>
        <w:t xml:space="preserve">to align Australian Aid investments to the Government of PNG’s priorities and to help unlock PNGs economic potential. </w:t>
      </w:r>
    </w:p>
    <w:p w:rsidR="003E5A2C" w:rsidRDefault="003E5A2C" w:rsidP="003039F4">
      <w:pPr>
        <w:spacing w:before="0" w:after="0"/>
        <w:rPr>
          <w:lang w:val="en-GB"/>
        </w:rPr>
      </w:pPr>
    </w:p>
    <w:p w:rsidR="00A855DF" w:rsidRPr="00BE7C9E" w:rsidRDefault="00A855DF" w:rsidP="00A855DF">
      <w:pPr>
        <w:pStyle w:val="Heading3"/>
        <w:rPr>
          <w:lang w:val="en-GB"/>
        </w:rPr>
      </w:pPr>
      <w:r>
        <w:rPr>
          <w:lang w:val="en-GB"/>
        </w:rPr>
        <w:t>Incentive Fund Logic</w:t>
      </w:r>
    </w:p>
    <w:p w:rsidR="00A855DF" w:rsidRDefault="00A855DF" w:rsidP="00A855DF">
      <w:pPr>
        <w:rPr>
          <w:lang w:val="en-GB"/>
        </w:rPr>
      </w:pPr>
      <w:r>
        <w:rPr>
          <w:lang w:val="en-GB"/>
        </w:rPr>
        <w:t xml:space="preserve">The design Incentive Fund Logic is </w:t>
      </w:r>
      <w:r w:rsidR="00D73F29">
        <w:rPr>
          <w:lang w:val="en-GB"/>
        </w:rPr>
        <w:t xml:space="preserve">presented </w:t>
      </w:r>
      <w:r>
        <w:rPr>
          <w:lang w:val="en-GB"/>
        </w:rPr>
        <w:t xml:space="preserve">in Annex 2 and summarised in Table </w:t>
      </w:r>
      <w:r w:rsidR="00427730">
        <w:rPr>
          <w:lang w:val="en-GB"/>
        </w:rPr>
        <w:t>5</w:t>
      </w:r>
      <w:r>
        <w:rPr>
          <w:lang w:val="en-GB"/>
        </w:rPr>
        <w:t xml:space="preserve">. For illustration </w:t>
      </w:r>
      <w:r w:rsidR="00427730">
        <w:rPr>
          <w:lang w:val="en-GB"/>
        </w:rPr>
        <w:t xml:space="preserve">purposes </w:t>
      </w:r>
      <w:r>
        <w:rPr>
          <w:lang w:val="en-GB"/>
        </w:rPr>
        <w:t xml:space="preserve">the health and education sectors and economic </w:t>
      </w:r>
      <w:r w:rsidR="00276EEA">
        <w:rPr>
          <w:lang w:val="en-GB"/>
        </w:rPr>
        <w:t>development</w:t>
      </w:r>
      <w:r>
        <w:rPr>
          <w:lang w:val="en-GB"/>
        </w:rPr>
        <w:t xml:space="preserve"> </w:t>
      </w:r>
      <w:r w:rsidR="00D73F29">
        <w:rPr>
          <w:lang w:val="en-GB"/>
        </w:rPr>
        <w:t>are</w:t>
      </w:r>
      <w:r>
        <w:rPr>
          <w:lang w:val="en-GB"/>
        </w:rPr>
        <w:t xml:space="preserve"> presented</w:t>
      </w:r>
      <w:r w:rsidR="00D73F29">
        <w:rPr>
          <w:lang w:val="en-GB"/>
        </w:rPr>
        <w:t>, and s</w:t>
      </w:r>
      <w:r>
        <w:rPr>
          <w:lang w:val="en-GB"/>
        </w:rPr>
        <w:t xml:space="preserve">imilar logic flows will apply across all supported sectors. </w:t>
      </w:r>
      <w:r w:rsidR="00D73F29">
        <w:rPr>
          <w:lang w:val="en-GB"/>
        </w:rPr>
        <w:t xml:space="preserve">The </w:t>
      </w:r>
      <w:r w:rsidR="00F32C27" w:rsidRPr="00F32C27">
        <w:rPr>
          <w:lang w:val="en-GB"/>
        </w:rPr>
        <w:t xml:space="preserve">IF (IV) </w:t>
      </w:r>
      <w:r w:rsidR="00D73F29">
        <w:rPr>
          <w:lang w:val="en-GB"/>
        </w:rPr>
        <w:t xml:space="preserve">will be confirmed at the start of IF (IV) by an evaluation of Phases I-III and the investment priorities will be set through the Strategic Delivery and Annual Planning process during the start-up, </w:t>
      </w:r>
      <w:r w:rsidR="00D73F29">
        <w:rPr>
          <w:lang w:val="en-GB"/>
        </w:rPr>
        <w:lastRenderedPageBreak/>
        <w:t xml:space="preserve">and then annually. These same processes will inform the identification of the end-of-program position and the establishment of the Performance Assessment Framework </w:t>
      </w:r>
      <w:r w:rsidR="00385790">
        <w:rPr>
          <w:lang w:val="en-GB"/>
        </w:rPr>
        <w:t xml:space="preserve">(PAF) - </w:t>
      </w:r>
      <w:r w:rsidR="00D73F29">
        <w:rPr>
          <w:lang w:val="en-GB"/>
        </w:rPr>
        <w:t xml:space="preserve">refer to </w:t>
      </w:r>
      <w:r w:rsidR="00385790">
        <w:rPr>
          <w:lang w:val="en-GB"/>
        </w:rPr>
        <w:t>Table 9 -</w:t>
      </w:r>
      <w:r w:rsidR="00D73F29">
        <w:rPr>
          <w:lang w:val="en-GB"/>
        </w:rPr>
        <w:t xml:space="preserve"> to identify progress being made towards the end-of-program position. </w:t>
      </w:r>
    </w:p>
    <w:p w:rsidR="00A855DF" w:rsidRDefault="00A855DF" w:rsidP="00A855DF">
      <w:pPr>
        <w:rPr>
          <w:lang w:val="en-GB"/>
        </w:rPr>
      </w:pPr>
    </w:p>
    <w:p w:rsidR="00A855DF" w:rsidRPr="00A855DF" w:rsidRDefault="00A855DF" w:rsidP="00A855DF">
      <w:pPr>
        <w:rPr>
          <w:lang w:val="en-GB"/>
        </w:rPr>
        <w:sectPr w:rsidR="00A855DF" w:rsidRPr="00A855DF" w:rsidSect="00902169">
          <w:headerReference w:type="default" r:id="rId21"/>
          <w:footerReference w:type="default" r:id="rId22"/>
          <w:pgSz w:w="11909" w:h="16834" w:code="9"/>
          <w:pgMar w:top="851" w:right="1418" w:bottom="851" w:left="1418" w:header="578" w:footer="578" w:gutter="0"/>
          <w:pgNumType w:start="1"/>
          <w:cols w:space="720"/>
        </w:sectPr>
      </w:pPr>
    </w:p>
    <w:p w:rsidR="003E5A2C" w:rsidRPr="00571F0B" w:rsidRDefault="003E5A2C" w:rsidP="003E5A2C">
      <w:pPr>
        <w:pStyle w:val="Caption"/>
        <w:rPr>
          <w:b w:val="0"/>
          <w:lang w:val="en-GB"/>
        </w:rPr>
      </w:pPr>
      <w:bookmarkStart w:id="25" w:name="_Toc403037627"/>
      <w:r w:rsidRPr="00571F0B">
        <w:rPr>
          <w:lang w:val="en-GB"/>
        </w:rPr>
        <w:lastRenderedPageBreak/>
        <w:t xml:space="preserve">Table </w:t>
      </w:r>
      <w:r w:rsidR="00D3593A" w:rsidRPr="00571F0B">
        <w:rPr>
          <w:lang w:val="en-GB"/>
        </w:rPr>
        <w:fldChar w:fldCharType="begin"/>
      </w:r>
      <w:r w:rsidR="00D3593A" w:rsidRPr="00571F0B">
        <w:rPr>
          <w:lang w:val="en-GB"/>
        </w:rPr>
        <w:instrText xml:space="preserve"> SEQ Table \* ARABIC </w:instrText>
      </w:r>
      <w:r w:rsidR="00D3593A" w:rsidRPr="00571F0B">
        <w:rPr>
          <w:lang w:val="en-GB"/>
        </w:rPr>
        <w:fldChar w:fldCharType="separate"/>
      </w:r>
      <w:r w:rsidR="006C1E87">
        <w:rPr>
          <w:noProof/>
          <w:lang w:val="en-GB"/>
        </w:rPr>
        <w:t>5</w:t>
      </w:r>
      <w:r w:rsidR="00D3593A" w:rsidRPr="00571F0B">
        <w:rPr>
          <w:lang w:val="en-GB"/>
        </w:rPr>
        <w:fldChar w:fldCharType="end"/>
      </w:r>
      <w:r w:rsidR="007228A0">
        <w:rPr>
          <w:lang w:val="en-GB"/>
        </w:rPr>
        <w:t>:</w:t>
      </w:r>
      <w:r w:rsidR="008A4E2F" w:rsidRPr="00571F0B">
        <w:rPr>
          <w:lang w:val="en-GB"/>
        </w:rPr>
        <w:t xml:space="preserve"> </w:t>
      </w:r>
      <w:r w:rsidRPr="00571F0B">
        <w:rPr>
          <w:lang w:val="en-GB"/>
        </w:rPr>
        <w:t>Design Incentive Fund Phase IV Logic</w:t>
      </w:r>
      <w:bookmarkEnd w:id="25"/>
    </w:p>
    <w:tbl>
      <w:tblPr>
        <w:tblStyle w:val="TableGrid"/>
        <w:tblW w:w="14688" w:type="dxa"/>
        <w:tblLook w:val="04A0" w:firstRow="1" w:lastRow="0" w:firstColumn="1" w:lastColumn="0" w:noHBand="0" w:noVBand="1"/>
      </w:tblPr>
      <w:tblGrid>
        <w:gridCol w:w="2376"/>
        <w:gridCol w:w="4104"/>
        <w:gridCol w:w="4104"/>
        <w:gridCol w:w="4104"/>
      </w:tblGrid>
      <w:tr w:rsidR="003E5A2C" w:rsidRPr="007228A0" w:rsidTr="007228A0">
        <w:trPr>
          <w:tblHeader/>
        </w:trPr>
        <w:tc>
          <w:tcPr>
            <w:tcW w:w="2376" w:type="dxa"/>
            <w:shd w:val="clear" w:color="auto" w:fill="C2D69B"/>
          </w:tcPr>
          <w:p w:rsidR="007228A0" w:rsidRDefault="007228A0" w:rsidP="007228A0">
            <w:pPr>
              <w:spacing w:after="0"/>
              <w:jc w:val="center"/>
              <w:rPr>
                <w:rFonts w:ascii="Arial Narrow" w:hAnsi="Arial Narrow"/>
                <w:b/>
                <w:sz w:val="20"/>
                <w:lang w:val="en-GB"/>
              </w:rPr>
            </w:pPr>
          </w:p>
          <w:p w:rsidR="003E5A2C" w:rsidRDefault="003E5A2C" w:rsidP="007228A0">
            <w:pPr>
              <w:spacing w:after="0"/>
              <w:jc w:val="center"/>
              <w:rPr>
                <w:rFonts w:ascii="Arial Narrow" w:hAnsi="Arial Narrow"/>
                <w:b/>
                <w:sz w:val="20"/>
                <w:lang w:val="en-GB"/>
              </w:rPr>
            </w:pPr>
            <w:r w:rsidRPr="007228A0">
              <w:rPr>
                <w:rFonts w:ascii="Arial Narrow" w:hAnsi="Arial Narrow"/>
                <w:b/>
                <w:sz w:val="20"/>
                <w:lang w:val="en-GB"/>
              </w:rPr>
              <w:t>IF (IV) Goal</w:t>
            </w:r>
          </w:p>
          <w:p w:rsidR="007228A0" w:rsidRDefault="007228A0" w:rsidP="007228A0">
            <w:pPr>
              <w:spacing w:after="0"/>
              <w:jc w:val="center"/>
              <w:rPr>
                <w:rFonts w:ascii="Arial Narrow" w:hAnsi="Arial Narrow"/>
                <w:b/>
                <w:sz w:val="20"/>
                <w:lang w:val="en-GB"/>
              </w:rPr>
            </w:pPr>
            <w:r>
              <w:rPr>
                <w:rFonts w:ascii="Arial Narrow" w:hAnsi="Arial Narrow"/>
                <w:b/>
                <w:sz w:val="20"/>
                <w:lang w:val="en-GB"/>
              </w:rPr>
              <w:t>(Longer-term outcome)</w:t>
            </w:r>
          </w:p>
          <w:p w:rsidR="007228A0" w:rsidRPr="007228A0" w:rsidRDefault="007228A0" w:rsidP="007228A0">
            <w:pPr>
              <w:spacing w:after="0"/>
              <w:jc w:val="center"/>
              <w:rPr>
                <w:rFonts w:ascii="Arial Narrow" w:hAnsi="Arial Narrow"/>
                <w:b/>
                <w:sz w:val="20"/>
                <w:lang w:val="en-GB"/>
              </w:rPr>
            </w:pPr>
          </w:p>
        </w:tc>
        <w:tc>
          <w:tcPr>
            <w:tcW w:w="12312" w:type="dxa"/>
            <w:gridSpan w:val="3"/>
            <w:shd w:val="clear" w:color="auto" w:fill="C2D69B"/>
            <w:vAlign w:val="center"/>
          </w:tcPr>
          <w:p w:rsidR="003E03F2" w:rsidRDefault="003E03F2" w:rsidP="007228A0">
            <w:pPr>
              <w:spacing w:after="0"/>
              <w:jc w:val="center"/>
              <w:rPr>
                <w:rFonts w:ascii="Arial Narrow" w:hAnsi="Arial Narrow"/>
                <w:b/>
                <w:sz w:val="20"/>
                <w:lang w:val="en-GB"/>
              </w:rPr>
            </w:pPr>
            <w:r w:rsidRPr="003E03F2">
              <w:rPr>
                <w:rFonts w:ascii="Arial Narrow" w:hAnsi="Arial Narrow"/>
                <w:b/>
                <w:sz w:val="20"/>
                <w:lang w:val="en-GB"/>
              </w:rPr>
              <w:t xml:space="preserve">To improve the capacity of organisations to meet the service delivery and economic development needs </w:t>
            </w:r>
          </w:p>
          <w:p w:rsidR="003E5A2C" w:rsidRPr="007228A0" w:rsidRDefault="003E03F2" w:rsidP="007228A0">
            <w:pPr>
              <w:spacing w:after="0"/>
              <w:jc w:val="center"/>
              <w:rPr>
                <w:rFonts w:ascii="Arial Narrow" w:hAnsi="Arial Narrow"/>
                <w:b/>
                <w:sz w:val="20"/>
                <w:lang w:val="en-GB"/>
              </w:rPr>
            </w:pPr>
            <w:proofErr w:type="gramStart"/>
            <w:r w:rsidRPr="003E03F2">
              <w:rPr>
                <w:rFonts w:ascii="Arial Narrow" w:hAnsi="Arial Narrow"/>
                <w:b/>
                <w:sz w:val="20"/>
                <w:lang w:val="en-GB"/>
              </w:rPr>
              <w:t>of</w:t>
            </w:r>
            <w:proofErr w:type="gramEnd"/>
            <w:r w:rsidRPr="003E03F2">
              <w:rPr>
                <w:rFonts w:ascii="Arial Narrow" w:hAnsi="Arial Narrow"/>
                <w:b/>
                <w:sz w:val="20"/>
                <w:lang w:val="en-GB"/>
              </w:rPr>
              <w:t xml:space="preserve"> the women, children and men of Papua New Guinea.</w:t>
            </w:r>
          </w:p>
        </w:tc>
      </w:tr>
      <w:tr w:rsidR="003E5A2C" w:rsidRPr="007228A0" w:rsidTr="007228A0">
        <w:trPr>
          <w:tblHeader/>
        </w:trPr>
        <w:tc>
          <w:tcPr>
            <w:tcW w:w="2376" w:type="dxa"/>
            <w:shd w:val="clear" w:color="auto" w:fill="FBD4B4" w:themeFill="accent6" w:themeFillTint="66"/>
          </w:tcPr>
          <w:p w:rsidR="007228A0" w:rsidRDefault="007228A0" w:rsidP="00556F30">
            <w:pPr>
              <w:jc w:val="center"/>
              <w:rPr>
                <w:rFonts w:ascii="Arial Narrow" w:hAnsi="Arial Narrow"/>
                <w:b/>
                <w:sz w:val="20"/>
                <w:lang w:val="en-GB"/>
              </w:rPr>
            </w:pPr>
          </w:p>
          <w:p w:rsidR="003E5A2C" w:rsidRDefault="003E5A2C" w:rsidP="00556F30">
            <w:pPr>
              <w:jc w:val="center"/>
              <w:rPr>
                <w:rFonts w:ascii="Arial Narrow" w:hAnsi="Arial Narrow"/>
                <w:b/>
                <w:sz w:val="20"/>
                <w:lang w:val="en-GB"/>
              </w:rPr>
            </w:pPr>
            <w:r w:rsidRPr="007228A0">
              <w:rPr>
                <w:rFonts w:ascii="Arial Narrow" w:hAnsi="Arial Narrow"/>
                <w:b/>
                <w:sz w:val="20"/>
                <w:lang w:val="en-GB"/>
              </w:rPr>
              <w:t>IF (IV) Purpose</w:t>
            </w:r>
          </w:p>
          <w:p w:rsidR="007228A0" w:rsidRDefault="007228A0" w:rsidP="00556F30">
            <w:pPr>
              <w:jc w:val="center"/>
              <w:rPr>
                <w:rFonts w:ascii="Arial Narrow" w:hAnsi="Arial Narrow"/>
                <w:b/>
                <w:sz w:val="20"/>
                <w:lang w:val="en-GB"/>
              </w:rPr>
            </w:pPr>
            <w:r>
              <w:rPr>
                <w:rFonts w:ascii="Arial Narrow" w:hAnsi="Arial Narrow"/>
                <w:b/>
                <w:sz w:val="20"/>
                <w:lang w:val="en-GB"/>
              </w:rPr>
              <w:t>(Longer-term outcome)</w:t>
            </w:r>
          </w:p>
          <w:p w:rsidR="007228A0" w:rsidRPr="007228A0" w:rsidRDefault="007228A0" w:rsidP="00556F30">
            <w:pPr>
              <w:jc w:val="center"/>
              <w:rPr>
                <w:rFonts w:ascii="Arial Narrow" w:hAnsi="Arial Narrow"/>
                <w:b/>
                <w:sz w:val="20"/>
                <w:lang w:val="en-GB"/>
              </w:rPr>
            </w:pPr>
          </w:p>
        </w:tc>
        <w:tc>
          <w:tcPr>
            <w:tcW w:w="12312" w:type="dxa"/>
            <w:gridSpan w:val="3"/>
            <w:shd w:val="clear" w:color="auto" w:fill="FBD4B4" w:themeFill="accent6" w:themeFillTint="66"/>
            <w:vAlign w:val="center"/>
          </w:tcPr>
          <w:p w:rsidR="00CC1E7D" w:rsidRDefault="00CC1E7D" w:rsidP="00CC1E7D">
            <w:pPr>
              <w:spacing w:before="0" w:after="0"/>
              <w:jc w:val="center"/>
              <w:rPr>
                <w:rFonts w:ascii="Arial Narrow" w:hAnsi="Arial Narrow"/>
                <w:b/>
                <w:i/>
                <w:sz w:val="20"/>
                <w:lang w:val="en-GB"/>
              </w:rPr>
            </w:pPr>
            <w:r w:rsidRPr="00CC1E7D">
              <w:rPr>
                <w:rFonts w:ascii="Arial Narrow" w:hAnsi="Arial Narrow"/>
                <w:b/>
                <w:i/>
                <w:sz w:val="20"/>
                <w:lang w:val="en-GB"/>
              </w:rPr>
              <w:t xml:space="preserve">To attract, identify and incentivise good performing organisations to expand the reach, coverage and quality of their contribution </w:t>
            </w:r>
          </w:p>
          <w:p w:rsidR="00CC1E7D" w:rsidRPr="00CC1E7D" w:rsidRDefault="00CC1E7D" w:rsidP="00CC1E7D">
            <w:pPr>
              <w:spacing w:before="0" w:after="0"/>
              <w:jc w:val="center"/>
              <w:rPr>
                <w:rFonts w:ascii="Arial Narrow" w:hAnsi="Arial Narrow"/>
                <w:b/>
                <w:i/>
                <w:sz w:val="20"/>
                <w:lang w:val="en-GB"/>
              </w:rPr>
            </w:pPr>
            <w:proofErr w:type="gramStart"/>
            <w:r w:rsidRPr="00CC1E7D">
              <w:rPr>
                <w:rFonts w:ascii="Arial Narrow" w:hAnsi="Arial Narrow"/>
                <w:b/>
                <w:i/>
                <w:sz w:val="20"/>
                <w:lang w:val="en-GB"/>
              </w:rPr>
              <w:t>to</w:t>
            </w:r>
            <w:proofErr w:type="gramEnd"/>
            <w:r w:rsidRPr="00CC1E7D">
              <w:rPr>
                <w:rFonts w:ascii="Arial Narrow" w:hAnsi="Arial Narrow"/>
                <w:b/>
                <w:i/>
                <w:sz w:val="20"/>
                <w:lang w:val="en-GB"/>
              </w:rPr>
              <w:t xml:space="preserve"> service delivery and/or economic </w:t>
            </w:r>
            <w:r w:rsidR="00AF79FB" w:rsidRPr="00AF79FB">
              <w:rPr>
                <w:rFonts w:ascii="Arial Narrow" w:hAnsi="Arial Narrow"/>
                <w:b/>
                <w:i/>
                <w:sz w:val="20"/>
                <w:lang w:val="en-GB"/>
              </w:rPr>
              <w:t>development</w:t>
            </w:r>
            <w:r w:rsidRPr="00CC1E7D">
              <w:rPr>
                <w:rFonts w:ascii="Arial Narrow" w:hAnsi="Arial Narrow"/>
                <w:b/>
                <w:i/>
                <w:sz w:val="20"/>
                <w:lang w:val="en-GB"/>
              </w:rPr>
              <w:t xml:space="preserve"> in Papua New Guinea. </w:t>
            </w:r>
          </w:p>
          <w:p w:rsidR="003E5A2C" w:rsidRPr="007228A0" w:rsidRDefault="003E5A2C" w:rsidP="00F170FD">
            <w:pPr>
              <w:spacing w:before="0" w:after="0"/>
              <w:jc w:val="center"/>
              <w:rPr>
                <w:rFonts w:ascii="Arial Narrow" w:hAnsi="Arial Narrow"/>
                <w:sz w:val="20"/>
                <w:lang w:val="en-GB"/>
              </w:rPr>
            </w:pPr>
          </w:p>
        </w:tc>
      </w:tr>
      <w:tr w:rsidR="003E5A2C" w:rsidRPr="007228A0" w:rsidTr="00A855DF">
        <w:tc>
          <w:tcPr>
            <w:tcW w:w="2376" w:type="dxa"/>
            <w:shd w:val="clear" w:color="auto" w:fill="B8CCE4" w:themeFill="accent1" w:themeFillTint="66"/>
          </w:tcPr>
          <w:p w:rsidR="007228A0" w:rsidRDefault="007228A0" w:rsidP="00556F30">
            <w:pPr>
              <w:jc w:val="center"/>
              <w:rPr>
                <w:rFonts w:ascii="Arial Narrow" w:hAnsi="Arial Narrow"/>
                <w:b/>
                <w:sz w:val="20"/>
                <w:lang w:val="en-GB"/>
              </w:rPr>
            </w:pPr>
          </w:p>
          <w:p w:rsidR="003E5A2C" w:rsidRPr="007228A0" w:rsidRDefault="003E5A2C" w:rsidP="00556F30">
            <w:pPr>
              <w:jc w:val="center"/>
              <w:rPr>
                <w:rFonts w:ascii="Arial Narrow" w:hAnsi="Arial Narrow"/>
                <w:b/>
                <w:sz w:val="20"/>
                <w:lang w:val="en-GB"/>
              </w:rPr>
            </w:pPr>
            <w:r w:rsidRPr="007228A0">
              <w:rPr>
                <w:rFonts w:ascii="Arial Narrow" w:hAnsi="Arial Narrow"/>
                <w:b/>
                <w:sz w:val="20"/>
                <w:lang w:val="en-GB"/>
              </w:rPr>
              <w:t>End of Program</w:t>
            </w:r>
          </w:p>
          <w:p w:rsidR="003E5A2C" w:rsidRPr="007228A0" w:rsidRDefault="003E5A2C" w:rsidP="00556F30">
            <w:pPr>
              <w:jc w:val="center"/>
              <w:rPr>
                <w:rFonts w:ascii="Arial Narrow" w:hAnsi="Arial Narrow"/>
                <w:b/>
                <w:sz w:val="20"/>
                <w:lang w:val="en-GB"/>
              </w:rPr>
            </w:pPr>
            <w:r w:rsidRPr="007228A0">
              <w:rPr>
                <w:rFonts w:ascii="Arial Narrow" w:hAnsi="Arial Narrow"/>
                <w:b/>
                <w:sz w:val="20"/>
                <w:lang w:val="en-GB"/>
              </w:rPr>
              <w:t>Outcomes (2021)</w:t>
            </w:r>
          </w:p>
          <w:p w:rsidR="003E5A2C" w:rsidRPr="007228A0" w:rsidRDefault="003E5A2C" w:rsidP="00556F30">
            <w:pPr>
              <w:jc w:val="center"/>
              <w:rPr>
                <w:rFonts w:ascii="Arial Narrow" w:hAnsi="Arial Narrow"/>
                <w:b/>
                <w:sz w:val="20"/>
                <w:lang w:val="en-GB"/>
              </w:rPr>
            </w:pPr>
          </w:p>
        </w:tc>
        <w:tc>
          <w:tcPr>
            <w:tcW w:w="4104" w:type="dxa"/>
            <w:shd w:val="clear" w:color="auto" w:fill="B8CCE4" w:themeFill="accent1" w:themeFillTint="66"/>
            <w:vAlign w:val="center"/>
          </w:tcPr>
          <w:p w:rsidR="003E5A2C" w:rsidRPr="007228A0" w:rsidRDefault="00556F30" w:rsidP="00A82AAB">
            <w:pPr>
              <w:numPr>
                <w:ilvl w:val="0"/>
                <w:numId w:val="17"/>
              </w:numPr>
              <w:spacing w:after="0"/>
              <w:contextualSpacing/>
              <w:jc w:val="left"/>
              <w:rPr>
                <w:rFonts w:ascii="Arial Narrow" w:hAnsi="Arial Narrow"/>
                <w:b/>
                <w:sz w:val="20"/>
                <w:lang w:val="en-GB"/>
              </w:rPr>
            </w:pPr>
            <w:r w:rsidRPr="007228A0">
              <w:rPr>
                <w:rFonts w:ascii="Arial Narrow" w:hAnsi="Arial Narrow"/>
                <w:sz w:val="20"/>
                <w:lang w:val="en-GB"/>
              </w:rPr>
              <w:t>Selected IF (IV) grant recipients effectively and efficiently manage, maintain and operate fit-for-purpose health infrastructure and equipment</w:t>
            </w:r>
          </w:p>
        </w:tc>
        <w:tc>
          <w:tcPr>
            <w:tcW w:w="4104" w:type="dxa"/>
            <w:shd w:val="clear" w:color="auto" w:fill="B8CCE4" w:themeFill="accent1" w:themeFillTint="66"/>
            <w:vAlign w:val="center"/>
          </w:tcPr>
          <w:p w:rsidR="003E5A2C" w:rsidRPr="007228A0" w:rsidRDefault="003E5A2C" w:rsidP="00A82AAB">
            <w:pPr>
              <w:pStyle w:val="ListParagraph"/>
              <w:numPr>
                <w:ilvl w:val="0"/>
                <w:numId w:val="17"/>
              </w:numPr>
              <w:jc w:val="left"/>
              <w:rPr>
                <w:rFonts w:ascii="Arial Narrow" w:hAnsi="Arial Narrow"/>
                <w:sz w:val="20"/>
                <w:lang w:val="en-GB" w:eastAsia="en-AU"/>
              </w:rPr>
            </w:pPr>
            <w:r w:rsidRPr="007228A0">
              <w:rPr>
                <w:rFonts w:ascii="Arial Narrow" w:hAnsi="Arial Narrow"/>
                <w:sz w:val="20"/>
                <w:lang w:val="en-GB" w:eastAsia="en-AU"/>
              </w:rPr>
              <w:t>Selected IF (IV) grant recipients effectively and efficiently manage, maintain and operate</w:t>
            </w:r>
            <w:r w:rsidR="003042FC">
              <w:rPr>
                <w:rFonts w:ascii="Arial Narrow" w:hAnsi="Arial Narrow"/>
                <w:sz w:val="20"/>
                <w:lang w:val="en-GB" w:eastAsia="en-AU"/>
              </w:rPr>
              <w:t xml:space="preserve"> fit-for-purpose e</w:t>
            </w:r>
            <w:r w:rsidRPr="007228A0">
              <w:rPr>
                <w:rFonts w:ascii="Arial Narrow" w:hAnsi="Arial Narrow"/>
                <w:sz w:val="20"/>
                <w:lang w:val="en-GB" w:eastAsia="en-AU"/>
              </w:rPr>
              <w:t>ducation infrastructure and equipment</w:t>
            </w:r>
          </w:p>
        </w:tc>
        <w:tc>
          <w:tcPr>
            <w:tcW w:w="4104" w:type="dxa"/>
            <w:shd w:val="clear" w:color="auto" w:fill="B8CCE4" w:themeFill="accent1" w:themeFillTint="66"/>
            <w:vAlign w:val="center"/>
          </w:tcPr>
          <w:p w:rsidR="003E5A2C" w:rsidRPr="007228A0" w:rsidRDefault="003E5A2C" w:rsidP="00A82AAB">
            <w:pPr>
              <w:pStyle w:val="ListParagraph"/>
              <w:numPr>
                <w:ilvl w:val="0"/>
                <w:numId w:val="17"/>
              </w:numPr>
              <w:spacing w:after="0"/>
              <w:jc w:val="left"/>
              <w:rPr>
                <w:rFonts w:ascii="Arial Narrow" w:hAnsi="Arial Narrow"/>
                <w:b/>
                <w:sz w:val="20"/>
                <w:lang w:val="en-GB" w:eastAsia="en-AU"/>
              </w:rPr>
            </w:pPr>
            <w:r w:rsidRPr="007228A0">
              <w:rPr>
                <w:rFonts w:ascii="Arial Narrow" w:hAnsi="Arial Narrow"/>
                <w:sz w:val="20"/>
                <w:lang w:val="en-GB" w:eastAsia="en-AU"/>
              </w:rPr>
              <w:t>IF (IV) grant recipients actively engage in local economic development</w:t>
            </w:r>
          </w:p>
        </w:tc>
      </w:tr>
      <w:tr w:rsidR="0062086E" w:rsidRPr="007228A0" w:rsidTr="00A855DF">
        <w:trPr>
          <w:trHeight w:val="127"/>
        </w:trPr>
        <w:tc>
          <w:tcPr>
            <w:tcW w:w="2376" w:type="dxa"/>
            <w:vMerge w:val="restart"/>
            <w:vAlign w:val="center"/>
          </w:tcPr>
          <w:p w:rsidR="0062086E" w:rsidRPr="007228A0" w:rsidRDefault="0062086E" w:rsidP="007228A0">
            <w:pPr>
              <w:spacing w:after="0"/>
              <w:jc w:val="center"/>
              <w:rPr>
                <w:rFonts w:ascii="Arial Narrow" w:hAnsi="Arial Narrow"/>
                <w:b/>
                <w:sz w:val="20"/>
                <w:lang w:val="en-GB"/>
              </w:rPr>
            </w:pPr>
            <w:r w:rsidRPr="007228A0">
              <w:rPr>
                <w:rFonts w:ascii="Arial Narrow" w:hAnsi="Arial Narrow"/>
                <w:b/>
                <w:sz w:val="20"/>
                <w:lang w:val="en-GB"/>
              </w:rPr>
              <w:t>Intermediate outcomes</w:t>
            </w:r>
          </w:p>
        </w:tc>
        <w:tc>
          <w:tcPr>
            <w:tcW w:w="4104" w:type="dxa"/>
          </w:tcPr>
          <w:p w:rsidR="0062086E" w:rsidRDefault="0062086E" w:rsidP="0062086E">
            <w:pPr>
              <w:rPr>
                <w:rFonts w:ascii="Arial Narrow" w:hAnsi="Arial Narrow"/>
                <w:sz w:val="20"/>
                <w:lang w:val="en-GB"/>
              </w:rPr>
            </w:pPr>
            <w:r w:rsidRPr="007228A0">
              <w:rPr>
                <w:rFonts w:ascii="Arial Narrow" w:hAnsi="Arial Narrow"/>
                <w:b/>
                <w:sz w:val="20"/>
                <w:lang w:val="en-GB"/>
              </w:rPr>
              <w:t>1a:</w:t>
            </w:r>
            <w:r w:rsidRPr="007228A0">
              <w:rPr>
                <w:rFonts w:ascii="Arial Narrow" w:hAnsi="Arial Narrow"/>
                <w:sz w:val="20"/>
                <w:lang w:val="en-GB"/>
              </w:rPr>
              <w:t xml:space="preserve"> Partners are operating and maintaining all their infrastructure and support</w:t>
            </w:r>
          </w:p>
          <w:p w:rsidR="007228A0" w:rsidRPr="007228A0" w:rsidRDefault="007228A0" w:rsidP="0062086E">
            <w:pPr>
              <w:rPr>
                <w:rFonts w:ascii="Arial Narrow" w:hAnsi="Arial Narrow"/>
                <w:sz w:val="20"/>
                <w:lang w:val="en-GB"/>
              </w:rPr>
            </w:pPr>
          </w:p>
        </w:tc>
        <w:tc>
          <w:tcPr>
            <w:tcW w:w="4104" w:type="dxa"/>
          </w:tcPr>
          <w:p w:rsidR="0062086E" w:rsidRPr="007228A0" w:rsidRDefault="0062086E" w:rsidP="0062086E">
            <w:pPr>
              <w:rPr>
                <w:rFonts w:ascii="Arial Narrow" w:hAnsi="Arial Narrow"/>
                <w:sz w:val="20"/>
                <w:lang w:val="en-GB"/>
              </w:rPr>
            </w:pPr>
            <w:r w:rsidRPr="007228A0">
              <w:rPr>
                <w:rFonts w:ascii="Arial Narrow" w:hAnsi="Arial Narrow"/>
                <w:b/>
                <w:sz w:val="20"/>
                <w:lang w:val="en-GB"/>
              </w:rPr>
              <w:t>2a:</w:t>
            </w:r>
            <w:r w:rsidRPr="007228A0">
              <w:rPr>
                <w:rFonts w:ascii="Arial Narrow" w:hAnsi="Arial Narrow"/>
                <w:sz w:val="20"/>
                <w:lang w:val="en-GB"/>
              </w:rPr>
              <w:t xml:space="preserve"> Partners are operating and maintaining all their infrastructure and support</w:t>
            </w:r>
          </w:p>
        </w:tc>
        <w:tc>
          <w:tcPr>
            <w:tcW w:w="4104" w:type="dxa"/>
          </w:tcPr>
          <w:p w:rsidR="0062086E" w:rsidRPr="007228A0" w:rsidRDefault="003549BD" w:rsidP="0062086E">
            <w:pPr>
              <w:rPr>
                <w:rFonts w:ascii="Arial Narrow" w:hAnsi="Arial Narrow"/>
                <w:sz w:val="20"/>
                <w:lang w:val="en-GB"/>
              </w:rPr>
            </w:pPr>
            <w:r w:rsidRPr="007228A0">
              <w:rPr>
                <w:rFonts w:ascii="Arial Narrow" w:hAnsi="Arial Narrow"/>
                <w:b/>
                <w:sz w:val="20"/>
                <w:lang w:val="en-GB"/>
              </w:rPr>
              <w:t>3a:</w:t>
            </w:r>
            <w:r w:rsidRPr="007228A0">
              <w:rPr>
                <w:rFonts w:ascii="Arial Narrow" w:hAnsi="Arial Narrow"/>
                <w:sz w:val="20"/>
                <w:lang w:val="en-GB"/>
              </w:rPr>
              <w:t xml:space="preserve"> Partners are operating and maintaining all their infrastructure and support</w:t>
            </w:r>
          </w:p>
        </w:tc>
      </w:tr>
      <w:tr w:rsidR="0062086E" w:rsidRPr="007228A0" w:rsidTr="00A855DF">
        <w:trPr>
          <w:trHeight w:val="124"/>
        </w:trPr>
        <w:tc>
          <w:tcPr>
            <w:tcW w:w="2376" w:type="dxa"/>
            <w:vMerge/>
          </w:tcPr>
          <w:p w:rsidR="0062086E" w:rsidRPr="007228A0" w:rsidRDefault="0062086E" w:rsidP="00556F30">
            <w:pPr>
              <w:spacing w:after="0"/>
              <w:jc w:val="center"/>
              <w:rPr>
                <w:rFonts w:ascii="Arial Narrow" w:hAnsi="Arial Narrow"/>
                <w:b/>
                <w:sz w:val="20"/>
                <w:lang w:val="en-GB"/>
              </w:rPr>
            </w:pPr>
          </w:p>
        </w:tc>
        <w:tc>
          <w:tcPr>
            <w:tcW w:w="4104" w:type="dxa"/>
          </w:tcPr>
          <w:p w:rsidR="0062086E" w:rsidRDefault="0062086E" w:rsidP="0062086E">
            <w:pPr>
              <w:rPr>
                <w:rFonts w:ascii="Arial Narrow" w:hAnsi="Arial Narrow"/>
                <w:sz w:val="20"/>
                <w:lang w:val="en-GB"/>
              </w:rPr>
            </w:pPr>
            <w:r w:rsidRPr="007228A0">
              <w:rPr>
                <w:rFonts w:ascii="Arial Narrow" w:hAnsi="Arial Narrow"/>
                <w:b/>
                <w:sz w:val="20"/>
                <w:lang w:val="en-GB"/>
              </w:rPr>
              <w:t>1b:</w:t>
            </w:r>
            <w:r w:rsidRPr="007228A0">
              <w:rPr>
                <w:rFonts w:ascii="Arial Narrow" w:hAnsi="Arial Narrow"/>
                <w:sz w:val="20"/>
                <w:lang w:val="en-GB"/>
              </w:rPr>
              <w:t xml:space="preserve"> </w:t>
            </w:r>
            <w:r w:rsidR="00463D79" w:rsidRPr="00463D79">
              <w:rPr>
                <w:rFonts w:ascii="Arial Narrow" w:hAnsi="Arial Narrow"/>
                <w:sz w:val="20"/>
                <w:lang w:val="en-GB"/>
              </w:rPr>
              <w:t>80 per cent of the investments will support empowerment of women and girls</w:t>
            </w:r>
          </w:p>
          <w:p w:rsidR="007228A0" w:rsidRPr="007228A0" w:rsidRDefault="007228A0" w:rsidP="0062086E">
            <w:pPr>
              <w:rPr>
                <w:rFonts w:ascii="Arial Narrow" w:hAnsi="Arial Narrow"/>
                <w:sz w:val="20"/>
                <w:lang w:val="en-GB"/>
              </w:rPr>
            </w:pPr>
          </w:p>
        </w:tc>
        <w:tc>
          <w:tcPr>
            <w:tcW w:w="4104" w:type="dxa"/>
          </w:tcPr>
          <w:p w:rsidR="0062086E" w:rsidRPr="007228A0" w:rsidRDefault="0062086E" w:rsidP="0062086E">
            <w:pPr>
              <w:rPr>
                <w:rFonts w:ascii="Arial Narrow" w:hAnsi="Arial Narrow"/>
                <w:sz w:val="20"/>
                <w:lang w:val="en-GB"/>
              </w:rPr>
            </w:pPr>
            <w:r w:rsidRPr="007228A0">
              <w:rPr>
                <w:rFonts w:ascii="Arial Narrow" w:hAnsi="Arial Narrow"/>
                <w:b/>
                <w:sz w:val="20"/>
                <w:lang w:val="en-GB"/>
              </w:rPr>
              <w:t>2b:</w:t>
            </w:r>
            <w:r w:rsidRPr="007228A0">
              <w:rPr>
                <w:rFonts w:ascii="Arial Narrow" w:hAnsi="Arial Narrow"/>
                <w:sz w:val="20"/>
                <w:lang w:val="en-GB"/>
              </w:rPr>
              <w:t xml:space="preserve"> </w:t>
            </w:r>
            <w:r w:rsidR="00463D79" w:rsidRPr="00463D79">
              <w:rPr>
                <w:rFonts w:ascii="Arial Narrow" w:hAnsi="Arial Narrow"/>
                <w:sz w:val="20"/>
                <w:lang w:val="en-GB"/>
              </w:rPr>
              <w:t>80 per cent of the investments will support empowerment of women and girls</w:t>
            </w:r>
          </w:p>
        </w:tc>
        <w:tc>
          <w:tcPr>
            <w:tcW w:w="4104" w:type="dxa"/>
          </w:tcPr>
          <w:p w:rsidR="0062086E" w:rsidRPr="007228A0" w:rsidRDefault="003549BD" w:rsidP="0062086E">
            <w:pPr>
              <w:rPr>
                <w:rFonts w:ascii="Arial Narrow" w:hAnsi="Arial Narrow"/>
                <w:sz w:val="20"/>
                <w:lang w:val="en-GB"/>
              </w:rPr>
            </w:pPr>
            <w:r w:rsidRPr="007228A0">
              <w:rPr>
                <w:rFonts w:ascii="Arial Narrow" w:hAnsi="Arial Narrow"/>
                <w:b/>
                <w:sz w:val="20"/>
                <w:lang w:val="en-GB"/>
              </w:rPr>
              <w:t>3b:</w:t>
            </w:r>
            <w:r w:rsidRPr="007228A0">
              <w:rPr>
                <w:rFonts w:ascii="Arial Narrow" w:hAnsi="Arial Narrow"/>
                <w:sz w:val="20"/>
                <w:lang w:val="en-GB"/>
              </w:rPr>
              <w:t xml:space="preserve"> </w:t>
            </w:r>
            <w:r w:rsidR="00463D79" w:rsidRPr="00463D79">
              <w:rPr>
                <w:rFonts w:ascii="Arial Narrow" w:hAnsi="Arial Narrow"/>
                <w:sz w:val="20"/>
                <w:lang w:val="en-GB"/>
              </w:rPr>
              <w:t>80 per cent of the investments will support empowerment of women and girls</w:t>
            </w:r>
          </w:p>
        </w:tc>
      </w:tr>
      <w:tr w:rsidR="0062086E" w:rsidRPr="007228A0" w:rsidTr="00A855DF">
        <w:trPr>
          <w:trHeight w:val="124"/>
        </w:trPr>
        <w:tc>
          <w:tcPr>
            <w:tcW w:w="2376" w:type="dxa"/>
            <w:vMerge/>
          </w:tcPr>
          <w:p w:rsidR="0062086E" w:rsidRPr="007228A0" w:rsidRDefault="0062086E" w:rsidP="00556F30">
            <w:pPr>
              <w:spacing w:after="0"/>
              <w:jc w:val="center"/>
              <w:rPr>
                <w:rFonts w:ascii="Arial Narrow" w:hAnsi="Arial Narrow"/>
                <w:b/>
                <w:sz w:val="20"/>
                <w:lang w:val="en-GB"/>
              </w:rPr>
            </w:pPr>
          </w:p>
        </w:tc>
        <w:tc>
          <w:tcPr>
            <w:tcW w:w="4104" w:type="dxa"/>
          </w:tcPr>
          <w:p w:rsidR="0062086E" w:rsidRDefault="003549BD" w:rsidP="0062086E">
            <w:pPr>
              <w:rPr>
                <w:rFonts w:ascii="Arial Narrow" w:hAnsi="Arial Narrow"/>
                <w:sz w:val="20"/>
                <w:lang w:val="en-GB"/>
              </w:rPr>
            </w:pPr>
            <w:r w:rsidRPr="007228A0">
              <w:rPr>
                <w:rFonts w:ascii="Arial Narrow" w:hAnsi="Arial Narrow"/>
                <w:b/>
                <w:sz w:val="20"/>
                <w:lang w:val="en-GB"/>
              </w:rPr>
              <w:t xml:space="preserve">1c: </w:t>
            </w:r>
            <w:r w:rsidRPr="007228A0">
              <w:rPr>
                <w:rFonts w:ascii="Arial Narrow" w:hAnsi="Arial Narrow"/>
                <w:sz w:val="20"/>
                <w:lang w:val="en-GB"/>
              </w:rPr>
              <w:t>100% of Partners using social inclusion policy</w:t>
            </w:r>
          </w:p>
          <w:p w:rsidR="007228A0" w:rsidRPr="007228A0" w:rsidRDefault="007228A0" w:rsidP="0062086E">
            <w:pPr>
              <w:rPr>
                <w:rFonts w:ascii="Arial Narrow" w:hAnsi="Arial Narrow"/>
                <w:sz w:val="20"/>
                <w:lang w:val="en-GB"/>
              </w:rPr>
            </w:pPr>
          </w:p>
        </w:tc>
        <w:tc>
          <w:tcPr>
            <w:tcW w:w="4104" w:type="dxa"/>
          </w:tcPr>
          <w:p w:rsidR="0062086E" w:rsidRPr="007228A0" w:rsidRDefault="003549BD" w:rsidP="0062086E">
            <w:pPr>
              <w:rPr>
                <w:rFonts w:ascii="Arial Narrow" w:hAnsi="Arial Narrow"/>
                <w:sz w:val="20"/>
                <w:lang w:val="en-GB"/>
              </w:rPr>
            </w:pPr>
            <w:r w:rsidRPr="007228A0">
              <w:rPr>
                <w:rFonts w:ascii="Arial Narrow" w:hAnsi="Arial Narrow"/>
                <w:b/>
                <w:sz w:val="20"/>
                <w:lang w:val="en-GB"/>
              </w:rPr>
              <w:t>2c:</w:t>
            </w:r>
            <w:r w:rsidRPr="007228A0">
              <w:rPr>
                <w:rFonts w:ascii="Arial Narrow" w:hAnsi="Arial Narrow"/>
                <w:sz w:val="20"/>
                <w:lang w:val="en-GB"/>
              </w:rPr>
              <w:t xml:space="preserve"> 100% of Partners using social inclusion policy</w:t>
            </w:r>
          </w:p>
        </w:tc>
        <w:tc>
          <w:tcPr>
            <w:tcW w:w="4104" w:type="dxa"/>
          </w:tcPr>
          <w:p w:rsidR="0062086E" w:rsidRPr="007228A0" w:rsidRDefault="003549BD" w:rsidP="0062086E">
            <w:pPr>
              <w:rPr>
                <w:rFonts w:ascii="Arial Narrow" w:hAnsi="Arial Narrow"/>
                <w:sz w:val="20"/>
                <w:lang w:val="en-GB"/>
              </w:rPr>
            </w:pPr>
            <w:r w:rsidRPr="007228A0">
              <w:rPr>
                <w:rFonts w:ascii="Arial Narrow" w:hAnsi="Arial Narrow"/>
                <w:b/>
                <w:sz w:val="20"/>
                <w:lang w:val="en-GB"/>
              </w:rPr>
              <w:t>3c:</w:t>
            </w:r>
            <w:r w:rsidRPr="007228A0">
              <w:rPr>
                <w:rFonts w:ascii="Arial Narrow" w:hAnsi="Arial Narrow"/>
                <w:sz w:val="20"/>
                <w:lang w:val="en-GB"/>
              </w:rPr>
              <w:t xml:space="preserve"> 100% of Partners using social inclusion policy</w:t>
            </w:r>
          </w:p>
        </w:tc>
      </w:tr>
      <w:tr w:rsidR="0062086E" w:rsidRPr="007228A0" w:rsidTr="00A855DF">
        <w:trPr>
          <w:trHeight w:val="124"/>
        </w:trPr>
        <w:tc>
          <w:tcPr>
            <w:tcW w:w="2376" w:type="dxa"/>
            <w:vMerge/>
          </w:tcPr>
          <w:p w:rsidR="0062086E" w:rsidRPr="007228A0" w:rsidRDefault="0062086E" w:rsidP="00556F30">
            <w:pPr>
              <w:spacing w:after="0"/>
              <w:jc w:val="center"/>
              <w:rPr>
                <w:rFonts w:ascii="Arial Narrow" w:hAnsi="Arial Narrow"/>
                <w:b/>
                <w:sz w:val="20"/>
                <w:lang w:val="en-GB"/>
              </w:rPr>
            </w:pPr>
          </w:p>
        </w:tc>
        <w:tc>
          <w:tcPr>
            <w:tcW w:w="4104" w:type="dxa"/>
          </w:tcPr>
          <w:p w:rsidR="0062086E" w:rsidRDefault="003549BD" w:rsidP="0062086E">
            <w:pPr>
              <w:rPr>
                <w:rFonts w:ascii="Arial Narrow" w:hAnsi="Arial Narrow"/>
                <w:sz w:val="20"/>
                <w:lang w:val="en-GB"/>
              </w:rPr>
            </w:pPr>
            <w:r w:rsidRPr="007228A0">
              <w:rPr>
                <w:rFonts w:ascii="Arial Narrow" w:hAnsi="Arial Narrow"/>
                <w:b/>
                <w:sz w:val="20"/>
                <w:lang w:val="en-GB"/>
              </w:rPr>
              <w:t>1</w:t>
            </w:r>
            <w:r w:rsidR="00952984">
              <w:rPr>
                <w:rFonts w:ascii="Arial Narrow" w:hAnsi="Arial Narrow"/>
                <w:b/>
                <w:sz w:val="20"/>
                <w:lang w:val="en-GB"/>
              </w:rPr>
              <w:t>d</w:t>
            </w:r>
            <w:r w:rsidRPr="007228A0">
              <w:rPr>
                <w:rFonts w:ascii="Arial Narrow" w:hAnsi="Arial Narrow"/>
                <w:b/>
                <w:sz w:val="20"/>
                <w:lang w:val="en-GB"/>
              </w:rPr>
              <w:t xml:space="preserve">: </w:t>
            </w:r>
            <w:r w:rsidRPr="007228A0">
              <w:rPr>
                <w:rFonts w:ascii="Arial Narrow" w:hAnsi="Arial Narrow"/>
                <w:sz w:val="20"/>
                <w:lang w:val="en-GB"/>
              </w:rPr>
              <w:t>Partners have new capacity to implement activities</w:t>
            </w:r>
          </w:p>
          <w:p w:rsidR="007228A0" w:rsidRPr="007228A0" w:rsidRDefault="007228A0" w:rsidP="0062086E">
            <w:pPr>
              <w:rPr>
                <w:rFonts w:ascii="Arial Narrow" w:hAnsi="Arial Narrow"/>
                <w:sz w:val="20"/>
                <w:lang w:val="en-GB"/>
              </w:rPr>
            </w:pPr>
          </w:p>
        </w:tc>
        <w:tc>
          <w:tcPr>
            <w:tcW w:w="4104" w:type="dxa"/>
          </w:tcPr>
          <w:p w:rsidR="0062086E" w:rsidRPr="007228A0" w:rsidRDefault="003549BD" w:rsidP="00A855DF">
            <w:pPr>
              <w:rPr>
                <w:rFonts w:ascii="Arial Narrow" w:hAnsi="Arial Narrow"/>
                <w:sz w:val="20"/>
                <w:lang w:val="en-GB"/>
              </w:rPr>
            </w:pPr>
            <w:r w:rsidRPr="007228A0">
              <w:rPr>
                <w:rFonts w:ascii="Arial Narrow" w:hAnsi="Arial Narrow"/>
                <w:b/>
                <w:sz w:val="20"/>
                <w:lang w:val="en-GB"/>
              </w:rPr>
              <w:t>2</w:t>
            </w:r>
            <w:r w:rsidR="00952984">
              <w:rPr>
                <w:rFonts w:ascii="Arial Narrow" w:hAnsi="Arial Narrow"/>
                <w:b/>
                <w:sz w:val="20"/>
                <w:lang w:val="en-GB"/>
              </w:rPr>
              <w:t>d</w:t>
            </w:r>
            <w:r w:rsidRPr="007228A0">
              <w:rPr>
                <w:rFonts w:ascii="Arial Narrow" w:hAnsi="Arial Narrow"/>
                <w:b/>
                <w:sz w:val="20"/>
                <w:lang w:val="en-GB"/>
              </w:rPr>
              <w:t>:</w:t>
            </w:r>
            <w:r w:rsidRPr="007228A0">
              <w:rPr>
                <w:rFonts w:ascii="Arial Narrow" w:hAnsi="Arial Narrow"/>
                <w:sz w:val="20"/>
                <w:lang w:val="en-GB"/>
              </w:rPr>
              <w:t xml:space="preserve"> Partners have new capacity to implement activities</w:t>
            </w:r>
          </w:p>
        </w:tc>
        <w:tc>
          <w:tcPr>
            <w:tcW w:w="4104" w:type="dxa"/>
          </w:tcPr>
          <w:p w:rsidR="0062086E" w:rsidRPr="007228A0" w:rsidRDefault="003549BD" w:rsidP="00A855DF">
            <w:pPr>
              <w:rPr>
                <w:rFonts w:ascii="Arial Narrow" w:hAnsi="Arial Narrow"/>
                <w:sz w:val="20"/>
                <w:lang w:val="en-GB"/>
              </w:rPr>
            </w:pPr>
            <w:r w:rsidRPr="007228A0">
              <w:rPr>
                <w:rFonts w:ascii="Arial Narrow" w:hAnsi="Arial Narrow"/>
                <w:b/>
                <w:sz w:val="20"/>
                <w:lang w:val="en-GB"/>
              </w:rPr>
              <w:t>3</w:t>
            </w:r>
            <w:r w:rsidR="00952984">
              <w:rPr>
                <w:rFonts w:ascii="Arial Narrow" w:hAnsi="Arial Narrow"/>
                <w:b/>
                <w:sz w:val="20"/>
                <w:lang w:val="en-GB"/>
              </w:rPr>
              <w:t>d</w:t>
            </w:r>
            <w:r w:rsidRPr="007228A0">
              <w:rPr>
                <w:rFonts w:ascii="Arial Narrow" w:hAnsi="Arial Narrow"/>
                <w:b/>
                <w:sz w:val="20"/>
                <w:lang w:val="en-GB"/>
              </w:rPr>
              <w:t>:</w:t>
            </w:r>
            <w:r w:rsidRPr="007228A0">
              <w:rPr>
                <w:rFonts w:ascii="Arial Narrow" w:hAnsi="Arial Narrow"/>
                <w:sz w:val="20"/>
                <w:lang w:val="en-GB"/>
              </w:rPr>
              <w:t xml:space="preserve"> Partners have new capacity to implement activities</w:t>
            </w:r>
          </w:p>
        </w:tc>
      </w:tr>
    </w:tbl>
    <w:p w:rsidR="003E5A2C" w:rsidRPr="00571F0B" w:rsidRDefault="003E5A2C" w:rsidP="00C05D33">
      <w:pPr>
        <w:spacing w:before="0" w:after="0"/>
        <w:rPr>
          <w:lang w:val="en-GB"/>
        </w:rPr>
        <w:sectPr w:rsidR="003E5A2C" w:rsidRPr="00571F0B" w:rsidSect="00724D52">
          <w:headerReference w:type="default" r:id="rId23"/>
          <w:footerReference w:type="default" r:id="rId24"/>
          <w:pgSz w:w="16834" w:h="11909" w:orient="landscape" w:code="9"/>
          <w:pgMar w:top="1418" w:right="851" w:bottom="1418" w:left="851" w:header="578" w:footer="578" w:gutter="0"/>
          <w:cols w:space="720"/>
          <w:docGrid w:linePitch="326"/>
        </w:sectPr>
      </w:pPr>
    </w:p>
    <w:p w:rsidR="002A3F6E" w:rsidRDefault="00D73F29" w:rsidP="007228A0">
      <w:pPr>
        <w:spacing w:before="0" w:after="0"/>
        <w:rPr>
          <w:lang w:val="en-GB"/>
        </w:rPr>
      </w:pPr>
      <w:r>
        <w:rPr>
          <w:lang w:val="en-GB"/>
        </w:rPr>
        <w:lastRenderedPageBreak/>
        <w:t>Priority support through IF (IV) will be determined by the a</w:t>
      </w:r>
      <w:r w:rsidR="002A3F6E" w:rsidRPr="00571F0B">
        <w:rPr>
          <w:lang w:val="en-GB"/>
        </w:rPr>
        <w:t xml:space="preserve">id </w:t>
      </w:r>
      <w:r>
        <w:rPr>
          <w:lang w:val="en-GB"/>
        </w:rPr>
        <w:t>a</w:t>
      </w:r>
      <w:r w:rsidR="002A3F6E" w:rsidRPr="00571F0B">
        <w:rPr>
          <w:lang w:val="en-GB"/>
        </w:rPr>
        <w:t>ssessment review</w:t>
      </w:r>
      <w:r w:rsidR="00556F30" w:rsidRPr="00571F0B">
        <w:rPr>
          <w:lang w:val="en-GB"/>
        </w:rPr>
        <w:t xml:space="preserve"> in 2014</w:t>
      </w:r>
      <w:r w:rsidRPr="00D73F29">
        <w:t xml:space="preserve"> </w:t>
      </w:r>
      <w:r>
        <w:t xml:space="preserve">and </w:t>
      </w:r>
      <w:r w:rsidRPr="00D73F29">
        <w:rPr>
          <w:i/>
          <w:lang w:val="en-GB"/>
        </w:rPr>
        <w:t>A New Direction for Australian Aid in PNG</w:t>
      </w:r>
      <w:r w:rsidR="002A3F6E" w:rsidRPr="00571F0B">
        <w:rPr>
          <w:lang w:val="en-GB"/>
        </w:rPr>
        <w:t xml:space="preserve">. In practical terms the sector focus opens </w:t>
      </w:r>
      <w:r w:rsidR="00F32C27" w:rsidRPr="00F32C27">
        <w:rPr>
          <w:lang w:val="en-GB"/>
        </w:rPr>
        <w:t xml:space="preserve">IF (IV) </w:t>
      </w:r>
      <w:r w:rsidR="002A3F6E" w:rsidRPr="00571F0B">
        <w:rPr>
          <w:lang w:val="en-GB"/>
        </w:rPr>
        <w:t xml:space="preserve">up to a wide range of beneficiaries – a range that accounted for </w:t>
      </w:r>
      <w:r w:rsidR="00385790">
        <w:rPr>
          <w:lang w:val="en-GB"/>
        </w:rPr>
        <w:t xml:space="preserve">at least </w:t>
      </w:r>
      <w:r w:rsidR="00427730">
        <w:rPr>
          <w:lang w:val="en-GB"/>
        </w:rPr>
        <w:t>76 percent</w:t>
      </w:r>
      <w:r w:rsidR="002A3F6E" w:rsidRPr="00571F0B">
        <w:rPr>
          <w:lang w:val="en-GB"/>
        </w:rPr>
        <w:t xml:space="preserve"> of the demand in Phase III</w:t>
      </w:r>
      <w:r w:rsidR="00E51F04" w:rsidRPr="00571F0B">
        <w:rPr>
          <w:lang w:val="en-GB"/>
        </w:rPr>
        <w:t xml:space="preserve"> - </w:t>
      </w:r>
      <w:r w:rsidR="002A3F6E" w:rsidRPr="00571F0B">
        <w:rPr>
          <w:lang w:val="en-GB"/>
        </w:rPr>
        <w:t xml:space="preserve">and a demand that is highly likely to grow as awareness for economic </w:t>
      </w:r>
      <w:r w:rsidR="007A6262" w:rsidRPr="007A6262">
        <w:rPr>
          <w:lang w:val="en-GB"/>
        </w:rPr>
        <w:t>development</w:t>
      </w:r>
      <w:r w:rsidR="002A3F6E" w:rsidRPr="00571F0B">
        <w:rPr>
          <w:lang w:val="en-GB"/>
        </w:rPr>
        <w:t xml:space="preserve"> support is achieved.</w:t>
      </w:r>
      <w:r w:rsidR="00AF79FB">
        <w:rPr>
          <w:lang w:val="en-GB"/>
        </w:rPr>
        <w:t xml:space="preserve"> </w:t>
      </w:r>
    </w:p>
    <w:p w:rsidR="00D73F29" w:rsidRDefault="00D73F29" w:rsidP="007228A0">
      <w:pPr>
        <w:spacing w:before="0" w:after="0"/>
        <w:rPr>
          <w:lang w:val="en-GB"/>
        </w:rPr>
      </w:pPr>
    </w:p>
    <w:p w:rsidR="00D73F29" w:rsidRDefault="00385790" w:rsidP="007228A0">
      <w:pPr>
        <w:spacing w:before="0" w:after="0"/>
        <w:rPr>
          <w:lang w:val="en-GB"/>
        </w:rPr>
      </w:pPr>
      <w:proofErr w:type="gramStart"/>
      <w:r>
        <w:rPr>
          <w:lang w:val="en-GB"/>
        </w:rPr>
        <w:t>IF (IV) s</w:t>
      </w:r>
      <w:r w:rsidR="00D73F29">
        <w:rPr>
          <w:lang w:val="en-GB"/>
        </w:rPr>
        <w:t xml:space="preserve">upport </w:t>
      </w:r>
      <w:r>
        <w:rPr>
          <w:lang w:val="en-GB"/>
        </w:rPr>
        <w:t xml:space="preserve">investment </w:t>
      </w:r>
      <w:r w:rsidR="00D73F29">
        <w:rPr>
          <w:lang w:val="en-GB"/>
        </w:rPr>
        <w:t>allocations will not be front-</w:t>
      </w:r>
      <w:r w:rsidR="00427730">
        <w:rPr>
          <w:lang w:val="en-GB"/>
        </w:rPr>
        <w:t xml:space="preserve">end </w:t>
      </w:r>
      <w:r w:rsidR="00D73F29">
        <w:rPr>
          <w:lang w:val="en-GB"/>
        </w:rPr>
        <w:t>loaded</w:t>
      </w:r>
      <w:r>
        <w:rPr>
          <w:lang w:val="en-GB"/>
        </w:rPr>
        <w:t>, as they were in Phase III.</w:t>
      </w:r>
      <w:proofErr w:type="gramEnd"/>
      <w:r>
        <w:rPr>
          <w:lang w:val="en-GB"/>
        </w:rPr>
        <w:t xml:space="preserve"> Investment allocations will be reviewed each year and determined through the Delivery </w:t>
      </w:r>
      <w:r w:rsidR="00E121C0">
        <w:rPr>
          <w:lang w:val="en-GB"/>
        </w:rPr>
        <w:t xml:space="preserve">Strategy </w:t>
      </w:r>
      <w:r>
        <w:rPr>
          <w:lang w:val="en-GB"/>
        </w:rPr>
        <w:t xml:space="preserve">and Annual Planning process. This is strategically important because it will allow IF (IV) to build an investment portfolio over six years of implementation. This will provide greater flexibility to review, adjust and re-focus support priorities, informed by the PAF. </w:t>
      </w:r>
    </w:p>
    <w:p w:rsidR="009665DB" w:rsidRDefault="009665DB" w:rsidP="007228A0">
      <w:pPr>
        <w:spacing w:before="0" w:after="0"/>
        <w:rPr>
          <w:lang w:val="en-GB"/>
        </w:rPr>
      </w:pPr>
    </w:p>
    <w:p w:rsidR="009665DB" w:rsidRPr="00BE7C9E" w:rsidRDefault="009665DB" w:rsidP="009665DB">
      <w:pPr>
        <w:pStyle w:val="Heading3"/>
        <w:rPr>
          <w:lang w:val="en-GB"/>
        </w:rPr>
      </w:pPr>
      <w:r>
        <w:rPr>
          <w:lang w:val="en-GB"/>
        </w:rPr>
        <w:t>Gender Equality</w:t>
      </w:r>
    </w:p>
    <w:p w:rsidR="002A3F6E" w:rsidRPr="007228A0" w:rsidRDefault="002A3F6E" w:rsidP="002A3F6E">
      <w:pPr>
        <w:spacing w:before="0" w:after="0"/>
        <w:rPr>
          <w:sz w:val="16"/>
          <w:szCs w:val="16"/>
          <w:lang w:val="en-GB"/>
        </w:rPr>
      </w:pPr>
    </w:p>
    <w:p w:rsidR="002A3F6E" w:rsidRDefault="002A3F6E" w:rsidP="002A3F6E">
      <w:pPr>
        <w:spacing w:before="0" w:after="0"/>
        <w:rPr>
          <w:lang w:val="en-GB"/>
        </w:rPr>
      </w:pPr>
      <w:r w:rsidRPr="00571F0B">
        <w:rPr>
          <w:lang w:val="en-GB"/>
        </w:rPr>
        <w:t xml:space="preserve">The </w:t>
      </w:r>
      <w:r w:rsidR="00385790">
        <w:rPr>
          <w:lang w:val="en-GB"/>
        </w:rPr>
        <w:t xml:space="preserve">investment portfolio targets </w:t>
      </w:r>
      <w:r w:rsidRPr="00571F0B">
        <w:rPr>
          <w:lang w:val="en-GB"/>
        </w:rPr>
        <w:t xml:space="preserve">serve to prioritise Australia’s new development policy and performance framework </w:t>
      </w:r>
      <w:r w:rsidRPr="00571F0B">
        <w:rPr>
          <w:i/>
          <w:lang w:val="en-GB"/>
        </w:rPr>
        <w:t>Making Performance Count</w:t>
      </w:r>
      <w:r w:rsidR="003042FC">
        <w:rPr>
          <w:lang w:val="en-GB"/>
        </w:rPr>
        <w:t xml:space="preserve">. </w:t>
      </w:r>
      <w:proofErr w:type="gramStart"/>
      <w:r w:rsidR="00385790">
        <w:rPr>
          <w:lang w:val="en-GB"/>
        </w:rPr>
        <w:t xml:space="preserve">IF (IV) </w:t>
      </w:r>
      <w:r w:rsidRPr="00571F0B">
        <w:rPr>
          <w:lang w:val="en-GB"/>
        </w:rPr>
        <w:t>can make a contribution to achieving all 10 hi</w:t>
      </w:r>
      <w:r w:rsidR="003042FC">
        <w:rPr>
          <w:lang w:val="en-GB"/>
        </w:rPr>
        <w:t>gh level strategic targets</w:t>
      </w:r>
      <w:r w:rsidR="00427730">
        <w:rPr>
          <w:lang w:val="en-GB"/>
        </w:rPr>
        <w:t xml:space="preserve"> established by this policy</w:t>
      </w:r>
      <w:r w:rsidR="003042FC">
        <w:rPr>
          <w:lang w:val="en-GB"/>
        </w:rPr>
        <w:t>.</w:t>
      </w:r>
      <w:proofErr w:type="gramEnd"/>
      <w:r w:rsidR="003042FC">
        <w:rPr>
          <w:lang w:val="en-GB"/>
        </w:rPr>
        <w:t xml:space="preserve"> S</w:t>
      </w:r>
      <w:r w:rsidRPr="00571F0B">
        <w:rPr>
          <w:lang w:val="en-GB"/>
        </w:rPr>
        <w:t xml:space="preserve">pecifically it will ensure the fourth target by insisting that </w:t>
      </w:r>
      <w:r w:rsidR="00CC1E7D" w:rsidRPr="00CC1E7D">
        <w:rPr>
          <w:lang w:val="en-GB"/>
        </w:rPr>
        <w:t>80 per cent of the investments will support empowerment of women and girls</w:t>
      </w:r>
      <w:r w:rsidRPr="00571F0B">
        <w:rPr>
          <w:lang w:val="en-GB"/>
        </w:rPr>
        <w:t xml:space="preserve">. </w:t>
      </w:r>
      <w:r w:rsidR="00385790">
        <w:rPr>
          <w:lang w:val="en-GB"/>
        </w:rPr>
        <w:t xml:space="preserve">The IF </w:t>
      </w:r>
      <w:r w:rsidR="007D1FE0">
        <w:rPr>
          <w:lang w:val="en-GB"/>
        </w:rPr>
        <w:t>(</w:t>
      </w:r>
      <w:r w:rsidR="00385790">
        <w:rPr>
          <w:lang w:val="en-GB"/>
        </w:rPr>
        <w:t xml:space="preserve">IV) </w:t>
      </w:r>
      <w:r w:rsidR="00CC1E7D">
        <w:rPr>
          <w:lang w:val="en-GB"/>
        </w:rPr>
        <w:t xml:space="preserve">investment portfolio </w:t>
      </w:r>
      <w:r w:rsidRPr="00571F0B">
        <w:rPr>
          <w:lang w:val="en-GB"/>
        </w:rPr>
        <w:t xml:space="preserve">will maintain this level of </w:t>
      </w:r>
      <w:r w:rsidR="002E3CFC">
        <w:rPr>
          <w:lang w:val="en-GB"/>
        </w:rPr>
        <w:t xml:space="preserve">contribution to </w:t>
      </w:r>
      <w:r w:rsidR="00CC1E7D">
        <w:rPr>
          <w:lang w:val="en-GB"/>
        </w:rPr>
        <w:t xml:space="preserve">gender equality </w:t>
      </w:r>
      <w:r w:rsidRPr="00571F0B">
        <w:rPr>
          <w:lang w:val="en-GB"/>
        </w:rPr>
        <w:t xml:space="preserve">to effectively address gender issues during implementation. </w:t>
      </w:r>
    </w:p>
    <w:p w:rsidR="007D1FE0" w:rsidRPr="00571F0B" w:rsidRDefault="007D1FE0" w:rsidP="002A3F6E">
      <w:pPr>
        <w:spacing w:before="0" w:after="0"/>
        <w:rPr>
          <w:lang w:val="en-GB"/>
        </w:rPr>
      </w:pPr>
    </w:p>
    <w:p w:rsidR="002A3F6E" w:rsidRPr="00571F0B" w:rsidRDefault="002A3F6E" w:rsidP="002A3F6E">
      <w:pPr>
        <w:pStyle w:val="Caption"/>
        <w:rPr>
          <w:lang w:val="en-GB"/>
        </w:rPr>
      </w:pPr>
      <w:bookmarkStart w:id="26" w:name="_Toc403037635"/>
      <w:r w:rsidRPr="00571F0B">
        <w:rPr>
          <w:lang w:val="en-GB"/>
        </w:rPr>
        <w:t xml:space="preserve">Box </w:t>
      </w:r>
      <w:r w:rsidR="00D3593A" w:rsidRPr="00571F0B">
        <w:rPr>
          <w:lang w:val="en-GB"/>
        </w:rPr>
        <w:fldChar w:fldCharType="begin"/>
      </w:r>
      <w:r w:rsidR="00D3593A" w:rsidRPr="00571F0B">
        <w:rPr>
          <w:lang w:val="en-GB"/>
        </w:rPr>
        <w:instrText xml:space="preserve"> SEQ Box \* ARABIC </w:instrText>
      </w:r>
      <w:r w:rsidR="00D3593A" w:rsidRPr="00571F0B">
        <w:rPr>
          <w:lang w:val="en-GB"/>
        </w:rPr>
        <w:fldChar w:fldCharType="separate"/>
      </w:r>
      <w:r w:rsidR="006C1E87">
        <w:rPr>
          <w:noProof/>
          <w:lang w:val="en-GB"/>
        </w:rPr>
        <w:t>3</w:t>
      </w:r>
      <w:r w:rsidR="00D3593A" w:rsidRPr="00571F0B">
        <w:rPr>
          <w:lang w:val="en-GB"/>
        </w:rPr>
        <w:fldChar w:fldCharType="end"/>
      </w:r>
      <w:r w:rsidR="007228A0">
        <w:rPr>
          <w:lang w:val="en-GB"/>
        </w:rPr>
        <w:t>:</w:t>
      </w:r>
      <w:r w:rsidRPr="00571F0B">
        <w:rPr>
          <w:lang w:val="en-GB"/>
        </w:rPr>
        <w:t xml:space="preserve"> Pacific Women Shaping Pacific Development</w:t>
      </w:r>
      <w:bookmarkEnd w:id="26"/>
    </w:p>
    <w:tbl>
      <w:tblPr>
        <w:tblStyle w:val="TableGrid"/>
        <w:tblW w:w="0" w:type="auto"/>
        <w:tblLook w:val="04A0" w:firstRow="1" w:lastRow="0" w:firstColumn="1" w:lastColumn="0" w:noHBand="0" w:noVBand="1"/>
      </w:tblPr>
      <w:tblGrid>
        <w:gridCol w:w="9016"/>
      </w:tblGrid>
      <w:tr w:rsidR="002A3F6E" w:rsidRPr="00571F0B" w:rsidTr="002A3F6E">
        <w:tc>
          <w:tcPr>
            <w:tcW w:w="9016" w:type="dxa"/>
            <w:tcBorders>
              <w:top w:val="nil"/>
              <w:left w:val="nil"/>
              <w:bottom w:val="nil"/>
              <w:right w:val="nil"/>
            </w:tcBorders>
            <w:shd w:val="clear" w:color="auto" w:fill="D6E3BC" w:themeFill="accent3" w:themeFillTint="66"/>
          </w:tcPr>
          <w:p w:rsidR="002A3F6E" w:rsidRPr="00D37833" w:rsidRDefault="002A3F6E" w:rsidP="00D37833">
            <w:pPr>
              <w:spacing w:before="0" w:after="0"/>
              <w:rPr>
                <w:rFonts w:ascii="Arial Narrow" w:hAnsi="Arial Narrow"/>
                <w:sz w:val="20"/>
                <w:lang w:val="en-GB"/>
              </w:rPr>
            </w:pPr>
            <w:r w:rsidRPr="00D37833">
              <w:rPr>
                <w:rFonts w:ascii="Arial Narrow" w:hAnsi="Arial Narrow"/>
                <w:sz w:val="20"/>
                <w:lang w:val="en-GB"/>
              </w:rPr>
              <w:t xml:space="preserve">In 2012 the GoA, GoPNG and other Pacific Nations signed the Pacific Leaders’ Gender Equality Declaration. Australia’s delivery strategy is through the Pacific Women Shaping Pacific Development program which is now operational. IF (IV) </w:t>
            </w:r>
            <w:r w:rsidR="00385790">
              <w:rPr>
                <w:rFonts w:ascii="Arial Narrow" w:hAnsi="Arial Narrow"/>
                <w:sz w:val="20"/>
                <w:lang w:val="en-GB"/>
              </w:rPr>
              <w:t>will</w:t>
            </w:r>
            <w:r w:rsidRPr="00D37833">
              <w:rPr>
                <w:rFonts w:ascii="Arial Narrow" w:hAnsi="Arial Narrow"/>
                <w:sz w:val="20"/>
                <w:lang w:val="en-GB"/>
              </w:rPr>
              <w:t xml:space="preserve"> establish close operating linkages with Pacific Women to ensure it can make a significant contribution to the </w:t>
            </w:r>
            <w:r w:rsidR="00556F30" w:rsidRPr="00D37833">
              <w:rPr>
                <w:rFonts w:ascii="Arial Narrow" w:hAnsi="Arial Narrow"/>
                <w:sz w:val="20"/>
                <w:lang w:val="en-GB"/>
              </w:rPr>
              <w:t>gender equality outcomes sought</w:t>
            </w:r>
            <w:r w:rsidRPr="00D37833">
              <w:rPr>
                <w:rFonts w:ascii="Arial Narrow" w:hAnsi="Arial Narrow"/>
                <w:sz w:val="20"/>
                <w:lang w:val="en-GB"/>
              </w:rPr>
              <w:t xml:space="preserve">. These </w:t>
            </w:r>
            <w:r w:rsidR="00556F30" w:rsidRPr="00D37833">
              <w:rPr>
                <w:rFonts w:ascii="Arial Narrow" w:hAnsi="Arial Narrow"/>
                <w:sz w:val="20"/>
                <w:lang w:val="en-GB"/>
              </w:rPr>
              <w:t>are:</w:t>
            </w:r>
          </w:p>
          <w:p w:rsidR="00556F30" w:rsidRPr="00D37833" w:rsidRDefault="00556F30" w:rsidP="00D37833">
            <w:pPr>
              <w:spacing w:before="0" w:after="0"/>
              <w:rPr>
                <w:rFonts w:ascii="Arial Narrow" w:hAnsi="Arial Narrow"/>
                <w:sz w:val="20"/>
                <w:lang w:val="en-GB"/>
              </w:rPr>
            </w:pPr>
          </w:p>
          <w:p w:rsidR="002A3F6E" w:rsidRPr="00D37833" w:rsidRDefault="00556F30" w:rsidP="00A82AAB">
            <w:pPr>
              <w:numPr>
                <w:ilvl w:val="0"/>
                <w:numId w:val="18"/>
              </w:numPr>
              <w:spacing w:before="0" w:after="0"/>
              <w:rPr>
                <w:rFonts w:ascii="Arial Narrow" w:hAnsi="Arial Narrow"/>
                <w:sz w:val="20"/>
                <w:lang w:val="en-GB"/>
              </w:rPr>
            </w:pPr>
            <w:r w:rsidRPr="00D37833">
              <w:rPr>
                <w:rFonts w:ascii="Arial Narrow" w:hAnsi="Arial Narrow"/>
                <w:sz w:val="20"/>
                <w:lang w:val="en-GB"/>
              </w:rPr>
              <w:t>Women, and women’s interests, are increasingly and effectively represented and visible through leadership at all levels of decision-making.</w:t>
            </w:r>
          </w:p>
          <w:p w:rsidR="00556F30" w:rsidRPr="00D37833" w:rsidRDefault="00556F30" w:rsidP="00D37833">
            <w:pPr>
              <w:spacing w:before="0" w:after="0"/>
              <w:rPr>
                <w:rFonts w:ascii="Arial Narrow" w:hAnsi="Arial Narrow"/>
                <w:sz w:val="20"/>
                <w:lang w:val="en-GB"/>
              </w:rPr>
            </w:pPr>
          </w:p>
          <w:p w:rsidR="002A3F6E" w:rsidRPr="00D37833" w:rsidRDefault="00556F30" w:rsidP="00A82AAB">
            <w:pPr>
              <w:numPr>
                <w:ilvl w:val="0"/>
                <w:numId w:val="18"/>
              </w:numPr>
              <w:spacing w:before="0" w:after="0"/>
              <w:rPr>
                <w:rFonts w:ascii="Arial Narrow" w:hAnsi="Arial Narrow"/>
                <w:sz w:val="20"/>
                <w:lang w:val="en-GB"/>
              </w:rPr>
            </w:pPr>
            <w:r w:rsidRPr="00D37833">
              <w:rPr>
                <w:rFonts w:ascii="Arial Narrow" w:hAnsi="Arial Narrow"/>
                <w:sz w:val="20"/>
                <w:lang w:val="en-GB"/>
              </w:rPr>
              <w:t>Women have expanded economic opportunities to earn income and accumulate economic assets.</w:t>
            </w:r>
          </w:p>
          <w:p w:rsidR="00556F30" w:rsidRPr="00D37833" w:rsidRDefault="00556F30" w:rsidP="00D37833">
            <w:pPr>
              <w:spacing w:before="0" w:after="0"/>
              <w:rPr>
                <w:rFonts w:ascii="Arial Narrow" w:hAnsi="Arial Narrow"/>
                <w:sz w:val="20"/>
                <w:lang w:val="en-GB"/>
              </w:rPr>
            </w:pPr>
          </w:p>
          <w:p w:rsidR="002A3F6E" w:rsidRPr="00D37833" w:rsidRDefault="00556F30" w:rsidP="00A82AAB">
            <w:pPr>
              <w:numPr>
                <w:ilvl w:val="0"/>
                <w:numId w:val="18"/>
              </w:numPr>
              <w:spacing w:before="0" w:after="0"/>
              <w:rPr>
                <w:rFonts w:ascii="Arial Narrow" w:hAnsi="Arial Narrow"/>
                <w:sz w:val="20"/>
                <w:lang w:val="en-GB"/>
              </w:rPr>
            </w:pPr>
            <w:r w:rsidRPr="00D37833">
              <w:rPr>
                <w:rFonts w:ascii="Arial Narrow" w:hAnsi="Arial Narrow"/>
                <w:sz w:val="20"/>
                <w:lang w:val="en-GB"/>
              </w:rPr>
              <w:t>Violence against women is reduced and survivors of violence have access to support services and to justice.</w:t>
            </w:r>
          </w:p>
          <w:p w:rsidR="00556F30" w:rsidRPr="00D37833" w:rsidRDefault="00556F30" w:rsidP="00D37833">
            <w:pPr>
              <w:spacing w:before="0" w:after="0"/>
              <w:rPr>
                <w:rFonts w:ascii="Arial Narrow" w:hAnsi="Arial Narrow"/>
                <w:sz w:val="20"/>
                <w:lang w:val="en-GB"/>
              </w:rPr>
            </w:pPr>
          </w:p>
          <w:p w:rsidR="00556F30" w:rsidRPr="00D37833" w:rsidRDefault="00556F30" w:rsidP="00A82AAB">
            <w:pPr>
              <w:numPr>
                <w:ilvl w:val="0"/>
                <w:numId w:val="18"/>
              </w:numPr>
              <w:spacing w:before="0" w:after="0"/>
              <w:rPr>
                <w:sz w:val="16"/>
                <w:szCs w:val="16"/>
                <w:lang w:val="en-GB"/>
              </w:rPr>
            </w:pPr>
            <w:r w:rsidRPr="00D37833">
              <w:rPr>
                <w:rFonts w:ascii="Arial Narrow" w:hAnsi="Arial Narrow"/>
                <w:sz w:val="20"/>
                <w:lang w:val="en-GB"/>
              </w:rPr>
              <w:t>Women in the Pacific will have a stronger sense of their own agency, supported by a changing legal and social environment and through increased a</w:t>
            </w:r>
            <w:r w:rsidR="002A3F6E" w:rsidRPr="00D37833">
              <w:rPr>
                <w:rFonts w:ascii="Arial Narrow" w:hAnsi="Arial Narrow"/>
                <w:sz w:val="20"/>
                <w:lang w:val="en-GB"/>
              </w:rPr>
              <w:t>ccess to the services they need.</w:t>
            </w:r>
          </w:p>
        </w:tc>
      </w:tr>
    </w:tbl>
    <w:p w:rsidR="002A3F6E" w:rsidRPr="00571F0B" w:rsidRDefault="002A3F6E" w:rsidP="00D37833">
      <w:pPr>
        <w:spacing w:before="0" w:after="0"/>
        <w:rPr>
          <w:lang w:val="en-GB"/>
        </w:rPr>
      </w:pPr>
    </w:p>
    <w:p w:rsidR="009665DB" w:rsidRPr="009665DB" w:rsidRDefault="009665DB" w:rsidP="009665DB">
      <w:pPr>
        <w:pStyle w:val="Heading3"/>
        <w:rPr>
          <w:lang w:val="en-GB"/>
        </w:rPr>
      </w:pPr>
      <w:r>
        <w:rPr>
          <w:lang w:val="en-GB"/>
        </w:rPr>
        <w:t>Infrastructure</w:t>
      </w:r>
    </w:p>
    <w:p w:rsidR="009665DB" w:rsidRPr="009665DB" w:rsidRDefault="009665DB" w:rsidP="009665DB">
      <w:pPr>
        <w:spacing w:before="0" w:after="0"/>
        <w:rPr>
          <w:lang w:val="en-GB"/>
        </w:rPr>
      </w:pPr>
      <w:r>
        <w:rPr>
          <w:lang w:val="en-GB"/>
        </w:rPr>
        <w:t>T</w:t>
      </w:r>
      <w:r w:rsidRPr="009665DB">
        <w:rPr>
          <w:lang w:val="en-GB"/>
        </w:rPr>
        <w:t xml:space="preserve">he </w:t>
      </w:r>
      <w:r>
        <w:rPr>
          <w:lang w:val="en-GB"/>
        </w:rPr>
        <w:t xml:space="preserve">IF (IV) </w:t>
      </w:r>
      <w:r w:rsidRPr="009665DB">
        <w:rPr>
          <w:lang w:val="en-GB"/>
        </w:rPr>
        <w:t>investment portfolio targets s</w:t>
      </w:r>
      <w:r w:rsidR="007D1FE0">
        <w:rPr>
          <w:lang w:val="en-GB"/>
        </w:rPr>
        <w:t xml:space="preserve">erve to ensure that at least 50 per cent </w:t>
      </w:r>
      <w:r w:rsidRPr="009665DB">
        <w:rPr>
          <w:lang w:val="en-GB"/>
        </w:rPr>
        <w:t xml:space="preserve">of IF (IV) investments will support infrastructure. It is anticipated that demand for infrastructure will remain high, but investment should not be at the </w:t>
      </w:r>
      <w:r w:rsidR="007D1FE0">
        <w:rPr>
          <w:lang w:val="en-GB"/>
        </w:rPr>
        <w:t>previous 10</w:t>
      </w:r>
      <w:r w:rsidR="00D36D8B">
        <w:rPr>
          <w:lang w:val="en-GB"/>
        </w:rPr>
        <w:t>0</w:t>
      </w:r>
      <w:r w:rsidR="007D1FE0">
        <w:rPr>
          <w:lang w:val="en-GB"/>
        </w:rPr>
        <w:t xml:space="preserve"> per cent</w:t>
      </w:r>
      <w:r w:rsidRPr="009665DB">
        <w:rPr>
          <w:lang w:val="en-GB"/>
        </w:rPr>
        <w:t xml:space="preserve"> level delivered in Phase III. Notwithstanding this target, it is important to understand that </w:t>
      </w:r>
      <w:r w:rsidR="007D1FE0">
        <w:rPr>
          <w:lang w:val="en-GB"/>
        </w:rPr>
        <w:t>IF (IV)</w:t>
      </w:r>
      <w:r w:rsidRPr="009665DB">
        <w:rPr>
          <w:lang w:val="en-GB"/>
        </w:rPr>
        <w:t xml:space="preserve"> is not the ‘infrastructure fund’ as it was (understandably) referred to many times during the design mission. It is equally important to understand that infrastructure can make an important contribution to development outcomes and, whilst there is general consensus that this is the case, the contribution of infrastructure to development outcomes </w:t>
      </w:r>
      <w:r w:rsidR="007D1FE0">
        <w:rPr>
          <w:lang w:val="en-GB"/>
        </w:rPr>
        <w:t>still needs</w:t>
      </w:r>
      <w:r w:rsidRPr="009665DB">
        <w:rPr>
          <w:lang w:val="en-GB"/>
        </w:rPr>
        <w:t xml:space="preserve"> to be confirmed through every project.</w:t>
      </w:r>
    </w:p>
    <w:p w:rsidR="009665DB" w:rsidRDefault="009665DB" w:rsidP="00D37833">
      <w:pPr>
        <w:spacing w:before="0" w:after="0"/>
        <w:rPr>
          <w:lang w:val="en-GB"/>
        </w:rPr>
      </w:pPr>
    </w:p>
    <w:p w:rsidR="009665DB" w:rsidRPr="009665DB" w:rsidRDefault="009665DB" w:rsidP="009665DB">
      <w:pPr>
        <w:pStyle w:val="Heading3"/>
        <w:rPr>
          <w:lang w:val="en-GB"/>
        </w:rPr>
      </w:pPr>
      <w:r>
        <w:rPr>
          <w:lang w:val="en-GB"/>
        </w:rPr>
        <w:t>Private sector engagement</w:t>
      </w:r>
    </w:p>
    <w:p w:rsidR="009665DB" w:rsidRDefault="009665DB" w:rsidP="009665DB">
      <w:pPr>
        <w:spacing w:before="0" w:after="0"/>
        <w:rPr>
          <w:lang w:val="en-GB"/>
        </w:rPr>
      </w:pPr>
      <w:r w:rsidRPr="00571F0B">
        <w:rPr>
          <w:lang w:val="en-GB"/>
        </w:rPr>
        <w:t xml:space="preserve">The </w:t>
      </w:r>
      <w:r w:rsidRPr="00385790">
        <w:rPr>
          <w:lang w:val="en-GB"/>
        </w:rPr>
        <w:t xml:space="preserve">investment portfolio targets </w:t>
      </w:r>
      <w:r w:rsidRPr="00571F0B">
        <w:rPr>
          <w:lang w:val="en-GB"/>
        </w:rPr>
        <w:t xml:space="preserve">serve to prioritise Australia’s new development policy further by making a substantial contribution to the high level strategic target of ensuring that at least </w:t>
      </w:r>
      <w:r>
        <w:rPr>
          <w:lang w:val="en-GB"/>
        </w:rPr>
        <w:t>at</w:t>
      </w:r>
      <w:r w:rsidRPr="00385790">
        <w:rPr>
          <w:lang w:val="en-GB"/>
        </w:rPr>
        <w:t xml:space="preserve"> least 20 per cent of the investments will </w:t>
      </w:r>
      <w:r w:rsidR="007D1FE0">
        <w:rPr>
          <w:lang w:val="en-GB"/>
        </w:rPr>
        <w:t>support</w:t>
      </w:r>
      <w:r w:rsidRPr="00385790">
        <w:rPr>
          <w:lang w:val="en-GB"/>
        </w:rPr>
        <w:t xml:space="preserve"> private sector engagement. </w:t>
      </w:r>
    </w:p>
    <w:p w:rsidR="009665DB" w:rsidRDefault="009665DB" w:rsidP="009665DB">
      <w:pPr>
        <w:spacing w:before="0" w:after="0"/>
        <w:rPr>
          <w:lang w:val="en-GB"/>
        </w:rPr>
      </w:pPr>
    </w:p>
    <w:p w:rsidR="002A3F6E" w:rsidRPr="00571F0B" w:rsidRDefault="002A3F6E" w:rsidP="002A3F6E">
      <w:pPr>
        <w:pStyle w:val="Caption"/>
        <w:rPr>
          <w:lang w:val="en-GB"/>
        </w:rPr>
      </w:pPr>
      <w:bookmarkStart w:id="27" w:name="_Toc403037636"/>
      <w:r w:rsidRPr="00571F0B">
        <w:rPr>
          <w:lang w:val="en-GB"/>
        </w:rPr>
        <w:lastRenderedPageBreak/>
        <w:t xml:space="preserve">Box </w:t>
      </w:r>
      <w:r w:rsidR="00D3593A" w:rsidRPr="00571F0B">
        <w:rPr>
          <w:lang w:val="en-GB"/>
        </w:rPr>
        <w:fldChar w:fldCharType="begin"/>
      </w:r>
      <w:r w:rsidR="00D3593A" w:rsidRPr="00571F0B">
        <w:rPr>
          <w:lang w:val="en-GB"/>
        </w:rPr>
        <w:instrText xml:space="preserve"> SEQ Box \* ARABIC </w:instrText>
      </w:r>
      <w:r w:rsidR="00D3593A" w:rsidRPr="00571F0B">
        <w:rPr>
          <w:lang w:val="en-GB"/>
        </w:rPr>
        <w:fldChar w:fldCharType="separate"/>
      </w:r>
      <w:r w:rsidR="006C1E87">
        <w:rPr>
          <w:noProof/>
          <w:lang w:val="en-GB"/>
        </w:rPr>
        <w:t>4</w:t>
      </w:r>
      <w:r w:rsidR="00D3593A" w:rsidRPr="00571F0B">
        <w:rPr>
          <w:lang w:val="en-GB"/>
        </w:rPr>
        <w:fldChar w:fldCharType="end"/>
      </w:r>
      <w:r w:rsidR="00D37833">
        <w:rPr>
          <w:lang w:val="en-GB"/>
        </w:rPr>
        <w:t>:</w:t>
      </w:r>
      <w:r w:rsidRPr="00571F0B">
        <w:rPr>
          <w:lang w:val="en-GB"/>
        </w:rPr>
        <w:t xml:space="preserve"> Private sector </w:t>
      </w:r>
      <w:r w:rsidR="00CC5037">
        <w:rPr>
          <w:lang w:val="en-GB"/>
        </w:rPr>
        <w:t>engagement</w:t>
      </w:r>
      <w:bookmarkEnd w:id="27"/>
    </w:p>
    <w:tbl>
      <w:tblPr>
        <w:tblStyle w:val="TableGrid"/>
        <w:tblW w:w="0" w:type="auto"/>
        <w:tblInd w:w="108" w:type="dxa"/>
        <w:tblLook w:val="04A0" w:firstRow="1" w:lastRow="0" w:firstColumn="1" w:lastColumn="0" w:noHBand="0" w:noVBand="1"/>
      </w:tblPr>
      <w:tblGrid>
        <w:gridCol w:w="9072"/>
      </w:tblGrid>
      <w:tr w:rsidR="002A3F6E" w:rsidRPr="00571F0B" w:rsidTr="009E1E17">
        <w:tc>
          <w:tcPr>
            <w:tcW w:w="9072" w:type="dxa"/>
            <w:tcBorders>
              <w:top w:val="nil"/>
              <w:left w:val="nil"/>
              <w:bottom w:val="nil"/>
              <w:right w:val="nil"/>
            </w:tcBorders>
            <w:shd w:val="clear" w:color="auto" w:fill="D6E3BC" w:themeFill="accent3" w:themeFillTint="66"/>
          </w:tcPr>
          <w:p w:rsidR="002A3F6E" w:rsidRPr="00D37833" w:rsidRDefault="002A3F6E" w:rsidP="00D37833">
            <w:pPr>
              <w:spacing w:before="0" w:after="0"/>
              <w:rPr>
                <w:rFonts w:ascii="Arial Narrow" w:hAnsi="Arial Narrow"/>
                <w:sz w:val="20"/>
                <w:lang w:val="en-GB"/>
              </w:rPr>
            </w:pPr>
            <w:r w:rsidRPr="00D37833">
              <w:rPr>
                <w:rFonts w:ascii="Arial Narrow" w:hAnsi="Arial Narrow"/>
                <w:sz w:val="20"/>
                <w:lang w:val="en-GB"/>
              </w:rPr>
              <w:t xml:space="preserve">In July 2014 DFAT released the Private sector development and private sector engagement: guidance note. It confirms that private sector development is used to describe DFATs activities that support the private sector to contribute to economic </w:t>
            </w:r>
            <w:r w:rsidR="00205423" w:rsidRPr="00205423">
              <w:rPr>
                <w:rFonts w:ascii="Arial Narrow" w:hAnsi="Arial Narrow"/>
                <w:sz w:val="20"/>
                <w:lang w:val="en-GB"/>
              </w:rPr>
              <w:t>development</w:t>
            </w:r>
            <w:r w:rsidRPr="00D37833">
              <w:rPr>
                <w:rFonts w:ascii="Arial Narrow" w:hAnsi="Arial Narrow"/>
                <w:sz w:val="20"/>
                <w:lang w:val="en-GB"/>
              </w:rPr>
              <w:t xml:space="preserve"> through three main categories:</w:t>
            </w:r>
          </w:p>
          <w:p w:rsidR="002A3F6E" w:rsidRPr="00D37833" w:rsidRDefault="002A3F6E" w:rsidP="00D37833">
            <w:pPr>
              <w:spacing w:before="0" w:after="0"/>
              <w:rPr>
                <w:rFonts w:ascii="Arial Narrow" w:hAnsi="Arial Narrow"/>
                <w:sz w:val="20"/>
                <w:lang w:val="en-GB"/>
              </w:rPr>
            </w:pPr>
          </w:p>
          <w:p w:rsidR="002A3F6E" w:rsidRPr="00D37833" w:rsidRDefault="002A3F6E" w:rsidP="00A82AAB">
            <w:pPr>
              <w:pStyle w:val="ListParagraph"/>
              <w:numPr>
                <w:ilvl w:val="0"/>
                <w:numId w:val="28"/>
              </w:numPr>
              <w:spacing w:before="0" w:after="0"/>
              <w:rPr>
                <w:rFonts w:ascii="Arial Narrow" w:hAnsi="Arial Narrow"/>
                <w:sz w:val="20"/>
                <w:lang w:val="en-GB"/>
              </w:rPr>
            </w:pPr>
            <w:r w:rsidRPr="00D37833">
              <w:rPr>
                <w:rFonts w:ascii="Arial Narrow" w:hAnsi="Arial Narrow"/>
                <w:i/>
                <w:sz w:val="20"/>
                <w:lang w:val="en-GB"/>
              </w:rPr>
              <w:t>Building better enabling environments</w:t>
            </w:r>
            <w:r w:rsidRPr="00D37833">
              <w:rPr>
                <w:rFonts w:ascii="Arial Narrow" w:hAnsi="Arial Narrow"/>
                <w:sz w:val="20"/>
                <w:lang w:val="en-GB"/>
              </w:rPr>
              <w:t xml:space="preserve"> for business including regulatory and financial frameworks that make it easier for private-sector led economic </w:t>
            </w:r>
            <w:r w:rsidR="007A6262" w:rsidRPr="007A6262">
              <w:rPr>
                <w:rFonts w:ascii="Arial Narrow" w:hAnsi="Arial Narrow"/>
                <w:sz w:val="20"/>
                <w:lang w:val="en-GB"/>
              </w:rPr>
              <w:t>development</w:t>
            </w:r>
          </w:p>
          <w:p w:rsidR="002A3F6E" w:rsidRPr="00D37833" w:rsidRDefault="002A3F6E" w:rsidP="00D37833">
            <w:pPr>
              <w:spacing w:before="0" w:after="0"/>
              <w:rPr>
                <w:rFonts w:ascii="Arial Narrow" w:hAnsi="Arial Narrow"/>
                <w:sz w:val="20"/>
                <w:lang w:val="en-GB"/>
              </w:rPr>
            </w:pPr>
          </w:p>
          <w:p w:rsidR="002A3F6E" w:rsidRPr="00D37833" w:rsidRDefault="002A3F6E" w:rsidP="00A82AAB">
            <w:pPr>
              <w:pStyle w:val="ListParagraph"/>
              <w:numPr>
                <w:ilvl w:val="0"/>
                <w:numId w:val="28"/>
              </w:numPr>
              <w:spacing w:before="0" w:after="0"/>
              <w:rPr>
                <w:rFonts w:ascii="Arial Narrow" w:hAnsi="Arial Narrow"/>
                <w:sz w:val="20"/>
                <w:lang w:val="en-GB"/>
              </w:rPr>
            </w:pPr>
            <w:r w:rsidRPr="00D37833">
              <w:rPr>
                <w:rFonts w:ascii="Arial Narrow" w:hAnsi="Arial Narrow"/>
                <w:i/>
                <w:sz w:val="20"/>
                <w:lang w:val="en-GB"/>
              </w:rPr>
              <w:t xml:space="preserve">Strengthening key markets and sectors that drive economic </w:t>
            </w:r>
            <w:r w:rsidR="007A6262" w:rsidRPr="007A6262">
              <w:rPr>
                <w:rFonts w:ascii="Arial Narrow" w:hAnsi="Arial Narrow"/>
                <w:i/>
                <w:sz w:val="20"/>
              </w:rPr>
              <w:t>development</w:t>
            </w:r>
            <w:r w:rsidRPr="00D37833">
              <w:rPr>
                <w:rFonts w:ascii="Arial Narrow" w:hAnsi="Arial Narrow"/>
                <w:i/>
                <w:sz w:val="20"/>
                <w:lang w:val="en-GB"/>
              </w:rPr>
              <w:t xml:space="preserve"> or poverty reduction e.g.</w:t>
            </w:r>
            <w:r w:rsidRPr="00D37833">
              <w:rPr>
                <w:rFonts w:ascii="Arial Narrow" w:hAnsi="Arial Narrow"/>
                <w:sz w:val="20"/>
                <w:lang w:val="en-GB"/>
              </w:rPr>
              <w:t xml:space="preserve"> by enhancing connectivity along the value chain, improving information availability or support</w:t>
            </w:r>
            <w:r w:rsidR="00730494" w:rsidRPr="00D37833">
              <w:rPr>
                <w:rFonts w:ascii="Arial Narrow" w:hAnsi="Arial Narrow"/>
                <w:sz w:val="20"/>
                <w:lang w:val="en-GB"/>
              </w:rPr>
              <w:t>ing</w:t>
            </w:r>
            <w:r w:rsidRPr="00D37833">
              <w:rPr>
                <w:rFonts w:ascii="Arial Narrow" w:hAnsi="Arial Narrow"/>
                <w:sz w:val="20"/>
                <w:lang w:val="en-GB"/>
              </w:rPr>
              <w:t xml:space="preserve"> business entry through the introduction of new products or services.</w:t>
            </w:r>
          </w:p>
          <w:p w:rsidR="002A3F6E" w:rsidRPr="00D37833" w:rsidRDefault="002A3F6E" w:rsidP="00D37833">
            <w:pPr>
              <w:spacing w:before="0" w:after="0"/>
              <w:rPr>
                <w:rFonts w:ascii="Arial Narrow" w:hAnsi="Arial Narrow"/>
                <w:sz w:val="20"/>
                <w:lang w:val="en-GB"/>
              </w:rPr>
            </w:pPr>
          </w:p>
          <w:p w:rsidR="002A3F6E" w:rsidRPr="00D37833" w:rsidRDefault="002A3F6E" w:rsidP="00A82AAB">
            <w:pPr>
              <w:pStyle w:val="ListParagraph"/>
              <w:numPr>
                <w:ilvl w:val="0"/>
                <w:numId w:val="28"/>
              </w:numPr>
              <w:spacing w:before="0" w:after="0"/>
              <w:rPr>
                <w:rFonts w:ascii="Arial Narrow" w:hAnsi="Arial Narrow"/>
                <w:sz w:val="20"/>
                <w:lang w:val="en-GB"/>
              </w:rPr>
            </w:pPr>
            <w:r w:rsidRPr="00D37833">
              <w:rPr>
                <w:rFonts w:ascii="Arial Narrow" w:hAnsi="Arial Narrow"/>
                <w:i/>
                <w:sz w:val="20"/>
                <w:lang w:val="en-GB"/>
              </w:rPr>
              <w:t>Maximising the development impact of individual businesses</w:t>
            </w:r>
            <w:r w:rsidRPr="00D37833">
              <w:rPr>
                <w:rFonts w:ascii="Arial Narrow" w:hAnsi="Arial Narrow"/>
                <w:sz w:val="20"/>
                <w:lang w:val="en-GB"/>
              </w:rPr>
              <w:t xml:space="preserve"> chosen because of their large impact (to bring about change) in a sector or economy.</w:t>
            </w:r>
          </w:p>
          <w:p w:rsidR="002A3F6E" w:rsidRPr="00D37833" w:rsidRDefault="002A3F6E" w:rsidP="00D37833">
            <w:pPr>
              <w:spacing w:before="0" w:after="0"/>
              <w:rPr>
                <w:rFonts w:ascii="Arial Narrow" w:hAnsi="Arial Narrow"/>
                <w:sz w:val="20"/>
                <w:lang w:val="en-GB"/>
              </w:rPr>
            </w:pPr>
          </w:p>
          <w:p w:rsidR="00D37833" w:rsidRPr="00D37833" w:rsidRDefault="002A3F6E" w:rsidP="007D1FE0">
            <w:pPr>
              <w:spacing w:before="0" w:after="0"/>
              <w:rPr>
                <w:sz w:val="16"/>
                <w:szCs w:val="16"/>
                <w:lang w:val="en-GB"/>
              </w:rPr>
            </w:pPr>
            <w:r w:rsidRPr="00D37833">
              <w:rPr>
                <w:rFonts w:ascii="Arial Narrow" w:hAnsi="Arial Narrow"/>
                <w:sz w:val="20"/>
                <w:lang w:val="en-GB"/>
              </w:rPr>
              <w:t xml:space="preserve">The opportunity </w:t>
            </w:r>
            <w:r w:rsidR="00730494" w:rsidRPr="00D37833">
              <w:rPr>
                <w:rFonts w:ascii="Arial Narrow" w:hAnsi="Arial Narrow"/>
                <w:sz w:val="20"/>
                <w:lang w:val="en-GB"/>
              </w:rPr>
              <w:t xml:space="preserve">is </w:t>
            </w:r>
            <w:r w:rsidRPr="00D37833">
              <w:rPr>
                <w:rFonts w:ascii="Arial Narrow" w:hAnsi="Arial Narrow"/>
                <w:sz w:val="20"/>
                <w:lang w:val="en-GB"/>
              </w:rPr>
              <w:t xml:space="preserve">for </w:t>
            </w:r>
            <w:r w:rsidR="00730494" w:rsidRPr="00D37833">
              <w:rPr>
                <w:rFonts w:ascii="Arial Narrow" w:hAnsi="Arial Narrow"/>
                <w:sz w:val="20"/>
                <w:lang w:val="en-GB"/>
              </w:rPr>
              <w:t>Australian Aid</w:t>
            </w:r>
            <w:r w:rsidRPr="00D37833">
              <w:rPr>
                <w:rFonts w:ascii="Arial Narrow" w:hAnsi="Arial Narrow"/>
                <w:sz w:val="20"/>
                <w:lang w:val="en-GB"/>
              </w:rPr>
              <w:t xml:space="preserve"> to use th</w:t>
            </w:r>
            <w:r w:rsidR="00730494" w:rsidRPr="00D37833">
              <w:rPr>
                <w:rFonts w:ascii="Arial Narrow" w:hAnsi="Arial Narrow"/>
                <w:sz w:val="20"/>
                <w:lang w:val="en-GB"/>
              </w:rPr>
              <w:t>is</w:t>
            </w:r>
            <w:r w:rsidRPr="00D37833">
              <w:rPr>
                <w:rFonts w:ascii="Arial Narrow" w:hAnsi="Arial Narrow"/>
                <w:sz w:val="20"/>
                <w:lang w:val="en-GB"/>
              </w:rPr>
              <w:t xml:space="preserve"> private sector engagement mandate, includ</w:t>
            </w:r>
            <w:r w:rsidR="00730494" w:rsidRPr="00D37833">
              <w:rPr>
                <w:rFonts w:ascii="Arial Narrow" w:hAnsi="Arial Narrow"/>
                <w:sz w:val="20"/>
                <w:lang w:val="en-GB"/>
              </w:rPr>
              <w:t>ing A$10 million of innovation f</w:t>
            </w:r>
            <w:r w:rsidRPr="00D37833">
              <w:rPr>
                <w:rFonts w:ascii="Arial Narrow" w:hAnsi="Arial Narrow"/>
                <w:sz w:val="20"/>
                <w:lang w:val="en-GB"/>
              </w:rPr>
              <w:t>unding</w:t>
            </w:r>
            <w:r w:rsidR="00730494" w:rsidRPr="00D37833">
              <w:rPr>
                <w:rFonts w:ascii="Arial Narrow" w:hAnsi="Arial Narrow"/>
                <w:sz w:val="20"/>
                <w:lang w:val="en-GB"/>
              </w:rPr>
              <w:t>,</w:t>
            </w:r>
            <w:r w:rsidRPr="00D37833">
              <w:rPr>
                <w:rFonts w:ascii="Arial Narrow" w:hAnsi="Arial Narrow"/>
                <w:sz w:val="20"/>
                <w:lang w:val="en-GB"/>
              </w:rPr>
              <w:t xml:space="preserve"> to start to engage with a range of private sector organisations able to make a contribution to health, education</w:t>
            </w:r>
            <w:r w:rsidR="007D1FE0">
              <w:rPr>
                <w:rFonts w:ascii="Arial Narrow" w:hAnsi="Arial Narrow"/>
                <w:sz w:val="20"/>
                <w:lang w:val="en-GB"/>
              </w:rPr>
              <w:t xml:space="preserve"> and other sectors </w:t>
            </w:r>
            <w:r w:rsidRPr="00D37833">
              <w:rPr>
                <w:rFonts w:ascii="Arial Narrow" w:hAnsi="Arial Narrow"/>
                <w:sz w:val="20"/>
                <w:lang w:val="en-GB"/>
              </w:rPr>
              <w:t>and</w:t>
            </w:r>
            <w:r w:rsidR="007D1FE0">
              <w:rPr>
                <w:rFonts w:ascii="Arial Narrow" w:hAnsi="Arial Narrow"/>
                <w:sz w:val="20"/>
                <w:lang w:val="en-GB"/>
              </w:rPr>
              <w:t>/or</w:t>
            </w:r>
            <w:r w:rsidRPr="00D37833">
              <w:rPr>
                <w:rFonts w:ascii="Arial Narrow" w:hAnsi="Arial Narrow"/>
                <w:sz w:val="20"/>
                <w:lang w:val="en-GB"/>
              </w:rPr>
              <w:t xml:space="preserve"> economic development, and to exchange information, establish mutual understanding and </w:t>
            </w:r>
            <w:r w:rsidR="00730494" w:rsidRPr="00D37833">
              <w:rPr>
                <w:rFonts w:ascii="Arial Narrow" w:hAnsi="Arial Narrow"/>
                <w:sz w:val="20"/>
                <w:lang w:val="en-GB"/>
              </w:rPr>
              <w:t xml:space="preserve">maintain </w:t>
            </w:r>
            <w:r w:rsidRPr="00D37833">
              <w:rPr>
                <w:rFonts w:ascii="Arial Narrow" w:hAnsi="Arial Narrow"/>
                <w:sz w:val="20"/>
                <w:lang w:val="en-GB"/>
              </w:rPr>
              <w:t>relationships that drive a</w:t>
            </w:r>
            <w:r w:rsidR="007D1FE0">
              <w:rPr>
                <w:rFonts w:ascii="Arial Narrow" w:hAnsi="Arial Narrow"/>
                <w:sz w:val="20"/>
                <w:lang w:val="en-GB"/>
              </w:rPr>
              <w:t>t least 20 per cent</w:t>
            </w:r>
            <w:r w:rsidRPr="00D37833">
              <w:rPr>
                <w:rFonts w:ascii="Arial Narrow" w:hAnsi="Arial Narrow"/>
                <w:sz w:val="20"/>
                <w:lang w:val="en-GB"/>
              </w:rPr>
              <w:t xml:space="preserve"> of the aid program to be delivered by the private sector.</w:t>
            </w:r>
          </w:p>
        </w:tc>
      </w:tr>
    </w:tbl>
    <w:p w:rsidR="002A3F6E" w:rsidRDefault="002A3F6E" w:rsidP="002A3F6E">
      <w:pPr>
        <w:spacing w:before="0" w:after="0"/>
        <w:rPr>
          <w:sz w:val="16"/>
          <w:szCs w:val="16"/>
          <w:lang w:val="en-GB"/>
        </w:rPr>
      </w:pPr>
    </w:p>
    <w:p w:rsidR="00635C8A" w:rsidRDefault="00CC5037" w:rsidP="002A3F6E">
      <w:pPr>
        <w:spacing w:before="0" w:after="0"/>
        <w:rPr>
          <w:lang w:val="en-GB"/>
        </w:rPr>
      </w:pPr>
      <w:r>
        <w:rPr>
          <w:lang w:val="en-GB"/>
        </w:rPr>
        <w:t>Importantly, IF (IV) can lead the way in regard to how Australian Aid engages with the private sector. This is an important opportunity for DFAT officers and the MC to gra</w:t>
      </w:r>
      <w:r w:rsidR="009665DB">
        <w:rPr>
          <w:lang w:val="en-GB"/>
        </w:rPr>
        <w:t>sp</w:t>
      </w:r>
      <w:r>
        <w:rPr>
          <w:lang w:val="en-GB"/>
        </w:rPr>
        <w:t xml:space="preserve">, and to literally open doors and create the space to discuss how Australian Aid can engage with private sector </w:t>
      </w:r>
      <w:r w:rsidR="007D1FE0">
        <w:rPr>
          <w:lang w:val="en-GB"/>
        </w:rPr>
        <w:t>companies</w:t>
      </w:r>
      <w:r w:rsidR="00635C8A">
        <w:rPr>
          <w:lang w:val="en-GB"/>
        </w:rPr>
        <w:t xml:space="preserve">, encourage </w:t>
      </w:r>
      <w:r>
        <w:rPr>
          <w:lang w:val="en-GB"/>
        </w:rPr>
        <w:t xml:space="preserve">them to consider </w:t>
      </w:r>
      <w:r w:rsidR="009665DB">
        <w:rPr>
          <w:lang w:val="en-GB"/>
        </w:rPr>
        <w:t>PNG</w:t>
      </w:r>
      <w:r>
        <w:rPr>
          <w:lang w:val="en-GB"/>
        </w:rPr>
        <w:t xml:space="preserve"> development problems and </w:t>
      </w:r>
      <w:r w:rsidR="00635C8A">
        <w:rPr>
          <w:lang w:val="en-GB"/>
        </w:rPr>
        <w:t xml:space="preserve">then incentivise them </w:t>
      </w:r>
      <w:r>
        <w:rPr>
          <w:lang w:val="en-GB"/>
        </w:rPr>
        <w:t xml:space="preserve">to deliver </w:t>
      </w:r>
      <w:r w:rsidR="009665DB">
        <w:rPr>
          <w:lang w:val="en-GB"/>
        </w:rPr>
        <w:t xml:space="preserve">PNG </w:t>
      </w:r>
      <w:r>
        <w:rPr>
          <w:lang w:val="en-GB"/>
        </w:rPr>
        <w:t>development priorities</w:t>
      </w:r>
      <w:r w:rsidR="00635C8A">
        <w:rPr>
          <w:lang w:val="en-GB"/>
        </w:rPr>
        <w:t xml:space="preserve"> through their normal business activities</w:t>
      </w:r>
      <w:r>
        <w:rPr>
          <w:lang w:val="en-GB"/>
        </w:rPr>
        <w:t xml:space="preserve">. </w:t>
      </w:r>
    </w:p>
    <w:p w:rsidR="00635C8A" w:rsidRDefault="00635C8A" w:rsidP="002A3F6E">
      <w:pPr>
        <w:spacing w:before="0" w:after="0"/>
        <w:rPr>
          <w:lang w:val="en-GB"/>
        </w:rPr>
      </w:pPr>
    </w:p>
    <w:p w:rsidR="009665DB" w:rsidRDefault="00635C8A" w:rsidP="002A3F6E">
      <w:pPr>
        <w:spacing w:before="0" w:after="0"/>
        <w:rPr>
          <w:lang w:val="en-GB"/>
        </w:rPr>
      </w:pPr>
      <w:r>
        <w:rPr>
          <w:lang w:val="en-GB"/>
        </w:rPr>
        <w:t xml:space="preserve">Australian Aid needs to </w:t>
      </w:r>
      <w:r w:rsidR="006D39B6">
        <w:rPr>
          <w:lang w:val="en-GB"/>
        </w:rPr>
        <w:t>expand</w:t>
      </w:r>
      <w:r>
        <w:rPr>
          <w:lang w:val="en-GB"/>
        </w:rPr>
        <w:t xml:space="preserve"> private sector engagement and development and IF (IV) provides a highly relevant mechanism</w:t>
      </w:r>
      <w:r w:rsidR="006D39B6">
        <w:rPr>
          <w:lang w:val="en-GB"/>
        </w:rPr>
        <w:t xml:space="preserve"> to achieve this expansion. </w:t>
      </w:r>
      <w:r>
        <w:rPr>
          <w:lang w:val="en-GB"/>
        </w:rPr>
        <w:t>Through pro-active engagement and the prospect of significant funding IF (IV) should be attractive to the private sector and encourage constructive engagement and dialogue with DFAT</w:t>
      </w:r>
      <w:r w:rsidR="006D39B6">
        <w:rPr>
          <w:lang w:val="en-GB"/>
        </w:rPr>
        <w:t xml:space="preserve">. This </w:t>
      </w:r>
      <w:r w:rsidR="007D1FE0">
        <w:rPr>
          <w:lang w:val="en-GB"/>
        </w:rPr>
        <w:t xml:space="preserve">engagement </w:t>
      </w:r>
      <w:r w:rsidR="006D39B6">
        <w:rPr>
          <w:lang w:val="en-GB"/>
        </w:rPr>
        <w:t xml:space="preserve">can be used to </w:t>
      </w:r>
      <w:r>
        <w:rPr>
          <w:lang w:val="en-GB"/>
        </w:rPr>
        <w:t xml:space="preserve">identify common areas </w:t>
      </w:r>
      <w:r w:rsidR="006D39B6">
        <w:rPr>
          <w:lang w:val="en-GB"/>
        </w:rPr>
        <w:t xml:space="preserve">of interest </w:t>
      </w:r>
      <w:r>
        <w:rPr>
          <w:lang w:val="en-GB"/>
        </w:rPr>
        <w:t xml:space="preserve">and opportunities to work together and support PNG development priorities. </w:t>
      </w:r>
      <w:r w:rsidR="006D39B6">
        <w:rPr>
          <w:lang w:val="en-GB"/>
        </w:rPr>
        <w:t xml:space="preserve">DFAT brings influence, networks, credibility, funding and technical assistance. The private sector offers many varied opportunities to tackle economic development and service delivery priorities, in a sustainable approach that goes beyond delivering projects and programs. </w:t>
      </w:r>
    </w:p>
    <w:p w:rsidR="009665DB" w:rsidRDefault="009665DB" w:rsidP="002A3F6E">
      <w:pPr>
        <w:spacing w:before="0" w:after="0"/>
        <w:rPr>
          <w:lang w:val="en-GB"/>
        </w:rPr>
      </w:pPr>
    </w:p>
    <w:p w:rsidR="006D39B6" w:rsidRDefault="006D39B6" w:rsidP="002A3F6E">
      <w:pPr>
        <w:spacing w:before="0" w:after="0"/>
        <w:rPr>
          <w:lang w:val="en-GB"/>
        </w:rPr>
      </w:pPr>
      <w:r>
        <w:rPr>
          <w:lang w:val="en-GB"/>
        </w:rPr>
        <w:t>Incentivising private sector engagement to address PNG development priorities is an exciting and important challeng</w:t>
      </w:r>
      <w:r w:rsidR="007D1FE0">
        <w:rPr>
          <w:lang w:val="en-GB"/>
        </w:rPr>
        <w:t>e for IF (IV) and Australian Aid</w:t>
      </w:r>
      <w:r>
        <w:rPr>
          <w:lang w:val="en-GB"/>
        </w:rPr>
        <w:t xml:space="preserve">. It is expected that private sector engagement with IF (IV) will build over the years of operation and significantly more investments will be allocated to the private sector as IF (IV) matures. </w:t>
      </w:r>
    </w:p>
    <w:p w:rsidR="00CC5037" w:rsidRPr="00D37833" w:rsidRDefault="00CC5037" w:rsidP="002A3F6E">
      <w:pPr>
        <w:spacing w:before="0" w:after="0"/>
        <w:rPr>
          <w:sz w:val="16"/>
          <w:szCs w:val="16"/>
          <w:lang w:val="en-GB"/>
        </w:rPr>
      </w:pPr>
      <w:r>
        <w:rPr>
          <w:lang w:val="en-GB"/>
        </w:rPr>
        <w:t xml:space="preserve"> </w:t>
      </w:r>
    </w:p>
    <w:p w:rsidR="0070468F" w:rsidRPr="00571F0B" w:rsidRDefault="0070468F" w:rsidP="00BE7C9E">
      <w:pPr>
        <w:pStyle w:val="Heading2"/>
        <w:rPr>
          <w:lang w:val="en-GB"/>
        </w:rPr>
      </w:pPr>
      <w:bookmarkStart w:id="28" w:name="_Toc403037567"/>
      <w:r w:rsidRPr="00571F0B">
        <w:rPr>
          <w:lang w:val="en-GB"/>
        </w:rPr>
        <w:t xml:space="preserve">Location, duration and </w:t>
      </w:r>
      <w:r w:rsidR="0099002E" w:rsidRPr="00571F0B">
        <w:rPr>
          <w:lang w:val="en-GB"/>
        </w:rPr>
        <w:t>operation</w:t>
      </w:r>
      <w:bookmarkEnd w:id="28"/>
    </w:p>
    <w:p w:rsidR="0070468F" w:rsidRPr="00571F0B" w:rsidRDefault="0070468F" w:rsidP="00BE7C9E">
      <w:pPr>
        <w:pStyle w:val="Heading3"/>
        <w:rPr>
          <w:lang w:val="en-GB"/>
        </w:rPr>
      </w:pPr>
      <w:r w:rsidRPr="00571F0B">
        <w:rPr>
          <w:lang w:val="en-GB"/>
        </w:rPr>
        <w:t>Location</w:t>
      </w:r>
    </w:p>
    <w:p w:rsidR="00D37833" w:rsidRPr="00571F0B" w:rsidRDefault="0070468F" w:rsidP="00D37833">
      <w:pPr>
        <w:spacing w:before="0" w:after="0"/>
        <w:rPr>
          <w:lang w:val="en-GB"/>
        </w:rPr>
      </w:pPr>
      <w:r w:rsidRPr="00571F0B">
        <w:rPr>
          <w:lang w:val="en-GB"/>
        </w:rPr>
        <w:t xml:space="preserve">Projects will be implemented throughout PNG, and staff from the </w:t>
      </w:r>
      <w:r w:rsidR="00E51F04" w:rsidRPr="00571F0B">
        <w:rPr>
          <w:lang w:val="en-GB"/>
        </w:rPr>
        <w:t xml:space="preserve">Managing Contractor (MC) </w:t>
      </w:r>
      <w:r w:rsidRPr="00571F0B">
        <w:rPr>
          <w:lang w:val="en-GB"/>
        </w:rPr>
        <w:t xml:space="preserve">will be expected to travel extensively. </w:t>
      </w:r>
      <w:r w:rsidR="00D37833">
        <w:rPr>
          <w:lang w:val="en-GB"/>
        </w:rPr>
        <w:t xml:space="preserve"> </w:t>
      </w:r>
      <w:r w:rsidRPr="00571F0B">
        <w:rPr>
          <w:lang w:val="en-GB"/>
        </w:rPr>
        <w:t xml:space="preserve">There is no distribution strategy for projects or funds </w:t>
      </w:r>
      <w:proofErr w:type="gramStart"/>
      <w:r w:rsidRPr="00571F0B">
        <w:rPr>
          <w:lang w:val="en-GB"/>
        </w:rPr>
        <w:t>disbursement,</w:t>
      </w:r>
      <w:proofErr w:type="gramEnd"/>
      <w:r w:rsidRPr="00571F0B">
        <w:rPr>
          <w:lang w:val="en-GB"/>
        </w:rPr>
        <w:t xml:space="preserve"> however DFAT and the M</w:t>
      </w:r>
      <w:r w:rsidR="00D37833">
        <w:rPr>
          <w:lang w:val="en-GB"/>
        </w:rPr>
        <w:t>C</w:t>
      </w:r>
      <w:r w:rsidRPr="00571F0B">
        <w:rPr>
          <w:lang w:val="en-GB"/>
        </w:rPr>
        <w:t xml:space="preserve"> may decide to strategic</w:t>
      </w:r>
      <w:r w:rsidR="0069056C" w:rsidRPr="00571F0B">
        <w:rPr>
          <w:lang w:val="en-GB"/>
        </w:rPr>
        <w:t>ally</w:t>
      </w:r>
      <w:r w:rsidRPr="00571F0B">
        <w:rPr>
          <w:lang w:val="en-GB"/>
        </w:rPr>
        <w:t xml:space="preserve"> focus IF (IV) support at times using various </w:t>
      </w:r>
      <w:r w:rsidR="0069056C" w:rsidRPr="00571F0B">
        <w:rPr>
          <w:lang w:val="en-GB"/>
        </w:rPr>
        <w:t xml:space="preserve">CPR </w:t>
      </w:r>
      <w:r w:rsidRPr="00571F0B">
        <w:rPr>
          <w:lang w:val="en-GB"/>
        </w:rPr>
        <w:t>mechanisms. Eligible organisation location should not be a constraint provided an applicant meets the criteria.</w:t>
      </w:r>
      <w:r w:rsidR="00D37833">
        <w:rPr>
          <w:lang w:val="en-GB"/>
        </w:rPr>
        <w:t xml:space="preserve">  </w:t>
      </w:r>
      <w:r w:rsidR="00D37833" w:rsidRPr="00571F0B">
        <w:rPr>
          <w:lang w:val="en-GB"/>
        </w:rPr>
        <w:t xml:space="preserve">The </w:t>
      </w:r>
      <w:r w:rsidR="00D37833">
        <w:rPr>
          <w:lang w:val="en-GB"/>
        </w:rPr>
        <w:t xml:space="preserve">office for managing the </w:t>
      </w:r>
      <w:r w:rsidR="007D1FE0">
        <w:rPr>
          <w:lang w:val="en-GB"/>
        </w:rPr>
        <w:t>IF (IV)</w:t>
      </w:r>
      <w:r w:rsidR="00D37833" w:rsidRPr="00571F0B">
        <w:rPr>
          <w:lang w:val="en-GB"/>
        </w:rPr>
        <w:t xml:space="preserve"> will be located in Port Moresby.</w:t>
      </w:r>
    </w:p>
    <w:p w:rsidR="0070468F" w:rsidRPr="00D37833" w:rsidRDefault="0070468F" w:rsidP="00D37833">
      <w:pPr>
        <w:spacing w:before="0" w:after="0"/>
        <w:rPr>
          <w:sz w:val="16"/>
          <w:szCs w:val="16"/>
          <w:lang w:val="en-GB"/>
        </w:rPr>
      </w:pPr>
    </w:p>
    <w:p w:rsidR="0070468F" w:rsidRPr="00571F0B" w:rsidRDefault="0070468F" w:rsidP="00BE7C9E">
      <w:pPr>
        <w:pStyle w:val="Heading3"/>
        <w:rPr>
          <w:lang w:val="en-GB"/>
        </w:rPr>
      </w:pPr>
      <w:r w:rsidRPr="00571F0B">
        <w:rPr>
          <w:lang w:val="en-GB"/>
        </w:rPr>
        <w:t>Duration</w:t>
      </w:r>
      <w:r w:rsidR="006B2A57" w:rsidRPr="00571F0B">
        <w:rPr>
          <w:lang w:val="en-GB"/>
        </w:rPr>
        <w:t xml:space="preserve"> and funding limits</w:t>
      </w:r>
    </w:p>
    <w:p w:rsidR="007D1FE0" w:rsidRPr="007D1FE0" w:rsidRDefault="007D1FE0" w:rsidP="007D1FE0">
      <w:pPr>
        <w:spacing w:before="0" w:after="0"/>
        <w:rPr>
          <w:lang w:val="en-GB"/>
        </w:rPr>
      </w:pPr>
      <w:proofErr w:type="gramStart"/>
      <w:r w:rsidRPr="007D1FE0">
        <w:rPr>
          <w:lang w:val="en-GB"/>
        </w:rPr>
        <w:t>IF (IV) is planned to be operational in early 2015 for a period of at least six years.</w:t>
      </w:r>
      <w:proofErr w:type="gramEnd"/>
      <w:r w:rsidRPr="007D1FE0">
        <w:rPr>
          <w:lang w:val="en-GB"/>
        </w:rPr>
        <w:t xml:space="preserve">  It is expected that a DFAT activity support </w:t>
      </w:r>
      <w:r>
        <w:rPr>
          <w:lang w:val="en-GB"/>
        </w:rPr>
        <w:t xml:space="preserve">Pricing Schedule </w:t>
      </w:r>
      <w:r w:rsidRPr="007D1FE0">
        <w:rPr>
          <w:lang w:val="en-GB"/>
        </w:rPr>
        <w:t>will be approved for a</w:t>
      </w:r>
      <w:r>
        <w:rPr>
          <w:lang w:val="en-GB"/>
        </w:rPr>
        <w:t xml:space="preserve">n activity </w:t>
      </w:r>
      <w:r w:rsidRPr="007D1FE0">
        <w:rPr>
          <w:lang w:val="en-GB"/>
        </w:rPr>
        <w:lastRenderedPageBreak/>
        <w:t xml:space="preserve">funding limit of </w:t>
      </w:r>
      <w:proofErr w:type="gramStart"/>
      <w:r w:rsidRPr="007D1FE0">
        <w:rPr>
          <w:lang w:val="en-GB"/>
        </w:rPr>
        <w:t>A$</w:t>
      </w:r>
      <w:proofErr w:type="gramEnd"/>
      <w:r w:rsidRPr="007D1FE0">
        <w:rPr>
          <w:lang w:val="en-GB"/>
        </w:rPr>
        <w:t>72 million to meet all costs associated with the IF (IV) IFAs and A$10 million for a new Innovation Fund component. Operational cost and fixed management fees are in addition to the A$72 million.</w:t>
      </w:r>
    </w:p>
    <w:p w:rsidR="007D1FE0" w:rsidRPr="007D1FE0" w:rsidRDefault="007D1FE0" w:rsidP="007D1FE0">
      <w:pPr>
        <w:spacing w:before="0" w:after="0"/>
        <w:rPr>
          <w:lang w:val="en-GB"/>
        </w:rPr>
      </w:pPr>
    </w:p>
    <w:p w:rsidR="0070468F" w:rsidRDefault="007D1FE0" w:rsidP="007D1FE0">
      <w:pPr>
        <w:spacing w:before="0" w:after="0"/>
        <w:rPr>
          <w:lang w:val="en-GB"/>
        </w:rPr>
      </w:pPr>
      <w:r w:rsidRPr="007D1FE0">
        <w:rPr>
          <w:lang w:val="en-GB"/>
        </w:rPr>
        <w:t xml:space="preserve">The total IFA value from Phase I, II and III was K351 million which today converts into A$160 million. If we divide this by the 59 IFAs the average IFA would be </w:t>
      </w:r>
      <w:proofErr w:type="gramStart"/>
      <w:r w:rsidRPr="007D1FE0">
        <w:rPr>
          <w:lang w:val="en-GB"/>
        </w:rPr>
        <w:t>A$</w:t>
      </w:r>
      <w:proofErr w:type="gramEnd"/>
      <w:r w:rsidRPr="007D1FE0">
        <w:rPr>
          <w:lang w:val="en-GB"/>
        </w:rPr>
        <w:t xml:space="preserve">2.7 million. The expected combined Incentive Fund (A$62 million) and Innovation Fund (A$10 million) will establish an </w:t>
      </w:r>
      <w:r w:rsidR="00F32C27" w:rsidRPr="00F32C27">
        <w:rPr>
          <w:lang w:val="en-GB"/>
        </w:rPr>
        <w:t xml:space="preserve">IF (IV) </w:t>
      </w:r>
      <w:r w:rsidR="00F32C27">
        <w:rPr>
          <w:lang w:val="en-GB"/>
        </w:rPr>
        <w:t xml:space="preserve">activity </w:t>
      </w:r>
      <w:r w:rsidRPr="007D1FE0">
        <w:rPr>
          <w:lang w:val="en-GB"/>
        </w:rPr>
        <w:t xml:space="preserve">budget of </w:t>
      </w:r>
      <w:proofErr w:type="gramStart"/>
      <w:r w:rsidRPr="007D1FE0">
        <w:rPr>
          <w:lang w:val="en-GB"/>
        </w:rPr>
        <w:t>A$</w:t>
      </w:r>
      <w:proofErr w:type="gramEnd"/>
      <w:r w:rsidRPr="007D1FE0">
        <w:rPr>
          <w:lang w:val="en-GB"/>
        </w:rPr>
        <w:t xml:space="preserve">72 million </w:t>
      </w:r>
      <w:r w:rsidR="00F32C27">
        <w:rPr>
          <w:lang w:val="en-GB"/>
        </w:rPr>
        <w:t>across</w:t>
      </w:r>
      <w:r w:rsidRPr="007D1FE0">
        <w:rPr>
          <w:lang w:val="en-GB"/>
        </w:rPr>
        <w:t xml:space="preserve"> six years</w:t>
      </w:r>
      <w:r w:rsidR="00F32C27">
        <w:rPr>
          <w:lang w:val="en-GB"/>
        </w:rPr>
        <w:t xml:space="preserve"> of implementation</w:t>
      </w:r>
      <w:r w:rsidRPr="007D1FE0">
        <w:rPr>
          <w:lang w:val="en-GB"/>
        </w:rPr>
        <w:t>. This would suggest that IF (IV) will support approximately 26 projects.</w:t>
      </w:r>
    </w:p>
    <w:p w:rsidR="007D1FE0" w:rsidRPr="00571F0B" w:rsidRDefault="007D1FE0" w:rsidP="007D1FE0">
      <w:pPr>
        <w:spacing w:before="0" w:after="0"/>
        <w:rPr>
          <w:lang w:val="en-GB"/>
        </w:rPr>
      </w:pPr>
    </w:p>
    <w:p w:rsidR="0070468F" w:rsidRPr="00571F0B" w:rsidRDefault="0070468F" w:rsidP="00BE7C9E">
      <w:pPr>
        <w:pStyle w:val="Heading2"/>
        <w:rPr>
          <w:lang w:val="en-GB"/>
        </w:rPr>
      </w:pPr>
      <w:bookmarkStart w:id="29" w:name="_Toc403037568"/>
      <w:r w:rsidRPr="00571F0B">
        <w:rPr>
          <w:lang w:val="en-GB"/>
        </w:rPr>
        <w:t>Operating the Incentive Funding Mechanism</w:t>
      </w:r>
      <w:bookmarkEnd w:id="29"/>
    </w:p>
    <w:p w:rsidR="009E3AE3" w:rsidRPr="00571F0B" w:rsidRDefault="009E3AE3" w:rsidP="00BE7C9E">
      <w:pPr>
        <w:pStyle w:val="Heading3"/>
        <w:rPr>
          <w:lang w:val="en-GB"/>
        </w:rPr>
      </w:pPr>
      <w:r w:rsidRPr="00571F0B">
        <w:rPr>
          <w:lang w:val="en-GB"/>
        </w:rPr>
        <w:t>The Five Stage Application Process</w:t>
      </w:r>
    </w:p>
    <w:p w:rsidR="00BF3ECF" w:rsidRDefault="00F87042" w:rsidP="00D37833">
      <w:pPr>
        <w:spacing w:before="0" w:after="0"/>
        <w:rPr>
          <w:lang w:val="en-GB"/>
        </w:rPr>
      </w:pPr>
      <w:r w:rsidRPr="00571F0B">
        <w:rPr>
          <w:lang w:val="en-GB"/>
        </w:rPr>
        <w:t xml:space="preserve">There is a comprehensive Information Book in regard to all processes and procedures associated with the incentive funding mechanism </w:t>
      </w:r>
      <w:r w:rsidR="00AE497D" w:rsidRPr="00571F0B">
        <w:rPr>
          <w:lang w:val="en-GB"/>
        </w:rPr>
        <w:t>and its implementation</w:t>
      </w:r>
      <w:r w:rsidR="00CB157C">
        <w:rPr>
          <w:lang w:val="en-GB"/>
        </w:rPr>
        <w:t>. I</w:t>
      </w:r>
      <w:r w:rsidRPr="00571F0B">
        <w:rPr>
          <w:lang w:val="en-GB"/>
        </w:rPr>
        <w:t xml:space="preserve">t will be a start-up priority to fully review and update </w:t>
      </w:r>
      <w:r w:rsidR="00E51F04" w:rsidRPr="00571F0B">
        <w:rPr>
          <w:lang w:val="en-GB"/>
        </w:rPr>
        <w:t>the Information Book</w:t>
      </w:r>
      <w:r w:rsidRPr="00571F0B">
        <w:rPr>
          <w:lang w:val="en-GB"/>
        </w:rPr>
        <w:t xml:space="preserve"> in line with the IF (IV) design</w:t>
      </w:r>
      <w:r w:rsidR="00E51F04" w:rsidRPr="00571F0B">
        <w:rPr>
          <w:lang w:val="en-GB"/>
        </w:rPr>
        <w:t>.</w:t>
      </w:r>
    </w:p>
    <w:p w:rsidR="009E1E17" w:rsidRDefault="009E1E17">
      <w:pPr>
        <w:spacing w:before="0" w:after="0"/>
        <w:jc w:val="left"/>
        <w:rPr>
          <w:sz w:val="16"/>
          <w:szCs w:val="16"/>
          <w:lang w:val="en-GB"/>
        </w:rPr>
      </w:pPr>
    </w:p>
    <w:p w:rsidR="00F87042" w:rsidRDefault="00BF3ECF" w:rsidP="00D37833">
      <w:pPr>
        <w:spacing w:before="0" w:after="0"/>
        <w:rPr>
          <w:lang w:val="en-GB"/>
        </w:rPr>
      </w:pPr>
      <w:r w:rsidRPr="00571F0B">
        <w:rPr>
          <w:lang w:val="en-GB"/>
        </w:rPr>
        <w:t>At the design stage</w:t>
      </w:r>
      <w:r w:rsidR="00CB157C">
        <w:rPr>
          <w:lang w:val="en-GB"/>
        </w:rPr>
        <w:t>,</w:t>
      </w:r>
      <w:r w:rsidRPr="00571F0B">
        <w:rPr>
          <w:lang w:val="en-GB"/>
        </w:rPr>
        <w:t xml:space="preserve"> apportionment of funding between health, education </w:t>
      </w:r>
      <w:r w:rsidR="00205423">
        <w:rPr>
          <w:lang w:val="en-GB"/>
        </w:rPr>
        <w:t xml:space="preserve">and other sectors </w:t>
      </w:r>
      <w:r w:rsidRPr="00571F0B">
        <w:rPr>
          <w:lang w:val="en-GB"/>
        </w:rPr>
        <w:t xml:space="preserve">and </w:t>
      </w:r>
      <w:r w:rsidR="00205423">
        <w:rPr>
          <w:lang w:val="en-GB"/>
        </w:rPr>
        <w:t xml:space="preserve">to stimulate </w:t>
      </w:r>
      <w:r w:rsidRPr="00571F0B">
        <w:rPr>
          <w:lang w:val="en-GB"/>
        </w:rPr>
        <w:t xml:space="preserve">economic </w:t>
      </w:r>
      <w:r w:rsidR="00205423" w:rsidRPr="00205423">
        <w:rPr>
          <w:lang w:val="en-GB"/>
        </w:rPr>
        <w:t xml:space="preserve">development </w:t>
      </w:r>
      <w:r w:rsidR="00E51F04" w:rsidRPr="00571F0B">
        <w:rPr>
          <w:lang w:val="en-GB"/>
        </w:rPr>
        <w:t>was not requested</w:t>
      </w:r>
      <w:r w:rsidRPr="00571F0B">
        <w:rPr>
          <w:lang w:val="en-GB"/>
        </w:rPr>
        <w:t xml:space="preserve"> and this will be negotiated at start-up. Gaining consensus on apportionment will require sector analysis to achieve the right balance. Once determined, CPR strategies will need to be designed and implemented, and then the 5 stage application process managed fairly and transparently.</w:t>
      </w:r>
    </w:p>
    <w:p w:rsidR="00D37833" w:rsidRPr="002A41C2" w:rsidRDefault="00D37833" w:rsidP="00D37833">
      <w:pPr>
        <w:spacing w:before="0" w:after="0"/>
        <w:rPr>
          <w:sz w:val="16"/>
          <w:szCs w:val="16"/>
          <w:lang w:val="en-GB"/>
        </w:rPr>
      </w:pPr>
    </w:p>
    <w:p w:rsidR="00724D52" w:rsidRDefault="00AE497D" w:rsidP="00D37833">
      <w:pPr>
        <w:spacing w:before="0" w:after="0"/>
        <w:rPr>
          <w:lang w:val="en-GB"/>
        </w:rPr>
      </w:pPr>
      <w:r w:rsidRPr="00571F0B">
        <w:rPr>
          <w:lang w:val="en-GB"/>
        </w:rPr>
        <w:t xml:space="preserve">The </w:t>
      </w:r>
      <w:r w:rsidR="00724D52" w:rsidRPr="00571F0B">
        <w:rPr>
          <w:lang w:val="en-GB"/>
        </w:rPr>
        <w:t xml:space="preserve">MC will deliver at least two open competitive funding opportunities for eligible and performing organisations to access funding for projects focused on the Purpose. The minimum project funding will be K1 million and it is worth noting than all of the previous 59 IFAs were above this </w:t>
      </w:r>
      <w:r w:rsidR="00E51F04" w:rsidRPr="00571F0B">
        <w:rPr>
          <w:lang w:val="en-GB"/>
        </w:rPr>
        <w:t xml:space="preserve">minimum </w:t>
      </w:r>
      <w:r w:rsidR="00724D52" w:rsidRPr="00571F0B">
        <w:rPr>
          <w:lang w:val="en-GB"/>
        </w:rPr>
        <w:t xml:space="preserve">level. An upper limit of K10 million is proposed and only one previous project has required funding above this </w:t>
      </w:r>
      <w:r w:rsidR="00E51F04" w:rsidRPr="00571F0B">
        <w:rPr>
          <w:lang w:val="en-GB"/>
        </w:rPr>
        <w:t xml:space="preserve">maximum </w:t>
      </w:r>
      <w:r w:rsidR="00724D52" w:rsidRPr="00571F0B">
        <w:rPr>
          <w:lang w:val="en-GB"/>
        </w:rPr>
        <w:t>limit</w:t>
      </w:r>
      <w:r w:rsidR="00E51F04" w:rsidRPr="00571F0B">
        <w:rPr>
          <w:lang w:val="en-GB"/>
        </w:rPr>
        <w:t>. W</w:t>
      </w:r>
      <w:r w:rsidR="00724D52" w:rsidRPr="00571F0B">
        <w:rPr>
          <w:lang w:val="en-GB"/>
        </w:rPr>
        <w:t>ith the agreement of DFAT and the</w:t>
      </w:r>
      <w:r w:rsidR="00EB4CB7">
        <w:rPr>
          <w:lang w:val="en-GB"/>
        </w:rPr>
        <w:t xml:space="preserve"> Management Group (</w:t>
      </w:r>
      <w:r w:rsidR="00724D52" w:rsidRPr="00571F0B">
        <w:rPr>
          <w:lang w:val="en-GB"/>
        </w:rPr>
        <w:t>MG</w:t>
      </w:r>
      <w:r w:rsidR="00EB4CB7">
        <w:rPr>
          <w:lang w:val="en-GB"/>
        </w:rPr>
        <w:t>)</w:t>
      </w:r>
      <w:r w:rsidRPr="00571F0B">
        <w:rPr>
          <w:lang w:val="en-GB"/>
        </w:rPr>
        <w:t>,</w:t>
      </w:r>
      <w:r w:rsidR="00724D52" w:rsidRPr="00571F0B">
        <w:rPr>
          <w:lang w:val="en-GB"/>
        </w:rPr>
        <w:t xml:space="preserve"> a process for approving </w:t>
      </w:r>
      <w:r w:rsidRPr="00571F0B">
        <w:rPr>
          <w:lang w:val="en-GB"/>
        </w:rPr>
        <w:t>exceptional</w:t>
      </w:r>
      <w:r w:rsidR="00724D52" w:rsidRPr="00571F0B">
        <w:rPr>
          <w:lang w:val="en-GB"/>
        </w:rPr>
        <w:t xml:space="preserve"> funding levels above t</w:t>
      </w:r>
      <w:r w:rsidR="002A41C2">
        <w:rPr>
          <w:lang w:val="en-GB"/>
        </w:rPr>
        <w:t>hese limits can be established.</w:t>
      </w:r>
    </w:p>
    <w:p w:rsidR="002A41C2" w:rsidRPr="002A41C2" w:rsidRDefault="002A41C2" w:rsidP="00D37833">
      <w:pPr>
        <w:spacing w:before="0" w:after="0"/>
        <w:rPr>
          <w:sz w:val="16"/>
          <w:szCs w:val="16"/>
          <w:lang w:val="en-GB"/>
        </w:rPr>
      </w:pPr>
    </w:p>
    <w:p w:rsidR="00EA6D8D" w:rsidRDefault="00EA6D8D" w:rsidP="00D37833">
      <w:pPr>
        <w:spacing w:before="0" w:after="0"/>
        <w:rPr>
          <w:lang w:val="en-GB"/>
        </w:rPr>
      </w:pPr>
      <w:r w:rsidRPr="00571F0B">
        <w:rPr>
          <w:lang w:val="en-GB"/>
        </w:rPr>
        <w:t xml:space="preserve">The IF (IV) will be a ‘restricted’ access large grant mechanism fund within the wide DFAT portfolio of programs, mechanisms, facilities and activities. It is restricted in the sense that entry criteria will be rigorously assessed and the barrier to entry set deliberately high. IF (IV) will only support effective organisations who </w:t>
      </w:r>
      <w:r w:rsidR="009A6CC1">
        <w:rPr>
          <w:lang w:val="en-GB"/>
        </w:rPr>
        <w:t>demonstrate they are good performers</w:t>
      </w:r>
      <w:r w:rsidRPr="00571F0B">
        <w:rPr>
          <w:lang w:val="en-GB"/>
        </w:rPr>
        <w:t xml:space="preserve">. </w:t>
      </w:r>
      <w:proofErr w:type="gramStart"/>
      <w:r w:rsidR="009A6CC1">
        <w:rPr>
          <w:lang w:val="en-GB"/>
        </w:rPr>
        <w:t xml:space="preserve">IF (IV) must adopt a </w:t>
      </w:r>
      <w:r w:rsidR="009A6CC1" w:rsidRPr="009A6CC1">
        <w:rPr>
          <w:lang w:val="en-GB"/>
        </w:rPr>
        <w:t>strict n</w:t>
      </w:r>
      <w:r w:rsidRPr="009A6CC1">
        <w:rPr>
          <w:lang w:val="en-GB"/>
        </w:rPr>
        <w:t>o exceptions</w:t>
      </w:r>
      <w:r w:rsidR="009A6CC1">
        <w:rPr>
          <w:lang w:val="en-GB"/>
        </w:rPr>
        <w:t xml:space="preserve"> policy to ensure that only organisations who identify as good performers are supported to protect the delivery of the end-of-program pos</w:t>
      </w:r>
      <w:r w:rsidR="00CB157C">
        <w:rPr>
          <w:lang w:val="en-GB"/>
        </w:rPr>
        <w:t xml:space="preserve">ition and the integrity of </w:t>
      </w:r>
      <w:r w:rsidR="007D1FE0">
        <w:rPr>
          <w:lang w:val="en-GB"/>
        </w:rPr>
        <w:t>IF (IV)</w:t>
      </w:r>
      <w:r w:rsidR="009E1E17">
        <w:rPr>
          <w:lang w:val="en-GB"/>
        </w:rPr>
        <w:t>.</w:t>
      </w:r>
      <w:proofErr w:type="gramEnd"/>
    </w:p>
    <w:p w:rsidR="002A41C2" w:rsidRPr="002A41C2" w:rsidRDefault="002A41C2" w:rsidP="00D37833">
      <w:pPr>
        <w:spacing w:before="0" w:after="0"/>
        <w:rPr>
          <w:sz w:val="16"/>
          <w:szCs w:val="16"/>
          <w:lang w:val="en-GB"/>
        </w:rPr>
      </w:pPr>
    </w:p>
    <w:p w:rsidR="00EA6D8D" w:rsidRDefault="00AE497D" w:rsidP="00D37833">
      <w:pPr>
        <w:spacing w:before="0" w:after="0"/>
        <w:rPr>
          <w:lang w:val="en-GB"/>
        </w:rPr>
      </w:pPr>
      <w:r w:rsidRPr="00571F0B">
        <w:rPr>
          <w:lang w:val="en-GB"/>
        </w:rPr>
        <w:t>The n</w:t>
      </w:r>
      <w:r w:rsidR="00EA6D8D" w:rsidRPr="00571F0B">
        <w:rPr>
          <w:lang w:val="en-GB"/>
        </w:rPr>
        <w:t xml:space="preserve">o exceptions policy </w:t>
      </w:r>
      <w:r w:rsidRPr="00571F0B">
        <w:rPr>
          <w:lang w:val="en-GB"/>
        </w:rPr>
        <w:t xml:space="preserve">is important because it will </w:t>
      </w:r>
      <w:r w:rsidR="00EA6D8D" w:rsidRPr="00571F0B">
        <w:rPr>
          <w:lang w:val="en-GB"/>
        </w:rPr>
        <w:t xml:space="preserve">protect the integrity and brand of </w:t>
      </w:r>
      <w:r w:rsidR="00F32C27" w:rsidRPr="00F32C27">
        <w:rPr>
          <w:lang w:val="en-GB"/>
        </w:rPr>
        <w:t>IF (IV)</w:t>
      </w:r>
      <w:r w:rsidR="00EA6D8D" w:rsidRPr="00571F0B">
        <w:rPr>
          <w:lang w:val="en-GB"/>
        </w:rPr>
        <w:t>. Any leniency and relax</w:t>
      </w:r>
      <w:r w:rsidRPr="00571F0B">
        <w:rPr>
          <w:lang w:val="en-GB"/>
        </w:rPr>
        <w:t xml:space="preserve">ation </w:t>
      </w:r>
      <w:r w:rsidR="00EA6D8D" w:rsidRPr="00571F0B">
        <w:rPr>
          <w:lang w:val="en-GB"/>
        </w:rPr>
        <w:t>of the standards to allow low performing organisations to access support, even if they do have a good concept paper, is contradictory to the intent of the fund. Conversely, incentivising organisations to improve their performance and ‘raise their game’ so they can access incentive funding is entirely encouraged. Put bluntly</w:t>
      </w:r>
      <w:r w:rsidR="00F32C27">
        <w:rPr>
          <w:lang w:val="en-GB"/>
        </w:rPr>
        <w:t>,</w:t>
      </w:r>
      <w:r w:rsidR="00EA6D8D" w:rsidRPr="00571F0B">
        <w:rPr>
          <w:lang w:val="en-GB"/>
        </w:rPr>
        <w:t xml:space="preserve"> </w:t>
      </w:r>
      <w:r w:rsidR="00F32C27" w:rsidRPr="00F32C27">
        <w:rPr>
          <w:lang w:val="en-GB"/>
        </w:rPr>
        <w:t xml:space="preserve">IF (IV) </w:t>
      </w:r>
      <w:r w:rsidR="00EA6D8D" w:rsidRPr="00571F0B">
        <w:rPr>
          <w:lang w:val="en-GB"/>
        </w:rPr>
        <w:t>is not a convenient ‘cat</w:t>
      </w:r>
      <w:r w:rsidR="002A41C2">
        <w:rPr>
          <w:lang w:val="en-GB"/>
        </w:rPr>
        <w:t>ch-all’ funding mechanism.</w:t>
      </w:r>
    </w:p>
    <w:p w:rsidR="007F0723" w:rsidRDefault="007F0723" w:rsidP="007F0723">
      <w:pPr>
        <w:pStyle w:val="BodyText"/>
        <w:spacing w:before="0" w:after="0"/>
        <w:rPr>
          <w:szCs w:val="24"/>
          <w:lang w:val="en-GB"/>
        </w:rPr>
      </w:pPr>
    </w:p>
    <w:p w:rsidR="007F0723" w:rsidRDefault="007F0723" w:rsidP="00BE7C9E">
      <w:pPr>
        <w:pStyle w:val="Heading3"/>
        <w:rPr>
          <w:lang w:val="en-GB"/>
        </w:rPr>
      </w:pPr>
      <w:r>
        <w:rPr>
          <w:lang w:val="en-GB"/>
        </w:rPr>
        <w:t>Strategic use of the concept paper requests</w:t>
      </w:r>
    </w:p>
    <w:p w:rsidR="007F0723" w:rsidRDefault="007F0723" w:rsidP="007F0723">
      <w:pPr>
        <w:pStyle w:val="BodyText"/>
        <w:spacing w:before="0" w:after="0"/>
        <w:rPr>
          <w:szCs w:val="24"/>
          <w:lang w:val="en-GB"/>
        </w:rPr>
      </w:pPr>
      <w:r>
        <w:rPr>
          <w:szCs w:val="24"/>
          <w:lang w:val="en-GB"/>
        </w:rPr>
        <w:t xml:space="preserve">From the implementation of Phase III there is </w:t>
      </w:r>
      <w:r w:rsidR="00CB157C">
        <w:rPr>
          <w:szCs w:val="24"/>
          <w:lang w:val="en-GB"/>
        </w:rPr>
        <w:t xml:space="preserve">a </w:t>
      </w:r>
      <w:r>
        <w:rPr>
          <w:szCs w:val="24"/>
          <w:lang w:val="en-GB"/>
        </w:rPr>
        <w:t xml:space="preserve">good understanding </w:t>
      </w:r>
      <w:r w:rsidR="00CB157C">
        <w:rPr>
          <w:szCs w:val="24"/>
          <w:lang w:val="en-GB"/>
        </w:rPr>
        <w:t xml:space="preserve">of </w:t>
      </w:r>
      <w:r>
        <w:rPr>
          <w:szCs w:val="24"/>
          <w:lang w:val="en-GB"/>
        </w:rPr>
        <w:t xml:space="preserve">how to support the health and education sectors. IF (IV) will continue to be a </w:t>
      </w:r>
      <w:r w:rsidRPr="00571F0B">
        <w:rPr>
          <w:szCs w:val="24"/>
          <w:lang w:val="en-GB"/>
        </w:rPr>
        <w:t xml:space="preserve">mechanism to reward performing organisations </w:t>
      </w:r>
      <w:r>
        <w:rPr>
          <w:szCs w:val="24"/>
          <w:lang w:val="en-GB"/>
        </w:rPr>
        <w:t>within these two sector</w:t>
      </w:r>
      <w:r w:rsidR="000723DD">
        <w:rPr>
          <w:szCs w:val="24"/>
          <w:lang w:val="en-GB"/>
        </w:rPr>
        <w:t>s</w:t>
      </w:r>
      <w:r w:rsidR="00B06B23">
        <w:rPr>
          <w:szCs w:val="24"/>
          <w:lang w:val="en-GB"/>
        </w:rPr>
        <w:t>, and other sectors,</w:t>
      </w:r>
      <w:r>
        <w:rPr>
          <w:szCs w:val="24"/>
          <w:lang w:val="en-GB"/>
        </w:rPr>
        <w:t xml:space="preserve"> </w:t>
      </w:r>
      <w:r w:rsidR="00CB157C">
        <w:rPr>
          <w:szCs w:val="24"/>
          <w:lang w:val="en-GB"/>
        </w:rPr>
        <w:t xml:space="preserve">in order </w:t>
      </w:r>
      <w:r>
        <w:rPr>
          <w:szCs w:val="24"/>
          <w:lang w:val="en-GB"/>
        </w:rPr>
        <w:t xml:space="preserve">to </w:t>
      </w:r>
      <w:r w:rsidRPr="00571F0B">
        <w:rPr>
          <w:szCs w:val="24"/>
          <w:lang w:val="en-GB"/>
        </w:rPr>
        <w:t xml:space="preserve">support </w:t>
      </w:r>
      <w:r w:rsidR="00CB157C">
        <w:rPr>
          <w:szCs w:val="24"/>
          <w:lang w:val="en-GB"/>
        </w:rPr>
        <w:t xml:space="preserve">further </w:t>
      </w:r>
      <w:r w:rsidRPr="00571F0B">
        <w:rPr>
          <w:szCs w:val="24"/>
          <w:lang w:val="en-GB"/>
        </w:rPr>
        <w:t>expan</w:t>
      </w:r>
      <w:r>
        <w:rPr>
          <w:szCs w:val="24"/>
          <w:lang w:val="en-GB"/>
        </w:rPr>
        <w:t xml:space="preserve">sion </w:t>
      </w:r>
      <w:r w:rsidR="000723DD">
        <w:rPr>
          <w:szCs w:val="24"/>
          <w:lang w:val="en-GB"/>
        </w:rPr>
        <w:t>of good performers</w:t>
      </w:r>
      <w:r>
        <w:rPr>
          <w:szCs w:val="24"/>
          <w:lang w:val="en-GB"/>
        </w:rPr>
        <w:t xml:space="preserve">. However, in </w:t>
      </w:r>
      <w:r w:rsidR="00205423">
        <w:rPr>
          <w:szCs w:val="24"/>
          <w:lang w:val="en-GB"/>
        </w:rPr>
        <w:t xml:space="preserve">regard to stimulating </w:t>
      </w:r>
      <w:r>
        <w:rPr>
          <w:szCs w:val="24"/>
          <w:lang w:val="en-GB"/>
        </w:rPr>
        <w:t xml:space="preserve">economic </w:t>
      </w:r>
      <w:r w:rsidR="00205423" w:rsidRPr="00205423">
        <w:rPr>
          <w:szCs w:val="24"/>
          <w:lang w:val="en-GB"/>
        </w:rPr>
        <w:t>development</w:t>
      </w:r>
      <w:r>
        <w:rPr>
          <w:szCs w:val="24"/>
          <w:lang w:val="en-GB"/>
        </w:rPr>
        <w:t xml:space="preserve"> there is a need to adapt </w:t>
      </w:r>
      <w:r w:rsidR="004E4A44">
        <w:rPr>
          <w:szCs w:val="24"/>
          <w:lang w:val="en-GB"/>
        </w:rPr>
        <w:t xml:space="preserve">the incentives </w:t>
      </w:r>
      <w:r>
        <w:rPr>
          <w:szCs w:val="24"/>
          <w:lang w:val="en-GB"/>
        </w:rPr>
        <w:t xml:space="preserve">to attract greater private sector interest </w:t>
      </w:r>
      <w:r w:rsidR="004E4A44">
        <w:rPr>
          <w:szCs w:val="24"/>
          <w:lang w:val="en-GB"/>
        </w:rPr>
        <w:t>in</w:t>
      </w:r>
      <w:r>
        <w:rPr>
          <w:szCs w:val="24"/>
          <w:lang w:val="en-GB"/>
        </w:rPr>
        <w:t xml:space="preserve"> participati</w:t>
      </w:r>
      <w:r w:rsidR="004E4A44">
        <w:rPr>
          <w:szCs w:val="24"/>
          <w:lang w:val="en-GB"/>
        </w:rPr>
        <w:t>ng</w:t>
      </w:r>
      <w:r>
        <w:rPr>
          <w:szCs w:val="24"/>
          <w:lang w:val="en-GB"/>
        </w:rPr>
        <w:t xml:space="preserve"> in </w:t>
      </w:r>
      <w:r w:rsidR="00B06B23">
        <w:rPr>
          <w:szCs w:val="24"/>
          <w:lang w:val="en-GB"/>
        </w:rPr>
        <w:t>IF (IV), and more generally within the Australian aid program</w:t>
      </w:r>
      <w:r>
        <w:rPr>
          <w:szCs w:val="24"/>
          <w:lang w:val="en-GB"/>
        </w:rPr>
        <w:t xml:space="preserve">. With this adaption in mind this design </w:t>
      </w:r>
      <w:r>
        <w:rPr>
          <w:szCs w:val="24"/>
          <w:lang w:val="en-GB"/>
        </w:rPr>
        <w:lastRenderedPageBreak/>
        <w:t>places a</w:t>
      </w:r>
      <w:r w:rsidR="00B06B23">
        <w:rPr>
          <w:szCs w:val="24"/>
          <w:lang w:val="en-GB"/>
        </w:rPr>
        <w:t xml:space="preserve">n </w:t>
      </w:r>
      <w:r>
        <w:rPr>
          <w:szCs w:val="24"/>
          <w:lang w:val="en-GB"/>
        </w:rPr>
        <w:t>emphasis on the CPR process to allow greater flexibility to excite demand. The function and form of this demand will need to be fully identified during IF (IV) implementation through the strategic and annual p</w:t>
      </w:r>
      <w:r w:rsidR="00B06B23">
        <w:rPr>
          <w:szCs w:val="24"/>
          <w:lang w:val="en-GB"/>
        </w:rPr>
        <w:t>lanning processes.</w:t>
      </w:r>
    </w:p>
    <w:p w:rsidR="007F0723" w:rsidRPr="009E1E17" w:rsidRDefault="007F0723" w:rsidP="009A6CC1">
      <w:pPr>
        <w:spacing w:before="0" w:after="0"/>
        <w:rPr>
          <w:sz w:val="16"/>
          <w:szCs w:val="16"/>
          <w:lang w:val="en-GB"/>
        </w:rPr>
      </w:pPr>
    </w:p>
    <w:p w:rsidR="002A41C2" w:rsidRDefault="00EA6D8D" w:rsidP="009A6CC1">
      <w:pPr>
        <w:spacing w:before="0" w:after="0"/>
        <w:rPr>
          <w:lang w:val="en-GB"/>
        </w:rPr>
      </w:pPr>
      <w:proofErr w:type="gramStart"/>
      <w:r w:rsidRPr="00571F0B">
        <w:rPr>
          <w:lang w:val="en-GB"/>
        </w:rPr>
        <w:t xml:space="preserve">IF (IV) must </w:t>
      </w:r>
      <w:r w:rsidR="000723DD">
        <w:rPr>
          <w:lang w:val="en-GB"/>
        </w:rPr>
        <w:t xml:space="preserve">utilise the principle of flexibility </w:t>
      </w:r>
      <w:r w:rsidRPr="00571F0B">
        <w:rPr>
          <w:lang w:val="en-GB"/>
        </w:rPr>
        <w:t xml:space="preserve">to </w:t>
      </w:r>
      <w:r w:rsidR="00F93853" w:rsidRPr="00571F0B">
        <w:rPr>
          <w:lang w:val="en-GB"/>
        </w:rPr>
        <w:t>attract</w:t>
      </w:r>
      <w:r w:rsidRPr="00571F0B">
        <w:rPr>
          <w:lang w:val="en-GB"/>
        </w:rPr>
        <w:t xml:space="preserve"> the full range of eligible organisations </w:t>
      </w:r>
      <w:r w:rsidR="00F93853" w:rsidRPr="00571F0B">
        <w:rPr>
          <w:lang w:val="en-GB"/>
        </w:rPr>
        <w:t>and</w:t>
      </w:r>
      <w:r w:rsidRPr="00571F0B">
        <w:rPr>
          <w:lang w:val="en-GB"/>
        </w:rPr>
        <w:t xml:space="preserve"> strategically target demand from organisations</w:t>
      </w:r>
      <w:r w:rsidR="00B06B23">
        <w:rPr>
          <w:lang w:val="en-GB"/>
        </w:rPr>
        <w:t xml:space="preserve"> and companies</w:t>
      </w:r>
      <w:r w:rsidRPr="00571F0B">
        <w:rPr>
          <w:lang w:val="en-GB"/>
        </w:rPr>
        <w:t>.</w:t>
      </w:r>
      <w:proofErr w:type="gramEnd"/>
      <w:r w:rsidRPr="00571F0B">
        <w:rPr>
          <w:lang w:val="en-GB"/>
        </w:rPr>
        <w:t xml:space="preserve"> </w:t>
      </w:r>
      <w:r w:rsidR="00AE497D" w:rsidRPr="00571F0B">
        <w:rPr>
          <w:lang w:val="en-GB"/>
        </w:rPr>
        <w:t xml:space="preserve">This includes </w:t>
      </w:r>
      <w:r w:rsidR="000723DD">
        <w:rPr>
          <w:lang w:val="en-GB"/>
        </w:rPr>
        <w:t xml:space="preserve">targeting demand from </w:t>
      </w:r>
      <w:r w:rsidR="00AE497D" w:rsidRPr="00571F0B">
        <w:rPr>
          <w:lang w:val="en-GB"/>
        </w:rPr>
        <w:t>new partners, and especially private sector partner</w:t>
      </w:r>
      <w:r w:rsidR="00076192" w:rsidRPr="00571F0B">
        <w:rPr>
          <w:lang w:val="en-GB"/>
        </w:rPr>
        <w:t>s</w:t>
      </w:r>
      <w:r w:rsidR="00AE497D" w:rsidRPr="00571F0B">
        <w:rPr>
          <w:lang w:val="en-GB"/>
        </w:rPr>
        <w:t xml:space="preserve">. </w:t>
      </w:r>
      <w:r w:rsidR="000723DD">
        <w:rPr>
          <w:lang w:val="en-GB"/>
        </w:rPr>
        <w:t>W</w:t>
      </w:r>
      <w:r w:rsidR="00AE497D" w:rsidRPr="00571F0B">
        <w:rPr>
          <w:lang w:val="en-GB"/>
        </w:rPr>
        <w:t>hich</w:t>
      </w:r>
      <w:r w:rsidRPr="00571F0B">
        <w:rPr>
          <w:lang w:val="en-GB"/>
        </w:rPr>
        <w:t xml:space="preserve"> communication and awareness mechanism should be used to advertise for CPRs</w:t>
      </w:r>
      <w:r w:rsidR="000723DD">
        <w:rPr>
          <w:lang w:val="en-GB"/>
        </w:rPr>
        <w:t xml:space="preserve"> and attract attention from the targeted partners is a</w:t>
      </w:r>
      <w:r w:rsidR="00AE497D" w:rsidRPr="00571F0B">
        <w:rPr>
          <w:lang w:val="en-GB"/>
        </w:rPr>
        <w:t xml:space="preserve"> key </w:t>
      </w:r>
      <w:r w:rsidRPr="00571F0B">
        <w:rPr>
          <w:lang w:val="en-GB"/>
        </w:rPr>
        <w:t>strategic conside</w:t>
      </w:r>
      <w:r w:rsidR="00AE497D" w:rsidRPr="00571F0B">
        <w:rPr>
          <w:lang w:val="en-GB"/>
        </w:rPr>
        <w:t xml:space="preserve">ration. The </w:t>
      </w:r>
      <w:r w:rsidRPr="00571F0B">
        <w:rPr>
          <w:lang w:val="en-GB"/>
        </w:rPr>
        <w:t>previous phases successful</w:t>
      </w:r>
      <w:r w:rsidR="004E4A44">
        <w:rPr>
          <w:lang w:val="en-GB"/>
        </w:rPr>
        <w:t>ly</w:t>
      </w:r>
      <w:r w:rsidRPr="00571F0B">
        <w:rPr>
          <w:lang w:val="en-GB"/>
        </w:rPr>
        <w:t xml:space="preserve"> utilised several mechanisms</w:t>
      </w:r>
      <w:r w:rsidR="004E4A44">
        <w:rPr>
          <w:lang w:val="en-GB"/>
        </w:rPr>
        <w:t>,</w:t>
      </w:r>
      <w:r w:rsidRPr="00571F0B">
        <w:rPr>
          <w:lang w:val="en-GB"/>
        </w:rPr>
        <w:t xml:space="preserve"> including regional stakeholder workshops, the media and restricted applications from referrals by other sectors.</w:t>
      </w:r>
    </w:p>
    <w:p w:rsidR="007F0723" w:rsidRDefault="007F0723" w:rsidP="009A6CC1">
      <w:pPr>
        <w:spacing w:before="0" w:after="0"/>
        <w:rPr>
          <w:lang w:val="en-GB"/>
        </w:rPr>
      </w:pPr>
    </w:p>
    <w:p w:rsidR="00EA6D8D" w:rsidRPr="00571F0B" w:rsidRDefault="00EA6D8D" w:rsidP="00D37833">
      <w:pPr>
        <w:spacing w:before="0" w:after="0"/>
        <w:rPr>
          <w:lang w:val="en-GB"/>
        </w:rPr>
      </w:pPr>
      <w:r w:rsidRPr="00571F0B">
        <w:rPr>
          <w:lang w:val="en-GB"/>
        </w:rPr>
        <w:t xml:space="preserve">To ensure sufficient flexibility, and mindful that private sector engagement may require a more </w:t>
      </w:r>
      <w:r w:rsidR="00F93853" w:rsidRPr="00571F0B">
        <w:rPr>
          <w:lang w:val="en-GB"/>
        </w:rPr>
        <w:t>direct</w:t>
      </w:r>
      <w:r w:rsidR="00AE497D" w:rsidRPr="00571F0B">
        <w:rPr>
          <w:lang w:val="en-GB"/>
        </w:rPr>
        <w:t xml:space="preserve"> and </w:t>
      </w:r>
      <w:r w:rsidRPr="00571F0B">
        <w:rPr>
          <w:lang w:val="en-GB"/>
        </w:rPr>
        <w:t xml:space="preserve">dedicated approach, </w:t>
      </w:r>
      <w:r w:rsidR="000723DD">
        <w:rPr>
          <w:lang w:val="en-GB"/>
        </w:rPr>
        <w:t xml:space="preserve">IF (IV) should expand </w:t>
      </w:r>
      <w:r w:rsidRPr="00571F0B">
        <w:rPr>
          <w:lang w:val="en-GB"/>
        </w:rPr>
        <w:t xml:space="preserve">CPR mechanisms </w:t>
      </w:r>
      <w:r w:rsidR="000723DD">
        <w:rPr>
          <w:lang w:val="en-GB"/>
        </w:rPr>
        <w:t>to</w:t>
      </w:r>
      <w:r w:rsidRPr="00571F0B">
        <w:rPr>
          <w:lang w:val="en-GB"/>
        </w:rPr>
        <w:t xml:space="preserve"> include, but not be limit</w:t>
      </w:r>
      <w:r w:rsidR="002A41C2">
        <w:rPr>
          <w:lang w:val="en-GB"/>
        </w:rPr>
        <w:t>ed by, the following:</w:t>
      </w:r>
    </w:p>
    <w:p w:rsidR="00EA6D8D" w:rsidRPr="00571F0B" w:rsidRDefault="00B06B23" w:rsidP="00A82AAB">
      <w:pPr>
        <w:numPr>
          <w:ilvl w:val="0"/>
          <w:numId w:val="29"/>
        </w:numPr>
        <w:spacing w:before="0" w:after="0"/>
        <w:ind w:left="284" w:hanging="284"/>
        <w:rPr>
          <w:lang w:val="en-GB"/>
        </w:rPr>
      </w:pPr>
      <w:r w:rsidRPr="00B06B23">
        <w:rPr>
          <w:lang w:val="en-GB"/>
        </w:rPr>
        <w:t xml:space="preserve">IF (IV) </w:t>
      </w:r>
      <w:r w:rsidR="00EA6D8D" w:rsidRPr="00571F0B">
        <w:rPr>
          <w:lang w:val="en-GB"/>
        </w:rPr>
        <w:t>should manage at least two open and competitive funding rounds. It is envisaged that these would be in early 2015 and early 2017. The public diplomacy intent should be to significantly raise the A</w:t>
      </w:r>
      <w:r w:rsidR="004E4A44">
        <w:rPr>
          <w:lang w:val="en-GB"/>
        </w:rPr>
        <w:t xml:space="preserve">ustralian Aid profile </w:t>
      </w:r>
      <w:r>
        <w:rPr>
          <w:lang w:val="en-GB"/>
        </w:rPr>
        <w:t>amongst targeted organisations and companies</w:t>
      </w:r>
      <w:r w:rsidR="004E4A44">
        <w:rPr>
          <w:lang w:val="en-GB"/>
        </w:rPr>
        <w:t>.  W</w:t>
      </w:r>
      <w:r w:rsidR="00EA6D8D" w:rsidRPr="00571F0B">
        <w:rPr>
          <w:lang w:val="en-GB"/>
        </w:rPr>
        <w:t xml:space="preserve">hen </w:t>
      </w:r>
      <w:r w:rsidR="004E4A44">
        <w:rPr>
          <w:lang w:val="en-GB"/>
        </w:rPr>
        <w:t xml:space="preserve">and how the competitive funding rounds should be conducted should be determined </w:t>
      </w:r>
      <w:r w:rsidR="00EA6D8D" w:rsidRPr="00571F0B">
        <w:rPr>
          <w:lang w:val="en-GB"/>
        </w:rPr>
        <w:t xml:space="preserve">through the </w:t>
      </w:r>
      <w:r>
        <w:rPr>
          <w:lang w:val="en-GB"/>
        </w:rPr>
        <w:t>Delivery Strategy, the</w:t>
      </w:r>
      <w:r w:rsidR="00EA6D8D" w:rsidRPr="00571F0B">
        <w:rPr>
          <w:lang w:val="en-GB"/>
        </w:rPr>
        <w:t xml:space="preserve"> </w:t>
      </w:r>
      <w:r>
        <w:rPr>
          <w:lang w:val="en-GB"/>
        </w:rPr>
        <w:t>A</w:t>
      </w:r>
      <w:r w:rsidR="00EA6D8D" w:rsidRPr="00571F0B">
        <w:rPr>
          <w:lang w:val="en-GB"/>
        </w:rPr>
        <w:t>nnua</w:t>
      </w:r>
      <w:r w:rsidR="002A41C2">
        <w:rPr>
          <w:lang w:val="en-GB"/>
        </w:rPr>
        <w:t xml:space="preserve">l </w:t>
      </w:r>
      <w:r>
        <w:rPr>
          <w:lang w:val="en-GB"/>
        </w:rPr>
        <w:t>Plan and the C</w:t>
      </w:r>
      <w:r w:rsidR="002A41C2">
        <w:rPr>
          <w:lang w:val="en-GB"/>
        </w:rPr>
        <w:t>o</w:t>
      </w:r>
      <w:r>
        <w:rPr>
          <w:lang w:val="en-GB"/>
        </w:rPr>
        <w:t>mmunications P</w:t>
      </w:r>
      <w:r w:rsidR="002A41C2">
        <w:rPr>
          <w:lang w:val="en-GB"/>
        </w:rPr>
        <w:t>lan.</w:t>
      </w:r>
    </w:p>
    <w:p w:rsidR="00EA6D8D" w:rsidRPr="00571F0B" w:rsidRDefault="004E4A44" w:rsidP="00A82AAB">
      <w:pPr>
        <w:numPr>
          <w:ilvl w:val="0"/>
          <w:numId w:val="29"/>
        </w:numPr>
        <w:spacing w:before="0" w:after="0"/>
        <w:ind w:left="284" w:hanging="284"/>
        <w:rPr>
          <w:lang w:val="en-GB"/>
        </w:rPr>
      </w:pPr>
      <w:r>
        <w:rPr>
          <w:lang w:val="en-GB"/>
        </w:rPr>
        <w:t xml:space="preserve">The </w:t>
      </w:r>
      <w:r w:rsidR="00B06B23" w:rsidRPr="00B06B23">
        <w:rPr>
          <w:lang w:val="en-GB"/>
        </w:rPr>
        <w:t xml:space="preserve">IF (IV) </w:t>
      </w:r>
      <w:r w:rsidR="00EA6D8D" w:rsidRPr="00571F0B">
        <w:rPr>
          <w:lang w:val="en-GB"/>
        </w:rPr>
        <w:t xml:space="preserve">team and DFAT can establish strategically targeted restricted funding rounds </w:t>
      </w:r>
      <w:r w:rsidR="00EA6D8D" w:rsidRPr="00571F0B">
        <w:rPr>
          <w:i/>
          <w:lang w:val="en-GB"/>
        </w:rPr>
        <w:t>e.g.</w:t>
      </w:r>
      <w:r w:rsidR="00EA6D8D" w:rsidRPr="00571F0B">
        <w:rPr>
          <w:lang w:val="en-GB"/>
        </w:rPr>
        <w:t xml:space="preserve"> to incentivise and reward quality assurance compliance from tertiary education institutions or attract private sector enga</w:t>
      </w:r>
      <w:r w:rsidR="00A376C5">
        <w:rPr>
          <w:lang w:val="en-GB"/>
        </w:rPr>
        <w:t>gement in specific sectors and d</w:t>
      </w:r>
      <w:r w:rsidR="00EA6D8D" w:rsidRPr="00571F0B">
        <w:rPr>
          <w:lang w:val="en-GB"/>
        </w:rPr>
        <w:t>istricts.</w:t>
      </w:r>
    </w:p>
    <w:p w:rsidR="00EA6D8D" w:rsidRPr="00571F0B" w:rsidRDefault="00EA6D8D" w:rsidP="00A82AAB">
      <w:pPr>
        <w:numPr>
          <w:ilvl w:val="0"/>
          <w:numId w:val="29"/>
        </w:numPr>
        <w:spacing w:before="0" w:after="0"/>
        <w:ind w:left="284" w:hanging="284"/>
        <w:rPr>
          <w:lang w:val="en-GB"/>
        </w:rPr>
      </w:pPr>
      <w:r w:rsidRPr="00571F0B">
        <w:rPr>
          <w:lang w:val="en-GB"/>
        </w:rPr>
        <w:t xml:space="preserve">DFAT can refer effective partners directly to </w:t>
      </w:r>
      <w:r w:rsidR="00B06B23" w:rsidRPr="00B06B23">
        <w:rPr>
          <w:lang w:val="en-GB"/>
        </w:rPr>
        <w:t xml:space="preserve">IF (IV) </w:t>
      </w:r>
      <w:r w:rsidR="00A376C5">
        <w:rPr>
          <w:lang w:val="en-GB"/>
        </w:rPr>
        <w:t xml:space="preserve">to </w:t>
      </w:r>
      <w:r w:rsidRPr="00571F0B">
        <w:rPr>
          <w:lang w:val="en-GB"/>
        </w:rPr>
        <w:t>incentivise and reward good performance. This will encourage greater linkage and enga</w:t>
      </w:r>
      <w:r w:rsidR="00A376C5">
        <w:rPr>
          <w:lang w:val="en-GB"/>
        </w:rPr>
        <w:t xml:space="preserve">gement between sectors and the </w:t>
      </w:r>
      <w:r w:rsidR="00B06B23" w:rsidRPr="00B06B23">
        <w:rPr>
          <w:lang w:val="en-GB"/>
        </w:rPr>
        <w:t xml:space="preserve">IF (IV) </w:t>
      </w:r>
      <w:r w:rsidRPr="00571F0B">
        <w:rPr>
          <w:lang w:val="en-GB"/>
        </w:rPr>
        <w:t>team. However, it should be noted that all referred partners must satisfy the strict funding compliance and accoun</w:t>
      </w:r>
      <w:r w:rsidR="002A41C2">
        <w:rPr>
          <w:lang w:val="en-GB"/>
        </w:rPr>
        <w:t>tability checks. No exceptions.</w:t>
      </w:r>
    </w:p>
    <w:p w:rsidR="002A41C2" w:rsidRPr="002A41C2" w:rsidRDefault="002A41C2" w:rsidP="00D37833">
      <w:pPr>
        <w:spacing w:before="0" w:after="0"/>
        <w:rPr>
          <w:sz w:val="16"/>
          <w:szCs w:val="16"/>
          <w:lang w:val="en-GB"/>
        </w:rPr>
      </w:pPr>
    </w:p>
    <w:p w:rsidR="00EA6D8D" w:rsidRDefault="00EA6D8D" w:rsidP="00D37833">
      <w:pPr>
        <w:spacing w:before="0" w:after="0"/>
        <w:rPr>
          <w:lang w:val="en-GB"/>
        </w:rPr>
      </w:pPr>
      <w:r w:rsidRPr="00571F0B">
        <w:rPr>
          <w:lang w:val="en-GB"/>
        </w:rPr>
        <w:t>Ultimately the strategic function</w:t>
      </w:r>
      <w:r w:rsidR="00F93853" w:rsidRPr="00571F0B">
        <w:rPr>
          <w:lang w:val="en-GB"/>
        </w:rPr>
        <w:t xml:space="preserve">, </w:t>
      </w:r>
      <w:r w:rsidRPr="00571F0B">
        <w:rPr>
          <w:lang w:val="en-GB"/>
        </w:rPr>
        <w:t xml:space="preserve">mechanism applied and </w:t>
      </w:r>
      <w:r w:rsidR="00F93853" w:rsidRPr="00571F0B">
        <w:rPr>
          <w:lang w:val="en-GB"/>
        </w:rPr>
        <w:t xml:space="preserve">the </w:t>
      </w:r>
      <w:r w:rsidRPr="00571F0B">
        <w:rPr>
          <w:lang w:val="en-GB"/>
        </w:rPr>
        <w:t xml:space="preserve">timing of CPRs is a </w:t>
      </w:r>
      <w:r w:rsidR="007F0723">
        <w:rPr>
          <w:lang w:val="en-GB"/>
        </w:rPr>
        <w:t xml:space="preserve">critical </w:t>
      </w:r>
      <w:r w:rsidRPr="00571F0B">
        <w:rPr>
          <w:lang w:val="en-GB"/>
        </w:rPr>
        <w:t>program strategy and</w:t>
      </w:r>
      <w:r w:rsidR="002A41C2">
        <w:rPr>
          <w:lang w:val="en-GB"/>
        </w:rPr>
        <w:t xml:space="preserve"> annual planning consideration.</w:t>
      </w:r>
    </w:p>
    <w:p w:rsidR="002A41C2" w:rsidRPr="002A41C2" w:rsidRDefault="002A41C2" w:rsidP="00D37833">
      <w:pPr>
        <w:spacing w:before="0" w:after="0"/>
        <w:rPr>
          <w:sz w:val="16"/>
          <w:szCs w:val="16"/>
          <w:lang w:val="en-GB"/>
        </w:rPr>
      </w:pPr>
    </w:p>
    <w:p w:rsidR="00F93853" w:rsidRDefault="00EA6D8D" w:rsidP="00D37833">
      <w:pPr>
        <w:spacing w:before="0" w:after="0"/>
        <w:rPr>
          <w:lang w:val="en-GB"/>
        </w:rPr>
      </w:pPr>
      <w:r w:rsidRPr="00571F0B">
        <w:rPr>
          <w:lang w:val="en-GB"/>
        </w:rPr>
        <w:t xml:space="preserve">Once CPRs have been </w:t>
      </w:r>
      <w:r w:rsidR="00F93853" w:rsidRPr="00571F0B">
        <w:rPr>
          <w:lang w:val="en-GB"/>
        </w:rPr>
        <w:t>launched</w:t>
      </w:r>
      <w:r w:rsidRPr="00571F0B">
        <w:rPr>
          <w:lang w:val="en-GB"/>
        </w:rPr>
        <w:t xml:space="preserve"> by the </w:t>
      </w:r>
      <w:r w:rsidR="00F93853" w:rsidRPr="00571F0B">
        <w:rPr>
          <w:lang w:val="en-GB"/>
        </w:rPr>
        <w:t>IFT</w:t>
      </w:r>
      <w:r w:rsidR="00A376C5">
        <w:rPr>
          <w:lang w:val="en-GB"/>
        </w:rPr>
        <w:t>,</w:t>
      </w:r>
      <w:r w:rsidRPr="00571F0B">
        <w:rPr>
          <w:lang w:val="en-GB"/>
        </w:rPr>
        <w:t xml:space="preserve"> applicants will need to refer to the </w:t>
      </w:r>
      <w:r w:rsidRPr="00B06B23">
        <w:rPr>
          <w:lang w:val="en-GB"/>
        </w:rPr>
        <w:t>Information Book</w:t>
      </w:r>
      <w:r w:rsidRPr="00571F0B">
        <w:rPr>
          <w:lang w:val="en-GB"/>
        </w:rPr>
        <w:t xml:space="preserve"> to determine whether their organisation</w:t>
      </w:r>
      <w:r w:rsidR="00F93853" w:rsidRPr="00571F0B">
        <w:rPr>
          <w:lang w:val="en-GB"/>
        </w:rPr>
        <w:t xml:space="preserve"> is </w:t>
      </w:r>
      <w:r w:rsidRPr="00571F0B">
        <w:rPr>
          <w:lang w:val="en-GB"/>
        </w:rPr>
        <w:t xml:space="preserve">eligible and </w:t>
      </w:r>
      <w:r w:rsidR="00F93853" w:rsidRPr="00571F0B">
        <w:rPr>
          <w:lang w:val="en-GB"/>
        </w:rPr>
        <w:t xml:space="preserve">to </w:t>
      </w:r>
      <w:r w:rsidRPr="00571F0B">
        <w:rPr>
          <w:lang w:val="en-GB"/>
        </w:rPr>
        <w:t xml:space="preserve">develop a </w:t>
      </w:r>
      <w:r w:rsidR="00F93853" w:rsidRPr="00571F0B">
        <w:rPr>
          <w:lang w:val="en-GB"/>
        </w:rPr>
        <w:t xml:space="preserve">suitable </w:t>
      </w:r>
      <w:r w:rsidRPr="00571F0B">
        <w:rPr>
          <w:lang w:val="en-GB"/>
        </w:rPr>
        <w:t xml:space="preserve">concept paper. Self-assessment and selection is a critical evaluation process and ensures the submitting organisations are satisfied </w:t>
      </w:r>
      <w:r w:rsidR="00DE2B90">
        <w:rPr>
          <w:lang w:val="en-GB"/>
        </w:rPr>
        <w:t>they</w:t>
      </w:r>
      <w:r w:rsidRPr="00571F0B">
        <w:rPr>
          <w:lang w:val="en-GB"/>
        </w:rPr>
        <w:t xml:space="preserve"> will meet minimum requirements and can deliver </w:t>
      </w:r>
      <w:r w:rsidR="00F93853" w:rsidRPr="00571F0B">
        <w:rPr>
          <w:lang w:val="en-GB"/>
        </w:rPr>
        <w:t>a relevant</w:t>
      </w:r>
      <w:r w:rsidRPr="00571F0B">
        <w:rPr>
          <w:lang w:val="en-GB"/>
        </w:rPr>
        <w:t xml:space="preserve"> concept paper, proposal and, if successful, implement an IFA. Ultimately funding is competitive and selection will be based upon comparative merit. Many good concepts will not be successful. Many organisations will not qualify. As presented in </w:t>
      </w:r>
      <w:r w:rsidRPr="0095356B">
        <w:rPr>
          <w:lang w:val="en-GB"/>
        </w:rPr>
        <w:t xml:space="preserve">Section 1.4 </w:t>
      </w:r>
      <w:r w:rsidRPr="00B06B23">
        <w:rPr>
          <w:lang w:val="en-GB"/>
        </w:rPr>
        <w:t>and Table</w:t>
      </w:r>
      <w:r w:rsidR="00B06B23" w:rsidRPr="00B06B23">
        <w:rPr>
          <w:lang w:val="en-GB"/>
        </w:rPr>
        <w:t xml:space="preserve"> 7</w:t>
      </w:r>
      <w:r w:rsidR="00076192" w:rsidRPr="0095356B">
        <w:rPr>
          <w:lang w:val="en-GB"/>
        </w:rPr>
        <w:t>,</w:t>
      </w:r>
      <w:r w:rsidRPr="0095356B">
        <w:rPr>
          <w:lang w:val="en-GB"/>
        </w:rPr>
        <w:t xml:space="preserve"> in</w:t>
      </w:r>
      <w:r w:rsidRPr="00571F0B">
        <w:rPr>
          <w:lang w:val="en-GB"/>
        </w:rPr>
        <w:t xml:space="preserve"> Phase </w:t>
      </w:r>
      <w:r w:rsidR="00076192" w:rsidRPr="00571F0B">
        <w:rPr>
          <w:lang w:val="en-GB"/>
        </w:rPr>
        <w:t>III</w:t>
      </w:r>
      <w:r w:rsidRPr="00571F0B">
        <w:rPr>
          <w:lang w:val="en-GB"/>
        </w:rPr>
        <w:t xml:space="preserve"> 1697 enquiries converted into 226 concept papers which converted into 22 full proposals and budgets</w:t>
      </w:r>
      <w:r w:rsidR="00076192" w:rsidRPr="00571F0B">
        <w:rPr>
          <w:lang w:val="en-GB"/>
        </w:rPr>
        <w:t>,</w:t>
      </w:r>
      <w:r w:rsidR="002A41C2">
        <w:rPr>
          <w:lang w:val="en-GB"/>
        </w:rPr>
        <w:t xml:space="preserve"> and only 20 IFAs were issued.</w:t>
      </w:r>
    </w:p>
    <w:p w:rsidR="002A41C2" w:rsidRPr="002A41C2" w:rsidRDefault="002A41C2" w:rsidP="00D37833">
      <w:pPr>
        <w:spacing w:before="0" w:after="0"/>
        <w:rPr>
          <w:sz w:val="16"/>
          <w:szCs w:val="16"/>
          <w:lang w:val="en-GB"/>
        </w:rPr>
      </w:pPr>
    </w:p>
    <w:p w:rsidR="00EA6D8D" w:rsidRPr="00571F0B" w:rsidRDefault="00F93853" w:rsidP="00D37833">
      <w:pPr>
        <w:spacing w:before="0" w:after="0"/>
        <w:rPr>
          <w:lang w:val="en-GB"/>
        </w:rPr>
      </w:pPr>
      <w:r w:rsidRPr="00571F0B">
        <w:rPr>
          <w:lang w:val="en-GB"/>
        </w:rPr>
        <w:t xml:space="preserve">Using an </w:t>
      </w:r>
      <w:r w:rsidR="00EA6D8D" w:rsidRPr="00571F0B">
        <w:rPr>
          <w:lang w:val="en-GB"/>
        </w:rPr>
        <w:t xml:space="preserve">open competitive round </w:t>
      </w:r>
      <w:r w:rsidRPr="00571F0B">
        <w:rPr>
          <w:lang w:val="en-GB"/>
        </w:rPr>
        <w:t>CPR</w:t>
      </w:r>
      <w:r w:rsidR="00DE2B90">
        <w:rPr>
          <w:lang w:val="en-GB"/>
        </w:rPr>
        <w:t>,</w:t>
      </w:r>
      <w:r w:rsidRPr="00571F0B">
        <w:rPr>
          <w:lang w:val="en-GB"/>
        </w:rPr>
        <w:t xml:space="preserve"> statistically </w:t>
      </w:r>
      <w:r w:rsidR="00EA6D8D" w:rsidRPr="00571F0B">
        <w:rPr>
          <w:lang w:val="en-GB"/>
        </w:rPr>
        <w:t>applicants ha</w:t>
      </w:r>
      <w:r w:rsidRPr="00571F0B">
        <w:rPr>
          <w:lang w:val="en-GB"/>
        </w:rPr>
        <w:t xml:space="preserve">ve </w:t>
      </w:r>
      <w:r w:rsidR="00EA6D8D" w:rsidRPr="00571F0B">
        <w:rPr>
          <w:lang w:val="en-GB"/>
        </w:rPr>
        <w:t xml:space="preserve">little over a 1 per cent chance of success. </w:t>
      </w:r>
      <w:r w:rsidR="00DE2B90">
        <w:rPr>
          <w:lang w:val="en-GB"/>
        </w:rPr>
        <w:t>C</w:t>
      </w:r>
      <w:r w:rsidR="00EA6D8D" w:rsidRPr="00571F0B">
        <w:rPr>
          <w:lang w:val="en-GB"/>
        </w:rPr>
        <w:t>oncept paper</w:t>
      </w:r>
      <w:r w:rsidR="00DE2B90">
        <w:rPr>
          <w:lang w:val="en-GB"/>
        </w:rPr>
        <w:t xml:space="preserve">s passing gateway screening raise their </w:t>
      </w:r>
      <w:r w:rsidR="00EA6D8D" w:rsidRPr="00571F0B">
        <w:rPr>
          <w:lang w:val="en-GB"/>
        </w:rPr>
        <w:t xml:space="preserve">chances of success to nearly 9 per cent. These are </w:t>
      </w:r>
      <w:r w:rsidR="00076192" w:rsidRPr="00571F0B">
        <w:rPr>
          <w:lang w:val="en-GB"/>
        </w:rPr>
        <w:t xml:space="preserve">useful </w:t>
      </w:r>
      <w:r w:rsidR="00EA6D8D" w:rsidRPr="00571F0B">
        <w:rPr>
          <w:lang w:val="en-GB"/>
        </w:rPr>
        <w:t>benchmark indicators of success from Phase III which IF (IV) should monitor to maintain both the efficiency and the integrity of the incentive funding mechanism.</w:t>
      </w:r>
    </w:p>
    <w:p w:rsidR="00076192" w:rsidRDefault="00076192" w:rsidP="00D37833">
      <w:pPr>
        <w:spacing w:before="0" w:after="0"/>
        <w:rPr>
          <w:lang w:val="en-GB"/>
        </w:rPr>
      </w:pPr>
    </w:p>
    <w:p w:rsidR="002A41C2" w:rsidRPr="00571F0B" w:rsidRDefault="002A41C2" w:rsidP="00BE7C9E">
      <w:pPr>
        <w:pStyle w:val="Heading3"/>
        <w:rPr>
          <w:lang w:val="en-GB"/>
        </w:rPr>
      </w:pPr>
      <w:r w:rsidRPr="00571F0B">
        <w:rPr>
          <w:lang w:val="en-GB"/>
        </w:rPr>
        <w:t>Gateway Screening</w:t>
      </w:r>
    </w:p>
    <w:p w:rsidR="002A41C2" w:rsidRPr="00571F0B" w:rsidRDefault="002A41C2" w:rsidP="002A41C2">
      <w:pPr>
        <w:spacing w:before="0" w:after="0"/>
        <w:rPr>
          <w:lang w:val="en-GB"/>
        </w:rPr>
      </w:pPr>
      <w:r w:rsidRPr="00571F0B">
        <w:rPr>
          <w:lang w:val="en-GB"/>
        </w:rPr>
        <w:t>Upon submission of a CP the organisation also submits a self-assessment against tough eligibility criteria.</w:t>
      </w:r>
      <w:r w:rsidR="00B06B23">
        <w:rPr>
          <w:lang w:val="en-GB"/>
        </w:rPr>
        <w:t xml:space="preserve"> The biggest potential risk to </w:t>
      </w:r>
      <w:r w:rsidRPr="00571F0B">
        <w:rPr>
          <w:lang w:val="en-GB"/>
        </w:rPr>
        <w:t xml:space="preserve">IF </w:t>
      </w:r>
      <w:r w:rsidR="00B06B23">
        <w:rPr>
          <w:lang w:val="en-GB"/>
        </w:rPr>
        <w:t>(</w:t>
      </w:r>
      <w:r w:rsidRPr="00571F0B">
        <w:rPr>
          <w:lang w:val="en-GB"/>
        </w:rPr>
        <w:t xml:space="preserve">IV) is that eligibility criteria are relaxed to allow a non-compliant organisation access. This must not happen. The incentive fund mechanism works on the key principle that </w:t>
      </w:r>
      <w:r w:rsidR="00B06B23" w:rsidRPr="00B06B23">
        <w:rPr>
          <w:lang w:val="en-GB"/>
        </w:rPr>
        <w:t xml:space="preserve">IF (IV) </w:t>
      </w:r>
      <w:r w:rsidR="00B06B23">
        <w:rPr>
          <w:lang w:val="en-GB"/>
        </w:rPr>
        <w:t xml:space="preserve">only </w:t>
      </w:r>
      <w:r w:rsidRPr="00571F0B">
        <w:rPr>
          <w:lang w:val="en-GB"/>
        </w:rPr>
        <w:t>rewards h</w:t>
      </w:r>
      <w:r w:rsidR="00A376C5">
        <w:rPr>
          <w:lang w:val="en-GB"/>
        </w:rPr>
        <w:t xml:space="preserve">igh performing </w:t>
      </w:r>
      <w:r w:rsidR="00A376C5">
        <w:rPr>
          <w:lang w:val="en-GB"/>
        </w:rPr>
        <w:lastRenderedPageBreak/>
        <w:t>organisations that</w:t>
      </w:r>
      <w:r w:rsidRPr="00571F0B">
        <w:rPr>
          <w:lang w:val="en-GB"/>
        </w:rPr>
        <w:t xml:space="preserve"> are capable of expanding their reach</w:t>
      </w:r>
      <w:r w:rsidR="00B06B23">
        <w:rPr>
          <w:lang w:val="en-GB"/>
        </w:rPr>
        <w:t>, coverage and quality</w:t>
      </w:r>
      <w:r w:rsidRPr="00571F0B">
        <w:rPr>
          <w:lang w:val="en-GB"/>
        </w:rPr>
        <w:t>, a</w:t>
      </w:r>
      <w:r>
        <w:rPr>
          <w:lang w:val="en-GB"/>
        </w:rPr>
        <w:t>nd maintain it after expansion.</w:t>
      </w:r>
    </w:p>
    <w:p w:rsidR="002A41C2" w:rsidRPr="009E1E17" w:rsidRDefault="002A41C2" w:rsidP="002A41C2">
      <w:pPr>
        <w:spacing w:before="0" w:after="0"/>
        <w:rPr>
          <w:sz w:val="16"/>
          <w:szCs w:val="16"/>
          <w:lang w:val="en-GB"/>
        </w:rPr>
      </w:pPr>
    </w:p>
    <w:p w:rsidR="009E1E17" w:rsidRDefault="002A41C2" w:rsidP="006D39B6">
      <w:pPr>
        <w:spacing w:before="0" w:after="0"/>
        <w:rPr>
          <w:lang w:val="en-GB"/>
        </w:rPr>
      </w:pPr>
      <w:r w:rsidRPr="00571F0B">
        <w:rPr>
          <w:lang w:val="en-GB"/>
        </w:rPr>
        <w:t xml:space="preserve">Note </w:t>
      </w:r>
      <w:r w:rsidR="00B06B23">
        <w:rPr>
          <w:lang w:val="en-GB"/>
        </w:rPr>
        <w:t>from Table 7 that 86 per cent</w:t>
      </w:r>
      <w:r w:rsidRPr="0095356B">
        <w:rPr>
          <w:lang w:val="en-GB"/>
        </w:rPr>
        <w:t xml:space="preserve"> of the 200 non-qualifying CPs did not qualify because organisations had not submitted</w:t>
      </w:r>
      <w:r w:rsidRPr="00571F0B">
        <w:rPr>
          <w:lang w:val="en-GB"/>
        </w:rPr>
        <w:t xml:space="preserve"> audited accounts. Without getting into the reasons why audited accounts were not available, it must be recognised that submitting annual audited accounts is a statutory obligation for all legally registered organisations in PNG</w:t>
      </w:r>
      <w:r w:rsidR="00DE2B90">
        <w:rPr>
          <w:lang w:val="en-GB"/>
        </w:rPr>
        <w:t xml:space="preserve"> and </w:t>
      </w:r>
      <w:r w:rsidR="00B06B23" w:rsidRPr="00B06B23">
        <w:rPr>
          <w:lang w:val="en-GB"/>
        </w:rPr>
        <w:t xml:space="preserve">IF (IV) </w:t>
      </w:r>
      <w:r w:rsidRPr="00571F0B">
        <w:rPr>
          <w:lang w:val="en-GB"/>
        </w:rPr>
        <w:t xml:space="preserve">only supports organisations that are compliant with their statutory obligations in PNG. </w:t>
      </w:r>
      <w:r w:rsidR="00DE2B90">
        <w:rPr>
          <w:lang w:val="en-GB"/>
        </w:rPr>
        <w:t>Furthermore,</w:t>
      </w:r>
      <w:r w:rsidRPr="00571F0B">
        <w:rPr>
          <w:lang w:val="en-GB"/>
        </w:rPr>
        <w:t xml:space="preserve"> an organisation </w:t>
      </w:r>
      <w:r w:rsidR="00B06B23">
        <w:rPr>
          <w:lang w:val="en-GB"/>
        </w:rPr>
        <w:t xml:space="preserve">that is </w:t>
      </w:r>
      <w:r w:rsidRPr="00571F0B">
        <w:rPr>
          <w:lang w:val="en-GB"/>
        </w:rPr>
        <w:t xml:space="preserve">not meeting PNG compliance regulations is unlikely to be able to uphold the key incentive principle and demonstrate that it is a good performing </w:t>
      </w:r>
      <w:proofErr w:type="gramStart"/>
      <w:r w:rsidRPr="00571F0B">
        <w:rPr>
          <w:lang w:val="en-GB"/>
        </w:rPr>
        <w:t>organisations</w:t>
      </w:r>
      <w:proofErr w:type="gramEnd"/>
      <w:r w:rsidRPr="00571F0B">
        <w:rPr>
          <w:lang w:val="en-GB"/>
        </w:rPr>
        <w:t xml:space="preserve"> capable of expanding reach</w:t>
      </w:r>
      <w:r w:rsidR="00B06B23">
        <w:rPr>
          <w:lang w:val="en-GB"/>
        </w:rPr>
        <w:t xml:space="preserve">, coverage and quality </w:t>
      </w:r>
      <w:r w:rsidRPr="00571F0B">
        <w:rPr>
          <w:lang w:val="en-GB"/>
        </w:rPr>
        <w:t>and maintain</w:t>
      </w:r>
      <w:r w:rsidR="00B06B23">
        <w:rPr>
          <w:lang w:val="en-GB"/>
        </w:rPr>
        <w:t>ing</w:t>
      </w:r>
      <w:r w:rsidRPr="00571F0B">
        <w:rPr>
          <w:lang w:val="en-GB"/>
        </w:rPr>
        <w:t xml:space="preserve"> </w:t>
      </w:r>
      <w:r w:rsidR="00DE2B90">
        <w:rPr>
          <w:lang w:val="en-GB"/>
        </w:rPr>
        <w:t>good performance</w:t>
      </w:r>
      <w:r w:rsidRPr="00571F0B">
        <w:rPr>
          <w:lang w:val="en-GB"/>
        </w:rPr>
        <w:t xml:space="preserve"> after expansion. If these gateway criteria are relaxed in </w:t>
      </w:r>
      <w:r w:rsidR="00A376C5">
        <w:rPr>
          <w:lang w:val="en-GB"/>
        </w:rPr>
        <w:t xml:space="preserve">the slightest, the risk to </w:t>
      </w:r>
      <w:r w:rsidR="00B06B23" w:rsidRPr="00B06B23">
        <w:rPr>
          <w:lang w:val="en-GB"/>
        </w:rPr>
        <w:t xml:space="preserve">IF (IV) </w:t>
      </w:r>
      <w:r w:rsidRPr="00571F0B">
        <w:rPr>
          <w:lang w:val="en-GB"/>
        </w:rPr>
        <w:t xml:space="preserve">increases significantly. This must not </w:t>
      </w:r>
      <w:r w:rsidR="00DE2B90">
        <w:rPr>
          <w:lang w:val="en-GB"/>
        </w:rPr>
        <w:t xml:space="preserve">be allowed to </w:t>
      </w:r>
      <w:r w:rsidRPr="00571F0B">
        <w:rPr>
          <w:lang w:val="en-GB"/>
        </w:rPr>
        <w:t>happen</w:t>
      </w:r>
      <w:r w:rsidR="00DE2B90">
        <w:rPr>
          <w:lang w:val="en-GB"/>
        </w:rPr>
        <w:t xml:space="preserve"> and the no exce</w:t>
      </w:r>
      <w:r w:rsidR="00A376C5">
        <w:rPr>
          <w:lang w:val="en-GB"/>
        </w:rPr>
        <w:t xml:space="preserve">ptions policy should </w:t>
      </w:r>
      <w:r w:rsidR="00DE2B90">
        <w:rPr>
          <w:lang w:val="en-GB"/>
        </w:rPr>
        <w:t>apply</w:t>
      </w:r>
      <w:r w:rsidR="00A376C5">
        <w:rPr>
          <w:lang w:val="en-GB"/>
        </w:rPr>
        <w:t xml:space="preserve"> consistently</w:t>
      </w:r>
      <w:r w:rsidRPr="00571F0B">
        <w:rPr>
          <w:lang w:val="en-GB"/>
        </w:rPr>
        <w:t>.</w:t>
      </w:r>
    </w:p>
    <w:p w:rsidR="00EA6D8D" w:rsidRPr="00571F0B" w:rsidRDefault="00EA6D8D" w:rsidP="00EA6D8D">
      <w:pPr>
        <w:pStyle w:val="Caption"/>
        <w:rPr>
          <w:lang w:val="en-GB"/>
        </w:rPr>
      </w:pPr>
      <w:bookmarkStart w:id="30" w:name="_Toc403037628"/>
      <w:r w:rsidRPr="00571F0B">
        <w:rPr>
          <w:lang w:val="en-GB"/>
        </w:rPr>
        <w:t xml:space="preserve">Table </w:t>
      </w:r>
      <w:r w:rsidR="00D3593A" w:rsidRPr="00571F0B">
        <w:rPr>
          <w:lang w:val="en-GB"/>
        </w:rPr>
        <w:fldChar w:fldCharType="begin"/>
      </w:r>
      <w:r w:rsidR="00D3593A" w:rsidRPr="00571F0B">
        <w:rPr>
          <w:lang w:val="en-GB"/>
        </w:rPr>
        <w:instrText xml:space="preserve"> SEQ Table \* ARABIC </w:instrText>
      </w:r>
      <w:r w:rsidR="00D3593A" w:rsidRPr="00571F0B">
        <w:rPr>
          <w:lang w:val="en-GB"/>
        </w:rPr>
        <w:fldChar w:fldCharType="separate"/>
      </w:r>
      <w:r w:rsidR="006C1E87">
        <w:rPr>
          <w:noProof/>
          <w:lang w:val="en-GB"/>
        </w:rPr>
        <w:t>6</w:t>
      </w:r>
      <w:r w:rsidR="00D3593A" w:rsidRPr="00571F0B">
        <w:rPr>
          <w:lang w:val="en-GB"/>
        </w:rPr>
        <w:fldChar w:fldCharType="end"/>
      </w:r>
      <w:r w:rsidR="002A41C2">
        <w:rPr>
          <w:lang w:val="en-GB"/>
        </w:rPr>
        <w:t>:</w:t>
      </w:r>
      <w:r w:rsidRPr="00571F0B">
        <w:rPr>
          <w:lang w:val="en-GB"/>
        </w:rPr>
        <w:t xml:space="preserve"> Five Stage Application Process</w:t>
      </w:r>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771"/>
      </w:tblGrid>
      <w:tr w:rsidR="00EA6D8D" w:rsidRPr="00571F0B" w:rsidTr="002A41C2">
        <w:tc>
          <w:tcPr>
            <w:tcW w:w="2245" w:type="dxa"/>
            <w:tcBorders>
              <w:bottom w:val="single" w:sz="4" w:space="0" w:color="auto"/>
            </w:tcBorders>
            <w:shd w:val="clear" w:color="auto" w:fill="D6E3BC" w:themeFill="accent3" w:themeFillTint="66"/>
            <w:vAlign w:val="center"/>
          </w:tcPr>
          <w:p w:rsidR="00EA6D8D" w:rsidRPr="002A41C2" w:rsidRDefault="00EA6D8D" w:rsidP="00422DDC">
            <w:pPr>
              <w:spacing w:before="0" w:after="0"/>
              <w:jc w:val="left"/>
              <w:rPr>
                <w:rFonts w:ascii="Arial Narrow" w:hAnsi="Arial Narrow"/>
                <w:b/>
                <w:sz w:val="20"/>
                <w:lang w:val="en-GB"/>
              </w:rPr>
            </w:pPr>
            <w:r w:rsidRPr="002A41C2">
              <w:rPr>
                <w:rFonts w:ascii="Arial Narrow" w:hAnsi="Arial Narrow"/>
                <w:b/>
                <w:sz w:val="20"/>
                <w:lang w:val="en-GB"/>
              </w:rPr>
              <w:t>Stage One:</w:t>
            </w:r>
          </w:p>
          <w:p w:rsidR="00EA6D8D" w:rsidRPr="002A41C2" w:rsidRDefault="00EA6D8D" w:rsidP="00422DDC">
            <w:pPr>
              <w:spacing w:before="0" w:after="0"/>
              <w:jc w:val="left"/>
              <w:rPr>
                <w:rFonts w:ascii="Arial Narrow" w:hAnsi="Arial Narrow"/>
                <w:b/>
                <w:sz w:val="20"/>
                <w:lang w:val="en-GB"/>
              </w:rPr>
            </w:pPr>
            <w:r w:rsidRPr="002A41C2">
              <w:rPr>
                <w:rFonts w:ascii="Arial Narrow" w:hAnsi="Arial Narrow"/>
                <w:b/>
                <w:sz w:val="20"/>
                <w:lang w:val="en-GB"/>
              </w:rPr>
              <w:t>Gateway Screening</w:t>
            </w:r>
          </w:p>
        </w:tc>
        <w:tc>
          <w:tcPr>
            <w:tcW w:w="6771" w:type="dxa"/>
            <w:tcBorders>
              <w:bottom w:val="single" w:sz="4" w:space="0" w:color="auto"/>
            </w:tcBorders>
          </w:tcPr>
          <w:p w:rsidR="00422DDC" w:rsidRPr="00422DDC" w:rsidRDefault="006D02E0" w:rsidP="00422DDC">
            <w:pPr>
              <w:spacing w:before="0" w:after="0"/>
              <w:rPr>
                <w:rFonts w:ascii="Arial Narrow" w:hAnsi="Arial Narrow"/>
                <w:sz w:val="16"/>
                <w:szCs w:val="16"/>
                <w:lang w:val="en-GB"/>
              </w:rPr>
            </w:pPr>
            <w:r w:rsidRPr="006D02E0">
              <w:rPr>
                <w:rFonts w:ascii="Arial Narrow" w:eastAsia="Arial" w:hAnsi="Arial Narrow"/>
                <w:sz w:val="20"/>
                <w:lang w:val="en-GB"/>
              </w:rPr>
              <w:t>The Incentive Fund team carries out desk reviews of Concept Papers (CPs) and organisation self-assessments. Only CPs that pass the gateway criteria screening are transferred to the Sub-Management Group (SMG), which has DFAT and DNPM members, for development priority assessment. At this stage the SMG will also be provided with a summary of all CPs indicating those that are non-compliant.</w:t>
            </w:r>
          </w:p>
        </w:tc>
      </w:tr>
      <w:tr w:rsidR="00EA6D8D" w:rsidRPr="00571F0B" w:rsidTr="002A41C2">
        <w:tc>
          <w:tcPr>
            <w:tcW w:w="2245" w:type="dxa"/>
            <w:tcBorders>
              <w:top w:val="single" w:sz="4" w:space="0" w:color="auto"/>
              <w:bottom w:val="single" w:sz="4" w:space="0" w:color="auto"/>
            </w:tcBorders>
            <w:shd w:val="clear" w:color="auto" w:fill="D6E3BC" w:themeFill="accent3" w:themeFillTint="66"/>
            <w:vAlign w:val="center"/>
          </w:tcPr>
          <w:p w:rsidR="00EA6D8D" w:rsidRPr="002A41C2" w:rsidRDefault="00EA6D8D" w:rsidP="00422DDC">
            <w:pPr>
              <w:spacing w:before="0" w:after="0"/>
              <w:jc w:val="left"/>
              <w:rPr>
                <w:rFonts w:ascii="Arial Narrow" w:hAnsi="Arial Narrow"/>
                <w:b/>
                <w:sz w:val="20"/>
                <w:lang w:val="en-GB"/>
              </w:rPr>
            </w:pPr>
            <w:r w:rsidRPr="002A41C2">
              <w:rPr>
                <w:rFonts w:ascii="Arial Narrow" w:hAnsi="Arial Narrow"/>
                <w:b/>
                <w:sz w:val="20"/>
                <w:lang w:val="en-GB"/>
              </w:rPr>
              <w:t>Stage Two:</w:t>
            </w:r>
          </w:p>
          <w:p w:rsidR="00EA6D8D" w:rsidRPr="002A41C2" w:rsidRDefault="00EA6D8D" w:rsidP="00422DDC">
            <w:pPr>
              <w:spacing w:before="0" w:after="0"/>
              <w:jc w:val="left"/>
              <w:rPr>
                <w:rFonts w:ascii="Arial Narrow" w:hAnsi="Arial Narrow"/>
                <w:b/>
                <w:sz w:val="20"/>
                <w:lang w:val="en-GB"/>
              </w:rPr>
            </w:pPr>
            <w:r w:rsidRPr="002A41C2">
              <w:rPr>
                <w:rFonts w:ascii="Arial Narrow" w:hAnsi="Arial Narrow"/>
                <w:b/>
                <w:sz w:val="20"/>
                <w:lang w:val="en-GB"/>
              </w:rPr>
              <w:t>DNPM and DFAT Development Screening</w:t>
            </w:r>
          </w:p>
        </w:tc>
        <w:tc>
          <w:tcPr>
            <w:tcW w:w="6771" w:type="dxa"/>
            <w:tcBorders>
              <w:top w:val="single" w:sz="4" w:space="0" w:color="auto"/>
              <w:bottom w:val="single" w:sz="4" w:space="0" w:color="auto"/>
            </w:tcBorders>
          </w:tcPr>
          <w:p w:rsidR="00EA6D8D" w:rsidRDefault="00EA6D8D" w:rsidP="00422DDC">
            <w:pPr>
              <w:spacing w:before="0" w:after="0"/>
              <w:rPr>
                <w:rFonts w:ascii="Arial Narrow" w:eastAsia="Arial" w:hAnsi="Arial Narrow"/>
                <w:sz w:val="20"/>
                <w:lang w:val="en-GB"/>
              </w:rPr>
            </w:pPr>
            <w:r w:rsidRPr="002A41C2">
              <w:rPr>
                <w:rFonts w:ascii="Arial Narrow" w:eastAsia="Arial" w:hAnsi="Arial Narrow"/>
                <w:sz w:val="20"/>
                <w:lang w:val="en-GB"/>
              </w:rPr>
              <w:t>The SMG (</w:t>
            </w:r>
            <w:r w:rsidRPr="002A41C2">
              <w:rPr>
                <w:rFonts w:ascii="Arial Narrow" w:hAnsi="Arial Narrow"/>
                <w:sz w:val="20"/>
                <w:lang w:val="en-GB"/>
              </w:rPr>
              <w:t>DFAT</w:t>
            </w:r>
            <w:r w:rsidRPr="002A41C2">
              <w:rPr>
                <w:rFonts w:ascii="Arial Narrow" w:eastAsia="Arial" w:hAnsi="Arial Narrow"/>
                <w:sz w:val="20"/>
                <w:lang w:val="en-GB"/>
              </w:rPr>
              <w:t xml:space="preserve"> and DNPM) coordinate with their sectors, to have input on GoPNG development priorities.  The SMG provides their feedback to Incentive Fund on the CPs that </w:t>
            </w:r>
            <w:proofErr w:type="gramStart"/>
            <w:r w:rsidRPr="002A41C2">
              <w:rPr>
                <w:rFonts w:ascii="Arial Narrow" w:eastAsia="Arial" w:hAnsi="Arial Narrow"/>
                <w:sz w:val="20"/>
                <w:lang w:val="en-GB"/>
              </w:rPr>
              <w:t>meet</w:t>
            </w:r>
            <w:proofErr w:type="gramEnd"/>
            <w:r w:rsidRPr="002A41C2">
              <w:rPr>
                <w:rFonts w:ascii="Arial Narrow" w:eastAsia="Arial" w:hAnsi="Arial Narrow"/>
                <w:sz w:val="20"/>
                <w:lang w:val="en-GB"/>
              </w:rPr>
              <w:t xml:space="preserve"> or do not meet the development priorities. Independent members of the </w:t>
            </w:r>
            <w:r w:rsidR="00CC315B" w:rsidRPr="002A41C2">
              <w:rPr>
                <w:rFonts w:ascii="Arial Narrow" w:eastAsia="Arial" w:hAnsi="Arial Narrow"/>
                <w:sz w:val="20"/>
                <w:lang w:val="en-GB"/>
              </w:rPr>
              <w:t>MG</w:t>
            </w:r>
            <w:r w:rsidRPr="002A41C2">
              <w:rPr>
                <w:rFonts w:ascii="Arial Narrow" w:eastAsia="Arial" w:hAnsi="Arial Narrow"/>
                <w:sz w:val="20"/>
                <w:lang w:val="en-GB"/>
              </w:rPr>
              <w:t xml:space="preserve"> provide feedback on any issues they may have on the gateway criteria selection. Recommendations are put to the </w:t>
            </w:r>
            <w:r w:rsidR="00CC315B" w:rsidRPr="002A41C2">
              <w:rPr>
                <w:rFonts w:ascii="Arial Narrow" w:eastAsia="Arial" w:hAnsi="Arial Narrow"/>
                <w:sz w:val="20"/>
                <w:lang w:val="en-GB"/>
              </w:rPr>
              <w:t>MG</w:t>
            </w:r>
            <w:r w:rsidRPr="002A41C2">
              <w:rPr>
                <w:rFonts w:ascii="Arial Narrow" w:eastAsia="Arial" w:hAnsi="Arial Narrow"/>
                <w:sz w:val="20"/>
                <w:lang w:val="en-GB"/>
              </w:rPr>
              <w:t xml:space="preserve"> for review and endorsement. The MG selects organisations to move to Stage 3 and undergo an organisational assessment (OA). If the OA is successful the organisation may be invited to prepare a detailed proposal (DP).</w:t>
            </w:r>
          </w:p>
          <w:p w:rsidR="00422DDC" w:rsidRPr="00422DDC" w:rsidRDefault="00422DDC" w:rsidP="00422DDC">
            <w:pPr>
              <w:spacing w:before="0" w:after="0"/>
              <w:rPr>
                <w:rFonts w:ascii="Arial Narrow" w:hAnsi="Arial Narrow"/>
                <w:sz w:val="16"/>
                <w:szCs w:val="16"/>
                <w:lang w:val="en-GB"/>
              </w:rPr>
            </w:pPr>
          </w:p>
        </w:tc>
      </w:tr>
      <w:tr w:rsidR="00EA6D8D" w:rsidRPr="00571F0B" w:rsidTr="002A41C2">
        <w:tc>
          <w:tcPr>
            <w:tcW w:w="2245" w:type="dxa"/>
            <w:tcBorders>
              <w:top w:val="single" w:sz="4" w:space="0" w:color="auto"/>
              <w:bottom w:val="single" w:sz="4" w:space="0" w:color="auto"/>
            </w:tcBorders>
            <w:shd w:val="clear" w:color="auto" w:fill="D6E3BC" w:themeFill="accent3" w:themeFillTint="66"/>
            <w:vAlign w:val="center"/>
          </w:tcPr>
          <w:p w:rsidR="00EA6D8D" w:rsidRPr="002A41C2" w:rsidRDefault="00EA6D8D" w:rsidP="00422DDC">
            <w:pPr>
              <w:spacing w:before="0" w:after="0"/>
              <w:jc w:val="left"/>
              <w:rPr>
                <w:rFonts w:ascii="Arial Narrow" w:hAnsi="Arial Narrow"/>
                <w:b/>
                <w:sz w:val="20"/>
                <w:lang w:val="en-GB"/>
              </w:rPr>
            </w:pPr>
            <w:r w:rsidRPr="002A41C2">
              <w:rPr>
                <w:rFonts w:ascii="Arial Narrow" w:hAnsi="Arial Narrow"/>
                <w:b/>
                <w:sz w:val="20"/>
                <w:lang w:val="en-GB"/>
              </w:rPr>
              <w:t>Stage Three:</w:t>
            </w:r>
          </w:p>
          <w:p w:rsidR="00EA6D8D" w:rsidRPr="002A41C2" w:rsidRDefault="00EA6D8D" w:rsidP="00422DDC">
            <w:pPr>
              <w:spacing w:before="0" w:after="0"/>
              <w:jc w:val="left"/>
              <w:rPr>
                <w:rFonts w:ascii="Arial Narrow" w:hAnsi="Arial Narrow"/>
                <w:b/>
                <w:sz w:val="20"/>
                <w:lang w:val="en-GB"/>
              </w:rPr>
            </w:pPr>
            <w:r w:rsidRPr="002A41C2">
              <w:rPr>
                <w:rFonts w:ascii="Arial Narrow" w:hAnsi="Arial Narrow"/>
                <w:b/>
                <w:sz w:val="20"/>
                <w:lang w:val="en-GB"/>
              </w:rPr>
              <w:t>Organisational Assessment (OA)</w:t>
            </w:r>
          </w:p>
        </w:tc>
        <w:tc>
          <w:tcPr>
            <w:tcW w:w="6771" w:type="dxa"/>
            <w:tcBorders>
              <w:top w:val="single" w:sz="4" w:space="0" w:color="auto"/>
              <w:bottom w:val="single" w:sz="4" w:space="0" w:color="auto"/>
            </w:tcBorders>
            <w:shd w:val="clear" w:color="auto" w:fill="FFFFFF" w:themeFill="background1"/>
          </w:tcPr>
          <w:p w:rsidR="00EA6D8D" w:rsidRDefault="00EA6D8D" w:rsidP="00422DDC">
            <w:pPr>
              <w:spacing w:before="0" w:after="0"/>
              <w:rPr>
                <w:rFonts w:ascii="Arial Narrow" w:hAnsi="Arial Narrow"/>
                <w:sz w:val="20"/>
                <w:lang w:val="en-GB"/>
              </w:rPr>
            </w:pPr>
            <w:r w:rsidRPr="002A41C2">
              <w:rPr>
                <w:rFonts w:ascii="Arial Narrow" w:hAnsi="Arial Narrow"/>
                <w:sz w:val="20"/>
                <w:lang w:val="en-GB"/>
              </w:rPr>
              <w:t xml:space="preserve">Aligned with the high level target of working with the most effective partners the OAs ensure the organisation has the capacity to deliver the funded activity and maintain post-activity support. This includes a clear </w:t>
            </w:r>
            <w:r w:rsidR="00350A70" w:rsidRPr="00350A70">
              <w:rPr>
                <w:rFonts w:ascii="Arial Narrow" w:hAnsi="Arial Narrow"/>
                <w:sz w:val="20"/>
                <w:lang w:val="en-GB"/>
              </w:rPr>
              <w:t xml:space="preserve">local political economy and operating context </w:t>
            </w:r>
            <w:r w:rsidRPr="002A41C2">
              <w:rPr>
                <w:rFonts w:ascii="Arial Narrow" w:hAnsi="Arial Narrow"/>
                <w:sz w:val="20"/>
                <w:lang w:val="en-GB"/>
              </w:rPr>
              <w:t>assessment from the organisation highlighting any risks in regard to the on-going operations and maintenance required from the IFA investment, and how risks will be mitigated. Organisations with capacity shortfalls may opt to delay further assessment and decisions until the organisation has had the opportunity to strengthen. OAs are summarised, shared with the SMG and sent to the MG for approval.</w:t>
            </w:r>
          </w:p>
          <w:p w:rsidR="00422DDC" w:rsidRPr="00422DDC" w:rsidRDefault="00422DDC" w:rsidP="00422DDC">
            <w:pPr>
              <w:spacing w:before="0" w:after="0"/>
              <w:rPr>
                <w:rFonts w:ascii="Arial Narrow" w:hAnsi="Arial Narrow"/>
                <w:sz w:val="16"/>
                <w:szCs w:val="16"/>
                <w:lang w:val="en-GB"/>
              </w:rPr>
            </w:pPr>
          </w:p>
        </w:tc>
      </w:tr>
      <w:tr w:rsidR="00EA6D8D" w:rsidRPr="00571F0B" w:rsidTr="002A41C2">
        <w:tc>
          <w:tcPr>
            <w:tcW w:w="2245" w:type="dxa"/>
            <w:tcBorders>
              <w:top w:val="single" w:sz="4" w:space="0" w:color="auto"/>
              <w:bottom w:val="single" w:sz="4" w:space="0" w:color="auto"/>
            </w:tcBorders>
            <w:shd w:val="clear" w:color="auto" w:fill="D6E3BC" w:themeFill="accent3" w:themeFillTint="66"/>
            <w:vAlign w:val="center"/>
          </w:tcPr>
          <w:p w:rsidR="00EA6D8D" w:rsidRPr="002A41C2" w:rsidRDefault="00EA6D8D" w:rsidP="00422DDC">
            <w:pPr>
              <w:spacing w:before="0" w:after="0"/>
              <w:jc w:val="left"/>
              <w:rPr>
                <w:rFonts w:ascii="Arial Narrow" w:hAnsi="Arial Narrow"/>
                <w:b/>
                <w:sz w:val="20"/>
                <w:lang w:val="en-GB"/>
              </w:rPr>
            </w:pPr>
            <w:r w:rsidRPr="002A41C2">
              <w:rPr>
                <w:rFonts w:ascii="Arial Narrow" w:hAnsi="Arial Narrow"/>
                <w:b/>
                <w:sz w:val="20"/>
                <w:lang w:val="en-GB"/>
              </w:rPr>
              <w:t>Stage Four:</w:t>
            </w:r>
          </w:p>
          <w:p w:rsidR="00EA6D8D" w:rsidRPr="002A41C2" w:rsidRDefault="00EA6D8D" w:rsidP="00422DDC">
            <w:pPr>
              <w:spacing w:before="0" w:after="0"/>
              <w:jc w:val="left"/>
              <w:rPr>
                <w:rFonts w:ascii="Arial Narrow" w:hAnsi="Arial Narrow"/>
                <w:b/>
                <w:sz w:val="20"/>
                <w:lang w:val="en-GB"/>
              </w:rPr>
            </w:pPr>
            <w:r w:rsidRPr="002A41C2">
              <w:rPr>
                <w:rFonts w:ascii="Arial Narrow" w:hAnsi="Arial Narrow"/>
                <w:b/>
                <w:sz w:val="20"/>
                <w:lang w:val="en-GB"/>
              </w:rPr>
              <w:t>Detailed Proposal</w:t>
            </w:r>
          </w:p>
        </w:tc>
        <w:tc>
          <w:tcPr>
            <w:tcW w:w="6771" w:type="dxa"/>
            <w:tcBorders>
              <w:top w:val="single" w:sz="4" w:space="0" w:color="auto"/>
              <w:bottom w:val="single" w:sz="4" w:space="0" w:color="auto"/>
            </w:tcBorders>
          </w:tcPr>
          <w:p w:rsidR="00EA6D8D" w:rsidRDefault="00EA6D8D" w:rsidP="00422DDC">
            <w:pPr>
              <w:spacing w:before="0" w:after="0"/>
              <w:rPr>
                <w:rFonts w:ascii="Arial Narrow" w:hAnsi="Arial Narrow"/>
                <w:sz w:val="20"/>
                <w:lang w:val="en-GB"/>
              </w:rPr>
            </w:pPr>
            <w:r w:rsidRPr="002A41C2">
              <w:rPr>
                <w:rFonts w:ascii="Arial Narrow" w:hAnsi="Arial Narrow"/>
                <w:sz w:val="20"/>
                <w:lang w:val="en-GB"/>
              </w:rPr>
              <w:t xml:space="preserve">Once CP and OA approval is given by the MG, with incentive fund team support a detailed proposal is developed with implementation plan, budget and a clear end of program position. At this point a new process must be identified and introduced so that the incentive fund can conduct a </w:t>
            </w:r>
            <w:r w:rsidRPr="00350A70">
              <w:rPr>
                <w:rFonts w:ascii="Arial Narrow" w:hAnsi="Arial Narrow"/>
                <w:sz w:val="20"/>
                <w:lang w:val="en-GB"/>
              </w:rPr>
              <w:t xml:space="preserve">detailed </w:t>
            </w:r>
            <w:r w:rsidR="00350A70" w:rsidRPr="00350A70">
              <w:rPr>
                <w:rFonts w:ascii="Arial Narrow" w:hAnsi="Arial Narrow"/>
                <w:sz w:val="20"/>
                <w:lang w:val="en-GB"/>
              </w:rPr>
              <w:t xml:space="preserve">local political economy and operating context </w:t>
            </w:r>
            <w:r w:rsidRPr="002A41C2">
              <w:rPr>
                <w:rFonts w:ascii="Arial Narrow" w:hAnsi="Arial Narrow"/>
                <w:sz w:val="20"/>
                <w:lang w:val="en-GB"/>
              </w:rPr>
              <w:t>assessment.</w:t>
            </w:r>
          </w:p>
          <w:p w:rsidR="00422DDC" w:rsidRPr="00422DDC" w:rsidRDefault="00422DDC" w:rsidP="00422DDC">
            <w:pPr>
              <w:spacing w:before="0" w:after="0"/>
              <w:rPr>
                <w:rFonts w:ascii="Arial Narrow" w:hAnsi="Arial Narrow"/>
                <w:sz w:val="16"/>
                <w:szCs w:val="16"/>
                <w:lang w:val="en-GB"/>
              </w:rPr>
            </w:pPr>
          </w:p>
        </w:tc>
      </w:tr>
      <w:tr w:rsidR="00EA6D8D" w:rsidRPr="00571F0B" w:rsidTr="002A41C2">
        <w:tc>
          <w:tcPr>
            <w:tcW w:w="2245" w:type="dxa"/>
            <w:tcBorders>
              <w:top w:val="single" w:sz="4" w:space="0" w:color="auto"/>
            </w:tcBorders>
            <w:shd w:val="clear" w:color="auto" w:fill="D6E3BC" w:themeFill="accent3" w:themeFillTint="66"/>
            <w:vAlign w:val="center"/>
          </w:tcPr>
          <w:p w:rsidR="00EA6D8D" w:rsidRPr="002A41C2" w:rsidRDefault="00EA6D8D" w:rsidP="00422DDC">
            <w:pPr>
              <w:spacing w:before="0" w:after="0"/>
              <w:jc w:val="left"/>
              <w:rPr>
                <w:rFonts w:ascii="Arial Narrow" w:hAnsi="Arial Narrow" w:cs="Arial"/>
                <w:b/>
                <w:sz w:val="20"/>
                <w:lang w:val="en-GB"/>
              </w:rPr>
            </w:pPr>
            <w:r w:rsidRPr="002A41C2">
              <w:rPr>
                <w:rFonts w:ascii="Arial Narrow" w:hAnsi="Arial Narrow" w:cs="Arial"/>
                <w:b/>
                <w:sz w:val="20"/>
                <w:lang w:val="en-GB"/>
              </w:rPr>
              <w:t>Stage 5:</w:t>
            </w:r>
          </w:p>
          <w:p w:rsidR="00EA6D8D" w:rsidRPr="002A41C2" w:rsidRDefault="00EA6D8D" w:rsidP="00422DDC">
            <w:pPr>
              <w:spacing w:before="0" w:after="0"/>
              <w:jc w:val="left"/>
              <w:rPr>
                <w:rFonts w:ascii="Arial Narrow" w:hAnsi="Arial Narrow"/>
                <w:b/>
                <w:sz w:val="20"/>
                <w:lang w:val="en-GB"/>
              </w:rPr>
            </w:pPr>
            <w:r w:rsidRPr="002A41C2">
              <w:rPr>
                <w:rFonts w:ascii="Arial Narrow" w:hAnsi="Arial Narrow" w:cs="Arial"/>
                <w:b/>
                <w:sz w:val="20"/>
                <w:lang w:val="en-GB"/>
              </w:rPr>
              <w:t>Agreement</w:t>
            </w:r>
          </w:p>
        </w:tc>
        <w:tc>
          <w:tcPr>
            <w:tcW w:w="6771" w:type="dxa"/>
            <w:tcBorders>
              <w:top w:val="single" w:sz="4" w:space="0" w:color="auto"/>
            </w:tcBorders>
          </w:tcPr>
          <w:p w:rsidR="00EA6D8D" w:rsidRPr="002A41C2" w:rsidRDefault="00EA6D8D" w:rsidP="00422DDC">
            <w:pPr>
              <w:spacing w:before="0" w:after="0"/>
              <w:rPr>
                <w:rFonts w:ascii="Arial Narrow" w:hAnsi="Arial Narrow"/>
                <w:sz w:val="20"/>
                <w:lang w:val="en-GB"/>
              </w:rPr>
            </w:pPr>
            <w:r w:rsidRPr="002A41C2">
              <w:rPr>
                <w:rFonts w:ascii="Arial Narrow" w:hAnsi="Arial Narrow"/>
                <w:sz w:val="20"/>
                <w:lang w:val="en-GB"/>
              </w:rPr>
              <w:t>Once satisfied with the proposal the incentive fund team submit it to the MG for review and approval. If approval is given an Incentive Funding Agreement is confirmed and signed, following this</w:t>
            </w:r>
            <w:r w:rsidR="008161EF" w:rsidRPr="002A41C2">
              <w:rPr>
                <w:rFonts w:ascii="Arial Narrow" w:hAnsi="Arial Narrow"/>
                <w:sz w:val="20"/>
                <w:lang w:val="en-GB"/>
              </w:rPr>
              <w:t>,</w:t>
            </w:r>
            <w:r w:rsidR="00422DDC">
              <w:rPr>
                <w:rFonts w:ascii="Arial Narrow" w:hAnsi="Arial Narrow"/>
                <w:sz w:val="20"/>
                <w:lang w:val="en-GB"/>
              </w:rPr>
              <w:t xml:space="preserve"> implementation may start.</w:t>
            </w:r>
          </w:p>
        </w:tc>
      </w:tr>
    </w:tbl>
    <w:p w:rsidR="00C05D33" w:rsidRPr="00571F0B" w:rsidRDefault="00C05D33" w:rsidP="00C05D33">
      <w:pPr>
        <w:spacing w:before="0" w:after="0"/>
        <w:rPr>
          <w:lang w:val="en-GB"/>
        </w:rPr>
      </w:pPr>
    </w:p>
    <w:p w:rsidR="00823A84" w:rsidRPr="00571F0B" w:rsidRDefault="00823A84" w:rsidP="00823A84">
      <w:pPr>
        <w:pStyle w:val="Caption"/>
        <w:rPr>
          <w:lang w:val="en-GB"/>
        </w:rPr>
      </w:pPr>
      <w:bookmarkStart w:id="31" w:name="_Toc403037629"/>
      <w:r w:rsidRPr="00571F0B">
        <w:rPr>
          <w:lang w:val="en-GB"/>
        </w:rPr>
        <w:t xml:space="preserve">Table </w:t>
      </w:r>
      <w:r w:rsidR="00D3593A" w:rsidRPr="00571F0B">
        <w:rPr>
          <w:lang w:val="en-GB"/>
        </w:rPr>
        <w:fldChar w:fldCharType="begin"/>
      </w:r>
      <w:r w:rsidR="00D3593A" w:rsidRPr="00571F0B">
        <w:rPr>
          <w:lang w:val="en-GB"/>
        </w:rPr>
        <w:instrText xml:space="preserve"> SEQ Table \* ARABIC </w:instrText>
      </w:r>
      <w:r w:rsidR="00D3593A" w:rsidRPr="00571F0B">
        <w:rPr>
          <w:lang w:val="en-GB"/>
        </w:rPr>
        <w:fldChar w:fldCharType="separate"/>
      </w:r>
      <w:r w:rsidR="006C1E87">
        <w:rPr>
          <w:noProof/>
          <w:lang w:val="en-GB"/>
        </w:rPr>
        <w:t>7</w:t>
      </w:r>
      <w:r w:rsidR="00D3593A" w:rsidRPr="00571F0B">
        <w:rPr>
          <w:lang w:val="en-GB"/>
        </w:rPr>
        <w:fldChar w:fldCharType="end"/>
      </w:r>
      <w:r w:rsidR="002A41C2">
        <w:rPr>
          <w:lang w:val="en-GB"/>
        </w:rPr>
        <w:t>:</w:t>
      </w:r>
      <w:r w:rsidRPr="00571F0B">
        <w:rPr>
          <w:lang w:val="en-GB"/>
        </w:rPr>
        <w:t xml:space="preserve"> Non-qualification</w:t>
      </w:r>
      <w:bookmarkEnd w:id="31"/>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58"/>
        <w:gridCol w:w="2070"/>
        <w:gridCol w:w="2070"/>
      </w:tblGrid>
      <w:tr w:rsidR="00823A84" w:rsidRPr="002A41C2" w:rsidTr="002A41C2">
        <w:trPr>
          <w:tblHeader/>
          <w:jc w:val="center"/>
        </w:trPr>
        <w:tc>
          <w:tcPr>
            <w:tcW w:w="4158" w:type="dxa"/>
            <w:shd w:val="clear" w:color="auto" w:fill="D6E3BC" w:themeFill="accent3" w:themeFillTint="66"/>
          </w:tcPr>
          <w:p w:rsidR="00823A84" w:rsidRPr="002A41C2" w:rsidRDefault="00823A84" w:rsidP="00823A84">
            <w:pPr>
              <w:spacing w:before="0" w:after="0"/>
              <w:jc w:val="center"/>
              <w:rPr>
                <w:rFonts w:ascii="Arial Narrow" w:hAnsi="Arial Narrow"/>
                <w:b/>
                <w:sz w:val="20"/>
                <w:lang w:val="en-GB"/>
              </w:rPr>
            </w:pPr>
            <w:r w:rsidRPr="002A41C2">
              <w:rPr>
                <w:rFonts w:ascii="Arial Narrow" w:hAnsi="Arial Narrow"/>
                <w:b/>
                <w:sz w:val="20"/>
                <w:lang w:val="en-GB"/>
              </w:rPr>
              <w:t>Reasons for not qualifying at Stage 1</w:t>
            </w:r>
          </w:p>
        </w:tc>
        <w:tc>
          <w:tcPr>
            <w:tcW w:w="2070" w:type="dxa"/>
            <w:shd w:val="clear" w:color="auto" w:fill="D6E3BC" w:themeFill="accent3" w:themeFillTint="66"/>
          </w:tcPr>
          <w:p w:rsidR="00823A84" w:rsidRPr="002A41C2" w:rsidRDefault="00823A84" w:rsidP="00823A84">
            <w:pPr>
              <w:spacing w:before="0" w:after="0"/>
              <w:jc w:val="center"/>
              <w:rPr>
                <w:rFonts w:ascii="Arial Narrow" w:hAnsi="Arial Narrow"/>
                <w:b/>
                <w:sz w:val="20"/>
                <w:lang w:val="en-GB"/>
              </w:rPr>
            </w:pPr>
            <w:r w:rsidRPr="002A41C2">
              <w:rPr>
                <w:rFonts w:ascii="Arial Narrow" w:hAnsi="Arial Narrow"/>
                <w:b/>
                <w:sz w:val="20"/>
                <w:lang w:val="en-GB"/>
              </w:rPr>
              <w:t>Number of Orgs</w:t>
            </w:r>
          </w:p>
        </w:tc>
        <w:tc>
          <w:tcPr>
            <w:tcW w:w="2070" w:type="dxa"/>
            <w:shd w:val="clear" w:color="auto" w:fill="D6E3BC" w:themeFill="accent3" w:themeFillTint="66"/>
          </w:tcPr>
          <w:p w:rsidR="00823A84" w:rsidRPr="002A41C2" w:rsidRDefault="00823A84" w:rsidP="00966F2B">
            <w:pPr>
              <w:spacing w:before="0" w:after="0"/>
              <w:jc w:val="center"/>
              <w:rPr>
                <w:rFonts w:ascii="Arial Narrow" w:hAnsi="Arial Narrow"/>
                <w:b/>
                <w:sz w:val="20"/>
                <w:lang w:val="en-GB"/>
              </w:rPr>
            </w:pPr>
            <w:r w:rsidRPr="002A41C2">
              <w:rPr>
                <w:rFonts w:ascii="Arial Narrow" w:hAnsi="Arial Narrow"/>
                <w:b/>
                <w:sz w:val="20"/>
                <w:lang w:val="en-GB"/>
              </w:rPr>
              <w:t>% of Total</w:t>
            </w:r>
          </w:p>
        </w:tc>
      </w:tr>
      <w:tr w:rsidR="00823A84" w:rsidRPr="002A41C2" w:rsidTr="002A41C2">
        <w:trPr>
          <w:trHeight w:val="300"/>
          <w:jc w:val="center"/>
        </w:trPr>
        <w:tc>
          <w:tcPr>
            <w:tcW w:w="4158" w:type="dxa"/>
          </w:tcPr>
          <w:p w:rsidR="00823A84" w:rsidRPr="002A41C2" w:rsidRDefault="00823A84" w:rsidP="00823A84">
            <w:pPr>
              <w:spacing w:before="0" w:after="0"/>
              <w:rPr>
                <w:rFonts w:ascii="Arial Narrow" w:hAnsi="Arial Narrow"/>
                <w:b/>
                <w:sz w:val="20"/>
                <w:lang w:val="en-GB"/>
              </w:rPr>
            </w:pPr>
            <w:r w:rsidRPr="002A41C2">
              <w:rPr>
                <w:rFonts w:ascii="Arial Narrow" w:hAnsi="Arial Narrow"/>
                <w:b/>
                <w:sz w:val="20"/>
                <w:lang w:val="en-GB"/>
              </w:rPr>
              <w:t>No audited accounts</w:t>
            </w:r>
          </w:p>
        </w:tc>
        <w:tc>
          <w:tcPr>
            <w:tcW w:w="2070" w:type="dxa"/>
          </w:tcPr>
          <w:p w:rsidR="00823A84" w:rsidRPr="002A41C2" w:rsidRDefault="00823A84" w:rsidP="00966F2B">
            <w:pPr>
              <w:spacing w:before="0" w:after="0"/>
              <w:jc w:val="center"/>
              <w:rPr>
                <w:rFonts w:ascii="Arial Narrow" w:hAnsi="Arial Narrow"/>
                <w:sz w:val="20"/>
                <w:lang w:val="en-GB"/>
              </w:rPr>
            </w:pPr>
            <w:r w:rsidRPr="002A41C2">
              <w:rPr>
                <w:rFonts w:ascii="Arial Narrow" w:hAnsi="Arial Narrow"/>
                <w:sz w:val="20"/>
                <w:lang w:val="en-GB"/>
              </w:rPr>
              <w:t>172</w:t>
            </w:r>
          </w:p>
        </w:tc>
        <w:tc>
          <w:tcPr>
            <w:tcW w:w="2070" w:type="dxa"/>
          </w:tcPr>
          <w:p w:rsidR="00823A84" w:rsidRPr="002A41C2" w:rsidRDefault="00823A84" w:rsidP="00966F2B">
            <w:pPr>
              <w:spacing w:before="0" w:after="0"/>
              <w:jc w:val="center"/>
              <w:rPr>
                <w:rFonts w:ascii="Arial Narrow" w:hAnsi="Arial Narrow"/>
                <w:sz w:val="20"/>
                <w:lang w:val="en-GB"/>
              </w:rPr>
            </w:pPr>
            <w:r w:rsidRPr="002A41C2">
              <w:rPr>
                <w:rFonts w:ascii="Arial Narrow" w:hAnsi="Arial Narrow"/>
                <w:sz w:val="20"/>
                <w:lang w:val="en-GB"/>
              </w:rPr>
              <w:t>86</w:t>
            </w:r>
          </w:p>
        </w:tc>
      </w:tr>
      <w:tr w:rsidR="00823A84" w:rsidRPr="002A41C2" w:rsidTr="002A41C2">
        <w:trPr>
          <w:jc w:val="center"/>
        </w:trPr>
        <w:tc>
          <w:tcPr>
            <w:tcW w:w="4158" w:type="dxa"/>
          </w:tcPr>
          <w:p w:rsidR="00823A84" w:rsidRPr="002A41C2" w:rsidRDefault="00823A84" w:rsidP="00823A84">
            <w:pPr>
              <w:spacing w:before="0" w:after="0"/>
              <w:rPr>
                <w:rFonts w:ascii="Arial Narrow" w:hAnsi="Arial Narrow"/>
                <w:b/>
                <w:sz w:val="20"/>
                <w:lang w:val="en-GB"/>
              </w:rPr>
            </w:pPr>
            <w:r w:rsidRPr="002A41C2">
              <w:rPr>
                <w:rFonts w:ascii="Arial Narrow" w:hAnsi="Arial Narrow"/>
                <w:b/>
                <w:sz w:val="20"/>
                <w:lang w:val="en-GB"/>
              </w:rPr>
              <w:t>Land title issues</w:t>
            </w:r>
          </w:p>
        </w:tc>
        <w:tc>
          <w:tcPr>
            <w:tcW w:w="2070" w:type="dxa"/>
          </w:tcPr>
          <w:p w:rsidR="00823A84" w:rsidRPr="002A41C2" w:rsidRDefault="00823A84" w:rsidP="00966F2B">
            <w:pPr>
              <w:spacing w:before="0" w:after="0"/>
              <w:jc w:val="center"/>
              <w:rPr>
                <w:rFonts w:ascii="Arial Narrow" w:hAnsi="Arial Narrow"/>
                <w:sz w:val="20"/>
                <w:lang w:val="en-GB"/>
              </w:rPr>
            </w:pPr>
            <w:r w:rsidRPr="002A41C2">
              <w:rPr>
                <w:rFonts w:ascii="Arial Narrow" w:hAnsi="Arial Narrow"/>
                <w:sz w:val="20"/>
                <w:lang w:val="en-GB"/>
              </w:rPr>
              <w:t>5</w:t>
            </w:r>
          </w:p>
        </w:tc>
        <w:tc>
          <w:tcPr>
            <w:tcW w:w="2070" w:type="dxa"/>
          </w:tcPr>
          <w:p w:rsidR="00823A84" w:rsidRPr="002A41C2" w:rsidRDefault="00823A84" w:rsidP="00966F2B">
            <w:pPr>
              <w:spacing w:before="0" w:after="0"/>
              <w:jc w:val="center"/>
              <w:rPr>
                <w:rFonts w:ascii="Arial Narrow" w:hAnsi="Arial Narrow"/>
                <w:sz w:val="20"/>
                <w:lang w:val="en-GB"/>
              </w:rPr>
            </w:pPr>
            <w:r w:rsidRPr="002A41C2">
              <w:rPr>
                <w:rFonts w:ascii="Arial Narrow" w:hAnsi="Arial Narrow"/>
                <w:sz w:val="20"/>
                <w:lang w:val="en-GB"/>
              </w:rPr>
              <w:t>3</w:t>
            </w:r>
          </w:p>
        </w:tc>
      </w:tr>
      <w:tr w:rsidR="00823A84" w:rsidRPr="002A41C2" w:rsidTr="002A41C2">
        <w:trPr>
          <w:jc w:val="center"/>
        </w:trPr>
        <w:tc>
          <w:tcPr>
            <w:tcW w:w="4158" w:type="dxa"/>
          </w:tcPr>
          <w:p w:rsidR="00823A84" w:rsidRPr="002A41C2" w:rsidRDefault="00823A84" w:rsidP="00823A84">
            <w:pPr>
              <w:spacing w:before="0" w:after="0"/>
              <w:rPr>
                <w:rFonts w:ascii="Arial Narrow" w:hAnsi="Arial Narrow"/>
                <w:b/>
                <w:sz w:val="20"/>
                <w:lang w:val="en-GB"/>
              </w:rPr>
            </w:pPr>
            <w:r w:rsidRPr="002A41C2">
              <w:rPr>
                <w:rFonts w:ascii="Arial Narrow" w:hAnsi="Arial Narrow"/>
                <w:b/>
                <w:sz w:val="20"/>
                <w:lang w:val="en-GB"/>
              </w:rPr>
              <w:t>Third party preparation of CP</w:t>
            </w:r>
          </w:p>
        </w:tc>
        <w:tc>
          <w:tcPr>
            <w:tcW w:w="2070" w:type="dxa"/>
          </w:tcPr>
          <w:p w:rsidR="00823A84" w:rsidRPr="002A41C2" w:rsidRDefault="00966F2B" w:rsidP="00966F2B">
            <w:pPr>
              <w:spacing w:before="0" w:after="0"/>
              <w:jc w:val="center"/>
              <w:rPr>
                <w:rFonts w:ascii="Arial Narrow" w:hAnsi="Arial Narrow"/>
                <w:sz w:val="20"/>
                <w:lang w:val="en-GB"/>
              </w:rPr>
            </w:pPr>
            <w:r w:rsidRPr="002A41C2">
              <w:rPr>
                <w:rFonts w:ascii="Arial Narrow" w:hAnsi="Arial Narrow"/>
                <w:sz w:val="20"/>
                <w:lang w:val="en-GB"/>
              </w:rPr>
              <w:t>1</w:t>
            </w:r>
          </w:p>
        </w:tc>
        <w:tc>
          <w:tcPr>
            <w:tcW w:w="2070" w:type="dxa"/>
          </w:tcPr>
          <w:p w:rsidR="00823A84" w:rsidRPr="002A41C2" w:rsidRDefault="00966F2B" w:rsidP="00966F2B">
            <w:pPr>
              <w:spacing w:before="0" w:after="0"/>
              <w:jc w:val="center"/>
              <w:rPr>
                <w:rFonts w:ascii="Arial Narrow" w:hAnsi="Arial Narrow"/>
                <w:sz w:val="20"/>
                <w:lang w:val="en-GB"/>
              </w:rPr>
            </w:pPr>
            <w:r w:rsidRPr="002A41C2">
              <w:rPr>
                <w:rFonts w:ascii="Arial Narrow" w:hAnsi="Arial Narrow"/>
                <w:sz w:val="20"/>
                <w:lang w:val="en-GB"/>
              </w:rPr>
              <w:t>0.5</w:t>
            </w:r>
          </w:p>
        </w:tc>
      </w:tr>
      <w:tr w:rsidR="00823A84" w:rsidRPr="002A41C2" w:rsidTr="002A41C2">
        <w:trPr>
          <w:jc w:val="center"/>
        </w:trPr>
        <w:tc>
          <w:tcPr>
            <w:tcW w:w="4158" w:type="dxa"/>
          </w:tcPr>
          <w:p w:rsidR="00823A84" w:rsidRPr="002A41C2" w:rsidRDefault="00823A84" w:rsidP="00823A84">
            <w:pPr>
              <w:spacing w:before="0" w:after="0"/>
              <w:rPr>
                <w:rFonts w:ascii="Arial Narrow" w:hAnsi="Arial Narrow"/>
                <w:b/>
                <w:sz w:val="20"/>
                <w:lang w:val="en-GB"/>
              </w:rPr>
            </w:pPr>
            <w:r w:rsidRPr="002A41C2">
              <w:rPr>
                <w:rFonts w:ascii="Arial Narrow" w:hAnsi="Arial Narrow"/>
                <w:b/>
                <w:sz w:val="20"/>
                <w:lang w:val="en-GB"/>
              </w:rPr>
              <w:t>Activity not eligible</w:t>
            </w:r>
          </w:p>
        </w:tc>
        <w:tc>
          <w:tcPr>
            <w:tcW w:w="2070" w:type="dxa"/>
          </w:tcPr>
          <w:p w:rsidR="00823A84" w:rsidRPr="002A41C2" w:rsidRDefault="00966F2B" w:rsidP="00966F2B">
            <w:pPr>
              <w:spacing w:before="0" w:after="0"/>
              <w:jc w:val="center"/>
              <w:rPr>
                <w:rFonts w:ascii="Arial Narrow" w:hAnsi="Arial Narrow"/>
                <w:sz w:val="20"/>
                <w:lang w:val="en-GB"/>
              </w:rPr>
            </w:pPr>
            <w:r w:rsidRPr="002A41C2">
              <w:rPr>
                <w:rFonts w:ascii="Arial Narrow" w:hAnsi="Arial Narrow"/>
                <w:sz w:val="20"/>
                <w:lang w:val="en-GB"/>
              </w:rPr>
              <w:t>2</w:t>
            </w:r>
          </w:p>
        </w:tc>
        <w:tc>
          <w:tcPr>
            <w:tcW w:w="2070" w:type="dxa"/>
          </w:tcPr>
          <w:p w:rsidR="00823A84" w:rsidRPr="002A41C2" w:rsidRDefault="00966F2B" w:rsidP="00966F2B">
            <w:pPr>
              <w:spacing w:before="0" w:after="0"/>
              <w:jc w:val="center"/>
              <w:rPr>
                <w:rFonts w:ascii="Arial Narrow" w:hAnsi="Arial Narrow"/>
                <w:sz w:val="20"/>
                <w:lang w:val="en-GB"/>
              </w:rPr>
            </w:pPr>
            <w:r w:rsidRPr="002A41C2">
              <w:rPr>
                <w:rFonts w:ascii="Arial Narrow" w:hAnsi="Arial Narrow"/>
                <w:sz w:val="20"/>
                <w:lang w:val="en-GB"/>
              </w:rPr>
              <w:t>1</w:t>
            </w:r>
          </w:p>
        </w:tc>
      </w:tr>
      <w:tr w:rsidR="00823A84" w:rsidRPr="002A41C2" w:rsidTr="002A41C2">
        <w:trPr>
          <w:jc w:val="center"/>
        </w:trPr>
        <w:tc>
          <w:tcPr>
            <w:tcW w:w="4158" w:type="dxa"/>
          </w:tcPr>
          <w:p w:rsidR="00823A84" w:rsidRPr="002A41C2" w:rsidRDefault="00823A84" w:rsidP="00823A84">
            <w:pPr>
              <w:spacing w:before="0" w:after="0"/>
              <w:rPr>
                <w:rFonts w:ascii="Arial Narrow" w:hAnsi="Arial Narrow"/>
                <w:b/>
                <w:sz w:val="20"/>
                <w:lang w:val="en-GB"/>
              </w:rPr>
            </w:pPr>
            <w:r w:rsidRPr="002A41C2">
              <w:rPr>
                <w:rFonts w:ascii="Arial Narrow" w:hAnsi="Arial Narrow"/>
                <w:b/>
                <w:sz w:val="20"/>
                <w:lang w:val="en-GB"/>
              </w:rPr>
              <w:t>Beneath funding limit</w:t>
            </w:r>
          </w:p>
        </w:tc>
        <w:tc>
          <w:tcPr>
            <w:tcW w:w="2070" w:type="dxa"/>
          </w:tcPr>
          <w:p w:rsidR="00823A84" w:rsidRPr="002A41C2" w:rsidRDefault="00966F2B" w:rsidP="00966F2B">
            <w:pPr>
              <w:spacing w:before="0" w:after="0"/>
              <w:jc w:val="center"/>
              <w:rPr>
                <w:rFonts w:ascii="Arial Narrow" w:hAnsi="Arial Narrow"/>
                <w:sz w:val="20"/>
                <w:lang w:val="en-GB"/>
              </w:rPr>
            </w:pPr>
            <w:r w:rsidRPr="002A41C2">
              <w:rPr>
                <w:rFonts w:ascii="Arial Narrow" w:hAnsi="Arial Narrow"/>
                <w:sz w:val="20"/>
                <w:lang w:val="en-GB"/>
              </w:rPr>
              <w:t>1</w:t>
            </w:r>
          </w:p>
        </w:tc>
        <w:tc>
          <w:tcPr>
            <w:tcW w:w="2070" w:type="dxa"/>
          </w:tcPr>
          <w:p w:rsidR="00823A84" w:rsidRPr="002A41C2" w:rsidRDefault="00966F2B" w:rsidP="00966F2B">
            <w:pPr>
              <w:spacing w:before="0" w:after="0"/>
              <w:jc w:val="center"/>
              <w:rPr>
                <w:rFonts w:ascii="Arial Narrow" w:hAnsi="Arial Narrow"/>
                <w:sz w:val="20"/>
                <w:lang w:val="en-GB"/>
              </w:rPr>
            </w:pPr>
            <w:r w:rsidRPr="002A41C2">
              <w:rPr>
                <w:rFonts w:ascii="Arial Narrow" w:hAnsi="Arial Narrow"/>
                <w:sz w:val="20"/>
                <w:lang w:val="en-GB"/>
              </w:rPr>
              <w:t>0.5</w:t>
            </w:r>
          </w:p>
        </w:tc>
      </w:tr>
      <w:tr w:rsidR="00823A84" w:rsidRPr="002A41C2" w:rsidTr="002A41C2">
        <w:trPr>
          <w:jc w:val="center"/>
        </w:trPr>
        <w:tc>
          <w:tcPr>
            <w:tcW w:w="4158" w:type="dxa"/>
          </w:tcPr>
          <w:p w:rsidR="00823A84" w:rsidRPr="002A41C2" w:rsidRDefault="00823A84" w:rsidP="00823A84">
            <w:pPr>
              <w:spacing w:before="0" w:after="0"/>
              <w:rPr>
                <w:rFonts w:ascii="Arial Narrow" w:hAnsi="Arial Narrow"/>
                <w:b/>
                <w:sz w:val="20"/>
                <w:lang w:val="en-GB"/>
              </w:rPr>
            </w:pPr>
            <w:r w:rsidRPr="002A41C2">
              <w:rPr>
                <w:rFonts w:ascii="Arial Narrow" w:hAnsi="Arial Narrow"/>
                <w:b/>
                <w:sz w:val="20"/>
                <w:lang w:val="en-GB"/>
              </w:rPr>
              <w:t>Over funding limit</w:t>
            </w:r>
          </w:p>
        </w:tc>
        <w:tc>
          <w:tcPr>
            <w:tcW w:w="2070" w:type="dxa"/>
          </w:tcPr>
          <w:p w:rsidR="00823A84" w:rsidRPr="002A41C2" w:rsidRDefault="00966F2B" w:rsidP="00966F2B">
            <w:pPr>
              <w:spacing w:before="0" w:after="0"/>
              <w:jc w:val="center"/>
              <w:rPr>
                <w:rFonts w:ascii="Arial Narrow" w:hAnsi="Arial Narrow"/>
                <w:sz w:val="20"/>
                <w:lang w:val="en-GB"/>
              </w:rPr>
            </w:pPr>
            <w:r w:rsidRPr="002A41C2">
              <w:rPr>
                <w:rFonts w:ascii="Arial Narrow" w:hAnsi="Arial Narrow"/>
                <w:sz w:val="20"/>
                <w:lang w:val="en-GB"/>
              </w:rPr>
              <w:t>1</w:t>
            </w:r>
          </w:p>
        </w:tc>
        <w:tc>
          <w:tcPr>
            <w:tcW w:w="2070" w:type="dxa"/>
          </w:tcPr>
          <w:p w:rsidR="00823A84" w:rsidRPr="002A41C2" w:rsidRDefault="00966F2B" w:rsidP="00966F2B">
            <w:pPr>
              <w:spacing w:before="0" w:after="0"/>
              <w:jc w:val="center"/>
              <w:rPr>
                <w:rFonts w:ascii="Arial Narrow" w:hAnsi="Arial Narrow"/>
                <w:sz w:val="20"/>
                <w:lang w:val="en-GB"/>
              </w:rPr>
            </w:pPr>
            <w:r w:rsidRPr="002A41C2">
              <w:rPr>
                <w:rFonts w:ascii="Arial Narrow" w:hAnsi="Arial Narrow"/>
                <w:sz w:val="20"/>
                <w:lang w:val="en-GB"/>
              </w:rPr>
              <w:t>0.5</w:t>
            </w:r>
          </w:p>
        </w:tc>
      </w:tr>
      <w:tr w:rsidR="00823A84" w:rsidRPr="002A41C2" w:rsidTr="002A41C2">
        <w:trPr>
          <w:jc w:val="center"/>
        </w:trPr>
        <w:tc>
          <w:tcPr>
            <w:tcW w:w="4158" w:type="dxa"/>
          </w:tcPr>
          <w:p w:rsidR="00823A84" w:rsidRPr="002A41C2" w:rsidRDefault="00823A84" w:rsidP="00823A84">
            <w:pPr>
              <w:spacing w:before="0" w:after="0"/>
              <w:rPr>
                <w:rFonts w:ascii="Arial Narrow" w:hAnsi="Arial Narrow"/>
                <w:b/>
                <w:sz w:val="20"/>
                <w:lang w:val="en-GB"/>
              </w:rPr>
            </w:pPr>
            <w:r w:rsidRPr="002A41C2">
              <w:rPr>
                <w:rFonts w:ascii="Arial Narrow" w:hAnsi="Arial Narrow"/>
                <w:b/>
                <w:sz w:val="20"/>
                <w:lang w:val="en-GB"/>
              </w:rPr>
              <w:t>Other</w:t>
            </w:r>
          </w:p>
        </w:tc>
        <w:tc>
          <w:tcPr>
            <w:tcW w:w="2070" w:type="dxa"/>
          </w:tcPr>
          <w:p w:rsidR="00823A84" w:rsidRPr="002A41C2" w:rsidRDefault="00966F2B" w:rsidP="00966F2B">
            <w:pPr>
              <w:spacing w:before="0" w:after="0"/>
              <w:jc w:val="center"/>
              <w:rPr>
                <w:rFonts w:ascii="Arial Narrow" w:hAnsi="Arial Narrow"/>
                <w:sz w:val="20"/>
                <w:lang w:val="en-GB"/>
              </w:rPr>
            </w:pPr>
            <w:r w:rsidRPr="002A41C2">
              <w:rPr>
                <w:rFonts w:ascii="Arial Narrow" w:hAnsi="Arial Narrow"/>
                <w:sz w:val="20"/>
                <w:lang w:val="en-GB"/>
              </w:rPr>
              <w:t>18</w:t>
            </w:r>
          </w:p>
        </w:tc>
        <w:tc>
          <w:tcPr>
            <w:tcW w:w="2070" w:type="dxa"/>
          </w:tcPr>
          <w:p w:rsidR="00823A84" w:rsidRPr="002A41C2" w:rsidRDefault="00966F2B" w:rsidP="00966F2B">
            <w:pPr>
              <w:spacing w:before="0" w:after="0"/>
              <w:jc w:val="center"/>
              <w:rPr>
                <w:rFonts w:ascii="Arial Narrow" w:hAnsi="Arial Narrow"/>
                <w:sz w:val="20"/>
                <w:lang w:val="en-GB"/>
              </w:rPr>
            </w:pPr>
            <w:r w:rsidRPr="002A41C2">
              <w:rPr>
                <w:rFonts w:ascii="Arial Narrow" w:hAnsi="Arial Narrow"/>
                <w:sz w:val="20"/>
                <w:lang w:val="en-GB"/>
              </w:rPr>
              <w:t>9</w:t>
            </w:r>
          </w:p>
        </w:tc>
      </w:tr>
      <w:tr w:rsidR="00823A84" w:rsidRPr="002A41C2" w:rsidTr="002A41C2">
        <w:trPr>
          <w:jc w:val="center"/>
        </w:trPr>
        <w:tc>
          <w:tcPr>
            <w:tcW w:w="4158" w:type="dxa"/>
          </w:tcPr>
          <w:p w:rsidR="00823A84" w:rsidRPr="002A41C2" w:rsidRDefault="00823A84" w:rsidP="00966F2B">
            <w:pPr>
              <w:spacing w:before="0" w:after="0"/>
              <w:jc w:val="center"/>
              <w:rPr>
                <w:rFonts w:ascii="Arial Narrow" w:hAnsi="Arial Narrow"/>
                <w:b/>
                <w:sz w:val="20"/>
                <w:lang w:val="en-GB"/>
              </w:rPr>
            </w:pPr>
            <w:r w:rsidRPr="002A41C2">
              <w:rPr>
                <w:rFonts w:ascii="Arial Narrow" w:hAnsi="Arial Narrow"/>
                <w:b/>
                <w:sz w:val="20"/>
                <w:lang w:val="en-GB"/>
              </w:rPr>
              <w:t>Total</w:t>
            </w:r>
          </w:p>
        </w:tc>
        <w:tc>
          <w:tcPr>
            <w:tcW w:w="2070" w:type="dxa"/>
          </w:tcPr>
          <w:p w:rsidR="00823A84" w:rsidRPr="002A41C2" w:rsidRDefault="00823A84" w:rsidP="00966F2B">
            <w:pPr>
              <w:spacing w:before="0" w:after="0"/>
              <w:jc w:val="center"/>
              <w:rPr>
                <w:rFonts w:ascii="Arial Narrow" w:hAnsi="Arial Narrow"/>
                <w:b/>
                <w:sz w:val="20"/>
                <w:lang w:val="en-GB"/>
              </w:rPr>
            </w:pPr>
            <w:r w:rsidRPr="002A41C2">
              <w:rPr>
                <w:rFonts w:ascii="Arial Narrow" w:hAnsi="Arial Narrow"/>
                <w:b/>
                <w:sz w:val="20"/>
                <w:lang w:val="en-GB"/>
              </w:rPr>
              <w:t>200</w:t>
            </w:r>
          </w:p>
        </w:tc>
        <w:tc>
          <w:tcPr>
            <w:tcW w:w="2070" w:type="dxa"/>
          </w:tcPr>
          <w:p w:rsidR="00823A84" w:rsidRPr="002A41C2" w:rsidRDefault="00823A84" w:rsidP="00966F2B">
            <w:pPr>
              <w:spacing w:before="0" w:after="0"/>
              <w:jc w:val="center"/>
              <w:rPr>
                <w:rFonts w:ascii="Arial Narrow" w:hAnsi="Arial Narrow"/>
                <w:b/>
                <w:sz w:val="20"/>
                <w:lang w:val="en-GB"/>
              </w:rPr>
            </w:pPr>
            <w:r w:rsidRPr="002A41C2">
              <w:rPr>
                <w:rFonts w:ascii="Arial Narrow" w:hAnsi="Arial Narrow"/>
                <w:b/>
                <w:sz w:val="20"/>
                <w:lang w:val="en-GB"/>
              </w:rPr>
              <w:t>100</w:t>
            </w:r>
          </w:p>
        </w:tc>
      </w:tr>
    </w:tbl>
    <w:p w:rsidR="00B15B97" w:rsidRPr="00571F0B" w:rsidRDefault="00B15B97" w:rsidP="00C05D33">
      <w:pPr>
        <w:spacing w:before="0" w:after="0"/>
        <w:rPr>
          <w:lang w:val="en-GB"/>
        </w:rPr>
      </w:pPr>
    </w:p>
    <w:p w:rsidR="00CC315B" w:rsidRPr="00571F0B" w:rsidRDefault="002244B6" w:rsidP="00BE7C9E">
      <w:pPr>
        <w:pStyle w:val="Heading3"/>
        <w:rPr>
          <w:lang w:val="en-GB"/>
        </w:rPr>
      </w:pPr>
      <w:r>
        <w:rPr>
          <w:lang w:val="en-GB"/>
        </w:rPr>
        <w:lastRenderedPageBreak/>
        <w:t>Further p</w:t>
      </w:r>
      <w:r w:rsidR="00CC315B" w:rsidRPr="00571F0B">
        <w:rPr>
          <w:lang w:val="en-GB"/>
        </w:rPr>
        <w:t>rivate sector considerations</w:t>
      </w:r>
    </w:p>
    <w:p w:rsidR="008A4E2F" w:rsidRDefault="00CC315B" w:rsidP="00C05D33">
      <w:pPr>
        <w:spacing w:before="0" w:after="0"/>
        <w:rPr>
          <w:lang w:val="en-GB"/>
        </w:rPr>
      </w:pPr>
      <w:r w:rsidRPr="00571F0B">
        <w:rPr>
          <w:lang w:val="en-GB"/>
        </w:rPr>
        <w:t xml:space="preserve">Some DFAT programs have enjoyed successful relationships with the private sector for many years. Many of these private sector organisations work in the agricultural sector and were funded </w:t>
      </w:r>
      <w:r w:rsidR="00F93853" w:rsidRPr="00571F0B">
        <w:rPr>
          <w:lang w:val="en-GB"/>
        </w:rPr>
        <w:t>for</w:t>
      </w:r>
      <w:r w:rsidRPr="00571F0B">
        <w:rPr>
          <w:lang w:val="en-GB"/>
        </w:rPr>
        <w:t xml:space="preserve"> economic </w:t>
      </w:r>
      <w:r w:rsidR="00205423" w:rsidRPr="00205423">
        <w:rPr>
          <w:lang w:val="en-GB"/>
        </w:rPr>
        <w:t>development</w:t>
      </w:r>
      <w:r w:rsidRPr="00571F0B">
        <w:rPr>
          <w:lang w:val="en-GB"/>
        </w:rPr>
        <w:t xml:space="preserve"> activit</w:t>
      </w:r>
      <w:r w:rsidR="00F93853" w:rsidRPr="00571F0B">
        <w:rPr>
          <w:lang w:val="en-GB"/>
        </w:rPr>
        <w:t>ies</w:t>
      </w:r>
      <w:r w:rsidRPr="00571F0B">
        <w:rPr>
          <w:lang w:val="en-GB"/>
        </w:rPr>
        <w:t xml:space="preserve">. The </w:t>
      </w:r>
      <w:r w:rsidR="002D5559" w:rsidRPr="002D5559">
        <w:rPr>
          <w:lang w:val="en-GB"/>
        </w:rPr>
        <w:t xml:space="preserve">IF (IV) </w:t>
      </w:r>
      <w:r w:rsidRPr="00571F0B">
        <w:rPr>
          <w:lang w:val="en-GB"/>
        </w:rPr>
        <w:t xml:space="preserve">eligibility criteria were mainly established through the Community Development </w:t>
      </w:r>
      <w:r w:rsidR="00E121C0">
        <w:rPr>
          <w:lang w:val="en-GB"/>
        </w:rPr>
        <w:t>Scheme</w:t>
      </w:r>
      <w:r w:rsidRPr="00571F0B">
        <w:rPr>
          <w:lang w:val="en-GB"/>
        </w:rPr>
        <w:t xml:space="preserve"> Phase II (2002-07), as w</w:t>
      </w:r>
      <w:r w:rsidR="00F93853" w:rsidRPr="00571F0B">
        <w:rPr>
          <w:lang w:val="en-GB"/>
        </w:rPr>
        <w:t>ere</w:t>
      </w:r>
      <w:r w:rsidRPr="00571F0B">
        <w:rPr>
          <w:lang w:val="en-GB"/>
        </w:rPr>
        <w:t xml:space="preserve"> the organisation assessment criteria. T</w:t>
      </w:r>
      <w:r w:rsidR="00B15B97" w:rsidRPr="00571F0B">
        <w:rPr>
          <w:lang w:val="en-GB"/>
        </w:rPr>
        <w:t xml:space="preserve">hese criteria have served well. Performing private sector organisations generally have no problem demonstrating compliance. However </w:t>
      </w:r>
      <w:r w:rsidR="002D5559">
        <w:rPr>
          <w:lang w:val="en-GB"/>
        </w:rPr>
        <w:t xml:space="preserve">private sector companies </w:t>
      </w:r>
      <w:r w:rsidR="00F93853" w:rsidRPr="00571F0B">
        <w:rPr>
          <w:lang w:val="en-GB"/>
        </w:rPr>
        <w:t>may</w:t>
      </w:r>
      <w:r w:rsidR="00B15B97" w:rsidRPr="00571F0B">
        <w:rPr>
          <w:lang w:val="en-GB"/>
        </w:rPr>
        <w:t xml:space="preserve"> not </w:t>
      </w:r>
      <w:r w:rsidR="00F93853" w:rsidRPr="00571F0B">
        <w:rPr>
          <w:lang w:val="en-GB"/>
        </w:rPr>
        <w:t xml:space="preserve">be </w:t>
      </w:r>
      <w:r w:rsidR="00B15B97" w:rsidRPr="00571F0B">
        <w:rPr>
          <w:lang w:val="en-GB"/>
        </w:rPr>
        <w:t>used to</w:t>
      </w:r>
      <w:r w:rsidR="00A376C5">
        <w:rPr>
          <w:lang w:val="en-GB"/>
        </w:rPr>
        <w:t xml:space="preserve">, or willing </w:t>
      </w:r>
      <w:r w:rsidR="009B3706" w:rsidRPr="00571F0B">
        <w:rPr>
          <w:lang w:val="en-GB"/>
        </w:rPr>
        <w:t>to</w:t>
      </w:r>
      <w:r w:rsidR="00A376C5">
        <w:rPr>
          <w:lang w:val="en-GB"/>
        </w:rPr>
        <w:t>,</w:t>
      </w:r>
      <w:r w:rsidR="00B15B97" w:rsidRPr="00571F0B">
        <w:rPr>
          <w:lang w:val="en-GB"/>
        </w:rPr>
        <w:t xml:space="preserve"> prepar</w:t>
      </w:r>
      <w:r w:rsidR="009B3706" w:rsidRPr="00571F0B">
        <w:rPr>
          <w:lang w:val="en-GB"/>
        </w:rPr>
        <w:t>e</w:t>
      </w:r>
      <w:r w:rsidR="00B15B97" w:rsidRPr="00571F0B">
        <w:rPr>
          <w:lang w:val="en-GB"/>
        </w:rPr>
        <w:t xml:space="preserve"> donor driven documentation in the </w:t>
      </w:r>
      <w:r w:rsidR="009B3706" w:rsidRPr="00571F0B">
        <w:rPr>
          <w:lang w:val="en-GB"/>
        </w:rPr>
        <w:t xml:space="preserve">same </w:t>
      </w:r>
      <w:r w:rsidR="00B15B97" w:rsidRPr="00571F0B">
        <w:rPr>
          <w:lang w:val="en-GB"/>
        </w:rPr>
        <w:t xml:space="preserve">way </w:t>
      </w:r>
      <w:r w:rsidR="009B3706" w:rsidRPr="00571F0B">
        <w:rPr>
          <w:lang w:val="en-GB"/>
        </w:rPr>
        <w:t>as</w:t>
      </w:r>
      <w:r w:rsidR="00B15B97" w:rsidRPr="00571F0B">
        <w:rPr>
          <w:lang w:val="en-GB"/>
        </w:rPr>
        <w:t xml:space="preserve"> many Civil Society Organisations</w:t>
      </w:r>
      <w:r w:rsidR="009B3706" w:rsidRPr="00571F0B">
        <w:rPr>
          <w:lang w:val="en-GB"/>
        </w:rPr>
        <w:t>,</w:t>
      </w:r>
      <w:r w:rsidR="00B15B97" w:rsidRPr="00571F0B">
        <w:rPr>
          <w:lang w:val="en-GB"/>
        </w:rPr>
        <w:t xml:space="preserve"> </w:t>
      </w:r>
      <w:r w:rsidR="009B3706" w:rsidRPr="00571F0B">
        <w:rPr>
          <w:lang w:val="en-GB"/>
        </w:rPr>
        <w:t xml:space="preserve">who </w:t>
      </w:r>
      <w:r w:rsidR="00B15B97" w:rsidRPr="00571F0B">
        <w:rPr>
          <w:lang w:val="en-GB"/>
        </w:rPr>
        <w:t xml:space="preserve">are familiar with the way that programs and grant mechanisms operate. In this regard </w:t>
      </w:r>
      <w:r w:rsidR="002D5559" w:rsidRPr="002D5559">
        <w:rPr>
          <w:lang w:val="en-GB"/>
        </w:rPr>
        <w:t xml:space="preserve">IF (IV) </w:t>
      </w:r>
      <w:r w:rsidR="00B15B97" w:rsidRPr="00571F0B">
        <w:rPr>
          <w:lang w:val="en-GB"/>
        </w:rPr>
        <w:t xml:space="preserve">and DFAT </w:t>
      </w:r>
      <w:r w:rsidR="002D5559">
        <w:rPr>
          <w:lang w:val="en-GB"/>
        </w:rPr>
        <w:t>will</w:t>
      </w:r>
      <w:r w:rsidR="00B15B97" w:rsidRPr="00571F0B">
        <w:rPr>
          <w:lang w:val="en-GB"/>
        </w:rPr>
        <w:t xml:space="preserve"> need to experiment and be flexible </w:t>
      </w:r>
      <w:r w:rsidR="00A376C5">
        <w:rPr>
          <w:lang w:val="en-GB"/>
        </w:rPr>
        <w:t xml:space="preserve">in order </w:t>
      </w:r>
      <w:r w:rsidR="00B15B97" w:rsidRPr="00571F0B">
        <w:rPr>
          <w:lang w:val="en-GB"/>
        </w:rPr>
        <w:t>to find efficient ways to operate with the</w:t>
      </w:r>
      <w:r w:rsidR="00B44502">
        <w:rPr>
          <w:lang w:val="en-GB"/>
        </w:rPr>
        <w:t xml:space="preserve"> private sector in partnership.</w:t>
      </w:r>
    </w:p>
    <w:p w:rsidR="006D39B6" w:rsidRDefault="006D39B6" w:rsidP="00C05D33">
      <w:pPr>
        <w:spacing w:before="0" w:after="0"/>
        <w:rPr>
          <w:lang w:val="en-GB"/>
        </w:rPr>
      </w:pPr>
    </w:p>
    <w:p w:rsidR="006D39B6" w:rsidRPr="006D39B6" w:rsidRDefault="006D39B6" w:rsidP="006D39B6">
      <w:pPr>
        <w:spacing w:before="0" w:after="0"/>
        <w:rPr>
          <w:lang w:val="en-GB"/>
        </w:rPr>
      </w:pPr>
      <w:r w:rsidRPr="006D39B6">
        <w:rPr>
          <w:lang w:val="en-GB"/>
        </w:rPr>
        <w:t>IF (IV) will need to adjust the five stage application process to enable the private sector to efficiently access funding. For example instead of concept papers and organisation assessments traditionally used to assess support for Civil Society Organisations (who have generally adapted to working with the donor mechanisms)</w:t>
      </w:r>
      <w:r w:rsidR="002D5559">
        <w:rPr>
          <w:lang w:val="en-GB"/>
        </w:rPr>
        <w:t>,</w:t>
      </w:r>
      <w:r w:rsidRPr="006D39B6">
        <w:rPr>
          <w:lang w:val="en-GB"/>
        </w:rPr>
        <w:t xml:space="preserve"> IF (IV) will need to be equipped to consider business plans, economic analysis to identify rates of return on investments and to establish how to conduct due diligence risk assessment of private sector companies. IF (IV) should not expect the private sector to change the way it does business to meet donor requirements, instead IF (IV) can drive the adaption of Australian Aid to establish suitable approaches and procedures to efficiently engage with the private sector. </w:t>
      </w:r>
    </w:p>
    <w:p w:rsidR="006D39B6" w:rsidRPr="00571F0B" w:rsidRDefault="006D39B6" w:rsidP="00C05D33">
      <w:pPr>
        <w:spacing w:before="0" w:after="0"/>
        <w:rPr>
          <w:lang w:val="en-GB"/>
        </w:rPr>
      </w:pPr>
    </w:p>
    <w:p w:rsidR="00B44502" w:rsidRDefault="006D39B6" w:rsidP="00C05D33">
      <w:pPr>
        <w:spacing w:before="0" w:after="0"/>
        <w:rPr>
          <w:lang w:val="en-GB"/>
        </w:rPr>
      </w:pPr>
      <w:r>
        <w:rPr>
          <w:lang w:val="en-GB"/>
        </w:rPr>
        <w:t>The</w:t>
      </w:r>
      <w:r w:rsidR="008A4E2F" w:rsidRPr="00571F0B">
        <w:rPr>
          <w:lang w:val="en-GB"/>
        </w:rPr>
        <w:t xml:space="preserve"> private sector </w:t>
      </w:r>
      <w:r>
        <w:rPr>
          <w:lang w:val="en-GB"/>
        </w:rPr>
        <w:t>will</w:t>
      </w:r>
      <w:r w:rsidR="008A4E2F" w:rsidRPr="00571F0B">
        <w:rPr>
          <w:lang w:val="en-GB"/>
        </w:rPr>
        <w:t xml:space="preserve"> have advanced skills in business planning around detailed economic activity, and this may challenge development administrators. It is logical to assume that business development</w:t>
      </w:r>
      <w:r w:rsidR="002D5559">
        <w:rPr>
          <w:lang w:val="en-GB"/>
        </w:rPr>
        <w:t>, economists</w:t>
      </w:r>
      <w:r w:rsidR="008A4E2F" w:rsidRPr="00571F0B">
        <w:rPr>
          <w:lang w:val="en-GB"/>
        </w:rPr>
        <w:t xml:space="preserve"> and sector specialists will be required to review a range </w:t>
      </w:r>
      <w:r w:rsidR="002D5559">
        <w:rPr>
          <w:lang w:val="en-GB"/>
        </w:rPr>
        <w:t xml:space="preserve">of </w:t>
      </w:r>
      <w:r w:rsidR="008A4E2F" w:rsidRPr="00571F0B">
        <w:rPr>
          <w:lang w:val="en-GB"/>
        </w:rPr>
        <w:t>business plans</w:t>
      </w:r>
      <w:r w:rsidR="009B3706" w:rsidRPr="00571F0B">
        <w:rPr>
          <w:lang w:val="en-GB"/>
        </w:rPr>
        <w:t xml:space="preserve"> and undertake </w:t>
      </w:r>
      <w:r w:rsidR="00076192" w:rsidRPr="00571F0B">
        <w:rPr>
          <w:lang w:val="en-GB"/>
        </w:rPr>
        <w:t xml:space="preserve">complicated </w:t>
      </w:r>
      <w:r w:rsidR="008A4E2F" w:rsidRPr="00571F0B">
        <w:rPr>
          <w:lang w:val="en-GB"/>
        </w:rPr>
        <w:t>economic analysis</w:t>
      </w:r>
      <w:r w:rsidR="009B3706" w:rsidRPr="00571F0B">
        <w:rPr>
          <w:lang w:val="en-GB"/>
        </w:rPr>
        <w:t xml:space="preserve"> </w:t>
      </w:r>
      <w:r w:rsidR="00076192" w:rsidRPr="00571F0B">
        <w:rPr>
          <w:lang w:val="en-GB"/>
        </w:rPr>
        <w:t>such as assessing</w:t>
      </w:r>
      <w:r w:rsidR="009B3706" w:rsidRPr="00571F0B">
        <w:rPr>
          <w:lang w:val="en-GB"/>
        </w:rPr>
        <w:t xml:space="preserve"> </w:t>
      </w:r>
      <w:r w:rsidR="008A4E2F" w:rsidRPr="00571F0B">
        <w:rPr>
          <w:lang w:val="en-GB"/>
        </w:rPr>
        <w:t xml:space="preserve">internal rates of return </w:t>
      </w:r>
      <w:r w:rsidR="002D5559">
        <w:rPr>
          <w:lang w:val="en-GB"/>
        </w:rPr>
        <w:t>on investments to secure support</w:t>
      </w:r>
      <w:r w:rsidR="008A4E2F" w:rsidRPr="00571F0B">
        <w:rPr>
          <w:lang w:val="en-GB"/>
        </w:rPr>
        <w:t xml:space="preserve">. </w:t>
      </w:r>
    </w:p>
    <w:p w:rsidR="002244B6" w:rsidRPr="00B44502" w:rsidRDefault="002244B6" w:rsidP="00C05D33">
      <w:pPr>
        <w:spacing w:before="0" w:after="0"/>
        <w:rPr>
          <w:sz w:val="16"/>
          <w:szCs w:val="16"/>
          <w:lang w:val="en-GB"/>
        </w:rPr>
      </w:pPr>
    </w:p>
    <w:p w:rsidR="008A4E2F" w:rsidRDefault="008A4E2F" w:rsidP="00C05D33">
      <w:pPr>
        <w:spacing w:before="0" w:after="0"/>
        <w:rPr>
          <w:lang w:val="en-GB"/>
        </w:rPr>
      </w:pPr>
      <w:r w:rsidRPr="00571F0B">
        <w:rPr>
          <w:lang w:val="en-GB"/>
        </w:rPr>
        <w:t xml:space="preserve">IF (IV) should anticipate making changes to </w:t>
      </w:r>
      <w:r w:rsidR="002244B6">
        <w:rPr>
          <w:lang w:val="en-GB"/>
        </w:rPr>
        <w:t>all stages of</w:t>
      </w:r>
      <w:r w:rsidR="009B3706" w:rsidRPr="00571F0B">
        <w:rPr>
          <w:lang w:val="en-GB"/>
        </w:rPr>
        <w:t xml:space="preserve"> the application process </w:t>
      </w:r>
      <w:r w:rsidRPr="00571F0B">
        <w:rPr>
          <w:lang w:val="en-GB"/>
        </w:rPr>
        <w:t>as it engages in more private sector activity. There is an important opportunity for IF (IV) to lead the way forward in regard to private sector engagement, and</w:t>
      </w:r>
      <w:r w:rsidR="00B44502">
        <w:rPr>
          <w:lang w:val="en-GB"/>
        </w:rPr>
        <w:t xml:space="preserve"> this is expected from IV (IF).</w:t>
      </w:r>
    </w:p>
    <w:p w:rsidR="002244B6" w:rsidRDefault="002244B6" w:rsidP="00C05D33">
      <w:pPr>
        <w:spacing w:before="0" w:after="0"/>
        <w:rPr>
          <w:lang w:val="en-GB"/>
        </w:rPr>
      </w:pPr>
    </w:p>
    <w:p w:rsidR="002244B6" w:rsidRDefault="002244B6" w:rsidP="002244B6">
      <w:pPr>
        <w:pStyle w:val="Heading3"/>
        <w:rPr>
          <w:lang w:val="en-GB"/>
        </w:rPr>
      </w:pPr>
      <w:r>
        <w:rPr>
          <w:lang w:val="en-GB"/>
        </w:rPr>
        <w:t>Understanding the local context</w:t>
      </w:r>
    </w:p>
    <w:p w:rsidR="002244B6" w:rsidRDefault="002244B6" w:rsidP="002244B6">
      <w:pPr>
        <w:rPr>
          <w:lang w:val="en-GB"/>
        </w:rPr>
      </w:pPr>
      <w:r w:rsidRPr="00571F0B">
        <w:rPr>
          <w:lang w:val="en-GB"/>
        </w:rPr>
        <w:t xml:space="preserve">The design consultations identified </w:t>
      </w:r>
      <w:r>
        <w:rPr>
          <w:lang w:val="en-GB"/>
        </w:rPr>
        <w:t>a pressing</w:t>
      </w:r>
      <w:r w:rsidRPr="00571F0B">
        <w:rPr>
          <w:lang w:val="en-GB"/>
        </w:rPr>
        <w:t xml:space="preserve"> need to improve understanding of the </w:t>
      </w:r>
      <w:r w:rsidR="002D5559">
        <w:rPr>
          <w:lang w:val="en-GB"/>
        </w:rPr>
        <w:t xml:space="preserve">local </w:t>
      </w:r>
      <w:r w:rsidRPr="00571F0B">
        <w:rPr>
          <w:lang w:val="en-GB"/>
        </w:rPr>
        <w:t>operating environm</w:t>
      </w:r>
      <w:r>
        <w:rPr>
          <w:lang w:val="en-GB"/>
        </w:rPr>
        <w:t xml:space="preserve">ent </w:t>
      </w:r>
      <w:r w:rsidR="002D5559">
        <w:rPr>
          <w:lang w:val="en-GB"/>
        </w:rPr>
        <w:t xml:space="preserve">and context </w:t>
      </w:r>
      <w:r>
        <w:rPr>
          <w:lang w:val="en-GB"/>
        </w:rPr>
        <w:t xml:space="preserve">in which </w:t>
      </w:r>
      <w:r w:rsidRPr="00571F0B">
        <w:rPr>
          <w:lang w:val="en-GB"/>
        </w:rPr>
        <w:t>Australian Aid is investing. Large infrastructure investments</w:t>
      </w:r>
      <w:r>
        <w:rPr>
          <w:lang w:val="en-GB"/>
        </w:rPr>
        <w:t>,</w:t>
      </w:r>
      <w:r w:rsidRPr="00571F0B">
        <w:rPr>
          <w:lang w:val="en-GB"/>
        </w:rPr>
        <w:t xml:space="preserve"> for example</w:t>
      </w:r>
      <w:r>
        <w:rPr>
          <w:lang w:val="en-GB"/>
        </w:rPr>
        <w:t>,</w:t>
      </w:r>
      <w:r w:rsidRPr="00571F0B">
        <w:rPr>
          <w:lang w:val="en-GB"/>
        </w:rPr>
        <w:t xml:space="preserve"> can quickly become white elephants if grant recipients have not secured the required on-going operational and maintenance funds through GoPNG </w:t>
      </w:r>
      <w:r>
        <w:rPr>
          <w:lang w:val="en-GB"/>
        </w:rPr>
        <w:t xml:space="preserve">or business </w:t>
      </w:r>
      <w:r w:rsidRPr="00571F0B">
        <w:rPr>
          <w:lang w:val="en-GB"/>
        </w:rPr>
        <w:t xml:space="preserve">mechanisms. It is not enough to connect to other DFAT sectors, IF (IV) must conduct more rigorous </w:t>
      </w:r>
      <w:r w:rsidRPr="00350A70">
        <w:rPr>
          <w:lang w:val="en-GB"/>
        </w:rPr>
        <w:t>local political economy and operating context assessment</w:t>
      </w:r>
      <w:r>
        <w:rPr>
          <w:lang w:val="en-GB"/>
        </w:rPr>
        <w:t xml:space="preserve"> to</w:t>
      </w:r>
      <w:r w:rsidRPr="00571F0B">
        <w:rPr>
          <w:lang w:val="en-GB"/>
        </w:rPr>
        <w:t xml:space="preserve"> ensure linkage to sustainable operational and maintenance funds for public goods, and Australian Aid funded infrastructure. </w:t>
      </w:r>
    </w:p>
    <w:p w:rsidR="002D5559" w:rsidRDefault="002D5559" w:rsidP="002244B6">
      <w:pPr>
        <w:rPr>
          <w:lang w:val="en-GB"/>
        </w:rPr>
      </w:pPr>
    </w:p>
    <w:p w:rsidR="002244B6" w:rsidRPr="00571F0B" w:rsidRDefault="002244B6" w:rsidP="002244B6">
      <w:pPr>
        <w:pStyle w:val="Caption"/>
        <w:rPr>
          <w:lang w:val="en-GB"/>
        </w:rPr>
      </w:pPr>
      <w:bookmarkStart w:id="32" w:name="_Toc403037637"/>
      <w:r>
        <w:t xml:space="preserve">Box </w:t>
      </w:r>
      <w:fldSimple w:instr=" SEQ Box \* ARABIC ">
        <w:r w:rsidR="006C1E87">
          <w:rPr>
            <w:noProof/>
          </w:rPr>
          <w:t>5</w:t>
        </w:r>
      </w:fldSimple>
      <w:r>
        <w:t xml:space="preserve">: </w:t>
      </w:r>
      <w:r>
        <w:rPr>
          <w:lang w:val="en-GB"/>
        </w:rPr>
        <w:t>L</w:t>
      </w:r>
      <w:r w:rsidRPr="00350A70">
        <w:rPr>
          <w:lang w:val="en-GB"/>
        </w:rPr>
        <w:t>ocal political economy and operating context</w:t>
      </w:r>
      <w:r>
        <w:rPr>
          <w:lang w:val="en-GB"/>
        </w:rPr>
        <w:t xml:space="preserve"> assessment</w:t>
      </w:r>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244B6" w:rsidRPr="00571F0B" w:rsidTr="00753230">
        <w:tc>
          <w:tcPr>
            <w:tcW w:w="9016" w:type="dxa"/>
            <w:shd w:val="clear" w:color="auto" w:fill="D6E3BC" w:themeFill="accent3" w:themeFillTint="66"/>
          </w:tcPr>
          <w:p w:rsidR="002244B6" w:rsidRPr="00F940E5" w:rsidRDefault="002244B6" w:rsidP="003E7781">
            <w:pPr>
              <w:pStyle w:val="ListParagraph"/>
              <w:ind w:left="284"/>
              <w:rPr>
                <w:rFonts w:ascii="Arial Narrow" w:hAnsi="Arial Narrow"/>
                <w:sz w:val="20"/>
                <w:lang w:val="en-GB"/>
              </w:rPr>
            </w:pPr>
            <w:r w:rsidRPr="00F940E5">
              <w:rPr>
                <w:rFonts w:ascii="Arial Narrow" w:hAnsi="Arial Narrow"/>
                <w:sz w:val="20"/>
                <w:lang w:val="en-GB"/>
              </w:rPr>
              <w:t xml:space="preserve">Much has been considered in regard to how we link </w:t>
            </w:r>
            <w:r w:rsidR="00F32C27">
              <w:rPr>
                <w:rFonts w:ascii="Arial Narrow" w:hAnsi="Arial Narrow"/>
                <w:sz w:val="20"/>
                <w:lang w:val="en-GB"/>
              </w:rPr>
              <w:t xml:space="preserve">infrastructure delivered by </w:t>
            </w:r>
            <w:r w:rsidR="00F32C27" w:rsidRPr="00F32C27">
              <w:rPr>
                <w:rFonts w:ascii="Arial Narrow" w:hAnsi="Arial Narrow"/>
                <w:sz w:val="20"/>
                <w:lang w:val="en-GB"/>
              </w:rPr>
              <w:t xml:space="preserve">IF (IV) </w:t>
            </w:r>
            <w:r w:rsidRPr="00F940E5">
              <w:rPr>
                <w:rFonts w:ascii="Arial Narrow" w:hAnsi="Arial Narrow"/>
                <w:sz w:val="20"/>
                <w:lang w:val="en-GB"/>
              </w:rPr>
              <w:t xml:space="preserve">and </w:t>
            </w:r>
            <w:r>
              <w:rPr>
                <w:rFonts w:ascii="Arial Narrow" w:hAnsi="Arial Narrow"/>
                <w:sz w:val="20"/>
                <w:lang w:val="en-GB"/>
              </w:rPr>
              <w:t xml:space="preserve">other programs </w:t>
            </w:r>
            <w:r w:rsidRPr="00F940E5">
              <w:rPr>
                <w:rFonts w:ascii="Arial Narrow" w:hAnsi="Arial Narrow"/>
                <w:sz w:val="20"/>
                <w:lang w:val="en-GB"/>
              </w:rPr>
              <w:t>into recurrent budgets to ensure on-going operation and maintenance</w:t>
            </w:r>
            <w:r>
              <w:rPr>
                <w:rFonts w:ascii="Arial Narrow" w:hAnsi="Arial Narrow"/>
                <w:sz w:val="20"/>
                <w:lang w:val="en-GB"/>
              </w:rPr>
              <w:t xml:space="preserve"> of assets</w:t>
            </w:r>
            <w:r w:rsidRPr="00F940E5">
              <w:rPr>
                <w:rFonts w:ascii="Arial Narrow" w:hAnsi="Arial Narrow"/>
                <w:sz w:val="20"/>
                <w:lang w:val="en-GB"/>
              </w:rPr>
              <w:t>. Phase III was driven (post-design) to work closely with the DFAT health and education sectors to expand the infrastructure, contribu</w:t>
            </w:r>
            <w:r>
              <w:rPr>
                <w:rFonts w:ascii="Arial Narrow" w:hAnsi="Arial Narrow"/>
                <w:sz w:val="20"/>
                <w:lang w:val="en-GB"/>
              </w:rPr>
              <w:t>te to expanded service delivery</w:t>
            </w:r>
            <w:r w:rsidRPr="00F940E5">
              <w:rPr>
                <w:rFonts w:ascii="Arial Narrow" w:hAnsi="Arial Narrow"/>
                <w:sz w:val="20"/>
                <w:lang w:val="en-GB"/>
              </w:rPr>
              <w:t xml:space="preserve"> and to secure the required on-going sustainment of any public goods. However</w:t>
            </w:r>
            <w:r>
              <w:rPr>
                <w:rFonts w:ascii="Arial Narrow" w:hAnsi="Arial Narrow"/>
                <w:sz w:val="20"/>
                <w:lang w:val="en-GB"/>
              </w:rPr>
              <w:t>,</w:t>
            </w:r>
            <w:r w:rsidRPr="00F940E5">
              <w:rPr>
                <w:rFonts w:ascii="Arial Narrow" w:hAnsi="Arial Narrow"/>
                <w:sz w:val="20"/>
                <w:lang w:val="en-GB"/>
              </w:rPr>
              <w:t xml:space="preserve"> it is clear that this remains a major sustainability factor that may go beyond the ability of DFAT to influence and control. Australian Aid is working in a particularly difficult operating environment. School fees and around Kina 1.39 Billion</w:t>
            </w:r>
            <w:r w:rsidRPr="00F940E5">
              <w:rPr>
                <w:rStyle w:val="FootnoteReference"/>
                <w:rFonts w:ascii="Arial Narrow" w:hAnsi="Arial Narrow"/>
                <w:sz w:val="20"/>
                <w:lang w:val="en-GB"/>
              </w:rPr>
              <w:footnoteReference w:id="10"/>
            </w:r>
            <w:r w:rsidRPr="00F940E5">
              <w:rPr>
                <w:rFonts w:ascii="Arial Narrow" w:hAnsi="Arial Narrow"/>
                <w:sz w:val="20"/>
                <w:lang w:val="en-GB"/>
              </w:rPr>
              <w:t xml:space="preserve"> circulating annually at the sub-national level through the GoPNG Service Improvement Program (SIP) funding may take payment priority. </w:t>
            </w:r>
            <w:r w:rsidRPr="00F940E5">
              <w:rPr>
                <w:rFonts w:ascii="Arial Narrow" w:hAnsi="Arial Narrow"/>
                <w:sz w:val="20"/>
                <w:lang w:val="en-GB"/>
              </w:rPr>
              <w:lastRenderedPageBreak/>
              <w:t xml:space="preserve">Therefore understanding the </w:t>
            </w:r>
            <w:r>
              <w:rPr>
                <w:rFonts w:ascii="Arial Narrow" w:hAnsi="Arial Narrow"/>
                <w:sz w:val="20"/>
                <w:lang w:val="en-GB"/>
              </w:rPr>
              <w:t xml:space="preserve">local </w:t>
            </w:r>
            <w:r w:rsidRPr="00F940E5">
              <w:rPr>
                <w:rFonts w:ascii="Arial Narrow" w:hAnsi="Arial Narrow"/>
                <w:sz w:val="20"/>
                <w:lang w:val="en-GB"/>
              </w:rPr>
              <w:t xml:space="preserve">operating environment and political economy </w:t>
            </w:r>
            <w:r w:rsidRPr="00F940E5">
              <w:rPr>
                <w:rFonts w:ascii="Arial Narrow" w:hAnsi="Arial Narrow"/>
                <w:i/>
                <w:sz w:val="20"/>
                <w:lang w:val="en-GB"/>
              </w:rPr>
              <w:t>e.g.</w:t>
            </w:r>
            <w:r w:rsidRPr="00F940E5">
              <w:rPr>
                <w:rFonts w:ascii="Arial Narrow" w:hAnsi="Arial Narrow"/>
                <w:sz w:val="20"/>
                <w:lang w:val="en-GB"/>
              </w:rPr>
              <w:t xml:space="preserve"> how well political structures are working with the public service to support public goods, is a critical consideration. Australian Aid needs to understand the local context and the extent to which </w:t>
            </w:r>
            <w:r w:rsidR="002D5559">
              <w:rPr>
                <w:rFonts w:ascii="Arial Narrow" w:hAnsi="Arial Narrow"/>
                <w:sz w:val="20"/>
                <w:lang w:val="en-GB"/>
              </w:rPr>
              <w:t>IF (IV)</w:t>
            </w:r>
            <w:r w:rsidRPr="00F940E5">
              <w:rPr>
                <w:rFonts w:ascii="Arial Narrow" w:hAnsi="Arial Narrow"/>
                <w:sz w:val="20"/>
                <w:lang w:val="en-GB"/>
              </w:rPr>
              <w:t xml:space="preserve"> infrastructure, whether delivered by Provincial Government, Statutory Authorities, Civil Society Organisations, Faith Based Organisations or the Private Sector, will be funded for its continued operation and maintenance. </w:t>
            </w:r>
            <w:r>
              <w:rPr>
                <w:rFonts w:ascii="Arial Narrow" w:hAnsi="Arial Narrow"/>
                <w:sz w:val="20"/>
                <w:lang w:val="en-GB"/>
              </w:rPr>
              <w:t xml:space="preserve">Establishing how local political economy and operating context assessments will be delivered in Stages 3 and 4 of the application process will require input from all </w:t>
            </w:r>
            <w:r w:rsidR="003E7781">
              <w:rPr>
                <w:rFonts w:ascii="Arial Narrow" w:hAnsi="Arial Narrow"/>
                <w:sz w:val="20"/>
                <w:lang w:val="en-GB"/>
              </w:rPr>
              <w:t>s</w:t>
            </w:r>
            <w:r>
              <w:rPr>
                <w:rFonts w:ascii="Arial Narrow" w:hAnsi="Arial Narrow"/>
                <w:sz w:val="20"/>
                <w:lang w:val="en-GB"/>
              </w:rPr>
              <w:t xml:space="preserve">ectors. </w:t>
            </w:r>
          </w:p>
        </w:tc>
      </w:tr>
    </w:tbl>
    <w:p w:rsidR="002244B6" w:rsidRDefault="002D5559" w:rsidP="002244B6">
      <w:pPr>
        <w:pStyle w:val="ListParagraph"/>
        <w:spacing w:before="0" w:after="0"/>
        <w:ind w:left="0"/>
        <w:rPr>
          <w:lang w:val="en-GB"/>
        </w:rPr>
      </w:pPr>
      <w:r>
        <w:rPr>
          <w:lang w:val="en-GB"/>
        </w:rPr>
        <w:lastRenderedPageBreak/>
        <w:t>L</w:t>
      </w:r>
      <w:r w:rsidRPr="002D5559">
        <w:rPr>
          <w:lang w:val="en-GB"/>
        </w:rPr>
        <w:t>ocal political economy and operating context assessment</w:t>
      </w:r>
      <w:r>
        <w:rPr>
          <w:lang w:val="en-GB"/>
        </w:rPr>
        <w:t>s wi</w:t>
      </w:r>
      <w:r w:rsidR="00D62264">
        <w:rPr>
          <w:lang w:val="en-GB"/>
        </w:rPr>
        <w:t>l</w:t>
      </w:r>
      <w:r>
        <w:rPr>
          <w:lang w:val="en-GB"/>
        </w:rPr>
        <w:t>l enable IF (IV) to identify r</w:t>
      </w:r>
      <w:r w:rsidRPr="002D5559">
        <w:rPr>
          <w:lang w:val="en-GB"/>
        </w:rPr>
        <w:t xml:space="preserve">isks and </w:t>
      </w:r>
      <w:r>
        <w:rPr>
          <w:lang w:val="en-GB"/>
        </w:rPr>
        <w:t xml:space="preserve">confirm risk </w:t>
      </w:r>
      <w:r w:rsidRPr="002D5559">
        <w:rPr>
          <w:lang w:val="en-GB"/>
        </w:rPr>
        <w:t xml:space="preserve">mitigation strategies. If risks cannot be </w:t>
      </w:r>
      <w:r>
        <w:rPr>
          <w:lang w:val="en-GB"/>
        </w:rPr>
        <w:t xml:space="preserve">clearly identified and </w:t>
      </w:r>
      <w:r w:rsidRPr="002D5559">
        <w:rPr>
          <w:lang w:val="en-GB"/>
        </w:rPr>
        <w:t>managed then investment priority should be diverted elsewhere.</w:t>
      </w:r>
    </w:p>
    <w:p w:rsidR="002D5559" w:rsidRDefault="002D5559" w:rsidP="002244B6">
      <w:pPr>
        <w:pStyle w:val="ListParagraph"/>
        <w:spacing w:before="0" w:after="0"/>
        <w:ind w:left="0"/>
        <w:rPr>
          <w:lang w:val="en-GB"/>
        </w:rPr>
      </w:pPr>
    </w:p>
    <w:p w:rsidR="002244B6" w:rsidRDefault="002244B6" w:rsidP="002244B6">
      <w:pPr>
        <w:pStyle w:val="ListParagraph"/>
        <w:spacing w:before="0" w:after="0"/>
        <w:ind w:left="0"/>
        <w:rPr>
          <w:lang w:val="en-GB"/>
        </w:rPr>
      </w:pPr>
      <w:r w:rsidRPr="00571F0B">
        <w:rPr>
          <w:lang w:val="en-GB"/>
        </w:rPr>
        <w:t>Discussions with a National Economic and Fiscal Commission (NEFC) Adviser identified that the main risks or issues Australian Aid needs to navigate in regard to engaging with significant allocations to SIPs, or navigating around them, include:</w:t>
      </w:r>
    </w:p>
    <w:p w:rsidR="002D5559" w:rsidRPr="00571F0B" w:rsidRDefault="002D5559" w:rsidP="002244B6">
      <w:pPr>
        <w:pStyle w:val="ListParagraph"/>
        <w:spacing w:before="0" w:after="0"/>
        <w:ind w:left="0"/>
        <w:rPr>
          <w:lang w:val="en-GB"/>
        </w:rPr>
      </w:pPr>
    </w:p>
    <w:p w:rsidR="002244B6" w:rsidRPr="00571F0B" w:rsidRDefault="002244B6" w:rsidP="00A82AAB">
      <w:pPr>
        <w:pStyle w:val="ListParagraph"/>
        <w:numPr>
          <w:ilvl w:val="0"/>
          <w:numId w:val="32"/>
        </w:numPr>
        <w:spacing w:before="0" w:after="0"/>
        <w:ind w:left="284" w:hanging="284"/>
        <w:rPr>
          <w:lang w:val="en-GB"/>
        </w:rPr>
      </w:pPr>
      <w:r w:rsidRPr="00571F0B">
        <w:rPr>
          <w:lang w:val="en-GB"/>
        </w:rPr>
        <w:t>The variety of views and agen</w:t>
      </w:r>
      <w:r>
        <w:rPr>
          <w:lang w:val="en-GB"/>
        </w:rPr>
        <w:t>da</w:t>
      </w:r>
      <w:r w:rsidRPr="00571F0B">
        <w:rPr>
          <w:lang w:val="en-GB"/>
        </w:rPr>
        <w:t>s present in the development / capital area</w:t>
      </w:r>
      <w:r>
        <w:rPr>
          <w:lang w:val="en-GB"/>
        </w:rPr>
        <w:t>.</w:t>
      </w:r>
    </w:p>
    <w:p w:rsidR="002244B6" w:rsidRPr="00422DDC" w:rsidRDefault="002244B6" w:rsidP="002244B6">
      <w:pPr>
        <w:pStyle w:val="ListParagraph"/>
        <w:spacing w:before="0" w:after="0"/>
        <w:ind w:left="284" w:hanging="284"/>
        <w:rPr>
          <w:sz w:val="16"/>
          <w:szCs w:val="16"/>
          <w:lang w:val="en-GB"/>
        </w:rPr>
      </w:pPr>
    </w:p>
    <w:p w:rsidR="002244B6" w:rsidRPr="00571F0B" w:rsidRDefault="002244B6" w:rsidP="00A82AAB">
      <w:pPr>
        <w:pStyle w:val="ListParagraph"/>
        <w:numPr>
          <w:ilvl w:val="0"/>
          <w:numId w:val="32"/>
        </w:numPr>
        <w:spacing w:before="0" w:after="0"/>
        <w:ind w:left="284" w:hanging="284"/>
        <w:rPr>
          <w:lang w:val="en-GB"/>
        </w:rPr>
      </w:pPr>
      <w:r w:rsidRPr="00571F0B">
        <w:rPr>
          <w:lang w:val="en-GB"/>
        </w:rPr>
        <w:t>The fragmentation and lost linkages between the various levels and units of government. For example, building a classroom or school may seem good and noble and yet it has</w:t>
      </w:r>
      <w:r>
        <w:rPr>
          <w:lang w:val="en-GB"/>
        </w:rPr>
        <w:t xml:space="preserve"> massive flow-on consequences. </w:t>
      </w:r>
      <w:r w:rsidRPr="00571F0B">
        <w:rPr>
          <w:lang w:val="en-GB"/>
        </w:rPr>
        <w:t>The vario</w:t>
      </w:r>
      <w:r>
        <w:rPr>
          <w:lang w:val="en-GB"/>
        </w:rPr>
        <w:t>us actors who are responsible for enabling</w:t>
      </w:r>
      <w:r w:rsidRPr="00571F0B">
        <w:rPr>
          <w:lang w:val="en-GB"/>
        </w:rPr>
        <w:t xml:space="preserve"> and sustain</w:t>
      </w:r>
      <w:r>
        <w:rPr>
          <w:lang w:val="en-GB"/>
        </w:rPr>
        <w:t>ing</w:t>
      </w:r>
      <w:r w:rsidRPr="00571F0B">
        <w:rPr>
          <w:lang w:val="en-GB"/>
        </w:rPr>
        <w:t xml:space="preserve"> the new development may not have been party to the decision to create it.</w:t>
      </w:r>
    </w:p>
    <w:p w:rsidR="002244B6" w:rsidRPr="00F940E5" w:rsidRDefault="002244B6" w:rsidP="002244B6">
      <w:pPr>
        <w:pStyle w:val="ListParagraph"/>
        <w:spacing w:before="0" w:after="0"/>
        <w:ind w:left="284" w:hanging="284"/>
        <w:rPr>
          <w:sz w:val="16"/>
          <w:szCs w:val="16"/>
          <w:lang w:val="en-GB"/>
        </w:rPr>
      </w:pPr>
    </w:p>
    <w:p w:rsidR="002244B6" w:rsidRPr="00571F0B" w:rsidRDefault="002244B6" w:rsidP="00A82AAB">
      <w:pPr>
        <w:pStyle w:val="ListParagraph"/>
        <w:numPr>
          <w:ilvl w:val="0"/>
          <w:numId w:val="32"/>
        </w:numPr>
        <w:spacing w:before="0" w:after="0"/>
        <w:ind w:left="284" w:hanging="284"/>
        <w:rPr>
          <w:lang w:val="en-GB"/>
        </w:rPr>
      </w:pPr>
      <w:r w:rsidRPr="00571F0B">
        <w:rPr>
          <w:lang w:val="en-GB"/>
        </w:rPr>
        <w:t xml:space="preserve">Duplication or </w:t>
      </w:r>
      <w:r>
        <w:rPr>
          <w:lang w:val="en-GB"/>
        </w:rPr>
        <w:t>displacement;</w:t>
      </w:r>
      <w:r w:rsidRPr="00571F0B">
        <w:rPr>
          <w:lang w:val="en-GB"/>
        </w:rPr>
        <w:t xml:space="preserve"> with so much development/capital funding flowing </w:t>
      </w:r>
      <w:r>
        <w:rPr>
          <w:lang w:val="en-GB"/>
        </w:rPr>
        <w:t xml:space="preserve">it may be </w:t>
      </w:r>
      <w:r w:rsidRPr="00571F0B">
        <w:rPr>
          <w:lang w:val="en-GB"/>
        </w:rPr>
        <w:t xml:space="preserve">difficult for the </w:t>
      </w:r>
      <w:r w:rsidR="00F32C27" w:rsidRPr="00F32C27">
        <w:rPr>
          <w:lang w:val="en-GB"/>
        </w:rPr>
        <w:t xml:space="preserve">IF (IV) </w:t>
      </w:r>
      <w:r w:rsidRPr="00571F0B">
        <w:rPr>
          <w:lang w:val="en-GB"/>
        </w:rPr>
        <w:t xml:space="preserve">to remain relevant. Potentially the ‘incentive’ dynamic may have to change. In the past the incentive was dual, being able to access capital funding and project management capacity to implement it. More recently the greater incentive may be the offer of ‘project management capacity to implement’, so linking incentive fund technical capacity to SIP funding </w:t>
      </w:r>
      <w:r>
        <w:rPr>
          <w:lang w:val="en-GB"/>
        </w:rPr>
        <w:t>could be an</w:t>
      </w:r>
      <w:r w:rsidRPr="00571F0B">
        <w:rPr>
          <w:lang w:val="en-GB"/>
        </w:rPr>
        <w:t xml:space="preserve"> opportunity</w:t>
      </w:r>
      <w:r>
        <w:rPr>
          <w:lang w:val="en-GB"/>
        </w:rPr>
        <w:t>.</w:t>
      </w:r>
    </w:p>
    <w:p w:rsidR="002244B6" w:rsidRPr="00F940E5" w:rsidRDefault="002244B6" w:rsidP="002244B6">
      <w:pPr>
        <w:pStyle w:val="ListParagraph"/>
        <w:spacing w:before="0" w:after="0"/>
        <w:ind w:left="284" w:hanging="284"/>
        <w:rPr>
          <w:sz w:val="16"/>
          <w:szCs w:val="16"/>
          <w:lang w:val="en-GB"/>
        </w:rPr>
      </w:pPr>
    </w:p>
    <w:p w:rsidR="002244B6" w:rsidRPr="00571F0B" w:rsidRDefault="002244B6" w:rsidP="00A82AAB">
      <w:pPr>
        <w:pStyle w:val="ListParagraph"/>
        <w:numPr>
          <w:ilvl w:val="0"/>
          <w:numId w:val="32"/>
        </w:numPr>
        <w:spacing w:before="0" w:after="0"/>
        <w:ind w:left="284" w:hanging="284"/>
        <w:rPr>
          <w:lang w:val="en-GB"/>
        </w:rPr>
      </w:pPr>
      <w:r w:rsidRPr="00571F0B">
        <w:rPr>
          <w:lang w:val="en-GB"/>
        </w:rPr>
        <w:t xml:space="preserve">With the SIP funding flowing mainly to the district level there is still an opportunity and need for </w:t>
      </w:r>
      <w:r w:rsidR="00F32C27" w:rsidRPr="00F32C27">
        <w:rPr>
          <w:lang w:val="en-GB"/>
        </w:rPr>
        <w:t xml:space="preserve">IF (IV) </w:t>
      </w:r>
      <w:r w:rsidRPr="00571F0B">
        <w:rPr>
          <w:lang w:val="en-GB"/>
        </w:rPr>
        <w:t>to support leading service delivery entities in areas such as education, health and economic development. We know there are real issues in education and health and some are hugely strategic, i.e. the declining</w:t>
      </w:r>
      <w:r w:rsidR="00F32C27">
        <w:rPr>
          <w:lang w:val="en-GB"/>
        </w:rPr>
        <w:t xml:space="preserve"> number of doctors and nurses. </w:t>
      </w:r>
      <w:r w:rsidRPr="00571F0B">
        <w:rPr>
          <w:lang w:val="en-GB"/>
        </w:rPr>
        <w:t xml:space="preserve">So </w:t>
      </w:r>
      <w:r w:rsidR="00F32C27" w:rsidRPr="00F32C27">
        <w:rPr>
          <w:lang w:val="en-GB"/>
        </w:rPr>
        <w:t xml:space="preserve">IF (IV) </w:t>
      </w:r>
      <w:r w:rsidRPr="00571F0B">
        <w:rPr>
          <w:lang w:val="en-GB"/>
        </w:rPr>
        <w:t>could support strategic high-performing schools, training institutions, clinics, hospitals with capital funding and project management support, on the basis they are less likely to benefit from the localised SIP funding and on the basis these entities are critical ‘leaders’ for others to aspire to.</w:t>
      </w:r>
    </w:p>
    <w:p w:rsidR="002244B6" w:rsidRPr="00F940E5" w:rsidRDefault="002244B6" w:rsidP="002244B6">
      <w:pPr>
        <w:pStyle w:val="ListParagraph"/>
        <w:spacing w:before="0" w:after="0"/>
        <w:ind w:left="284" w:hanging="284"/>
        <w:rPr>
          <w:sz w:val="16"/>
          <w:szCs w:val="16"/>
          <w:lang w:val="en-GB"/>
        </w:rPr>
      </w:pPr>
    </w:p>
    <w:p w:rsidR="002244B6" w:rsidRPr="002244B6" w:rsidRDefault="002244B6" w:rsidP="00A82AAB">
      <w:pPr>
        <w:pStyle w:val="ListParagraph"/>
        <w:numPr>
          <w:ilvl w:val="0"/>
          <w:numId w:val="32"/>
        </w:numPr>
        <w:spacing w:before="0" w:after="0"/>
        <w:ind w:left="284" w:hanging="284"/>
        <w:rPr>
          <w:lang w:val="en-GB"/>
        </w:rPr>
      </w:pPr>
      <w:r w:rsidRPr="002244B6">
        <w:rPr>
          <w:lang w:val="en-GB"/>
        </w:rPr>
        <w:t xml:space="preserve">Co-funding (Kina for Kina) arrangements are difficult. The concept has obvious merit but how it gets worked out in practice seems to have a sketchy history in PNG. Various parties have tried. Given the challenges, if this is put forward as an </w:t>
      </w:r>
      <w:r w:rsidR="00F32C27" w:rsidRPr="00F32C27">
        <w:rPr>
          <w:lang w:val="en-GB"/>
        </w:rPr>
        <w:t xml:space="preserve">IF (IV) </w:t>
      </w:r>
      <w:r w:rsidRPr="002244B6">
        <w:rPr>
          <w:lang w:val="en-GB"/>
        </w:rPr>
        <w:t>concept, it is critical that a background study reviews lessons learned and best approaches for co-funding in PNG.  The Asian Development Bank may be investigating co-funding arrangements using SIP funds in the transport infrastructure domain, so there is potentially the opportunity for joint research and analysis.</w:t>
      </w:r>
    </w:p>
    <w:p w:rsidR="009E3AE3" w:rsidRPr="00571F0B" w:rsidRDefault="009E3AE3" w:rsidP="00C05D33">
      <w:pPr>
        <w:spacing w:before="0" w:after="0"/>
        <w:rPr>
          <w:lang w:val="en-GB"/>
        </w:rPr>
      </w:pPr>
    </w:p>
    <w:p w:rsidR="00C30390" w:rsidRPr="00571F0B" w:rsidRDefault="00C30390" w:rsidP="00BE7C9E">
      <w:pPr>
        <w:pStyle w:val="Heading2"/>
        <w:rPr>
          <w:lang w:val="en-GB"/>
        </w:rPr>
      </w:pPr>
      <w:bookmarkStart w:id="33" w:name="_Toc403037569"/>
      <w:r w:rsidRPr="00571F0B">
        <w:rPr>
          <w:lang w:val="en-GB"/>
        </w:rPr>
        <w:t xml:space="preserve">Eligible </w:t>
      </w:r>
      <w:r w:rsidR="000F29CD" w:rsidRPr="00571F0B">
        <w:rPr>
          <w:lang w:val="en-GB"/>
        </w:rPr>
        <w:t xml:space="preserve">and Non-eligible </w:t>
      </w:r>
      <w:r w:rsidRPr="00571F0B">
        <w:rPr>
          <w:lang w:val="en-GB"/>
        </w:rPr>
        <w:t>organisations</w:t>
      </w:r>
      <w:bookmarkEnd w:id="33"/>
    </w:p>
    <w:p w:rsidR="000F29CD" w:rsidRDefault="00B44502" w:rsidP="00BE7C9E">
      <w:pPr>
        <w:pStyle w:val="Heading3"/>
        <w:rPr>
          <w:lang w:val="en-GB"/>
        </w:rPr>
      </w:pPr>
      <w:r>
        <w:rPr>
          <w:lang w:val="en-GB"/>
        </w:rPr>
        <w:t>Eligible organisations:</w:t>
      </w:r>
    </w:p>
    <w:p w:rsidR="006147C5" w:rsidRPr="00F940E5" w:rsidRDefault="006147C5" w:rsidP="00F940E5">
      <w:pPr>
        <w:spacing w:before="0" w:after="0"/>
        <w:rPr>
          <w:sz w:val="16"/>
          <w:szCs w:val="16"/>
          <w:lang w:val="en-GB"/>
        </w:rPr>
      </w:pPr>
      <w:r>
        <w:rPr>
          <w:lang w:val="en-GB"/>
        </w:rPr>
        <w:t>There will be a</w:t>
      </w:r>
      <w:r w:rsidRPr="006147C5">
        <w:rPr>
          <w:lang w:val="en-GB"/>
        </w:rPr>
        <w:t xml:space="preserve"> wide range of organisations that meet the ‘gateway’ entry criteria </w:t>
      </w:r>
      <w:r>
        <w:rPr>
          <w:lang w:val="en-GB"/>
        </w:rPr>
        <w:t>and become</w:t>
      </w:r>
      <w:r w:rsidRPr="006147C5">
        <w:rPr>
          <w:lang w:val="en-GB"/>
        </w:rPr>
        <w:t xml:space="preserve"> eligible to apply for funding</w:t>
      </w:r>
      <w:r>
        <w:rPr>
          <w:lang w:val="en-GB"/>
        </w:rPr>
        <w:t>. The intent is not to exclude organisation</w:t>
      </w:r>
      <w:r w:rsidR="00A376C5">
        <w:rPr>
          <w:lang w:val="en-GB"/>
        </w:rPr>
        <w:t>s</w:t>
      </w:r>
      <w:r>
        <w:rPr>
          <w:lang w:val="en-GB"/>
        </w:rPr>
        <w:t xml:space="preserve"> that can make a valuable contribution to achieving the required </w:t>
      </w:r>
      <w:r w:rsidR="0095356B">
        <w:rPr>
          <w:lang w:val="en-GB"/>
        </w:rPr>
        <w:t xml:space="preserve">IF (IV) </w:t>
      </w:r>
      <w:r>
        <w:rPr>
          <w:lang w:val="en-GB"/>
        </w:rPr>
        <w:t xml:space="preserve">end-of-program position. As per Phase III, eligible organisations for IF (IV) </w:t>
      </w:r>
      <w:r w:rsidR="0095356B">
        <w:rPr>
          <w:lang w:val="en-GB"/>
        </w:rPr>
        <w:t>are</w:t>
      </w:r>
      <w:r>
        <w:rPr>
          <w:lang w:val="en-GB"/>
        </w:rPr>
        <w:t xml:space="preserve"> expected to include</w:t>
      </w:r>
      <w:r w:rsidRPr="006147C5">
        <w:rPr>
          <w:lang w:val="en-GB"/>
        </w:rPr>
        <w:t xml:space="preserve">: </w:t>
      </w:r>
    </w:p>
    <w:p w:rsidR="000F29CD" w:rsidRPr="00571F0B" w:rsidRDefault="000F29CD" w:rsidP="00A82AAB">
      <w:pPr>
        <w:pStyle w:val="ListParagraph"/>
        <w:numPr>
          <w:ilvl w:val="0"/>
          <w:numId w:val="20"/>
        </w:numPr>
        <w:spacing w:before="0" w:after="0"/>
        <w:ind w:left="284" w:hanging="284"/>
        <w:jc w:val="left"/>
        <w:rPr>
          <w:lang w:val="en-GB"/>
        </w:rPr>
      </w:pPr>
      <w:r w:rsidRPr="00571F0B">
        <w:rPr>
          <w:lang w:val="en-GB"/>
        </w:rPr>
        <w:t xml:space="preserve">provincial and local-level governments </w:t>
      </w:r>
      <w:r w:rsidR="00F940E5">
        <w:rPr>
          <w:lang w:val="en-GB"/>
        </w:rPr>
        <w:t>and their trading organisations</w:t>
      </w:r>
      <w:r w:rsidR="00A376C5">
        <w:rPr>
          <w:lang w:val="en-GB"/>
        </w:rPr>
        <w:t>;</w:t>
      </w:r>
    </w:p>
    <w:p w:rsidR="000F29CD" w:rsidRPr="00571F0B" w:rsidRDefault="000F29CD" w:rsidP="00A82AAB">
      <w:pPr>
        <w:pStyle w:val="ListParagraph"/>
        <w:numPr>
          <w:ilvl w:val="0"/>
          <w:numId w:val="20"/>
        </w:numPr>
        <w:spacing w:before="0" w:after="0"/>
        <w:ind w:left="284" w:hanging="284"/>
        <w:jc w:val="left"/>
        <w:rPr>
          <w:lang w:val="en-GB"/>
        </w:rPr>
      </w:pPr>
      <w:r w:rsidRPr="00571F0B">
        <w:rPr>
          <w:lang w:val="en-GB"/>
        </w:rPr>
        <w:lastRenderedPageBreak/>
        <w:t xml:space="preserve">statutory non-commercial government authorities </w:t>
      </w:r>
      <w:r w:rsidRPr="00F940E5">
        <w:rPr>
          <w:i/>
          <w:lang w:val="en-GB"/>
        </w:rPr>
        <w:t>e.g</w:t>
      </w:r>
      <w:r w:rsidR="00F940E5">
        <w:rPr>
          <w:lang w:val="en-GB"/>
        </w:rPr>
        <w:t>.</w:t>
      </w:r>
      <w:r w:rsidRPr="00571F0B">
        <w:rPr>
          <w:lang w:val="en-GB"/>
        </w:rPr>
        <w:t xml:space="preserve"> research organisations, univ</w:t>
      </w:r>
      <w:r w:rsidR="00F940E5">
        <w:rPr>
          <w:lang w:val="en-GB"/>
        </w:rPr>
        <w:t>ersities, schools and hospitals</w:t>
      </w:r>
      <w:r w:rsidR="00A376C5">
        <w:rPr>
          <w:lang w:val="en-GB"/>
        </w:rPr>
        <w:t>;</w:t>
      </w:r>
    </w:p>
    <w:p w:rsidR="000F29CD" w:rsidRPr="00571F0B" w:rsidRDefault="000F29CD" w:rsidP="00A82AAB">
      <w:pPr>
        <w:pStyle w:val="ListParagraph"/>
        <w:numPr>
          <w:ilvl w:val="0"/>
          <w:numId w:val="20"/>
        </w:numPr>
        <w:spacing w:before="0" w:after="0"/>
        <w:ind w:left="284" w:hanging="284"/>
        <w:jc w:val="left"/>
        <w:rPr>
          <w:lang w:val="en-GB"/>
        </w:rPr>
      </w:pPr>
      <w:r w:rsidRPr="00571F0B">
        <w:rPr>
          <w:lang w:val="en-GB"/>
        </w:rPr>
        <w:t>community organisations including non-governmental organisations (NGO), faith based organisations, women's organisations, and local offices of international non</w:t>
      </w:r>
      <w:r w:rsidR="00F940E5">
        <w:rPr>
          <w:lang w:val="en-GB"/>
        </w:rPr>
        <w:t>-governmental organisations</w:t>
      </w:r>
      <w:r w:rsidR="00A376C5">
        <w:rPr>
          <w:lang w:val="en-GB"/>
        </w:rPr>
        <w:t>;</w:t>
      </w:r>
    </w:p>
    <w:p w:rsidR="000F29CD" w:rsidRPr="00571F0B" w:rsidRDefault="00460633" w:rsidP="00A82AAB">
      <w:pPr>
        <w:pStyle w:val="ListParagraph"/>
        <w:numPr>
          <w:ilvl w:val="0"/>
          <w:numId w:val="20"/>
        </w:numPr>
        <w:spacing w:before="0" w:after="0"/>
        <w:ind w:left="284" w:hanging="284"/>
        <w:jc w:val="left"/>
        <w:rPr>
          <w:lang w:val="en-GB"/>
        </w:rPr>
      </w:pPr>
      <w:proofErr w:type="gramStart"/>
      <w:r>
        <w:rPr>
          <w:lang w:val="en-GB"/>
        </w:rPr>
        <w:t>in</w:t>
      </w:r>
      <w:proofErr w:type="gramEnd"/>
      <w:r>
        <w:rPr>
          <w:lang w:val="en-GB"/>
        </w:rPr>
        <w:t xml:space="preserve"> Phase III the following private sector funding was eligible: </w:t>
      </w:r>
      <w:r w:rsidR="000F29CD" w:rsidRPr="00571F0B">
        <w:rPr>
          <w:lang w:val="en-GB"/>
        </w:rPr>
        <w:t xml:space="preserve">private sector organisations that directly benefit a targeted community – </w:t>
      </w:r>
      <w:r w:rsidR="000F29CD" w:rsidRPr="00F940E5">
        <w:rPr>
          <w:i/>
          <w:lang w:val="en-GB"/>
        </w:rPr>
        <w:t>e.g</w:t>
      </w:r>
      <w:r w:rsidR="000F29CD" w:rsidRPr="00571F0B">
        <w:rPr>
          <w:lang w:val="en-GB"/>
        </w:rPr>
        <w:t>. construction of a market owned by a community through a company formed by urban or district councils.  This includes corporate entities such as joint ventures, partnerships and trusts. It also includes unincorporated entities such as clubs, societie</w:t>
      </w:r>
      <w:r w:rsidR="00F940E5">
        <w:rPr>
          <w:lang w:val="en-GB"/>
        </w:rPr>
        <w:t>s, and special interest groups.</w:t>
      </w:r>
      <w:r>
        <w:rPr>
          <w:lang w:val="en-GB"/>
        </w:rPr>
        <w:t xml:space="preserve"> In IF (IV) confirmation in regard to what </w:t>
      </w:r>
      <w:r w:rsidR="0047297C">
        <w:rPr>
          <w:lang w:val="en-GB"/>
        </w:rPr>
        <w:t xml:space="preserve">types of joint ventures would be allowable will need to be sought. The intent of IF (IV) is to engage the private sector in addressing PNG development priorities through their business practice, which may include for examples support to joint ventures. Precisely how IF (IV) supports the private sector is an emerging consideration for Australian Aid and IF (IV) can actively participate in this discussion and pilot support. </w:t>
      </w:r>
    </w:p>
    <w:p w:rsidR="00B44502" w:rsidRPr="00F940E5" w:rsidRDefault="00B44502" w:rsidP="000F29CD">
      <w:pPr>
        <w:rPr>
          <w:sz w:val="16"/>
          <w:szCs w:val="16"/>
          <w:lang w:val="en-GB"/>
        </w:rPr>
      </w:pPr>
    </w:p>
    <w:p w:rsidR="000F29CD" w:rsidRDefault="000F29CD" w:rsidP="000F29CD">
      <w:pPr>
        <w:rPr>
          <w:lang w:val="en-GB"/>
        </w:rPr>
      </w:pPr>
      <w:r w:rsidRPr="00571F0B">
        <w:rPr>
          <w:lang w:val="en-GB"/>
        </w:rPr>
        <w:t>Organisations funded under previous phases of the Incentive Fund may re-apply for funding new projects</w:t>
      </w:r>
      <w:r w:rsidR="00F32C27">
        <w:rPr>
          <w:lang w:val="en-GB"/>
        </w:rPr>
        <w:t>,</w:t>
      </w:r>
      <w:r w:rsidRPr="00571F0B">
        <w:rPr>
          <w:lang w:val="en-GB"/>
        </w:rPr>
        <w:t xml:space="preserve"> but priority will be g</w:t>
      </w:r>
      <w:r w:rsidR="00B44502">
        <w:rPr>
          <w:lang w:val="en-GB"/>
        </w:rPr>
        <w:t>iven to new effective partners.</w:t>
      </w:r>
    </w:p>
    <w:p w:rsidR="00B44502" w:rsidRPr="00571F0B" w:rsidRDefault="00B44502" w:rsidP="000F29CD">
      <w:pPr>
        <w:rPr>
          <w:lang w:val="en-GB"/>
        </w:rPr>
      </w:pPr>
    </w:p>
    <w:p w:rsidR="000F29CD" w:rsidRDefault="000F29CD" w:rsidP="00BE7C9E">
      <w:pPr>
        <w:pStyle w:val="Heading3"/>
        <w:rPr>
          <w:lang w:val="en-GB"/>
        </w:rPr>
      </w:pPr>
      <w:r w:rsidRPr="00571F0B">
        <w:rPr>
          <w:lang w:val="en-GB"/>
        </w:rPr>
        <w:t>Non-Eligibl</w:t>
      </w:r>
      <w:r w:rsidR="00F940E5">
        <w:rPr>
          <w:lang w:val="en-GB"/>
        </w:rPr>
        <w:t>e organisations</w:t>
      </w:r>
    </w:p>
    <w:p w:rsidR="00F940E5" w:rsidRPr="00F940E5" w:rsidRDefault="006147C5" w:rsidP="00F940E5">
      <w:pPr>
        <w:spacing w:before="0" w:after="0"/>
        <w:rPr>
          <w:sz w:val="16"/>
          <w:szCs w:val="16"/>
          <w:lang w:val="en-GB"/>
        </w:rPr>
      </w:pPr>
      <w:r w:rsidRPr="006147C5">
        <w:rPr>
          <w:lang w:val="en-GB"/>
        </w:rPr>
        <w:t xml:space="preserve">There </w:t>
      </w:r>
      <w:r>
        <w:rPr>
          <w:lang w:val="en-GB"/>
        </w:rPr>
        <w:t>were</w:t>
      </w:r>
      <w:r w:rsidRPr="006147C5">
        <w:rPr>
          <w:lang w:val="en-GB"/>
        </w:rPr>
        <w:t xml:space="preserve"> </w:t>
      </w:r>
      <w:r>
        <w:rPr>
          <w:lang w:val="en-GB"/>
        </w:rPr>
        <w:t>three</w:t>
      </w:r>
      <w:r w:rsidRPr="006147C5">
        <w:rPr>
          <w:lang w:val="en-GB"/>
        </w:rPr>
        <w:t xml:space="preserve"> </w:t>
      </w:r>
      <w:r>
        <w:rPr>
          <w:lang w:val="en-GB"/>
        </w:rPr>
        <w:t>type</w:t>
      </w:r>
      <w:r w:rsidRPr="006147C5">
        <w:rPr>
          <w:lang w:val="en-GB"/>
        </w:rPr>
        <w:t xml:space="preserve">s of </w:t>
      </w:r>
      <w:r>
        <w:rPr>
          <w:lang w:val="en-GB"/>
        </w:rPr>
        <w:t>organisation that were not be eligible to apply for incentive funding under Phase III and IF (IV) will also continue to exclude two of them from consideration:</w:t>
      </w:r>
    </w:p>
    <w:p w:rsidR="000F29CD" w:rsidRPr="00571F0B" w:rsidRDefault="000F29CD" w:rsidP="00A82AAB">
      <w:pPr>
        <w:numPr>
          <w:ilvl w:val="0"/>
          <w:numId w:val="20"/>
        </w:numPr>
        <w:spacing w:before="0" w:after="0"/>
        <w:ind w:left="284" w:hanging="284"/>
        <w:jc w:val="left"/>
        <w:rPr>
          <w:lang w:val="en-GB"/>
        </w:rPr>
      </w:pPr>
      <w:r w:rsidRPr="00571F0B">
        <w:rPr>
          <w:lang w:val="en-GB"/>
        </w:rPr>
        <w:t>national government departments</w:t>
      </w:r>
      <w:r w:rsidR="00A376C5">
        <w:rPr>
          <w:lang w:val="en-GB"/>
        </w:rPr>
        <w:t>; and</w:t>
      </w:r>
    </w:p>
    <w:p w:rsidR="000F29CD" w:rsidRPr="00571F0B" w:rsidRDefault="00A376C5" w:rsidP="00A82AAB">
      <w:pPr>
        <w:numPr>
          <w:ilvl w:val="0"/>
          <w:numId w:val="20"/>
        </w:numPr>
        <w:spacing w:before="0" w:after="0"/>
        <w:ind w:left="284" w:hanging="284"/>
        <w:jc w:val="left"/>
        <w:rPr>
          <w:lang w:val="en-GB"/>
        </w:rPr>
      </w:pPr>
      <w:proofErr w:type="gramStart"/>
      <w:r>
        <w:rPr>
          <w:lang w:val="en-GB"/>
        </w:rPr>
        <w:t>commercial</w:t>
      </w:r>
      <w:proofErr w:type="gramEnd"/>
      <w:r>
        <w:rPr>
          <w:lang w:val="en-GB"/>
        </w:rPr>
        <w:t xml:space="preserve"> statutory bodies.</w:t>
      </w:r>
    </w:p>
    <w:p w:rsidR="000F29CD" w:rsidRPr="00F940E5" w:rsidRDefault="000F29CD" w:rsidP="00F940E5">
      <w:pPr>
        <w:spacing w:before="0" w:after="0"/>
        <w:rPr>
          <w:sz w:val="16"/>
          <w:szCs w:val="16"/>
          <w:lang w:val="en-GB"/>
        </w:rPr>
      </w:pPr>
    </w:p>
    <w:p w:rsidR="0094638E" w:rsidRPr="00571F0B" w:rsidRDefault="0094638E" w:rsidP="00BE7C9E">
      <w:pPr>
        <w:pStyle w:val="Heading3"/>
        <w:rPr>
          <w:lang w:val="en-GB"/>
        </w:rPr>
      </w:pPr>
      <w:r w:rsidRPr="00571F0B">
        <w:rPr>
          <w:lang w:val="en-GB"/>
        </w:rPr>
        <w:t>Activities that will not be funded</w:t>
      </w:r>
    </w:p>
    <w:p w:rsidR="0094638E" w:rsidRPr="00571F0B" w:rsidRDefault="0094638E" w:rsidP="00F940E5">
      <w:pPr>
        <w:spacing w:before="0" w:after="0"/>
        <w:rPr>
          <w:lang w:val="en-GB"/>
        </w:rPr>
      </w:pPr>
      <w:r w:rsidRPr="00571F0B">
        <w:rPr>
          <w:lang w:val="en-GB"/>
        </w:rPr>
        <w:t>Proposals will be varied and it is difficult to make a complete list of those activities that will be considered for funding</w:t>
      </w:r>
      <w:r w:rsidR="0095356B">
        <w:rPr>
          <w:lang w:val="en-GB"/>
        </w:rPr>
        <w:t xml:space="preserve">. At </w:t>
      </w:r>
      <w:r w:rsidR="00A376C5">
        <w:rPr>
          <w:lang w:val="en-GB"/>
        </w:rPr>
        <w:t>the start of IF</w:t>
      </w:r>
      <w:r w:rsidRPr="00571F0B">
        <w:rPr>
          <w:lang w:val="en-GB"/>
        </w:rPr>
        <w:t xml:space="preserve"> (IV)</w:t>
      </w:r>
      <w:r w:rsidR="0095356B">
        <w:rPr>
          <w:lang w:val="en-GB"/>
        </w:rPr>
        <w:t xml:space="preserve"> there should be a full eligible and non-eligible activity review</w:t>
      </w:r>
      <w:r w:rsidRPr="00571F0B">
        <w:rPr>
          <w:lang w:val="en-GB"/>
        </w:rPr>
        <w:t xml:space="preserve">, and </w:t>
      </w:r>
      <w:r w:rsidR="0095356B">
        <w:rPr>
          <w:lang w:val="en-GB"/>
        </w:rPr>
        <w:t xml:space="preserve">this </w:t>
      </w:r>
      <w:r w:rsidRPr="00571F0B">
        <w:rPr>
          <w:lang w:val="en-GB"/>
        </w:rPr>
        <w:t xml:space="preserve">will require on-going review as private sector engagement expands. However, the activities and items that were not funded in Phase III </w:t>
      </w:r>
      <w:r w:rsidR="0095356B">
        <w:rPr>
          <w:lang w:val="en-GB"/>
        </w:rPr>
        <w:t xml:space="preserve">should guide the start of IF (IV), and </w:t>
      </w:r>
      <w:r w:rsidRPr="00571F0B">
        <w:rPr>
          <w:lang w:val="en-GB"/>
        </w:rPr>
        <w:t>include:</w:t>
      </w:r>
    </w:p>
    <w:p w:rsidR="0094638E" w:rsidRPr="00571F0B" w:rsidRDefault="0094638E" w:rsidP="00A82AAB">
      <w:pPr>
        <w:pStyle w:val="ListParagraph"/>
        <w:numPr>
          <w:ilvl w:val="0"/>
          <w:numId w:val="30"/>
        </w:numPr>
        <w:spacing w:before="0" w:after="0"/>
        <w:ind w:left="284" w:hanging="284"/>
        <w:rPr>
          <w:lang w:val="en-GB"/>
        </w:rPr>
      </w:pPr>
      <w:r w:rsidRPr="00571F0B">
        <w:rPr>
          <w:lang w:val="en-GB"/>
        </w:rPr>
        <w:t>the cost of preparing the proposal</w:t>
      </w:r>
      <w:r w:rsidR="00F940E5">
        <w:rPr>
          <w:lang w:val="en-GB"/>
        </w:rPr>
        <w:t>, including any consulting fees</w:t>
      </w:r>
      <w:r w:rsidR="00A376C5">
        <w:rPr>
          <w:lang w:val="en-GB"/>
        </w:rPr>
        <w:t>;</w:t>
      </w:r>
    </w:p>
    <w:p w:rsidR="0094638E" w:rsidRPr="00571F0B" w:rsidRDefault="00F940E5" w:rsidP="00A82AAB">
      <w:pPr>
        <w:pStyle w:val="ListParagraph"/>
        <w:numPr>
          <w:ilvl w:val="0"/>
          <w:numId w:val="30"/>
        </w:numPr>
        <w:spacing w:before="0" w:after="0"/>
        <w:ind w:left="284" w:hanging="284"/>
        <w:rPr>
          <w:lang w:val="en-GB"/>
        </w:rPr>
      </w:pPr>
      <w:r>
        <w:rPr>
          <w:lang w:val="en-GB"/>
        </w:rPr>
        <w:t>the purchase of land</w:t>
      </w:r>
      <w:r w:rsidR="00A376C5">
        <w:rPr>
          <w:lang w:val="en-GB"/>
        </w:rPr>
        <w:t>;</w:t>
      </w:r>
    </w:p>
    <w:p w:rsidR="0094638E" w:rsidRPr="00571F0B" w:rsidRDefault="0094638E" w:rsidP="00A82AAB">
      <w:pPr>
        <w:pStyle w:val="ListParagraph"/>
        <w:numPr>
          <w:ilvl w:val="0"/>
          <w:numId w:val="30"/>
        </w:numPr>
        <w:spacing w:before="0" w:after="0"/>
        <w:ind w:left="284" w:hanging="284"/>
        <w:rPr>
          <w:lang w:val="en-GB"/>
        </w:rPr>
      </w:pPr>
      <w:r w:rsidRPr="00571F0B">
        <w:rPr>
          <w:lang w:val="en-GB"/>
        </w:rPr>
        <w:t>compensation payments of any type, inclu</w:t>
      </w:r>
      <w:r w:rsidR="00F940E5">
        <w:rPr>
          <w:lang w:val="en-GB"/>
        </w:rPr>
        <w:t>ding land compensation payments</w:t>
      </w:r>
      <w:r w:rsidR="00A376C5">
        <w:rPr>
          <w:lang w:val="en-GB"/>
        </w:rPr>
        <w:t>;</w:t>
      </w:r>
    </w:p>
    <w:p w:rsidR="0094638E" w:rsidRPr="00571F0B" w:rsidRDefault="0094638E" w:rsidP="00A82AAB">
      <w:pPr>
        <w:pStyle w:val="ListParagraph"/>
        <w:numPr>
          <w:ilvl w:val="0"/>
          <w:numId w:val="30"/>
        </w:numPr>
        <w:spacing w:before="0" w:after="0"/>
        <w:ind w:left="284" w:hanging="284"/>
        <w:rPr>
          <w:lang w:val="en-GB"/>
        </w:rPr>
      </w:pPr>
      <w:r w:rsidRPr="00571F0B">
        <w:rPr>
          <w:lang w:val="en-GB"/>
        </w:rPr>
        <w:t>mark-ups on inputs provided internally by implementing organisations, or through su</w:t>
      </w:r>
      <w:r w:rsidR="00F940E5">
        <w:rPr>
          <w:lang w:val="en-GB"/>
        </w:rPr>
        <w:t>b- contracts with third parties</w:t>
      </w:r>
      <w:r w:rsidR="00A376C5">
        <w:rPr>
          <w:lang w:val="en-GB"/>
        </w:rPr>
        <w:t>;</w:t>
      </w:r>
    </w:p>
    <w:p w:rsidR="0094638E" w:rsidRPr="00571F0B" w:rsidRDefault="0094638E" w:rsidP="00A82AAB">
      <w:pPr>
        <w:pStyle w:val="ListParagraph"/>
        <w:numPr>
          <w:ilvl w:val="0"/>
          <w:numId w:val="30"/>
        </w:numPr>
        <w:spacing w:before="0" w:after="0"/>
        <w:ind w:left="284" w:hanging="284"/>
        <w:rPr>
          <w:lang w:val="en-GB"/>
        </w:rPr>
      </w:pPr>
      <w:r w:rsidRPr="00571F0B">
        <w:rPr>
          <w:lang w:val="en-GB"/>
        </w:rPr>
        <w:t>privately registered motor vehicles, privately ow</w:t>
      </w:r>
      <w:r w:rsidR="00F940E5">
        <w:rPr>
          <w:lang w:val="en-GB"/>
        </w:rPr>
        <w:t>ned housing; plant or equipment</w:t>
      </w:r>
      <w:r w:rsidR="00A376C5">
        <w:rPr>
          <w:lang w:val="en-GB"/>
        </w:rPr>
        <w:t>;</w:t>
      </w:r>
    </w:p>
    <w:p w:rsidR="0094638E" w:rsidRPr="00571F0B" w:rsidRDefault="0094638E" w:rsidP="00A82AAB">
      <w:pPr>
        <w:pStyle w:val="ListParagraph"/>
        <w:numPr>
          <w:ilvl w:val="0"/>
          <w:numId w:val="30"/>
        </w:numPr>
        <w:spacing w:before="0" w:after="0"/>
        <w:ind w:left="284" w:hanging="284"/>
        <w:rPr>
          <w:lang w:val="en-GB"/>
        </w:rPr>
      </w:pPr>
      <w:r w:rsidRPr="00571F0B">
        <w:rPr>
          <w:lang w:val="en-GB"/>
        </w:rPr>
        <w:t>the construction and/or maintenance o</w:t>
      </w:r>
      <w:r w:rsidR="00F940E5">
        <w:rPr>
          <w:lang w:val="en-GB"/>
        </w:rPr>
        <w:t>f churches or places of worship</w:t>
      </w:r>
      <w:r w:rsidR="00A376C5">
        <w:rPr>
          <w:lang w:val="en-GB"/>
        </w:rPr>
        <w:t>;</w:t>
      </w:r>
    </w:p>
    <w:p w:rsidR="009436D1" w:rsidRPr="00E31F66" w:rsidRDefault="009436D1" w:rsidP="00A82AAB">
      <w:pPr>
        <w:pStyle w:val="ListParagraph"/>
        <w:numPr>
          <w:ilvl w:val="0"/>
          <w:numId w:val="30"/>
        </w:numPr>
        <w:spacing w:before="0" w:after="0"/>
        <w:ind w:left="284" w:hanging="284"/>
        <w:rPr>
          <w:lang w:val="en-GB"/>
        </w:rPr>
      </w:pPr>
      <w:r w:rsidRPr="00571F0B">
        <w:rPr>
          <w:lang w:val="en-GB"/>
        </w:rPr>
        <w:t>research of a commercial nature where the beneficial copyright would not directly reside with</w:t>
      </w:r>
      <w:r w:rsidR="00E31F66">
        <w:rPr>
          <w:lang w:val="en-GB"/>
        </w:rPr>
        <w:t xml:space="preserve"> the </w:t>
      </w:r>
      <w:r w:rsidRPr="00E31F66">
        <w:rPr>
          <w:lang w:val="en-GB"/>
        </w:rPr>
        <w:t>Government of PNG; provincial or local</w:t>
      </w:r>
      <w:r w:rsidR="00F940E5" w:rsidRPr="00E31F66">
        <w:rPr>
          <w:lang w:val="en-GB"/>
        </w:rPr>
        <w:t xml:space="preserve"> government, or community group</w:t>
      </w:r>
      <w:r w:rsidR="00E31F66">
        <w:rPr>
          <w:lang w:val="en-GB"/>
        </w:rPr>
        <w:t>;</w:t>
      </w:r>
    </w:p>
    <w:p w:rsidR="0094638E" w:rsidRPr="00571F0B" w:rsidRDefault="0094638E" w:rsidP="00A82AAB">
      <w:pPr>
        <w:pStyle w:val="ListParagraph"/>
        <w:numPr>
          <w:ilvl w:val="0"/>
          <w:numId w:val="30"/>
        </w:numPr>
        <w:spacing w:before="0" w:after="0"/>
        <w:ind w:left="284" w:hanging="284"/>
        <w:rPr>
          <w:lang w:val="en-GB"/>
        </w:rPr>
      </w:pPr>
      <w:r w:rsidRPr="00571F0B">
        <w:rPr>
          <w:lang w:val="en-GB"/>
        </w:rPr>
        <w:t>overseas fellowsh</w:t>
      </w:r>
      <w:r w:rsidR="00F940E5">
        <w:rPr>
          <w:lang w:val="en-GB"/>
        </w:rPr>
        <w:t>ip, study tours and conferences</w:t>
      </w:r>
      <w:r w:rsidR="00E31F66">
        <w:rPr>
          <w:lang w:val="en-GB"/>
        </w:rPr>
        <w:t>;</w:t>
      </w:r>
    </w:p>
    <w:p w:rsidR="0094638E" w:rsidRPr="00571F0B" w:rsidRDefault="0094638E" w:rsidP="00A82AAB">
      <w:pPr>
        <w:pStyle w:val="ListParagraph"/>
        <w:numPr>
          <w:ilvl w:val="0"/>
          <w:numId w:val="30"/>
        </w:numPr>
        <w:spacing w:before="0" w:after="0"/>
        <w:ind w:left="284" w:hanging="284"/>
        <w:rPr>
          <w:lang w:val="en-GB"/>
        </w:rPr>
      </w:pPr>
      <w:r w:rsidRPr="00571F0B">
        <w:rPr>
          <w:lang w:val="en-GB"/>
        </w:rPr>
        <w:t>any costs not</w:t>
      </w:r>
      <w:r w:rsidR="00F940E5">
        <w:rPr>
          <w:lang w:val="en-GB"/>
        </w:rPr>
        <w:t xml:space="preserve"> included in the final contract</w:t>
      </w:r>
      <w:r w:rsidR="00E31F66">
        <w:rPr>
          <w:lang w:val="en-GB"/>
        </w:rPr>
        <w:t>;</w:t>
      </w:r>
    </w:p>
    <w:p w:rsidR="0094638E" w:rsidRPr="00571F0B" w:rsidRDefault="0094638E" w:rsidP="00A82AAB">
      <w:pPr>
        <w:pStyle w:val="ListParagraph"/>
        <w:numPr>
          <w:ilvl w:val="0"/>
          <w:numId w:val="30"/>
        </w:numPr>
        <w:spacing w:before="0" w:after="0"/>
        <w:ind w:left="284" w:hanging="284"/>
        <w:rPr>
          <w:lang w:val="en-GB"/>
        </w:rPr>
      </w:pPr>
      <w:r w:rsidRPr="00571F0B">
        <w:rPr>
          <w:lang w:val="en-GB"/>
        </w:rPr>
        <w:t xml:space="preserve">recurrent salary or operational costs </w:t>
      </w:r>
      <w:r w:rsidR="00F940E5">
        <w:rPr>
          <w:lang w:val="en-GB"/>
        </w:rPr>
        <w:t>after completion of the project</w:t>
      </w:r>
      <w:r w:rsidR="00E31F66">
        <w:rPr>
          <w:lang w:val="en-GB"/>
        </w:rPr>
        <w:t>;</w:t>
      </w:r>
    </w:p>
    <w:p w:rsidR="0094638E" w:rsidRPr="00571F0B" w:rsidRDefault="0094638E" w:rsidP="00A82AAB">
      <w:pPr>
        <w:pStyle w:val="ListParagraph"/>
        <w:numPr>
          <w:ilvl w:val="0"/>
          <w:numId w:val="30"/>
        </w:numPr>
        <w:spacing w:before="0" w:after="0"/>
        <w:ind w:left="284" w:hanging="284"/>
        <w:rPr>
          <w:lang w:val="en-GB"/>
        </w:rPr>
      </w:pPr>
      <w:r w:rsidRPr="00571F0B">
        <w:rPr>
          <w:lang w:val="en-GB"/>
        </w:rPr>
        <w:t>maintenance of existing infrastru</w:t>
      </w:r>
      <w:r w:rsidR="00F940E5">
        <w:rPr>
          <w:lang w:val="en-GB"/>
        </w:rPr>
        <w:t>cture as a stand-alone activity</w:t>
      </w:r>
      <w:r w:rsidR="00E31F66">
        <w:rPr>
          <w:lang w:val="en-GB"/>
        </w:rPr>
        <w:t>;</w:t>
      </w:r>
    </w:p>
    <w:p w:rsidR="0094638E" w:rsidRPr="00571F0B" w:rsidRDefault="0094638E" w:rsidP="00A82AAB">
      <w:pPr>
        <w:pStyle w:val="ListParagraph"/>
        <w:numPr>
          <w:ilvl w:val="0"/>
          <w:numId w:val="30"/>
        </w:numPr>
        <w:spacing w:before="0" w:after="0"/>
        <w:ind w:left="284" w:hanging="284"/>
        <w:rPr>
          <w:lang w:val="en-GB"/>
        </w:rPr>
      </w:pPr>
      <w:r w:rsidRPr="00571F0B">
        <w:rPr>
          <w:lang w:val="en-GB"/>
        </w:rPr>
        <w:t>transport infrastructure (roads, bridge</w:t>
      </w:r>
      <w:r w:rsidR="00F940E5">
        <w:rPr>
          <w:lang w:val="en-GB"/>
        </w:rPr>
        <w:t>s, jetties, wharves, airstrips)</w:t>
      </w:r>
      <w:r w:rsidR="00E31F66">
        <w:rPr>
          <w:lang w:val="en-GB"/>
        </w:rPr>
        <w:t>;</w:t>
      </w:r>
    </w:p>
    <w:p w:rsidR="0094638E" w:rsidRPr="00571F0B" w:rsidRDefault="0094638E" w:rsidP="00A82AAB">
      <w:pPr>
        <w:pStyle w:val="ListParagraph"/>
        <w:numPr>
          <w:ilvl w:val="0"/>
          <w:numId w:val="30"/>
        </w:numPr>
        <w:spacing w:before="0" w:after="0"/>
        <w:ind w:left="284" w:hanging="284"/>
        <w:rPr>
          <w:lang w:val="en-GB"/>
        </w:rPr>
      </w:pPr>
      <w:r w:rsidRPr="00571F0B">
        <w:rPr>
          <w:lang w:val="en-GB"/>
        </w:rPr>
        <w:t>new infrastructure or equipment (including houses and vehicles) unless</w:t>
      </w:r>
    </w:p>
    <w:p w:rsidR="0094638E" w:rsidRPr="00571F0B" w:rsidRDefault="0094638E" w:rsidP="00A82AAB">
      <w:pPr>
        <w:pStyle w:val="ListParagraph"/>
        <w:numPr>
          <w:ilvl w:val="1"/>
          <w:numId w:val="31"/>
        </w:numPr>
        <w:spacing w:before="0" w:after="0"/>
        <w:ind w:left="567" w:hanging="283"/>
        <w:rPr>
          <w:lang w:val="en-GB"/>
        </w:rPr>
      </w:pPr>
      <w:r w:rsidRPr="00571F0B">
        <w:rPr>
          <w:lang w:val="en-GB"/>
        </w:rPr>
        <w:t>it is attached to service delive</w:t>
      </w:r>
      <w:r w:rsidR="00F940E5">
        <w:rPr>
          <w:lang w:val="en-GB"/>
        </w:rPr>
        <w:t>ry as the largest component</w:t>
      </w:r>
    </w:p>
    <w:p w:rsidR="0094638E" w:rsidRPr="00571F0B" w:rsidRDefault="0094638E" w:rsidP="00A82AAB">
      <w:pPr>
        <w:pStyle w:val="ListParagraph"/>
        <w:numPr>
          <w:ilvl w:val="1"/>
          <w:numId w:val="31"/>
        </w:numPr>
        <w:spacing w:before="0" w:after="0"/>
        <w:ind w:left="567" w:hanging="283"/>
        <w:rPr>
          <w:lang w:val="en-GB"/>
        </w:rPr>
      </w:pPr>
      <w:r w:rsidRPr="00571F0B">
        <w:rPr>
          <w:lang w:val="en-GB"/>
        </w:rPr>
        <w:t xml:space="preserve">there is a firm undertaking and capacity </w:t>
      </w:r>
      <w:r w:rsidR="00F940E5">
        <w:rPr>
          <w:lang w:val="en-GB"/>
        </w:rPr>
        <w:t>to meet any recurrent costs</w:t>
      </w:r>
    </w:p>
    <w:p w:rsidR="0094638E" w:rsidRPr="00571F0B" w:rsidRDefault="0094638E" w:rsidP="00A82AAB">
      <w:pPr>
        <w:pStyle w:val="ListParagraph"/>
        <w:numPr>
          <w:ilvl w:val="1"/>
          <w:numId w:val="31"/>
        </w:numPr>
        <w:spacing w:before="0" w:after="0"/>
        <w:ind w:left="567" w:hanging="283"/>
        <w:rPr>
          <w:lang w:val="en-GB"/>
        </w:rPr>
      </w:pPr>
      <w:r w:rsidRPr="00571F0B">
        <w:rPr>
          <w:lang w:val="en-GB"/>
        </w:rPr>
        <w:t>they are appropriate to the environment</w:t>
      </w:r>
      <w:r w:rsidR="00F940E5">
        <w:rPr>
          <w:lang w:val="en-GB"/>
        </w:rPr>
        <w:t xml:space="preserve"> in which they are to be placed</w:t>
      </w:r>
      <w:r w:rsidR="00E31F66">
        <w:rPr>
          <w:lang w:val="en-GB"/>
        </w:rPr>
        <w:t>;</w:t>
      </w:r>
    </w:p>
    <w:p w:rsidR="0094638E" w:rsidRPr="00571F0B" w:rsidRDefault="00F940E5" w:rsidP="00A82AAB">
      <w:pPr>
        <w:pStyle w:val="ListParagraph"/>
        <w:numPr>
          <w:ilvl w:val="0"/>
          <w:numId w:val="30"/>
        </w:numPr>
        <w:spacing w:before="0" w:after="0"/>
        <w:ind w:left="284" w:hanging="284"/>
        <w:rPr>
          <w:lang w:val="en-GB"/>
        </w:rPr>
      </w:pPr>
      <w:r>
        <w:rPr>
          <w:lang w:val="en-GB"/>
        </w:rPr>
        <w:lastRenderedPageBreak/>
        <w:t>activities related to sport</w:t>
      </w:r>
      <w:r w:rsidR="00E31F66">
        <w:rPr>
          <w:lang w:val="en-GB"/>
        </w:rPr>
        <w:t>;</w:t>
      </w:r>
    </w:p>
    <w:p w:rsidR="0094638E" w:rsidRPr="00571F0B" w:rsidRDefault="0094638E" w:rsidP="00A82AAB">
      <w:pPr>
        <w:pStyle w:val="ListParagraph"/>
        <w:numPr>
          <w:ilvl w:val="0"/>
          <w:numId w:val="30"/>
        </w:numPr>
        <w:spacing w:before="0" w:after="0"/>
        <w:ind w:left="284" w:hanging="284"/>
        <w:rPr>
          <w:lang w:val="en-GB"/>
        </w:rPr>
      </w:pPr>
      <w:r w:rsidRPr="00571F0B">
        <w:rPr>
          <w:lang w:val="en-GB"/>
        </w:rPr>
        <w:t>theological training, evangelism, missionary outreach, activities generating profits for theological, missionary or evangelical purposes, me</w:t>
      </w:r>
      <w:r w:rsidR="00F940E5">
        <w:rPr>
          <w:lang w:val="en-GB"/>
        </w:rPr>
        <w:t>dia or political activities</w:t>
      </w:r>
      <w:r w:rsidR="00E31F66">
        <w:rPr>
          <w:lang w:val="en-GB"/>
        </w:rPr>
        <w:t>;</w:t>
      </w:r>
    </w:p>
    <w:p w:rsidR="0094638E" w:rsidRPr="00571F0B" w:rsidRDefault="0094638E" w:rsidP="00A82AAB">
      <w:pPr>
        <w:pStyle w:val="ListParagraph"/>
        <w:numPr>
          <w:ilvl w:val="0"/>
          <w:numId w:val="30"/>
        </w:numPr>
        <w:spacing w:before="0" w:after="0"/>
        <w:ind w:left="284" w:hanging="284"/>
        <w:rPr>
          <w:lang w:val="en-GB"/>
        </w:rPr>
      </w:pPr>
      <w:proofErr w:type="gramStart"/>
      <w:r w:rsidRPr="00571F0B">
        <w:rPr>
          <w:lang w:val="en-GB"/>
        </w:rPr>
        <w:t>welfare</w:t>
      </w:r>
      <w:proofErr w:type="gramEnd"/>
      <w:r w:rsidRPr="00571F0B">
        <w:rPr>
          <w:lang w:val="en-GB"/>
        </w:rPr>
        <w:t xml:space="preserve"> or emergency relief activities.</w:t>
      </w:r>
    </w:p>
    <w:p w:rsidR="002A7B83" w:rsidRPr="00422DDC" w:rsidRDefault="002A7B83" w:rsidP="00422DDC">
      <w:pPr>
        <w:spacing w:before="0" w:after="0"/>
        <w:rPr>
          <w:lang w:val="en-GB"/>
        </w:rPr>
      </w:pPr>
    </w:p>
    <w:p w:rsidR="00C30390" w:rsidRPr="00571F0B" w:rsidRDefault="00C30390" w:rsidP="00BE7C9E">
      <w:pPr>
        <w:pStyle w:val="Heading2"/>
        <w:rPr>
          <w:lang w:val="en-GB"/>
        </w:rPr>
      </w:pPr>
      <w:bookmarkStart w:id="34" w:name="_Toc403037570"/>
      <w:r w:rsidRPr="00571F0B">
        <w:rPr>
          <w:lang w:val="en-GB"/>
        </w:rPr>
        <w:t xml:space="preserve">Activity </w:t>
      </w:r>
      <w:r w:rsidR="007819EF" w:rsidRPr="00571F0B">
        <w:rPr>
          <w:lang w:val="en-GB"/>
        </w:rPr>
        <w:t>i</w:t>
      </w:r>
      <w:r w:rsidRPr="00571F0B">
        <w:rPr>
          <w:lang w:val="en-GB"/>
        </w:rPr>
        <w:t>mplementation</w:t>
      </w:r>
      <w:bookmarkEnd w:id="34"/>
    </w:p>
    <w:p w:rsidR="000F29CD" w:rsidRPr="00571F0B" w:rsidRDefault="000F29CD" w:rsidP="00BE7C9E">
      <w:pPr>
        <w:pStyle w:val="Heading3"/>
        <w:rPr>
          <w:lang w:val="en-GB"/>
        </w:rPr>
      </w:pPr>
      <w:r w:rsidRPr="00571F0B">
        <w:rPr>
          <w:lang w:val="en-GB"/>
        </w:rPr>
        <w:t>Approval</w:t>
      </w:r>
    </w:p>
    <w:p w:rsidR="000F29CD" w:rsidRPr="00571F0B" w:rsidRDefault="000F29CD" w:rsidP="00A75121">
      <w:pPr>
        <w:spacing w:before="0" w:after="0"/>
        <w:rPr>
          <w:szCs w:val="24"/>
          <w:lang w:val="en-GB"/>
        </w:rPr>
      </w:pPr>
      <w:r w:rsidRPr="00571F0B">
        <w:rPr>
          <w:szCs w:val="24"/>
          <w:lang w:val="en-GB"/>
        </w:rPr>
        <w:t xml:space="preserve">Organisations whose Detailed Proposals are approved by the </w:t>
      </w:r>
      <w:r w:rsidR="0099002E" w:rsidRPr="00571F0B">
        <w:rPr>
          <w:szCs w:val="24"/>
          <w:lang w:val="en-GB"/>
        </w:rPr>
        <w:t xml:space="preserve">MG </w:t>
      </w:r>
      <w:r w:rsidRPr="00571F0B">
        <w:rPr>
          <w:szCs w:val="24"/>
          <w:lang w:val="en-GB"/>
        </w:rPr>
        <w:t xml:space="preserve">are notified in writing by the IFT. This notification is accompanied by a draft Incentive Fund Agreement (IFA) and financial management and reporting procedures. </w:t>
      </w:r>
      <w:r w:rsidR="000F31E5" w:rsidRPr="00571F0B">
        <w:rPr>
          <w:szCs w:val="24"/>
          <w:lang w:val="en-GB"/>
        </w:rPr>
        <w:t>T</w:t>
      </w:r>
      <w:r w:rsidR="0094638E" w:rsidRPr="00571F0B">
        <w:rPr>
          <w:szCs w:val="24"/>
          <w:lang w:val="en-GB"/>
        </w:rPr>
        <w:t xml:space="preserve">he detail </w:t>
      </w:r>
      <w:r w:rsidR="00052FDA" w:rsidRPr="00571F0B">
        <w:rPr>
          <w:szCs w:val="24"/>
          <w:lang w:val="en-GB"/>
        </w:rPr>
        <w:t>within</w:t>
      </w:r>
      <w:r w:rsidR="0094638E" w:rsidRPr="00571F0B">
        <w:rPr>
          <w:szCs w:val="24"/>
          <w:lang w:val="en-GB"/>
        </w:rPr>
        <w:t xml:space="preserve"> </w:t>
      </w:r>
      <w:r w:rsidR="00052FDA" w:rsidRPr="00571F0B">
        <w:rPr>
          <w:szCs w:val="24"/>
          <w:lang w:val="en-GB"/>
        </w:rPr>
        <w:t xml:space="preserve">an </w:t>
      </w:r>
      <w:r w:rsidR="0094638E" w:rsidRPr="00571F0B">
        <w:rPr>
          <w:szCs w:val="24"/>
          <w:lang w:val="en-GB"/>
        </w:rPr>
        <w:t>IFA is captured in the Phase III Information Book and will be revised at the start-up of IF (IV)</w:t>
      </w:r>
      <w:r w:rsidR="000F31E5" w:rsidRPr="00571F0B">
        <w:rPr>
          <w:szCs w:val="24"/>
          <w:lang w:val="en-GB"/>
        </w:rPr>
        <w:t>. T</w:t>
      </w:r>
      <w:r w:rsidR="0094638E" w:rsidRPr="00571F0B">
        <w:rPr>
          <w:szCs w:val="24"/>
          <w:lang w:val="en-GB"/>
        </w:rPr>
        <w:t>he following provides an insight into the ta</w:t>
      </w:r>
      <w:r w:rsidR="00422DDC">
        <w:rPr>
          <w:szCs w:val="24"/>
          <w:lang w:val="en-GB"/>
        </w:rPr>
        <w:t>sks that IFA management demand</w:t>
      </w:r>
      <w:r w:rsidR="002D5559">
        <w:rPr>
          <w:szCs w:val="24"/>
          <w:lang w:val="en-GB"/>
        </w:rPr>
        <w:t>s</w:t>
      </w:r>
      <w:r w:rsidR="00422DDC">
        <w:rPr>
          <w:szCs w:val="24"/>
          <w:lang w:val="en-GB"/>
        </w:rPr>
        <w:t>.</w:t>
      </w:r>
    </w:p>
    <w:p w:rsidR="000F29CD" w:rsidRPr="00571F0B" w:rsidRDefault="000F29CD" w:rsidP="00A75121">
      <w:pPr>
        <w:spacing w:before="0" w:after="0"/>
        <w:rPr>
          <w:szCs w:val="24"/>
          <w:lang w:val="en-GB"/>
        </w:rPr>
      </w:pPr>
    </w:p>
    <w:p w:rsidR="000F29CD" w:rsidRPr="00571F0B" w:rsidRDefault="000F29CD" w:rsidP="00BE7C9E">
      <w:pPr>
        <w:pStyle w:val="Heading3"/>
        <w:rPr>
          <w:lang w:val="en-GB"/>
        </w:rPr>
      </w:pPr>
      <w:r w:rsidRPr="00571F0B">
        <w:rPr>
          <w:lang w:val="en-GB"/>
        </w:rPr>
        <w:t>Incentive Fund Agreement</w:t>
      </w:r>
    </w:p>
    <w:p w:rsidR="000F29CD" w:rsidRPr="00571F0B" w:rsidRDefault="000F29CD" w:rsidP="000F29CD">
      <w:pPr>
        <w:rPr>
          <w:szCs w:val="24"/>
          <w:lang w:val="en-GB"/>
        </w:rPr>
      </w:pPr>
      <w:r w:rsidRPr="00571F0B">
        <w:rPr>
          <w:szCs w:val="24"/>
          <w:lang w:val="en-GB"/>
        </w:rPr>
        <w:t>Funded organisations are required to sign an IFA with the Managing Contractor. The IFA is subject to Australian law, and includes:</w:t>
      </w:r>
    </w:p>
    <w:p w:rsidR="000F29CD" w:rsidRPr="00571F0B" w:rsidRDefault="000F29CD" w:rsidP="00A82AAB">
      <w:pPr>
        <w:pStyle w:val="ListParagraph"/>
        <w:numPr>
          <w:ilvl w:val="0"/>
          <w:numId w:val="33"/>
        </w:numPr>
        <w:spacing w:before="0" w:after="0"/>
        <w:ind w:left="284" w:hanging="284"/>
        <w:rPr>
          <w:szCs w:val="24"/>
          <w:lang w:val="en-GB"/>
        </w:rPr>
      </w:pPr>
      <w:r w:rsidRPr="00571F0B">
        <w:rPr>
          <w:szCs w:val="24"/>
          <w:lang w:val="en-GB"/>
        </w:rPr>
        <w:t>date of commencem</w:t>
      </w:r>
      <w:r w:rsidR="00A75121">
        <w:rPr>
          <w:szCs w:val="24"/>
          <w:lang w:val="en-GB"/>
        </w:rPr>
        <w:t>ent and duration of the project</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r w:rsidRPr="00571F0B">
        <w:rPr>
          <w:szCs w:val="24"/>
          <w:lang w:val="en-GB"/>
        </w:rPr>
        <w:t>scope of services – a description of the activities f</w:t>
      </w:r>
      <w:r w:rsidR="00A75121">
        <w:rPr>
          <w:szCs w:val="24"/>
          <w:lang w:val="en-GB"/>
        </w:rPr>
        <w:t>or which the funds must be used</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r w:rsidRPr="00571F0B">
        <w:rPr>
          <w:szCs w:val="24"/>
          <w:lang w:val="en-GB"/>
        </w:rPr>
        <w:t>gender, HIV/AIDS, child protection, disability a</w:t>
      </w:r>
      <w:r w:rsidR="00A75121">
        <w:rPr>
          <w:szCs w:val="24"/>
          <w:lang w:val="en-GB"/>
        </w:rPr>
        <w:t>nd environmental considerations</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r w:rsidRPr="00571F0B">
        <w:rPr>
          <w:szCs w:val="24"/>
          <w:lang w:val="en-GB"/>
        </w:rPr>
        <w:t>perfo</w:t>
      </w:r>
      <w:r w:rsidR="00A75121">
        <w:rPr>
          <w:szCs w:val="24"/>
          <w:lang w:val="en-GB"/>
        </w:rPr>
        <w:t>rmance standards, as applicable</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r w:rsidRPr="00571F0B">
        <w:rPr>
          <w:szCs w:val="24"/>
          <w:lang w:val="en-GB"/>
        </w:rPr>
        <w:t>schedule of activities, targets and the time-frame i</w:t>
      </w:r>
      <w:r w:rsidR="00A75121">
        <w:rPr>
          <w:szCs w:val="24"/>
          <w:lang w:val="en-GB"/>
        </w:rPr>
        <w:t>n which they are to be achieved</w:t>
      </w:r>
      <w:r w:rsidR="00E31F66">
        <w:rPr>
          <w:szCs w:val="24"/>
          <w:lang w:val="en-GB"/>
        </w:rPr>
        <w:t>;</w:t>
      </w:r>
    </w:p>
    <w:p w:rsidR="000F29CD" w:rsidRPr="00571F0B" w:rsidRDefault="00A75121" w:rsidP="00A82AAB">
      <w:pPr>
        <w:pStyle w:val="ListParagraph"/>
        <w:numPr>
          <w:ilvl w:val="0"/>
          <w:numId w:val="33"/>
        </w:numPr>
        <w:spacing w:before="0" w:after="0"/>
        <w:ind w:left="284" w:hanging="284"/>
        <w:rPr>
          <w:szCs w:val="24"/>
          <w:lang w:val="en-GB"/>
        </w:rPr>
      </w:pPr>
      <w:r>
        <w:rPr>
          <w:szCs w:val="24"/>
          <w:lang w:val="en-GB"/>
        </w:rPr>
        <w:t>project budget</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r w:rsidRPr="00571F0B">
        <w:rPr>
          <w:szCs w:val="24"/>
          <w:lang w:val="en-GB"/>
        </w:rPr>
        <w:t xml:space="preserve">basis for payment and the </w:t>
      </w:r>
      <w:r w:rsidR="00A75121">
        <w:rPr>
          <w:szCs w:val="24"/>
          <w:lang w:val="en-GB"/>
        </w:rPr>
        <w:t>IF quarterly funding projection</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r w:rsidRPr="00571F0B">
        <w:rPr>
          <w:szCs w:val="24"/>
          <w:lang w:val="en-GB"/>
        </w:rPr>
        <w:t>monit</w:t>
      </w:r>
      <w:r w:rsidR="00A75121">
        <w:rPr>
          <w:szCs w:val="24"/>
          <w:lang w:val="en-GB"/>
        </w:rPr>
        <w:t>oring, evaluation and reporting</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r w:rsidRPr="00571F0B">
        <w:rPr>
          <w:szCs w:val="24"/>
          <w:lang w:val="en-GB"/>
        </w:rPr>
        <w:t>organisation’s responsibility to produce monthly technical and financial reports and an audite</w:t>
      </w:r>
      <w:r w:rsidR="00A75121">
        <w:rPr>
          <w:szCs w:val="24"/>
          <w:lang w:val="en-GB"/>
        </w:rPr>
        <w:t>d year-end statement for the IF</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r w:rsidRPr="00571F0B">
        <w:rPr>
          <w:szCs w:val="24"/>
          <w:lang w:val="en-GB"/>
        </w:rPr>
        <w:t>organisation’s responsibilities in regard to the maintenance of assets and any l</w:t>
      </w:r>
      <w:r w:rsidR="00A75121">
        <w:rPr>
          <w:szCs w:val="24"/>
          <w:lang w:val="en-GB"/>
        </w:rPr>
        <w:t>imitations on the use of assets</w:t>
      </w:r>
      <w:r w:rsidR="00E31F66">
        <w:rPr>
          <w:szCs w:val="24"/>
          <w:lang w:val="en-GB"/>
        </w:rPr>
        <w:t>;</w:t>
      </w:r>
    </w:p>
    <w:p w:rsidR="000F29CD" w:rsidRPr="00571F0B" w:rsidRDefault="00A75121" w:rsidP="00A82AAB">
      <w:pPr>
        <w:pStyle w:val="ListParagraph"/>
        <w:numPr>
          <w:ilvl w:val="0"/>
          <w:numId w:val="33"/>
        </w:numPr>
        <w:spacing w:before="0" w:after="0"/>
        <w:ind w:left="284" w:hanging="284"/>
        <w:rPr>
          <w:szCs w:val="24"/>
          <w:lang w:val="en-GB"/>
        </w:rPr>
      </w:pPr>
      <w:r>
        <w:rPr>
          <w:szCs w:val="24"/>
          <w:lang w:val="en-GB"/>
        </w:rPr>
        <w:t>audit requirements</w:t>
      </w:r>
      <w:r w:rsidR="00E31F66">
        <w:rPr>
          <w:szCs w:val="24"/>
          <w:lang w:val="en-GB"/>
        </w:rPr>
        <w:t>;</w:t>
      </w:r>
    </w:p>
    <w:p w:rsidR="000F29CD" w:rsidRPr="00571F0B" w:rsidRDefault="00A75121" w:rsidP="00A82AAB">
      <w:pPr>
        <w:pStyle w:val="ListParagraph"/>
        <w:numPr>
          <w:ilvl w:val="0"/>
          <w:numId w:val="33"/>
        </w:numPr>
        <w:spacing w:before="0" w:after="0"/>
        <w:ind w:left="284" w:hanging="284"/>
        <w:rPr>
          <w:szCs w:val="24"/>
          <w:lang w:val="en-GB"/>
        </w:rPr>
      </w:pPr>
      <w:r>
        <w:rPr>
          <w:szCs w:val="24"/>
          <w:lang w:val="en-GB"/>
        </w:rPr>
        <w:t>evaluation requirements</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r w:rsidRPr="00571F0B">
        <w:rPr>
          <w:szCs w:val="24"/>
          <w:lang w:val="en-GB"/>
        </w:rPr>
        <w:t>procedures for handling disp</w:t>
      </w:r>
      <w:r w:rsidR="00A75121">
        <w:rPr>
          <w:szCs w:val="24"/>
          <w:lang w:val="en-GB"/>
        </w:rPr>
        <w:t>utes</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proofErr w:type="gramStart"/>
      <w:r w:rsidRPr="00571F0B">
        <w:rPr>
          <w:szCs w:val="24"/>
          <w:lang w:val="en-GB"/>
        </w:rPr>
        <w:t>specific</w:t>
      </w:r>
      <w:proofErr w:type="gramEnd"/>
      <w:r w:rsidRPr="00571F0B">
        <w:rPr>
          <w:szCs w:val="24"/>
          <w:lang w:val="en-GB"/>
        </w:rPr>
        <w:t xml:space="preserve"> conditions.</w:t>
      </w:r>
    </w:p>
    <w:p w:rsidR="000F29CD" w:rsidRPr="00A75121" w:rsidRDefault="000F29CD" w:rsidP="000F29CD">
      <w:pPr>
        <w:rPr>
          <w:sz w:val="16"/>
          <w:szCs w:val="16"/>
          <w:lang w:val="en-GB"/>
        </w:rPr>
      </w:pPr>
    </w:p>
    <w:p w:rsidR="000F29CD" w:rsidRPr="000B638D" w:rsidRDefault="000F29CD" w:rsidP="000B638D">
      <w:pPr>
        <w:spacing w:before="0" w:after="0"/>
        <w:rPr>
          <w:szCs w:val="24"/>
          <w:lang w:val="en-GB"/>
        </w:rPr>
      </w:pPr>
      <w:r w:rsidRPr="000B638D">
        <w:rPr>
          <w:szCs w:val="24"/>
          <w:lang w:val="en-GB"/>
        </w:rPr>
        <w:t>The organisations contract</w:t>
      </w:r>
      <w:r w:rsidR="000B638D">
        <w:rPr>
          <w:szCs w:val="24"/>
          <w:lang w:val="en-GB"/>
        </w:rPr>
        <w:t>ed</w:t>
      </w:r>
      <w:r w:rsidRPr="000B638D">
        <w:rPr>
          <w:szCs w:val="24"/>
          <w:lang w:val="en-GB"/>
        </w:rPr>
        <w:t xml:space="preserve"> </w:t>
      </w:r>
      <w:r w:rsidR="000B638D" w:rsidRPr="000B638D">
        <w:rPr>
          <w:szCs w:val="24"/>
          <w:lang w:val="en-GB"/>
        </w:rPr>
        <w:t xml:space="preserve">under </w:t>
      </w:r>
      <w:r w:rsidR="000B638D">
        <w:rPr>
          <w:szCs w:val="24"/>
          <w:lang w:val="en-GB"/>
        </w:rPr>
        <w:t>an</w:t>
      </w:r>
      <w:r w:rsidRPr="000B638D">
        <w:rPr>
          <w:szCs w:val="24"/>
          <w:lang w:val="en-GB"/>
        </w:rPr>
        <w:t xml:space="preserve"> IFA are wholly responsible for the efficient and effective</w:t>
      </w:r>
      <w:r w:rsidR="0094638E" w:rsidRPr="000B638D">
        <w:rPr>
          <w:szCs w:val="24"/>
          <w:lang w:val="en-GB"/>
        </w:rPr>
        <w:t xml:space="preserve"> </w:t>
      </w:r>
      <w:r w:rsidRPr="000B638D">
        <w:rPr>
          <w:szCs w:val="24"/>
          <w:lang w:val="en-GB"/>
        </w:rPr>
        <w:t xml:space="preserve">implementation of the </w:t>
      </w:r>
      <w:r w:rsidR="000B638D">
        <w:rPr>
          <w:szCs w:val="24"/>
          <w:lang w:val="en-GB"/>
        </w:rPr>
        <w:t xml:space="preserve">grant-funded </w:t>
      </w:r>
      <w:r w:rsidRPr="000B638D">
        <w:rPr>
          <w:szCs w:val="24"/>
          <w:lang w:val="en-GB"/>
        </w:rPr>
        <w:t xml:space="preserve">project. </w:t>
      </w:r>
      <w:r w:rsidR="000B638D">
        <w:rPr>
          <w:szCs w:val="24"/>
          <w:lang w:val="en-GB"/>
        </w:rPr>
        <w:t xml:space="preserve"> </w:t>
      </w:r>
      <w:r w:rsidRPr="000B638D">
        <w:rPr>
          <w:szCs w:val="24"/>
          <w:lang w:val="en-GB"/>
        </w:rPr>
        <w:t>These responsibilities include:</w:t>
      </w:r>
    </w:p>
    <w:p w:rsidR="000F29CD" w:rsidRPr="000B638D" w:rsidRDefault="000F29CD" w:rsidP="00A82AAB">
      <w:pPr>
        <w:pStyle w:val="ListParagraph"/>
        <w:numPr>
          <w:ilvl w:val="0"/>
          <w:numId w:val="33"/>
        </w:numPr>
        <w:spacing w:before="0" w:after="0"/>
        <w:ind w:left="284" w:hanging="284"/>
        <w:rPr>
          <w:szCs w:val="24"/>
          <w:lang w:val="en-GB"/>
        </w:rPr>
      </w:pPr>
      <w:r w:rsidRPr="000B638D">
        <w:rPr>
          <w:szCs w:val="24"/>
          <w:lang w:val="en-GB"/>
        </w:rPr>
        <w:t>providing suitably qualified and experienced staff to implemen</w:t>
      </w:r>
      <w:r w:rsidR="000B638D">
        <w:rPr>
          <w:szCs w:val="24"/>
          <w:lang w:val="en-GB"/>
        </w:rPr>
        <w:t>t the project effectively</w:t>
      </w:r>
      <w:r w:rsidR="00E31F66">
        <w:rPr>
          <w:szCs w:val="24"/>
          <w:lang w:val="en-GB"/>
        </w:rPr>
        <w:t>;</w:t>
      </w:r>
    </w:p>
    <w:p w:rsidR="000F29CD" w:rsidRPr="000B638D" w:rsidRDefault="000F29CD" w:rsidP="00A82AAB">
      <w:pPr>
        <w:pStyle w:val="ListParagraph"/>
        <w:numPr>
          <w:ilvl w:val="0"/>
          <w:numId w:val="33"/>
        </w:numPr>
        <w:spacing w:before="0" w:after="0"/>
        <w:ind w:left="284" w:hanging="284"/>
        <w:rPr>
          <w:szCs w:val="24"/>
          <w:lang w:val="en-GB"/>
        </w:rPr>
      </w:pPr>
      <w:r w:rsidRPr="000B638D">
        <w:rPr>
          <w:szCs w:val="24"/>
          <w:lang w:val="en-GB"/>
        </w:rPr>
        <w:t>identifying or providing a baseline measure for mon</w:t>
      </w:r>
      <w:r w:rsidR="000B638D">
        <w:rPr>
          <w:szCs w:val="24"/>
          <w:lang w:val="en-GB"/>
        </w:rPr>
        <w:t>itoring and evaluation purposes</w:t>
      </w:r>
      <w:r w:rsidR="00E31F66">
        <w:rPr>
          <w:szCs w:val="24"/>
          <w:lang w:val="en-GB"/>
        </w:rPr>
        <w:t>;</w:t>
      </w:r>
    </w:p>
    <w:p w:rsidR="000F29CD" w:rsidRPr="000B638D" w:rsidRDefault="000F29CD" w:rsidP="00A82AAB">
      <w:pPr>
        <w:pStyle w:val="ListParagraph"/>
        <w:numPr>
          <w:ilvl w:val="0"/>
          <w:numId w:val="33"/>
        </w:numPr>
        <w:spacing w:before="0" w:after="0"/>
        <w:ind w:left="284" w:hanging="284"/>
        <w:rPr>
          <w:szCs w:val="24"/>
          <w:lang w:val="en-GB"/>
        </w:rPr>
      </w:pPr>
      <w:r w:rsidRPr="000B638D">
        <w:rPr>
          <w:szCs w:val="24"/>
          <w:lang w:val="en-GB"/>
        </w:rPr>
        <w:t>developing and implementing a moni</w:t>
      </w:r>
      <w:r w:rsidR="000B638D">
        <w:rPr>
          <w:szCs w:val="24"/>
          <w:lang w:val="en-GB"/>
        </w:rPr>
        <w:t>toring and evaluation framework</w:t>
      </w:r>
      <w:r w:rsidR="00E31F66">
        <w:rPr>
          <w:szCs w:val="24"/>
          <w:lang w:val="en-GB"/>
        </w:rPr>
        <w:t>;</w:t>
      </w:r>
    </w:p>
    <w:p w:rsidR="000F29CD" w:rsidRPr="000B638D" w:rsidRDefault="000F29CD" w:rsidP="00A82AAB">
      <w:pPr>
        <w:pStyle w:val="ListParagraph"/>
        <w:numPr>
          <w:ilvl w:val="0"/>
          <w:numId w:val="33"/>
        </w:numPr>
        <w:spacing w:before="0" w:after="0"/>
        <w:ind w:left="284" w:hanging="284"/>
        <w:rPr>
          <w:szCs w:val="24"/>
          <w:lang w:val="en-GB"/>
        </w:rPr>
      </w:pPr>
      <w:r w:rsidRPr="000B638D">
        <w:rPr>
          <w:szCs w:val="24"/>
          <w:lang w:val="en-GB"/>
        </w:rPr>
        <w:t>implementing the project in accordance with the Scope of Services and implementation schedules of the IFA and ensuring the pro</w:t>
      </w:r>
      <w:r w:rsidR="000B638D">
        <w:rPr>
          <w:szCs w:val="24"/>
          <w:lang w:val="en-GB"/>
        </w:rPr>
        <w:t>ject milestones are met on time</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r w:rsidRPr="000B638D">
        <w:rPr>
          <w:szCs w:val="24"/>
          <w:lang w:val="en-GB"/>
        </w:rPr>
        <w:t xml:space="preserve">ensuring that assets and equipment purchased under </w:t>
      </w:r>
      <w:r w:rsidR="00F32C27" w:rsidRPr="00F32C27">
        <w:rPr>
          <w:szCs w:val="24"/>
          <w:lang w:val="en-GB"/>
        </w:rPr>
        <w:t xml:space="preserve">IF (IV) </w:t>
      </w:r>
      <w:r w:rsidRPr="000B638D">
        <w:rPr>
          <w:szCs w:val="24"/>
          <w:lang w:val="en-GB"/>
        </w:rPr>
        <w:t>provide value for money and accord with the agreed purchasing guidelines and procurement</w:t>
      </w:r>
      <w:r w:rsidR="000B638D">
        <w:rPr>
          <w:szCs w:val="24"/>
          <w:lang w:val="en-GB"/>
        </w:rPr>
        <w:t xml:space="preserve"> processes</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r w:rsidRPr="00571F0B">
        <w:rPr>
          <w:szCs w:val="24"/>
          <w:lang w:val="en-GB"/>
        </w:rPr>
        <w:t>meeting their responsibilities in regard to the maintenance of assets and any l</w:t>
      </w:r>
      <w:r w:rsidR="000B638D">
        <w:rPr>
          <w:szCs w:val="24"/>
          <w:lang w:val="en-GB"/>
        </w:rPr>
        <w:t>imitations on the use of assets</w:t>
      </w:r>
      <w:r w:rsidR="00E31F66">
        <w:rPr>
          <w:szCs w:val="24"/>
          <w:lang w:val="en-GB"/>
        </w:rPr>
        <w:t>;</w:t>
      </w:r>
    </w:p>
    <w:p w:rsidR="000F29CD" w:rsidRPr="00571F0B" w:rsidRDefault="000B638D" w:rsidP="00A82AAB">
      <w:pPr>
        <w:pStyle w:val="ListParagraph"/>
        <w:numPr>
          <w:ilvl w:val="0"/>
          <w:numId w:val="33"/>
        </w:numPr>
        <w:spacing w:before="0" w:after="0"/>
        <w:ind w:left="284" w:hanging="284"/>
        <w:rPr>
          <w:szCs w:val="24"/>
          <w:lang w:val="en-GB"/>
        </w:rPr>
      </w:pPr>
      <w:r>
        <w:rPr>
          <w:szCs w:val="24"/>
          <w:lang w:val="en-GB"/>
        </w:rPr>
        <w:t>managing the project budget</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r w:rsidRPr="00571F0B">
        <w:rPr>
          <w:szCs w:val="24"/>
          <w:lang w:val="en-GB"/>
        </w:rPr>
        <w:t>preparation of monitoring, cash flow and other</w:t>
      </w:r>
      <w:r w:rsidR="000B638D">
        <w:rPr>
          <w:szCs w:val="24"/>
          <w:lang w:val="en-GB"/>
        </w:rPr>
        <w:t xml:space="preserve"> reports as required by the IFA</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r w:rsidRPr="00571F0B">
        <w:rPr>
          <w:szCs w:val="24"/>
          <w:lang w:val="en-GB"/>
        </w:rPr>
        <w:t xml:space="preserve">arranging external audits as required by </w:t>
      </w:r>
      <w:r w:rsidR="000B638D">
        <w:rPr>
          <w:szCs w:val="24"/>
          <w:lang w:val="en-GB"/>
        </w:rPr>
        <w:t>the IFA</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r w:rsidRPr="00571F0B">
        <w:rPr>
          <w:szCs w:val="24"/>
          <w:lang w:val="en-GB"/>
        </w:rPr>
        <w:t>preparing a project completion report and a subsequent expected develop</w:t>
      </w:r>
      <w:r w:rsidR="00E31F66">
        <w:rPr>
          <w:szCs w:val="24"/>
          <w:lang w:val="en-GB"/>
        </w:rPr>
        <w:t xml:space="preserve">ment outcomes evaluation, as </w:t>
      </w:r>
      <w:r w:rsidR="000B638D">
        <w:rPr>
          <w:szCs w:val="24"/>
          <w:lang w:val="en-GB"/>
        </w:rPr>
        <w:t xml:space="preserve">agreed with the </w:t>
      </w:r>
      <w:r w:rsidR="00F32C27" w:rsidRPr="00F32C27">
        <w:rPr>
          <w:szCs w:val="24"/>
          <w:lang w:val="en-GB"/>
        </w:rPr>
        <w:t>IF (IV)</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r w:rsidRPr="00571F0B">
        <w:rPr>
          <w:szCs w:val="24"/>
          <w:lang w:val="en-GB"/>
        </w:rPr>
        <w:lastRenderedPageBreak/>
        <w:t xml:space="preserve">providing any other information requested by </w:t>
      </w:r>
      <w:r w:rsidR="00F32C27" w:rsidRPr="00F32C27">
        <w:rPr>
          <w:szCs w:val="24"/>
          <w:lang w:val="en-GB"/>
        </w:rPr>
        <w:t>IF (IV)</w:t>
      </w:r>
      <w:r w:rsidR="00E31F66">
        <w:rPr>
          <w:szCs w:val="24"/>
          <w:lang w:val="en-GB"/>
        </w:rPr>
        <w:t>,</w:t>
      </w:r>
      <w:r w:rsidRPr="00571F0B">
        <w:rPr>
          <w:szCs w:val="24"/>
          <w:lang w:val="en-GB"/>
        </w:rPr>
        <w:t xml:space="preserve"> including information requested on follow up monitoring</w:t>
      </w:r>
      <w:r w:rsidR="000B638D">
        <w:rPr>
          <w:szCs w:val="24"/>
          <w:lang w:val="en-GB"/>
        </w:rPr>
        <w:t xml:space="preserve"> after the project is completed</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r w:rsidRPr="00571F0B">
        <w:rPr>
          <w:szCs w:val="24"/>
          <w:lang w:val="en-GB"/>
        </w:rPr>
        <w:t xml:space="preserve">telling </w:t>
      </w:r>
      <w:r w:rsidR="00F32C27" w:rsidRPr="00F32C27">
        <w:rPr>
          <w:szCs w:val="24"/>
          <w:lang w:val="en-GB"/>
        </w:rPr>
        <w:t xml:space="preserve">IF (IV) </w:t>
      </w:r>
      <w:r w:rsidRPr="00571F0B">
        <w:rPr>
          <w:szCs w:val="24"/>
          <w:lang w:val="en-GB"/>
        </w:rPr>
        <w:t>about any i</w:t>
      </w:r>
      <w:r w:rsidR="000B638D">
        <w:rPr>
          <w:szCs w:val="24"/>
          <w:lang w:val="en-GB"/>
        </w:rPr>
        <w:t>ssues that arise on the project</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proofErr w:type="gramStart"/>
      <w:r w:rsidRPr="00571F0B">
        <w:rPr>
          <w:szCs w:val="24"/>
          <w:lang w:val="en-GB"/>
        </w:rPr>
        <w:t>ensuring</w:t>
      </w:r>
      <w:proofErr w:type="gramEnd"/>
      <w:r w:rsidRPr="00571F0B">
        <w:rPr>
          <w:szCs w:val="24"/>
          <w:lang w:val="en-GB"/>
        </w:rPr>
        <w:t xml:space="preserve"> project activities do not contravene PNG law or int</w:t>
      </w:r>
      <w:r w:rsidR="000B638D">
        <w:rPr>
          <w:szCs w:val="24"/>
          <w:lang w:val="en-GB"/>
        </w:rPr>
        <w:t>ernal organisational policy</w:t>
      </w:r>
      <w:r w:rsidR="00E31F66">
        <w:rPr>
          <w:szCs w:val="24"/>
          <w:lang w:val="en-GB"/>
        </w:rPr>
        <w:t>.</w:t>
      </w:r>
    </w:p>
    <w:p w:rsidR="000F29CD" w:rsidRPr="00571F0B" w:rsidRDefault="000F29CD" w:rsidP="00A82AAB">
      <w:pPr>
        <w:pStyle w:val="ListParagraph"/>
        <w:numPr>
          <w:ilvl w:val="0"/>
          <w:numId w:val="33"/>
        </w:numPr>
        <w:spacing w:before="0" w:after="0"/>
        <w:ind w:left="284" w:hanging="284"/>
        <w:rPr>
          <w:szCs w:val="24"/>
          <w:lang w:val="en-GB"/>
        </w:rPr>
      </w:pPr>
      <w:proofErr w:type="gramStart"/>
      <w:r w:rsidRPr="00571F0B">
        <w:rPr>
          <w:szCs w:val="24"/>
          <w:lang w:val="en-GB"/>
        </w:rPr>
        <w:t>participating</w:t>
      </w:r>
      <w:proofErr w:type="gramEnd"/>
      <w:r w:rsidRPr="00571F0B">
        <w:rPr>
          <w:szCs w:val="24"/>
          <w:lang w:val="en-GB"/>
        </w:rPr>
        <w:t xml:space="preserve"> in evaluation activities which may be undertaken after the project is completed.</w:t>
      </w:r>
    </w:p>
    <w:p w:rsidR="0094638E" w:rsidRPr="00571F0B" w:rsidRDefault="0094638E" w:rsidP="000B638D">
      <w:pPr>
        <w:spacing w:before="0" w:after="0"/>
        <w:rPr>
          <w:szCs w:val="24"/>
          <w:lang w:val="en-GB"/>
        </w:rPr>
      </w:pPr>
    </w:p>
    <w:p w:rsidR="007819EF" w:rsidRPr="00571F0B" w:rsidRDefault="007819EF" w:rsidP="00BE7C9E">
      <w:pPr>
        <w:pStyle w:val="Heading2"/>
        <w:rPr>
          <w:lang w:val="en-GB"/>
        </w:rPr>
      </w:pPr>
      <w:bookmarkStart w:id="35" w:name="_Toc403037571"/>
      <w:r w:rsidRPr="00571F0B">
        <w:rPr>
          <w:lang w:val="en-GB"/>
        </w:rPr>
        <w:t>Development of the Innovation Fund</w:t>
      </w:r>
      <w:bookmarkEnd w:id="35"/>
    </w:p>
    <w:p w:rsidR="00F46592" w:rsidRDefault="00F46592" w:rsidP="000B638D">
      <w:pPr>
        <w:spacing w:before="0" w:after="0"/>
        <w:rPr>
          <w:lang w:val="en-GB"/>
        </w:rPr>
      </w:pPr>
      <w:r w:rsidRPr="00571F0B">
        <w:rPr>
          <w:lang w:val="en-GB"/>
        </w:rPr>
        <w:t xml:space="preserve">Under DFATs aid policy, new aid investments will consider ways to </w:t>
      </w:r>
      <w:r w:rsidR="002D5559">
        <w:rPr>
          <w:lang w:val="en-GB"/>
        </w:rPr>
        <w:t>promote</w:t>
      </w:r>
      <w:r w:rsidRPr="00571F0B">
        <w:rPr>
          <w:lang w:val="en-GB"/>
        </w:rPr>
        <w:t xml:space="preserve"> private sector </w:t>
      </w:r>
      <w:r w:rsidR="00205423">
        <w:rPr>
          <w:lang w:val="en-GB"/>
        </w:rPr>
        <w:t xml:space="preserve">engagement and </w:t>
      </w:r>
      <w:r w:rsidR="002D5559">
        <w:rPr>
          <w:lang w:val="en-GB"/>
        </w:rPr>
        <w:t xml:space="preserve">private sector involvement in </w:t>
      </w:r>
      <w:r w:rsidR="00205423" w:rsidRPr="00205423">
        <w:rPr>
          <w:lang w:val="en-GB"/>
        </w:rPr>
        <w:t>development</w:t>
      </w:r>
      <w:r w:rsidRPr="00571F0B">
        <w:rPr>
          <w:lang w:val="en-GB"/>
        </w:rPr>
        <w:t xml:space="preserve">. Over four years </w:t>
      </w:r>
      <w:proofErr w:type="gramStart"/>
      <w:r w:rsidRPr="00571F0B">
        <w:rPr>
          <w:lang w:val="en-GB"/>
        </w:rPr>
        <w:t>A$</w:t>
      </w:r>
      <w:proofErr w:type="gramEnd"/>
      <w:r w:rsidRPr="00571F0B">
        <w:rPr>
          <w:lang w:val="en-GB"/>
        </w:rPr>
        <w:t>140 million will be provided to trial and test innovation in development assistance and to support this learning</w:t>
      </w:r>
      <w:r w:rsidR="00DE2B90">
        <w:rPr>
          <w:lang w:val="en-GB"/>
        </w:rPr>
        <w:t xml:space="preserve"> and</w:t>
      </w:r>
      <w:r w:rsidRPr="00571F0B">
        <w:rPr>
          <w:lang w:val="en-GB"/>
        </w:rPr>
        <w:t xml:space="preserve"> Australia will be a founding partner in the Global Development Innovation Ventures program. This should assist to inform and guide the PNG Innovation Fund component of IF (IV). Close coordination will be required </w:t>
      </w:r>
      <w:r w:rsidR="000F31E5" w:rsidRPr="00571F0B">
        <w:rPr>
          <w:lang w:val="en-GB"/>
        </w:rPr>
        <w:t>between</w:t>
      </w:r>
      <w:r w:rsidRPr="00571F0B">
        <w:rPr>
          <w:lang w:val="en-GB"/>
        </w:rPr>
        <w:t xml:space="preserve"> IF (IV), DFATs Innovation Hub team in Canberra and any other relevant innovation funding mechanisms.</w:t>
      </w:r>
    </w:p>
    <w:p w:rsidR="000B638D" w:rsidRPr="000B638D" w:rsidRDefault="000B638D" w:rsidP="000B638D">
      <w:pPr>
        <w:spacing w:before="0" w:after="0"/>
        <w:rPr>
          <w:sz w:val="16"/>
          <w:szCs w:val="16"/>
          <w:lang w:val="en-GB"/>
        </w:rPr>
      </w:pPr>
    </w:p>
    <w:p w:rsidR="009E1E17" w:rsidRDefault="00F46592" w:rsidP="009E1E17">
      <w:pPr>
        <w:spacing w:before="0" w:after="0"/>
        <w:rPr>
          <w:lang w:val="en-GB"/>
        </w:rPr>
      </w:pPr>
      <w:r w:rsidRPr="00571F0B">
        <w:rPr>
          <w:lang w:val="en-GB"/>
        </w:rPr>
        <w:t xml:space="preserve">Specifically, IF (IV) </w:t>
      </w:r>
      <w:r w:rsidR="006B2A57" w:rsidRPr="00571F0B">
        <w:rPr>
          <w:lang w:val="en-GB"/>
        </w:rPr>
        <w:t xml:space="preserve">will be required to design and implement a new </w:t>
      </w:r>
      <w:r w:rsidR="002D5559">
        <w:rPr>
          <w:lang w:val="en-GB"/>
        </w:rPr>
        <w:t>Innovation Fund and</w:t>
      </w:r>
      <w:r w:rsidR="006B2A57" w:rsidRPr="00571F0B">
        <w:rPr>
          <w:lang w:val="en-GB"/>
        </w:rPr>
        <w:t xml:space="preserve"> DFAT has </w:t>
      </w:r>
      <w:r w:rsidRPr="00571F0B">
        <w:rPr>
          <w:lang w:val="en-GB"/>
        </w:rPr>
        <w:t>quarantine</w:t>
      </w:r>
      <w:r w:rsidR="006B2A57" w:rsidRPr="00571F0B">
        <w:rPr>
          <w:lang w:val="en-GB"/>
        </w:rPr>
        <w:t>d</w:t>
      </w:r>
      <w:r w:rsidRPr="00571F0B">
        <w:rPr>
          <w:lang w:val="en-GB"/>
        </w:rPr>
        <w:t xml:space="preserve"> </w:t>
      </w:r>
      <w:proofErr w:type="gramStart"/>
      <w:r w:rsidRPr="00571F0B">
        <w:rPr>
          <w:lang w:val="en-GB"/>
        </w:rPr>
        <w:t>A$</w:t>
      </w:r>
      <w:proofErr w:type="gramEnd"/>
      <w:r w:rsidRPr="00571F0B">
        <w:rPr>
          <w:lang w:val="en-GB"/>
        </w:rPr>
        <w:t xml:space="preserve">10 million for </w:t>
      </w:r>
      <w:r w:rsidR="006B2A57" w:rsidRPr="00571F0B">
        <w:rPr>
          <w:lang w:val="en-GB"/>
        </w:rPr>
        <w:t>this</w:t>
      </w:r>
      <w:r w:rsidRPr="00571F0B">
        <w:rPr>
          <w:lang w:val="en-GB"/>
        </w:rPr>
        <w:t xml:space="preserve"> </w:t>
      </w:r>
      <w:r w:rsidR="002D5559" w:rsidRPr="002D5559">
        <w:rPr>
          <w:lang w:val="en-GB"/>
        </w:rPr>
        <w:t>Innovation Fund</w:t>
      </w:r>
      <w:r w:rsidR="002D5559">
        <w:rPr>
          <w:lang w:val="en-GB"/>
        </w:rPr>
        <w:t>. It</w:t>
      </w:r>
      <w:r w:rsidRPr="00571F0B">
        <w:rPr>
          <w:lang w:val="en-GB"/>
        </w:rPr>
        <w:t xml:space="preserve"> is anticipated </w:t>
      </w:r>
      <w:r w:rsidR="006B2A57" w:rsidRPr="00571F0B">
        <w:rPr>
          <w:lang w:val="en-GB"/>
        </w:rPr>
        <w:t xml:space="preserve">that </w:t>
      </w:r>
      <w:r w:rsidR="002D5559">
        <w:rPr>
          <w:lang w:val="en-GB"/>
        </w:rPr>
        <w:t xml:space="preserve">the </w:t>
      </w:r>
      <w:r w:rsidR="002D5559" w:rsidRPr="002D5559">
        <w:rPr>
          <w:lang w:val="en-GB"/>
        </w:rPr>
        <w:t>Innovation Fund</w:t>
      </w:r>
      <w:r w:rsidR="006B2A57" w:rsidRPr="00571F0B">
        <w:rPr>
          <w:lang w:val="en-GB"/>
        </w:rPr>
        <w:t xml:space="preserve"> </w:t>
      </w:r>
      <w:r w:rsidRPr="00571F0B">
        <w:rPr>
          <w:lang w:val="en-GB"/>
        </w:rPr>
        <w:t xml:space="preserve">will operate </w:t>
      </w:r>
      <w:r w:rsidR="00083597">
        <w:rPr>
          <w:lang w:val="en-GB"/>
        </w:rPr>
        <w:t>alongside but separate to the incentive funding m</w:t>
      </w:r>
      <w:r w:rsidR="00021BFC">
        <w:rPr>
          <w:lang w:val="en-GB"/>
        </w:rPr>
        <w:t>echanism</w:t>
      </w:r>
      <w:r w:rsidR="006B2A57" w:rsidRPr="00571F0B">
        <w:rPr>
          <w:lang w:val="en-GB"/>
        </w:rPr>
        <w:t>,</w:t>
      </w:r>
      <w:r w:rsidRPr="00571F0B">
        <w:rPr>
          <w:lang w:val="en-GB"/>
        </w:rPr>
        <w:t xml:space="preserve"> but still be subject to </w:t>
      </w:r>
      <w:r w:rsidR="00021BFC">
        <w:rPr>
          <w:lang w:val="en-GB"/>
        </w:rPr>
        <w:t>adapted</w:t>
      </w:r>
      <w:r w:rsidRPr="00571F0B">
        <w:rPr>
          <w:lang w:val="en-GB"/>
        </w:rPr>
        <w:t xml:space="preserve"> IF (IV) assessment processes. As yet there is no confirmed description of the function (what) or form (how and when) that the </w:t>
      </w:r>
      <w:r w:rsidR="00021BFC" w:rsidRPr="00021BFC">
        <w:rPr>
          <w:lang w:val="en-GB"/>
        </w:rPr>
        <w:t xml:space="preserve">Innovation Fund </w:t>
      </w:r>
      <w:r w:rsidRPr="00571F0B">
        <w:rPr>
          <w:lang w:val="en-GB"/>
        </w:rPr>
        <w:t xml:space="preserve">will adopt. However, it is anticipated that within the first six months of IF (IV) the innovation fund concepts will start to be generated and </w:t>
      </w:r>
      <w:r w:rsidR="006B2A57" w:rsidRPr="00571F0B">
        <w:rPr>
          <w:lang w:val="en-GB"/>
        </w:rPr>
        <w:t>IF (IV) should</w:t>
      </w:r>
      <w:r w:rsidRPr="00571F0B">
        <w:rPr>
          <w:lang w:val="en-GB"/>
        </w:rPr>
        <w:t xml:space="preserve"> be ready to pilot and test discreet </w:t>
      </w:r>
      <w:r w:rsidR="006B2A57" w:rsidRPr="00571F0B">
        <w:rPr>
          <w:lang w:val="en-GB"/>
        </w:rPr>
        <w:t xml:space="preserve">innovation </w:t>
      </w:r>
      <w:r w:rsidRPr="00571F0B">
        <w:rPr>
          <w:lang w:val="en-GB"/>
        </w:rPr>
        <w:t xml:space="preserve">funding to DFAT identified partners. Consulted DFAT sectors </w:t>
      </w:r>
      <w:r w:rsidR="000F31E5" w:rsidRPr="00571F0B">
        <w:rPr>
          <w:lang w:val="en-GB"/>
        </w:rPr>
        <w:t>mentioned</w:t>
      </w:r>
      <w:r w:rsidRPr="00571F0B">
        <w:rPr>
          <w:lang w:val="en-GB"/>
        </w:rPr>
        <w:t xml:space="preserve"> private sector partners they could engage so real potentia</w:t>
      </w:r>
      <w:r w:rsidR="000B638D">
        <w:rPr>
          <w:lang w:val="en-GB"/>
        </w:rPr>
        <w:t>l has already been identified.</w:t>
      </w:r>
      <w:r w:rsidR="002244B6">
        <w:rPr>
          <w:lang w:val="en-GB"/>
        </w:rPr>
        <w:t xml:space="preserve"> </w:t>
      </w:r>
    </w:p>
    <w:p w:rsidR="002244B6" w:rsidRDefault="002244B6" w:rsidP="009E1E17">
      <w:pPr>
        <w:spacing w:before="0" w:after="0"/>
        <w:rPr>
          <w:sz w:val="16"/>
          <w:szCs w:val="16"/>
          <w:lang w:val="en-GB"/>
        </w:rPr>
      </w:pPr>
    </w:p>
    <w:p w:rsidR="002244B6" w:rsidRDefault="0055164C" w:rsidP="000B638D">
      <w:pPr>
        <w:spacing w:before="0" w:after="0"/>
        <w:rPr>
          <w:lang w:val="en-GB"/>
        </w:rPr>
      </w:pPr>
      <w:r w:rsidRPr="00571F0B">
        <w:rPr>
          <w:lang w:val="en-GB"/>
        </w:rPr>
        <w:t xml:space="preserve">Innovation </w:t>
      </w:r>
      <w:r w:rsidR="002244B6">
        <w:rPr>
          <w:lang w:val="en-GB"/>
        </w:rPr>
        <w:t>Fund</w:t>
      </w:r>
      <w:r w:rsidRPr="00571F0B">
        <w:rPr>
          <w:lang w:val="en-GB"/>
        </w:rPr>
        <w:t xml:space="preserve"> design questions </w:t>
      </w:r>
      <w:r w:rsidR="000F31E5" w:rsidRPr="00571F0B">
        <w:rPr>
          <w:lang w:val="en-GB"/>
        </w:rPr>
        <w:t xml:space="preserve">will </w:t>
      </w:r>
      <w:r w:rsidRPr="00571F0B">
        <w:rPr>
          <w:lang w:val="en-GB"/>
        </w:rPr>
        <w:t>include:</w:t>
      </w:r>
    </w:p>
    <w:p w:rsidR="00021BFC" w:rsidRPr="00571F0B" w:rsidRDefault="00021BFC" w:rsidP="000B638D">
      <w:pPr>
        <w:spacing w:before="0" w:after="0"/>
        <w:rPr>
          <w:lang w:val="en-GB"/>
        </w:rPr>
      </w:pPr>
    </w:p>
    <w:p w:rsidR="0055164C" w:rsidRPr="00571F0B" w:rsidRDefault="0055164C" w:rsidP="00A82AAB">
      <w:pPr>
        <w:pStyle w:val="ListParagraph"/>
        <w:numPr>
          <w:ilvl w:val="0"/>
          <w:numId w:val="96"/>
        </w:numPr>
        <w:spacing w:before="0" w:after="0"/>
        <w:rPr>
          <w:lang w:val="en-GB"/>
        </w:rPr>
      </w:pPr>
      <w:r w:rsidRPr="00571F0B">
        <w:rPr>
          <w:lang w:val="en-GB"/>
        </w:rPr>
        <w:t xml:space="preserve">What are the investment options and models for the </w:t>
      </w:r>
      <w:r w:rsidR="00021BFC" w:rsidRPr="00021BFC">
        <w:rPr>
          <w:lang w:val="en-GB"/>
        </w:rPr>
        <w:t xml:space="preserve">Innovation Fund </w:t>
      </w:r>
      <w:r w:rsidRPr="00571F0B">
        <w:rPr>
          <w:lang w:val="en-GB"/>
        </w:rPr>
        <w:t>to consider?</w:t>
      </w:r>
    </w:p>
    <w:p w:rsidR="0055164C" w:rsidRPr="00571F0B" w:rsidRDefault="0055164C" w:rsidP="00A82AAB">
      <w:pPr>
        <w:pStyle w:val="ListParagraph"/>
        <w:numPr>
          <w:ilvl w:val="0"/>
          <w:numId w:val="96"/>
        </w:numPr>
        <w:spacing w:before="0" w:after="0"/>
        <w:rPr>
          <w:lang w:val="en-GB"/>
        </w:rPr>
      </w:pPr>
      <w:r w:rsidRPr="00571F0B">
        <w:rPr>
          <w:lang w:val="en-GB"/>
        </w:rPr>
        <w:t xml:space="preserve">Will the </w:t>
      </w:r>
      <w:r w:rsidR="00021BFC" w:rsidRPr="00021BFC">
        <w:rPr>
          <w:lang w:val="en-GB"/>
        </w:rPr>
        <w:t xml:space="preserve">Innovation Fund </w:t>
      </w:r>
      <w:r w:rsidRPr="00571F0B">
        <w:rPr>
          <w:lang w:val="en-GB"/>
        </w:rPr>
        <w:t>operate as a separate funding mechanism with its own principles, criteria and targets?</w:t>
      </w:r>
    </w:p>
    <w:p w:rsidR="0055164C" w:rsidRPr="00571F0B" w:rsidRDefault="0055164C" w:rsidP="00A82AAB">
      <w:pPr>
        <w:pStyle w:val="ListParagraph"/>
        <w:numPr>
          <w:ilvl w:val="0"/>
          <w:numId w:val="96"/>
        </w:numPr>
        <w:spacing w:before="0" w:after="0"/>
        <w:rPr>
          <w:lang w:val="en-GB"/>
        </w:rPr>
      </w:pPr>
      <w:r w:rsidRPr="00571F0B">
        <w:rPr>
          <w:lang w:val="en-GB"/>
        </w:rPr>
        <w:t xml:space="preserve">Who will the </w:t>
      </w:r>
      <w:r w:rsidR="00021BFC" w:rsidRPr="00021BFC">
        <w:rPr>
          <w:lang w:val="en-GB"/>
        </w:rPr>
        <w:t xml:space="preserve">Innovation Fund </w:t>
      </w:r>
      <w:r w:rsidRPr="00571F0B">
        <w:rPr>
          <w:lang w:val="en-GB"/>
        </w:rPr>
        <w:t>support</w:t>
      </w:r>
      <w:r w:rsidR="000B638D">
        <w:rPr>
          <w:lang w:val="en-GB"/>
        </w:rPr>
        <w:t>?  I</w:t>
      </w:r>
      <w:r w:rsidRPr="00571F0B">
        <w:rPr>
          <w:lang w:val="en-GB"/>
        </w:rPr>
        <w:t xml:space="preserve">s this the </w:t>
      </w:r>
      <w:r w:rsidR="000B638D">
        <w:rPr>
          <w:lang w:val="en-GB"/>
        </w:rPr>
        <w:t xml:space="preserve">right </w:t>
      </w:r>
      <w:r w:rsidRPr="00571F0B">
        <w:rPr>
          <w:lang w:val="en-GB"/>
        </w:rPr>
        <w:t>mechanism to encourage private sector engagement?</w:t>
      </w:r>
    </w:p>
    <w:p w:rsidR="0055164C" w:rsidRPr="00571F0B" w:rsidRDefault="0055164C" w:rsidP="00A82AAB">
      <w:pPr>
        <w:pStyle w:val="ListParagraph"/>
        <w:numPr>
          <w:ilvl w:val="0"/>
          <w:numId w:val="96"/>
        </w:numPr>
        <w:spacing w:before="0" w:after="0"/>
        <w:rPr>
          <w:lang w:val="en-GB"/>
        </w:rPr>
      </w:pPr>
      <w:r w:rsidRPr="00571F0B">
        <w:rPr>
          <w:lang w:val="en-GB"/>
        </w:rPr>
        <w:t xml:space="preserve">What activities will the </w:t>
      </w:r>
      <w:r w:rsidR="00021BFC" w:rsidRPr="00021BFC">
        <w:rPr>
          <w:lang w:val="en-GB"/>
        </w:rPr>
        <w:t xml:space="preserve">Innovation Fund </w:t>
      </w:r>
      <w:r w:rsidRPr="00571F0B">
        <w:rPr>
          <w:lang w:val="en-GB"/>
        </w:rPr>
        <w:t>support</w:t>
      </w:r>
      <w:r w:rsidR="00021BFC">
        <w:rPr>
          <w:lang w:val="en-GB"/>
        </w:rPr>
        <w:t>, will funding limits be imposed</w:t>
      </w:r>
      <w:r w:rsidRPr="00571F0B">
        <w:rPr>
          <w:lang w:val="en-GB"/>
        </w:rPr>
        <w:t xml:space="preserve"> and which activities will not be supported?</w:t>
      </w:r>
    </w:p>
    <w:p w:rsidR="0055164C" w:rsidRPr="00571F0B" w:rsidRDefault="0055164C" w:rsidP="00A82AAB">
      <w:pPr>
        <w:pStyle w:val="ListParagraph"/>
        <w:numPr>
          <w:ilvl w:val="0"/>
          <w:numId w:val="96"/>
        </w:numPr>
        <w:spacing w:before="0" w:after="0"/>
        <w:rPr>
          <w:lang w:val="en-GB"/>
        </w:rPr>
      </w:pPr>
      <w:r w:rsidRPr="00571F0B">
        <w:rPr>
          <w:lang w:val="en-GB"/>
        </w:rPr>
        <w:t xml:space="preserve">What are realistic expenditure predictions for the </w:t>
      </w:r>
      <w:r w:rsidR="00021BFC" w:rsidRPr="00021BFC">
        <w:rPr>
          <w:lang w:val="en-GB"/>
        </w:rPr>
        <w:t xml:space="preserve">Innovation Fund </w:t>
      </w:r>
      <w:r w:rsidRPr="00571F0B">
        <w:rPr>
          <w:lang w:val="en-GB"/>
        </w:rPr>
        <w:t xml:space="preserve">and can it allocate, implement and fully acquit </w:t>
      </w:r>
      <w:proofErr w:type="gramStart"/>
      <w:r w:rsidRPr="00571F0B">
        <w:rPr>
          <w:lang w:val="en-GB"/>
        </w:rPr>
        <w:t>A</w:t>
      </w:r>
      <w:r w:rsidR="000B638D">
        <w:rPr>
          <w:lang w:val="en-GB"/>
        </w:rPr>
        <w:t>$</w:t>
      </w:r>
      <w:proofErr w:type="gramEnd"/>
      <w:r w:rsidR="000B638D">
        <w:rPr>
          <w:lang w:val="en-GB"/>
        </w:rPr>
        <w:t>10 million by closure in 2021?</w:t>
      </w:r>
    </w:p>
    <w:p w:rsidR="00C30390" w:rsidRDefault="0055164C" w:rsidP="00A82AAB">
      <w:pPr>
        <w:pStyle w:val="ListParagraph"/>
        <w:numPr>
          <w:ilvl w:val="0"/>
          <w:numId w:val="96"/>
        </w:numPr>
        <w:spacing w:before="0" w:after="0"/>
        <w:rPr>
          <w:lang w:val="en-GB"/>
        </w:rPr>
      </w:pPr>
      <w:r w:rsidRPr="00571F0B">
        <w:rPr>
          <w:lang w:val="en-GB"/>
        </w:rPr>
        <w:t xml:space="preserve">How will IF (IV) and DFAT promote the </w:t>
      </w:r>
      <w:r w:rsidR="00021BFC" w:rsidRPr="00021BFC">
        <w:rPr>
          <w:lang w:val="en-GB"/>
        </w:rPr>
        <w:t>Innovation Fund</w:t>
      </w:r>
      <w:r w:rsidRPr="00571F0B">
        <w:rPr>
          <w:lang w:val="en-GB"/>
        </w:rPr>
        <w:t>?</w:t>
      </w:r>
    </w:p>
    <w:p w:rsidR="000B638D" w:rsidRPr="000B638D" w:rsidRDefault="000B638D" w:rsidP="000B638D">
      <w:pPr>
        <w:spacing w:before="0" w:after="0"/>
        <w:rPr>
          <w:lang w:val="en-GB"/>
        </w:rPr>
      </w:pPr>
    </w:p>
    <w:p w:rsidR="00C05D33" w:rsidRPr="00571F0B" w:rsidRDefault="007819EF" w:rsidP="00BE7C9E">
      <w:pPr>
        <w:pStyle w:val="Heading2"/>
        <w:rPr>
          <w:lang w:val="en-GB"/>
        </w:rPr>
      </w:pPr>
      <w:r w:rsidRPr="00571F0B">
        <w:rPr>
          <w:lang w:val="en-GB"/>
        </w:rPr>
        <w:t xml:space="preserve"> </w:t>
      </w:r>
      <w:bookmarkStart w:id="36" w:name="_Toc403037572"/>
      <w:r w:rsidRPr="00571F0B">
        <w:rPr>
          <w:lang w:val="en-GB"/>
        </w:rPr>
        <w:t>Communicating</w:t>
      </w:r>
      <w:r w:rsidR="00C05D33" w:rsidRPr="00571F0B">
        <w:rPr>
          <w:lang w:val="en-GB"/>
        </w:rPr>
        <w:t xml:space="preserve"> the Incentive Fund</w:t>
      </w:r>
      <w:r w:rsidRPr="00571F0B">
        <w:rPr>
          <w:lang w:val="en-GB"/>
        </w:rPr>
        <w:t xml:space="preserve"> Phase IV</w:t>
      </w:r>
      <w:bookmarkEnd w:id="36"/>
    </w:p>
    <w:p w:rsidR="002260E4" w:rsidRDefault="003D699F" w:rsidP="0094638E">
      <w:pPr>
        <w:rPr>
          <w:lang w:val="en-GB"/>
        </w:rPr>
      </w:pPr>
      <w:r w:rsidRPr="00571F0B">
        <w:rPr>
          <w:lang w:val="en-GB"/>
        </w:rPr>
        <w:t xml:space="preserve">At start-up the MC and IFT will engage with the DFAT Public Diplomacy team at Post and identify early opportunities to promote Australia through IF (IV). </w:t>
      </w:r>
      <w:r w:rsidR="002244B6">
        <w:rPr>
          <w:lang w:val="en-GB"/>
        </w:rPr>
        <w:t xml:space="preserve">For example the MC will be required to assist DFAT’s on-going engagement with the PNG Business and Development Working Group and to establish new ways to improve </w:t>
      </w:r>
      <w:r w:rsidR="002260E4">
        <w:rPr>
          <w:lang w:val="en-GB"/>
        </w:rPr>
        <w:t>engagement with the pri</w:t>
      </w:r>
      <w:r w:rsidR="002244B6">
        <w:rPr>
          <w:lang w:val="en-GB"/>
        </w:rPr>
        <w:t xml:space="preserve">vate sector. </w:t>
      </w:r>
    </w:p>
    <w:p w:rsidR="002260E4" w:rsidRDefault="002260E4" w:rsidP="0094638E">
      <w:pPr>
        <w:rPr>
          <w:lang w:val="en-GB"/>
        </w:rPr>
      </w:pPr>
    </w:p>
    <w:p w:rsidR="00F7641B" w:rsidRPr="00571F0B" w:rsidRDefault="002260E4" w:rsidP="0094638E">
      <w:pPr>
        <w:rPr>
          <w:lang w:val="en-GB"/>
        </w:rPr>
      </w:pPr>
      <w:r>
        <w:rPr>
          <w:lang w:val="en-GB"/>
        </w:rPr>
        <w:t xml:space="preserve">IF (IV) requires </w:t>
      </w:r>
      <w:proofErr w:type="gramStart"/>
      <w:r>
        <w:rPr>
          <w:lang w:val="en-GB"/>
        </w:rPr>
        <w:t>a publ</w:t>
      </w:r>
      <w:r w:rsidR="003D699F" w:rsidRPr="00571F0B">
        <w:rPr>
          <w:lang w:val="en-GB"/>
        </w:rPr>
        <w:t>ic</w:t>
      </w:r>
      <w:proofErr w:type="gramEnd"/>
      <w:r w:rsidR="003D699F" w:rsidRPr="00571F0B">
        <w:rPr>
          <w:lang w:val="en-GB"/>
        </w:rPr>
        <w:t xml:space="preserve"> relations communications strategy and communication plan. Regular review of the communication plan will be scheduled and a library of useful media, photos and stories will be established. The Public Relations </w:t>
      </w:r>
      <w:r>
        <w:rPr>
          <w:lang w:val="en-GB"/>
        </w:rPr>
        <w:t>personnel</w:t>
      </w:r>
      <w:r w:rsidR="003D699F" w:rsidRPr="00571F0B">
        <w:rPr>
          <w:lang w:val="en-GB"/>
        </w:rPr>
        <w:t xml:space="preserve"> will work closely with the monitoring, evaluation and reporting teams of IF (IV) to identify new opportunities to promote Australia and lift the profile of IF (IV). One key consideration discussed during the design consultations was whether to establish some early CPs through DFAT sectors and fast-</w:t>
      </w:r>
      <w:r w:rsidR="003D699F" w:rsidRPr="00571F0B">
        <w:rPr>
          <w:lang w:val="en-GB"/>
        </w:rPr>
        <w:lastRenderedPageBreak/>
        <w:t>track proposals and approvals to enter an early implementation phase. This should be given careful consideration at IF (IV) start-up.</w:t>
      </w:r>
      <w:r w:rsidR="00F7641B" w:rsidRPr="00571F0B">
        <w:rPr>
          <w:lang w:val="en-GB"/>
        </w:rPr>
        <w:t xml:space="preserve"> </w:t>
      </w:r>
    </w:p>
    <w:p w:rsidR="00C05D33" w:rsidRPr="00571F0B" w:rsidRDefault="00C30390" w:rsidP="00BE7C9E">
      <w:pPr>
        <w:pStyle w:val="Heading1"/>
        <w:rPr>
          <w:lang w:val="en-GB"/>
        </w:rPr>
      </w:pPr>
      <w:bookmarkStart w:id="37" w:name="_Toc403037573"/>
      <w:r w:rsidRPr="00571F0B">
        <w:rPr>
          <w:lang w:val="en-GB"/>
        </w:rPr>
        <w:lastRenderedPageBreak/>
        <w:t xml:space="preserve">Management </w:t>
      </w:r>
      <w:r w:rsidR="00702524" w:rsidRPr="00571F0B">
        <w:rPr>
          <w:lang w:val="en-GB"/>
        </w:rPr>
        <w:t>Arrangements</w:t>
      </w:r>
      <w:bookmarkEnd w:id="37"/>
    </w:p>
    <w:p w:rsidR="0099002E" w:rsidRPr="00571F0B" w:rsidRDefault="0099002E" w:rsidP="00A82AAB">
      <w:pPr>
        <w:pStyle w:val="Heading2"/>
        <w:numPr>
          <w:ilvl w:val="1"/>
          <w:numId w:val="21"/>
        </w:numPr>
        <w:rPr>
          <w:lang w:val="en-GB"/>
        </w:rPr>
      </w:pPr>
      <w:bookmarkStart w:id="38" w:name="_Toc403037574"/>
      <w:r w:rsidRPr="00571F0B">
        <w:rPr>
          <w:lang w:val="en-GB"/>
        </w:rPr>
        <w:t>Stakeholders, Roles and Responsibilities</w:t>
      </w:r>
      <w:bookmarkEnd w:id="38"/>
    </w:p>
    <w:p w:rsidR="00120068" w:rsidRPr="00571F0B" w:rsidRDefault="0099002E" w:rsidP="00C05D33">
      <w:pPr>
        <w:spacing w:before="0" w:after="0"/>
        <w:rPr>
          <w:lang w:val="en-GB"/>
        </w:rPr>
      </w:pPr>
      <w:r w:rsidRPr="0095356B">
        <w:rPr>
          <w:lang w:val="en-GB"/>
        </w:rPr>
        <w:t>Figure 2 provides an overview of the key governance and management structures required to successfully</w:t>
      </w:r>
      <w:r w:rsidRPr="00571F0B">
        <w:rPr>
          <w:lang w:val="en-GB"/>
        </w:rPr>
        <w:t xml:space="preserve"> operate IF (IV). Advancing the Phase III design</w:t>
      </w:r>
      <w:r w:rsidR="00120068" w:rsidRPr="00571F0B">
        <w:rPr>
          <w:lang w:val="en-GB"/>
        </w:rPr>
        <w:t>,</w:t>
      </w:r>
      <w:r w:rsidRPr="00571F0B">
        <w:rPr>
          <w:lang w:val="en-GB"/>
        </w:rPr>
        <w:t xml:space="preserve"> during its implementation Phase III introduced a Sub-Management Group </w:t>
      </w:r>
      <w:r w:rsidR="00120068" w:rsidRPr="00571F0B">
        <w:rPr>
          <w:lang w:val="en-GB"/>
        </w:rPr>
        <w:t xml:space="preserve">(SMG) </w:t>
      </w:r>
      <w:r w:rsidRPr="00571F0B">
        <w:rPr>
          <w:lang w:val="en-GB"/>
        </w:rPr>
        <w:t xml:space="preserve">which increased connectivity between the IFT and DFAT and DNPM. It also played a valuable quality assurance role to pre-filter and quality check concept papers, organisation assessments and proposals ahead of the Management Group review and decision making. The SMG will remain. </w:t>
      </w:r>
    </w:p>
    <w:p w:rsidR="0010389A" w:rsidRDefault="0010389A" w:rsidP="00C05D33">
      <w:pPr>
        <w:spacing w:before="0" w:after="0"/>
        <w:rPr>
          <w:lang w:val="en-GB"/>
        </w:rPr>
      </w:pPr>
    </w:p>
    <w:p w:rsidR="0099002E" w:rsidRPr="00571F0B" w:rsidRDefault="00120068" w:rsidP="00C05D33">
      <w:pPr>
        <w:spacing w:before="0" w:after="0"/>
        <w:rPr>
          <w:lang w:val="en-GB"/>
        </w:rPr>
      </w:pPr>
      <w:r w:rsidRPr="00571F0B">
        <w:rPr>
          <w:lang w:val="en-GB"/>
        </w:rPr>
        <w:t xml:space="preserve">In addition </w:t>
      </w:r>
      <w:r w:rsidR="0099002E" w:rsidRPr="00571F0B">
        <w:rPr>
          <w:lang w:val="en-GB"/>
        </w:rPr>
        <w:t>a grievance mechanism will be introduced</w:t>
      </w:r>
      <w:r w:rsidRPr="00571F0B">
        <w:rPr>
          <w:lang w:val="en-GB"/>
        </w:rPr>
        <w:t>. The</w:t>
      </w:r>
      <w:r w:rsidR="0010389A">
        <w:rPr>
          <w:lang w:val="en-GB"/>
        </w:rPr>
        <w:t xml:space="preserve"> intent</w:t>
      </w:r>
      <w:r w:rsidR="0099002E" w:rsidRPr="00571F0B">
        <w:rPr>
          <w:lang w:val="en-GB"/>
        </w:rPr>
        <w:t xml:space="preserve">ion is to introduce this function </w:t>
      </w:r>
      <w:r w:rsidRPr="00571F0B">
        <w:rPr>
          <w:lang w:val="en-GB"/>
        </w:rPr>
        <w:t>through</w:t>
      </w:r>
      <w:r w:rsidR="0099002E" w:rsidRPr="00571F0B">
        <w:rPr>
          <w:lang w:val="en-GB"/>
        </w:rPr>
        <w:t xml:space="preserve"> the incentive funding mechanism </w:t>
      </w:r>
      <w:r w:rsidRPr="00571F0B">
        <w:rPr>
          <w:lang w:val="en-GB"/>
        </w:rPr>
        <w:t>and</w:t>
      </w:r>
      <w:r w:rsidR="0099002E" w:rsidRPr="00571F0B">
        <w:rPr>
          <w:lang w:val="en-GB"/>
        </w:rPr>
        <w:t xml:space="preserve"> it may well expand i</w:t>
      </w:r>
      <w:r w:rsidRPr="00571F0B">
        <w:rPr>
          <w:lang w:val="en-GB"/>
        </w:rPr>
        <w:t>ts</w:t>
      </w:r>
      <w:r w:rsidR="0099002E" w:rsidRPr="00571F0B">
        <w:rPr>
          <w:lang w:val="en-GB"/>
        </w:rPr>
        <w:t xml:space="preserve"> </w:t>
      </w:r>
      <w:r w:rsidRPr="00571F0B">
        <w:rPr>
          <w:lang w:val="en-GB"/>
        </w:rPr>
        <w:t>role</w:t>
      </w:r>
      <w:r w:rsidR="0099002E" w:rsidRPr="00571F0B">
        <w:rPr>
          <w:lang w:val="en-GB"/>
        </w:rPr>
        <w:t xml:space="preserve"> to support other programs.</w:t>
      </w:r>
      <w:r w:rsidR="00021BFC">
        <w:rPr>
          <w:lang w:val="en-GB"/>
        </w:rPr>
        <w:t xml:space="preserve"> An Independent Review T</w:t>
      </w:r>
      <w:r w:rsidR="00021BFC" w:rsidRPr="00021BFC">
        <w:rPr>
          <w:lang w:val="en-GB"/>
        </w:rPr>
        <w:t>eam</w:t>
      </w:r>
      <w:r w:rsidR="00021BFC">
        <w:rPr>
          <w:lang w:val="en-GB"/>
        </w:rPr>
        <w:t xml:space="preserve"> will also be introduced to confirm the PAF and the progress being made towards the end-of-program position.</w:t>
      </w:r>
    </w:p>
    <w:p w:rsidR="0099002E" w:rsidRDefault="0099002E" w:rsidP="00C05D33">
      <w:pPr>
        <w:spacing w:before="0" w:after="0"/>
        <w:rPr>
          <w:lang w:val="en-GB"/>
        </w:rPr>
      </w:pPr>
    </w:p>
    <w:p w:rsidR="000B638D" w:rsidRDefault="000B638D" w:rsidP="000B638D">
      <w:pPr>
        <w:pStyle w:val="Caption"/>
        <w:rPr>
          <w:lang w:val="en-GB"/>
        </w:rPr>
      </w:pPr>
      <w:bookmarkStart w:id="39" w:name="_Toc403037641"/>
      <w:r>
        <w:t xml:space="preserve">Figure </w:t>
      </w:r>
      <w:fldSimple w:instr=" SEQ Figure \* ARABIC ">
        <w:r w:rsidR="006C1E87">
          <w:rPr>
            <w:noProof/>
          </w:rPr>
          <w:t>3</w:t>
        </w:r>
      </w:fldSimple>
      <w:r>
        <w:t>: IF (IV) Management Organisation and Responsibilities</w:t>
      </w:r>
      <w:bookmarkEnd w:id="39"/>
    </w:p>
    <w:p w:rsidR="00120068" w:rsidRPr="000B638D" w:rsidRDefault="00120068" w:rsidP="0099002E">
      <w:pPr>
        <w:spacing w:before="0" w:after="0"/>
        <w:rPr>
          <w:sz w:val="16"/>
          <w:szCs w:val="16"/>
          <w:lang w:val="en-GB"/>
        </w:rPr>
      </w:pPr>
    </w:p>
    <w:p w:rsidR="0099002E" w:rsidRPr="00571F0B" w:rsidRDefault="00DD2483" w:rsidP="0099002E">
      <w:pPr>
        <w:spacing w:before="0" w:after="0"/>
        <w:rPr>
          <w:lang w:val="en-GB"/>
        </w:rPr>
      </w:pPr>
      <w:r w:rsidRPr="00571F0B">
        <w:rPr>
          <w:lang w:val="en-GB"/>
        </w:rPr>
        <w:object w:dxaOrig="17672" w:dyaOrig="10514">
          <v:shape id="_x0000_i1026" type="#_x0000_t75" style="width:453.5pt;height:270.25pt" o:ole="">
            <v:imagedata r:id="rId25" o:title=""/>
          </v:shape>
          <o:OLEObject Type="Embed" ProgID="Visio.Drawing.11" ShapeID="_x0000_i1026" DrawAspect="Content" ObjectID="_1508246530" r:id="rId26"/>
        </w:object>
      </w:r>
    </w:p>
    <w:p w:rsidR="0099002E" w:rsidRPr="00571F0B" w:rsidRDefault="0099002E" w:rsidP="00C05D33">
      <w:pPr>
        <w:spacing w:before="0" w:after="0"/>
        <w:rPr>
          <w:lang w:val="en-GB"/>
        </w:rPr>
      </w:pPr>
    </w:p>
    <w:p w:rsidR="00CD6B8D" w:rsidRPr="00571F0B" w:rsidRDefault="00CD6B8D" w:rsidP="00BE7C9E">
      <w:pPr>
        <w:pStyle w:val="Heading3"/>
        <w:rPr>
          <w:lang w:val="en-GB"/>
        </w:rPr>
      </w:pPr>
      <w:r w:rsidRPr="00571F0B">
        <w:rPr>
          <w:lang w:val="en-GB"/>
        </w:rPr>
        <w:t>Department of National Planning and Monitoring</w:t>
      </w:r>
    </w:p>
    <w:p w:rsidR="00CD6B8D" w:rsidRPr="00571F0B" w:rsidRDefault="00CD6B8D" w:rsidP="00CD6B8D">
      <w:pPr>
        <w:rPr>
          <w:lang w:val="en-GB"/>
        </w:rPr>
      </w:pPr>
      <w:r w:rsidRPr="00571F0B">
        <w:rPr>
          <w:lang w:val="en-GB"/>
        </w:rPr>
        <w:t xml:space="preserve">DNPM will identify a key contact for all aspects of </w:t>
      </w:r>
      <w:r w:rsidR="00021BFC">
        <w:rPr>
          <w:lang w:val="en-GB"/>
        </w:rPr>
        <w:t>IF (IV)</w:t>
      </w:r>
      <w:r w:rsidRPr="00571F0B">
        <w:rPr>
          <w:lang w:val="en-GB"/>
        </w:rPr>
        <w:t>, and who will be the counterpart to the DFAT activity manager. This person will coordinate DNPM’s inputs to meet the following responsibilities:</w:t>
      </w:r>
    </w:p>
    <w:p w:rsidR="00CD6B8D" w:rsidRPr="00571F0B" w:rsidRDefault="00CD6B8D" w:rsidP="00A82AAB">
      <w:pPr>
        <w:pStyle w:val="ListParagraph"/>
        <w:numPr>
          <w:ilvl w:val="0"/>
          <w:numId w:val="34"/>
        </w:numPr>
        <w:ind w:left="284" w:hanging="284"/>
        <w:rPr>
          <w:lang w:val="en-GB"/>
        </w:rPr>
      </w:pPr>
      <w:r w:rsidRPr="00571F0B">
        <w:rPr>
          <w:lang w:val="en-GB"/>
        </w:rPr>
        <w:t>effective and efficient communication with DF</w:t>
      </w:r>
      <w:r w:rsidR="006C08DE">
        <w:rPr>
          <w:lang w:val="en-GB"/>
        </w:rPr>
        <w:t>AT, the MG, the SMG and the IFT</w:t>
      </w:r>
      <w:r w:rsidR="0010389A">
        <w:rPr>
          <w:lang w:val="en-GB"/>
        </w:rPr>
        <w:t>;</w:t>
      </w:r>
    </w:p>
    <w:p w:rsidR="00CD6B8D" w:rsidRPr="00571F0B" w:rsidRDefault="00CD6B8D" w:rsidP="00A82AAB">
      <w:pPr>
        <w:pStyle w:val="ListParagraph"/>
        <w:numPr>
          <w:ilvl w:val="0"/>
          <w:numId w:val="34"/>
        </w:numPr>
        <w:ind w:left="284" w:hanging="284"/>
        <w:rPr>
          <w:lang w:val="en-GB"/>
        </w:rPr>
      </w:pPr>
      <w:r w:rsidRPr="00571F0B">
        <w:rPr>
          <w:lang w:val="en-GB"/>
        </w:rPr>
        <w:t>joint appointment with DFAT of the addit</w:t>
      </w:r>
      <w:r w:rsidR="006C08DE">
        <w:rPr>
          <w:lang w:val="en-GB"/>
        </w:rPr>
        <w:t>ional members of the MG and SMG</w:t>
      </w:r>
      <w:r w:rsidR="0010389A">
        <w:rPr>
          <w:lang w:val="en-GB"/>
        </w:rPr>
        <w:t>;</w:t>
      </w:r>
    </w:p>
    <w:p w:rsidR="00CD6B8D" w:rsidRPr="00571F0B" w:rsidRDefault="00CD6B8D" w:rsidP="00A82AAB">
      <w:pPr>
        <w:pStyle w:val="ListParagraph"/>
        <w:numPr>
          <w:ilvl w:val="0"/>
          <w:numId w:val="34"/>
        </w:numPr>
        <w:ind w:left="284" w:hanging="284"/>
        <w:rPr>
          <w:lang w:val="en-GB"/>
        </w:rPr>
      </w:pPr>
      <w:r w:rsidRPr="00571F0B">
        <w:rPr>
          <w:lang w:val="en-GB"/>
        </w:rPr>
        <w:t>internal DNPM and central ag</w:t>
      </w:r>
      <w:r w:rsidR="006C08DE">
        <w:rPr>
          <w:lang w:val="en-GB"/>
        </w:rPr>
        <w:t>ency coordination and reporting</w:t>
      </w:r>
      <w:r w:rsidR="0010389A">
        <w:rPr>
          <w:lang w:val="en-GB"/>
        </w:rPr>
        <w:t>;</w:t>
      </w:r>
    </w:p>
    <w:p w:rsidR="00CD6B8D" w:rsidRPr="00571F0B" w:rsidRDefault="00CD6B8D" w:rsidP="00A82AAB">
      <w:pPr>
        <w:pStyle w:val="ListParagraph"/>
        <w:numPr>
          <w:ilvl w:val="0"/>
          <w:numId w:val="34"/>
        </w:numPr>
        <w:ind w:left="284" w:hanging="284"/>
        <w:rPr>
          <w:lang w:val="en-GB"/>
        </w:rPr>
      </w:pPr>
      <w:r w:rsidRPr="00571F0B">
        <w:rPr>
          <w:lang w:val="en-GB"/>
        </w:rPr>
        <w:t>seek advice on Concept Proposals submitted to the IFT from relevant GoPNG sectors including national departments, provinces and agencies</w:t>
      </w:r>
      <w:r w:rsidR="006C08DE">
        <w:rPr>
          <w:lang w:val="en-GB"/>
        </w:rPr>
        <w:t>, or assist the MC to obtain it</w:t>
      </w:r>
      <w:r w:rsidR="0010389A">
        <w:rPr>
          <w:lang w:val="en-GB"/>
        </w:rPr>
        <w:t>;</w:t>
      </w:r>
    </w:p>
    <w:p w:rsidR="00CD6B8D" w:rsidRPr="00571F0B" w:rsidRDefault="00CD6B8D" w:rsidP="00A82AAB">
      <w:pPr>
        <w:pStyle w:val="ListParagraph"/>
        <w:numPr>
          <w:ilvl w:val="0"/>
          <w:numId w:val="34"/>
        </w:numPr>
        <w:ind w:left="284" w:hanging="284"/>
        <w:rPr>
          <w:lang w:val="en-GB"/>
        </w:rPr>
      </w:pPr>
      <w:r w:rsidRPr="00571F0B">
        <w:rPr>
          <w:lang w:val="en-GB"/>
        </w:rPr>
        <w:t xml:space="preserve">ensure DNPM’s regular participation as </w:t>
      </w:r>
      <w:r w:rsidR="006C08DE">
        <w:rPr>
          <w:lang w:val="en-GB"/>
        </w:rPr>
        <w:t>a standing member of the MG</w:t>
      </w:r>
      <w:r w:rsidR="0010389A">
        <w:rPr>
          <w:lang w:val="en-GB"/>
        </w:rPr>
        <w:t>;</w:t>
      </w:r>
    </w:p>
    <w:p w:rsidR="00CD6B8D" w:rsidRPr="00571F0B" w:rsidRDefault="00CD6B8D" w:rsidP="00A82AAB">
      <w:pPr>
        <w:pStyle w:val="ListParagraph"/>
        <w:numPr>
          <w:ilvl w:val="0"/>
          <w:numId w:val="34"/>
        </w:numPr>
        <w:ind w:left="284" w:hanging="284"/>
        <w:rPr>
          <w:lang w:val="en-GB"/>
        </w:rPr>
      </w:pPr>
      <w:proofErr w:type="gramStart"/>
      <w:r w:rsidRPr="00571F0B">
        <w:rPr>
          <w:lang w:val="en-GB"/>
        </w:rPr>
        <w:t>act</w:t>
      </w:r>
      <w:proofErr w:type="gramEnd"/>
      <w:r w:rsidRPr="00571F0B">
        <w:rPr>
          <w:lang w:val="en-GB"/>
        </w:rPr>
        <w:t xml:space="preserve"> on recommendations from the MG.</w:t>
      </w:r>
    </w:p>
    <w:p w:rsidR="009E1E17" w:rsidRDefault="009E1E17">
      <w:pPr>
        <w:spacing w:before="0" w:after="0"/>
        <w:jc w:val="left"/>
        <w:rPr>
          <w:lang w:val="en-GB"/>
        </w:rPr>
      </w:pPr>
      <w:r>
        <w:rPr>
          <w:lang w:val="en-GB"/>
        </w:rPr>
        <w:br w:type="page"/>
      </w:r>
    </w:p>
    <w:p w:rsidR="00CD6B8D" w:rsidRPr="00571F0B" w:rsidRDefault="00CD6B8D" w:rsidP="00BE7C9E">
      <w:pPr>
        <w:pStyle w:val="Heading3"/>
        <w:rPr>
          <w:lang w:val="en-GB"/>
        </w:rPr>
      </w:pPr>
      <w:r w:rsidRPr="00571F0B">
        <w:rPr>
          <w:lang w:val="en-GB"/>
        </w:rPr>
        <w:lastRenderedPageBreak/>
        <w:t>DFAT</w:t>
      </w:r>
      <w:r w:rsidR="006C08DE">
        <w:rPr>
          <w:lang w:val="en-GB"/>
        </w:rPr>
        <w:t xml:space="preserve"> Post in Port Moresby</w:t>
      </w:r>
    </w:p>
    <w:p w:rsidR="00CD6B8D" w:rsidRPr="00571F0B" w:rsidRDefault="00CD6B8D" w:rsidP="00CD6B8D">
      <w:pPr>
        <w:rPr>
          <w:lang w:val="en-GB"/>
        </w:rPr>
      </w:pPr>
      <w:r w:rsidRPr="00571F0B">
        <w:rPr>
          <w:lang w:val="en-GB"/>
        </w:rPr>
        <w:t xml:space="preserve">The DFAT Post in Port Moresby will identify an activity manager for all aspects of the IF (IV). </w:t>
      </w:r>
      <w:r w:rsidR="006C08DE">
        <w:rPr>
          <w:lang w:val="en-GB"/>
        </w:rPr>
        <w:t xml:space="preserve"> </w:t>
      </w:r>
      <w:r w:rsidRPr="00571F0B">
        <w:rPr>
          <w:lang w:val="en-GB"/>
        </w:rPr>
        <w:t>This person will coord</w:t>
      </w:r>
      <w:r w:rsidR="0010389A">
        <w:rPr>
          <w:lang w:val="en-GB"/>
        </w:rPr>
        <w:t>inate DFAT</w:t>
      </w:r>
      <w:r w:rsidRPr="00571F0B">
        <w:rPr>
          <w:lang w:val="en-GB"/>
        </w:rPr>
        <w:t>’s inputs to meet the following responsibilities:</w:t>
      </w:r>
    </w:p>
    <w:p w:rsidR="00CD6B8D" w:rsidRPr="00571F0B" w:rsidRDefault="00CD6B8D" w:rsidP="00A82AAB">
      <w:pPr>
        <w:pStyle w:val="ListParagraph"/>
        <w:numPr>
          <w:ilvl w:val="0"/>
          <w:numId w:val="35"/>
        </w:numPr>
        <w:ind w:left="284" w:hanging="284"/>
        <w:rPr>
          <w:lang w:val="en-GB"/>
        </w:rPr>
      </w:pPr>
      <w:r w:rsidRPr="00571F0B">
        <w:rPr>
          <w:lang w:val="en-GB"/>
        </w:rPr>
        <w:t>effective and efficient comm</w:t>
      </w:r>
      <w:r w:rsidR="006C08DE">
        <w:rPr>
          <w:lang w:val="en-GB"/>
        </w:rPr>
        <w:t>unication with DFAT and the IFT</w:t>
      </w:r>
      <w:r w:rsidR="0010389A">
        <w:rPr>
          <w:lang w:val="en-GB"/>
        </w:rPr>
        <w:t>;</w:t>
      </w:r>
    </w:p>
    <w:p w:rsidR="00CD6B8D" w:rsidRPr="00571F0B" w:rsidRDefault="00CD6B8D" w:rsidP="00A82AAB">
      <w:pPr>
        <w:pStyle w:val="ListParagraph"/>
        <w:numPr>
          <w:ilvl w:val="0"/>
          <w:numId w:val="35"/>
        </w:numPr>
        <w:ind w:left="284" w:hanging="284"/>
        <w:rPr>
          <w:lang w:val="en-GB"/>
        </w:rPr>
      </w:pPr>
      <w:r w:rsidRPr="00571F0B">
        <w:rPr>
          <w:lang w:val="en-GB"/>
        </w:rPr>
        <w:t>joint appointment with DNPM of the addit</w:t>
      </w:r>
      <w:r w:rsidR="006C08DE">
        <w:rPr>
          <w:lang w:val="en-GB"/>
        </w:rPr>
        <w:t>ional members of the MG and SMG</w:t>
      </w:r>
      <w:r w:rsidR="0010389A">
        <w:rPr>
          <w:lang w:val="en-GB"/>
        </w:rPr>
        <w:t>;</w:t>
      </w:r>
    </w:p>
    <w:p w:rsidR="00CD6B8D" w:rsidRPr="00571F0B" w:rsidRDefault="00CD6B8D" w:rsidP="00A82AAB">
      <w:pPr>
        <w:pStyle w:val="ListParagraph"/>
        <w:numPr>
          <w:ilvl w:val="0"/>
          <w:numId w:val="35"/>
        </w:numPr>
        <w:ind w:left="284" w:hanging="284"/>
        <w:rPr>
          <w:lang w:val="en-GB"/>
        </w:rPr>
      </w:pPr>
      <w:r w:rsidRPr="00571F0B">
        <w:rPr>
          <w:lang w:val="en-GB"/>
        </w:rPr>
        <w:t>internal DFAT coordination and reporting plus financial management, includi</w:t>
      </w:r>
      <w:r w:rsidR="006C08DE">
        <w:rPr>
          <w:lang w:val="en-GB"/>
        </w:rPr>
        <w:t>ng advice on annual allocations</w:t>
      </w:r>
      <w:r w:rsidR="0010389A">
        <w:rPr>
          <w:lang w:val="en-GB"/>
        </w:rPr>
        <w:t>;</w:t>
      </w:r>
    </w:p>
    <w:p w:rsidR="00CD6B8D" w:rsidRPr="00571F0B" w:rsidRDefault="00CD6B8D" w:rsidP="00A82AAB">
      <w:pPr>
        <w:pStyle w:val="ListParagraph"/>
        <w:numPr>
          <w:ilvl w:val="0"/>
          <w:numId w:val="35"/>
        </w:numPr>
        <w:ind w:left="284" w:hanging="284"/>
        <w:rPr>
          <w:lang w:val="en-GB"/>
        </w:rPr>
      </w:pPr>
      <w:r w:rsidRPr="00571F0B">
        <w:rPr>
          <w:lang w:val="en-GB"/>
        </w:rPr>
        <w:t>seek advice on CPs submitted to the IFT from DFAT sectors and sectoral programs,</w:t>
      </w:r>
      <w:r w:rsidR="006C08DE">
        <w:rPr>
          <w:lang w:val="en-GB"/>
        </w:rPr>
        <w:t xml:space="preserve"> or assist the IFT to obtain it</w:t>
      </w:r>
      <w:r w:rsidR="0010389A">
        <w:rPr>
          <w:lang w:val="en-GB"/>
        </w:rPr>
        <w:t>;</w:t>
      </w:r>
    </w:p>
    <w:p w:rsidR="00CD6B8D" w:rsidRPr="00571F0B" w:rsidRDefault="00CD6B8D" w:rsidP="00A82AAB">
      <w:pPr>
        <w:pStyle w:val="ListParagraph"/>
        <w:numPr>
          <w:ilvl w:val="0"/>
          <w:numId w:val="35"/>
        </w:numPr>
        <w:ind w:left="284" w:hanging="284"/>
        <w:rPr>
          <w:lang w:val="en-GB"/>
        </w:rPr>
      </w:pPr>
      <w:r w:rsidRPr="00571F0B">
        <w:rPr>
          <w:lang w:val="en-GB"/>
        </w:rPr>
        <w:t>ensure DFAT participation as a st</w:t>
      </w:r>
      <w:r w:rsidR="006C08DE">
        <w:rPr>
          <w:lang w:val="en-GB"/>
        </w:rPr>
        <w:t>anding member of the MG and SMG</w:t>
      </w:r>
      <w:r w:rsidR="0010389A">
        <w:rPr>
          <w:lang w:val="en-GB"/>
        </w:rPr>
        <w:t>;</w:t>
      </w:r>
    </w:p>
    <w:p w:rsidR="00CD6B8D" w:rsidRPr="00571F0B" w:rsidRDefault="00CD6B8D" w:rsidP="00A82AAB">
      <w:pPr>
        <w:pStyle w:val="ListParagraph"/>
        <w:numPr>
          <w:ilvl w:val="0"/>
          <w:numId w:val="35"/>
        </w:numPr>
        <w:ind w:left="284" w:hanging="284"/>
        <w:rPr>
          <w:lang w:val="en-GB"/>
        </w:rPr>
      </w:pPr>
      <w:r w:rsidRPr="00571F0B">
        <w:rPr>
          <w:lang w:val="en-GB"/>
        </w:rPr>
        <w:t>monitor and report on the performance of the MC and Independent Review Group (I</w:t>
      </w:r>
      <w:r w:rsidR="006C08DE">
        <w:rPr>
          <w:lang w:val="en-GB"/>
        </w:rPr>
        <w:t>RG)</w:t>
      </w:r>
      <w:r w:rsidR="0010389A">
        <w:rPr>
          <w:lang w:val="en-GB"/>
        </w:rPr>
        <w:t>;</w:t>
      </w:r>
    </w:p>
    <w:p w:rsidR="00CD6B8D" w:rsidRPr="00571F0B" w:rsidRDefault="00CD6B8D" w:rsidP="00A82AAB">
      <w:pPr>
        <w:pStyle w:val="ListParagraph"/>
        <w:numPr>
          <w:ilvl w:val="0"/>
          <w:numId w:val="35"/>
        </w:numPr>
        <w:ind w:left="284" w:hanging="284"/>
        <w:rPr>
          <w:lang w:val="en-GB"/>
        </w:rPr>
      </w:pPr>
      <w:r w:rsidRPr="00571F0B">
        <w:rPr>
          <w:lang w:val="en-GB"/>
        </w:rPr>
        <w:t xml:space="preserve">act on </w:t>
      </w:r>
      <w:r w:rsidR="006C08DE">
        <w:rPr>
          <w:lang w:val="en-GB"/>
        </w:rPr>
        <w:t>recommendations from the MG</w:t>
      </w:r>
      <w:r w:rsidR="0010389A">
        <w:rPr>
          <w:lang w:val="en-GB"/>
        </w:rPr>
        <w:t>;</w:t>
      </w:r>
    </w:p>
    <w:p w:rsidR="00CD6B8D" w:rsidRPr="00571F0B" w:rsidRDefault="00CD6B8D" w:rsidP="00A82AAB">
      <w:pPr>
        <w:pStyle w:val="ListParagraph"/>
        <w:numPr>
          <w:ilvl w:val="0"/>
          <w:numId w:val="35"/>
        </w:numPr>
        <w:ind w:left="284" w:hanging="284"/>
        <w:rPr>
          <w:lang w:val="en-GB"/>
        </w:rPr>
      </w:pPr>
      <w:proofErr w:type="gramStart"/>
      <w:r w:rsidRPr="00571F0B">
        <w:rPr>
          <w:lang w:val="en-GB"/>
        </w:rPr>
        <w:t>manage</w:t>
      </w:r>
      <w:proofErr w:type="gramEnd"/>
      <w:r w:rsidRPr="00571F0B">
        <w:rPr>
          <w:lang w:val="en-GB"/>
        </w:rPr>
        <w:t xml:space="preserve"> the contracts with the MC and the IRG.</w:t>
      </w:r>
    </w:p>
    <w:p w:rsidR="00CD6B8D" w:rsidRPr="00571F0B" w:rsidRDefault="00CD6B8D" w:rsidP="00CD6B8D">
      <w:pPr>
        <w:rPr>
          <w:lang w:val="en-GB"/>
        </w:rPr>
      </w:pPr>
    </w:p>
    <w:p w:rsidR="0099002E" w:rsidRPr="00571F0B" w:rsidRDefault="0099002E" w:rsidP="00BE7C9E">
      <w:pPr>
        <w:pStyle w:val="Heading3"/>
        <w:rPr>
          <w:lang w:val="en-GB"/>
        </w:rPr>
      </w:pPr>
      <w:r w:rsidRPr="00571F0B">
        <w:rPr>
          <w:lang w:val="en-GB"/>
        </w:rPr>
        <w:t>Management Group</w:t>
      </w:r>
    </w:p>
    <w:p w:rsidR="00CD6B8D" w:rsidRPr="006C08DE" w:rsidRDefault="00CD6B8D" w:rsidP="006C08DE">
      <w:pPr>
        <w:spacing w:before="0" w:after="0"/>
        <w:rPr>
          <w:lang w:val="en-GB"/>
        </w:rPr>
      </w:pPr>
      <w:r w:rsidRPr="006C08DE">
        <w:rPr>
          <w:lang w:val="en-GB"/>
        </w:rPr>
        <w:t xml:space="preserve">Effective performance and change </w:t>
      </w:r>
      <w:r w:rsidR="00021BFC">
        <w:rPr>
          <w:lang w:val="en-GB"/>
        </w:rPr>
        <w:t>requires</w:t>
      </w:r>
      <w:r w:rsidRPr="006C08DE">
        <w:rPr>
          <w:lang w:val="en-GB"/>
        </w:rPr>
        <w:t xml:space="preserve"> strong governance and accountability systems. Th</w:t>
      </w:r>
      <w:r w:rsidR="00021BFC">
        <w:rPr>
          <w:lang w:val="en-GB"/>
        </w:rPr>
        <w:t>ese will be central to all IF</w:t>
      </w:r>
      <w:r w:rsidR="00021BFC" w:rsidRPr="00021BFC">
        <w:rPr>
          <w:lang w:val="en-GB"/>
        </w:rPr>
        <w:t xml:space="preserve"> (IV) </w:t>
      </w:r>
      <w:r w:rsidRPr="006C08DE">
        <w:rPr>
          <w:lang w:val="en-GB"/>
        </w:rPr>
        <w:t xml:space="preserve">projects and should continue to be central to the management of IF (IV) itself. A strong MG where discussion and debate is open and </w:t>
      </w:r>
      <w:proofErr w:type="gramStart"/>
      <w:r w:rsidRPr="006C08DE">
        <w:rPr>
          <w:lang w:val="en-GB"/>
        </w:rPr>
        <w:t>frank,</w:t>
      </w:r>
      <w:proofErr w:type="gramEnd"/>
      <w:r w:rsidRPr="006C08DE">
        <w:rPr>
          <w:lang w:val="en-GB"/>
        </w:rPr>
        <w:t xml:space="preserve"> will be a continuing contributor to the success of the incentive funding mechanism within the aid program.</w:t>
      </w:r>
    </w:p>
    <w:p w:rsidR="00CD6B8D" w:rsidRPr="006C08DE" w:rsidRDefault="00CD6B8D" w:rsidP="006C08DE">
      <w:pPr>
        <w:spacing w:before="0" w:after="0"/>
        <w:rPr>
          <w:sz w:val="16"/>
          <w:szCs w:val="16"/>
          <w:lang w:val="en-GB"/>
        </w:rPr>
      </w:pPr>
    </w:p>
    <w:p w:rsidR="0099002E" w:rsidRPr="006C08DE" w:rsidRDefault="0099002E" w:rsidP="006C08DE">
      <w:pPr>
        <w:spacing w:before="0" w:after="0"/>
        <w:rPr>
          <w:lang w:val="en-GB"/>
        </w:rPr>
      </w:pPr>
      <w:proofErr w:type="gramStart"/>
      <w:r w:rsidRPr="006C08DE">
        <w:rPr>
          <w:lang w:val="en-GB"/>
        </w:rPr>
        <w:t xml:space="preserve">In Phases I, II and III the </w:t>
      </w:r>
      <w:r w:rsidR="00CD6B8D" w:rsidRPr="006C08DE">
        <w:rPr>
          <w:lang w:val="en-GB"/>
        </w:rPr>
        <w:t>MG</w:t>
      </w:r>
      <w:r w:rsidRPr="006C08DE">
        <w:rPr>
          <w:lang w:val="en-GB"/>
        </w:rPr>
        <w:t xml:space="preserve"> successful</w:t>
      </w:r>
      <w:r w:rsidR="00CD6B8D" w:rsidRPr="006C08DE">
        <w:rPr>
          <w:lang w:val="en-GB"/>
        </w:rPr>
        <w:t>ly provided</w:t>
      </w:r>
      <w:r w:rsidRPr="006C08DE">
        <w:rPr>
          <w:lang w:val="en-GB"/>
        </w:rPr>
        <w:t xml:space="preserve"> </w:t>
      </w:r>
      <w:r w:rsidR="00CD6B8D" w:rsidRPr="006C08DE">
        <w:rPr>
          <w:lang w:val="en-GB"/>
        </w:rPr>
        <w:t xml:space="preserve">a </w:t>
      </w:r>
      <w:r w:rsidRPr="006C08DE">
        <w:rPr>
          <w:lang w:val="en-GB"/>
        </w:rPr>
        <w:t>strategic governance oversight and approval mechanism</w:t>
      </w:r>
      <w:r w:rsidR="00021BFC">
        <w:rPr>
          <w:lang w:val="en-GB"/>
        </w:rPr>
        <w:t>.</w:t>
      </w:r>
      <w:proofErr w:type="gramEnd"/>
      <w:r w:rsidR="00021BFC">
        <w:rPr>
          <w:lang w:val="en-GB"/>
        </w:rPr>
        <w:t xml:space="preserve"> This MG </w:t>
      </w:r>
      <w:r w:rsidR="00CD6B8D" w:rsidRPr="006C08DE">
        <w:rPr>
          <w:lang w:val="en-GB"/>
        </w:rPr>
        <w:t xml:space="preserve">function </w:t>
      </w:r>
      <w:r w:rsidRPr="006C08DE">
        <w:rPr>
          <w:lang w:val="en-GB"/>
        </w:rPr>
        <w:t>will continue. The MG will prioritise and select activities for approval following a revised five-stage process. Relevant member</w:t>
      </w:r>
      <w:r w:rsidR="000F31E5" w:rsidRPr="006C08DE">
        <w:rPr>
          <w:lang w:val="en-GB"/>
        </w:rPr>
        <w:t>s</w:t>
      </w:r>
      <w:r w:rsidRPr="006C08DE">
        <w:rPr>
          <w:lang w:val="en-GB"/>
        </w:rPr>
        <w:t xml:space="preserve"> and strong leadership of the MG is essential and in Phase III this</w:t>
      </w:r>
      <w:r w:rsidR="0010389A">
        <w:rPr>
          <w:lang w:val="en-GB"/>
        </w:rPr>
        <w:t xml:space="preserve"> was</w:t>
      </w:r>
      <w:r w:rsidRPr="006C08DE">
        <w:rPr>
          <w:lang w:val="en-GB"/>
        </w:rPr>
        <w:t xml:space="preserve"> </w:t>
      </w:r>
      <w:r w:rsidR="000F31E5" w:rsidRPr="006C08DE">
        <w:rPr>
          <w:lang w:val="en-GB"/>
        </w:rPr>
        <w:t xml:space="preserve">ensured through the </w:t>
      </w:r>
      <w:r w:rsidRPr="006C08DE">
        <w:rPr>
          <w:lang w:val="en-GB"/>
        </w:rPr>
        <w:t xml:space="preserve">MG </w:t>
      </w:r>
      <w:r w:rsidR="000F31E5" w:rsidRPr="006C08DE">
        <w:rPr>
          <w:lang w:val="en-GB"/>
        </w:rPr>
        <w:t xml:space="preserve">Charter and Code of Conduct. These need to be </w:t>
      </w:r>
      <w:r w:rsidRPr="006C08DE">
        <w:rPr>
          <w:lang w:val="en-GB"/>
        </w:rPr>
        <w:t>reviewed at sta</w:t>
      </w:r>
      <w:r w:rsidR="006C08DE">
        <w:rPr>
          <w:lang w:val="en-GB"/>
        </w:rPr>
        <w:t>rt-up and continued in IF (IV).</w:t>
      </w:r>
    </w:p>
    <w:p w:rsidR="0099002E" w:rsidRPr="006C08DE" w:rsidRDefault="0099002E" w:rsidP="006C08DE">
      <w:pPr>
        <w:spacing w:before="0" w:after="0"/>
        <w:rPr>
          <w:sz w:val="16"/>
          <w:szCs w:val="16"/>
          <w:lang w:val="en-GB"/>
        </w:rPr>
      </w:pPr>
    </w:p>
    <w:p w:rsidR="0099002E" w:rsidRPr="006C08DE" w:rsidRDefault="0099002E" w:rsidP="006C08DE">
      <w:pPr>
        <w:spacing w:before="0" w:after="0"/>
        <w:rPr>
          <w:lang w:val="en-GB"/>
        </w:rPr>
      </w:pPr>
      <w:r w:rsidRPr="006C08DE">
        <w:rPr>
          <w:lang w:val="en-GB"/>
        </w:rPr>
        <w:t>The MG will consist of at least three PNG nationals jointly appointed by DNPM and DFAT, plus DNPM and DFAT members. Two of the representatives should have experience in CSOs</w:t>
      </w:r>
      <w:r w:rsidR="00021BFC">
        <w:rPr>
          <w:lang w:val="en-GB"/>
        </w:rPr>
        <w:t>/FBOs and</w:t>
      </w:r>
      <w:r w:rsidRPr="006C08DE">
        <w:rPr>
          <w:lang w:val="en-GB"/>
        </w:rPr>
        <w:t xml:space="preserve"> the public sector (not necessarily currently active public servants but persons of standing) and one member should have substantive experience in the private sector. DFAT should ensure the MG has access to gender equality expertise</w:t>
      </w:r>
      <w:r w:rsidR="0020753D" w:rsidRPr="006C08DE">
        <w:rPr>
          <w:lang w:val="en-GB"/>
        </w:rPr>
        <w:t xml:space="preserve"> and fully understand Australia’s commitment to ensuring </w:t>
      </w:r>
      <w:r w:rsidR="00CC1E7D" w:rsidRPr="00CC1E7D">
        <w:rPr>
          <w:lang w:val="en-GB"/>
        </w:rPr>
        <w:t xml:space="preserve">80 per cent of the </w:t>
      </w:r>
      <w:r w:rsidR="002B7876" w:rsidRPr="002B7876">
        <w:rPr>
          <w:lang w:val="en-GB"/>
        </w:rPr>
        <w:t xml:space="preserve">IF (IV) </w:t>
      </w:r>
      <w:r w:rsidR="00CC1E7D" w:rsidRPr="00CC1E7D">
        <w:rPr>
          <w:lang w:val="en-GB"/>
        </w:rPr>
        <w:t>investments will support empowerment of women and girls</w:t>
      </w:r>
      <w:r w:rsidR="0020753D" w:rsidRPr="006C08DE">
        <w:rPr>
          <w:lang w:val="en-GB"/>
        </w:rPr>
        <w:t>, why and how this may be achieved</w:t>
      </w:r>
      <w:r w:rsidRPr="006C08DE">
        <w:rPr>
          <w:lang w:val="en-GB"/>
        </w:rPr>
        <w:t xml:space="preserve">. Some continuity of membership from </w:t>
      </w:r>
      <w:r w:rsidR="00021BFC">
        <w:rPr>
          <w:lang w:val="en-GB"/>
        </w:rPr>
        <w:t xml:space="preserve">Phase III </w:t>
      </w:r>
      <w:r w:rsidRPr="006C08DE">
        <w:rPr>
          <w:lang w:val="en-GB"/>
        </w:rPr>
        <w:t>is desirable</w:t>
      </w:r>
      <w:r w:rsidR="0020753D" w:rsidRPr="006C08DE">
        <w:rPr>
          <w:lang w:val="en-GB"/>
        </w:rPr>
        <w:t xml:space="preserve"> and l</w:t>
      </w:r>
      <w:r w:rsidRPr="006C08DE">
        <w:rPr>
          <w:lang w:val="en-GB"/>
        </w:rPr>
        <w:t>eadership of the MG must be strong to protect IF (IV)</w:t>
      </w:r>
      <w:r w:rsidR="0010389A">
        <w:rPr>
          <w:lang w:val="en-GB"/>
        </w:rPr>
        <w:t xml:space="preserve"> and block any attempt to diminish</w:t>
      </w:r>
      <w:r w:rsidR="0020753D" w:rsidRPr="006C08DE">
        <w:rPr>
          <w:lang w:val="en-GB"/>
        </w:rPr>
        <w:t xml:space="preserve"> the rigid assessment criteria</w:t>
      </w:r>
      <w:r w:rsidRPr="006C08DE">
        <w:rPr>
          <w:lang w:val="en-GB"/>
        </w:rPr>
        <w:t>.</w:t>
      </w:r>
    </w:p>
    <w:p w:rsidR="0099002E" w:rsidRPr="006C08DE" w:rsidRDefault="0099002E" w:rsidP="006C08DE">
      <w:pPr>
        <w:spacing w:before="0" w:after="0"/>
        <w:rPr>
          <w:sz w:val="16"/>
          <w:szCs w:val="16"/>
          <w:lang w:val="en-GB"/>
        </w:rPr>
      </w:pPr>
    </w:p>
    <w:p w:rsidR="0099002E" w:rsidRPr="006C08DE" w:rsidRDefault="0099002E" w:rsidP="006C08DE">
      <w:pPr>
        <w:spacing w:before="0" w:after="0"/>
        <w:rPr>
          <w:lang w:val="en-GB"/>
        </w:rPr>
      </w:pPr>
      <w:r w:rsidRPr="006C08DE">
        <w:rPr>
          <w:lang w:val="en-GB"/>
        </w:rPr>
        <w:t xml:space="preserve">The IFT will establish </w:t>
      </w:r>
      <w:r w:rsidR="0020753D" w:rsidRPr="006C08DE">
        <w:rPr>
          <w:lang w:val="en-GB"/>
        </w:rPr>
        <w:t xml:space="preserve">full </w:t>
      </w:r>
      <w:r w:rsidRPr="006C08DE">
        <w:rPr>
          <w:lang w:val="en-GB"/>
        </w:rPr>
        <w:t>terms of reference</w:t>
      </w:r>
      <w:r w:rsidR="00021BFC">
        <w:rPr>
          <w:lang w:val="en-GB"/>
        </w:rPr>
        <w:t xml:space="preserve">, </w:t>
      </w:r>
      <w:r w:rsidRPr="006C08DE">
        <w:rPr>
          <w:lang w:val="en-GB"/>
        </w:rPr>
        <w:t>performance charter and code of conduct with the MG at start-up</w:t>
      </w:r>
      <w:r w:rsidR="0020753D" w:rsidRPr="006C08DE">
        <w:rPr>
          <w:lang w:val="en-GB"/>
        </w:rPr>
        <w:t>. T</w:t>
      </w:r>
      <w:r w:rsidRPr="006C08DE">
        <w:rPr>
          <w:lang w:val="en-GB"/>
        </w:rPr>
        <w:t>he MG will be responsible for:</w:t>
      </w:r>
    </w:p>
    <w:p w:rsidR="0099002E" w:rsidRPr="006C08DE" w:rsidRDefault="0099002E" w:rsidP="00A82AAB">
      <w:pPr>
        <w:numPr>
          <w:ilvl w:val="0"/>
          <w:numId w:val="36"/>
        </w:numPr>
        <w:spacing w:before="0" w:after="0"/>
        <w:ind w:left="284" w:hanging="284"/>
        <w:rPr>
          <w:lang w:val="en-GB"/>
        </w:rPr>
      </w:pPr>
      <w:r w:rsidRPr="006C08DE">
        <w:rPr>
          <w:lang w:val="en-GB"/>
        </w:rPr>
        <w:t xml:space="preserve">Reviewing and approving </w:t>
      </w:r>
      <w:r w:rsidR="00F32C27" w:rsidRPr="00F32C27">
        <w:rPr>
          <w:lang w:val="en-GB"/>
        </w:rPr>
        <w:t xml:space="preserve">IF (IV) </w:t>
      </w:r>
      <w:r w:rsidRPr="006C08DE">
        <w:rPr>
          <w:lang w:val="en-GB"/>
        </w:rPr>
        <w:t>selection and assessment processes for openness, fairness and transparency</w:t>
      </w:r>
      <w:r w:rsidR="0010389A">
        <w:rPr>
          <w:lang w:val="en-GB"/>
        </w:rPr>
        <w:t>;</w:t>
      </w:r>
    </w:p>
    <w:p w:rsidR="0099002E" w:rsidRPr="006C08DE" w:rsidRDefault="0099002E" w:rsidP="00A82AAB">
      <w:pPr>
        <w:numPr>
          <w:ilvl w:val="0"/>
          <w:numId w:val="36"/>
        </w:numPr>
        <w:spacing w:before="0" w:after="0"/>
        <w:ind w:left="284" w:hanging="284"/>
        <w:rPr>
          <w:lang w:val="en-GB"/>
        </w:rPr>
      </w:pPr>
      <w:r w:rsidRPr="006C08DE">
        <w:rPr>
          <w:lang w:val="en-GB"/>
        </w:rPr>
        <w:t xml:space="preserve">Approving </w:t>
      </w:r>
      <w:r w:rsidR="00F32C27" w:rsidRPr="00F32C27">
        <w:rPr>
          <w:lang w:val="en-GB"/>
        </w:rPr>
        <w:t xml:space="preserve">IF (IV) </w:t>
      </w:r>
      <w:r w:rsidRPr="006C08DE">
        <w:rPr>
          <w:lang w:val="en-GB"/>
        </w:rPr>
        <w:t>marketing and promotion strategies, and especially CPRs</w:t>
      </w:r>
      <w:r w:rsidR="0010389A">
        <w:rPr>
          <w:lang w:val="en-GB"/>
        </w:rPr>
        <w:t>;</w:t>
      </w:r>
    </w:p>
    <w:p w:rsidR="0099002E" w:rsidRPr="006C08DE" w:rsidRDefault="0099002E" w:rsidP="00A82AAB">
      <w:pPr>
        <w:numPr>
          <w:ilvl w:val="0"/>
          <w:numId w:val="36"/>
        </w:numPr>
        <w:spacing w:before="0" w:after="0"/>
        <w:ind w:left="284" w:hanging="284"/>
        <w:rPr>
          <w:lang w:val="en-GB"/>
        </w:rPr>
      </w:pPr>
      <w:r w:rsidRPr="006C08DE">
        <w:rPr>
          <w:lang w:val="en-GB"/>
        </w:rPr>
        <w:t>Approving</w:t>
      </w:r>
      <w:r w:rsidR="0020753D" w:rsidRPr="006C08DE">
        <w:rPr>
          <w:lang w:val="en-GB"/>
        </w:rPr>
        <w:t>,</w:t>
      </w:r>
      <w:r w:rsidRPr="006C08DE">
        <w:rPr>
          <w:lang w:val="en-GB"/>
        </w:rPr>
        <w:t xml:space="preserve"> or rejecting applications</w:t>
      </w:r>
      <w:r w:rsidR="0020753D" w:rsidRPr="006C08DE">
        <w:rPr>
          <w:lang w:val="en-GB"/>
        </w:rPr>
        <w:t>,</w:t>
      </w:r>
      <w:r w:rsidRPr="006C08DE">
        <w:rPr>
          <w:lang w:val="en-GB"/>
        </w:rPr>
        <w:t xml:space="preserve"> Concept Papers (CPs), Organisational Assessments (OAs) and proposals based upon:</w:t>
      </w:r>
    </w:p>
    <w:p w:rsidR="0099002E" w:rsidRPr="006C08DE" w:rsidRDefault="0099002E" w:rsidP="00A82AAB">
      <w:pPr>
        <w:numPr>
          <w:ilvl w:val="0"/>
          <w:numId w:val="37"/>
        </w:numPr>
        <w:spacing w:before="0" w:after="0"/>
        <w:ind w:left="567" w:hanging="283"/>
        <w:rPr>
          <w:lang w:val="en-GB"/>
        </w:rPr>
      </w:pPr>
      <w:r w:rsidRPr="006C08DE">
        <w:rPr>
          <w:lang w:val="en-GB"/>
        </w:rPr>
        <w:t>a review of all summary documentation at each stage including the CP, OA and proposal</w:t>
      </w:r>
    </w:p>
    <w:p w:rsidR="0099002E" w:rsidRPr="006C08DE" w:rsidRDefault="0020753D" w:rsidP="00A82AAB">
      <w:pPr>
        <w:numPr>
          <w:ilvl w:val="0"/>
          <w:numId w:val="37"/>
        </w:numPr>
        <w:spacing w:before="0" w:after="0"/>
        <w:ind w:left="567" w:hanging="283"/>
        <w:rPr>
          <w:lang w:val="en-GB"/>
        </w:rPr>
      </w:pPr>
      <w:r w:rsidRPr="006C08DE">
        <w:rPr>
          <w:lang w:val="en-GB"/>
        </w:rPr>
        <w:t>advice from the IFT and SMG</w:t>
      </w:r>
    </w:p>
    <w:p w:rsidR="0099002E" w:rsidRPr="006C08DE" w:rsidRDefault="0099002E" w:rsidP="00A82AAB">
      <w:pPr>
        <w:numPr>
          <w:ilvl w:val="0"/>
          <w:numId w:val="37"/>
        </w:numPr>
        <w:spacing w:before="0" w:after="0"/>
        <w:ind w:left="567" w:hanging="283"/>
        <w:rPr>
          <w:lang w:val="en-GB"/>
        </w:rPr>
      </w:pPr>
      <w:r w:rsidRPr="006C08DE">
        <w:rPr>
          <w:lang w:val="en-GB"/>
        </w:rPr>
        <w:t xml:space="preserve">the views of the members of the MG or SMG </w:t>
      </w:r>
    </w:p>
    <w:p w:rsidR="0099002E" w:rsidRPr="006C08DE" w:rsidRDefault="0099002E" w:rsidP="00A82AAB">
      <w:pPr>
        <w:numPr>
          <w:ilvl w:val="0"/>
          <w:numId w:val="37"/>
        </w:numPr>
        <w:spacing w:before="0" w:after="0"/>
        <w:ind w:left="567" w:hanging="283"/>
        <w:rPr>
          <w:lang w:val="en-GB"/>
        </w:rPr>
      </w:pPr>
      <w:proofErr w:type="gramStart"/>
      <w:r w:rsidRPr="006C08DE">
        <w:rPr>
          <w:lang w:val="en-GB"/>
        </w:rPr>
        <w:t>the</w:t>
      </w:r>
      <w:proofErr w:type="gramEnd"/>
      <w:r w:rsidRPr="006C08DE">
        <w:rPr>
          <w:lang w:val="en-GB"/>
        </w:rPr>
        <w:t xml:space="preserve"> availability of funding, the quality and scope of activities</w:t>
      </w:r>
      <w:r w:rsidR="006C08DE">
        <w:rPr>
          <w:lang w:val="en-GB"/>
        </w:rPr>
        <w:t xml:space="preserve"> in the pipeline and the budget</w:t>
      </w:r>
      <w:r w:rsidR="0010389A">
        <w:rPr>
          <w:lang w:val="en-GB"/>
        </w:rPr>
        <w:t>.</w:t>
      </w:r>
    </w:p>
    <w:p w:rsidR="0099002E" w:rsidRPr="006C08DE" w:rsidRDefault="0099002E" w:rsidP="00A82AAB">
      <w:pPr>
        <w:numPr>
          <w:ilvl w:val="0"/>
          <w:numId w:val="38"/>
        </w:numPr>
        <w:spacing w:before="0" w:after="0"/>
        <w:ind w:left="284" w:hanging="284"/>
        <w:rPr>
          <w:lang w:val="en-GB"/>
        </w:rPr>
      </w:pPr>
      <w:r w:rsidRPr="006C08DE">
        <w:rPr>
          <w:lang w:val="en-GB"/>
        </w:rPr>
        <w:t>Making ongoing funding recommendations after reviewing monitoring reports and dealing with any ad-hoc concerns or recommendations from the MC or SMG</w:t>
      </w:r>
      <w:r w:rsidR="006C08DE">
        <w:rPr>
          <w:lang w:val="en-GB"/>
        </w:rPr>
        <w:t>.</w:t>
      </w:r>
    </w:p>
    <w:p w:rsidR="0099002E" w:rsidRPr="00571F0B" w:rsidRDefault="0099002E" w:rsidP="00BE7C9E">
      <w:pPr>
        <w:pStyle w:val="Heading3"/>
        <w:rPr>
          <w:lang w:val="en-GB"/>
        </w:rPr>
      </w:pPr>
      <w:r w:rsidRPr="00571F0B">
        <w:rPr>
          <w:lang w:val="en-GB"/>
        </w:rPr>
        <w:lastRenderedPageBreak/>
        <w:t>The Sub-Management Group</w:t>
      </w:r>
    </w:p>
    <w:p w:rsidR="0020753D" w:rsidRPr="00571F0B" w:rsidRDefault="0099002E" w:rsidP="0099002E">
      <w:pPr>
        <w:spacing w:before="0" w:after="0"/>
        <w:rPr>
          <w:lang w:val="en-GB"/>
        </w:rPr>
      </w:pPr>
      <w:r w:rsidRPr="00571F0B">
        <w:rPr>
          <w:lang w:val="en-GB"/>
        </w:rPr>
        <w:t>The Sub-Management Group (SMG) was a highly successful addition to the Pha</w:t>
      </w:r>
      <w:r w:rsidR="0020753D" w:rsidRPr="00571F0B">
        <w:rPr>
          <w:lang w:val="en-GB"/>
        </w:rPr>
        <w:t>se III design and formed</w:t>
      </w:r>
      <w:r w:rsidRPr="00571F0B">
        <w:rPr>
          <w:lang w:val="en-GB"/>
        </w:rPr>
        <w:t xml:space="preserve"> a strong working bond between the relevant DFAT officers</w:t>
      </w:r>
      <w:r w:rsidR="0020753D" w:rsidRPr="00571F0B">
        <w:rPr>
          <w:lang w:val="en-GB"/>
        </w:rPr>
        <w:t>,</w:t>
      </w:r>
      <w:r w:rsidRPr="00571F0B">
        <w:rPr>
          <w:lang w:val="en-GB"/>
        </w:rPr>
        <w:t xml:space="preserve"> and through them DFAT sectors, the </w:t>
      </w:r>
      <w:r w:rsidR="0020753D" w:rsidRPr="00571F0B">
        <w:rPr>
          <w:lang w:val="en-GB"/>
        </w:rPr>
        <w:t>DNPM officers and through them GoPNG</w:t>
      </w:r>
      <w:r w:rsidRPr="00571F0B">
        <w:rPr>
          <w:lang w:val="en-GB"/>
        </w:rPr>
        <w:t xml:space="preserve">, and </w:t>
      </w:r>
      <w:r w:rsidR="0020753D" w:rsidRPr="00571F0B">
        <w:rPr>
          <w:lang w:val="en-GB"/>
        </w:rPr>
        <w:t xml:space="preserve">the </w:t>
      </w:r>
      <w:r w:rsidRPr="00571F0B">
        <w:rPr>
          <w:lang w:val="en-GB"/>
        </w:rPr>
        <w:t>IFT</w:t>
      </w:r>
      <w:r w:rsidR="0020753D" w:rsidRPr="00571F0B">
        <w:rPr>
          <w:lang w:val="en-GB"/>
        </w:rPr>
        <w:t xml:space="preserve"> and MC</w:t>
      </w:r>
      <w:r w:rsidRPr="00571F0B">
        <w:rPr>
          <w:lang w:val="en-GB"/>
        </w:rPr>
        <w:t>. The core function of the SMG is to provide quality assurance for the MG and</w:t>
      </w:r>
      <w:r w:rsidR="00D265C7">
        <w:rPr>
          <w:lang w:val="en-GB"/>
        </w:rPr>
        <w:t xml:space="preserve"> review all CPs, OAs and final p</w:t>
      </w:r>
      <w:r w:rsidRPr="00571F0B">
        <w:rPr>
          <w:lang w:val="en-GB"/>
        </w:rPr>
        <w:t>roposals and budgets prior to the MG. This function frees the MG to focus on strategic governanc</w:t>
      </w:r>
      <w:r w:rsidR="006C08DE">
        <w:rPr>
          <w:lang w:val="en-GB"/>
        </w:rPr>
        <w:t>e and approval decision making.</w:t>
      </w:r>
    </w:p>
    <w:p w:rsidR="007D0021" w:rsidRPr="006C08DE" w:rsidRDefault="007D0021" w:rsidP="0099002E">
      <w:pPr>
        <w:spacing w:before="0" w:after="0"/>
        <w:rPr>
          <w:sz w:val="16"/>
          <w:szCs w:val="16"/>
          <w:lang w:val="en-GB"/>
        </w:rPr>
      </w:pPr>
    </w:p>
    <w:p w:rsidR="0020753D" w:rsidRPr="00571F0B" w:rsidRDefault="0020753D" w:rsidP="0099002E">
      <w:pPr>
        <w:spacing w:before="0" w:after="0"/>
        <w:rPr>
          <w:lang w:val="en-GB"/>
        </w:rPr>
      </w:pPr>
      <w:r w:rsidRPr="00571F0B">
        <w:rPr>
          <w:lang w:val="en-GB"/>
        </w:rPr>
        <w:t xml:space="preserve">Three important new </w:t>
      </w:r>
      <w:r w:rsidR="007D0021" w:rsidRPr="00571F0B">
        <w:rPr>
          <w:lang w:val="en-GB"/>
        </w:rPr>
        <w:t>functions</w:t>
      </w:r>
      <w:r w:rsidRPr="00571F0B">
        <w:rPr>
          <w:lang w:val="en-GB"/>
        </w:rPr>
        <w:t xml:space="preserve"> for the SMG will be required in </w:t>
      </w:r>
      <w:r w:rsidR="002B7876" w:rsidRPr="002B7876">
        <w:rPr>
          <w:lang w:val="en-GB"/>
        </w:rPr>
        <w:t>IF (IV)</w:t>
      </w:r>
      <w:r w:rsidRPr="00571F0B">
        <w:rPr>
          <w:lang w:val="en-GB"/>
        </w:rPr>
        <w:t>:</w:t>
      </w:r>
    </w:p>
    <w:p w:rsidR="0020753D" w:rsidRPr="00571F0B" w:rsidRDefault="0010389A" w:rsidP="00A82AAB">
      <w:pPr>
        <w:pStyle w:val="ListParagraph"/>
        <w:numPr>
          <w:ilvl w:val="0"/>
          <w:numId w:val="39"/>
        </w:numPr>
        <w:spacing w:before="0" w:after="0"/>
        <w:ind w:left="284" w:hanging="284"/>
        <w:rPr>
          <w:lang w:val="en-GB"/>
        </w:rPr>
      </w:pPr>
      <w:r>
        <w:rPr>
          <w:lang w:val="en-GB"/>
        </w:rPr>
        <w:t>To l</w:t>
      </w:r>
      <w:r w:rsidR="0020753D" w:rsidRPr="00571F0B">
        <w:rPr>
          <w:lang w:val="en-GB"/>
        </w:rPr>
        <w:t xml:space="preserve">ead on </w:t>
      </w:r>
      <w:r w:rsidR="0099002E" w:rsidRPr="00571F0B">
        <w:rPr>
          <w:lang w:val="en-GB"/>
        </w:rPr>
        <w:t xml:space="preserve">establishing the mechanisms </w:t>
      </w:r>
      <w:r w:rsidR="0020753D" w:rsidRPr="00571F0B">
        <w:rPr>
          <w:lang w:val="en-GB"/>
        </w:rPr>
        <w:t xml:space="preserve">to ensure </w:t>
      </w:r>
      <w:r w:rsidR="0099002E" w:rsidRPr="00571F0B">
        <w:rPr>
          <w:lang w:val="en-GB"/>
        </w:rPr>
        <w:t xml:space="preserve">that </w:t>
      </w:r>
      <w:r w:rsidR="00350A70" w:rsidRPr="00350A70">
        <w:rPr>
          <w:lang w:val="en-GB"/>
        </w:rPr>
        <w:t xml:space="preserve">local political economy and operating context </w:t>
      </w:r>
      <w:r w:rsidR="0099002E" w:rsidRPr="00571F0B">
        <w:rPr>
          <w:lang w:val="en-GB"/>
        </w:rPr>
        <w:t>assessments are conducted diligently</w:t>
      </w:r>
      <w:r>
        <w:rPr>
          <w:lang w:val="en-GB"/>
        </w:rPr>
        <w:t>. T</w:t>
      </w:r>
      <w:r w:rsidR="0020753D" w:rsidRPr="00571F0B">
        <w:rPr>
          <w:lang w:val="en-GB"/>
        </w:rPr>
        <w:t xml:space="preserve">his will mean working closely with </w:t>
      </w:r>
      <w:r w:rsidR="00205423">
        <w:rPr>
          <w:lang w:val="en-GB"/>
        </w:rPr>
        <w:t xml:space="preserve">all </w:t>
      </w:r>
      <w:r w:rsidR="0020753D" w:rsidRPr="00571F0B">
        <w:rPr>
          <w:lang w:val="en-GB"/>
        </w:rPr>
        <w:t xml:space="preserve">DFAT </w:t>
      </w:r>
      <w:r w:rsidR="00205423">
        <w:rPr>
          <w:lang w:val="en-GB"/>
        </w:rPr>
        <w:t xml:space="preserve">sectors </w:t>
      </w:r>
      <w:r w:rsidR="0020753D" w:rsidRPr="00571F0B">
        <w:rPr>
          <w:lang w:val="en-GB"/>
        </w:rPr>
        <w:t xml:space="preserve">and economic </w:t>
      </w:r>
      <w:r w:rsidR="00205423" w:rsidRPr="00205423">
        <w:t>development</w:t>
      </w:r>
      <w:r w:rsidR="0020753D" w:rsidRPr="00571F0B">
        <w:rPr>
          <w:lang w:val="en-GB"/>
        </w:rPr>
        <w:t xml:space="preserve"> staff as well as other DFAT programs, most likely the Provincial and Local Government Program, and the</w:t>
      </w:r>
      <w:r w:rsidR="00C50B66" w:rsidRPr="00571F0B">
        <w:rPr>
          <w:lang w:val="en-GB"/>
        </w:rPr>
        <w:t xml:space="preserve"> NEFC</w:t>
      </w:r>
      <w:r w:rsidR="006C08DE">
        <w:rPr>
          <w:lang w:val="en-GB"/>
        </w:rPr>
        <w:t>.</w:t>
      </w:r>
    </w:p>
    <w:p w:rsidR="0099002E" w:rsidRPr="00571F0B" w:rsidRDefault="0010389A" w:rsidP="00A82AAB">
      <w:pPr>
        <w:pStyle w:val="ListParagraph"/>
        <w:numPr>
          <w:ilvl w:val="0"/>
          <w:numId w:val="39"/>
        </w:numPr>
        <w:spacing w:before="0" w:after="0"/>
        <w:ind w:left="284" w:hanging="284"/>
        <w:rPr>
          <w:lang w:val="en-GB"/>
        </w:rPr>
      </w:pPr>
      <w:r>
        <w:rPr>
          <w:lang w:val="en-GB"/>
        </w:rPr>
        <w:t>To g</w:t>
      </w:r>
      <w:r w:rsidR="007D0021" w:rsidRPr="00571F0B">
        <w:rPr>
          <w:lang w:val="en-GB"/>
        </w:rPr>
        <w:t>uide on establishing stronger private sector engagement</w:t>
      </w:r>
      <w:r>
        <w:rPr>
          <w:lang w:val="en-GB"/>
        </w:rPr>
        <w:t xml:space="preserve">, ensuring that the IFT is </w:t>
      </w:r>
      <w:r w:rsidR="007D0021" w:rsidRPr="00571F0B">
        <w:rPr>
          <w:lang w:val="en-GB"/>
        </w:rPr>
        <w:t xml:space="preserve">informed </w:t>
      </w:r>
      <w:r>
        <w:rPr>
          <w:lang w:val="en-GB"/>
        </w:rPr>
        <w:t>of</w:t>
      </w:r>
      <w:r w:rsidR="007D0021" w:rsidRPr="00571F0B">
        <w:rPr>
          <w:lang w:val="en-GB"/>
        </w:rPr>
        <w:t xml:space="preserve"> other private sector engagement </w:t>
      </w:r>
      <w:r w:rsidR="006C08DE">
        <w:rPr>
          <w:lang w:val="en-GB"/>
        </w:rPr>
        <w:t>activities underway at Post.</w:t>
      </w:r>
    </w:p>
    <w:p w:rsidR="007D0021" w:rsidRPr="00571F0B" w:rsidRDefault="0010389A" w:rsidP="00A82AAB">
      <w:pPr>
        <w:pStyle w:val="ListParagraph"/>
        <w:numPr>
          <w:ilvl w:val="0"/>
          <w:numId w:val="39"/>
        </w:numPr>
        <w:spacing w:before="0" w:after="0"/>
        <w:ind w:left="284" w:hanging="284"/>
        <w:rPr>
          <w:lang w:val="en-GB"/>
        </w:rPr>
      </w:pPr>
      <w:r>
        <w:rPr>
          <w:lang w:val="en-GB"/>
        </w:rPr>
        <w:t>To g</w:t>
      </w:r>
      <w:r w:rsidR="007D0021" w:rsidRPr="00571F0B">
        <w:rPr>
          <w:lang w:val="en-GB"/>
        </w:rPr>
        <w:t>uide on DFAT</w:t>
      </w:r>
      <w:r>
        <w:rPr>
          <w:lang w:val="en-GB"/>
        </w:rPr>
        <w:t>’</w:t>
      </w:r>
      <w:r w:rsidR="007D0021" w:rsidRPr="00571F0B">
        <w:rPr>
          <w:lang w:val="en-GB"/>
        </w:rPr>
        <w:t>s establ</w:t>
      </w:r>
      <w:r>
        <w:rPr>
          <w:lang w:val="en-GB"/>
        </w:rPr>
        <w:t xml:space="preserve">ishment of the Innovation Fund. The </w:t>
      </w:r>
      <w:r w:rsidR="007D0021" w:rsidRPr="00571F0B">
        <w:rPr>
          <w:lang w:val="en-GB"/>
        </w:rPr>
        <w:t>function and form</w:t>
      </w:r>
      <w:r>
        <w:rPr>
          <w:lang w:val="en-GB"/>
        </w:rPr>
        <w:t xml:space="preserve"> of </w:t>
      </w:r>
      <w:r w:rsidR="00D265C7" w:rsidRPr="00D265C7">
        <w:rPr>
          <w:lang w:val="en-GB"/>
        </w:rPr>
        <w:t xml:space="preserve">Innovation Fund </w:t>
      </w:r>
      <w:r w:rsidR="00D265C7">
        <w:rPr>
          <w:lang w:val="en-GB"/>
        </w:rPr>
        <w:t xml:space="preserve">is </w:t>
      </w:r>
      <w:r>
        <w:rPr>
          <w:lang w:val="en-GB"/>
        </w:rPr>
        <w:t xml:space="preserve">currently being considered by </w:t>
      </w:r>
      <w:r w:rsidR="007D0021" w:rsidRPr="00571F0B">
        <w:rPr>
          <w:lang w:val="en-GB"/>
        </w:rPr>
        <w:t>DFAT</w:t>
      </w:r>
      <w:r>
        <w:rPr>
          <w:lang w:val="en-GB"/>
        </w:rPr>
        <w:t xml:space="preserve">. The SMG should </w:t>
      </w:r>
      <w:r w:rsidR="007D0021" w:rsidRPr="00571F0B">
        <w:rPr>
          <w:lang w:val="en-GB"/>
        </w:rPr>
        <w:t>ensur</w:t>
      </w:r>
      <w:r>
        <w:rPr>
          <w:lang w:val="en-GB"/>
        </w:rPr>
        <w:t xml:space="preserve">e that the </w:t>
      </w:r>
      <w:r w:rsidR="007D0021" w:rsidRPr="00571F0B">
        <w:rPr>
          <w:lang w:val="en-GB"/>
        </w:rPr>
        <w:t>IFT is included</w:t>
      </w:r>
      <w:r>
        <w:rPr>
          <w:lang w:val="en-GB"/>
        </w:rPr>
        <w:t xml:space="preserve"> in relevant discussions on the innovation fund and are</w:t>
      </w:r>
      <w:r w:rsidR="007D0021" w:rsidRPr="00571F0B">
        <w:rPr>
          <w:lang w:val="en-GB"/>
        </w:rPr>
        <w:t xml:space="preserve"> informed </w:t>
      </w:r>
      <w:r>
        <w:rPr>
          <w:lang w:val="en-GB"/>
        </w:rPr>
        <w:t>of</w:t>
      </w:r>
      <w:r w:rsidR="007D0021" w:rsidRPr="00571F0B">
        <w:rPr>
          <w:lang w:val="en-GB"/>
        </w:rPr>
        <w:t xml:space="preserve"> other </w:t>
      </w:r>
      <w:r>
        <w:rPr>
          <w:lang w:val="en-GB"/>
        </w:rPr>
        <w:t xml:space="preserve">relevant </w:t>
      </w:r>
      <w:r w:rsidR="007D0021" w:rsidRPr="00571F0B">
        <w:rPr>
          <w:lang w:val="en-GB"/>
        </w:rPr>
        <w:t>innovation fund concepts and engagement activities underway by DFAT</w:t>
      </w:r>
      <w:r>
        <w:rPr>
          <w:lang w:val="en-GB"/>
        </w:rPr>
        <w:t>.</w:t>
      </w:r>
    </w:p>
    <w:p w:rsidR="00120068" w:rsidRPr="00571F0B" w:rsidRDefault="00120068" w:rsidP="0099002E">
      <w:pPr>
        <w:spacing w:before="0" w:after="0"/>
        <w:rPr>
          <w:lang w:val="en-GB"/>
        </w:rPr>
      </w:pPr>
    </w:p>
    <w:p w:rsidR="0099002E" w:rsidRPr="00571F0B" w:rsidRDefault="0099002E" w:rsidP="00BE7C9E">
      <w:pPr>
        <w:pStyle w:val="Heading3"/>
        <w:rPr>
          <w:lang w:val="en-GB"/>
        </w:rPr>
      </w:pPr>
      <w:r w:rsidRPr="00571F0B">
        <w:rPr>
          <w:lang w:val="en-GB"/>
        </w:rPr>
        <w:t>The Incentive Fund Team</w:t>
      </w:r>
    </w:p>
    <w:p w:rsidR="0055164C" w:rsidRDefault="0099002E" w:rsidP="0099002E">
      <w:pPr>
        <w:spacing w:before="0" w:after="0"/>
        <w:rPr>
          <w:lang w:val="en-GB"/>
        </w:rPr>
      </w:pPr>
      <w:r w:rsidRPr="00571F0B">
        <w:rPr>
          <w:lang w:val="en-GB"/>
        </w:rPr>
        <w:t xml:space="preserve">The IFT will </w:t>
      </w:r>
      <w:r w:rsidR="006D66AF">
        <w:rPr>
          <w:lang w:val="en-GB"/>
        </w:rPr>
        <w:t>manage</w:t>
      </w:r>
      <w:r w:rsidRPr="00571F0B">
        <w:rPr>
          <w:lang w:val="en-GB"/>
        </w:rPr>
        <w:t xml:space="preserve"> the implementation of all projects under IF (IV) and play a direct role in the processing and appraisal of all applicat</w:t>
      </w:r>
      <w:r w:rsidR="006D66AF">
        <w:rPr>
          <w:lang w:val="en-GB"/>
        </w:rPr>
        <w:t>ions including:</w:t>
      </w:r>
      <w:r w:rsidRPr="00571F0B">
        <w:rPr>
          <w:lang w:val="en-GB"/>
        </w:rPr>
        <w:t xml:space="preserve"> CPs</w:t>
      </w:r>
      <w:r w:rsidR="006D66AF">
        <w:rPr>
          <w:lang w:val="en-GB"/>
        </w:rPr>
        <w:t xml:space="preserve"> / business plans; </w:t>
      </w:r>
      <w:r w:rsidRPr="00571F0B">
        <w:rPr>
          <w:lang w:val="en-GB"/>
        </w:rPr>
        <w:t>OAs</w:t>
      </w:r>
      <w:r w:rsidR="006D66AF">
        <w:rPr>
          <w:lang w:val="en-GB"/>
        </w:rPr>
        <w:t xml:space="preserve">/private sector due diligence; </w:t>
      </w:r>
      <w:r w:rsidRPr="00571F0B">
        <w:rPr>
          <w:lang w:val="en-GB"/>
        </w:rPr>
        <w:t>full proposals</w:t>
      </w:r>
      <w:r w:rsidR="006D66AF">
        <w:rPr>
          <w:lang w:val="en-GB"/>
        </w:rPr>
        <w:t>;</w:t>
      </w:r>
      <w:r w:rsidRPr="00571F0B">
        <w:rPr>
          <w:lang w:val="en-GB"/>
        </w:rPr>
        <w:t xml:space="preserve"> and the financing and monitoring of funded projects. The IFT will not </w:t>
      </w:r>
      <w:r w:rsidR="006D66AF">
        <w:rPr>
          <w:lang w:val="en-GB"/>
        </w:rPr>
        <w:t xml:space="preserve">directly </w:t>
      </w:r>
      <w:r w:rsidRPr="00571F0B">
        <w:rPr>
          <w:lang w:val="en-GB"/>
        </w:rPr>
        <w:t xml:space="preserve">implement activities under </w:t>
      </w:r>
      <w:r w:rsidR="006D66AF" w:rsidRPr="006D66AF">
        <w:rPr>
          <w:lang w:val="en-GB"/>
        </w:rPr>
        <w:t>IF (IV)</w:t>
      </w:r>
      <w:proofErr w:type="gramStart"/>
      <w:r w:rsidRPr="00571F0B">
        <w:rPr>
          <w:lang w:val="en-GB"/>
        </w:rPr>
        <w:t>,</w:t>
      </w:r>
      <w:proofErr w:type="gramEnd"/>
      <w:r w:rsidRPr="00571F0B">
        <w:rPr>
          <w:lang w:val="en-GB"/>
        </w:rPr>
        <w:t xml:space="preserve"> however, they will be responsible for guiding and mentoring applicants with approved </w:t>
      </w:r>
      <w:r w:rsidR="00C50B66" w:rsidRPr="00571F0B">
        <w:rPr>
          <w:lang w:val="en-GB"/>
        </w:rPr>
        <w:t xml:space="preserve">IFAs </w:t>
      </w:r>
      <w:r w:rsidRPr="00571F0B">
        <w:rPr>
          <w:lang w:val="en-GB"/>
        </w:rPr>
        <w:t>to obtain professional advice and technical support to</w:t>
      </w:r>
      <w:r w:rsidR="00A14D9B">
        <w:rPr>
          <w:lang w:val="en-GB"/>
        </w:rPr>
        <w:t xml:space="preserve"> complete the final application</w:t>
      </w:r>
      <w:r w:rsidR="008A51DB">
        <w:rPr>
          <w:lang w:val="en-GB"/>
        </w:rPr>
        <w:t xml:space="preserve">, </w:t>
      </w:r>
      <w:r w:rsidRPr="00571F0B">
        <w:rPr>
          <w:lang w:val="en-GB"/>
        </w:rPr>
        <w:t xml:space="preserve">and </w:t>
      </w:r>
      <w:r w:rsidR="008A51DB">
        <w:rPr>
          <w:lang w:val="en-GB"/>
        </w:rPr>
        <w:t xml:space="preserve">to </w:t>
      </w:r>
      <w:r w:rsidRPr="00571F0B">
        <w:rPr>
          <w:lang w:val="en-GB"/>
        </w:rPr>
        <w:t>th</w:t>
      </w:r>
      <w:r w:rsidR="006C08DE">
        <w:rPr>
          <w:lang w:val="en-GB"/>
        </w:rPr>
        <w:t>en implement approved projects.</w:t>
      </w:r>
    </w:p>
    <w:p w:rsidR="006C08DE" w:rsidRPr="006C08DE" w:rsidRDefault="006C08DE" w:rsidP="0099002E">
      <w:pPr>
        <w:spacing w:before="0" w:after="0"/>
        <w:rPr>
          <w:sz w:val="16"/>
          <w:szCs w:val="16"/>
          <w:lang w:val="en-GB"/>
        </w:rPr>
      </w:pPr>
    </w:p>
    <w:p w:rsidR="008A51DB" w:rsidRDefault="00C304A7" w:rsidP="0099002E">
      <w:pPr>
        <w:spacing w:before="0" w:after="0"/>
        <w:rPr>
          <w:lang w:val="en-GB"/>
        </w:rPr>
      </w:pPr>
      <w:r w:rsidRPr="00571F0B">
        <w:rPr>
          <w:lang w:val="en-GB"/>
        </w:rPr>
        <w:t>It is the responsibility of the MC to determine the structure of the IFT</w:t>
      </w:r>
      <w:r w:rsidR="006D66AF">
        <w:rPr>
          <w:lang w:val="en-GB"/>
        </w:rPr>
        <w:t>, the skills sets required and how they will be assured. This means that whilst some functions such as the Team Leader and Deputy Team Leader Infrastructure require key individuals with appropriate experience, management capability, technical skill sets and understanding of the local context, other functions may be provided through the MCs internal resources.</w:t>
      </w:r>
      <w:r w:rsidR="008A51DB">
        <w:rPr>
          <w:lang w:val="en-GB"/>
        </w:rPr>
        <w:t xml:space="preserve"> The intent is to provide the MC with the opportunity to provide value for money options when establishing the required IFT</w:t>
      </w:r>
      <w:r w:rsidRPr="00571F0B">
        <w:rPr>
          <w:lang w:val="en-GB"/>
        </w:rPr>
        <w:t xml:space="preserve">. </w:t>
      </w:r>
    </w:p>
    <w:p w:rsidR="008A51DB" w:rsidRDefault="008A51DB" w:rsidP="0099002E">
      <w:pPr>
        <w:spacing w:before="0" w:after="0"/>
        <w:rPr>
          <w:lang w:val="en-GB"/>
        </w:rPr>
      </w:pPr>
    </w:p>
    <w:p w:rsidR="0099002E" w:rsidRPr="00571F0B" w:rsidRDefault="00C304A7" w:rsidP="0099002E">
      <w:pPr>
        <w:spacing w:before="0" w:after="0"/>
        <w:rPr>
          <w:lang w:val="en-GB"/>
        </w:rPr>
      </w:pPr>
      <w:r w:rsidRPr="00571F0B">
        <w:rPr>
          <w:lang w:val="en-GB"/>
        </w:rPr>
        <w:t xml:space="preserve">The </w:t>
      </w:r>
      <w:r w:rsidR="002D33C3">
        <w:rPr>
          <w:lang w:val="en-GB"/>
        </w:rPr>
        <w:t xml:space="preserve">key functions and skill sets that </w:t>
      </w:r>
      <w:r w:rsidRPr="00571F0B">
        <w:rPr>
          <w:lang w:val="en-GB"/>
        </w:rPr>
        <w:t xml:space="preserve">DFAT </w:t>
      </w:r>
      <w:r w:rsidR="008A51DB">
        <w:rPr>
          <w:lang w:val="en-GB"/>
        </w:rPr>
        <w:t>must have</w:t>
      </w:r>
      <w:r w:rsidR="002D33C3">
        <w:rPr>
          <w:lang w:val="en-GB"/>
        </w:rPr>
        <w:t xml:space="preserve"> in the IFT </w:t>
      </w:r>
      <w:r w:rsidR="00BB0D9D" w:rsidRPr="00571F0B">
        <w:rPr>
          <w:lang w:val="en-GB"/>
        </w:rPr>
        <w:t>structure</w:t>
      </w:r>
      <w:r w:rsidR="002D33C3">
        <w:rPr>
          <w:lang w:val="en-GB"/>
        </w:rPr>
        <w:t xml:space="preserve"> are</w:t>
      </w:r>
      <w:r w:rsidR="0099002E" w:rsidRPr="00571F0B">
        <w:rPr>
          <w:lang w:val="en-GB"/>
        </w:rPr>
        <w:t>:</w:t>
      </w:r>
    </w:p>
    <w:p w:rsidR="00BB0D9D" w:rsidRPr="00571F0B" w:rsidRDefault="0099002E" w:rsidP="00A82AAB">
      <w:pPr>
        <w:numPr>
          <w:ilvl w:val="1"/>
          <w:numId w:val="40"/>
        </w:numPr>
        <w:spacing w:before="0" w:after="0"/>
        <w:ind w:left="284" w:hanging="284"/>
        <w:rPr>
          <w:lang w:val="en-GB"/>
        </w:rPr>
      </w:pPr>
      <w:r w:rsidRPr="00571F0B">
        <w:rPr>
          <w:lang w:val="en-GB"/>
        </w:rPr>
        <w:t>Team Leader</w:t>
      </w:r>
      <w:r w:rsidR="008A51DB">
        <w:rPr>
          <w:lang w:val="en-GB"/>
        </w:rPr>
        <w:t>ship</w:t>
      </w:r>
    </w:p>
    <w:p w:rsidR="0099002E" w:rsidRPr="00571F0B" w:rsidRDefault="0099002E" w:rsidP="00A82AAB">
      <w:pPr>
        <w:numPr>
          <w:ilvl w:val="1"/>
          <w:numId w:val="40"/>
        </w:numPr>
        <w:spacing w:before="0" w:after="0"/>
        <w:ind w:left="284" w:hanging="284"/>
        <w:rPr>
          <w:lang w:val="en-GB"/>
        </w:rPr>
      </w:pPr>
      <w:r w:rsidRPr="00571F0B">
        <w:rPr>
          <w:lang w:val="en-GB"/>
        </w:rPr>
        <w:t>Deputy</w:t>
      </w:r>
      <w:r w:rsidR="006C08DE">
        <w:rPr>
          <w:lang w:val="en-GB"/>
        </w:rPr>
        <w:t xml:space="preserve"> Team Leader</w:t>
      </w:r>
      <w:r w:rsidR="008A51DB">
        <w:rPr>
          <w:lang w:val="en-GB"/>
        </w:rPr>
        <w:t>ship</w:t>
      </w:r>
      <w:r w:rsidR="006C08DE">
        <w:rPr>
          <w:lang w:val="en-GB"/>
        </w:rPr>
        <w:t xml:space="preserve"> Infrastructure</w:t>
      </w:r>
    </w:p>
    <w:p w:rsidR="006D66AF" w:rsidRDefault="006D66AF" w:rsidP="00A82AAB">
      <w:pPr>
        <w:numPr>
          <w:ilvl w:val="1"/>
          <w:numId w:val="40"/>
        </w:numPr>
        <w:spacing w:before="0" w:after="0"/>
        <w:ind w:left="284" w:hanging="284"/>
        <w:rPr>
          <w:lang w:val="en-GB"/>
        </w:rPr>
      </w:pPr>
      <w:r>
        <w:rPr>
          <w:lang w:val="en-GB"/>
        </w:rPr>
        <w:t>Monitoring and</w:t>
      </w:r>
      <w:r w:rsidR="008A51DB">
        <w:rPr>
          <w:lang w:val="en-GB"/>
        </w:rPr>
        <w:t xml:space="preserve"> Evaluation Management</w:t>
      </w:r>
    </w:p>
    <w:p w:rsidR="008A51DB" w:rsidRPr="008A51DB" w:rsidRDefault="008A51DB" w:rsidP="00A82AAB">
      <w:pPr>
        <w:numPr>
          <w:ilvl w:val="1"/>
          <w:numId w:val="40"/>
        </w:numPr>
        <w:spacing w:before="0" w:after="0"/>
        <w:ind w:left="284" w:hanging="284"/>
        <w:rPr>
          <w:lang w:val="en-GB"/>
        </w:rPr>
      </w:pPr>
      <w:r w:rsidRPr="008A51DB">
        <w:rPr>
          <w:lang w:val="en-GB"/>
        </w:rPr>
        <w:t>Public Relations Management</w:t>
      </w:r>
    </w:p>
    <w:p w:rsidR="0099002E" w:rsidRPr="00571F0B" w:rsidRDefault="0099002E" w:rsidP="006C08DE">
      <w:pPr>
        <w:spacing w:before="0" w:after="0"/>
        <w:rPr>
          <w:lang w:val="en-GB"/>
        </w:rPr>
      </w:pPr>
    </w:p>
    <w:p w:rsidR="0099002E" w:rsidRPr="000C6AD5" w:rsidRDefault="00544BD6" w:rsidP="000C6AD5">
      <w:pPr>
        <w:spacing w:before="0" w:after="0"/>
        <w:rPr>
          <w:b/>
          <w:lang w:val="en-GB"/>
        </w:rPr>
      </w:pPr>
      <w:r w:rsidRPr="000C6AD5">
        <w:rPr>
          <w:b/>
          <w:lang w:val="en-GB"/>
        </w:rPr>
        <w:t xml:space="preserve">Key </w:t>
      </w:r>
      <w:r w:rsidR="00BB0D9D" w:rsidRPr="000C6AD5">
        <w:rPr>
          <w:b/>
          <w:lang w:val="en-GB"/>
        </w:rPr>
        <w:t>Functions of the Team Leader</w:t>
      </w:r>
    </w:p>
    <w:p w:rsidR="00AA674E" w:rsidRDefault="00052FDA" w:rsidP="000C6AD5">
      <w:pPr>
        <w:spacing w:before="0" w:after="0"/>
        <w:rPr>
          <w:lang w:val="en-GB"/>
        </w:rPr>
      </w:pPr>
      <w:r w:rsidRPr="000C6AD5">
        <w:rPr>
          <w:lang w:val="en-GB"/>
        </w:rPr>
        <w:t xml:space="preserve">The team leader must understand the local context and political economy. </w:t>
      </w:r>
      <w:r w:rsidR="00350A70">
        <w:rPr>
          <w:lang w:val="en-GB"/>
        </w:rPr>
        <w:t>L</w:t>
      </w:r>
      <w:r w:rsidR="00350A70" w:rsidRPr="00350A70">
        <w:rPr>
          <w:lang w:val="en-GB"/>
        </w:rPr>
        <w:t xml:space="preserve">ocal political economy and operating context </w:t>
      </w:r>
      <w:r w:rsidR="00350A70">
        <w:rPr>
          <w:lang w:val="en-GB"/>
        </w:rPr>
        <w:t>assessments are</w:t>
      </w:r>
      <w:r w:rsidR="00AA674E" w:rsidRPr="000C6AD5">
        <w:rPr>
          <w:lang w:val="en-GB"/>
        </w:rPr>
        <w:t xml:space="preserve"> introduced in this design. PNG is complex and about to become more complex. Past incentive fund partners are still operating but in a new context where, for example, approximately K1.39 billion of funding is available each year at the local, district and provincial governments</w:t>
      </w:r>
      <w:r w:rsidR="00C50B66" w:rsidRPr="000C6AD5">
        <w:rPr>
          <w:lang w:val="en-GB"/>
        </w:rPr>
        <w:t xml:space="preserve"> levels</w:t>
      </w:r>
      <w:r w:rsidR="00AA674E" w:rsidRPr="000C6AD5">
        <w:rPr>
          <w:lang w:val="en-GB"/>
        </w:rPr>
        <w:t xml:space="preserve">. Management, planning and implementation capabilities that IF (IV) can offer will be in demand. Positioning IF (IV) support will require a high degree of understanding around the local context and political economy. Equally an understanding and instinct for how the private sector works will be required so IF (IV), and broader DFAT, can </w:t>
      </w:r>
      <w:r w:rsidR="00C50B66" w:rsidRPr="000C6AD5">
        <w:rPr>
          <w:lang w:val="en-GB"/>
        </w:rPr>
        <w:t xml:space="preserve">engage </w:t>
      </w:r>
      <w:r w:rsidR="000C6AD5">
        <w:rPr>
          <w:lang w:val="en-GB"/>
        </w:rPr>
        <w:t>meaningfully.</w:t>
      </w:r>
    </w:p>
    <w:p w:rsidR="000C6AD5" w:rsidRPr="000C6AD5" w:rsidRDefault="000C6AD5" w:rsidP="000C6AD5">
      <w:pPr>
        <w:spacing w:before="0" w:after="0"/>
        <w:rPr>
          <w:sz w:val="16"/>
          <w:szCs w:val="16"/>
          <w:lang w:val="en-GB"/>
        </w:rPr>
      </w:pPr>
    </w:p>
    <w:p w:rsidR="00BF288E" w:rsidRDefault="00BF288E" w:rsidP="000C6AD5">
      <w:pPr>
        <w:spacing w:before="0" w:after="0"/>
        <w:rPr>
          <w:lang w:val="en-GB"/>
        </w:rPr>
      </w:pPr>
      <w:r w:rsidRPr="000C6AD5">
        <w:rPr>
          <w:lang w:val="en-GB"/>
        </w:rPr>
        <w:t>The Team Leader must advocate for gender equality at all levels and through all opportunit</w:t>
      </w:r>
      <w:r w:rsidR="00C50B66" w:rsidRPr="000C6AD5">
        <w:rPr>
          <w:lang w:val="en-GB"/>
        </w:rPr>
        <w:t xml:space="preserve">ies. Lasting gender equality </w:t>
      </w:r>
      <w:r w:rsidRPr="000C6AD5">
        <w:rPr>
          <w:lang w:val="en-GB"/>
        </w:rPr>
        <w:t xml:space="preserve">change requires commitment from all leaders to lead by example and demand change. Leadership driving gender equality and change must be seen and felt. </w:t>
      </w:r>
      <w:r w:rsidRPr="000C6AD5">
        <w:rPr>
          <w:i/>
          <w:lang w:val="en-GB"/>
        </w:rPr>
        <w:t>Pacific Women</w:t>
      </w:r>
      <w:r w:rsidRPr="000C6AD5">
        <w:rPr>
          <w:lang w:val="en-GB"/>
        </w:rPr>
        <w:t xml:space="preserve"> is uniting many DFAT programs to achieve change and improved gender equality. The opportunity to engage through the social inclusion mechanisms of IF (IV) is significant and real, and IF (IV) effective partners present real potential for an effect</w:t>
      </w:r>
      <w:r w:rsidR="000C6AD5">
        <w:rPr>
          <w:lang w:val="en-GB"/>
        </w:rPr>
        <w:t>ive gender equality coalition.</w:t>
      </w:r>
    </w:p>
    <w:p w:rsidR="00D265C7" w:rsidRPr="000C6AD5" w:rsidRDefault="00D265C7" w:rsidP="000C6AD5">
      <w:pPr>
        <w:spacing w:before="0" w:after="0"/>
        <w:rPr>
          <w:lang w:val="en-GB"/>
        </w:rPr>
      </w:pPr>
    </w:p>
    <w:p w:rsidR="00BB0D9D" w:rsidRDefault="00D265C7" w:rsidP="000C6AD5">
      <w:pPr>
        <w:spacing w:before="0" w:after="0"/>
        <w:rPr>
          <w:lang w:val="en-GB"/>
        </w:rPr>
      </w:pPr>
      <w:r w:rsidRPr="00D265C7">
        <w:rPr>
          <w:lang w:val="en-GB"/>
        </w:rPr>
        <w:t>The team leader must</w:t>
      </w:r>
      <w:r w:rsidR="00BB0D9D" w:rsidRPr="000C6AD5">
        <w:rPr>
          <w:lang w:val="en-GB"/>
        </w:rPr>
        <w:t xml:space="preserve"> ensure the integrity of the </w:t>
      </w:r>
      <w:r w:rsidRPr="00D265C7">
        <w:rPr>
          <w:lang w:val="en-GB"/>
        </w:rPr>
        <w:t>IF (IV)</w:t>
      </w:r>
      <w:r w:rsidR="00BB0D9D" w:rsidRPr="000C6AD5">
        <w:rPr>
          <w:lang w:val="en-GB"/>
        </w:rPr>
        <w:t xml:space="preserve">. The fund has a high profile and </w:t>
      </w:r>
      <w:r w:rsidR="00A14D9B">
        <w:rPr>
          <w:lang w:val="en-GB"/>
        </w:rPr>
        <w:t xml:space="preserve">a </w:t>
      </w:r>
      <w:r w:rsidR="00BB0D9D" w:rsidRPr="000C6AD5">
        <w:rPr>
          <w:lang w:val="en-GB"/>
        </w:rPr>
        <w:t xml:space="preserve">popular legacy and reputation </w:t>
      </w:r>
      <w:r w:rsidR="00BF3ECF" w:rsidRPr="000C6AD5">
        <w:rPr>
          <w:lang w:val="en-GB"/>
        </w:rPr>
        <w:t xml:space="preserve">to protect. </w:t>
      </w:r>
      <w:proofErr w:type="gramStart"/>
      <w:r w:rsidR="00BF3ECF" w:rsidRPr="000C6AD5">
        <w:rPr>
          <w:lang w:val="en-GB"/>
        </w:rPr>
        <w:t xml:space="preserve">IF (IV) must only </w:t>
      </w:r>
      <w:r w:rsidR="00BB0D9D" w:rsidRPr="000C6AD5">
        <w:rPr>
          <w:lang w:val="en-GB"/>
        </w:rPr>
        <w:t>work with effective partners.</w:t>
      </w:r>
      <w:proofErr w:type="gramEnd"/>
      <w:r w:rsidR="00BB0D9D" w:rsidRPr="000C6AD5">
        <w:rPr>
          <w:lang w:val="en-GB"/>
        </w:rPr>
        <w:t xml:space="preserve"> This may on occasion mean defending the entry criteria and not relaxing them under pressure. </w:t>
      </w:r>
      <w:r w:rsidR="00BF3ECF" w:rsidRPr="000C6AD5">
        <w:rPr>
          <w:lang w:val="en-GB"/>
        </w:rPr>
        <w:t>P</w:t>
      </w:r>
      <w:r w:rsidR="00BB0D9D" w:rsidRPr="000C6AD5">
        <w:rPr>
          <w:lang w:val="en-GB"/>
        </w:rPr>
        <w:t xml:space="preserve">rotecting the integrity of the fund </w:t>
      </w:r>
      <w:r w:rsidR="00BF3ECF" w:rsidRPr="000C6AD5">
        <w:rPr>
          <w:lang w:val="en-GB"/>
        </w:rPr>
        <w:t xml:space="preserve">protects the incentive principle – in effect the original </w:t>
      </w:r>
      <w:r w:rsidR="00A14D9B">
        <w:rPr>
          <w:lang w:val="en-GB"/>
        </w:rPr>
        <w:t>concept of excellence remains. T</w:t>
      </w:r>
      <w:r w:rsidR="00BF3ECF" w:rsidRPr="000C6AD5">
        <w:rPr>
          <w:lang w:val="en-GB"/>
        </w:rPr>
        <w:t xml:space="preserve">he incentive fund should remain the </w:t>
      </w:r>
      <w:r w:rsidR="00AA674E" w:rsidRPr="000C6AD5">
        <w:rPr>
          <w:lang w:val="en-GB"/>
        </w:rPr>
        <w:t>program of excellence</w:t>
      </w:r>
      <w:r w:rsidR="00BF3ECF" w:rsidRPr="000C6AD5">
        <w:rPr>
          <w:lang w:val="en-GB"/>
        </w:rPr>
        <w:t xml:space="preserve"> </w:t>
      </w:r>
      <w:r w:rsidR="00AA674E" w:rsidRPr="000C6AD5">
        <w:rPr>
          <w:lang w:val="en-GB"/>
        </w:rPr>
        <w:t>which</w:t>
      </w:r>
      <w:r w:rsidR="00BF3ECF" w:rsidRPr="000C6AD5">
        <w:rPr>
          <w:lang w:val="en-GB"/>
        </w:rPr>
        <w:t xml:space="preserve"> only </w:t>
      </w:r>
      <w:r w:rsidR="00B97782" w:rsidRPr="000C6AD5">
        <w:rPr>
          <w:lang w:val="en-GB"/>
        </w:rPr>
        <w:t xml:space="preserve">supports proven </w:t>
      </w:r>
      <w:r w:rsidR="00A14D9B">
        <w:rPr>
          <w:lang w:val="en-GB"/>
        </w:rPr>
        <w:t>effective performers;</w:t>
      </w:r>
      <w:r w:rsidR="00BF3ECF" w:rsidRPr="000C6AD5">
        <w:rPr>
          <w:lang w:val="en-GB"/>
        </w:rPr>
        <w:t xml:space="preserve"> partners who may be considered </w:t>
      </w:r>
      <w:r w:rsidR="00BF3ECF" w:rsidRPr="000C6AD5">
        <w:rPr>
          <w:i/>
          <w:lang w:val="en-GB"/>
        </w:rPr>
        <w:t>elite</w:t>
      </w:r>
      <w:r w:rsidR="00BF3ECF" w:rsidRPr="000C6AD5">
        <w:rPr>
          <w:lang w:val="en-GB"/>
        </w:rPr>
        <w:t xml:space="preserve"> in the PNG context. </w:t>
      </w:r>
      <w:r w:rsidR="00B97782" w:rsidRPr="000C6AD5">
        <w:rPr>
          <w:lang w:val="en-GB"/>
        </w:rPr>
        <w:t xml:space="preserve">Subsequently it rewards those partners that aspire to </w:t>
      </w:r>
      <w:r w:rsidR="00C50B66" w:rsidRPr="000C6AD5">
        <w:rPr>
          <w:lang w:val="en-GB"/>
        </w:rPr>
        <w:t xml:space="preserve">and have </w:t>
      </w:r>
      <w:r w:rsidR="00B97782" w:rsidRPr="000C6AD5">
        <w:rPr>
          <w:lang w:val="en-GB"/>
        </w:rPr>
        <w:t>achieve</w:t>
      </w:r>
      <w:r w:rsidR="00C50B66" w:rsidRPr="000C6AD5">
        <w:rPr>
          <w:lang w:val="en-GB"/>
        </w:rPr>
        <w:t>d</w:t>
      </w:r>
      <w:r w:rsidR="00B97782" w:rsidRPr="000C6AD5">
        <w:rPr>
          <w:lang w:val="en-GB"/>
        </w:rPr>
        <w:t xml:space="preserve"> </w:t>
      </w:r>
      <w:r w:rsidR="00B97782" w:rsidRPr="000C6AD5">
        <w:rPr>
          <w:i/>
          <w:lang w:val="en-GB"/>
        </w:rPr>
        <w:t>elite</w:t>
      </w:r>
      <w:r w:rsidR="00B97782" w:rsidRPr="000C6AD5">
        <w:rPr>
          <w:lang w:val="en-GB"/>
        </w:rPr>
        <w:t xml:space="preserve"> status. There is an interest</w:t>
      </w:r>
      <w:r w:rsidR="00052FDA" w:rsidRPr="000C6AD5">
        <w:rPr>
          <w:lang w:val="en-GB"/>
        </w:rPr>
        <w:t>ing</w:t>
      </w:r>
      <w:r w:rsidR="00A14D9B">
        <w:rPr>
          <w:lang w:val="en-GB"/>
        </w:rPr>
        <w:t xml:space="preserve"> context to this. T</w:t>
      </w:r>
      <w:r w:rsidR="00B97782" w:rsidRPr="000C6AD5">
        <w:rPr>
          <w:lang w:val="en-GB"/>
        </w:rPr>
        <w:t xml:space="preserve">raditionally grant mechanisms have worked hard to avoid </w:t>
      </w:r>
      <w:r w:rsidR="00B97782" w:rsidRPr="000C6AD5">
        <w:rPr>
          <w:i/>
          <w:lang w:val="en-GB"/>
        </w:rPr>
        <w:t xml:space="preserve">elite capture. </w:t>
      </w:r>
      <w:r w:rsidR="00B97782" w:rsidRPr="000C6AD5">
        <w:rPr>
          <w:lang w:val="en-GB"/>
        </w:rPr>
        <w:t xml:space="preserve">With the incentive fund it could be argued that we are attracting </w:t>
      </w:r>
      <w:r w:rsidR="00B97782" w:rsidRPr="000C6AD5">
        <w:rPr>
          <w:i/>
          <w:lang w:val="en-GB"/>
        </w:rPr>
        <w:t>elite capture</w:t>
      </w:r>
      <w:r w:rsidR="00B97782" w:rsidRPr="000C6AD5">
        <w:rPr>
          <w:lang w:val="en-GB"/>
        </w:rPr>
        <w:t>. IF (IV) requires a Team Leader who understands this and can</w:t>
      </w:r>
      <w:r w:rsidR="00C50B66" w:rsidRPr="000C6AD5">
        <w:rPr>
          <w:lang w:val="en-GB"/>
        </w:rPr>
        <w:t xml:space="preserve"> navigate the complexities of a range of</w:t>
      </w:r>
      <w:r w:rsidR="00B97782" w:rsidRPr="000C6AD5">
        <w:rPr>
          <w:lang w:val="en-GB"/>
        </w:rPr>
        <w:t xml:space="preserve"> organisations to fund suitable partner</w:t>
      </w:r>
      <w:r w:rsidR="000C6AD5">
        <w:rPr>
          <w:lang w:val="en-GB"/>
        </w:rPr>
        <w:t>s.</w:t>
      </w:r>
    </w:p>
    <w:p w:rsidR="000C6AD5" w:rsidRPr="000C6AD5" w:rsidRDefault="000C6AD5" w:rsidP="000C6AD5">
      <w:pPr>
        <w:spacing w:before="0" w:after="0"/>
        <w:rPr>
          <w:sz w:val="16"/>
          <w:szCs w:val="16"/>
          <w:lang w:val="en-GB"/>
        </w:rPr>
      </w:pPr>
    </w:p>
    <w:p w:rsidR="00BB0D9D" w:rsidRDefault="00BB0D9D" w:rsidP="000C6AD5">
      <w:pPr>
        <w:spacing w:before="0" w:after="0"/>
        <w:rPr>
          <w:lang w:val="en-GB"/>
        </w:rPr>
      </w:pPr>
      <w:r w:rsidRPr="000C6AD5">
        <w:rPr>
          <w:lang w:val="en-GB"/>
        </w:rPr>
        <w:t>T</w:t>
      </w:r>
      <w:r w:rsidR="000C6AD5">
        <w:rPr>
          <w:lang w:val="en-GB"/>
        </w:rPr>
        <w:t>he Team Leader should</w:t>
      </w:r>
      <w:r w:rsidRPr="000C6AD5">
        <w:rPr>
          <w:lang w:val="en-GB"/>
        </w:rPr>
        <w:t xml:space="preserve"> efficient</w:t>
      </w:r>
      <w:r w:rsidR="00BF3ECF" w:rsidRPr="000C6AD5">
        <w:rPr>
          <w:lang w:val="en-GB"/>
        </w:rPr>
        <w:t>ly manage t</w:t>
      </w:r>
      <w:r w:rsidRPr="000C6AD5">
        <w:rPr>
          <w:lang w:val="en-GB"/>
        </w:rPr>
        <w:t>he incentive fund mechanism.</w:t>
      </w:r>
      <w:r w:rsidR="00BF3ECF" w:rsidRPr="000C6AD5">
        <w:rPr>
          <w:lang w:val="en-GB"/>
        </w:rPr>
        <w:t xml:space="preserve"> This is a complex system in that </w:t>
      </w:r>
      <w:r w:rsidR="00C50B66" w:rsidRPr="000C6AD5">
        <w:rPr>
          <w:lang w:val="en-GB"/>
        </w:rPr>
        <w:t>it</w:t>
      </w:r>
      <w:r w:rsidR="00BF3ECF" w:rsidRPr="000C6AD5">
        <w:rPr>
          <w:lang w:val="en-GB"/>
        </w:rPr>
        <w:t xml:space="preserve"> create</w:t>
      </w:r>
      <w:r w:rsidR="00C50B66" w:rsidRPr="000C6AD5">
        <w:rPr>
          <w:lang w:val="en-GB"/>
        </w:rPr>
        <w:t>s</w:t>
      </w:r>
      <w:r w:rsidR="00BF3ECF" w:rsidRPr="000C6AD5">
        <w:rPr>
          <w:lang w:val="en-GB"/>
        </w:rPr>
        <w:t xml:space="preserve"> demand through communication and awareness mechanisms. </w:t>
      </w:r>
      <w:r w:rsidR="00C50B66" w:rsidRPr="000C6AD5">
        <w:rPr>
          <w:lang w:val="en-GB"/>
        </w:rPr>
        <w:t>The</w:t>
      </w:r>
      <w:r w:rsidR="00BF3ECF" w:rsidRPr="000C6AD5">
        <w:rPr>
          <w:lang w:val="en-GB"/>
        </w:rPr>
        <w:t xml:space="preserve"> design stage </w:t>
      </w:r>
      <w:r w:rsidR="00C50B66" w:rsidRPr="000C6AD5">
        <w:rPr>
          <w:lang w:val="en-GB"/>
        </w:rPr>
        <w:t>has</w:t>
      </w:r>
      <w:r w:rsidR="00BF3ECF" w:rsidRPr="000C6AD5">
        <w:rPr>
          <w:lang w:val="en-GB"/>
        </w:rPr>
        <w:t xml:space="preserve"> </w:t>
      </w:r>
      <w:r w:rsidR="00B97782" w:rsidRPr="000C6AD5">
        <w:rPr>
          <w:lang w:val="en-GB"/>
        </w:rPr>
        <w:t xml:space="preserve">not apportioned funding between the </w:t>
      </w:r>
      <w:r w:rsidR="00BF3ECF" w:rsidRPr="000C6AD5">
        <w:rPr>
          <w:lang w:val="en-GB"/>
        </w:rPr>
        <w:t>health</w:t>
      </w:r>
      <w:r w:rsidR="00B97782" w:rsidRPr="000C6AD5">
        <w:rPr>
          <w:lang w:val="en-GB"/>
        </w:rPr>
        <w:t xml:space="preserve">, </w:t>
      </w:r>
      <w:r w:rsidR="00BF3ECF" w:rsidRPr="000C6AD5">
        <w:rPr>
          <w:lang w:val="en-GB"/>
        </w:rPr>
        <w:t xml:space="preserve">education </w:t>
      </w:r>
      <w:r w:rsidR="00205423">
        <w:rPr>
          <w:lang w:val="en-GB"/>
        </w:rPr>
        <w:t xml:space="preserve">and other sectors and stimulating </w:t>
      </w:r>
      <w:r w:rsidR="00BF3ECF" w:rsidRPr="000C6AD5">
        <w:rPr>
          <w:lang w:val="en-GB"/>
        </w:rPr>
        <w:t xml:space="preserve">economic </w:t>
      </w:r>
      <w:r w:rsidR="00205423" w:rsidRPr="00205423">
        <w:rPr>
          <w:lang w:val="en-GB"/>
        </w:rPr>
        <w:t xml:space="preserve">development </w:t>
      </w:r>
      <w:r w:rsidR="00B97782" w:rsidRPr="000C6AD5">
        <w:rPr>
          <w:lang w:val="en-GB"/>
        </w:rPr>
        <w:t xml:space="preserve">and </w:t>
      </w:r>
      <w:r w:rsidR="00BF3ECF" w:rsidRPr="000C6AD5">
        <w:rPr>
          <w:lang w:val="en-GB"/>
        </w:rPr>
        <w:t xml:space="preserve">this will be negotiated at start-up. Gaining consensus on apportionment will require </w:t>
      </w:r>
      <w:r w:rsidR="00B97782" w:rsidRPr="000C6AD5">
        <w:rPr>
          <w:lang w:val="en-GB"/>
        </w:rPr>
        <w:t xml:space="preserve">analysis and understanding of the sectors </w:t>
      </w:r>
      <w:r w:rsidR="00BF3ECF" w:rsidRPr="000C6AD5">
        <w:rPr>
          <w:lang w:val="en-GB"/>
        </w:rPr>
        <w:t xml:space="preserve">and </w:t>
      </w:r>
      <w:r w:rsidR="00B97782" w:rsidRPr="000C6AD5">
        <w:rPr>
          <w:lang w:val="en-GB"/>
        </w:rPr>
        <w:t xml:space="preserve">strategic </w:t>
      </w:r>
      <w:r w:rsidR="00BF3ECF" w:rsidRPr="000C6AD5">
        <w:rPr>
          <w:lang w:val="en-GB"/>
        </w:rPr>
        <w:t xml:space="preserve">skills to achieve the right balance. Once determined, </w:t>
      </w:r>
      <w:r w:rsidR="00B97782" w:rsidRPr="000C6AD5">
        <w:rPr>
          <w:lang w:val="en-GB"/>
        </w:rPr>
        <w:t xml:space="preserve">appropriate </w:t>
      </w:r>
      <w:r w:rsidR="00BF3ECF" w:rsidRPr="000C6AD5">
        <w:rPr>
          <w:lang w:val="en-GB"/>
        </w:rPr>
        <w:t>CPR strategies will need to be designed and implemented, and then the 5 stage application process ma</w:t>
      </w:r>
      <w:r w:rsidR="000C6AD5">
        <w:rPr>
          <w:lang w:val="en-GB"/>
        </w:rPr>
        <w:t>naged fairly and transparently.</w:t>
      </w:r>
    </w:p>
    <w:p w:rsidR="000C6AD5" w:rsidRPr="000C6AD5" w:rsidRDefault="000C6AD5" w:rsidP="000C6AD5">
      <w:pPr>
        <w:spacing w:before="0" w:after="0"/>
        <w:rPr>
          <w:sz w:val="16"/>
          <w:szCs w:val="16"/>
          <w:lang w:val="en-GB"/>
        </w:rPr>
      </w:pPr>
    </w:p>
    <w:p w:rsidR="00AA674E" w:rsidRDefault="00D265C7" w:rsidP="000C6AD5">
      <w:pPr>
        <w:spacing w:before="0" w:after="0"/>
        <w:rPr>
          <w:lang w:val="en-GB"/>
        </w:rPr>
      </w:pPr>
      <w:r w:rsidRPr="00D265C7">
        <w:rPr>
          <w:lang w:val="en-GB"/>
        </w:rPr>
        <w:t>The team leader must</w:t>
      </w:r>
      <w:r w:rsidR="00B97782" w:rsidRPr="000C6AD5">
        <w:rPr>
          <w:lang w:val="en-GB"/>
        </w:rPr>
        <w:t xml:space="preserve"> ensure an appropriate team structure and that the right people are recruited, inducted, trained, mentored and performance managed. Technical skills are important, communication ability is essential and being able to work alongside a range of stakeholders from national government to communities, faith-based organisations to </w:t>
      </w:r>
      <w:r w:rsidR="00AA674E" w:rsidRPr="000C6AD5">
        <w:rPr>
          <w:lang w:val="en-GB"/>
        </w:rPr>
        <w:t xml:space="preserve">successful </w:t>
      </w:r>
      <w:r w:rsidR="00B97782" w:rsidRPr="000C6AD5">
        <w:rPr>
          <w:lang w:val="en-GB"/>
        </w:rPr>
        <w:t xml:space="preserve">private sector </w:t>
      </w:r>
      <w:r w:rsidR="00AA674E" w:rsidRPr="000C6AD5">
        <w:rPr>
          <w:lang w:val="en-GB"/>
        </w:rPr>
        <w:t>businesses is critical. It is expected that the IF (IV) team will lead by example, it is anticipated that IF (IV) will be the plac</w:t>
      </w:r>
      <w:r w:rsidR="00052FDA" w:rsidRPr="000C6AD5">
        <w:rPr>
          <w:lang w:val="en-GB"/>
        </w:rPr>
        <w:t>e where people wanting to work o</w:t>
      </w:r>
      <w:r w:rsidR="00AA674E" w:rsidRPr="000C6AD5">
        <w:rPr>
          <w:lang w:val="en-GB"/>
        </w:rPr>
        <w:t xml:space="preserve">n a </w:t>
      </w:r>
      <w:r w:rsidR="00AA674E" w:rsidRPr="000C6AD5">
        <w:rPr>
          <w:i/>
          <w:lang w:val="en-GB"/>
        </w:rPr>
        <w:t>program of excellence</w:t>
      </w:r>
      <w:r w:rsidR="00AA674E" w:rsidRPr="000C6AD5">
        <w:rPr>
          <w:lang w:val="en-GB"/>
        </w:rPr>
        <w:t>, will gravitate.</w:t>
      </w:r>
    </w:p>
    <w:p w:rsidR="000C6AD5" w:rsidRPr="000C6AD5" w:rsidRDefault="000C6AD5" w:rsidP="000C6AD5">
      <w:pPr>
        <w:spacing w:before="0" w:after="0"/>
        <w:rPr>
          <w:sz w:val="16"/>
          <w:szCs w:val="16"/>
          <w:lang w:val="en-GB"/>
        </w:rPr>
      </w:pPr>
    </w:p>
    <w:p w:rsidR="00AA6951" w:rsidRPr="000C6AD5" w:rsidRDefault="00AA674E" w:rsidP="000C6AD5">
      <w:pPr>
        <w:spacing w:before="0" w:after="0"/>
        <w:rPr>
          <w:lang w:val="en-GB"/>
        </w:rPr>
      </w:pPr>
      <w:r w:rsidRPr="000C6AD5">
        <w:rPr>
          <w:lang w:val="en-GB"/>
        </w:rPr>
        <w:t xml:space="preserve">The key role of the Team Leader is to deliver the end-of-program position. This means staying loyal to the agreed </w:t>
      </w:r>
      <w:r w:rsidR="00F32C27" w:rsidRPr="00F32C27">
        <w:rPr>
          <w:lang w:val="en-GB"/>
        </w:rPr>
        <w:t xml:space="preserve">IF (IV) </w:t>
      </w:r>
      <w:r w:rsidR="00F32C27">
        <w:rPr>
          <w:lang w:val="en-GB"/>
        </w:rPr>
        <w:t>l</w:t>
      </w:r>
      <w:r w:rsidRPr="000C6AD5">
        <w:rPr>
          <w:lang w:val="en-GB"/>
        </w:rPr>
        <w:t>ogic and delivering the Performance Assessment Framework results through the implementati</w:t>
      </w:r>
      <w:r w:rsidR="000C6AD5">
        <w:rPr>
          <w:lang w:val="en-GB"/>
        </w:rPr>
        <w:t>on of appropriate annual plans.</w:t>
      </w:r>
    </w:p>
    <w:p w:rsidR="00AA6951" w:rsidRPr="00571F0B" w:rsidRDefault="00AA6951" w:rsidP="00AA6951">
      <w:pPr>
        <w:spacing w:before="0" w:after="0"/>
        <w:rPr>
          <w:lang w:val="en-GB"/>
        </w:rPr>
      </w:pPr>
    </w:p>
    <w:p w:rsidR="00B97782" w:rsidRPr="000C6AD5" w:rsidRDefault="00544BD6" w:rsidP="000C6AD5">
      <w:pPr>
        <w:spacing w:before="0" w:after="0"/>
        <w:rPr>
          <w:b/>
          <w:lang w:val="en-GB"/>
        </w:rPr>
      </w:pPr>
      <w:r w:rsidRPr="000C6AD5">
        <w:rPr>
          <w:b/>
          <w:lang w:val="en-GB"/>
        </w:rPr>
        <w:t xml:space="preserve">Key </w:t>
      </w:r>
      <w:r w:rsidR="00AA6951" w:rsidRPr="000C6AD5">
        <w:rPr>
          <w:b/>
          <w:lang w:val="en-GB"/>
        </w:rPr>
        <w:t>Functions of the Deputy Team Leader, Infrastructure</w:t>
      </w:r>
    </w:p>
    <w:p w:rsidR="00544BD6" w:rsidRDefault="00AA6951" w:rsidP="000C6AD5">
      <w:pPr>
        <w:spacing w:before="0" w:after="0"/>
        <w:rPr>
          <w:lang w:val="en-GB"/>
        </w:rPr>
      </w:pPr>
      <w:r w:rsidRPr="000C6AD5">
        <w:rPr>
          <w:lang w:val="en-GB"/>
        </w:rPr>
        <w:t xml:space="preserve">IF (IV) will assist design, and deliver </w:t>
      </w:r>
      <w:r w:rsidR="009F14D7">
        <w:rPr>
          <w:lang w:val="en-GB"/>
        </w:rPr>
        <w:t xml:space="preserve">infrastructure to the value of more than </w:t>
      </w:r>
      <w:proofErr w:type="gramStart"/>
      <w:r w:rsidR="009F14D7" w:rsidRPr="009F14D7">
        <w:rPr>
          <w:lang w:val="en-GB"/>
        </w:rPr>
        <w:t>A$</w:t>
      </w:r>
      <w:proofErr w:type="gramEnd"/>
      <w:r w:rsidR="009F14D7" w:rsidRPr="009F14D7">
        <w:rPr>
          <w:lang w:val="en-GB"/>
        </w:rPr>
        <w:t xml:space="preserve">36 </w:t>
      </w:r>
      <w:r w:rsidR="009F14D7">
        <w:rPr>
          <w:lang w:val="en-GB"/>
        </w:rPr>
        <w:t xml:space="preserve">million through </w:t>
      </w:r>
      <w:r w:rsidRPr="000C6AD5">
        <w:rPr>
          <w:lang w:val="en-GB"/>
        </w:rPr>
        <w:t>sub-contract management arrange</w:t>
      </w:r>
      <w:r w:rsidR="009F14D7">
        <w:rPr>
          <w:lang w:val="en-GB"/>
        </w:rPr>
        <w:t xml:space="preserve">ments </w:t>
      </w:r>
      <w:r w:rsidRPr="000C6AD5">
        <w:rPr>
          <w:lang w:val="en-GB"/>
        </w:rPr>
        <w:t xml:space="preserve">controlled by more than 13 partners. The deputy will have visibility of all stages </w:t>
      </w:r>
      <w:r w:rsidR="009F14D7">
        <w:rPr>
          <w:lang w:val="en-GB"/>
        </w:rPr>
        <w:t xml:space="preserve">with each partner </w:t>
      </w:r>
      <w:r w:rsidRPr="000C6AD5">
        <w:rPr>
          <w:lang w:val="en-GB"/>
        </w:rPr>
        <w:t>and manage a team of technical support to ensure quality, fitness-for-purpose, sustainable operational costs and maintenance schedules</w:t>
      </w:r>
      <w:r w:rsidR="00544BD6" w:rsidRPr="000C6AD5">
        <w:rPr>
          <w:lang w:val="en-GB"/>
        </w:rPr>
        <w:t>, an</w:t>
      </w:r>
      <w:r w:rsidR="000C6AD5">
        <w:rPr>
          <w:lang w:val="en-GB"/>
        </w:rPr>
        <w:t>d demonstrated value-for-money.</w:t>
      </w:r>
    </w:p>
    <w:p w:rsidR="000C6AD5" w:rsidRPr="000C6AD5" w:rsidRDefault="000C6AD5" w:rsidP="000C6AD5">
      <w:pPr>
        <w:spacing w:before="0" w:after="0"/>
        <w:rPr>
          <w:sz w:val="16"/>
          <w:szCs w:val="16"/>
          <w:lang w:val="en-GB"/>
        </w:rPr>
      </w:pPr>
    </w:p>
    <w:p w:rsidR="00544BD6" w:rsidRDefault="00544BD6" w:rsidP="000C6AD5">
      <w:pPr>
        <w:spacing w:before="0" w:after="0"/>
        <w:rPr>
          <w:lang w:val="en-GB"/>
        </w:rPr>
      </w:pPr>
      <w:r w:rsidRPr="000C6AD5">
        <w:rPr>
          <w:lang w:val="en-GB"/>
        </w:rPr>
        <w:t xml:space="preserve">IF (IV) will be able to mobilise significant project management capability and process outcomes from this capability are expected and need to be delivered. Utilisation of this capability both to deliver IF (IV) funded infrastructure and to support other infrastructure delivery </w:t>
      </w:r>
      <w:r w:rsidRPr="000C6AD5">
        <w:rPr>
          <w:i/>
          <w:lang w:val="en-GB"/>
        </w:rPr>
        <w:t>e.g.</w:t>
      </w:r>
      <w:r w:rsidRPr="000C6AD5">
        <w:rPr>
          <w:lang w:val="en-GB"/>
        </w:rPr>
        <w:t xml:space="preserve"> leveraged through matched funding mechanisms and potentially inter-program initiatives in health and education, is to be expected.</w:t>
      </w:r>
    </w:p>
    <w:p w:rsidR="000C6AD5" w:rsidRPr="000C6AD5" w:rsidRDefault="000C6AD5" w:rsidP="000C6AD5">
      <w:pPr>
        <w:spacing w:before="0" w:after="0"/>
        <w:rPr>
          <w:sz w:val="16"/>
          <w:szCs w:val="16"/>
          <w:lang w:val="en-GB"/>
        </w:rPr>
      </w:pPr>
    </w:p>
    <w:p w:rsidR="00BB0D9D" w:rsidRPr="000C6AD5" w:rsidRDefault="00544BD6" w:rsidP="000C6AD5">
      <w:pPr>
        <w:spacing w:before="0" w:after="0"/>
        <w:rPr>
          <w:lang w:val="en-GB"/>
        </w:rPr>
      </w:pPr>
      <w:r w:rsidRPr="000C6AD5">
        <w:rPr>
          <w:lang w:val="en-GB"/>
        </w:rPr>
        <w:lastRenderedPageBreak/>
        <w:t>Supporting and building a cadre of new project managers and linking these to professional bodies will be a key function. Phase III has demonstrated that project management process outcomes were signi</w:t>
      </w:r>
      <w:r w:rsidR="00A14D9B">
        <w:rPr>
          <w:lang w:val="en-GB"/>
        </w:rPr>
        <w:t xml:space="preserve">ficant and many partners have </w:t>
      </w:r>
      <w:r w:rsidRPr="000C6AD5">
        <w:rPr>
          <w:lang w:val="en-GB"/>
        </w:rPr>
        <w:t>new project management capabilities which they are using to continue to build th</w:t>
      </w:r>
      <w:r w:rsidR="00A14D9B">
        <w:rPr>
          <w:lang w:val="en-GB"/>
        </w:rPr>
        <w:t xml:space="preserve">eir own infrastructure and </w:t>
      </w:r>
      <w:r w:rsidRPr="000C6AD5">
        <w:rPr>
          <w:lang w:val="en-GB"/>
        </w:rPr>
        <w:t xml:space="preserve">outsource to assist others and generate new income streams. Partners used Phase III to train youth </w:t>
      </w:r>
      <w:r w:rsidR="00A14D9B">
        <w:rPr>
          <w:lang w:val="en-GB"/>
        </w:rPr>
        <w:t xml:space="preserve">in </w:t>
      </w:r>
      <w:r w:rsidRPr="000C6AD5">
        <w:rPr>
          <w:lang w:val="en-GB"/>
        </w:rPr>
        <w:t xml:space="preserve">technical construction and management skills. This is a valuable process outcome that creates new income earning opportunities for individuals and organisations and </w:t>
      </w:r>
      <w:r w:rsidR="004367A0" w:rsidRPr="000C6AD5">
        <w:rPr>
          <w:lang w:val="en-GB"/>
        </w:rPr>
        <w:t xml:space="preserve">it </w:t>
      </w:r>
      <w:r w:rsidRPr="000C6AD5">
        <w:rPr>
          <w:lang w:val="en-GB"/>
        </w:rPr>
        <w:t>is a good example of how IF (IV) can stimula</w:t>
      </w:r>
      <w:r w:rsidR="000C6AD5">
        <w:rPr>
          <w:lang w:val="en-GB"/>
        </w:rPr>
        <w:t xml:space="preserve">te and support economic </w:t>
      </w:r>
      <w:r w:rsidR="00205423" w:rsidRPr="00205423">
        <w:rPr>
          <w:lang w:val="en-GB"/>
        </w:rPr>
        <w:t>development</w:t>
      </w:r>
      <w:r w:rsidR="000C6AD5">
        <w:rPr>
          <w:lang w:val="en-GB"/>
        </w:rPr>
        <w:t>.</w:t>
      </w:r>
    </w:p>
    <w:p w:rsidR="008A51DB" w:rsidRDefault="008A51DB" w:rsidP="000C6AD5">
      <w:pPr>
        <w:spacing w:before="0" w:after="0"/>
        <w:rPr>
          <w:b/>
          <w:lang w:val="en-GB"/>
        </w:rPr>
      </w:pPr>
    </w:p>
    <w:p w:rsidR="00835BA3" w:rsidRPr="00835BA3" w:rsidRDefault="00835BA3" w:rsidP="00835BA3">
      <w:pPr>
        <w:spacing w:before="0" w:after="0"/>
        <w:rPr>
          <w:b/>
          <w:lang w:val="en-GB"/>
        </w:rPr>
      </w:pPr>
      <w:r w:rsidRPr="00835BA3">
        <w:rPr>
          <w:b/>
          <w:lang w:val="en-GB"/>
        </w:rPr>
        <w:t xml:space="preserve">Key functions of the </w:t>
      </w:r>
      <w:r w:rsidR="00A4084C">
        <w:rPr>
          <w:b/>
          <w:lang w:val="en-GB"/>
        </w:rPr>
        <w:t>Monitoring and Evaluation Manager</w:t>
      </w:r>
    </w:p>
    <w:p w:rsidR="00835BA3" w:rsidRDefault="00A4084C" w:rsidP="000C6AD5">
      <w:pPr>
        <w:spacing w:before="0" w:after="0"/>
        <w:rPr>
          <w:lang w:val="en-GB"/>
        </w:rPr>
      </w:pPr>
      <w:r>
        <w:rPr>
          <w:lang w:val="en-GB"/>
        </w:rPr>
        <w:t>IF (IV) must be managed in a fully informed way that keeps the PAF and progress being made towards the agreed end-of-program position highly visible and foremost in consideration when incentive fund sector allocations are being confirmed. The monitoring and evaluation functions need to be cons</w:t>
      </w:r>
      <w:r w:rsidR="0070411F">
        <w:rPr>
          <w:lang w:val="en-GB"/>
        </w:rPr>
        <w:t xml:space="preserve">istently </w:t>
      </w:r>
      <w:r>
        <w:rPr>
          <w:lang w:val="en-GB"/>
        </w:rPr>
        <w:t>managed to ensure they are efficient and effective</w:t>
      </w:r>
      <w:r w:rsidR="00625A6C">
        <w:rPr>
          <w:lang w:val="en-GB"/>
        </w:rPr>
        <w:t>ly</w:t>
      </w:r>
      <w:r>
        <w:rPr>
          <w:lang w:val="en-GB"/>
        </w:rPr>
        <w:t xml:space="preserve"> delivered at all times. Delivery will be confirmed through an approved and resourced Monitoring and Evaluation Plan which </w:t>
      </w:r>
      <w:r w:rsidR="00625A6C">
        <w:rPr>
          <w:lang w:val="en-GB"/>
        </w:rPr>
        <w:t xml:space="preserve">is the responsibility of </w:t>
      </w:r>
      <w:r w:rsidR="009F14D7">
        <w:rPr>
          <w:lang w:val="en-GB"/>
        </w:rPr>
        <w:t>the monitoring and e</w:t>
      </w:r>
      <w:r>
        <w:rPr>
          <w:lang w:val="en-GB"/>
        </w:rPr>
        <w:t xml:space="preserve">valuation </w:t>
      </w:r>
      <w:r w:rsidR="009F14D7">
        <w:rPr>
          <w:lang w:val="en-GB"/>
        </w:rPr>
        <w:t>m</w:t>
      </w:r>
      <w:r>
        <w:rPr>
          <w:lang w:val="en-GB"/>
        </w:rPr>
        <w:t>ana</w:t>
      </w:r>
      <w:r w:rsidR="009F14D7">
        <w:rPr>
          <w:lang w:val="en-GB"/>
        </w:rPr>
        <w:t>gement</w:t>
      </w:r>
      <w:r>
        <w:rPr>
          <w:lang w:val="en-GB"/>
        </w:rPr>
        <w:t xml:space="preserve"> </w:t>
      </w:r>
      <w:r w:rsidR="00625A6C">
        <w:rPr>
          <w:lang w:val="en-GB"/>
        </w:rPr>
        <w:t>to</w:t>
      </w:r>
      <w:r>
        <w:rPr>
          <w:lang w:val="en-GB"/>
        </w:rPr>
        <w:t xml:space="preserve"> establish</w:t>
      </w:r>
      <w:r w:rsidR="0070411F">
        <w:rPr>
          <w:lang w:val="en-GB"/>
        </w:rPr>
        <w:t>, review, update</w:t>
      </w:r>
      <w:r>
        <w:rPr>
          <w:lang w:val="en-GB"/>
        </w:rPr>
        <w:t xml:space="preserve"> and deliver. This </w:t>
      </w:r>
      <w:r w:rsidR="009F14D7">
        <w:rPr>
          <w:lang w:val="en-GB"/>
        </w:rPr>
        <w:t>is</w:t>
      </w:r>
      <w:r>
        <w:rPr>
          <w:lang w:val="en-GB"/>
        </w:rPr>
        <w:t xml:space="preserve"> a critical </w:t>
      </w:r>
      <w:r w:rsidR="00625A6C">
        <w:rPr>
          <w:lang w:val="en-GB"/>
        </w:rPr>
        <w:t xml:space="preserve">IF (IV) </w:t>
      </w:r>
      <w:r>
        <w:rPr>
          <w:lang w:val="en-GB"/>
        </w:rPr>
        <w:t>management function.</w:t>
      </w:r>
    </w:p>
    <w:p w:rsidR="00625A6C" w:rsidRDefault="00625A6C" w:rsidP="000C6AD5">
      <w:pPr>
        <w:spacing w:before="0" w:after="0"/>
        <w:rPr>
          <w:lang w:val="en-GB"/>
        </w:rPr>
      </w:pPr>
    </w:p>
    <w:p w:rsidR="00625A6C" w:rsidRDefault="00D265C7" w:rsidP="000C6AD5">
      <w:pPr>
        <w:spacing w:before="0" w:after="0"/>
        <w:rPr>
          <w:lang w:val="en-GB"/>
        </w:rPr>
      </w:pPr>
      <w:r>
        <w:rPr>
          <w:lang w:val="en-GB"/>
        </w:rPr>
        <w:t>Monitoring and e</w:t>
      </w:r>
      <w:r w:rsidR="00625A6C" w:rsidRPr="00625A6C">
        <w:rPr>
          <w:lang w:val="en-GB"/>
        </w:rPr>
        <w:t xml:space="preserve">valuation </w:t>
      </w:r>
      <w:r>
        <w:rPr>
          <w:lang w:val="en-GB"/>
        </w:rPr>
        <w:t xml:space="preserve">management must deliver </w:t>
      </w:r>
      <w:r w:rsidR="00625A6C">
        <w:rPr>
          <w:lang w:val="en-GB"/>
        </w:rPr>
        <w:t xml:space="preserve">a quality evaluation of Incentive Fund Phases I-III. This evaluation is essential to inform the establishment of the first PAF and the evaluation should be conducted within the first four months of IF (IV) and consistent with DFAT Monitoring and Evaluation Standards. </w:t>
      </w:r>
    </w:p>
    <w:p w:rsidR="00A4084C" w:rsidRDefault="00A4084C" w:rsidP="000C6AD5">
      <w:pPr>
        <w:spacing w:before="0" w:after="0"/>
        <w:rPr>
          <w:lang w:val="en-GB"/>
        </w:rPr>
      </w:pPr>
    </w:p>
    <w:p w:rsidR="0070411F" w:rsidRDefault="00D265C7" w:rsidP="000C6AD5">
      <w:pPr>
        <w:spacing w:before="0" w:after="0"/>
        <w:rPr>
          <w:lang w:val="en-GB"/>
        </w:rPr>
      </w:pPr>
      <w:r w:rsidRPr="00D265C7">
        <w:rPr>
          <w:lang w:val="en-GB"/>
        </w:rPr>
        <w:t xml:space="preserve">Monitoring and evaluation management must </w:t>
      </w:r>
      <w:r w:rsidR="00625A6C">
        <w:rPr>
          <w:lang w:val="en-GB"/>
        </w:rPr>
        <w:t xml:space="preserve">work closely with DFAT and the </w:t>
      </w:r>
      <w:r w:rsidR="00824139">
        <w:rPr>
          <w:lang w:val="en-GB"/>
        </w:rPr>
        <w:t>Independent Review Team (</w:t>
      </w:r>
      <w:r w:rsidR="00625A6C">
        <w:rPr>
          <w:lang w:val="en-GB"/>
        </w:rPr>
        <w:t>IRT</w:t>
      </w:r>
      <w:r w:rsidR="00824139">
        <w:rPr>
          <w:lang w:val="en-GB"/>
        </w:rPr>
        <w:t>)</w:t>
      </w:r>
      <w:r w:rsidR="00625A6C">
        <w:rPr>
          <w:lang w:val="en-GB"/>
        </w:rPr>
        <w:t xml:space="preserve"> to agree and establish the first IF (IV) PAF and then support its annual testing and any adjustment to confirm the end-of-program position and progress being made towards its achievement. </w:t>
      </w:r>
    </w:p>
    <w:p w:rsidR="0070411F" w:rsidRDefault="0070411F" w:rsidP="000C6AD5">
      <w:pPr>
        <w:spacing w:before="0" w:after="0"/>
        <w:rPr>
          <w:lang w:val="en-GB"/>
        </w:rPr>
      </w:pPr>
    </w:p>
    <w:p w:rsidR="00625A6C" w:rsidRDefault="00D265C7" w:rsidP="000C6AD5">
      <w:pPr>
        <w:spacing w:before="0" w:after="0"/>
        <w:rPr>
          <w:lang w:val="en-GB"/>
        </w:rPr>
      </w:pPr>
      <w:r w:rsidRPr="00D265C7">
        <w:rPr>
          <w:lang w:val="en-GB"/>
        </w:rPr>
        <w:t xml:space="preserve">Monitoring and evaluation management </w:t>
      </w:r>
      <w:r w:rsidR="0070411F">
        <w:rPr>
          <w:lang w:val="en-GB"/>
        </w:rPr>
        <w:t xml:space="preserve">is responsible for ensuring all monitoring and evaluation functions of IF (IV) are established and being delivered by qualified people. The </w:t>
      </w:r>
      <w:r w:rsidR="0070411F" w:rsidRPr="0070411F">
        <w:rPr>
          <w:lang w:val="en-GB"/>
        </w:rPr>
        <w:t>Monitoring and Evaluation Manager</w:t>
      </w:r>
      <w:r w:rsidR="0070411F">
        <w:rPr>
          <w:lang w:val="en-GB"/>
        </w:rPr>
        <w:t xml:space="preserve"> will support and </w:t>
      </w:r>
      <w:proofErr w:type="gramStart"/>
      <w:r w:rsidR="0070411F">
        <w:rPr>
          <w:lang w:val="en-GB"/>
        </w:rPr>
        <w:t>performance manage</w:t>
      </w:r>
      <w:proofErr w:type="gramEnd"/>
      <w:r w:rsidR="0070411F">
        <w:rPr>
          <w:lang w:val="en-GB"/>
        </w:rPr>
        <w:t xml:space="preserve"> all people involved with delivering IF (IV) monitoring and evaluations activities at all times. Key monitoring and evaluation functions are presented in Section 4 of the </w:t>
      </w:r>
      <w:r w:rsidR="009A66E9" w:rsidRPr="009A66E9">
        <w:rPr>
          <w:lang w:val="en-GB"/>
        </w:rPr>
        <w:t>IDD</w:t>
      </w:r>
      <w:r w:rsidR="0070411F">
        <w:rPr>
          <w:lang w:val="en-GB"/>
        </w:rPr>
        <w:t xml:space="preserve"> and include: program level monitoring functions; activity level monitoring functions; and performance management monitoring functions.   </w:t>
      </w:r>
      <w:r w:rsidR="00625A6C">
        <w:rPr>
          <w:lang w:val="en-GB"/>
        </w:rPr>
        <w:t xml:space="preserve"> </w:t>
      </w:r>
    </w:p>
    <w:p w:rsidR="00A4084C" w:rsidRDefault="00A4084C" w:rsidP="000C6AD5">
      <w:pPr>
        <w:spacing w:before="0" w:after="0"/>
        <w:rPr>
          <w:lang w:val="en-GB"/>
        </w:rPr>
      </w:pPr>
    </w:p>
    <w:p w:rsidR="0070411F" w:rsidRPr="000C6AD5" w:rsidRDefault="0070411F" w:rsidP="000C6AD5">
      <w:pPr>
        <w:spacing w:before="0" w:after="0"/>
        <w:rPr>
          <w:lang w:val="en-GB"/>
        </w:rPr>
      </w:pPr>
      <w:r>
        <w:rPr>
          <w:lang w:val="en-GB"/>
        </w:rPr>
        <w:t>Finally</w:t>
      </w:r>
      <w:r w:rsidR="00D265C7">
        <w:rPr>
          <w:lang w:val="en-GB"/>
        </w:rPr>
        <w:t>,</w:t>
      </w:r>
      <w:r>
        <w:rPr>
          <w:lang w:val="en-GB"/>
        </w:rPr>
        <w:t xml:space="preserve"> </w:t>
      </w:r>
      <w:r w:rsidR="00D265C7" w:rsidRPr="00D265C7">
        <w:rPr>
          <w:lang w:val="en-GB"/>
        </w:rPr>
        <w:t xml:space="preserve">Monitoring and evaluation management must </w:t>
      </w:r>
      <w:r>
        <w:rPr>
          <w:lang w:val="en-GB"/>
        </w:rPr>
        <w:t xml:space="preserve">ensure that all delivery of IF (IV) is guided by the DFAT Monitoring and Evaluation Standards. </w:t>
      </w:r>
    </w:p>
    <w:p w:rsidR="003F40B1" w:rsidRDefault="003F40B1" w:rsidP="000C6AD5">
      <w:pPr>
        <w:spacing w:before="0" w:after="0"/>
        <w:rPr>
          <w:lang w:val="en-GB"/>
        </w:rPr>
      </w:pPr>
    </w:p>
    <w:p w:rsidR="008A51DB" w:rsidRPr="008A51DB" w:rsidRDefault="008A51DB" w:rsidP="008A51DB">
      <w:pPr>
        <w:spacing w:before="0" w:after="0"/>
        <w:rPr>
          <w:b/>
          <w:lang w:val="en-GB"/>
        </w:rPr>
      </w:pPr>
      <w:r w:rsidRPr="008A51DB">
        <w:rPr>
          <w:b/>
          <w:lang w:val="en-GB"/>
        </w:rPr>
        <w:t>Key functions of the Public Relations Manager</w:t>
      </w:r>
    </w:p>
    <w:p w:rsidR="008A51DB" w:rsidRPr="008A51DB" w:rsidRDefault="008A51DB" w:rsidP="008A51DB">
      <w:pPr>
        <w:spacing w:before="0" w:after="0"/>
        <w:rPr>
          <w:lang w:val="en-GB"/>
        </w:rPr>
      </w:pPr>
      <w:r w:rsidRPr="008A51DB">
        <w:rPr>
          <w:lang w:val="en-GB"/>
        </w:rPr>
        <w:t xml:space="preserve">IF (IV) is high profile and supports large scale projects which make a difference and can make change happen.  IF (IV) could be a public diplomacy giant in the aid program and could be used as a key example of what Australian Aid is achieving. To achieve this status, IF (IV) needs to keep DFAT updated on the support </w:t>
      </w:r>
      <w:r w:rsidR="00F32C27">
        <w:rPr>
          <w:lang w:val="en-GB"/>
        </w:rPr>
        <w:t>it</w:t>
      </w:r>
      <w:r w:rsidRPr="008A51DB">
        <w:rPr>
          <w:lang w:val="en-GB"/>
        </w:rPr>
        <w:t xml:space="preserve"> is providing and any changes being made</w:t>
      </w:r>
      <w:r w:rsidR="009F14D7">
        <w:rPr>
          <w:lang w:val="en-GB"/>
        </w:rPr>
        <w:t>. It will be essential for the public r</w:t>
      </w:r>
      <w:r w:rsidRPr="008A51DB">
        <w:rPr>
          <w:lang w:val="en-GB"/>
        </w:rPr>
        <w:t xml:space="preserve">elations </w:t>
      </w:r>
      <w:r w:rsidR="00D265C7">
        <w:rPr>
          <w:lang w:val="en-GB"/>
        </w:rPr>
        <w:t xml:space="preserve">management </w:t>
      </w:r>
      <w:r w:rsidRPr="008A51DB">
        <w:rPr>
          <w:lang w:val="en-GB"/>
        </w:rPr>
        <w:t>to maintain a close working relationship with the DFAT Public Diplomacy office.</w:t>
      </w:r>
    </w:p>
    <w:p w:rsidR="008A51DB" w:rsidRPr="008A51DB" w:rsidRDefault="008A51DB" w:rsidP="008A51DB">
      <w:pPr>
        <w:spacing w:before="0" w:after="0"/>
        <w:rPr>
          <w:lang w:val="en-GB"/>
        </w:rPr>
      </w:pPr>
    </w:p>
    <w:p w:rsidR="008A51DB" w:rsidRPr="008A51DB" w:rsidRDefault="008A51DB" w:rsidP="008A51DB">
      <w:pPr>
        <w:spacing w:before="0" w:after="0"/>
        <w:rPr>
          <w:lang w:val="en-GB"/>
        </w:rPr>
      </w:pPr>
      <w:r w:rsidRPr="008A51DB">
        <w:rPr>
          <w:lang w:val="en-GB"/>
        </w:rPr>
        <w:t xml:space="preserve">80 per cent of the investments will support empowerment of women and girls. IF (IV) therefore has a responsibility to highlight gender equality issues consistent with </w:t>
      </w:r>
      <w:r w:rsidRPr="008A51DB">
        <w:rPr>
          <w:i/>
          <w:lang w:val="en-GB"/>
        </w:rPr>
        <w:t xml:space="preserve">Pacific Women </w:t>
      </w:r>
      <w:r w:rsidRPr="008A51DB">
        <w:rPr>
          <w:lang w:val="en-GB"/>
        </w:rPr>
        <w:t xml:space="preserve">and constantly and actively promote: women in leadership at all levels of decision-making; economic development opportunities for women; the reduction of violence against </w:t>
      </w:r>
      <w:r w:rsidRPr="008A51DB">
        <w:rPr>
          <w:lang w:val="en-GB"/>
        </w:rPr>
        <w:lastRenderedPageBreak/>
        <w:t>women; and the importance of a stronger women’s agency where women have greater access to social services and economic opportunities.</w:t>
      </w:r>
    </w:p>
    <w:p w:rsidR="008A51DB" w:rsidRPr="008A51DB" w:rsidRDefault="008A51DB" w:rsidP="008A51DB">
      <w:pPr>
        <w:spacing w:before="0" w:after="0"/>
        <w:rPr>
          <w:lang w:val="en-GB"/>
        </w:rPr>
      </w:pPr>
    </w:p>
    <w:p w:rsidR="008A51DB" w:rsidRPr="008A51DB" w:rsidRDefault="008A51DB" w:rsidP="008A51DB">
      <w:pPr>
        <w:spacing w:before="0" w:after="0"/>
        <w:rPr>
          <w:lang w:val="en-GB"/>
        </w:rPr>
      </w:pPr>
      <w:r w:rsidRPr="008A51DB">
        <w:rPr>
          <w:lang w:val="en-GB"/>
        </w:rPr>
        <w:t xml:space="preserve">Engaging with the private sector is going to require strategic communications and media and the </w:t>
      </w:r>
      <w:r w:rsidR="009F14D7">
        <w:rPr>
          <w:lang w:val="en-GB"/>
        </w:rPr>
        <w:t>p</w:t>
      </w:r>
      <w:r w:rsidR="00D265C7" w:rsidRPr="00D265C7">
        <w:rPr>
          <w:lang w:val="en-GB"/>
        </w:rPr>
        <w:t xml:space="preserve">ublic </w:t>
      </w:r>
      <w:r w:rsidR="009F14D7">
        <w:rPr>
          <w:lang w:val="en-GB"/>
        </w:rPr>
        <w:t>r</w:t>
      </w:r>
      <w:r w:rsidR="00D265C7" w:rsidRPr="00D265C7">
        <w:rPr>
          <w:lang w:val="en-GB"/>
        </w:rPr>
        <w:t xml:space="preserve">elations management </w:t>
      </w:r>
      <w:r w:rsidRPr="008A51DB">
        <w:rPr>
          <w:lang w:val="en-GB"/>
        </w:rPr>
        <w:t>needs to have significant understanding of the private sector and how to produce professional media and communication material that will appeal to the sector. It is anticipated that this material will be used by DFAT more broadly so it will be essential to maintain close working relationships with DFAT teams involved with private sector engagement.</w:t>
      </w:r>
    </w:p>
    <w:p w:rsidR="008A51DB" w:rsidRPr="008A51DB" w:rsidRDefault="008A51DB" w:rsidP="008A51DB">
      <w:pPr>
        <w:spacing w:before="0" w:after="0"/>
        <w:rPr>
          <w:lang w:val="en-GB"/>
        </w:rPr>
      </w:pPr>
    </w:p>
    <w:p w:rsidR="008A51DB" w:rsidRPr="008A51DB" w:rsidRDefault="008A51DB" w:rsidP="008A51DB">
      <w:pPr>
        <w:spacing w:before="0" w:after="0"/>
        <w:rPr>
          <w:lang w:val="en-GB"/>
        </w:rPr>
      </w:pPr>
      <w:r w:rsidRPr="008A51DB">
        <w:rPr>
          <w:lang w:val="en-GB"/>
        </w:rPr>
        <w:t xml:space="preserve">The principles of good governance, strong management and effective performance need to be made visible more broadly across PNG. Web-based forums, national and local media and a range of PNG forums can be utilised to achieve this and signal that effective performance management is critical to the development of PNG. IF (IV) can highlight the need and demonstrate examples of how it can be achieved. It can also promote the fact that eligible organisations achieving good performance can be rewarded through IF (IV). To incentivise through influence and example, the </w:t>
      </w:r>
      <w:r w:rsidR="009F14D7">
        <w:rPr>
          <w:lang w:val="en-GB"/>
        </w:rPr>
        <w:t>p</w:t>
      </w:r>
      <w:r w:rsidR="00D265C7" w:rsidRPr="00D265C7">
        <w:rPr>
          <w:lang w:val="en-GB"/>
        </w:rPr>
        <w:t xml:space="preserve">ublic </w:t>
      </w:r>
      <w:r w:rsidR="009F14D7">
        <w:rPr>
          <w:lang w:val="en-GB"/>
        </w:rPr>
        <w:t>r</w:t>
      </w:r>
      <w:r w:rsidR="00D265C7" w:rsidRPr="00D265C7">
        <w:rPr>
          <w:lang w:val="en-GB"/>
        </w:rPr>
        <w:t xml:space="preserve">elations management </w:t>
      </w:r>
      <w:r w:rsidRPr="008A51DB">
        <w:rPr>
          <w:lang w:val="en-GB"/>
        </w:rPr>
        <w:t>will play a key role in reaching the required audience.</w:t>
      </w:r>
    </w:p>
    <w:p w:rsidR="008A51DB" w:rsidRPr="000C6AD5" w:rsidRDefault="008A51DB" w:rsidP="000C6AD5">
      <w:pPr>
        <w:spacing w:before="0" w:after="0"/>
        <w:rPr>
          <w:lang w:val="en-GB"/>
        </w:rPr>
      </w:pPr>
    </w:p>
    <w:p w:rsidR="00BB0D9D" w:rsidRPr="00571F0B" w:rsidRDefault="00BB0D9D" w:rsidP="00BE7C9E">
      <w:pPr>
        <w:pStyle w:val="Heading2"/>
        <w:rPr>
          <w:lang w:val="en-GB"/>
        </w:rPr>
      </w:pPr>
      <w:bookmarkStart w:id="40" w:name="_Toc403037575"/>
      <w:r w:rsidRPr="00571F0B">
        <w:rPr>
          <w:lang w:val="en-GB"/>
        </w:rPr>
        <w:t>Grievance Mechanism</w:t>
      </w:r>
      <w:bookmarkEnd w:id="40"/>
    </w:p>
    <w:p w:rsidR="0099002E" w:rsidRPr="00571F0B" w:rsidRDefault="0099002E" w:rsidP="0099002E">
      <w:pPr>
        <w:spacing w:before="0" w:after="0"/>
        <w:rPr>
          <w:lang w:val="en-GB"/>
        </w:rPr>
      </w:pPr>
      <w:r w:rsidRPr="00571F0B">
        <w:rPr>
          <w:lang w:val="en-GB"/>
        </w:rPr>
        <w:t xml:space="preserve">During start-up the MC and DFAT will discuss the function and form of a grievance mechanism. This is a new design initiative anticipating that increased engagement with the private sector, economic </w:t>
      </w:r>
      <w:r w:rsidR="00D265C7">
        <w:rPr>
          <w:lang w:val="en-GB"/>
        </w:rPr>
        <w:t xml:space="preserve">development </w:t>
      </w:r>
      <w:r w:rsidRPr="00571F0B">
        <w:rPr>
          <w:lang w:val="en-GB"/>
        </w:rPr>
        <w:t>activities and new innovation may require taking a different approach when it comes to the resolution of issues, concerns and disputes. This mechanism is signalling that it is not business as usual and IF (IV) will engage in new areas and manage higher levels of risk.</w:t>
      </w:r>
    </w:p>
    <w:p w:rsidR="0099002E" w:rsidRPr="00571F0B" w:rsidRDefault="0099002E" w:rsidP="00C05D33">
      <w:pPr>
        <w:spacing w:before="0" w:after="0"/>
        <w:rPr>
          <w:lang w:val="en-GB"/>
        </w:rPr>
      </w:pPr>
    </w:p>
    <w:p w:rsidR="004367A0" w:rsidRPr="00571F0B" w:rsidRDefault="00073FD6" w:rsidP="00BE7C9E">
      <w:pPr>
        <w:pStyle w:val="Heading2"/>
        <w:rPr>
          <w:lang w:val="en-GB"/>
        </w:rPr>
      </w:pPr>
      <w:bookmarkStart w:id="41" w:name="_Toc403037576"/>
      <w:r w:rsidRPr="00571F0B">
        <w:rPr>
          <w:lang w:val="en-GB"/>
        </w:rPr>
        <w:t>Contract M</w:t>
      </w:r>
      <w:r w:rsidR="00C30390" w:rsidRPr="00571F0B">
        <w:rPr>
          <w:lang w:val="en-GB"/>
        </w:rPr>
        <w:t>anagement</w:t>
      </w:r>
      <w:bookmarkEnd w:id="41"/>
    </w:p>
    <w:p w:rsidR="00C015A5" w:rsidRPr="00571F0B" w:rsidRDefault="00C015A5" w:rsidP="00C015A5">
      <w:pPr>
        <w:rPr>
          <w:lang w:val="en-GB"/>
        </w:rPr>
      </w:pPr>
      <w:r w:rsidRPr="00571F0B">
        <w:rPr>
          <w:lang w:val="en-GB"/>
        </w:rPr>
        <w:t>All DFAT fraud and anti-corruption polic</w:t>
      </w:r>
      <w:r w:rsidR="000C6AD5">
        <w:rPr>
          <w:lang w:val="en-GB"/>
        </w:rPr>
        <w:t>ies</w:t>
      </w:r>
      <w:r w:rsidRPr="00571F0B">
        <w:rPr>
          <w:lang w:val="en-GB"/>
        </w:rPr>
        <w:t xml:space="preserve"> and strict adherence to z</w:t>
      </w:r>
      <w:r w:rsidR="000C6AD5">
        <w:rPr>
          <w:lang w:val="en-GB"/>
        </w:rPr>
        <w:t xml:space="preserve">ero-tolerance principles apply.  </w:t>
      </w:r>
      <w:r w:rsidRPr="00571F0B">
        <w:rPr>
          <w:lang w:val="en-GB"/>
        </w:rPr>
        <w:t>Notwithstanding recommendations from the Independent Progress Report to</w:t>
      </w:r>
      <w:r w:rsidR="001C27E0">
        <w:rPr>
          <w:lang w:val="en-GB"/>
        </w:rPr>
        <w:t xml:space="preserve"> continue the highly efficient i</w:t>
      </w:r>
      <w:r w:rsidRPr="00571F0B">
        <w:rPr>
          <w:lang w:val="en-GB"/>
        </w:rPr>
        <w:t>mprest account mechanisms and despite zero cases of reported fraud in Phase III, advice from DFAT Accounts is that no new imprest accounts will be set up.</w:t>
      </w:r>
    </w:p>
    <w:p w:rsidR="004367A0" w:rsidRPr="00571F0B" w:rsidRDefault="004367A0" w:rsidP="004367A0">
      <w:pPr>
        <w:rPr>
          <w:lang w:val="en-GB"/>
        </w:rPr>
      </w:pPr>
    </w:p>
    <w:p w:rsidR="00073FD6" w:rsidRPr="00571F0B" w:rsidRDefault="00073FD6" w:rsidP="00BE7C9E">
      <w:pPr>
        <w:pStyle w:val="Heading3"/>
        <w:rPr>
          <w:lang w:val="en-GB"/>
        </w:rPr>
      </w:pPr>
      <w:r w:rsidRPr="00571F0B">
        <w:rPr>
          <w:lang w:val="en-GB"/>
        </w:rPr>
        <w:t xml:space="preserve">Financial Management and the </w:t>
      </w:r>
      <w:r w:rsidR="0056006B">
        <w:rPr>
          <w:lang w:val="en-GB"/>
        </w:rPr>
        <w:t>Pricing Schedule</w:t>
      </w:r>
    </w:p>
    <w:p w:rsidR="0056006B" w:rsidRDefault="0056006B" w:rsidP="00DC1742">
      <w:pPr>
        <w:spacing w:before="0" w:after="0"/>
        <w:rPr>
          <w:lang w:val="en-GB"/>
        </w:rPr>
      </w:pPr>
      <w:r>
        <w:rPr>
          <w:lang w:val="en-GB"/>
        </w:rPr>
        <w:t>The DFAT Pricing Schedule is presented in Annex 4 and replaces the previous Basis of Payment.</w:t>
      </w:r>
    </w:p>
    <w:p w:rsidR="0056006B" w:rsidRDefault="0056006B" w:rsidP="00DC1742">
      <w:pPr>
        <w:spacing w:before="0" w:after="0"/>
        <w:rPr>
          <w:lang w:val="en-GB"/>
        </w:rPr>
      </w:pPr>
    </w:p>
    <w:p w:rsidR="000C6AD5" w:rsidRDefault="000C6AD5" w:rsidP="0056006B">
      <w:pPr>
        <w:spacing w:before="0" w:after="0"/>
        <w:rPr>
          <w:lang w:val="en-GB"/>
        </w:rPr>
      </w:pPr>
      <w:r w:rsidRPr="00571F0B">
        <w:rPr>
          <w:lang w:val="en-GB"/>
        </w:rPr>
        <w:t>It is possible for IF (IV) to operate a normal prepayment and reimbursable arrangement for the grant activity and operations account. This should be implemented because operationally it will work as eff</w:t>
      </w:r>
      <w:r>
        <w:rPr>
          <w:lang w:val="en-GB"/>
        </w:rPr>
        <w:t>iciently as an imprest account.</w:t>
      </w:r>
    </w:p>
    <w:p w:rsidR="00AA730A" w:rsidRDefault="00AA730A" w:rsidP="0056006B">
      <w:pPr>
        <w:spacing w:before="0" w:after="0"/>
        <w:rPr>
          <w:lang w:val="en-GB"/>
        </w:rPr>
      </w:pPr>
    </w:p>
    <w:p w:rsidR="000C6AD5" w:rsidRPr="00571F0B" w:rsidRDefault="000C6AD5" w:rsidP="009C750B">
      <w:pPr>
        <w:spacing w:before="0" w:after="0"/>
        <w:rPr>
          <w:lang w:val="en-GB"/>
        </w:rPr>
      </w:pPr>
      <w:r w:rsidRPr="00571F0B">
        <w:rPr>
          <w:lang w:val="en-GB"/>
        </w:rPr>
        <w:t>There is no requirement for any GoPNG entity to be a signatory on IF (IV) activity and operational accounts. This will remove some potential for inefficiency when managing cash-flows.</w:t>
      </w:r>
    </w:p>
    <w:p w:rsidR="00824579" w:rsidRPr="009C750B" w:rsidRDefault="00824579" w:rsidP="009C750B">
      <w:pPr>
        <w:spacing w:before="0" w:after="0"/>
        <w:rPr>
          <w:sz w:val="16"/>
          <w:szCs w:val="16"/>
          <w:lang w:val="en-GB"/>
        </w:rPr>
      </w:pPr>
    </w:p>
    <w:p w:rsidR="00073FD6" w:rsidRDefault="003A1C9F" w:rsidP="009C750B">
      <w:pPr>
        <w:spacing w:before="0" w:after="0"/>
        <w:rPr>
          <w:lang w:val="en-GB"/>
        </w:rPr>
      </w:pPr>
      <w:r w:rsidRPr="00571F0B">
        <w:rPr>
          <w:lang w:val="en-GB"/>
        </w:rPr>
        <w:t>Fixed management fees will be subject to a negotiated payment schedule, presumably quarterly payments, based on specific performance delivery as stipulated in the contract.</w:t>
      </w:r>
    </w:p>
    <w:p w:rsidR="009C750B" w:rsidRPr="009C750B" w:rsidRDefault="009C750B" w:rsidP="009C750B">
      <w:pPr>
        <w:spacing w:before="0" w:after="0"/>
        <w:rPr>
          <w:sz w:val="16"/>
          <w:szCs w:val="16"/>
          <w:lang w:val="en-GB"/>
        </w:rPr>
      </w:pPr>
    </w:p>
    <w:p w:rsidR="00073FD6" w:rsidRDefault="00073FD6" w:rsidP="009C750B">
      <w:pPr>
        <w:spacing w:before="0" w:after="0"/>
        <w:rPr>
          <w:lang w:val="en-GB"/>
        </w:rPr>
      </w:pPr>
      <w:r w:rsidRPr="00571F0B">
        <w:rPr>
          <w:lang w:val="en-GB"/>
        </w:rPr>
        <w:t>The</w:t>
      </w:r>
      <w:r w:rsidR="003A1C9F" w:rsidRPr="00571F0B">
        <w:rPr>
          <w:lang w:val="en-GB"/>
        </w:rPr>
        <w:t xml:space="preserve">re </w:t>
      </w:r>
      <w:r w:rsidR="004367A0" w:rsidRPr="00571F0B">
        <w:rPr>
          <w:lang w:val="en-GB"/>
        </w:rPr>
        <w:t>is</w:t>
      </w:r>
      <w:r w:rsidR="003A1C9F" w:rsidRPr="00571F0B">
        <w:rPr>
          <w:lang w:val="en-GB"/>
        </w:rPr>
        <w:t xml:space="preserve"> a requirement for </w:t>
      </w:r>
      <w:r w:rsidRPr="00571F0B">
        <w:rPr>
          <w:lang w:val="en-GB"/>
        </w:rPr>
        <w:t xml:space="preserve">an Unconditional Financial Undertaking </w:t>
      </w:r>
      <w:r w:rsidR="003A1C9F" w:rsidRPr="00571F0B">
        <w:rPr>
          <w:lang w:val="en-GB"/>
        </w:rPr>
        <w:t xml:space="preserve">(UFU) </w:t>
      </w:r>
      <w:r w:rsidRPr="00571F0B">
        <w:rPr>
          <w:lang w:val="en-GB"/>
        </w:rPr>
        <w:t>by the Managing Contractor</w:t>
      </w:r>
      <w:r w:rsidR="003A1C9F" w:rsidRPr="00571F0B">
        <w:rPr>
          <w:lang w:val="en-GB"/>
        </w:rPr>
        <w:t xml:space="preserve">. Whilst this </w:t>
      </w:r>
      <w:r w:rsidRPr="00571F0B">
        <w:rPr>
          <w:lang w:val="en-GB"/>
        </w:rPr>
        <w:t xml:space="preserve">should not reduce a competitive </w:t>
      </w:r>
      <w:r w:rsidR="00C015A5" w:rsidRPr="00571F0B">
        <w:rPr>
          <w:lang w:val="en-GB"/>
        </w:rPr>
        <w:t>tender</w:t>
      </w:r>
      <w:r w:rsidR="00681BB0" w:rsidRPr="00571F0B">
        <w:rPr>
          <w:lang w:val="en-GB"/>
        </w:rPr>
        <w:t xml:space="preserve"> </w:t>
      </w:r>
      <w:r w:rsidRPr="00571F0B">
        <w:rPr>
          <w:lang w:val="en-GB"/>
        </w:rPr>
        <w:t>process</w:t>
      </w:r>
      <w:r w:rsidR="00681BB0" w:rsidRPr="00571F0B">
        <w:rPr>
          <w:lang w:val="en-GB"/>
        </w:rPr>
        <w:t>,</w:t>
      </w:r>
      <w:r w:rsidRPr="00571F0B">
        <w:rPr>
          <w:lang w:val="en-GB"/>
        </w:rPr>
        <w:t xml:space="preserve"> DFAT should be prepared to consider reasonable cases during the </w:t>
      </w:r>
      <w:r w:rsidR="00C015A5" w:rsidRPr="00571F0B">
        <w:rPr>
          <w:lang w:val="en-GB"/>
        </w:rPr>
        <w:t>tender</w:t>
      </w:r>
      <w:r w:rsidRPr="00571F0B">
        <w:rPr>
          <w:lang w:val="en-GB"/>
        </w:rPr>
        <w:t xml:space="preserve"> process </w:t>
      </w:r>
      <w:r w:rsidR="00681BB0" w:rsidRPr="00571F0B">
        <w:rPr>
          <w:lang w:val="en-GB"/>
        </w:rPr>
        <w:t xml:space="preserve">for </w:t>
      </w:r>
      <w:r w:rsidRPr="00571F0B">
        <w:rPr>
          <w:lang w:val="en-GB"/>
        </w:rPr>
        <w:t xml:space="preserve">any options to relax </w:t>
      </w:r>
      <w:r w:rsidR="00C015A5" w:rsidRPr="00571F0B">
        <w:rPr>
          <w:lang w:val="en-GB"/>
        </w:rPr>
        <w:t xml:space="preserve">or </w:t>
      </w:r>
      <w:r w:rsidR="00C015A5" w:rsidRPr="00571F0B">
        <w:rPr>
          <w:lang w:val="en-GB"/>
        </w:rPr>
        <w:lastRenderedPageBreak/>
        <w:t>remove the U</w:t>
      </w:r>
      <w:r w:rsidR="003A1C9F" w:rsidRPr="00571F0B">
        <w:rPr>
          <w:lang w:val="en-GB"/>
        </w:rPr>
        <w:t xml:space="preserve">FU </w:t>
      </w:r>
      <w:r w:rsidRPr="00571F0B">
        <w:rPr>
          <w:lang w:val="en-GB"/>
        </w:rPr>
        <w:t>requirements.</w:t>
      </w:r>
      <w:r w:rsidR="003A1C9F" w:rsidRPr="00571F0B">
        <w:rPr>
          <w:lang w:val="en-GB"/>
        </w:rPr>
        <w:t xml:space="preserve"> It is beyond the scope of this design to make recommendations on UFUs but there are more efficient and equally secure methods to protect funds. </w:t>
      </w:r>
      <w:r w:rsidR="00681BB0" w:rsidRPr="00571F0B">
        <w:rPr>
          <w:lang w:val="en-GB"/>
        </w:rPr>
        <w:t>In practice,</w:t>
      </w:r>
      <w:r w:rsidR="003A1C9F" w:rsidRPr="00571F0B">
        <w:rPr>
          <w:lang w:val="en-GB"/>
        </w:rPr>
        <w:t xml:space="preserve"> the UFUs protect funds whilst they are in the control of the MC so realistically </w:t>
      </w:r>
      <w:r w:rsidR="00681BB0" w:rsidRPr="00571F0B">
        <w:rPr>
          <w:lang w:val="en-GB"/>
        </w:rPr>
        <w:t xml:space="preserve">the </w:t>
      </w:r>
      <w:r w:rsidR="003A1C9F" w:rsidRPr="00571F0B">
        <w:rPr>
          <w:lang w:val="en-GB"/>
        </w:rPr>
        <w:t xml:space="preserve">risk of fraud or mismanagement is </w:t>
      </w:r>
      <w:r w:rsidR="00681BB0" w:rsidRPr="00571F0B">
        <w:rPr>
          <w:lang w:val="en-GB"/>
        </w:rPr>
        <w:t>negligible</w:t>
      </w:r>
      <w:r w:rsidR="003A1C9F" w:rsidRPr="00571F0B">
        <w:rPr>
          <w:lang w:val="en-GB"/>
        </w:rPr>
        <w:t>. UFUs do not protect funds when they have been disbursed to grant recipients. If a cost to risk management analysis was conducted in regard to UFUs</w:t>
      </w:r>
      <w:r w:rsidR="00681BB0" w:rsidRPr="00571F0B">
        <w:rPr>
          <w:lang w:val="en-GB"/>
        </w:rPr>
        <w:t xml:space="preserve"> on grant management mechanisms, the UFU would almost certainl</w:t>
      </w:r>
      <w:r w:rsidR="009C750B">
        <w:rPr>
          <w:lang w:val="en-GB"/>
        </w:rPr>
        <w:t>y not deliver value-for-money.</w:t>
      </w:r>
    </w:p>
    <w:p w:rsidR="009C750B" w:rsidRPr="009C750B" w:rsidRDefault="009C750B" w:rsidP="009C750B">
      <w:pPr>
        <w:spacing w:before="0" w:after="0"/>
        <w:rPr>
          <w:sz w:val="16"/>
          <w:szCs w:val="16"/>
          <w:lang w:val="en-GB"/>
        </w:rPr>
      </w:pPr>
    </w:p>
    <w:p w:rsidR="00681BB0" w:rsidRDefault="00681BB0" w:rsidP="009C750B">
      <w:pPr>
        <w:spacing w:before="0" w:after="0"/>
        <w:rPr>
          <w:lang w:val="en-GB"/>
        </w:rPr>
      </w:pPr>
      <w:r w:rsidRPr="00571F0B">
        <w:rPr>
          <w:lang w:val="en-GB"/>
        </w:rPr>
        <w:t xml:space="preserve">The operational issues with UFUs are significant. </w:t>
      </w:r>
      <w:r w:rsidRPr="00425388">
        <w:rPr>
          <w:lang w:val="en-GB"/>
        </w:rPr>
        <w:t>A</w:t>
      </w:r>
      <w:r w:rsidRPr="00571F0B">
        <w:rPr>
          <w:lang w:val="en-GB"/>
        </w:rPr>
        <w:t xml:space="preserve"> UFU of A$5 million only allows the MC to hold this amount in its combined Australian and PNG activity and operational accounts. It takes up to 30 days to replenish accounts when DFAT receives an invoice. Therefore in any given month if combined activity and operational expenditures exceed </w:t>
      </w:r>
      <w:proofErr w:type="gramStart"/>
      <w:r w:rsidRPr="00571F0B">
        <w:rPr>
          <w:lang w:val="en-GB"/>
        </w:rPr>
        <w:t>A$</w:t>
      </w:r>
      <w:proofErr w:type="gramEnd"/>
      <w:r w:rsidRPr="00571F0B">
        <w:rPr>
          <w:lang w:val="en-GB"/>
        </w:rPr>
        <w:t xml:space="preserve">5 million IF (IV) will have insufficient funds to operate, </w:t>
      </w:r>
      <w:r w:rsidR="00073FD6" w:rsidRPr="00571F0B">
        <w:rPr>
          <w:lang w:val="en-GB"/>
        </w:rPr>
        <w:t>impos</w:t>
      </w:r>
      <w:r w:rsidRPr="00571F0B">
        <w:rPr>
          <w:lang w:val="en-GB"/>
        </w:rPr>
        <w:t>ing</w:t>
      </w:r>
      <w:r w:rsidR="00073FD6" w:rsidRPr="00571F0B">
        <w:rPr>
          <w:lang w:val="en-GB"/>
        </w:rPr>
        <w:t xml:space="preserve"> significant cash flow and </w:t>
      </w:r>
      <w:r w:rsidR="004367A0" w:rsidRPr="00571F0B">
        <w:rPr>
          <w:lang w:val="en-GB"/>
        </w:rPr>
        <w:t xml:space="preserve">potentially </w:t>
      </w:r>
      <w:r w:rsidR="00073FD6" w:rsidRPr="00571F0B">
        <w:rPr>
          <w:lang w:val="en-GB"/>
        </w:rPr>
        <w:t xml:space="preserve">costly implementation delays for </w:t>
      </w:r>
      <w:r w:rsidRPr="00571F0B">
        <w:rPr>
          <w:lang w:val="en-GB"/>
        </w:rPr>
        <w:t>pro</w:t>
      </w:r>
      <w:r w:rsidR="009F14D7">
        <w:rPr>
          <w:lang w:val="en-GB"/>
        </w:rPr>
        <w:t>j</w:t>
      </w:r>
      <w:r w:rsidRPr="00571F0B">
        <w:rPr>
          <w:lang w:val="en-GB"/>
        </w:rPr>
        <w:t>ects</w:t>
      </w:r>
      <w:r w:rsidR="00824579" w:rsidRPr="00571F0B">
        <w:rPr>
          <w:lang w:val="en-GB"/>
        </w:rPr>
        <w:t xml:space="preserve">. This will obviously generate </w:t>
      </w:r>
      <w:r w:rsidRPr="00571F0B">
        <w:rPr>
          <w:lang w:val="en-GB"/>
        </w:rPr>
        <w:t>justified complaints</w:t>
      </w:r>
      <w:r w:rsidR="00824579" w:rsidRPr="00571F0B">
        <w:rPr>
          <w:lang w:val="en-GB"/>
        </w:rPr>
        <w:t xml:space="preserve"> for the IFT and DFAT to address</w:t>
      </w:r>
      <w:r w:rsidRPr="00571F0B">
        <w:rPr>
          <w:lang w:val="en-GB"/>
        </w:rPr>
        <w:t>. Delays in implementation</w:t>
      </w:r>
      <w:r w:rsidR="00824579" w:rsidRPr="00571F0B">
        <w:rPr>
          <w:lang w:val="en-GB"/>
        </w:rPr>
        <w:t xml:space="preserve">, </w:t>
      </w:r>
      <w:r w:rsidRPr="00571F0B">
        <w:rPr>
          <w:lang w:val="en-GB"/>
        </w:rPr>
        <w:t>additional costs</w:t>
      </w:r>
      <w:r w:rsidR="00824579" w:rsidRPr="00571F0B">
        <w:rPr>
          <w:lang w:val="en-GB"/>
        </w:rPr>
        <w:t xml:space="preserve"> and additional workload and time to management complaints </w:t>
      </w:r>
      <w:r w:rsidRPr="00571F0B">
        <w:rPr>
          <w:lang w:val="en-GB"/>
        </w:rPr>
        <w:t>would not satisfy value-for-money</w:t>
      </w:r>
      <w:r w:rsidR="00C015A5" w:rsidRPr="00571F0B">
        <w:rPr>
          <w:lang w:val="en-GB"/>
        </w:rPr>
        <w:t xml:space="preserve"> assessments</w:t>
      </w:r>
      <w:r w:rsidR="009C750B">
        <w:rPr>
          <w:lang w:val="en-GB"/>
        </w:rPr>
        <w:t>.</w:t>
      </w:r>
    </w:p>
    <w:p w:rsidR="009C750B" w:rsidRPr="000C6AD5" w:rsidRDefault="009C750B" w:rsidP="009C750B">
      <w:pPr>
        <w:spacing w:before="0" w:after="0"/>
        <w:rPr>
          <w:sz w:val="16"/>
          <w:szCs w:val="16"/>
          <w:lang w:val="en-GB"/>
        </w:rPr>
      </w:pPr>
    </w:p>
    <w:p w:rsidR="00073FD6" w:rsidRPr="00571F0B" w:rsidRDefault="00824579" w:rsidP="009C750B">
      <w:pPr>
        <w:spacing w:before="0" w:after="0"/>
        <w:rPr>
          <w:lang w:val="en-GB"/>
        </w:rPr>
      </w:pPr>
      <w:r w:rsidRPr="00571F0B">
        <w:rPr>
          <w:lang w:val="en-GB"/>
        </w:rPr>
        <w:t xml:space="preserve">Whilst IF (IV) will be able to make reliable activity and operational cash flow forecasts and invoice </w:t>
      </w:r>
      <w:r w:rsidR="00073FD6" w:rsidRPr="00571F0B">
        <w:rPr>
          <w:lang w:val="en-GB"/>
        </w:rPr>
        <w:t>efficient</w:t>
      </w:r>
      <w:r w:rsidRPr="00571F0B">
        <w:rPr>
          <w:lang w:val="en-GB"/>
        </w:rPr>
        <w:t xml:space="preserve">ly, it is highly improbable that IF (IV) will be able to plan IFA disbursements to keep every months expenditure below the UFU. Specific consideration in regard to the use of UFUs needs to be given </w:t>
      </w:r>
      <w:r w:rsidR="00DD1CC9" w:rsidRPr="00571F0B">
        <w:rPr>
          <w:lang w:val="en-GB"/>
        </w:rPr>
        <w:t>during</w:t>
      </w:r>
      <w:r w:rsidRPr="00571F0B">
        <w:rPr>
          <w:lang w:val="en-GB"/>
        </w:rPr>
        <w:t xml:space="preserve"> contract negotiations </w:t>
      </w:r>
      <w:r w:rsidR="00C015A5" w:rsidRPr="00571F0B">
        <w:rPr>
          <w:lang w:val="en-GB"/>
        </w:rPr>
        <w:t>to explore the use of a</w:t>
      </w:r>
      <w:r w:rsidRPr="00571F0B">
        <w:rPr>
          <w:lang w:val="en-GB"/>
        </w:rPr>
        <w:t xml:space="preserve"> flexible and scalable UFU or mov</w:t>
      </w:r>
      <w:r w:rsidR="00C015A5" w:rsidRPr="00571F0B">
        <w:rPr>
          <w:lang w:val="en-GB"/>
        </w:rPr>
        <w:t xml:space="preserve">e </w:t>
      </w:r>
      <w:r w:rsidRPr="00571F0B">
        <w:rPr>
          <w:lang w:val="en-GB"/>
        </w:rPr>
        <w:t>to other instruments more commonly used in the private sector, suc</w:t>
      </w:r>
      <w:r w:rsidR="009C750B">
        <w:rPr>
          <w:lang w:val="en-GB"/>
        </w:rPr>
        <w:t>h as parent company guarantees.</w:t>
      </w:r>
    </w:p>
    <w:p w:rsidR="00824579" w:rsidRPr="00571F0B" w:rsidRDefault="00824579" w:rsidP="009C750B">
      <w:pPr>
        <w:spacing w:before="0" w:after="0"/>
        <w:rPr>
          <w:lang w:val="en-GB"/>
        </w:rPr>
      </w:pPr>
    </w:p>
    <w:p w:rsidR="00073FD6" w:rsidRPr="00571F0B" w:rsidRDefault="00073FD6" w:rsidP="00BE7C9E">
      <w:pPr>
        <w:pStyle w:val="Heading3"/>
        <w:rPr>
          <w:lang w:val="en-GB"/>
        </w:rPr>
      </w:pPr>
      <w:r w:rsidRPr="00571F0B">
        <w:rPr>
          <w:lang w:val="en-GB"/>
        </w:rPr>
        <w:t xml:space="preserve">Scope of </w:t>
      </w:r>
      <w:r w:rsidR="0056006B">
        <w:rPr>
          <w:lang w:val="en-GB"/>
        </w:rPr>
        <w:t>Requirements</w:t>
      </w:r>
    </w:p>
    <w:p w:rsidR="0056006B" w:rsidRDefault="0056006B" w:rsidP="009C750B">
      <w:pPr>
        <w:spacing w:before="0" w:after="0"/>
        <w:rPr>
          <w:lang w:val="en-GB"/>
        </w:rPr>
      </w:pPr>
      <w:r w:rsidRPr="0056006B">
        <w:rPr>
          <w:lang w:val="en-GB"/>
        </w:rPr>
        <w:t xml:space="preserve">The DFAT </w:t>
      </w:r>
      <w:r>
        <w:rPr>
          <w:lang w:val="en-GB"/>
        </w:rPr>
        <w:t xml:space="preserve">Scope of Requirements </w:t>
      </w:r>
      <w:r w:rsidRPr="0056006B">
        <w:rPr>
          <w:lang w:val="en-GB"/>
        </w:rPr>
        <w:t xml:space="preserve">is presented in Annex </w:t>
      </w:r>
      <w:r>
        <w:rPr>
          <w:lang w:val="en-GB"/>
        </w:rPr>
        <w:t>3</w:t>
      </w:r>
      <w:r w:rsidRPr="0056006B">
        <w:rPr>
          <w:lang w:val="en-GB"/>
        </w:rPr>
        <w:t xml:space="preserve"> and replaces the </w:t>
      </w:r>
      <w:r w:rsidR="00835BA3">
        <w:rPr>
          <w:lang w:val="en-GB"/>
        </w:rPr>
        <w:t>Scope of Services</w:t>
      </w:r>
      <w:r w:rsidRPr="0056006B">
        <w:rPr>
          <w:lang w:val="en-GB"/>
        </w:rPr>
        <w:t>.</w:t>
      </w:r>
    </w:p>
    <w:p w:rsidR="0056006B" w:rsidRDefault="0056006B" w:rsidP="009C750B">
      <w:pPr>
        <w:spacing w:before="0" w:after="0"/>
        <w:rPr>
          <w:lang w:val="en-GB"/>
        </w:rPr>
      </w:pPr>
    </w:p>
    <w:p w:rsidR="00073FD6" w:rsidRPr="00571F0B" w:rsidRDefault="00073FD6" w:rsidP="009C750B">
      <w:pPr>
        <w:spacing w:before="0" w:after="0"/>
        <w:rPr>
          <w:lang w:val="en-GB"/>
        </w:rPr>
      </w:pPr>
      <w:r w:rsidRPr="00571F0B">
        <w:rPr>
          <w:lang w:val="en-GB"/>
        </w:rPr>
        <w:t>DFAT will contract a Managing Contractor (MC) for an initial period of four years</w:t>
      </w:r>
      <w:r w:rsidR="00DD1CC9" w:rsidRPr="00571F0B">
        <w:rPr>
          <w:lang w:val="en-GB"/>
        </w:rPr>
        <w:t>, w</w:t>
      </w:r>
      <w:r w:rsidRPr="00571F0B">
        <w:rPr>
          <w:lang w:val="en-GB"/>
        </w:rPr>
        <w:t>ith a</w:t>
      </w:r>
      <w:r w:rsidR="00DD1CC9" w:rsidRPr="00571F0B">
        <w:rPr>
          <w:lang w:val="en-GB"/>
        </w:rPr>
        <w:t xml:space="preserve">n intended </w:t>
      </w:r>
      <w:r w:rsidRPr="00571F0B">
        <w:rPr>
          <w:lang w:val="en-GB"/>
        </w:rPr>
        <w:t>extension of two years at DFATs discretion. The MC will define a DFAT approved team structure and recruit, train, mentor and performance manage</w:t>
      </w:r>
      <w:r w:rsidR="009C750B">
        <w:rPr>
          <w:lang w:val="en-GB"/>
        </w:rPr>
        <w:t xml:space="preserve"> the IFT.</w:t>
      </w:r>
    </w:p>
    <w:p w:rsidR="00073FD6" w:rsidRPr="009C750B" w:rsidRDefault="00073FD6" w:rsidP="009C750B">
      <w:pPr>
        <w:spacing w:before="0" w:after="0"/>
        <w:rPr>
          <w:sz w:val="16"/>
          <w:szCs w:val="16"/>
          <w:lang w:val="en-GB"/>
        </w:rPr>
      </w:pPr>
    </w:p>
    <w:p w:rsidR="009C750B" w:rsidRDefault="00073FD6" w:rsidP="00A3631F">
      <w:pPr>
        <w:spacing w:before="0" w:after="0"/>
        <w:rPr>
          <w:lang w:val="en-GB"/>
        </w:rPr>
      </w:pPr>
      <w:r w:rsidRPr="00571F0B">
        <w:rPr>
          <w:lang w:val="en-GB"/>
        </w:rPr>
        <w:t>The MC will maintain a direct strategic, performance management and quality assurance support role to the IFT through a nominated Contractors Representative. This will enable the MC to directly add value and to risk manage IF (IV)</w:t>
      </w:r>
      <w:r w:rsidR="00DD1CC9" w:rsidRPr="00571F0B">
        <w:rPr>
          <w:lang w:val="en-GB"/>
        </w:rPr>
        <w:t xml:space="preserve"> and support the Team Leader and IFT</w:t>
      </w:r>
      <w:r w:rsidRPr="00571F0B">
        <w:rPr>
          <w:lang w:val="en-GB"/>
        </w:rPr>
        <w:t>.</w:t>
      </w:r>
    </w:p>
    <w:p w:rsidR="00683175" w:rsidRDefault="00683175" w:rsidP="009C750B">
      <w:pPr>
        <w:spacing w:before="0" w:after="0"/>
        <w:rPr>
          <w:lang w:val="en-GB"/>
        </w:rPr>
      </w:pPr>
    </w:p>
    <w:p w:rsidR="00073FD6" w:rsidRPr="00571F0B" w:rsidRDefault="00A3631F" w:rsidP="009C750B">
      <w:pPr>
        <w:spacing w:before="0" w:after="0"/>
        <w:rPr>
          <w:lang w:val="en-GB"/>
        </w:rPr>
      </w:pPr>
      <w:r>
        <w:rPr>
          <w:lang w:val="en-GB"/>
        </w:rPr>
        <w:t xml:space="preserve">In summary the </w:t>
      </w:r>
      <w:r w:rsidR="00073FD6" w:rsidRPr="00571F0B">
        <w:rPr>
          <w:lang w:val="en-GB"/>
        </w:rPr>
        <w:t>MC will</w:t>
      </w:r>
      <w:r>
        <w:rPr>
          <w:lang w:val="en-GB"/>
        </w:rPr>
        <w:t xml:space="preserve"> deliver the following scope of requirements</w:t>
      </w:r>
      <w:r w:rsidR="00073FD6" w:rsidRPr="00571F0B">
        <w:rPr>
          <w:lang w:val="en-GB"/>
        </w:rPr>
        <w:t>:</w:t>
      </w:r>
    </w:p>
    <w:p w:rsidR="00A3631F" w:rsidRDefault="00A3631F" w:rsidP="00A82AAB">
      <w:pPr>
        <w:numPr>
          <w:ilvl w:val="0"/>
          <w:numId w:val="22"/>
        </w:numPr>
        <w:spacing w:before="0" w:after="0"/>
        <w:ind w:left="284" w:hanging="284"/>
        <w:rPr>
          <w:lang w:val="en-GB"/>
        </w:rPr>
      </w:pPr>
      <w:r>
        <w:rPr>
          <w:lang w:val="en-GB"/>
        </w:rPr>
        <w:t xml:space="preserve">Ensure </w:t>
      </w:r>
      <w:r w:rsidR="00835BA3">
        <w:rPr>
          <w:lang w:val="en-GB"/>
        </w:rPr>
        <w:t xml:space="preserve">the </w:t>
      </w:r>
      <w:r>
        <w:rPr>
          <w:lang w:val="en-GB"/>
        </w:rPr>
        <w:t>efficient and effective delivery of IF (IV) management and operations;</w:t>
      </w:r>
    </w:p>
    <w:p w:rsidR="00073FD6" w:rsidRDefault="00A3631F" w:rsidP="00A82AAB">
      <w:pPr>
        <w:numPr>
          <w:ilvl w:val="0"/>
          <w:numId w:val="22"/>
        </w:numPr>
        <w:spacing w:before="0" w:after="0"/>
        <w:ind w:left="284" w:hanging="284"/>
        <w:rPr>
          <w:lang w:val="en-GB"/>
        </w:rPr>
      </w:pPr>
      <w:r>
        <w:rPr>
          <w:lang w:val="en-GB"/>
        </w:rPr>
        <w:t>Establish and deliver a successful IF (IV) grant mechanism</w:t>
      </w:r>
      <w:r w:rsidR="00835BA3">
        <w:rPr>
          <w:lang w:val="en-GB"/>
        </w:rPr>
        <w:t xml:space="preserve"> and Innovation Fund mechanism</w:t>
      </w:r>
      <w:r>
        <w:rPr>
          <w:lang w:val="en-GB"/>
        </w:rPr>
        <w:t>;</w:t>
      </w:r>
    </w:p>
    <w:p w:rsidR="00A3631F" w:rsidRDefault="00A3631F" w:rsidP="00A82AAB">
      <w:pPr>
        <w:numPr>
          <w:ilvl w:val="0"/>
          <w:numId w:val="22"/>
        </w:numPr>
        <w:spacing w:before="0" w:after="0"/>
        <w:ind w:left="284" w:hanging="284"/>
        <w:rPr>
          <w:lang w:val="en-GB"/>
        </w:rPr>
      </w:pPr>
      <w:r>
        <w:rPr>
          <w:lang w:val="en-GB"/>
        </w:rPr>
        <w:t>Ensure that all governance mechanisms of IF (IV) are fully supported to be effective;</w:t>
      </w:r>
    </w:p>
    <w:p w:rsidR="00A3631F" w:rsidRDefault="00A3631F" w:rsidP="00A82AAB">
      <w:pPr>
        <w:numPr>
          <w:ilvl w:val="0"/>
          <w:numId w:val="22"/>
        </w:numPr>
        <w:spacing w:before="0" w:after="0"/>
        <w:ind w:left="284" w:hanging="284"/>
        <w:rPr>
          <w:lang w:val="en-GB"/>
        </w:rPr>
      </w:pPr>
      <w:r>
        <w:rPr>
          <w:lang w:val="en-GB"/>
        </w:rPr>
        <w:t>Ensure all monitoring and evaluation plans and systems are relevant and driv</w:t>
      </w:r>
      <w:r w:rsidR="00835BA3">
        <w:rPr>
          <w:lang w:val="en-GB"/>
        </w:rPr>
        <w:t xml:space="preserve">e </w:t>
      </w:r>
      <w:r>
        <w:rPr>
          <w:lang w:val="en-GB"/>
        </w:rPr>
        <w:t>IF (IV) to an MG approved end-of-program position through the PAF;</w:t>
      </w:r>
    </w:p>
    <w:p w:rsidR="00A3631F" w:rsidRDefault="00A3631F" w:rsidP="00A82AAB">
      <w:pPr>
        <w:numPr>
          <w:ilvl w:val="0"/>
          <w:numId w:val="22"/>
        </w:numPr>
        <w:spacing w:before="0" w:after="0"/>
        <w:ind w:left="284" w:hanging="284"/>
        <w:rPr>
          <w:lang w:val="en-GB"/>
        </w:rPr>
      </w:pPr>
      <w:r>
        <w:rPr>
          <w:lang w:val="en-GB"/>
        </w:rPr>
        <w:t xml:space="preserve">Ensure the delivery of all contracted deliverables as presented in </w:t>
      </w:r>
      <w:r w:rsidR="00835BA3">
        <w:rPr>
          <w:lang w:val="en-GB"/>
        </w:rPr>
        <w:t xml:space="preserve">Section 3 of </w:t>
      </w:r>
      <w:r>
        <w:rPr>
          <w:lang w:val="en-GB"/>
        </w:rPr>
        <w:t>the final Scope of Requirements;</w:t>
      </w:r>
    </w:p>
    <w:p w:rsidR="00A3631F" w:rsidRDefault="00A3631F" w:rsidP="00A82AAB">
      <w:pPr>
        <w:numPr>
          <w:ilvl w:val="0"/>
          <w:numId w:val="22"/>
        </w:numPr>
        <w:spacing w:before="0" w:after="0"/>
        <w:ind w:left="284" w:hanging="284"/>
        <w:rPr>
          <w:lang w:val="en-GB"/>
        </w:rPr>
      </w:pPr>
      <w:r>
        <w:rPr>
          <w:lang w:val="en-GB"/>
        </w:rPr>
        <w:t xml:space="preserve">Ensure that all meetings detailed in </w:t>
      </w:r>
      <w:r w:rsidR="00835BA3">
        <w:rPr>
          <w:lang w:val="en-GB"/>
        </w:rPr>
        <w:t xml:space="preserve">Section 4 of the </w:t>
      </w:r>
      <w:r>
        <w:rPr>
          <w:lang w:val="en-GB"/>
        </w:rPr>
        <w:t xml:space="preserve">final Scope of Requirements are supported, occur as specified and deliver their terms of reference; </w:t>
      </w:r>
    </w:p>
    <w:p w:rsidR="00A3631F" w:rsidRPr="00571F0B" w:rsidRDefault="00A3631F" w:rsidP="00A82AAB">
      <w:pPr>
        <w:numPr>
          <w:ilvl w:val="0"/>
          <w:numId w:val="22"/>
        </w:numPr>
        <w:spacing w:before="0" w:after="0"/>
        <w:ind w:left="284" w:hanging="284"/>
        <w:rPr>
          <w:lang w:val="en-GB"/>
        </w:rPr>
      </w:pPr>
      <w:r>
        <w:rPr>
          <w:lang w:val="en-GB"/>
        </w:rPr>
        <w:t>Ensure that the IFT structure is relevant, that confirmed positions descriptions exist for all positions and that all positions are filled by qualified people with relevantly experience and character to successfully deliver IF (IV)</w:t>
      </w:r>
      <w:r w:rsidR="00835BA3">
        <w:rPr>
          <w:lang w:val="en-GB"/>
        </w:rPr>
        <w:t>. The MC must ensure strong performance management of all IFT members</w:t>
      </w:r>
      <w:r>
        <w:rPr>
          <w:lang w:val="en-GB"/>
        </w:rPr>
        <w:t xml:space="preserve">. </w:t>
      </w:r>
    </w:p>
    <w:p w:rsidR="00073FD6" w:rsidRPr="00571F0B" w:rsidRDefault="00835BA3" w:rsidP="00A82AAB">
      <w:pPr>
        <w:numPr>
          <w:ilvl w:val="0"/>
          <w:numId w:val="22"/>
        </w:numPr>
        <w:spacing w:before="0" w:after="0"/>
        <w:ind w:left="284" w:hanging="284"/>
        <w:rPr>
          <w:lang w:val="en-GB"/>
        </w:rPr>
      </w:pPr>
      <w:r>
        <w:rPr>
          <w:lang w:val="en-GB"/>
        </w:rPr>
        <w:lastRenderedPageBreak/>
        <w:t xml:space="preserve">Ensure the </w:t>
      </w:r>
      <w:proofErr w:type="gramStart"/>
      <w:r>
        <w:rPr>
          <w:lang w:val="en-GB"/>
        </w:rPr>
        <w:t>delivery of all reports detailed in Section 6 of the final Scope of requirements are</w:t>
      </w:r>
      <w:proofErr w:type="gramEnd"/>
      <w:r>
        <w:rPr>
          <w:lang w:val="en-GB"/>
        </w:rPr>
        <w:t xml:space="preserve"> delivered on time and to satisfactory standards. </w:t>
      </w:r>
    </w:p>
    <w:p w:rsidR="00DA3C5A" w:rsidRDefault="00DA3C5A" w:rsidP="00073FD6">
      <w:pPr>
        <w:pStyle w:val="Caption"/>
        <w:rPr>
          <w:lang w:val="en-GB"/>
        </w:rPr>
      </w:pPr>
    </w:p>
    <w:p w:rsidR="00073FD6" w:rsidRPr="00571F0B" w:rsidRDefault="00073FD6" w:rsidP="00073FD6">
      <w:pPr>
        <w:pStyle w:val="Caption"/>
        <w:rPr>
          <w:lang w:val="en-GB"/>
        </w:rPr>
      </w:pPr>
      <w:bookmarkStart w:id="42" w:name="_Toc403037630"/>
      <w:r w:rsidRPr="00571F0B">
        <w:rPr>
          <w:lang w:val="en-GB"/>
        </w:rPr>
        <w:t xml:space="preserve">Table </w:t>
      </w:r>
      <w:r w:rsidR="00D3593A" w:rsidRPr="00571F0B">
        <w:rPr>
          <w:lang w:val="en-GB"/>
        </w:rPr>
        <w:fldChar w:fldCharType="begin"/>
      </w:r>
      <w:r w:rsidR="00D3593A" w:rsidRPr="00571F0B">
        <w:rPr>
          <w:lang w:val="en-GB"/>
        </w:rPr>
        <w:instrText xml:space="preserve"> SEQ Table \* ARABIC </w:instrText>
      </w:r>
      <w:r w:rsidR="00D3593A" w:rsidRPr="00571F0B">
        <w:rPr>
          <w:lang w:val="en-GB"/>
        </w:rPr>
        <w:fldChar w:fldCharType="separate"/>
      </w:r>
      <w:r w:rsidR="006C1E87">
        <w:rPr>
          <w:noProof/>
          <w:lang w:val="en-GB"/>
        </w:rPr>
        <w:t>8</w:t>
      </w:r>
      <w:r w:rsidR="00D3593A" w:rsidRPr="00571F0B">
        <w:rPr>
          <w:lang w:val="en-GB"/>
        </w:rPr>
        <w:fldChar w:fldCharType="end"/>
      </w:r>
      <w:r w:rsidR="00482032">
        <w:rPr>
          <w:lang w:val="en-GB"/>
        </w:rPr>
        <w:t>:</w:t>
      </w:r>
      <w:r w:rsidRPr="00571F0B">
        <w:rPr>
          <w:lang w:val="en-GB"/>
        </w:rPr>
        <w:t xml:space="preserve"> Key documentation to deliver</w:t>
      </w:r>
      <w:bookmarkEnd w:id="42"/>
    </w:p>
    <w:tbl>
      <w:tblPr>
        <w:tblStyle w:val="TableGrid"/>
        <w:tblW w:w="0" w:type="auto"/>
        <w:tblLook w:val="04A0" w:firstRow="1" w:lastRow="0" w:firstColumn="1" w:lastColumn="0" w:noHBand="0" w:noVBand="1"/>
      </w:tblPr>
      <w:tblGrid>
        <w:gridCol w:w="465"/>
        <w:gridCol w:w="5651"/>
        <w:gridCol w:w="1518"/>
        <w:gridCol w:w="1429"/>
      </w:tblGrid>
      <w:tr w:rsidR="003E1BBA" w:rsidRPr="00571F0B" w:rsidTr="00952984">
        <w:trPr>
          <w:tblHeader/>
        </w:trPr>
        <w:tc>
          <w:tcPr>
            <w:tcW w:w="6116" w:type="dxa"/>
            <w:gridSpan w:val="2"/>
            <w:shd w:val="clear" w:color="auto" w:fill="D6E3BC" w:themeFill="accent3" w:themeFillTint="66"/>
            <w:vAlign w:val="center"/>
          </w:tcPr>
          <w:p w:rsidR="003E1BBA" w:rsidRPr="003E1BBA" w:rsidRDefault="003E1BBA" w:rsidP="003E1BBA">
            <w:pPr>
              <w:spacing w:before="0" w:after="0"/>
              <w:jc w:val="center"/>
              <w:rPr>
                <w:rFonts w:ascii="Arial Narrow" w:hAnsi="Arial Narrow"/>
                <w:b/>
                <w:sz w:val="20"/>
                <w:lang w:val="en-GB"/>
              </w:rPr>
            </w:pPr>
            <w:r w:rsidRPr="003E1BBA">
              <w:rPr>
                <w:rFonts w:ascii="Arial Narrow" w:hAnsi="Arial Narrow"/>
                <w:b/>
                <w:sz w:val="20"/>
                <w:lang w:val="en-GB"/>
              </w:rPr>
              <w:t>Documentation</w:t>
            </w:r>
          </w:p>
        </w:tc>
        <w:tc>
          <w:tcPr>
            <w:tcW w:w="1518" w:type="dxa"/>
            <w:shd w:val="clear" w:color="auto" w:fill="D6E3BC" w:themeFill="accent3" w:themeFillTint="66"/>
          </w:tcPr>
          <w:p w:rsidR="003E1BBA" w:rsidRPr="003E1BBA" w:rsidRDefault="003E1BBA" w:rsidP="0062086E">
            <w:pPr>
              <w:spacing w:before="0" w:after="0"/>
              <w:jc w:val="center"/>
              <w:rPr>
                <w:rFonts w:ascii="Arial Narrow" w:hAnsi="Arial Narrow"/>
                <w:b/>
                <w:sz w:val="20"/>
                <w:lang w:val="en-GB"/>
              </w:rPr>
            </w:pPr>
            <w:r w:rsidRPr="003E1BBA">
              <w:rPr>
                <w:rFonts w:ascii="Arial Narrow" w:hAnsi="Arial Narrow"/>
                <w:b/>
                <w:sz w:val="20"/>
                <w:lang w:val="en-GB"/>
              </w:rPr>
              <w:t>Delivery Timeframe</w:t>
            </w:r>
          </w:p>
        </w:tc>
        <w:tc>
          <w:tcPr>
            <w:tcW w:w="1429" w:type="dxa"/>
            <w:shd w:val="clear" w:color="auto" w:fill="D6E3BC" w:themeFill="accent3" w:themeFillTint="66"/>
            <w:vAlign w:val="center"/>
          </w:tcPr>
          <w:p w:rsidR="003E1BBA" w:rsidRPr="003E1BBA" w:rsidRDefault="003E1BBA" w:rsidP="003E1BBA">
            <w:pPr>
              <w:spacing w:before="0" w:after="0"/>
              <w:jc w:val="center"/>
              <w:rPr>
                <w:rFonts w:ascii="Arial Narrow" w:hAnsi="Arial Narrow"/>
                <w:b/>
                <w:sz w:val="20"/>
                <w:lang w:val="en-GB"/>
              </w:rPr>
            </w:pPr>
            <w:r w:rsidRPr="003E1BBA">
              <w:rPr>
                <w:rFonts w:ascii="Arial Narrow" w:hAnsi="Arial Narrow"/>
                <w:b/>
                <w:sz w:val="20"/>
                <w:lang w:val="en-GB"/>
              </w:rPr>
              <w:t>Reviewed</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1</w:t>
            </w:r>
          </w:p>
        </w:tc>
        <w:tc>
          <w:tcPr>
            <w:tcW w:w="5651" w:type="dxa"/>
          </w:tcPr>
          <w:p w:rsidR="00BF3C4B" w:rsidRPr="003E1BBA" w:rsidRDefault="00BF3C4B" w:rsidP="00BF3C4B">
            <w:pPr>
              <w:spacing w:before="0" w:after="0"/>
              <w:rPr>
                <w:rFonts w:ascii="Arial Narrow" w:hAnsi="Arial Narrow"/>
                <w:sz w:val="20"/>
                <w:lang w:val="en-GB"/>
              </w:rPr>
            </w:pPr>
            <w:r w:rsidRPr="003E1BBA">
              <w:rPr>
                <w:rFonts w:ascii="Arial Narrow" w:hAnsi="Arial Narrow"/>
                <w:sz w:val="20"/>
                <w:lang w:val="en-GB"/>
              </w:rPr>
              <w:t>IF (IV) management structures and meeting schedules</w:t>
            </w:r>
          </w:p>
        </w:tc>
        <w:tc>
          <w:tcPr>
            <w:tcW w:w="1518" w:type="dxa"/>
          </w:tcPr>
          <w:p w:rsidR="00BF3C4B" w:rsidRPr="003E1BBA" w:rsidRDefault="00BF3C4B" w:rsidP="00BF3C4B">
            <w:pPr>
              <w:spacing w:before="0" w:after="0"/>
              <w:jc w:val="center"/>
              <w:rPr>
                <w:rFonts w:ascii="Arial Narrow" w:hAnsi="Arial Narrow"/>
                <w:sz w:val="20"/>
                <w:lang w:val="en-GB"/>
              </w:rPr>
            </w:pPr>
            <w:r w:rsidRPr="003E1BBA">
              <w:rPr>
                <w:rFonts w:ascii="Arial Narrow" w:hAnsi="Arial Narrow"/>
                <w:sz w:val="20"/>
                <w:lang w:val="en-GB"/>
              </w:rPr>
              <w:t>1 month</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Annually</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2</w:t>
            </w:r>
          </w:p>
        </w:tc>
        <w:tc>
          <w:tcPr>
            <w:tcW w:w="5651"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IF (IV) D</w:t>
            </w:r>
            <w:r w:rsidRPr="003E1BBA">
              <w:rPr>
                <w:rFonts w:ascii="Arial Narrow" w:hAnsi="Arial Narrow"/>
                <w:sz w:val="20"/>
                <w:lang w:val="en-GB"/>
              </w:rPr>
              <w:t>elivery Strategy</w:t>
            </w:r>
          </w:p>
        </w:tc>
        <w:tc>
          <w:tcPr>
            <w:tcW w:w="1518" w:type="dxa"/>
          </w:tcPr>
          <w:p w:rsidR="00BF3C4B" w:rsidRPr="003E1BBA" w:rsidRDefault="00BF3C4B" w:rsidP="00BF3C4B">
            <w:pPr>
              <w:spacing w:before="0" w:after="0"/>
              <w:jc w:val="center"/>
              <w:rPr>
                <w:rFonts w:ascii="Arial Narrow" w:hAnsi="Arial Narrow"/>
                <w:sz w:val="20"/>
                <w:lang w:val="en-GB"/>
              </w:rPr>
            </w:pPr>
            <w:r w:rsidRPr="003E1BBA">
              <w:rPr>
                <w:rFonts w:ascii="Arial Narrow" w:hAnsi="Arial Narrow"/>
                <w:sz w:val="20"/>
                <w:lang w:val="en-GB"/>
              </w:rPr>
              <w:t>2 months</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Annually</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3</w:t>
            </w:r>
          </w:p>
        </w:tc>
        <w:tc>
          <w:tcPr>
            <w:tcW w:w="5651" w:type="dxa"/>
          </w:tcPr>
          <w:p w:rsidR="00BF3C4B" w:rsidRPr="003E1BBA" w:rsidRDefault="00BF3C4B" w:rsidP="00BF3C4B">
            <w:pPr>
              <w:spacing w:before="0" w:after="0"/>
              <w:rPr>
                <w:rFonts w:ascii="Arial Narrow" w:hAnsi="Arial Narrow"/>
                <w:sz w:val="20"/>
                <w:lang w:val="en-GB"/>
              </w:rPr>
            </w:pPr>
            <w:r w:rsidRPr="003E1BBA">
              <w:rPr>
                <w:rFonts w:ascii="Arial Narrow" w:hAnsi="Arial Narrow"/>
                <w:sz w:val="20"/>
                <w:lang w:val="en-GB"/>
              </w:rPr>
              <w:t>Annual Plan</w:t>
            </w:r>
          </w:p>
        </w:tc>
        <w:tc>
          <w:tcPr>
            <w:tcW w:w="1518" w:type="dxa"/>
          </w:tcPr>
          <w:p w:rsidR="00BF3C4B" w:rsidRPr="003E1BBA" w:rsidRDefault="00BF3C4B" w:rsidP="00BF3C4B">
            <w:pPr>
              <w:spacing w:before="0" w:after="0"/>
              <w:jc w:val="center"/>
              <w:rPr>
                <w:rFonts w:ascii="Arial Narrow" w:hAnsi="Arial Narrow"/>
                <w:sz w:val="20"/>
                <w:lang w:val="en-GB"/>
              </w:rPr>
            </w:pPr>
            <w:r w:rsidRPr="003E1BBA">
              <w:rPr>
                <w:rFonts w:ascii="Arial Narrow" w:hAnsi="Arial Narrow"/>
                <w:sz w:val="20"/>
                <w:lang w:val="en-GB"/>
              </w:rPr>
              <w:t>2 months</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Annually</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4</w:t>
            </w:r>
          </w:p>
        </w:tc>
        <w:tc>
          <w:tcPr>
            <w:tcW w:w="5651" w:type="dxa"/>
          </w:tcPr>
          <w:p w:rsidR="00BF3C4B" w:rsidRPr="003E1BBA" w:rsidRDefault="00BF3C4B" w:rsidP="00BF3C4B">
            <w:pPr>
              <w:spacing w:before="0" w:after="0"/>
              <w:rPr>
                <w:rFonts w:ascii="Arial Narrow" w:hAnsi="Arial Narrow"/>
                <w:sz w:val="20"/>
                <w:lang w:val="en-GB"/>
              </w:rPr>
            </w:pPr>
            <w:r w:rsidRPr="003E1BBA">
              <w:rPr>
                <w:rFonts w:ascii="Arial Narrow" w:hAnsi="Arial Narrow"/>
                <w:sz w:val="20"/>
                <w:lang w:val="en-GB"/>
              </w:rPr>
              <w:t>Risk Management Plan</w:t>
            </w:r>
          </w:p>
        </w:tc>
        <w:tc>
          <w:tcPr>
            <w:tcW w:w="1518" w:type="dxa"/>
          </w:tcPr>
          <w:p w:rsidR="00BF3C4B" w:rsidRPr="003E1BBA" w:rsidRDefault="00BF3C4B" w:rsidP="00BF3C4B">
            <w:pPr>
              <w:spacing w:before="0" w:after="0"/>
              <w:jc w:val="center"/>
              <w:rPr>
                <w:rFonts w:ascii="Arial Narrow" w:hAnsi="Arial Narrow"/>
                <w:sz w:val="20"/>
                <w:lang w:val="en-GB"/>
              </w:rPr>
            </w:pPr>
            <w:r w:rsidRPr="003E1BBA">
              <w:rPr>
                <w:rFonts w:ascii="Arial Narrow" w:hAnsi="Arial Narrow"/>
                <w:sz w:val="20"/>
                <w:lang w:val="en-GB"/>
              </w:rPr>
              <w:t>2 months</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Quarterly</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5</w:t>
            </w:r>
          </w:p>
        </w:tc>
        <w:tc>
          <w:tcPr>
            <w:tcW w:w="5651"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Financial budget, expenditure variance analysis and p</w:t>
            </w:r>
            <w:r w:rsidRPr="003E1BBA">
              <w:rPr>
                <w:rFonts w:ascii="Arial Narrow" w:hAnsi="Arial Narrow"/>
                <w:sz w:val="20"/>
                <w:lang w:val="en-GB"/>
              </w:rPr>
              <w:t>ayment</w:t>
            </w:r>
            <w:r>
              <w:rPr>
                <w:rFonts w:ascii="Arial Narrow" w:hAnsi="Arial Narrow"/>
                <w:sz w:val="20"/>
                <w:lang w:val="en-GB"/>
              </w:rPr>
              <w:t xml:space="preserve"> p</w:t>
            </w:r>
            <w:r w:rsidRPr="003E1BBA">
              <w:rPr>
                <w:rFonts w:ascii="Arial Narrow" w:hAnsi="Arial Narrow"/>
                <w:sz w:val="20"/>
                <w:lang w:val="en-GB"/>
              </w:rPr>
              <w:t>redictions</w:t>
            </w:r>
          </w:p>
        </w:tc>
        <w:tc>
          <w:tcPr>
            <w:tcW w:w="1518" w:type="dxa"/>
          </w:tcPr>
          <w:p w:rsidR="00BF3C4B" w:rsidRPr="003E1BBA" w:rsidRDefault="00BF3C4B" w:rsidP="00BF3C4B">
            <w:pPr>
              <w:spacing w:before="0" w:after="0"/>
              <w:jc w:val="center"/>
              <w:rPr>
                <w:rFonts w:ascii="Arial Narrow" w:hAnsi="Arial Narrow"/>
                <w:sz w:val="20"/>
                <w:lang w:val="en-GB"/>
              </w:rPr>
            </w:pPr>
            <w:r>
              <w:rPr>
                <w:rFonts w:ascii="Arial Narrow" w:hAnsi="Arial Narrow"/>
                <w:sz w:val="20"/>
                <w:lang w:val="en-GB"/>
              </w:rPr>
              <w:t xml:space="preserve">3 </w:t>
            </w:r>
            <w:r w:rsidRPr="003E1BBA">
              <w:rPr>
                <w:rFonts w:ascii="Arial Narrow" w:hAnsi="Arial Narrow"/>
                <w:sz w:val="20"/>
                <w:lang w:val="en-GB"/>
              </w:rPr>
              <w:t>months</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Monthly</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6</w:t>
            </w:r>
          </w:p>
        </w:tc>
        <w:tc>
          <w:tcPr>
            <w:tcW w:w="5651"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 xml:space="preserve">Management Group Terms of Reference and </w:t>
            </w:r>
            <w:r w:rsidRPr="003E1BBA">
              <w:rPr>
                <w:rFonts w:ascii="Arial Narrow" w:hAnsi="Arial Narrow"/>
                <w:sz w:val="20"/>
                <w:lang w:val="en-GB"/>
              </w:rPr>
              <w:t>Charter</w:t>
            </w:r>
          </w:p>
        </w:tc>
        <w:tc>
          <w:tcPr>
            <w:tcW w:w="1518" w:type="dxa"/>
          </w:tcPr>
          <w:p w:rsidR="00BF3C4B" w:rsidRPr="003E1BBA" w:rsidRDefault="00BF3C4B" w:rsidP="00BF3C4B">
            <w:pPr>
              <w:spacing w:before="0" w:after="0"/>
              <w:jc w:val="center"/>
              <w:rPr>
                <w:rFonts w:ascii="Arial Narrow" w:hAnsi="Arial Narrow"/>
                <w:sz w:val="20"/>
                <w:lang w:val="en-GB"/>
              </w:rPr>
            </w:pPr>
            <w:r w:rsidRPr="003E1BBA">
              <w:rPr>
                <w:rFonts w:ascii="Arial Narrow" w:hAnsi="Arial Narrow"/>
                <w:sz w:val="20"/>
                <w:lang w:val="en-GB"/>
              </w:rPr>
              <w:t>3 months</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Annually</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7</w:t>
            </w:r>
          </w:p>
        </w:tc>
        <w:tc>
          <w:tcPr>
            <w:tcW w:w="5651" w:type="dxa"/>
          </w:tcPr>
          <w:p w:rsidR="00BF3C4B" w:rsidRPr="003E1BBA" w:rsidRDefault="00BF3C4B" w:rsidP="00BF3C4B">
            <w:pPr>
              <w:spacing w:before="0" w:after="0"/>
              <w:rPr>
                <w:rFonts w:ascii="Arial Narrow" w:hAnsi="Arial Narrow"/>
                <w:sz w:val="20"/>
                <w:lang w:val="en-GB"/>
              </w:rPr>
            </w:pPr>
            <w:r w:rsidRPr="003E1BBA">
              <w:rPr>
                <w:rFonts w:ascii="Arial Narrow" w:hAnsi="Arial Narrow"/>
                <w:sz w:val="20"/>
                <w:lang w:val="en-GB"/>
              </w:rPr>
              <w:t>Financial Management Operations Manual</w:t>
            </w:r>
          </w:p>
        </w:tc>
        <w:tc>
          <w:tcPr>
            <w:tcW w:w="1518" w:type="dxa"/>
          </w:tcPr>
          <w:p w:rsidR="00BF3C4B" w:rsidRPr="003E1BBA" w:rsidRDefault="00BF3C4B" w:rsidP="00BF3C4B">
            <w:pPr>
              <w:spacing w:before="0" w:after="0"/>
              <w:jc w:val="center"/>
              <w:rPr>
                <w:rFonts w:ascii="Arial Narrow" w:hAnsi="Arial Narrow"/>
                <w:sz w:val="20"/>
                <w:lang w:val="en-GB"/>
              </w:rPr>
            </w:pPr>
            <w:r w:rsidRPr="003E1BBA">
              <w:rPr>
                <w:rFonts w:ascii="Arial Narrow" w:hAnsi="Arial Narrow"/>
                <w:sz w:val="20"/>
                <w:lang w:val="en-GB"/>
              </w:rPr>
              <w:t>3 months</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Annually</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8</w:t>
            </w:r>
          </w:p>
        </w:tc>
        <w:tc>
          <w:tcPr>
            <w:tcW w:w="5651" w:type="dxa"/>
          </w:tcPr>
          <w:p w:rsidR="00BF3C4B" w:rsidRPr="003E1BBA" w:rsidRDefault="00BF3C4B" w:rsidP="00BF3C4B">
            <w:pPr>
              <w:spacing w:before="0" w:after="0"/>
              <w:rPr>
                <w:rFonts w:ascii="Arial Narrow" w:hAnsi="Arial Narrow"/>
                <w:sz w:val="20"/>
                <w:lang w:val="en-GB"/>
              </w:rPr>
            </w:pPr>
            <w:r w:rsidRPr="003E1BBA">
              <w:rPr>
                <w:rFonts w:ascii="Arial Narrow" w:hAnsi="Arial Narrow"/>
                <w:sz w:val="20"/>
                <w:lang w:val="en-GB"/>
              </w:rPr>
              <w:t>Evaluation of previous IF projects</w:t>
            </w:r>
          </w:p>
        </w:tc>
        <w:tc>
          <w:tcPr>
            <w:tcW w:w="1518" w:type="dxa"/>
          </w:tcPr>
          <w:p w:rsidR="00BF3C4B" w:rsidRPr="003E1BBA" w:rsidRDefault="00BF3C4B" w:rsidP="00BF3C4B">
            <w:pPr>
              <w:spacing w:before="0" w:after="0"/>
              <w:jc w:val="center"/>
              <w:rPr>
                <w:rFonts w:ascii="Arial Narrow" w:hAnsi="Arial Narrow"/>
                <w:sz w:val="20"/>
                <w:lang w:val="en-GB"/>
              </w:rPr>
            </w:pPr>
            <w:r>
              <w:rPr>
                <w:rFonts w:ascii="Arial Narrow" w:hAnsi="Arial Narrow"/>
                <w:sz w:val="20"/>
                <w:lang w:val="en-GB"/>
              </w:rPr>
              <w:t>5</w:t>
            </w:r>
            <w:r w:rsidRPr="003E1BBA">
              <w:rPr>
                <w:rFonts w:ascii="Arial Narrow" w:hAnsi="Arial Narrow"/>
                <w:sz w:val="20"/>
                <w:lang w:val="en-GB"/>
              </w:rPr>
              <w:t xml:space="preserve"> months</w:t>
            </w:r>
          </w:p>
        </w:tc>
        <w:tc>
          <w:tcPr>
            <w:tcW w:w="1429" w:type="dxa"/>
          </w:tcPr>
          <w:p w:rsidR="00BF3C4B" w:rsidRPr="003E1BBA" w:rsidRDefault="00BF3C4B" w:rsidP="00BF3C4B">
            <w:pPr>
              <w:spacing w:before="0" w:after="0"/>
              <w:jc w:val="left"/>
              <w:rPr>
                <w:rFonts w:ascii="Arial Narrow" w:hAnsi="Arial Narrow"/>
                <w:sz w:val="20"/>
                <w:lang w:val="en-GB"/>
              </w:rPr>
            </w:pP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9</w:t>
            </w:r>
          </w:p>
        </w:tc>
        <w:tc>
          <w:tcPr>
            <w:tcW w:w="5651"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Monitoring and Evaluation P</w:t>
            </w:r>
            <w:r w:rsidRPr="003E1BBA">
              <w:rPr>
                <w:rFonts w:ascii="Arial Narrow" w:hAnsi="Arial Narrow"/>
                <w:sz w:val="20"/>
                <w:lang w:val="en-GB"/>
              </w:rPr>
              <w:t>lan</w:t>
            </w:r>
          </w:p>
        </w:tc>
        <w:tc>
          <w:tcPr>
            <w:tcW w:w="1518" w:type="dxa"/>
          </w:tcPr>
          <w:p w:rsidR="00BF3C4B" w:rsidRPr="003E1BBA" w:rsidRDefault="00BF3C4B" w:rsidP="00BF3C4B">
            <w:pPr>
              <w:spacing w:before="0" w:after="0"/>
              <w:jc w:val="center"/>
              <w:rPr>
                <w:rFonts w:ascii="Arial Narrow" w:hAnsi="Arial Narrow"/>
                <w:sz w:val="20"/>
                <w:lang w:val="en-GB"/>
              </w:rPr>
            </w:pPr>
            <w:r>
              <w:rPr>
                <w:rFonts w:ascii="Arial Narrow" w:hAnsi="Arial Narrow"/>
                <w:sz w:val="20"/>
                <w:lang w:val="en-GB"/>
              </w:rPr>
              <w:t>4</w:t>
            </w:r>
            <w:r w:rsidRPr="003E1BBA">
              <w:rPr>
                <w:rFonts w:ascii="Arial Narrow" w:hAnsi="Arial Narrow"/>
                <w:sz w:val="20"/>
                <w:lang w:val="en-GB"/>
              </w:rPr>
              <w:t xml:space="preserve"> months</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Annually</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10</w:t>
            </w:r>
          </w:p>
        </w:tc>
        <w:tc>
          <w:tcPr>
            <w:tcW w:w="5651" w:type="dxa"/>
          </w:tcPr>
          <w:p w:rsidR="00BF3C4B" w:rsidRPr="003E1BBA" w:rsidRDefault="00BF3C4B" w:rsidP="00BF3C4B">
            <w:pPr>
              <w:spacing w:before="0" w:after="0"/>
              <w:rPr>
                <w:rFonts w:ascii="Arial Narrow" w:hAnsi="Arial Narrow"/>
                <w:sz w:val="20"/>
                <w:lang w:val="en-GB"/>
              </w:rPr>
            </w:pPr>
            <w:r w:rsidRPr="003E1BBA">
              <w:rPr>
                <w:rFonts w:ascii="Arial Narrow" w:hAnsi="Arial Narrow"/>
                <w:sz w:val="20"/>
                <w:lang w:val="en-GB"/>
              </w:rPr>
              <w:t>Confirmed Incentive Fund Performance Assessment Framework</w:t>
            </w:r>
          </w:p>
        </w:tc>
        <w:tc>
          <w:tcPr>
            <w:tcW w:w="1518" w:type="dxa"/>
          </w:tcPr>
          <w:p w:rsidR="00BF3C4B" w:rsidRPr="003E1BBA" w:rsidRDefault="00BF3C4B" w:rsidP="00BF3C4B">
            <w:pPr>
              <w:spacing w:before="0" w:after="0"/>
              <w:jc w:val="center"/>
              <w:rPr>
                <w:rFonts w:ascii="Arial Narrow" w:hAnsi="Arial Narrow"/>
                <w:sz w:val="20"/>
                <w:lang w:val="en-GB"/>
              </w:rPr>
            </w:pPr>
            <w:r w:rsidRPr="003E1BBA">
              <w:rPr>
                <w:rFonts w:ascii="Arial Narrow" w:hAnsi="Arial Narrow"/>
                <w:sz w:val="20"/>
                <w:lang w:val="en-GB"/>
              </w:rPr>
              <w:t>4 months</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Annually</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11</w:t>
            </w:r>
          </w:p>
        </w:tc>
        <w:tc>
          <w:tcPr>
            <w:tcW w:w="5651" w:type="dxa"/>
          </w:tcPr>
          <w:p w:rsidR="00BF3C4B" w:rsidRPr="003E1BBA" w:rsidRDefault="00BF3C4B" w:rsidP="00BF3C4B">
            <w:pPr>
              <w:spacing w:before="0" w:after="0"/>
              <w:rPr>
                <w:rFonts w:ascii="Arial Narrow" w:hAnsi="Arial Narrow"/>
                <w:sz w:val="20"/>
                <w:lang w:val="en-GB"/>
              </w:rPr>
            </w:pPr>
            <w:r w:rsidRPr="003E1BBA">
              <w:rPr>
                <w:rFonts w:ascii="Arial Narrow" w:hAnsi="Arial Narrow"/>
                <w:sz w:val="20"/>
                <w:lang w:val="en-GB"/>
              </w:rPr>
              <w:t>Confirmed Incentive Fund Logic</w:t>
            </w:r>
          </w:p>
        </w:tc>
        <w:tc>
          <w:tcPr>
            <w:tcW w:w="1518" w:type="dxa"/>
          </w:tcPr>
          <w:p w:rsidR="00BF3C4B" w:rsidRPr="003E1BBA" w:rsidRDefault="00BF3C4B" w:rsidP="00BF3C4B">
            <w:pPr>
              <w:spacing w:before="0" w:after="0"/>
              <w:jc w:val="center"/>
              <w:rPr>
                <w:rFonts w:ascii="Arial Narrow" w:hAnsi="Arial Narrow"/>
                <w:sz w:val="20"/>
                <w:lang w:val="en-GB"/>
              </w:rPr>
            </w:pPr>
            <w:r w:rsidRPr="003E1BBA">
              <w:rPr>
                <w:rFonts w:ascii="Arial Narrow" w:hAnsi="Arial Narrow"/>
                <w:sz w:val="20"/>
                <w:lang w:val="en-GB"/>
              </w:rPr>
              <w:t>4 months</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Annually</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12</w:t>
            </w:r>
          </w:p>
        </w:tc>
        <w:tc>
          <w:tcPr>
            <w:tcW w:w="5651" w:type="dxa"/>
          </w:tcPr>
          <w:p w:rsidR="00BF3C4B" w:rsidRPr="003E1BBA" w:rsidRDefault="00BF3C4B" w:rsidP="00BF3C4B">
            <w:pPr>
              <w:spacing w:before="0" w:after="0"/>
              <w:rPr>
                <w:rFonts w:ascii="Arial Narrow" w:hAnsi="Arial Narrow"/>
                <w:sz w:val="20"/>
                <w:lang w:val="en-GB"/>
              </w:rPr>
            </w:pPr>
            <w:r w:rsidRPr="003E1BBA">
              <w:rPr>
                <w:rFonts w:ascii="Arial Narrow" w:hAnsi="Arial Narrow"/>
                <w:sz w:val="20"/>
                <w:lang w:val="en-GB"/>
              </w:rPr>
              <w:t>Public Relations Strategy and Communications Plan</w:t>
            </w:r>
          </w:p>
        </w:tc>
        <w:tc>
          <w:tcPr>
            <w:tcW w:w="1518" w:type="dxa"/>
          </w:tcPr>
          <w:p w:rsidR="00BF3C4B" w:rsidRPr="003E1BBA" w:rsidRDefault="00BF3C4B" w:rsidP="00BF3C4B">
            <w:pPr>
              <w:spacing w:before="0" w:after="0"/>
              <w:jc w:val="center"/>
              <w:rPr>
                <w:rFonts w:ascii="Arial Narrow" w:hAnsi="Arial Narrow"/>
                <w:sz w:val="20"/>
                <w:lang w:val="en-GB"/>
              </w:rPr>
            </w:pPr>
            <w:r>
              <w:rPr>
                <w:rFonts w:ascii="Arial Narrow" w:hAnsi="Arial Narrow"/>
                <w:sz w:val="20"/>
                <w:lang w:val="en-GB"/>
              </w:rPr>
              <w:t>4</w:t>
            </w:r>
            <w:r w:rsidRPr="003E1BBA">
              <w:rPr>
                <w:rFonts w:ascii="Arial Narrow" w:hAnsi="Arial Narrow"/>
                <w:sz w:val="20"/>
                <w:lang w:val="en-GB"/>
              </w:rPr>
              <w:t xml:space="preserve"> months</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6 Monthly</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13</w:t>
            </w:r>
          </w:p>
        </w:tc>
        <w:tc>
          <w:tcPr>
            <w:tcW w:w="5651" w:type="dxa"/>
          </w:tcPr>
          <w:p w:rsidR="00BF3C4B" w:rsidRPr="003E1BBA" w:rsidRDefault="00BF3C4B" w:rsidP="00BF3C4B">
            <w:pPr>
              <w:spacing w:before="0" w:after="0"/>
              <w:rPr>
                <w:rFonts w:ascii="Arial Narrow" w:hAnsi="Arial Narrow"/>
                <w:sz w:val="20"/>
                <w:lang w:val="en-GB"/>
              </w:rPr>
            </w:pPr>
            <w:r w:rsidRPr="003E1BBA">
              <w:rPr>
                <w:rFonts w:ascii="Arial Narrow" w:hAnsi="Arial Narrow"/>
                <w:sz w:val="20"/>
                <w:lang w:val="en-GB"/>
              </w:rPr>
              <w:t>Review and update the Information Book and procedures</w:t>
            </w:r>
          </w:p>
        </w:tc>
        <w:tc>
          <w:tcPr>
            <w:tcW w:w="1518" w:type="dxa"/>
          </w:tcPr>
          <w:p w:rsidR="00BF3C4B" w:rsidRPr="003E1BBA" w:rsidRDefault="00BF3C4B" w:rsidP="00BF3C4B">
            <w:pPr>
              <w:spacing w:before="0" w:after="0"/>
              <w:jc w:val="center"/>
              <w:rPr>
                <w:rFonts w:ascii="Arial Narrow" w:hAnsi="Arial Narrow"/>
                <w:sz w:val="20"/>
                <w:lang w:val="en-GB"/>
              </w:rPr>
            </w:pPr>
            <w:r w:rsidRPr="003E1BBA">
              <w:rPr>
                <w:rFonts w:ascii="Arial Narrow" w:hAnsi="Arial Narrow"/>
                <w:sz w:val="20"/>
                <w:lang w:val="en-GB"/>
              </w:rPr>
              <w:t>4 months</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Annually</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14</w:t>
            </w:r>
          </w:p>
        </w:tc>
        <w:tc>
          <w:tcPr>
            <w:tcW w:w="5651" w:type="dxa"/>
          </w:tcPr>
          <w:p w:rsidR="00BF3C4B" w:rsidRPr="003E1BBA" w:rsidRDefault="00BF3C4B" w:rsidP="00BF3C4B">
            <w:pPr>
              <w:spacing w:before="0" w:after="0"/>
              <w:rPr>
                <w:rFonts w:ascii="Arial Narrow" w:hAnsi="Arial Narrow"/>
                <w:sz w:val="20"/>
                <w:lang w:val="en-GB"/>
              </w:rPr>
            </w:pPr>
            <w:r w:rsidRPr="003E1BBA">
              <w:rPr>
                <w:rFonts w:ascii="Arial Narrow" w:hAnsi="Arial Narrow"/>
                <w:sz w:val="20"/>
                <w:lang w:val="en-GB"/>
              </w:rPr>
              <w:t xml:space="preserve">Gender Equality </w:t>
            </w:r>
            <w:r>
              <w:rPr>
                <w:rFonts w:ascii="Arial Narrow" w:hAnsi="Arial Narrow"/>
                <w:sz w:val="20"/>
                <w:lang w:val="en-GB"/>
              </w:rPr>
              <w:t xml:space="preserve">Action </w:t>
            </w:r>
            <w:r w:rsidRPr="003E1BBA">
              <w:rPr>
                <w:rFonts w:ascii="Arial Narrow" w:hAnsi="Arial Narrow"/>
                <w:sz w:val="20"/>
                <w:lang w:val="en-GB"/>
              </w:rPr>
              <w:t>Plan linked to Pacific Women</w:t>
            </w:r>
          </w:p>
        </w:tc>
        <w:tc>
          <w:tcPr>
            <w:tcW w:w="1518" w:type="dxa"/>
          </w:tcPr>
          <w:p w:rsidR="00BF3C4B" w:rsidRPr="003E1BBA" w:rsidRDefault="00BF3C4B" w:rsidP="00BF3C4B">
            <w:pPr>
              <w:spacing w:before="0" w:after="0"/>
              <w:jc w:val="center"/>
              <w:rPr>
                <w:rFonts w:ascii="Arial Narrow" w:hAnsi="Arial Narrow"/>
                <w:sz w:val="20"/>
                <w:lang w:val="en-GB"/>
              </w:rPr>
            </w:pPr>
            <w:r w:rsidRPr="003E1BBA">
              <w:rPr>
                <w:rFonts w:ascii="Arial Narrow" w:hAnsi="Arial Narrow"/>
                <w:sz w:val="20"/>
                <w:lang w:val="en-GB"/>
              </w:rPr>
              <w:t>6 months</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Annually</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15</w:t>
            </w:r>
          </w:p>
        </w:tc>
        <w:tc>
          <w:tcPr>
            <w:tcW w:w="5651" w:type="dxa"/>
          </w:tcPr>
          <w:p w:rsidR="00BF3C4B" w:rsidRPr="003E1BBA" w:rsidRDefault="00BF3C4B" w:rsidP="00BF3C4B">
            <w:pPr>
              <w:spacing w:before="0" w:after="0"/>
              <w:rPr>
                <w:rFonts w:ascii="Arial Narrow" w:hAnsi="Arial Narrow"/>
                <w:sz w:val="20"/>
                <w:lang w:val="en-GB"/>
              </w:rPr>
            </w:pPr>
            <w:r w:rsidRPr="003E1BBA">
              <w:rPr>
                <w:rFonts w:ascii="Arial Narrow" w:hAnsi="Arial Narrow"/>
                <w:sz w:val="20"/>
                <w:lang w:val="en-GB"/>
              </w:rPr>
              <w:t>Social Inclusion</w:t>
            </w:r>
            <w:r>
              <w:rPr>
                <w:rFonts w:ascii="Arial Narrow" w:hAnsi="Arial Narrow"/>
                <w:sz w:val="20"/>
                <w:lang w:val="en-GB"/>
              </w:rPr>
              <w:t xml:space="preserve"> Action</w:t>
            </w:r>
            <w:r w:rsidRPr="003E1BBA">
              <w:rPr>
                <w:rFonts w:ascii="Arial Narrow" w:hAnsi="Arial Narrow"/>
                <w:sz w:val="20"/>
                <w:lang w:val="en-GB"/>
              </w:rPr>
              <w:t xml:space="preserve"> Plan</w:t>
            </w:r>
          </w:p>
        </w:tc>
        <w:tc>
          <w:tcPr>
            <w:tcW w:w="1518" w:type="dxa"/>
          </w:tcPr>
          <w:p w:rsidR="00BF3C4B" w:rsidRPr="003E1BBA" w:rsidRDefault="00BF3C4B" w:rsidP="00BF3C4B">
            <w:pPr>
              <w:spacing w:before="0" w:after="0"/>
              <w:jc w:val="center"/>
              <w:rPr>
                <w:rFonts w:ascii="Arial Narrow" w:hAnsi="Arial Narrow"/>
                <w:sz w:val="20"/>
                <w:lang w:val="en-GB"/>
              </w:rPr>
            </w:pPr>
            <w:r w:rsidRPr="003E1BBA">
              <w:rPr>
                <w:rFonts w:ascii="Arial Narrow" w:hAnsi="Arial Narrow"/>
                <w:sz w:val="20"/>
                <w:lang w:val="en-GB"/>
              </w:rPr>
              <w:t xml:space="preserve">6 months </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Annually</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16</w:t>
            </w:r>
          </w:p>
        </w:tc>
        <w:tc>
          <w:tcPr>
            <w:tcW w:w="5651" w:type="dxa"/>
          </w:tcPr>
          <w:p w:rsidR="00BF3C4B" w:rsidRPr="003E1BBA" w:rsidRDefault="00BF3C4B" w:rsidP="00BF3C4B">
            <w:pPr>
              <w:spacing w:before="0" w:after="0"/>
              <w:rPr>
                <w:rFonts w:ascii="Arial Narrow" w:hAnsi="Arial Narrow"/>
                <w:sz w:val="20"/>
                <w:lang w:val="en-GB"/>
              </w:rPr>
            </w:pPr>
            <w:r w:rsidRPr="003E1BBA">
              <w:rPr>
                <w:rFonts w:ascii="Arial Narrow" w:hAnsi="Arial Narrow"/>
                <w:sz w:val="20"/>
                <w:lang w:val="en-GB"/>
              </w:rPr>
              <w:t>Six monthly progress reports</w:t>
            </w:r>
          </w:p>
        </w:tc>
        <w:tc>
          <w:tcPr>
            <w:tcW w:w="1518" w:type="dxa"/>
          </w:tcPr>
          <w:p w:rsidR="00BF3C4B" w:rsidRPr="003E1BBA" w:rsidRDefault="00BF3C4B" w:rsidP="00BF3C4B">
            <w:pPr>
              <w:spacing w:before="0" w:after="0"/>
              <w:jc w:val="center"/>
              <w:rPr>
                <w:rFonts w:ascii="Arial Narrow" w:hAnsi="Arial Narrow"/>
                <w:sz w:val="20"/>
                <w:lang w:val="en-GB"/>
              </w:rPr>
            </w:pPr>
            <w:r w:rsidRPr="003E1BBA">
              <w:rPr>
                <w:rFonts w:ascii="Arial Narrow" w:hAnsi="Arial Narrow"/>
                <w:sz w:val="20"/>
                <w:lang w:val="en-GB"/>
              </w:rPr>
              <w:t>6 months</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6 Monthly</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17</w:t>
            </w:r>
          </w:p>
        </w:tc>
        <w:tc>
          <w:tcPr>
            <w:tcW w:w="5651" w:type="dxa"/>
          </w:tcPr>
          <w:p w:rsidR="00BF3C4B" w:rsidRPr="003E1BBA" w:rsidRDefault="00B548D2" w:rsidP="00B548D2">
            <w:pPr>
              <w:spacing w:before="0" w:after="0"/>
              <w:rPr>
                <w:rFonts w:ascii="Arial Narrow" w:hAnsi="Arial Narrow"/>
                <w:sz w:val="20"/>
                <w:lang w:val="en-GB"/>
              </w:rPr>
            </w:pPr>
            <w:r>
              <w:rPr>
                <w:rFonts w:ascii="Arial Narrow" w:hAnsi="Arial Narrow"/>
                <w:sz w:val="20"/>
                <w:lang w:val="en-GB"/>
              </w:rPr>
              <w:t>Grievance m</w:t>
            </w:r>
            <w:r w:rsidR="00BF3C4B" w:rsidRPr="003E1BBA">
              <w:rPr>
                <w:rFonts w:ascii="Arial Narrow" w:hAnsi="Arial Narrow"/>
                <w:sz w:val="20"/>
                <w:lang w:val="en-GB"/>
              </w:rPr>
              <w:t xml:space="preserve">echanism </w:t>
            </w:r>
            <w:r>
              <w:rPr>
                <w:rFonts w:ascii="Arial Narrow" w:hAnsi="Arial Narrow"/>
                <w:sz w:val="20"/>
                <w:lang w:val="en-GB"/>
              </w:rPr>
              <w:t>operating manual</w:t>
            </w:r>
          </w:p>
        </w:tc>
        <w:tc>
          <w:tcPr>
            <w:tcW w:w="1518" w:type="dxa"/>
          </w:tcPr>
          <w:p w:rsidR="00BF3C4B" w:rsidRPr="003E1BBA" w:rsidRDefault="00BF3C4B" w:rsidP="00BF3C4B">
            <w:pPr>
              <w:spacing w:before="0" w:after="0"/>
              <w:jc w:val="center"/>
              <w:rPr>
                <w:rFonts w:ascii="Arial Narrow" w:hAnsi="Arial Narrow"/>
                <w:sz w:val="20"/>
                <w:lang w:val="en-GB"/>
              </w:rPr>
            </w:pPr>
            <w:r w:rsidRPr="003E1BBA">
              <w:rPr>
                <w:rFonts w:ascii="Arial Narrow" w:hAnsi="Arial Narrow"/>
                <w:sz w:val="20"/>
                <w:lang w:val="en-GB"/>
              </w:rPr>
              <w:t>6 months</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Annually</w:t>
            </w: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18</w:t>
            </w:r>
          </w:p>
        </w:tc>
        <w:tc>
          <w:tcPr>
            <w:tcW w:w="5651" w:type="dxa"/>
          </w:tcPr>
          <w:p w:rsidR="00BF3C4B" w:rsidRPr="003E1BBA" w:rsidRDefault="00BF3C4B" w:rsidP="00BF3C4B">
            <w:pPr>
              <w:spacing w:before="0" w:after="0"/>
              <w:rPr>
                <w:rFonts w:ascii="Arial Narrow" w:hAnsi="Arial Narrow"/>
                <w:sz w:val="20"/>
                <w:lang w:val="en-GB"/>
              </w:rPr>
            </w:pPr>
            <w:r w:rsidRPr="003E1BBA">
              <w:rPr>
                <w:rFonts w:ascii="Arial Narrow" w:hAnsi="Arial Narrow"/>
                <w:sz w:val="20"/>
                <w:lang w:val="en-GB"/>
              </w:rPr>
              <w:t xml:space="preserve">Design </w:t>
            </w:r>
            <w:r>
              <w:rPr>
                <w:rFonts w:ascii="Arial Narrow" w:hAnsi="Arial Narrow"/>
                <w:sz w:val="20"/>
                <w:lang w:val="en-GB"/>
              </w:rPr>
              <w:t>confirmation for</w:t>
            </w:r>
            <w:r w:rsidRPr="003E1BBA">
              <w:rPr>
                <w:rFonts w:ascii="Arial Narrow" w:hAnsi="Arial Narrow"/>
                <w:sz w:val="20"/>
                <w:lang w:val="en-GB"/>
              </w:rPr>
              <w:t xml:space="preserve"> </w:t>
            </w:r>
            <w:r>
              <w:rPr>
                <w:rFonts w:ascii="Arial Narrow" w:hAnsi="Arial Narrow"/>
                <w:sz w:val="20"/>
                <w:lang w:val="en-GB"/>
              </w:rPr>
              <w:t xml:space="preserve">the </w:t>
            </w:r>
            <w:r w:rsidRPr="003E1BBA">
              <w:rPr>
                <w:rFonts w:ascii="Arial Narrow" w:hAnsi="Arial Narrow"/>
                <w:sz w:val="20"/>
                <w:lang w:val="en-GB"/>
              </w:rPr>
              <w:t>Innovation Fund</w:t>
            </w:r>
          </w:p>
        </w:tc>
        <w:tc>
          <w:tcPr>
            <w:tcW w:w="1518" w:type="dxa"/>
          </w:tcPr>
          <w:p w:rsidR="00BF3C4B" w:rsidRPr="003E1BBA" w:rsidRDefault="00BF3C4B" w:rsidP="00BF3C4B">
            <w:pPr>
              <w:spacing w:before="0" w:after="0"/>
              <w:jc w:val="center"/>
              <w:rPr>
                <w:rFonts w:ascii="Arial Narrow" w:hAnsi="Arial Narrow"/>
                <w:sz w:val="20"/>
                <w:lang w:val="en-GB"/>
              </w:rPr>
            </w:pPr>
            <w:r>
              <w:rPr>
                <w:rFonts w:ascii="Arial Narrow" w:hAnsi="Arial Narrow"/>
                <w:sz w:val="20"/>
                <w:lang w:val="en-GB"/>
              </w:rPr>
              <w:t>8</w:t>
            </w:r>
            <w:r w:rsidRPr="003E1BBA">
              <w:rPr>
                <w:rFonts w:ascii="Arial Narrow" w:hAnsi="Arial Narrow"/>
                <w:sz w:val="20"/>
                <w:lang w:val="en-GB"/>
              </w:rPr>
              <w:t xml:space="preserve"> months</w:t>
            </w:r>
          </w:p>
        </w:tc>
        <w:tc>
          <w:tcPr>
            <w:tcW w:w="1429" w:type="dxa"/>
          </w:tcPr>
          <w:p w:rsidR="00BF3C4B" w:rsidRPr="003E1BBA" w:rsidRDefault="00BF3C4B" w:rsidP="00BF3C4B">
            <w:pPr>
              <w:spacing w:before="0" w:after="0"/>
              <w:jc w:val="left"/>
              <w:rPr>
                <w:rFonts w:ascii="Arial Narrow" w:hAnsi="Arial Narrow"/>
                <w:sz w:val="20"/>
                <w:lang w:val="en-GB"/>
              </w:rPr>
            </w:pPr>
          </w:p>
        </w:tc>
      </w:tr>
      <w:tr w:rsidR="00BF3C4B" w:rsidRPr="00571F0B" w:rsidTr="00BF3C4B">
        <w:trPr>
          <w:trHeight w:val="276"/>
        </w:trPr>
        <w:tc>
          <w:tcPr>
            <w:tcW w:w="465" w:type="dxa"/>
          </w:tcPr>
          <w:p w:rsidR="00BF3C4B" w:rsidRPr="003E1BBA" w:rsidRDefault="00BF3C4B" w:rsidP="00BF3C4B">
            <w:pPr>
              <w:spacing w:before="0" w:after="0"/>
              <w:rPr>
                <w:rFonts w:ascii="Arial Narrow" w:hAnsi="Arial Narrow"/>
                <w:sz w:val="20"/>
                <w:lang w:val="en-GB"/>
              </w:rPr>
            </w:pPr>
            <w:r>
              <w:rPr>
                <w:rFonts w:ascii="Arial Narrow" w:hAnsi="Arial Narrow"/>
                <w:sz w:val="20"/>
                <w:lang w:val="en-GB"/>
              </w:rPr>
              <w:t>19</w:t>
            </w:r>
          </w:p>
        </w:tc>
        <w:tc>
          <w:tcPr>
            <w:tcW w:w="5651" w:type="dxa"/>
          </w:tcPr>
          <w:p w:rsidR="00BF3C4B" w:rsidRPr="003E1BBA" w:rsidRDefault="00BF3C4B" w:rsidP="00BF3C4B">
            <w:pPr>
              <w:spacing w:before="0" w:after="0"/>
              <w:rPr>
                <w:rFonts w:ascii="Arial Narrow" w:hAnsi="Arial Narrow"/>
                <w:sz w:val="20"/>
                <w:lang w:val="en-GB"/>
              </w:rPr>
            </w:pPr>
            <w:r w:rsidRPr="003E1BBA">
              <w:rPr>
                <w:rFonts w:ascii="Arial Narrow" w:hAnsi="Arial Narrow"/>
                <w:sz w:val="20"/>
                <w:lang w:val="en-GB"/>
              </w:rPr>
              <w:t>Independently audited accounts for IF (IV)</w:t>
            </w:r>
          </w:p>
        </w:tc>
        <w:tc>
          <w:tcPr>
            <w:tcW w:w="1518" w:type="dxa"/>
          </w:tcPr>
          <w:p w:rsidR="00BF3C4B" w:rsidRPr="003E1BBA" w:rsidRDefault="00BF3C4B" w:rsidP="00BF3C4B">
            <w:pPr>
              <w:spacing w:before="0" w:after="0"/>
              <w:jc w:val="center"/>
              <w:rPr>
                <w:rFonts w:ascii="Arial Narrow" w:hAnsi="Arial Narrow"/>
                <w:sz w:val="20"/>
                <w:lang w:val="en-GB"/>
              </w:rPr>
            </w:pPr>
            <w:r w:rsidRPr="003E1BBA">
              <w:rPr>
                <w:rFonts w:ascii="Arial Narrow" w:hAnsi="Arial Narrow"/>
                <w:sz w:val="20"/>
                <w:lang w:val="en-GB"/>
              </w:rPr>
              <w:t>12 months</w:t>
            </w:r>
          </w:p>
        </w:tc>
        <w:tc>
          <w:tcPr>
            <w:tcW w:w="1429" w:type="dxa"/>
          </w:tcPr>
          <w:p w:rsidR="00BF3C4B" w:rsidRPr="003E1BBA" w:rsidRDefault="00BF3C4B" w:rsidP="00BF3C4B">
            <w:pPr>
              <w:spacing w:before="0" w:after="0"/>
              <w:jc w:val="left"/>
              <w:rPr>
                <w:rFonts w:ascii="Arial Narrow" w:hAnsi="Arial Narrow"/>
                <w:sz w:val="20"/>
                <w:lang w:val="en-GB"/>
              </w:rPr>
            </w:pPr>
            <w:r w:rsidRPr="003E1BBA">
              <w:rPr>
                <w:rFonts w:ascii="Arial Narrow" w:hAnsi="Arial Narrow"/>
                <w:sz w:val="20"/>
                <w:lang w:val="en-GB"/>
              </w:rPr>
              <w:t>Annually</w:t>
            </w:r>
          </w:p>
        </w:tc>
      </w:tr>
    </w:tbl>
    <w:p w:rsidR="0058311F" w:rsidRPr="00571F0B" w:rsidRDefault="0058311F" w:rsidP="00C05D33">
      <w:pPr>
        <w:spacing w:before="0" w:after="0"/>
        <w:rPr>
          <w:szCs w:val="24"/>
          <w:lang w:val="en-GB"/>
        </w:rPr>
      </w:pPr>
    </w:p>
    <w:p w:rsidR="00824579" w:rsidRPr="00571F0B" w:rsidRDefault="00824579" w:rsidP="00824579">
      <w:pPr>
        <w:rPr>
          <w:lang w:val="en-GB"/>
        </w:rPr>
      </w:pPr>
    </w:p>
    <w:p w:rsidR="00C05D33" w:rsidRPr="00571F0B" w:rsidRDefault="00C05D33" w:rsidP="00BE7C9E">
      <w:pPr>
        <w:pStyle w:val="Heading1"/>
        <w:rPr>
          <w:lang w:val="en-GB"/>
        </w:rPr>
      </w:pPr>
      <w:bookmarkStart w:id="43" w:name="_Toc403037577"/>
      <w:r w:rsidRPr="00571F0B">
        <w:rPr>
          <w:lang w:val="en-GB"/>
        </w:rPr>
        <w:lastRenderedPageBreak/>
        <w:t>Monitoring and Evaluation</w:t>
      </w:r>
      <w:bookmarkEnd w:id="43"/>
    </w:p>
    <w:p w:rsidR="0058311F" w:rsidRPr="00571F0B" w:rsidRDefault="0058311F" w:rsidP="00BE7C9E">
      <w:pPr>
        <w:pStyle w:val="Heading2"/>
        <w:rPr>
          <w:lang w:val="en-GB"/>
        </w:rPr>
      </w:pPr>
      <w:bookmarkStart w:id="44" w:name="_Toc403037578"/>
      <w:r w:rsidRPr="00571F0B">
        <w:rPr>
          <w:lang w:val="en-GB"/>
        </w:rPr>
        <w:t xml:space="preserve">What </w:t>
      </w:r>
      <w:r w:rsidR="00467729" w:rsidRPr="00571F0B">
        <w:rPr>
          <w:lang w:val="en-GB"/>
        </w:rPr>
        <w:t>has the incentive funding mechanism achieved</w:t>
      </w:r>
      <w:r w:rsidRPr="00571F0B">
        <w:rPr>
          <w:lang w:val="en-GB"/>
        </w:rPr>
        <w:t>?</w:t>
      </w:r>
      <w:bookmarkEnd w:id="44"/>
    </w:p>
    <w:p w:rsidR="00521FEB" w:rsidRPr="00571F0B" w:rsidRDefault="002E7B45" w:rsidP="00521FEB">
      <w:pPr>
        <w:rPr>
          <w:lang w:val="en-GB"/>
        </w:rPr>
      </w:pPr>
      <w:r w:rsidRPr="00571F0B">
        <w:rPr>
          <w:lang w:val="en-GB"/>
        </w:rPr>
        <w:t xml:space="preserve">This section should be read after review of the Incentive Fund Logic provided </w:t>
      </w:r>
      <w:r w:rsidRPr="00425388">
        <w:rPr>
          <w:lang w:val="en-GB"/>
        </w:rPr>
        <w:t xml:space="preserve">in </w:t>
      </w:r>
      <w:r w:rsidR="00DD1CC9" w:rsidRPr="00425388">
        <w:rPr>
          <w:lang w:val="en-GB"/>
        </w:rPr>
        <w:t>A</w:t>
      </w:r>
      <w:r w:rsidRPr="00425388">
        <w:rPr>
          <w:lang w:val="en-GB"/>
        </w:rPr>
        <w:t xml:space="preserve">nnex </w:t>
      </w:r>
      <w:r w:rsidR="00DD1CC9" w:rsidRPr="00425388">
        <w:rPr>
          <w:lang w:val="en-GB"/>
        </w:rPr>
        <w:t>2</w:t>
      </w:r>
      <w:r w:rsidR="00DD1CC9" w:rsidRPr="00571F0B">
        <w:rPr>
          <w:lang w:val="en-GB"/>
        </w:rPr>
        <w:t xml:space="preserve"> and the Performance Assessment F</w:t>
      </w:r>
      <w:r w:rsidRPr="00571F0B">
        <w:rPr>
          <w:lang w:val="en-GB"/>
        </w:rPr>
        <w:t>ramewo</w:t>
      </w:r>
      <w:r w:rsidR="00BE1D91" w:rsidRPr="00571F0B">
        <w:rPr>
          <w:lang w:val="en-GB"/>
        </w:rPr>
        <w:t>r</w:t>
      </w:r>
      <w:r w:rsidRPr="00571F0B">
        <w:rPr>
          <w:lang w:val="en-GB"/>
        </w:rPr>
        <w:t>k</w:t>
      </w:r>
      <w:r w:rsidR="00DD1CC9" w:rsidRPr="00571F0B">
        <w:rPr>
          <w:lang w:val="en-GB"/>
        </w:rPr>
        <w:t xml:space="preserve"> (PAF) </w:t>
      </w:r>
      <w:r w:rsidRPr="00571F0B">
        <w:rPr>
          <w:lang w:val="en-GB"/>
        </w:rPr>
        <w:t xml:space="preserve">presented </w:t>
      </w:r>
      <w:r w:rsidRPr="00425388">
        <w:rPr>
          <w:lang w:val="en-GB"/>
        </w:rPr>
        <w:t xml:space="preserve">in Table </w:t>
      </w:r>
      <w:r w:rsidR="006D66AF">
        <w:rPr>
          <w:lang w:val="en-GB"/>
        </w:rPr>
        <w:t>9</w:t>
      </w:r>
      <w:r w:rsidRPr="00425388">
        <w:rPr>
          <w:lang w:val="en-GB"/>
        </w:rPr>
        <w:t>.</w:t>
      </w:r>
      <w:r w:rsidRPr="00571F0B">
        <w:rPr>
          <w:lang w:val="en-GB"/>
        </w:rPr>
        <w:t xml:space="preserve">  Before answering the </w:t>
      </w:r>
      <w:r w:rsidR="00BE1D91" w:rsidRPr="00571F0B">
        <w:rPr>
          <w:lang w:val="en-GB"/>
        </w:rPr>
        <w:t>ques</w:t>
      </w:r>
      <w:r w:rsidRPr="00571F0B">
        <w:rPr>
          <w:lang w:val="en-GB"/>
        </w:rPr>
        <w:t>tion what is I</w:t>
      </w:r>
      <w:r w:rsidR="003E1BBA">
        <w:rPr>
          <w:lang w:val="en-GB"/>
        </w:rPr>
        <w:t>F</w:t>
      </w:r>
      <w:r w:rsidRPr="00571F0B">
        <w:rPr>
          <w:lang w:val="en-GB"/>
        </w:rPr>
        <w:t xml:space="preserve"> (IV) going to achieve it is valuable to briefly consider what did </w:t>
      </w:r>
      <w:proofErr w:type="gramStart"/>
      <w:r w:rsidRPr="00571F0B">
        <w:rPr>
          <w:lang w:val="en-GB"/>
        </w:rPr>
        <w:t>Phase</w:t>
      </w:r>
      <w:proofErr w:type="gramEnd"/>
      <w:r w:rsidRPr="00571F0B">
        <w:rPr>
          <w:lang w:val="en-GB"/>
        </w:rPr>
        <w:t xml:space="preserve"> I</w:t>
      </w:r>
      <w:r w:rsidR="00C015A5" w:rsidRPr="00571F0B">
        <w:rPr>
          <w:lang w:val="en-GB"/>
        </w:rPr>
        <w:t>, II and III achieve. The over</w:t>
      </w:r>
      <w:r w:rsidRPr="00571F0B">
        <w:rPr>
          <w:lang w:val="en-GB"/>
        </w:rPr>
        <w:t xml:space="preserve">views provided in </w:t>
      </w:r>
      <w:r w:rsidR="00C015A5" w:rsidRPr="00571F0B">
        <w:rPr>
          <w:lang w:val="en-GB"/>
        </w:rPr>
        <w:t>Section 1</w:t>
      </w:r>
      <w:r w:rsidR="00425388">
        <w:rPr>
          <w:lang w:val="en-GB"/>
        </w:rPr>
        <w:t xml:space="preserve"> </w:t>
      </w:r>
      <w:r w:rsidRPr="00571F0B">
        <w:rPr>
          <w:lang w:val="en-GB"/>
        </w:rPr>
        <w:t>combine Phase I and Phase II</w:t>
      </w:r>
      <w:r w:rsidR="00BE1D91" w:rsidRPr="00571F0B">
        <w:rPr>
          <w:lang w:val="en-GB"/>
        </w:rPr>
        <w:t xml:space="preserve"> investments. No formal whole-of-incentive fund evaluation of Phase I, Phase II and Phase III projects has been undertaken and this design </w:t>
      </w:r>
      <w:r w:rsidR="00C015A5" w:rsidRPr="00571F0B">
        <w:rPr>
          <w:lang w:val="en-GB"/>
        </w:rPr>
        <w:t>insists</w:t>
      </w:r>
      <w:r w:rsidR="00BE1D91" w:rsidRPr="00571F0B">
        <w:rPr>
          <w:lang w:val="en-GB"/>
        </w:rPr>
        <w:t xml:space="preserve"> a whole-of-incentive fund evaluation is conducted at the start of </w:t>
      </w:r>
      <w:r w:rsidR="002B7876" w:rsidRPr="002B7876">
        <w:rPr>
          <w:lang w:val="en-GB"/>
        </w:rPr>
        <w:t xml:space="preserve">IF (IV) </w:t>
      </w:r>
      <w:r w:rsidR="00F170FD">
        <w:rPr>
          <w:lang w:val="en-GB"/>
        </w:rPr>
        <w:t>to assist set strategic targets</w:t>
      </w:r>
      <w:r w:rsidR="00BE1D91" w:rsidRPr="00571F0B">
        <w:rPr>
          <w:lang w:val="en-GB"/>
        </w:rPr>
        <w:t>. Notwithstanding this</w:t>
      </w:r>
      <w:r w:rsidR="001C27E0">
        <w:rPr>
          <w:lang w:val="en-GB"/>
        </w:rPr>
        <w:t>,</w:t>
      </w:r>
      <w:r w:rsidR="00BE1D91" w:rsidRPr="00571F0B">
        <w:rPr>
          <w:lang w:val="en-GB"/>
        </w:rPr>
        <w:t xml:space="preserve"> the evaluations</w:t>
      </w:r>
      <w:r w:rsidR="000B348F" w:rsidRPr="00571F0B">
        <w:rPr>
          <w:lang w:val="en-GB"/>
        </w:rPr>
        <w:t>, progress reports</w:t>
      </w:r>
      <w:r w:rsidR="00BE1D91" w:rsidRPr="00571F0B">
        <w:rPr>
          <w:lang w:val="en-GB"/>
        </w:rPr>
        <w:t xml:space="preserve"> and activity completion reports that were </w:t>
      </w:r>
      <w:r w:rsidR="000B348F" w:rsidRPr="00571F0B">
        <w:rPr>
          <w:lang w:val="en-GB"/>
        </w:rPr>
        <w:t>provided</w:t>
      </w:r>
      <w:r w:rsidR="00BE1D91" w:rsidRPr="00571F0B">
        <w:rPr>
          <w:lang w:val="en-GB"/>
        </w:rPr>
        <w:t xml:space="preserve"> agree that the incentive fund is probably making contributions to outcomes (</w:t>
      </w:r>
      <w:r w:rsidR="00C015A5" w:rsidRPr="00571F0B">
        <w:rPr>
          <w:lang w:val="en-GB"/>
        </w:rPr>
        <w:t>defined as</w:t>
      </w:r>
      <w:r w:rsidR="00BE1D91" w:rsidRPr="00571F0B">
        <w:rPr>
          <w:lang w:val="en-GB"/>
        </w:rPr>
        <w:t xml:space="preserve"> a verifiable change in behaviour or practice)</w:t>
      </w:r>
      <w:r w:rsidR="00521FEB" w:rsidRPr="00571F0B">
        <w:rPr>
          <w:lang w:val="en-GB"/>
        </w:rPr>
        <w:t xml:space="preserve"> which can be summarised and</w:t>
      </w:r>
      <w:r w:rsidR="00BE1D91" w:rsidRPr="00571F0B">
        <w:rPr>
          <w:lang w:val="en-GB"/>
        </w:rPr>
        <w:t xml:space="preserve"> </w:t>
      </w:r>
      <w:r w:rsidR="000B348F" w:rsidRPr="00571F0B">
        <w:rPr>
          <w:lang w:val="en-GB"/>
        </w:rPr>
        <w:t>described as</w:t>
      </w:r>
      <w:r w:rsidR="00BE1D91" w:rsidRPr="00571F0B">
        <w:rPr>
          <w:lang w:val="en-GB"/>
        </w:rPr>
        <w:t>:</w:t>
      </w:r>
    </w:p>
    <w:p w:rsidR="00521FEB" w:rsidRPr="00571F0B" w:rsidRDefault="00521FEB" w:rsidP="00521FEB">
      <w:pPr>
        <w:rPr>
          <w:lang w:val="en-GB"/>
        </w:rPr>
      </w:pPr>
    </w:p>
    <w:p w:rsidR="00521FEB" w:rsidRPr="00571F0B" w:rsidRDefault="00521FEB" w:rsidP="00521FEB">
      <w:pPr>
        <w:rPr>
          <w:b/>
          <w:i/>
          <w:lang w:val="en-GB"/>
        </w:rPr>
      </w:pPr>
      <w:r w:rsidRPr="00571F0B">
        <w:rPr>
          <w:b/>
          <w:i/>
          <w:lang w:val="en-GB"/>
        </w:rPr>
        <w:t>Phase I and II</w:t>
      </w:r>
    </w:p>
    <w:p w:rsidR="00521FEB" w:rsidRPr="00571F0B" w:rsidRDefault="00521FEB" w:rsidP="00A82AAB">
      <w:pPr>
        <w:pStyle w:val="ListParagraph"/>
        <w:numPr>
          <w:ilvl w:val="0"/>
          <w:numId w:val="41"/>
        </w:numPr>
        <w:ind w:left="284" w:hanging="284"/>
        <w:rPr>
          <w:lang w:val="en-GB"/>
        </w:rPr>
      </w:pPr>
      <w:r w:rsidRPr="00571F0B">
        <w:rPr>
          <w:lang w:val="en-GB"/>
        </w:rPr>
        <w:t>Improved access to potable water sup</w:t>
      </w:r>
      <w:r w:rsidR="003E1BBA">
        <w:rPr>
          <w:lang w:val="en-GB"/>
        </w:rPr>
        <w:t>plies in rural and remote areas</w:t>
      </w:r>
    </w:p>
    <w:p w:rsidR="00521FEB" w:rsidRPr="00571F0B" w:rsidRDefault="00521FEB" w:rsidP="00A82AAB">
      <w:pPr>
        <w:pStyle w:val="ListParagraph"/>
        <w:numPr>
          <w:ilvl w:val="0"/>
          <w:numId w:val="41"/>
        </w:numPr>
        <w:ind w:left="284" w:hanging="284"/>
        <w:rPr>
          <w:lang w:val="en-GB"/>
        </w:rPr>
      </w:pPr>
      <w:r w:rsidRPr="00571F0B">
        <w:rPr>
          <w:lang w:val="en-GB"/>
        </w:rPr>
        <w:t>Improved quality of education provision i</w:t>
      </w:r>
      <w:r w:rsidR="003E1BBA">
        <w:rPr>
          <w:lang w:val="en-GB"/>
        </w:rPr>
        <w:t>n urban, rural and remote areas</w:t>
      </w:r>
    </w:p>
    <w:p w:rsidR="00521FEB" w:rsidRPr="00571F0B" w:rsidRDefault="00521FEB" w:rsidP="00A82AAB">
      <w:pPr>
        <w:pStyle w:val="ListParagraph"/>
        <w:numPr>
          <w:ilvl w:val="0"/>
          <w:numId w:val="41"/>
        </w:numPr>
        <w:ind w:left="284" w:hanging="284"/>
        <w:rPr>
          <w:lang w:val="en-GB"/>
        </w:rPr>
      </w:pPr>
      <w:r w:rsidRPr="00571F0B">
        <w:rPr>
          <w:lang w:val="en-GB"/>
        </w:rPr>
        <w:t>Improved educational opportunities for female</w:t>
      </w:r>
      <w:r w:rsidR="003E1BBA">
        <w:rPr>
          <w:lang w:val="en-GB"/>
        </w:rPr>
        <w:t>s</w:t>
      </w:r>
    </w:p>
    <w:p w:rsidR="00521FEB" w:rsidRPr="00571F0B" w:rsidRDefault="003E1BBA" w:rsidP="00A82AAB">
      <w:pPr>
        <w:pStyle w:val="ListParagraph"/>
        <w:numPr>
          <w:ilvl w:val="0"/>
          <w:numId w:val="41"/>
        </w:numPr>
        <w:ind w:left="284" w:hanging="284"/>
        <w:rPr>
          <w:lang w:val="en-GB"/>
        </w:rPr>
      </w:pPr>
      <w:r>
        <w:rPr>
          <w:lang w:val="en-GB"/>
        </w:rPr>
        <w:t>New commercial opportunities</w:t>
      </w:r>
    </w:p>
    <w:p w:rsidR="00521FEB" w:rsidRPr="00571F0B" w:rsidRDefault="00521FEB" w:rsidP="00A82AAB">
      <w:pPr>
        <w:pStyle w:val="ListParagraph"/>
        <w:numPr>
          <w:ilvl w:val="0"/>
          <w:numId w:val="41"/>
        </w:numPr>
        <w:ind w:left="284" w:hanging="284"/>
        <w:rPr>
          <w:lang w:val="en-GB"/>
        </w:rPr>
      </w:pPr>
      <w:r w:rsidRPr="00571F0B">
        <w:rPr>
          <w:lang w:val="en-GB"/>
        </w:rPr>
        <w:t xml:space="preserve">Income </w:t>
      </w:r>
      <w:r w:rsidR="003E1BBA">
        <w:rPr>
          <w:lang w:val="en-GB"/>
        </w:rPr>
        <w:t>earning opportunities for women</w:t>
      </w:r>
    </w:p>
    <w:p w:rsidR="00521FEB" w:rsidRPr="00571F0B" w:rsidRDefault="00521FEB" w:rsidP="00A82AAB">
      <w:pPr>
        <w:pStyle w:val="ListParagraph"/>
        <w:numPr>
          <w:ilvl w:val="0"/>
          <w:numId w:val="41"/>
        </w:numPr>
        <w:ind w:left="284" w:hanging="284"/>
        <w:rPr>
          <w:lang w:val="en-GB"/>
        </w:rPr>
      </w:pPr>
      <w:r w:rsidRPr="00571F0B">
        <w:rPr>
          <w:lang w:val="en-GB"/>
        </w:rPr>
        <w:t>Economic</w:t>
      </w:r>
      <w:r w:rsidR="003E1BBA">
        <w:rPr>
          <w:lang w:val="en-GB"/>
        </w:rPr>
        <w:t xml:space="preserve"> benefits for wider communities</w:t>
      </w:r>
    </w:p>
    <w:p w:rsidR="00521FEB" w:rsidRPr="00571F0B" w:rsidRDefault="00521FEB" w:rsidP="00A82AAB">
      <w:pPr>
        <w:pStyle w:val="ListParagraph"/>
        <w:numPr>
          <w:ilvl w:val="0"/>
          <w:numId w:val="41"/>
        </w:numPr>
        <w:ind w:left="284" w:hanging="284"/>
        <w:rPr>
          <w:lang w:val="en-GB"/>
        </w:rPr>
      </w:pPr>
      <w:r w:rsidRPr="00571F0B">
        <w:rPr>
          <w:lang w:val="en-GB"/>
        </w:rPr>
        <w:t>Incr</w:t>
      </w:r>
      <w:r w:rsidR="003E1BBA">
        <w:rPr>
          <w:lang w:val="en-GB"/>
        </w:rPr>
        <w:t>ease in organisations’ capacity</w:t>
      </w:r>
    </w:p>
    <w:p w:rsidR="00521FEB" w:rsidRPr="00571F0B" w:rsidRDefault="003E1BBA" w:rsidP="00A82AAB">
      <w:pPr>
        <w:pStyle w:val="ListParagraph"/>
        <w:numPr>
          <w:ilvl w:val="0"/>
          <w:numId w:val="41"/>
        </w:numPr>
        <w:ind w:left="284" w:hanging="284"/>
        <w:rPr>
          <w:lang w:val="en-GB"/>
        </w:rPr>
      </w:pPr>
      <w:r>
        <w:rPr>
          <w:lang w:val="en-GB"/>
        </w:rPr>
        <w:t>More attractive to new staff</w:t>
      </w:r>
    </w:p>
    <w:p w:rsidR="00BE1D91" w:rsidRDefault="00521FEB" w:rsidP="00A82AAB">
      <w:pPr>
        <w:pStyle w:val="ListParagraph"/>
        <w:numPr>
          <w:ilvl w:val="0"/>
          <w:numId w:val="41"/>
        </w:numPr>
        <w:ind w:left="284" w:hanging="284"/>
        <w:rPr>
          <w:lang w:val="en-GB"/>
        </w:rPr>
      </w:pPr>
      <w:r w:rsidRPr="00571F0B">
        <w:rPr>
          <w:lang w:val="en-GB"/>
        </w:rPr>
        <w:t>Ability to attract other funding; and other achievements.</w:t>
      </w:r>
    </w:p>
    <w:p w:rsidR="003E1BBA" w:rsidRPr="003E1BBA" w:rsidRDefault="003E1BBA" w:rsidP="003E1BBA">
      <w:pPr>
        <w:rPr>
          <w:lang w:val="en-GB"/>
        </w:rPr>
      </w:pPr>
    </w:p>
    <w:p w:rsidR="00521FEB" w:rsidRPr="00571F0B" w:rsidRDefault="00521FEB" w:rsidP="002E7B45">
      <w:pPr>
        <w:rPr>
          <w:b/>
          <w:i/>
          <w:lang w:val="en-GB"/>
        </w:rPr>
      </w:pPr>
      <w:r w:rsidRPr="00571F0B">
        <w:rPr>
          <w:b/>
          <w:i/>
          <w:lang w:val="en-GB"/>
        </w:rPr>
        <w:t>Phase III</w:t>
      </w:r>
    </w:p>
    <w:p w:rsidR="00BE1D91" w:rsidRPr="00571F0B" w:rsidRDefault="00BE1D91" w:rsidP="00A82AAB">
      <w:pPr>
        <w:pStyle w:val="ListParagraph"/>
        <w:numPr>
          <w:ilvl w:val="0"/>
          <w:numId w:val="42"/>
        </w:numPr>
        <w:ind w:left="284" w:hanging="284"/>
        <w:rPr>
          <w:lang w:val="en-GB"/>
        </w:rPr>
      </w:pPr>
      <w:r w:rsidRPr="00571F0B">
        <w:rPr>
          <w:lang w:val="en-GB"/>
        </w:rPr>
        <w:t>Increases in the number of people receiving health services</w:t>
      </w:r>
    </w:p>
    <w:p w:rsidR="00BE1D91" w:rsidRPr="00571F0B" w:rsidRDefault="00BE1D91" w:rsidP="00A82AAB">
      <w:pPr>
        <w:pStyle w:val="ListParagraph"/>
        <w:numPr>
          <w:ilvl w:val="0"/>
          <w:numId w:val="42"/>
        </w:numPr>
        <w:ind w:left="284" w:hanging="284"/>
        <w:rPr>
          <w:lang w:val="en-GB"/>
        </w:rPr>
      </w:pPr>
      <w:r w:rsidRPr="00571F0B">
        <w:rPr>
          <w:lang w:val="en-GB"/>
        </w:rPr>
        <w:t>Decreases in infant child and maternal deaths i</w:t>
      </w:r>
      <w:r w:rsidR="001C27E0">
        <w:rPr>
          <w:lang w:val="en-GB"/>
        </w:rPr>
        <w:t>n four districts of Madang, Alot</w:t>
      </w:r>
      <w:r w:rsidRPr="00571F0B">
        <w:rPr>
          <w:lang w:val="en-GB"/>
        </w:rPr>
        <w:t>au and Milne Bay Province</w:t>
      </w:r>
    </w:p>
    <w:p w:rsidR="00BE1D91" w:rsidRPr="00571F0B" w:rsidRDefault="00BE1D91" w:rsidP="00A82AAB">
      <w:pPr>
        <w:pStyle w:val="ListParagraph"/>
        <w:numPr>
          <w:ilvl w:val="0"/>
          <w:numId w:val="42"/>
        </w:numPr>
        <w:ind w:left="284" w:hanging="284"/>
        <w:rPr>
          <w:lang w:val="en-GB"/>
        </w:rPr>
      </w:pPr>
      <w:r w:rsidRPr="00571F0B">
        <w:rPr>
          <w:lang w:val="en-GB"/>
        </w:rPr>
        <w:t>Improved maternal and child health treatment in Kokopo, East New Britain</w:t>
      </w:r>
    </w:p>
    <w:p w:rsidR="00BE1D91" w:rsidRPr="00571F0B" w:rsidRDefault="00BE1D91" w:rsidP="00A82AAB">
      <w:pPr>
        <w:pStyle w:val="ListParagraph"/>
        <w:numPr>
          <w:ilvl w:val="0"/>
          <w:numId w:val="42"/>
        </w:numPr>
        <w:ind w:left="284" w:hanging="284"/>
        <w:rPr>
          <w:lang w:val="en-GB"/>
        </w:rPr>
      </w:pPr>
      <w:r w:rsidRPr="00571F0B">
        <w:rPr>
          <w:lang w:val="en-GB"/>
        </w:rPr>
        <w:t>Increase in attended births and ante-natal care and post-natal care in 4 Districts in Madang</w:t>
      </w:r>
    </w:p>
    <w:p w:rsidR="000B348F" w:rsidRPr="00571F0B" w:rsidRDefault="003E1BBA" w:rsidP="00A82AAB">
      <w:pPr>
        <w:pStyle w:val="ListParagraph"/>
        <w:numPr>
          <w:ilvl w:val="0"/>
          <w:numId w:val="42"/>
        </w:numPr>
        <w:ind w:left="284" w:hanging="284"/>
        <w:rPr>
          <w:lang w:val="en-GB"/>
        </w:rPr>
      </w:pPr>
      <w:r>
        <w:rPr>
          <w:lang w:val="en-GB"/>
        </w:rPr>
        <w:t xml:space="preserve">Improvement </w:t>
      </w:r>
      <w:r w:rsidR="006033B5">
        <w:rPr>
          <w:lang w:val="en-GB"/>
        </w:rPr>
        <w:t>immunisation of children</w:t>
      </w:r>
    </w:p>
    <w:p w:rsidR="000B348F" w:rsidRPr="00571F0B" w:rsidRDefault="000B348F" w:rsidP="00A82AAB">
      <w:pPr>
        <w:pStyle w:val="ListParagraph"/>
        <w:numPr>
          <w:ilvl w:val="0"/>
          <w:numId w:val="42"/>
        </w:numPr>
        <w:ind w:left="284" w:hanging="284"/>
        <w:rPr>
          <w:lang w:val="en-GB"/>
        </w:rPr>
      </w:pPr>
      <w:r w:rsidRPr="00571F0B">
        <w:rPr>
          <w:lang w:val="en-GB"/>
        </w:rPr>
        <w:t>Reduced number of TB drug resistance cases and increase in TB compliance rates in Milne Bay Province</w:t>
      </w:r>
    </w:p>
    <w:p w:rsidR="000B348F" w:rsidRPr="00571F0B" w:rsidRDefault="000B348F" w:rsidP="00A82AAB">
      <w:pPr>
        <w:pStyle w:val="ListParagraph"/>
        <w:numPr>
          <w:ilvl w:val="0"/>
          <w:numId w:val="42"/>
        </w:numPr>
        <w:ind w:left="284" w:hanging="284"/>
        <w:rPr>
          <w:lang w:val="en-GB"/>
        </w:rPr>
      </w:pPr>
      <w:r w:rsidRPr="00571F0B">
        <w:rPr>
          <w:lang w:val="en-GB"/>
        </w:rPr>
        <w:t>Improved patient nursing outcomes through increased number of single nurses accommodation available at Alotau, Vanimo and St Mary’s hospital for emergency and other wards</w:t>
      </w:r>
    </w:p>
    <w:p w:rsidR="000B348F" w:rsidRPr="00571F0B" w:rsidRDefault="000B348F" w:rsidP="00A82AAB">
      <w:pPr>
        <w:pStyle w:val="ListParagraph"/>
        <w:numPr>
          <w:ilvl w:val="0"/>
          <w:numId w:val="42"/>
        </w:numPr>
        <w:ind w:left="284" w:hanging="284"/>
        <w:rPr>
          <w:lang w:val="en-GB"/>
        </w:rPr>
      </w:pPr>
      <w:r w:rsidRPr="00571F0B">
        <w:rPr>
          <w:lang w:val="en-GB"/>
        </w:rPr>
        <w:t>Improved hospital care in MBP, Sandaun, ENB, WHP, Jiwaka</w:t>
      </w:r>
    </w:p>
    <w:p w:rsidR="000B348F" w:rsidRPr="00571F0B" w:rsidRDefault="000B348F" w:rsidP="00A82AAB">
      <w:pPr>
        <w:pStyle w:val="ListParagraph"/>
        <w:numPr>
          <w:ilvl w:val="0"/>
          <w:numId w:val="42"/>
        </w:numPr>
        <w:ind w:left="284" w:hanging="284"/>
        <w:rPr>
          <w:lang w:val="en-GB"/>
        </w:rPr>
      </w:pPr>
      <w:r w:rsidRPr="00571F0B">
        <w:rPr>
          <w:lang w:val="en-GB"/>
        </w:rPr>
        <w:t xml:space="preserve">Staff, patients and </w:t>
      </w:r>
      <w:r w:rsidR="001C27E0">
        <w:rPr>
          <w:lang w:val="en-GB"/>
        </w:rPr>
        <w:t>key stakeholders in all health p</w:t>
      </w:r>
      <w:r w:rsidRPr="00571F0B">
        <w:rPr>
          <w:lang w:val="en-GB"/>
        </w:rPr>
        <w:t xml:space="preserve">rojects have a better understanding of and provide improved services in the areas of HIV/AIDS, gender, </w:t>
      </w:r>
      <w:r w:rsidR="003E1BBA">
        <w:rPr>
          <w:lang w:val="en-GB"/>
        </w:rPr>
        <w:t>child protection and disability</w:t>
      </w:r>
    </w:p>
    <w:p w:rsidR="000B348F" w:rsidRPr="00571F0B" w:rsidRDefault="000B348F" w:rsidP="00A82AAB">
      <w:pPr>
        <w:pStyle w:val="ListParagraph"/>
        <w:numPr>
          <w:ilvl w:val="0"/>
          <w:numId w:val="42"/>
        </w:numPr>
        <w:ind w:left="284" w:hanging="284"/>
        <w:rPr>
          <w:lang w:val="en-GB"/>
        </w:rPr>
      </w:pPr>
      <w:r w:rsidRPr="00571F0B">
        <w:rPr>
          <w:lang w:val="en-GB"/>
        </w:rPr>
        <w:t>400-500 new places available in senior secondary schools for young women, including TVET and academic courses</w:t>
      </w:r>
    </w:p>
    <w:p w:rsidR="000B348F" w:rsidRPr="00571F0B" w:rsidRDefault="000B348F" w:rsidP="00A82AAB">
      <w:pPr>
        <w:pStyle w:val="ListParagraph"/>
        <w:numPr>
          <w:ilvl w:val="0"/>
          <w:numId w:val="42"/>
        </w:numPr>
        <w:ind w:left="284" w:hanging="284"/>
        <w:rPr>
          <w:lang w:val="en-GB"/>
        </w:rPr>
      </w:pPr>
      <w:r w:rsidRPr="00571F0B">
        <w:rPr>
          <w:lang w:val="en-GB"/>
        </w:rPr>
        <w:t>Improved academic performance on part of young men and women leading to increased graduation to tertiary and trade education in Central, WHP, ENB, MBPD, NCD</w:t>
      </w:r>
    </w:p>
    <w:p w:rsidR="000B348F" w:rsidRPr="00571F0B" w:rsidRDefault="000B348F" w:rsidP="00A82AAB">
      <w:pPr>
        <w:pStyle w:val="ListParagraph"/>
        <w:numPr>
          <w:ilvl w:val="0"/>
          <w:numId w:val="42"/>
        </w:numPr>
        <w:ind w:left="284" w:hanging="284"/>
        <w:rPr>
          <w:lang w:val="en-GB"/>
        </w:rPr>
      </w:pPr>
      <w:r w:rsidRPr="00571F0B">
        <w:rPr>
          <w:lang w:val="en-GB"/>
        </w:rPr>
        <w:t>400-500 new places in senior secondary school/TVET opportunities for young men</w:t>
      </w:r>
    </w:p>
    <w:p w:rsidR="000B348F" w:rsidRPr="00571F0B" w:rsidRDefault="000B348F" w:rsidP="00A82AAB">
      <w:pPr>
        <w:pStyle w:val="ListParagraph"/>
        <w:numPr>
          <w:ilvl w:val="0"/>
          <w:numId w:val="42"/>
        </w:numPr>
        <w:ind w:left="284" w:hanging="284"/>
        <w:rPr>
          <w:lang w:val="en-GB"/>
        </w:rPr>
      </w:pPr>
      <w:r w:rsidRPr="00571F0B">
        <w:rPr>
          <w:lang w:val="en-GB"/>
        </w:rPr>
        <w:t>Improved access to tertiary education in Divine Word and Pacific Adven</w:t>
      </w:r>
      <w:r w:rsidR="003E1BBA">
        <w:rPr>
          <w:lang w:val="en-GB"/>
        </w:rPr>
        <w:t>tist University</w:t>
      </w:r>
    </w:p>
    <w:p w:rsidR="000B348F" w:rsidRPr="00571F0B" w:rsidRDefault="000B348F" w:rsidP="00A82AAB">
      <w:pPr>
        <w:pStyle w:val="ListParagraph"/>
        <w:numPr>
          <w:ilvl w:val="0"/>
          <w:numId w:val="42"/>
        </w:numPr>
        <w:ind w:left="284" w:hanging="284"/>
        <w:rPr>
          <w:lang w:val="en-GB"/>
        </w:rPr>
      </w:pPr>
      <w:r w:rsidRPr="00571F0B">
        <w:rPr>
          <w:lang w:val="en-GB"/>
        </w:rPr>
        <w:t>Improved access by employers to business graduates for PNG organisations</w:t>
      </w:r>
    </w:p>
    <w:p w:rsidR="000B348F" w:rsidRPr="00571F0B" w:rsidRDefault="000B348F" w:rsidP="00A82AAB">
      <w:pPr>
        <w:pStyle w:val="ListParagraph"/>
        <w:numPr>
          <w:ilvl w:val="0"/>
          <w:numId w:val="42"/>
        </w:numPr>
        <w:ind w:left="284" w:hanging="284"/>
        <w:rPr>
          <w:lang w:val="en-GB"/>
        </w:rPr>
      </w:pPr>
      <w:r w:rsidRPr="00571F0B">
        <w:rPr>
          <w:lang w:val="en-GB"/>
        </w:rPr>
        <w:t>PNGMC continues to provide world class training to Pacific Island seafarers</w:t>
      </w:r>
    </w:p>
    <w:p w:rsidR="00BE1D91" w:rsidRPr="00571F0B" w:rsidRDefault="000B348F" w:rsidP="00A82AAB">
      <w:pPr>
        <w:pStyle w:val="ListParagraph"/>
        <w:numPr>
          <w:ilvl w:val="0"/>
          <w:numId w:val="42"/>
        </w:numPr>
        <w:spacing w:before="0" w:after="0"/>
        <w:ind w:left="284" w:hanging="284"/>
        <w:rPr>
          <w:lang w:val="en-GB"/>
        </w:rPr>
      </w:pPr>
      <w:r w:rsidRPr="00571F0B">
        <w:rPr>
          <w:lang w:val="en-GB"/>
        </w:rPr>
        <w:lastRenderedPageBreak/>
        <w:t>Increased economic activity among smallholders and men and women farmers in New Guinea Island region and whole of PNG as a result of agricultural research, advice and information from NARI (</w:t>
      </w:r>
      <w:r w:rsidR="00422DDC" w:rsidRPr="00422DDC">
        <w:rPr>
          <w:i/>
          <w:lang w:val="en-GB"/>
        </w:rPr>
        <w:t>i.e</w:t>
      </w:r>
      <w:r w:rsidR="00422DDC" w:rsidRPr="00571F0B">
        <w:rPr>
          <w:lang w:val="en-GB"/>
        </w:rPr>
        <w:t>.</w:t>
      </w:r>
      <w:r w:rsidRPr="00571F0B">
        <w:rPr>
          <w:lang w:val="en-GB"/>
        </w:rPr>
        <w:t xml:space="preserve"> diversity of crops and better yield)</w:t>
      </w:r>
      <w:r w:rsidR="003E1BBA">
        <w:rPr>
          <w:lang w:val="en-GB"/>
        </w:rPr>
        <w:t>.</w:t>
      </w:r>
    </w:p>
    <w:p w:rsidR="00521FEB" w:rsidRPr="003E1BBA" w:rsidRDefault="00521FEB" w:rsidP="00422DDC">
      <w:pPr>
        <w:spacing w:before="0" w:after="0"/>
        <w:rPr>
          <w:sz w:val="16"/>
          <w:szCs w:val="16"/>
          <w:lang w:val="en-GB"/>
        </w:rPr>
      </w:pPr>
    </w:p>
    <w:p w:rsidR="00C015A5" w:rsidRDefault="00521FEB" w:rsidP="00422DDC">
      <w:pPr>
        <w:spacing w:before="0" w:after="0"/>
        <w:rPr>
          <w:lang w:val="en-GB"/>
        </w:rPr>
      </w:pPr>
      <w:r w:rsidRPr="00571F0B">
        <w:rPr>
          <w:lang w:val="en-GB"/>
        </w:rPr>
        <w:t>The list of expected contribution to outcomes is impressive. It is a good human development story, a good organisational development story, a good PNG service delivery story, a good ec</w:t>
      </w:r>
      <w:r w:rsidR="00F170FD">
        <w:rPr>
          <w:lang w:val="en-GB"/>
        </w:rPr>
        <w:t xml:space="preserve">onomic </w:t>
      </w:r>
      <w:r w:rsidR="00205423" w:rsidRPr="00205423">
        <w:rPr>
          <w:lang w:val="en-GB"/>
        </w:rPr>
        <w:t>development</w:t>
      </w:r>
      <w:r w:rsidR="00F170FD">
        <w:rPr>
          <w:lang w:val="en-GB"/>
        </w:rPr>
        <w:t xml:space="preserve"> story and a good public d</w:t>
      </w:r>
      <w:r w:rsidRPr="00571F0B">
        <w:rPr>
          <w:lang w:val="en-GB"/>
        </w:rPr>
        <w:t xml:space="preserve">iplomacy </w:t>
      </w:r>
      <w:r w:rsidR="00F170FD">
        <w:rPr>
          <w:lang w:val="en-GB"/>
        </w:rPr>
        <w:t>vehicle</w:t>
      </w:r>
      <w:r w:rsidRPr="00571F0B">
        <w:rPr>
          <w:lang w:val="en-GB"/>
        </w:rPr>
        <w:t xml:space="preserve"> for the Australian government and bilateral relationship. </w:t>
      </w:r>
      <w:r w:rsidR="00467729" w:rsidRPr="00571F0B">
        <w:rPr>
          <w:lang w:val="en-GB"/>
        </w:rPr>
        <w:t xml:space="preserve">But </w:t>
      </w:r>
      <w:r w:rsidR="00A93D07" w:rsidRPr="00571F0B">
        <w:rPr>
          <w:lang w:val="en-GB"/>
        </w:rPr>
        <w:t xml:space="preserve">this </w:t>
      </w:r>
      <w:r w:rsidR="00467729" w:rsidRPr="00571F0B">
        <w:rPr>
          <w:lang w:val="en-GB"/>
        </w:rPr>
        <w:t>all needs to be verified and confirmed, and DFAT can then tell the consolidated story.</w:t>
      </w:r>
    </w:p>
    <w:p w:rsidR="003E1BBA" w:rsidRPr="003E1BBA" w:rsidRDefault="003E1BBA" w:rsidP="00422DDC">
      <w:pPr>
        <w:spacing w:before="0" w:after="0"/>
        <w:rPr>
          <w:sz w:val="16"/>
          <w:szCs w:val="16"/>
          <w:lang w:val="en-GB"/>
        </w:rPr>
      </w:pPr>
    </w:p>
    <w:p w:rsidR="00521FEB" w:rsidRDefault="00DD1CC9" w:rsidP="00422DDC">
      <w:pPr>
        <w:spacing w:before="0" w:after="0"/>
        <w:rPr>
          <w:lang w:val="en-GB"/>
        </w:rPr>
      </w:pPr>
      <w:r w:rsidRPr="00571F0B">
        <w:rPr>
          <w:lang w:val="en-GB"/>
        </w:rPr>
        <w:t xml:space="preserve">Importantly, </w:t>
      </w:r>
      <w:r w:rsidR="00A93D07" w:rsidRPr="00571F0B">
        <w:rPr>
          <w:lang w:val="en-GB"/>
        </w:rPr>
        <w:t xml:space="preserve">a Phase I-III evaluation of the incentive funding mechanism will </w:t>
      </w:r>
      <w:r w:rsidRPr="00571F0B">
        <w:rPr>
          <w:lang w:val="en-GB"/>
        </w:rPr>
        <w:t xml:space="preserve">likely </w:t>
      </w:r>
      <w:r w:rsidR="00246F50">
        <w:rPr>
          <w:lang w:val="en-GB"/>
        </w:rPr>
        <w:t xml:space="preserve">confirm what DFAT believes - </w:t>
      </w:r>
      <w:r w:rsidR="00A93D07" w:rsidRPr="00571F0B">
        <w:rPr>
          <w:lang w:val="en-GB"/>
        </w:rPr>
        <w:t xml:space="preserve">that the design strategy from Phase III </w:t>
      </w:r>
      <w:r w:rsidR="00C015A5" w:rsidRPr="00571F0B">
        <w:rPr>
          <w:lang w:val="en-GB"/>
        </w:rPr>
        <w:t>remains</w:t>
      </w:r>
      <w:r w:rsidR="00A93D07" w:rsidRPr="00571F0B">
        <w:rPr>
          <w:lang w:val="en-GB"/>
        </w:rPr>
        <w:t xml:space="preserve"> relevant.</w:t>
      </w:r>
    </w:p>
    <w:p w:rsidR="003E1BBA" w:rsidRPr="003E1BBA" w:rsidRDefault="003E1BBA" w:rsidP="00422DDC">
      <w:pPr>
        <w:spacing w:before="0" w:after="0"/>
        <w:rPr>
          <w:sz w:val="16"/>
          <w:szCs w:val="16"/>
          <w:lang w:val="en-GB"/>
        </w:rPr>
      </w:pPr>
    </w:p>
    <w:p w:rsidR="006C4AD8" w:rsidRDefault="00521FEB" w:rsidP="00422DDC">
      <w:pPr>
        <w:spacing w:before="0" w:after="0"/>
        <w:rPr>
          <w:lang w:val="en-GB"/>
        </w:rPr>
      </w:pPr>
      <w:r w:rsidRPr="00571F0B">
        <w:rPr>
          <w:lang w:val="en-GB"/>
        </w:rPr>
        <w:t>Two documented evaluations in the</w:t>
      </w:r>
      <w:r w:rsidR="00467729" w:rsidRPr="00571F0B">
        <w:rPr>
          <w:lang w:val="en-GB"/>
        </w:rPr>
        <w:t xml:space="preserve"> Phase III Activity Completion R</w:t>
      </w:r>
      <w:r w:rsidRPr="00571F0B">
        <w:rPr>
          <w:lang w:val="en-GB"/>
        </w:rPr>
        <w:t xml:space="preserve">eport </w:t>
      </w:r>
      <w:r w:rsidR="00C4657B" w:rsidRPr="00571F0B">
        <w:rPr>
          <w:lang w:val="en-GB"/>
        </w:rPr>
        <w:t xml:space="preserve">(ACR) </w:t>
      </w:r>
      <w:r w:rsidR="006C4AD8" w:rsidRPr="00571F0B">
        <w:rPr>
          <w:lang w:val="en-GB"/>
        </w:rPr>
        <w:t xml:space="preserve">identify that Phase I WASH projects revealed water wells were no longer functioning but gravity systems were maintained, and that Mount Hagen Market management changes had ‘commenced a gradual market decline in service delivery in the market’. Stakeholder consultations for this design also revealed lower cost and poor quality project sub-contractors resulted in greater end costs through re-work and poor construction costing. </w:t>
      </w:r>
      <w:r w:rsidR="00467729" w:rsidRPr="00571F0B">
        <w:rPr>
          <w:lang w:val="en-GB"/>
        </w:rPr>
        <w:t>Concerns were also raised that materials used were of lower quality tha</w:t>
      </w:r>
      <w:r w:rsidR="00DD1CC9" w:rsidRPr="00571F0B">
        <w:rPr>
          <w:lang w:val="en-GB"/>
        </w:rPr>
        <w:t>n</w:t>
      </w:r>
      <w:r w:rsidR="00467729" w:rsidRPr="00571F0B">
        <w:rPr>
          <w:lang w:val="en-GB"/>
        </w:rPr>
        <w:t xml:space="preserve"> expected, increasing </w:t>
      </w:r>
      <w:r w:rsidR="00DD1CC9" w:rsidRPr="00571F0B">
        <w:rPr>
          <w:lang w:val="en-GB"/>
        </w:rPr>
        <w:t xml:space="preserve">on-going </w:t>
      </w:r>
      <w:r w:rsidR="00467729" w:rsidRPr="00571F0B">
        <w:rPr>
          <w:lang w:val="en-GB"/>
        </w:rPr>
        <w:t>maintenance costs</w:t>
      </w:r>
      <w:r w:rsidR="00DD1CC9" w:rsidRPr="00571F0B">
        <w:rPr>
          <w:lang w:val="en-GB"/>
        </w:rPr>
        <w:t>,</w:t>
      </w:r>
      <w:r w:rsidR="00467729" w:rsidRPr="00571F0B">
        <w:rPr>
          <w:lang w:val="en-GB"/>
        </w:rPr>
        <w:t xml:space="preserve"> and </w:t>
      </w:r>
      <w:r w:rsidR="00DD1CC9" w:rsidRPr="00571F0B">
        <w:rPr>
          <w:lang w:val="en-GB"/>
        </w:rPr>
        <w:t>that build scope</w:t>
      </w:r>
      <w:r w:rsidR="00467729" w:rsidRPr="00571F0B">
        <w:rPr>
          <w:lang w:val="en-GB"/>
        </w:rPr>
        <w:t xml:space="preserve"> was less than planned due to poor costing</w:t>
      </w:r>
      <w:r w:rsidR="00992EF2" w:rsidRPr="00571F0B">
        <w:rPr>
          <w:lang w:val="en-GB"/>
        </w:rPr>
        <w:t>,</w:t>
      </w:r>
      <w:r w:rsidR="00467729" w:rsidRPr="00571F0B">
        <w:rPr>
          <w:lang w:val="en-GB"/>
        </w:rPr>
        <w:t xml:space="preserve"> reducing the intended infrastructure and </w:t>
      </w:r>
      <w:r w:rsidR="00992EF2" w:rsidRPr="00571F0B">
        <w:rPr>
          <w:lang w:val="en-GB"/>
        </w:rPr>
        <w:t xml:space="preserve">end utility. </w:t>
      </w:r>
      <w:r w:rsidR="006C4AD8" w:rsidRPr="00571F0B">
        <w:rPr>
          <w:lang w:val="en-GB"/>
        </w:rPr>
        <w:t xml:space="preserve">This </w:t>
      </w:r>
      <w:r w:rsidR="00992EF2" w:rsidRPr="00571F0B">
        <w:rPr>
          <w:lang w:val="en-GB"/>
        </w:rPr>
        <w:t>signals</w:t>
      </w:r>
      <w:r w:rsidR="006C4AD8" w:rsidRPr="00571F0B">
        <w:rPr>
          <w:lang w:val="en-GB"/>
        </w:rPr>
        <w:t xml:space="preserve"> that all infrastructure outputs may not be operating or maintained as expected and </w:t>
      </w:r>
      <w:r w:rsidR="00992EF2" w:rsidRPr="00571F0B">
        <w:rPr>
          <w:lang w:val="en-GB"/>
        </w:rPr>
        <w:t>would</w:t>
      </w:r>
      <w:r w:rsidR="00FB6F60" w:rsidRPr="00571F0B">
        <w:rPr>
          <w:lang w:val="en-GB"/>
        </w:rPr>
        <w:t xml:space="preserve"> </w:t>
      </w:r>
      <w:r w:rsidR="006C4AD8" w:rsidRPr="00571F0B">
        <w:rPr>
          <w:lang w:val="en-GB"/>
        </w:rPr>
        <w:t xml:space="preserve">therefore not </w:t>
      </w:r>
      <w:r w:rsidR="00992EF2" w:rsidRPr="00571F0B">
        <w:rPr>
          <w:lang w:val="en-GB"/>
        </w:rPr>
        <w:t xml:space="preserve">be </w:t>
      </w:r>
      <w:r w:rsidR="006C4AD8" w:rsidRPr="00571F0B">
        <w:rPr>
          <w:lang w:val="en-GB"/>
        </w:rPr>
        <w:t xml:space="preserve">contributing </w:t>
      </w:r>
      <w:r w:rsidR="00992EF2" w:rsidRPr="00571F0B">
        <w:rPr>
          <w:lang w:val="en-GB"/>
        </w:rPr>
        <w:t xml:space="preserve">as significantly </w:t>
      </w:r>
      <w:r w:rsidR="003E1BBA">
        <w:rPr>
          <w:lang w:val="en-GB"/>
        </w:rPr>
        <w:t>to the expected outcomes.</w:t>
      </w:r>
    </w:p>
    <w:p w:rsidR="003E1BBA" w:rsidRPr="003E1BBA" w:rsidRDefault="003E1BBA" w:rsidP="00422DDC">
      <w:pPr>
        <w:spacing w:before="0" w:after="0"/>
        <w:rPr>
          <w:sz w:val="16"/>
          <w:szCs w:val="16"/>
          <w:lang w:val="en-GB"/>
        </w:rPr>
      </w:pPr>
    </w:p>
    <w:p w:rsidR="006C4AD8" w:rsidRDefault="00080A78" w:rsidP="00422DDC">
      <w:pPr>
        <w:spacing w:before="0" w:after="0"/>
        <w:rPr>
          <w:lang w:val="en-GB"/>
        </w:rPr>
      </w:pPr>
      <w:r w:rsidRPr="00571F0B">
        <w:rPr>
          <w:lang w:val="en-GB"/>
        </w:rPr>
        <w:t>T</w:t>
      </w:r>
      <w:r w:rsidR="006C4AD8" w:rsidRPr="00571F0B">
        <w:rPr>
          <w:lang w:val="en-GB"/>
        </w:rPr>
        <w:t xml:space="preserve">his design </w:t>
      </w:r>
      <w:r w:rsidR="00F170FD">
        <w:rPr>
          <w:lang w:val="en-GB"/>
        </w:rPr>
        <w:t>heard</w:t>
      </w:r>
      <w:r w:rsidR="006C4AD8" w:rsidRPr="00571F0B">
        <w:rPr>
          <w:lang w:val="en-GB"/>
        </w:rPr>
        <w:t xml:space="preserve"> from DFAT officers the importance of understanding </w:t>
      </w:r>
      <w:r w:rsidR="00350A70">
        <w:rPr>
          <w:lang w:val="en-GB"/>
        </w:rPr>
        <w:t xml:space="preserve">the </w:t>
      </w:r>
      <w:r w:rsidR="00350A70" w:rsidRPr="00350A70">
        <w:rPr>
          <w:lang w:val="en-GB"/>
        </w:rPr>
        <w:t xml:space="preserve">local political economy and operating context </w:t>
      </w:r>
      <w:r w:rsidR="006C4AD8" w:rsidRPr="00571F0B">
        <w:rPr>
          <w:lang w:val="en-GB"/>
        </w:rPr>
        <w:t>to operate</w:t>
      </w:r>
      <w:r w:rsidR="00246F50">
        <w:rPr>
          <w:lang w:val="en-GB"/>
        </w:rPr>
        <w:t xml:space="preserve"> and maintain public assets.  However,</w:t>
      </w:r>
      <w:r w:rsidR="006C4AD8" w:rsidRPr="00571F0B">
        <w:rPr>
          <w:lang w:val="en-GB"/>
        </w:rPr>
        <w:t xml:space="preserve"> we do not know if this is happening for all </w:t>
      </w:r>
      <w:r w:rsidR="00DD1CC9" w:rsidRPr="00571F0B">
        <w:rPr>
          <w:lang w:val="en-GB"/>
        </w:rPr>
        <w:t>existing</w:t>
      </w:r>
      <w:r w:rsidR="006C4AD8" w:rsidRPr="00571F0B">
        <w:rPr>
          <w:lang w:val="en-GB"/>
        </w:rPr>
        <w:t xml:space="preserve"> incentive fund investments so we should revisit them </w:t>
      </w:r>
      <w:r w:rsidRPr="00571F0B">
        <w:rPr>
          <w:lang w:val="en-GB"/>
        </w:rPr>
        <w:t xml:space="preserve">and </w:t>
      </w:r>
      <w:r w:rsidR="006C4AD8" w:rsidRPr="00571F0B">
        <w:rPr>
          <w:lang w:val="en-GB"/>
        </w:rPr>
        <w:t>confirm where assets are fully fu</w:t>
      </w:r>
      <w:r w:rsidR="00246F50">
        <w:rPr>
          <w:lang w:val="en-GB"/>
        </w:rPr>
        <w:t>nctional and where they are not.  If they are not we need to find out</w:t>
      </w:r>
      <w:r w:rsidR="006033B5">
        <w:rPr>
          <w:lang w:val="en-GB"/>
        </w:rPr>
        <w:t xml:space="preserve"> </w:t>
      </w:r>
      <w:r w:rsidR="006C4AD8" w:rsidRPr="00571F0B">
        <w:rPr>
          <w:lang w:val="en-GB"/>
        </w:rPr>
        <w:t>why not</w:t>
      </w:r>
      <w:r w:rsidRPr="00571F0B">
        <w:rPr>
          <w:lang w:val="en-GB"/>
        </w:rPr>
        <w:t>,</w:t>
      </w:r>
      <w:r w:rsidR="006C4AD8" w:rsidRPr="00571F0B">
        <w:rPr>
          <w:lang w:val="en-GB"/>
        </w:rPr>
        <w:t xml:space="preserve"> and </w:t>
      </w:r>
      <w:r w:rsidRPr="00571F0B">
        <w:rPr>
          <w:lang w:val="en-GB"/>
        </w:rPr>
        <w:t>the</w:t>
      </w:r>
      <w:r w:rsidR="00C4657B" w:rsidRPr="00571F0B">
        <w:rPr>
          <w:lang w:val="en-GB"/>
        </w:rPr>
        <w:t>n</w:t>
      </w:r>
      <w:r w:rsidRPr="00571F0B">
        <w:rPr>
          <w:lang w:val="en-GB"/>
        </w:rPr>
        <w:t xml:space="preserve"> try to </w:t>
      </w:r>
      <w:r w:rsidR="006C4AD8" w:rsidRPr="00571F0B">
        <w:rPr>
          <w:lang w:val="en-GB"/>
        </w:rPr>
        <w:t>understand if there is anything DFAT can do</w:t>
      </w:r>
      <w:r w:rsidRPr="00571F0B">
        <w:rPr>
          <w:lang w:val="en-GB"/>
        </w:rPr>
        <w:t xml:space="preserve"> to realise the gains from previous investments</w:t>
      </w:r>
      <w:r w:rsidR="00246F50">
        <w:rPr>
          <w:lang w:val="en-GB"/>
        </w:rPr>
        <w:t xml:space="preserve"> to</w:t>
      </w:r>
      <w:r w:rsidR="00FB6F60" w:rsidRPr="00571F0B">
        <w:rPr>
          <w:lang w:val="en-GB"/>
        </w:rPr>
        <w:t>:</w:t>
      </w:r>
      <w:r w:rsidR="00246F50">
        <w:rPr>
          <w:lang w:val="en-GB"/>
        </w:rPr>
        <w:t xml:space="preserve"> i) </w:t>
      </w:r>
      <w:r w:rsidR="006C4AD8" w:rsidRPr="00571F0B">
        <w:rPr>
          <w:lang w:val="en-GB"/>
        </w:rPr>
        <w:t>make the</w:t>
      </w:r>
      <w:r w:rsidR="00FB6F60" w:rsidRPr="00571F0B">
        <w:rPr>
          <w:lang w:val="en-GB"/>
        </w:rPr>
        <w:t>m functional;</w:t>
      </w:r>
      <w:r w:rsidR="00246F50">
        <w:rPr>
          <w:lang w:val="en-GB"/>
        </w:rPr>
        <w:t xml:space="preserve"> and ii) </w:t>
      </w:r>
      <w:r w:rsidR="006C4AD8" w:rsidRPr="00571F0B">
        <w:rPr>
          <w:lang w:val="en-GB"/>
        </w:rPr>
        <w:t xml:space="preserve">ensure </w:t>
      </w:r>
      <w:r w:rsidR="002B7876" w:rsidRPr="002B7876">
        <w:rPr>
          <w:lang w:val="en-GB"/>
        </w:rPr>
        <w:t xml:space="preserve">IF (IV) </w:t>
      </w:r>
      <w:r w:rsidR="006C4AD8" w:rsidRPr="00571F0B">
        <w:rPr>
          <w:lang w:val="en-GB"/>
        </w:rPr>
        <w:t>and other programs do not make similar mistakes</w:t>
      </w:r>
      <w:r w:rsidR="00FB6F60" w:rsidRPr="00571F0B">
        <w:rPr>
          <w:lang w:val="en-GB"/>
        </w:rPr>
        <w:t xml:space="preserve">. </w:t>
      </w:r>
    </w:p>
    <w:p w:rsidR="00564C5C" w:rsidRDefault="00564C5C" w:rsidP="00422DDC">
      <w:pPr>
        <w:spacing w:before="0" w:after="0"/>
        <w:rPr>
          <w:lang w:val="en-GB"/>
        </w:rPr>
      </w:pPr>
    </w:p>
    <w:p w:rsidR="00564C5C" w:rsidRPr="00571F0B" w:rsidRDefault="00564C5C" w:rsidP="00422DDC">
      <w:pPr>
        <w:spacing w:before="0" w:after="0"/>
        <w:rPr>
          <w:lang w:val="en-GB"/>
        </w:rPr>
      </w:pPr>
      <w:r>
        <w:rPr>
          <w:lang w:val="en-GB"/>
        </w:rPr>
        <w:t>There are</w:t>
      </w:r>
      <w:r w:rsidR="00F170FD">
        <w:rPr>
          <w:lang w:val="en-GB"/>
        </w:rPr>
        <w:t xml:space="preserve"> significant </w:t>
      </w:r>
      <w:r>
        <w:rPr>
          <w:lang w:val="en-GB"/>
        </w:rPr>
        <w:t xml:space="preserve">gaps </w:t>
      </w:r>
      <w:r w:rsidR="00F170FD">
        <w:rPr>
          <w:lang w:val="en-GB"/>
        </w:rPr>
        <w:t>about what</w:t>
      </w:r>
      <w:r>
        <w:rPr>
          <w:lang w:val="en-GB"/>
        </w:rPr>
        <w:t xml:space="preserve"> is understood in regard to the contribution that outputs from Phases I-III have made to outcomes</w:t>
      </w:r>
      <w:r w:rsidR="00246F50">
        <w:rPr>
          <w:lang w:val="en-GB"/>
        </w:rPr>
        <w:t xml:space="preserve"> and</w:t>
      </w:r>
      <w:r>
        <w:rPr>
          <w:lang w:val="en-GB"/>
        </w:rPr>
        <w:t xml:space="preserve"> to what extent these contributions are beings are sustained. This understanding needs to be addressed and an evaluation of Phases I-III should inform the strategic investments that IF (IV) </w:t>
      </w:r>
      <w:r w:rsidR="00F170FD">
        <w:rPr>
          <w:lang w:val="en-GB"/>
        </w:rPr>
        <w:t>will</w:t>
      </w:r>
      <w:r>
        <w:rPr>
          <w:lang w:val="en-GB"/>
        </w:rPr>
        <w:t xml:space="preserve"> prioritise and the lessons it </w:t>
      </w:r>
      <w:r w:rsidR="00F170FD">
        <w:rPr>
          <w:lang w:val="en-GB"/>
        </w:rPr>
        <w:t>can</w:t>
      </w:r>
      <w:r>
        <w:rPr>
          <w:lang w:val="en-GB"/>
        </w:rPr>
        <w:t xml:space="preserve"> learn from previous phases.  </w:t>
      </w:r>
    </w:p>
    <w:p w:rsidR="00C4657B" w:rsidRPr="003E1BBA" w:rsidRDefault="00C4657B" w:rsidP="00422DDC">
      <w:pPr>
        <w:spacing w:before="0" w:after="0"/>
        <w:rPr>
          <w:sz w:val="16"/>
          <w:szCs w:val="16"/>
          <w:lang w:val="en-GB"/>
        </w:rPr>
      </w:pPr>
    </w:p>
    <w:p w:rsidR="00080A78" w:rsidRDefault="00FB6F60" w:rsidP="00422DDC">
      <w:pPr>
        <w:spacing w:before="0" w:after="0"/>
        <w:rPr>
          <w:lang w:val="en-GB"/>
        </w:rPr>
      </w:pPr>
      <w:r w:rsidRPr="00571F0B">
        <w:rPr>
          <w:lang w:val="en-GB"/>
        </w:rPr>
        <w:t xml:space="preserve">Using </w:t>
      </w:r>
      <w:r w:rsidR="00C4657B" w:rsidRPr="00571F0B">
        <w:rPr>
          <w:lang w:val="en-GB"/>
        </w:rPr>
        <w:t>DFAT</w:t>
      </w:r>
      <w:r w:rsidR="00080A78" w:rsidRPr="00571F0B">
        <w:rPr>
          <w:lang w:val="en-GB"/>
        </w:rPr>
        <w:t xml:space="preserve"> Monitoring and Evaluation Standards 4, 5 and 6</w:t>
      </w:r>
      <w:r w:rsidR="002E7ED4" w:rsidRPr="00571F0B">
        <w:rPr>
          <w:lang w:val="en-GB"/>
        </w:rPr>
        <w:t>,</w:t>
      </w:r>
      <w:r w:rsidR="00080A78" w:rsidRPr="00571F0B">
        <w:rPr>
          <w:lang w:val="en-GB"/>
        </w:rPr>
        <w:t xml:space="preserve"> IF (IV) should </w:t>
      </w:r>
      <w:r w:rsidR="003E1BBA">
        <w:rPr>
          <w:lang w:val="en-GB"/>
        </w:rPr>
        <w:t>commission</w:t>
      </w:r>
      <w:r w:rsidR="00080A78" w:rsidRPr="00571F0B">
        <w:rPr>
          <w:lang w:val="en-GB"/>
        </w:rPr>
        <w:t xml:space="preserve"> an evaluation of </w:t>
      </w:r>
      <w:r w:rsidR="003E1BBA">
        <w:rPr>
          <w:lang w:val="en-GB"/>
        </w:rPr>
        <w:t xml:space="preserve">a selected sample of </w:t>
      </w:r>
      <w:r w:rsidR="00080A78" w:rsidRPr="00571F0B">
        <w:rPr>
          <w:lang w:val="en-GB"/>
        </w:rPr>
        <w:t>Phase I, II and III IFAs. The</w:t>
      </w:r>
      <w:r w:rsidR="00F643D9">
        <w:rPr>
          <w:lang w:val="en-GB"/>
        </w:rPr>
        <w:t xml:space="preserve"> </w:t>
      </w:r>
      <w:r w:rsidR="00080A78" w:rsidRPr="00571F0B">
        <w:rPr>
          <w:lang w:val="en-GB"/>
        </w:rPr>
        <w:t xml:space="preserve">evaluation </w:t>
      </w:r>
      <w:r w:rsidR="00564C5C">
        <w:rPr>
          <w:lang w:val="en-GB"/>
        </w:rPr>
        <w:t>should focus on the unknowns in the PAF</w:t>
      </w:r>
      <w:r w:rsidR="00F170FD">
        <w:rPr>
          <w:lang w:val="en-GB"/>
        </w:rPr>
        <w:t xml:space="preserve"> and address the following questions</w:t>
      </w:r>
      <w:r w:rsidR="00564C5C">
        <w:rPr>
          <w:lang w:val="en-GB"/>
        </w:rPr>
        <w:t>:</w:t>
      </w:r>
    </w:p>
    <w:p w:rsidR="007908E0" w:rsidRDefault="00080A78" w:rsidP="00A82AAB">
      <w:pPr>
        <w:pStyle w:val="ListParagraph"/>
        <w:numPr>
          <w:ilvl w:val="0"/>
          <w:numId w:val="43"/>
        </w:numPr>
        <w:spacing w:before="0" w:after="0"/>
        <w:ind w:left="284" w:hanging="284"/>
        <w:rPr>
          <w:lang w:val="en-GB"/>
        </w:rPr>
      </w:pPr>
      <w:r w:rsidRPr="00F643D9">
        <w:rPr>
          <w:lang w:val="en-GB"/>
        </w:rPr>
        <w:t>To what extent are investments operating and being maintained</w:t>
      </w:r>
      <w:r w:rsidR="00F643D9">
        <w:rPr>
          <w:lang w:val="en-GB"/>
        </w:rPr>
        <w:t xml:space="preserve"> (disaggregated by infrastructure and non-infrastructure IFAs)</w:t>
      </w:r>
      <w:r w:rsidR="00F643D9" w:rsidRPr="00F643D9">
        <w:rPr>
          <w:lang w:val="en-GB"/>
        </w:rPr>
        <w:t xml:space="preserve">?  </w:t>
      </w:r>
    </w:p>
    <w:p w:rsidR="00080A78" w:rsidRPr="00F643D9" w:rsidRDefault="00F643D9" w:rsidP="00A82AAB">
      <w:pPr>
        <w:pStyle w:val="ListParagraph"/>
        <w:numPr>
          <w:ilvl w:val="0"/>
          <w:numId w:val="43"/>
        </w:numPr>
        <w:spacing w:before="0" w:after="0"/>
        <w:ind w:left="284" w:hanging="284"/>
        <w:rPr>
          <w:lang w:val="en-GB"/>
        </w:rPr>
      </w:pPr>
      <w:r w:rsidRPr="00F643D9">
        <w:rPr>
          <w:lang w:val="en-GB"/>
        </w:rPr>
        <w:t>How many</w:t>
      </w:r>
      <w:r w:rsidR="00080A78" w:rsidRPr="00F643D9">
        <w:rPr>
          <w:lang w:val="en-GB"/>
        </w:rPr>
        <w:t xml:space="preserve"> people benefit</w:t>
      </w:r>
      <w:r w:rsidR="007908E0">
        <w:rPr>
          <w:lang w:val="en-GB"/>
        </w:rPr>
        <w:t>ted</w:t>
      </w:r>
      <w:r>
        <w:rPr>
          <w:lang w:val="en-GB"/>
        </w:rPr>
        <w:t xml:space="preserve"> (disaggregated by sex and age)</w:t>
      </w:r>
      <w:r w:rsidR="007908E0">
        <w:rPr>
          <w:lang w:val="en-GB"/>
        </w:rPr>
        <w:t xml:space="preserve"> from incentive fund investments (disaggregated by sector), and how?</w:t>
      </w:r>
    </w:p>
    <w:p w:rsidR="00080A78" w:rsidRPr="00571F0B" w:rsidRDefault="007908E0" w:rsidP="00A82AAB">
      <w:pPr>
        <w:pStyle w:val="ListParagraph"/>
        <w:numPr>
          <w:ilvl w:val="0"/>
          <w:numId w:val="43"/>
        </w:numPr>
        <w:spacing w:before="0" w:after="0"/>
        <w:ind w:left="284" w:hanging="284"/>
        <w:rPr>
          <w:lang w:val="en-GB"/>
        </w:rPr>
      </w:pPr>
      <w:r>
        <w:rPr>
          <w:lang w:val="en-GB"/>
        </w:rPr>
        <w:t xml:space="preserve">What range of </w:t>
      </w:r>
      <w:r w:rsidR="00080A78" w:rsidRPr="00571F0B">
        <w:rPr>
          <w:lang w:val="en-GB"/>
        </w:rPr>
        <w:t xml:space="preserve">economic </w:t>
      </w:r>
      <w:r w:rsidR="00205423" w:rsidRPr="00205423">
        <w:t>development</w:t>
      </w:r>
      <w:r w:rsidR="00080A78" w:rsidRPr="00571F0B">
        <w:rPr>
          <w:lang w:val="en-GB"/>
        </w:rPr>
        <w:t xml:space="preserve"> activities </w:t>
      </w:r>
      <w:r>
        <w:rPr>
          <w:lang w:val="en-GB"/>
        </w:rPr>
        <w:t xml:space="preserve">have been supported through the incentive fund, to what extent are they on-going and </w:t>
      </w:r>
      <w:r w:rsidR="00080A78" w:rsidRPr="00571F0B">
        <w:rPr>
          <w:lang w:val="en-GB"/>
        </w:rPr>
        <w:t xml:space="preserve">how many people are benefitting, especially women and girls. Economic analysis should be conducted on these </w:t>
      </w:r>
      <w:r w:rsidR="00DD1CC9" w:rsidRPr="00571F0B">
        <w:rPr>
          <w:lang w:val="en-GB"/>
        </w:rPr>
        <w:t xml:space="preserve">to </w:t>
      </w:r>
      <w:r w:rsidR="00467729" w:rsidRPr="00571F0B">
        <w:rPr>
          <w:lang w:val="en-GB"/>
        </w:rPr>
        <w:t>confidently determine</w:t>
      </w:r>
      <w:r w:rsidR="00080A78" w:rsidRPr="00571F0B">
        <w:rPr>
          <w:lang w:val="en-GB"/>
        </w:rPr>
        <w:t xml:space="preserve"> returns on investments.</w:t>
      </w:r>
    </w:p>
    <w:p w:rsidR="007908E0" w:rsidRDefault="007908E0" w:rsidP="00A82AAB">
      <w:pPr>
        <w:pStyle w:val="ListParagraph"/>
        <w:numPr>
          <w:ilvl w:val="0"/>
          <w:numId w:val="43"/>
        </w:numPr>
        <w:spacing w:before="0" w:after="0"/>
        <w:ind w:left="284" w:hanging="284"/>
        <w:rPr>
          <w:lang w:val="en-GB"/>
        </w:rPr>
      </w:pPr>
      <w:r>
        <w:rPr>
          <w:lang w:val="en-GB"/>
        </w:rPr>
        <w:t>What was the level of private sector involvement and what lessons are there to learn to assist position private sector involvement in IF (IV)?</w:t>
      </w:r>
    </w:p>
    <w:p w:rsidR="00467729" w:rsidRPr="007908E0" w:rsidRDefault="00467729" w:rsidP="00A82AAB">
      <w:pPr>
        <w:pStyle w:val="ListParagraph"/>
        <w:numPr>
          <w:ilvl w:val="0"/>
          <w:numId w:val="43"/>
        </w:numPr>
        <w:spacing w:before="0" w:after="0"/>
        <w:ind w:left="284" w:hanging="284"/>
        <w:rPr>
          <w:lang w:val="en-GB"/>
        </w:rPr>
      </w:pPr>
      <w:r w:rsidRPr="007908E0">
        <w:rPr>
          <w:lang w:val="en-GB"/>
        </w:rPr>
        <w:t xml:space="preserve">To what extent </w:t>
      </w:r>
      <w:r w:rsidR="0070258C">
        <w:rPr>
          <w:lang w:val="en-GB"/>
        </w:rPr>
        <w:t>have</w:t>
      </w:r>
      <w:r w:rsidRPr="007908E0">
        <w:rPr>
          <w:lang w:val="en-GB"/>
        </w:rPr>
        <w:t xml:space="preserve"> previously supported partners expand</w:t>
      </w:r>
      <w:r w:rsidR="0070258C">
        <w:rPr>
          <w:lang w:val="en-GB"/>
        </w:rPr>
        <w:t>ed</w:t>
      </w:r>
      <w:r w:rsidRPr="007908E0">
        <w:rPr>
          <w:lang w:val="en-GB"/>
        </w:rPr>
        <w:t xml:space="preserve"> their activities a result of the new management and technical skills they developed with the investment fund</w:t>
      </w:r>
      <w:r w:rsidR="0070258C">
        <w:rPr>
          <w:lang w:val="en-GB"/>
        </w:rPr>
        <w:t>?</w:t>
      </w:r>
    </w:p>
    <w:p w:rsidR="00467729" w:rsidRPr="00571F0B" w:rsidRDefault="00467729" w:rsidP="00A82AAB">
      <w:pPr>
        <w:pStyle w:val="ListParagraph"/>
        <w:numPr>
          <w:ilvl w:val="0"/>
          <w:numId w:val="43"/>
        </w:numPr>
        <w:spacing w:before="0" w:after="0"/>
        <w:ind w:left="284" w:hanging="284"/>
        <w:rPr>
          <w:lang w:val="en-GB"/>
        </w:rPr>
      </w:pPr>
      <w:r w:rsidRPr="00571F0B">
        <w:rPr>
          <w:lang w:val="en-GB"/>
        </w:rPr>
        <w:lastRenderedPageBreak/>
        <w:t>To what extent have previous partners institutionalised social inclusion policy and procedures, and what changes</w:t>
      </w:r>
      <w:r w:rsidR="00422DDC">
        <w:rPr>
          <w:lang w:val="en-GB"/>
        </w:rPr>
        <w:t xml:space="preserve"> have occurred because of them?</w:t>
      </w:r>
    </w:p>
    <w:p w:rsidR="00F643D9" w:rsidRDefault="00F643D9" w:rsidP="00422DDC">
      <w:pPr>
        <w:spacing w:before="0" w:after="0"/>
        <w:jc w:val="left"/>
        <w:rPr>
          <w:lang w:val="en-GB"/>
        </w:rPr>
      </w:pPr>
    </w:p>
    <w:p w:rsidR="002E7ED4" w:rsidRPr="00571F0B" w:rsidRDefault="002E7ED4" w:rsidP="00BE7C9E">
      <w:pPr>
        <w:pStyle w:val="Heading2"/>
        <w:rPr>
          <w:lang w:val="en-GB"/>
        </w:rPr>
      </w:pPr>
      <w:bookmarkStart w:id="45" w:name="_Toc403037579"/>
      <w:r w:rsidRPr="00571F0B">
        <w:rPr>
          <w:lang w:val="en-GB"/>
        </w:rPr>
        <w:t>What will IF (IV) achieve?</w:t>
      </w:r>
      <w:bookmarkEnd w:id="45"/>
    </w:p>
    <w:p w:rsidR="00080A78" w:rsidRDefault="00C4657B" w:rsidP="00F643D9">
      <w:pPr>
        <w:spacing w:before="0" w:after="0"/>
        <w:rPr>
          <w:lang w:val="en-GB"/>
        </w:rPr>
      </w:pPr>
      <w:r w:rsidRPr="00571F0B">
        <w:rPr>
          <w:lang w:val="en-GB"/>
        </w:rPr>
        <w:t xml:space="preserve">This design </w:t>
      </w:r>
      <w:r w:rsidR="002E7ED4" w:rsidRPr="00571F0B">
        <w:rPr>
          <w:lang w:val="en-GB"/>
        </w:rPr>
        <w:t>acknowledge</w:t>
      </w:r>
      <w:r w:rsidRPr="00571F0B">
        <w:rPr>
          <w:lang w:val="en-GB"/>
        </w:rPr>
        <w:t>s</w:t>
      </w:r>
      <w:r w:rsidR="002E7ED4" w:rsidRPr="00571F0B">
        <w:rPr>
          <w:lang w:val="en-GB"/>
        </w:rPr>
        <w:t xml:space="preserve"> the Phase III Information Handbook, ACR and in particular the information and analysis provided by the comprehensive monitoring and evaluation systems that informed the Phase III implementation and ACR. They served this design well and should be read in conjunctio</w:t>
      </w:r>
      <w:r w:rsidR="006F7CA7">
        <w:rPr>
          <w:lang w:val="en-GB"/>
        </w:rPr>
        <w:t xml:space="preserve">n with the IF (IV) </w:t>
      </w:r>
      <w:r w:rsidR="00F643D9">
        <w:rPr>
          <w:lang w:val="en-GB"/>
        </w:rPr>
        <w:t>design.</w:t>
      </w:r>
    </w:p>
    <w:p w:rsidR="00F643D9" w:rsidRPr="00F643D9" w:rsidRDefault="00F643D9" w:rsidP="00F643D9">
      <w:pPr>
        <w:spacing w:before="0" w:after="0"/>
        <w:rPr>
          <w:sz w:val="16"/>
          <w:szCs w:val="16"/>
          <w:lang w:val="en-GB"/>
        </w:rPr>
      </w:pPr>
    </w:p>
    <w:p w:rsidR="002E7ED4" w:rsidRDefault="002E7ED4" w:rsidP="00F643D9">
      <w:pPr>
        <w:spacing w:before="0" w:after="0"/>
        <w:rPr>
          <w:lang w:val="en-GB"/>
        </w:rPr>
      </w:pPr>
      <w:r w:rsidRPr="00571F0B">
        <w:rPr>
          <w:lang w:val="en-GB"/>
        </w:rPr>
        <w:t>The Phase III program logic makes clear linkage</w:t>
      </w:r>
      <w:r w:rsidR="006773B4" w:rsidRPr="00571F0B">
        <w:rPr>
          <w:lang w:val="en-GB"/>
        </w:rPr>
        <w:t>s</w:t>
      </w:r>
      <w:r w:rsidRPr="00571F0B">
        <w:rPr>
          <w:lang w:val="en-GB"/>
        </w:rPr>
        <w:t xml:space="preserve"> between efficiently delivered project outputs and the expected cont</w:t>
      </w:r>
      <w:r w:rsidR="00246F50">
        <w:rPr>
          <w:lang w:val="en-GB"/>
        </w:rPr>
        <w:t>ribution they will make to post-</w:t>
      </w:r>
      <w:r w:rsidRPr="00571F0B">
        <w:rPr>
          <w:lang w:val="en-GB"/>
        </w:rPr>
        <w:t>investment outcomes</w:t>
      </w:r>
      <w:r w:rsidR="006F7CA7">
        <w:rPr>
          <w:lang w:val="en-GB"/>
        </w:rPr>
        <w:t>.</w:t>
      </w:r>
      <w:r w:rsidRPr="00571F0B">
        <w:rPr>
          <w:lang w:val="en-GB"/>
        </w:rPr>
        <w:t xml:space="preserve"> </w:t>
      </w:r>
      <w:r w:rsidR="00936B8E" w:rsidRPr="00571F0B">
        <w:rPr>
          <w:lang w:val="en-GB"/>
        </w:rPr>
        <w:t>Those expected outcomes are listed above, and a comprehensive evaluation at the start of IF (IV) will confirm to what extent outputs converted to outcomes.</w:t>
      </w:r>
    </w:p>
    <w:p w:rsidR="00F643D9" w:rsidRPr="00F643D9" w:rsidRDefault="00F643D9" w:rsidP="00F643D9">
      <w:pPr>
        <w:spacing w:before="0" w:after="0"/>
        <w:rPr>
          <w:sz w:val="16"/>
          <w:szCs w:val="16"/>
          <w:lang w:val="en-GB"/>
        </w:rPr>
      </w:pPr>
    </w:p>
    <w:p w:rsidR="00F643D9" w:rsidRDefault="00936B8E" w:rsidP="00F643D9">
      <w:pPr>
        <w:spacing w:before="0" w:after="0"/>
        <w:rPr>
          <w:lang w:val="en-GB"/>
        </w:rPr>
      </w:pPr>
      <w:r w:rsidRPr="00571F0B">
        <w:rPr>
          <w:lang w:val="en-GB"/>
        </w:rPr>
        <w:t xml:space="preserve">This IF (IV) design picks up where the Phase III Program Logic </w:t>
      </w:r>
      <w:proofErr w:type="gramStart"/>
      <w:r w:rsidR="008F0F11" w:rsidRPr="00571F0B">
        <w:rPr>
          <w:lang w:val="en-GB"/>
        </w:rPr>
        <w:t>ended,</w:t>
      </w:r>
      <w:proofErr w:type="gramEnd"/>
      <w:r w:rsidRPr="00571F0B">
        <w:rPr>
          <w:lang w:val="en-GB"/>
        </w:rPr>
        <w:t xml:space="preserve"> and consistent </w:t>
      </w:r>
      <w:r w:rsidR="006F7CA7">
        <w:rPr>
          <w:lang w:val="en-GB"/>
        </w:rPr>
        <w:t xml:space="preserve">with required Australian Aid practice </w:t>
      </w:r>
      <w:r w:rsidR="002B7876" w:rsidRPr="002B7876">
        <w:rPr>
          <w:lang w:val="en-GB"/>
        </w:rPr>
        <w:t xml:space="preserve">IF (IV) </w:t>
      </w:r>
      <w:r w:rsidR="006F7CA7">
        <w:rPr>
          <w:lang w:val="en-GB"/>
        </w:rPr>
        <w:t xml:space="preserve">will deliver all </w:t>
      </w:r>
      <w:r w:rsidRPr="00571F0B">
        <w:rPr>
          <w:lang w:val="en-GB"/>
        </w:rPr>
        <w:t>investment</w:t>
      </w:r>
      <w:r w:rsidR="006F7CA7">
        <w:rPr>
          <w:lang w:val="en-GB"/>
        </w:rPr>
        <w:t>s</w:t>
      </w:r>
      <w:r w:rsidRPr="00571F0B">
        <w:rPr>
          <w:lang w:val="en-GB"/>
        </w:rPr>
        <w:t xml:space="preserve"> through a Performance Assessment Framework </w:t>
      </w:r>
      <w:r w:rsidR="00834C34" w:rsidRPr="00571F0B">
        <w:rPr>
          <w:lang w:val="en-GB"/>
        </w:rPr>
        <w:t xml:space="preserve">(PAF) </w:t>
      </w:r>
      <w:r w:rsidR="00F643D9">
        <w:rPr>
          <w:lang w:val="en-GB"/>
        </w:rPr>
        <w:t>(</w:t>
      </w:r>
      <w:r w:rsidR="006F7CA7">
        <w:rPr>
          <w:lang w:val="en-GB"/>
        </w:rPr>
        <w:t>Table 9</w:t>
      </w:r>
      <w:r w:rsidR="00F643D9" w:rsidRPr="0070258C">
        <w:rPr>
          <w:lang w:val="en-GB"/>
        </w:rPr>
        <w:t>)</w:t>
      </w:r>
      <w:r w:rsidRPr="0070258C">
        <w:rPr>
          <w:lang w:val="en-GB"/>
        </w:rPr>
        <w:t>.</w:t>
      </w:r>
    </w:p>
    <w:p w:rsidR="00F643D9" w:rsidRPr="00F643D9" w:rsidRDefault="00F643D9" w:rsidP="00F643D9">
      <w:pPr>
        <w:spacing w:before="0" w:after="0"/>
        <w:rPr>
          <w:sz w:val="16"/>
          <w:szCs w:val="16"/>
          <w:lang w:val="en-GB"/>
        </w:rPr>
      </w:pPr>
    </w:p>
    <w:p w:rsidR="00BD3BA6" w:rsidRDefault="00936B8E" w:rsidP="00F643D9">
      <w:pPr>
        <w:spacing w:before="0" w:after="0"/>
        <w:rPr>
          <w:lang w:val="en-GB"/>
        </w:rPr>
      </w:pPr>
      <w:r w:rsidRPr="00571F0B">
        <w:rPr>
          <w:lang w:val="en-GB"/>
        </w:rPr>
        <w:t xml:space="preserve">DFAT </w:t>
      </w:r>
      <w:r w:rsidR="0070258C">
        <w:rPr>
          <w:lang w:val="en-GB"/>
        </w:rPr>
        <w:t xml:space="preserve">directed the </w:t>
      </w:r>
      <w:r w:rsidR="002B7876" w:rsidRPr="002B7876">
        <w:rPr>
          <w:lang w:val="en-GB"/>
        </w:rPr>
        <w:t xml:space="preserve">IF (IV) </w:t>
      </w:r>
      <w:r w:rsidR="0070258C">
        <w:rPr>
          <w:lang w:val="en-GB"/>
        </w:rPr>
        <w:t xml:space="preserve">design to target </w:t>
      </w:r>
      <w:r w:rsidRPr="00571F0B">
        <w:rPr>
          <w:lang w:val="en-GB"/>
        </w:rPr>
        <w:t xml:space="preserve">health, education and </w:t>
      </w:r>
      <w:r w:rsidR="00205423">
        <w:rPr>
          <w:lang w:val="en-GB"/>
        </w:rPr>
        <w:t xml:space="preserve">other sectors and to stimulate </w:t>
      </w:r>
      <w:r w:rsidRPr="00571F0B">
        <w:rPr>
          <w:lang w:val="en-GB"/>
        </w:rPr>
        <w:t xml:space="preserve">economic </w:t>
      </w:r>
      <w:r w:rsidR="00205423" w:rsidRPr="00205423">
        <w:rPr>
          <w:lang w:val="en-GB"/>
        </w:rPr>
        <w:t xml:space="preserve">development </w:t>
      </w:r>
      <w:r w:rsidR="0070258C">
        <w:rPr>
          <w:lang w:val="en-GB"/>
        </w:rPr>
        <w:t>without specifying any proportionality to each sector o</w:t>
      </w:r>
      <w:r w:rsidR="00BD3BA6">
        <w:rPr>
          <w:lang w:val="en-GB"/>
        </w:rPr>
        <w:t>r</w:t>
      </w:r>
      <w:r w:rsidR="0070258C">
        <w:rPr>
          <w:lang w:val="en-GB"/>
        </w:rPr>
        <w:t xml:space="preserve"> </w:t>
      </w:r>
      <w:r w:rsidR="00BD3BA6">
        <w:rPr>
          <w:lang w:val="en-GB"/>
        </w:rPr>
        <w:t xml:space="preserve">providing confirmation in regard to which </w:t>
      </w:r>
      <w:r w:rsidR="00994D0B">
        <w:rPr>
          <w:lang w:val="en-GB"/>
        </w:rPr>
        <w:t xml:space="preserve">organisations and </w:t>
      </w:r>
      <w:r w:rsidR="00BD3BA6">
        <w:rPr>
          <w:lang w:val="en-GB"/>
        </w:rPr>
        <w:t xml:space="preserve">activities should be supported within each sector. It is to be expected that support can be broad and will be confirmed through the </w:t>
      </w:r>
      <w:r w:rsidR="006F7CA7">
        <w:rPr>
          <w:lang w:val="en-GB"/>
        </w:rPr>
        <w:t>Delivery Strategy</w:t>
      </w:r>
      <w:r w:rsidR="00BD3BA6">
        <w:rPr>
          <w:lang w:val="en-GB"/>
        </w:rPr>
        <w:t xml:space="preserve"> and annual planning processes, and </w:t>
      </w:r>
      <w:r w:rsidR="006F7CA7">
        <w:rPr>
          <w:lang w:val="en-GB"/>
        </w:rPr>
        <w:t>investments will be</w:t>
      </w:r>
      <w:r w:rsidR="00994D0B">
        <w:rPr>
          <w:lang w:val="en-GB"/>
        </w:rPr>
        <w:t xml:space="preserve"> </w:t>
      </w:r>
      <w:r w:rsidR="00BD3BA6">
        <w:rPr>
          <w:lang w:val="en-GB"/>
        </w:rPr>
        <w:t xml:space="preserve">targeted through CPR’s. </w:t>
      </w:r>
      <w:r w:rsidR="008F0F11" w:rsidRPr="00571F0B">
        <w:rPr>
          <w:lang w:val="en-GB"/>
        </w:rPr>
        <w:t xml:space="preserve"> </w:t>
      </w:r>
    </w:p>
    <w:p w:rsidR="00EE49FD" w:rsidRDefault="00EE49FD" w:rsidP="00F643D9">
      <w:pPr>
        <w:spacing w:before="0" w:after="0"/>
        <w:rPr>
          <w:lang w:val="en-GB"/>
        </w:rPr>
      </w:pPr>
    </w:p>
    <w:p w:rsidR="00936B8E" w:rsidRPr="00571F0B" w:rsidRDefault="008F0F11" w:rsidP="00F643D9">
      <w:pPr>
        <w:spacing w:before="0" w:after="0"/>
        <w:rPr>
          <w:lang w:val="en-GB"/>
        </w:rPr>
      </w:pPr>
      <w:r w:rsidRPr="00571F0B">
        <w:rPr>
          <w:lang w:val="en-GB"/>
        </w:rPr>
        <w:t>Regardless of which sectors the investment is supporting,</w:t>
      </w:r>
      <w:r w:rsidR="00936B8E" w:rsidRPr="00571F0B">
        <w:rPr>
          <w:lang w:val="en-GB"/>
        </w:rPr>
        <w:t xml:space="preserve"> the design </w:t>
      </w:r>
      <w:r w:rsidR="00994D0B">
        <w:rPr>
          <w:lang w:val="en-GB"/>
        </w:rPr>
        <w:t>insists</w:t>
      </w:r>
      <w:r w:rsidR="00936B8E" w:rsidRPr="00571F0B">
        <w:rPr>
          <w:lang w:val="en-GB"/>
        </w:rPr>
        <w:t xml:space="preserve"> that all IV (IF) investments specifically identify </w:t>
      </w:r>
      <w:r w:rsidRPr="00571F0B">
        <w:rPr>
          <w:lang w:val="en-GB"/>
        </w:rPr>
        <w:t>how they can demonstrate alignment with</w:t>
      </w:r>
      <w:r w:rsidR="00936B8E" w:rsidRPr="00571F0B">
        <w:rPr>
          <w:lang w:val="en-GB"/>
        </w:rPr>
        <w:t xml:space="preserve"> the following funding criteria:</w:t>
      </w:r>
    </w:p>
    <w:p w:rsidR="00936B8E" w:rsidRPr="00013706" w:rsidRDefault="00936B8E" w:rsidP="00A82AAB">
      <w:pPr>
        <w:numPr>
          <w:ilvl w:val="0"/>
          <w:numId w:val="44"/>
        </w:numPr>
        <w:spacing w:before="0" w:after="0"/>
        <w:ind w:left="284" w:hanging="284"/>
        <w:rPr>
          <w:lang w:val="en-GB"/>
        </w:rPr>
      </w:pPr>
      <w:r w:rsidRPr="00013706">
        <w:rPr>
          <w:lang w:val="en-GB"/>
        </w:rPr>
        <w:t xml:space="preserve">How </w:t>
      </w:r>
      <w:r w:rsidR="006773B4" w:rsidRPr="00013706">
        <w:rPr>
          <w:lang w:val="en-GB"/>
        </w:rPr>
        <w:t xml:space="preserve">will </w:t>
      </w:r>
      <w:r w:rsidRPr="00013706">
        <w:rPr>
          <w:lang w:val="en-GB"/>
        </w:rPr>
        <w:t>the effective partner ensure that this IF (IV) funded infrastructure or support is of sufficient quality, fit-for-purpose and will continue to operate and be maintained post investment?</w:t>
      </w:r>
      <w:r w:rsidR="006773B4" w:rsidRPr="00013706">
        <w:rPr>
          <w:lang w:val="en-GB"/>
        </w:rPr>
        <w:t xml:space="preserve"> This will drive an output outcome.</w:t>
      </w:r>
    </w:p>
    <w:p w:rsidR="00936B8E" w:rsidRPr="00013706" w:rsidRDefault="00936B8E" w:rsidP="00A82AAB">
      <w:pPr>
        <w:numPr>
          <w:ilvl w:val="0"/>
          <w:numId w:val="44"/>
        </w:numPr>
        <w:spacing w:before="0" w:after="0"/>
        <w:ind w:left="284" w:hanging="284"/>
        <w:rPr>
          <w:lang w:val="en-GB"/>
        </w:rPr>
      </w:pPr>
      <w:r w:rsidRPr="00013706">
        <w:rPr>
          <w:lang w:val="en-GB"/>
        </w:rPr>
        <w:t xml:space="preserve">How </w:t>
      </w:r>
      <w:r w:rsidR="006773B4" w:rsidRPr="00013706">
        <w:rPr>
          <w:lang w:val="en-GB"/>
        </w:rPr>
        <w:t>will t</w:t>
      </w:r>
      <w:r w:rsidRPr="00013706">
        <w:rPr>
          <w:lang w:val="en-GB"/>
        </w:rPr>
        <w:t xml:space="preserve">he effective partner ensure </w:t>
      </w:r>
      <w:r w:rsidR="00CC1E7D" w:rsidRPr="00CC1E7D">
        <w:rPr>
          <w:lang w:val="en-GB"/>
        </w:rPr>
        <w:t xml:space="preserve">80 per cent of the investments will support empowerment of women and girls </w:t>
      </w:r>
      <w:r w:rsidR="006773B4" w:rsidRPr="00013706">
        <w:rPr>
          <w:lang w:val="en-GB"/>
        </w:rPr>
        <w:t xml:space="preserve">who will benefit </w:t>
      </w:r>
      <w:r w:rsidR="008F0F11" w:rsidRPr="00013706">
        <w:rPr>
          <w:lang w:val="en-GB"/>
        </w:rPr>
        <w:t xml:space="preserve">from </w:t>
      </w:r>
      <w:r w:rsidR="006773B4" w:rsidRPr="00013706">
        <w:rPr>
          <w:lang w:val="en-GB"/>
        </w:rPr>
        <w:t xml:space="preserve">the </w:t>
      </w:r>
      <w:r w:rsidRPr="00013706">
        <w:rPr>
          <w:lang w:val="en-GB"/>
        </w:rPr>
        <w:t xml:space="preserve">IF (IV) </w:t>
      </w:r>
      <w:r w:rsidR="006773B4" w:rsidRPr="00013706">
        <w:rPr>
          <w:lang w:val="en-GB"/>
        </w:rPr>
        <w:t>investment</w:t>
      </w:r>
      <w:r w:rsidRPr="00013706">
        <w:rPr>
          <w:lang w:val="en-GB"/>
        </w:rPr>
        <w:t xml:space="preserve"> and how </w:t>
      </w:r>
      <w:r w:rsidR="006773B4" w:rsidRPr="00013706">
        <w:rPr>
          <w:lang w:val="en-GB"/>
        </w:rPr>
        <w:t xml:space="preserve">will this </w:t>
      </w:r>
      <w:r w:rsidRPr="00013706">
        <w:rPr>
          <w:lang w:val="en-GB"/>
        </w:rPr>
        <w:t xml:space="preserve">benefit change their situation? </w:t>
      </w:r>
      <w:r w:rsidR="006773B4" w:rsidRPr="00013706">
        <w:rPr>
          <w:lang w:val="en-GB"/>
        </w:rPr>
        <w:t xml:space="preserve">This will drive </w:t>
      </w:r>
      <w:proofErr w:type="gramStart"/>
      <w:r w:rsidR="006773B4" w:rsidRPr="00013706">
        <w:rPr>
          <w:lang w:val="en-GB"/>
        </w:rPr>
        <w:t>both a</w:t>
      </w:r>
      <w:proofErr w:type="gramEnd"/>
      <w:r w:rsidR="006773B4" w:rsidRPr="00013706">
        <w:rPr>
          <w:lang w:val="en-GB"/>
        </w:rPr>
        <w:t xml:space="preserve"> process</w:t>
      </w:r>
      <w:r w:rsidR="008F0F11" w:rsidRPr="00013706">
        <w:rPr>
          <w:lang w:val="en-GB"/>
        </w:rPr>
        <w:t>, output and a target</w:t>
      </w:r>
      <w:r w:rsidR="006773B4" w:rsidRPr="00013706">
        <w:rPr>
          <w:lang w:val="en-GB"/>
        </w:rPr>
        <w:t xml:space="preserve"> outcome.</w:t>
      </w:r>
    </w:p>
    <w:p w:rsidR="00936B8E" w:rsidRPr="00013706" w:rsidRDefault="006773B4" w:rsidP="00A82AAB">
      <w:pPr>
        <w:numPr>
          <w:ilvl w:val="0"/>
          <w:numId w:val="44"/>
        </w:numPr>
        <w:spacing w:before="0" w:after="0"/>
        <w:ind w:left="284" w:hanging="284"/>
        <w:rPr>
          <w:lang w:val="en-GB"/>
        </w:rPr>
      </w:pPr>
      <w:r w:rsidRPr="00013706">
        <w:rPr>
          <w:lang w:val="en-GB"/>
        </w:rPr>
        <w:t xml:space="preserve">How will the effective partner ensure both commitment and institutionalisation of </w:t>
      </w:r>
      <w:r w:rsidR="00936B8E" w:rsidRPr="00013706">
        <w:rPr>
          <w:lang w:val="en-GB"/>
        </w:rPr>
        <w:t xml:space="preserve">social inclusion </w:t>
      </w:r>
      <w:r w:rsidRPr="00013706">
        <w:rPr>
          <w:lang w:val="en-GB"/>
        </w:rPr>
        <w:t xml:space="preserve">policy and </w:t>
      </w:r>
      <w:r w:rsidR="00936B8E" w:rsidRPr="00013706">
        <w:rPr>
          <w:lang w:val="en-GB"/>
        </w:rPr>
        <w:t>procedure?</w:t>
      </w:r>
      <w:r w:rsidRPr="00013706">
        <w:rPr>
          <w:lang w:val="en-GB"/>
        </w:rPr>
        <w:t xml:space="preserve"> This will drive a process outcome.</w:t>
      </w:r>
    </w:p>
    <w:p w:rsidR="00936B8E" w:rsidRPr="00013706" w:rsidRDefault="006773B4" w:rsidP="00A82AAB">
      <w:pPr>
        <w:numPr>
          <w:ilvl w:val="0"/>
          <w:numId w:val="44"/>
        </w:numPr>
        <w:spacing w:before="0" w:after="0"/>
        <w:ind w:left="284" w:hanging="284"/>
        <w:rPr>
          <w:lang w:val="en-GB"/>
        </w:rPr>
      </w:pPr>
      <w:r w:rsidRPr="00013706">
        <w:rPr>
          <w:lang w:val="en-GB"/>
        </w:rPr>
        <w:t xml:space="preserve">If a </w:t>
      </w:r>
      <w:r w:rsidR="00936B8E" w:rsidRPr="00013706">
        <w:rPr>
          <w:lang w:val="en-GB"/>
        </w:rPr>
        <w:t xml:space="preserve">private sector </w:t>
      </w:r>
      <w:r w:rsidR="006F7CA7">
        <w:rPr>
          <w:lang w:val="en-GB"/>
        </w:rPr>
        <w:t>company</w:t>
      </w:r>
      <w:r w:rsidR="008F0F11" w:rsidRPr="00013706">
        <w:rPr>
          <w:lang w:val="en-GB"/>
        </w:rPr>
        <w:t>,</w:t>
      </w:r>
      <w:r w:rsidRPr="00013706">
        <w:rPr>
          <w:lang w:val="en-GB"/>
        </w:rPr>
        <w:t xml:space="preserve"> </w:t>
      </w:r>
      <w:r w:rsidR="00936B8E" w:rsidRPr="00013706">
        <w:rPr>
          <w:lang w:val="en-GB"/>
        </w:rPr>
        <w:t xml:space="preserve">how </w:t>
      </w:r>
      <w:r w:rsidRPr="00013706">
        <w:rPr>
          <w:lang w:val="en-GB"/>
        </w:rPr>
        <w:t>will IF (IV) ensure it will be an effective partner</w:t>
      </w:r>
      <w:r w:rsidR="00936B8E" w:rsidRPr="00013706">
        <w:rPr>
          <w:lang w:val="en-GB"/>
        </w:rPr>
        <w:t>?</w:t>
      </w:r>
      <w:r w:rsidRPr="00013706">
        <w:rPr>
          <w:lang w:val="en-GB"/>
        </w:rPr>
        <w:t xml:space="preserve"> This will drive a </w:t>
      </w:r>
      <w:r w:rsidR="008F0F11" w:rsidRPr="00013706">
        <w:rPr>
          <w:lang w:val="en-GB"/>
        </w:rPr>
        <w:t>target</w:t>
      </w:r>
      <w:r w:rsidRPr="00013706">
        <w:rPr>
          <w:lang w:val="en-GB"/>
        </w:rPr>
        <w:t xml:space="preserve"> outcome.</w:t>
      </w:r>
    </w:p>
    <w:p w:rsidR="00936B8E" w:rsidRPr="00013706" w:rsidRDefault="006773B4" w:rsidP="00A82AAB">
      <w:pPr>
        <w:numPr>
          <w:ilvl w:val="0"/>
          <w:numId w:val="44"/>
        </w:numPr>
        <w:spacing w:before="0" w:after="0"/>
        <w:ind w:left="284" w:hanging="284"/>
        <w:rPr>
          <w:lang w:val="en-GB"/>
        </w:rPr>
      </w:pPr>
      <w:r w:rsidRPr="00013706">
        <w:rPr>
          <w:lang w:val="en-GB"/>
        </w:rPr>
        <w:t xml:space="preserve">How will effective </w:t>
      </w:r>
      <w:r w:rsidR="00936B8E" w:rsidRPr="00013706">
        <w:rPr>
          <w:lang w:val="en-GB"/>
        </w:rPr>
        <w:t xml:space="preserve">partners </w:t>
      </w:r>
      <w:r w:rsidRPr="00013706">
        <w:rPr>
          <w:lang w:val="en-GB"/>
        </w:rPr>
        <w:t>be a</w:t>
      </w:r>
      <w:r w:rsidR="00936B8E" w:rsidRPr="00013706">
        <w:rPr>
          <w:lang w:val="en-GB"/>
        </w:rPr>
        <w:t>ble to expand their activities further and implement new initiatives?</w:t>
      </w:r>
      <w:r w:rsidRPr="00013706">
        <w:rPr>
          <w:lang w:val="en-GB"/>
        </w:rPr>
        <w:t xml:space="preserve"> This will drive a process outcome.</w:t>
      </w:r>
    </w:p>
    <w:p w:rsidR="00936B8E" w:rsidRPr="00013706" w:rsidRDefault="00936B8E" w:rsidP="00F643D9">
      <w:pPr>
        <w:spacing w:before="0" w:after="0"/>
        <w:rPr>
          <w:sz w:val="16"/>
          <w:szCs w:val="16"/>
          <w:lang w:val="en-GB"/>
        </w:rPr>
      </w:pPr>
    </w:p>
    <w:p w:rsidR="007F14A0" w:rsidRPr="00571F0B" w:rsidRDefault="00013706" w:rsidP="00F643D9">
      <w:pPr>
        <w:spacing w:before="0" w:after="0"/>
        <w:rPr>
          <w:lang w:val="en-GB"/>
        </w:rPr>
      </w:pPr>
      <w:r>
        <w:rPr>
          <w:lang w:val="en-GB"/>
        </w:rPr>
        <w:t>T</w:t>
      </w:r>
      <w:r w:rsidR="00834C34" w:rsidRPr="00571F0B">
        <w:rPr>
          <w:lang w:val="en-GB"/>
        </w:rPr>
        <w:t xml:space="preserve">he Incentive Fund </w:t>
      </w:r>
      <w:r w:rsidR="00834C34" w:rsidRPr="00BD3BA6">
        <w:rPr>
          <w:lang w:val="en-GB"/>
        </w:rPr>
        <w:t xml:space="preserve">Logic in Annex </w:t>
      </w:r>
      <w:r w:rsidR="00966F2B" w:rsidRPr="00BD3BA6">
        <w:rPr>
          <w:lang w:val="en-GB"/>
        </w:rPr>
        <w:t>2</w:t>
      </w:r>
      <w:r w:rsidR="00834C34" w:rsidRPr="00BD3BA6">
        <w:rPr>
          <w:lang w:val="en-GB"/>
        </w:rPr>
        <w:t xml:space="preserve"> and </w:t>
      </w:r>
      <w:r w:rsidR="006F7CA7">
        <w:rPr>
          <w:lang w:val="en-GB"/>
        </w:rPr>
        <w:t>an indicative</w:t>
      </w:r>
      <w:r w:rsidR="00834C34" w:rsidRPr="00BD3BA6">
        <w:rPr>
          <w:lang w:val="en-GB"/>
        </w:rPr>
        <w:t xml:space="preserve"> PAF </w:t>
      </w:r>
      <w:r w:rsidRPr="00BD3BA6">
        <w:rPr>
          <w:lang w:val="en-GB"/>
        </w:rPr>
        <w:t>(</w:t>
      </w:r>
      <w:r w:rsidR="00834C34" w:rsidRPr="00BD3BA6">
        <w:rPr>
          <w:lang w:val="en-GB"/>
        </w:rPr>
        <w:t xml:space="preserve">Table </w:t>
      </w:r>
      <w:r w:rsidR="006F7CA7">
        <w:rPr>
          <w:lang w:val="en-GB"/>
        </w:rPr>
        <w:t>9</w:t>
      </w:r>
      <w:r w:rsidRPr="00BD3BA6">
        <w:rPr>
          <w:lang w:val="en-GB"/>
        </w:rPr>
        <w:t>) demonstrate</w:t>
      </w:r>
      <w:r w:rsidR="00834C34" w:rsidRPr="00571F0B">
        <w:rPr>
          <w:lang w:val="en-GB"/>
        </w:rPr>
        <w:t xml:space="preserve"> that </w:t>
      </w:r>
      <w:r w:rsidR="007F14A0" w:rsidRPr="00571F0B">
        <w:rPr>
          <w:lang w:val="en-GB"/>
        </w:rPr>
        <w:t>(compliant with DFAT M&amp;E Standards)</w:t>
      </w:r>
      <w:r w:rsidR="00C4657B" w:rsidRPr="00571F0B">
        <w:rPr>
          <w:lang w:val="en-GB"/>
        </w:rPr>
        <w:t>,</w:t>
      </w:r>
      <w:r w:rsidR="007F14A0" w:rsidRPr="00571F0B">
        <w:rPr>
          <w:lang w:val="en-GB"/>
        </w:rPr>
        <w:t xml:space="preserve"> </w:t>
      </w:r>
      <w:r w:rsidR="00834C34" w:rsidRPr="00571F0B">
        <w:rPr>
          <w:lang w:val="en-GB"/>
        </w:rPr>
        <w:t>from the start</w:t>
      </w:r>
      <w:r w:rsidR="00C4657B" w:rsidRPr="00571F0B">
        <w:rPr>
          <w:lang w:val="en-GB"/>
        </w:rPr>
        <w:t>,</w:t>
      </w:r>
      <w:r w:rsidR="00834C34" w:rsidRPr="00571F0B">
        <w:rPr>
          <w:lang w:val="en-GB"/>
        </w:rPr>
        <w:t xml:space="preserve"> IF (IV) is </w:t>
      </w:r>
      <w:r w:rsidR="00C4657B" w:rsidRPr="00571F0B">
        <w:rPr>
          <w:lang w:val="en-GB"/>
        </w:rPr>
        <w:t xml:space="preserve">deliberately driving an </w:t>
      </w:r>
      <w:r w:rsidR="007F14A0" w:rsidRPr="00571F0B">
        <w:rPr>
          <w:lang w:val="en-GB"/>
        </w:rPr>
        <w:t>end-of-</w:t>
      </w:r>
      <w:r w:rsidR="00834C34" w:rsidRPr="00571F0B">
        <w:rPr>
          <w:lang w:val="en-GB"/>
        </w:rPr>
        <w:t xml:space="preserve">program outcome position </w:t>
      </w:r>
      <w:r w:rsidR="007F14A0" w:rsidRPr="00571F0B">
        <w:rPr>
          <w:lang w:val="en-GB"/>
        </w:rPr>
        <w:t xml:space="preserve">that </w:t>
      </w:r>
      <w:r w:rsidR="00C4657B" w:rsidRPr="00571F0B">
        <w:rPr>
          <w:lang w:val="en-GB"/>
        </w:rPr>
        <w:t>should</w:t>
      </w:r>
      <w:r w:rsidR="00834C34" w:rsidRPr="00571F0B">
        <w:rPr>
          <w:lang w:val="en-GB"/>
        </w:rPr>
        <w:t xml:space="preserve"> ensure the post program goal </w:t>
      </w:r>
      <w:r w:rsidR="003E03F2">
        <w:rPr>
          <w:lang w:val="en-GB"/>
        </w:rPr>
        <w:t>t</w:t>
      </w:r>
      <w:r w:rsidR="003E03F2" w:rsidRPr="003E03F2">
        <w:rPr>
          <w:lang w:val="en-GB"/>
        </w:rPr>
        <w:t>o improve the capacity of organisations to meet the service delivery and economic development needs of the women, children and men of Papua New Guinea.</w:t>
      </w:r>
      <w:r w:rsidR="003E03F2">
        <w:rPr>
          <w:lang w:val="en-GB"/>
        </w:rPr>
        <w:t xml:space="preserve"> </w:t>
      </w:r>
      <w:r w:rsidR="007F14A0" w:rsidRPr="00571F0B">
        <w:rPr>
          <w:lang w:val="en-GB"/>
        </w:rPr>
        <w:t>Three point</w:t>
      </w:r>
      <w:r w:rsidR="00974030" w:rsidRPr="00571F0B">
        <w:rPr>
          <w:lang w:val="en-GB"/>
        </w:rPr>
        <w:t>s</w:t>
      </w:r>
      <w:r w:rsidR="007F14A0" w:rsidRPr="00571F0B">
        <w:rPr>
          <w:lang w:val="en-GB"/>
        </w:rPr>
        <w:t xml:space="preserve"> are worth confirming:</w:t>
      </w:r>
    </w:p>
    <w:p w:rsidR="007F14A0" w:rsidRPr="00571F0B" w:rsidRDefault="007F14A0" w:rsidP="00A82AAB">
      <w:pPr>
        <w:pStyle w:val="ListParagraph"/>
        <w:numPr>
          <w:ilvl w:val="0"/>
          <w:numId w:val="45"/>
        </w:numPr>
        <w:spacing w:before="0" w:after="0"/>
        <w:ind w:left="284" w:hanging="284"/>
        <w:rPr>
          <w:lang w:val="en-GB"/>
        </w:rPr>
      </w:pPr>
      <w:r w:rsidRPr="00571F0B">
        <w:rPr>
          <w:lang w:val="en-GB"/>
        </w:rPr>
        <w:t xml:space="preserve">The Phase I, II and III evaluation will significantly inform relevance of the </w:t>
      </w:r>
      <w:r w:rsidR="002B7876" w:rsidRPr="002B7876">
        <w:rPr>
          <w:lang w:val="en-GB"/>
        </w:rPr>
        <w:t xml:space="preserve">IF (IV) </w:t>
      </w:r>
      <w:r w:rsidRPr="00571F0B">
        <w:rPr>
          <w:lang w:val="en-GB"/>
        </w:rPr>
        <w:t xml:space="preserve">design, and lessons learned will </w:t>
      </w:r>
      <w:r w:rsidR="00790388">
        <w:rPr>
          <w:lang w:val="en-GB"/>
        </w:rPr>
        <w:t>confirm</w:t>
      </w:r>
      <w:r w:rsidRPr="00571F0B">
        <w:rPr>
          <w:lang w:val="en-GB"/>
        </w:rPr>
        <w:t xml:space="preserve"> the Incentive Fund Logic, PAF, investment targeting, imp</w:t>
      </w:r>
      <w:r w:rsidR="00013706">
        <w:rPr>
          <w:lang w:val="en-GB"/>
        </w:rPr>
        <w:t>lementation and risk management.</w:t>
      </w:r>
    </w:p>
    <w:p w:rsidR="007F14A0" w:rsidRPr="00571F0B" w:rsidRDefault="007F14A0" w:rsidP="00A82AAB">
      <w:pPr>
        <w:pStyle w:val="ListParagraph"/>
        <w:numPr>
          <w:ilvl w:val="0"/>
          <w:numId w:val="45"/>
        </w:numPr>
        <w:spacing w:before="0" w:after="0"/>
        <w:ind w:left="284" w:hanging="284"/>
        <w:rPr>
          <w:lang w:val="en-GB"/>
        </w:rPr>
      </w:pPr>
      <w:r w:rsidRPr="00571F0B">
        <w:rPr>
          <w:lang w:val="en-GB"/>
        </w:rPr>
        <w:t xml:space="preserve">The PAF in effect reverses Phase I, II and III targeting, </w:t>
      </w:r>
      <w:r w:rsidR="00994D0B">
        <w:rPr>
          <w:lang w:val="en-GB"/>
        </w:rPr>
        <w:t xml:space="preserve">because </w:t>
      </w:r>
      <w:r w:rsidRPr="00571F0B">
        <w:rPr>
          <w:lang w:val="en-GB"/>
        </w:rPr>
        <w:t xml:space="preserve">the end of program position is not just </w:t>
      </w:r>
      <w:r w:rsidR="00994D0B">
        <w:rPr>
          <w:lang w:val="en-GB"/>
        </w:rPr>
        <w:t xml:space="preserve">a consequence of the </w:t>
      </w:r>
      <w:r w:rsidRPr="00571F0B">
        <w:rPr>
          <w:lang w:val="en-GB"/>
        </w:rPr>
        <w:t xml:space="preserve">sum of the IFA outputs. The end-of-program position for IF (IV) </w:t>
      </w:r>
      <w:r w:rsidR="00790388">
        <w:rPr>
          <w:lang w:val="en-GB"/>
        </w:rPr>
        <w:t xml:space="preserve">will be </w:t>
      </w:r>
      <w:r w:rsidRPr="00571F0B">
        <w:rPr>
          <w:lang w:val="en-GB"/>
        </w:rPr>
        <w:t xml:space="preserve">identified and </w:t>
      </w:r>
      <w:r w:rsidR="00790388">
        <w:rPr>
          <w:lang w:val="en-GB"/>
        </w:rPr>
        <w:t>delivered through the PAF</w:t>
      </w:r>
      <w:r w:rsidRPr="00571F0B">
        <w:rPr>
          <w:lang w:val="en-GB"/>
        </w:rPr>
        <w:t>.</w:t>
      </w:r>
    </w:p>
    <w:p w:rsidR="00013706" w:rsidRPr="00BD3BA6" w:rsidRDefault="007F14A0" w:rsidP="00A82AAB">
      <w:pPr>
        <w:pStyle w:val="ListParagraph"/>
        <w:numPr>
          <w:ilvl w:val="0"/>
          <w:numId w:val="45"/>
        </w:numPr>
        <w:spacing w:before="0" w:after="0"/>
        <w:ind w:left="284" w:hanging="284"/>
        <w:rPr>
          <w:lang w:val="en-GB"/>
        </w:rPr>
      </w:pPr>
      <w:r w:rsidRPr="00BD3BA6">
        <w:rPr>
          <w:lang w:val="en-GB"/>
        </w:rPr>
        <w:lastRenderedPageBreak/>
        <w:t>Maintaining the exceptionally high standards of the incentive fund principles</w:t>
      </w:r>
      <w:r w:rsidR="00BD3BA6" w:rsidRPr="00BD3BA6">
        <w:rPr>
          <w:lang w:val="en-GB"/>
        </w:rPr>
        <w:t xml:space="preserve">, </w:t>
      </w:r>
      <w:r w:rsidR="003E03F2">
        <w:rPr>
          <w:lang w:val="en-GB"/>
        </w:rPr>
        <w:t xml:space="preserve">ensuring good due </w:t>
      </w:r>
      <w:r w:rsidRPr="00BD3BA6">
        <w:rPr>
          <w:lang w:val="en-GB"/>
        </w:rPr>
        <w:t>diligen</w:t>
      </w:r>
      <w:r w:rsidR="003E03F2">
        <w:rPr>
          <w:lang w:val="en-GB"/>
        </w:rPr>
        <w:t>ce when selecting</w:t>
      </w:r>
      <w:r w:rsidRPr="00BD3BA6">
        <w:rPr>
          <w:lang w:val="en-GB"/>
        </w:rPr>
        <w:t xml:space="preserve"> partners and concept papers</w:t>
      </w:r>
      <w:r w:rsidR="003E03F2">
        <w:rPr>
          <w:lang w:val="en-GB"/>
        </w:rPr>
        <w:t xml:space="preserve"> (and applying a </w:t>
      </w:r>
      <w:r w:rsidR="00BD3BA6" w:rsidRPr="00BD3BA6">
        <w:rPr>
          <w:lang w:val="en-GB"/>
        </w:rPr>
        <w:t>no exceptions policy</w:t>
      </w:r>
      <w:r w:rsidR="003E03F2">
        <w:rPr>
          <w:lang w:val="en-GB"/>
        </w:rPr>
        <w:t>)</w:t>
      </w:r>
      <w:r w:rsidR="00790388">
        <w:rPr>
          <w:lang w:val="en-GB"/>
        </w:rPr>
        <w:t xml:space="preserve"> is critical</w:t>
      </w:r>
      <w:r w:rsidR="00BD3BA6" w:rsidRPr="00BD3BA6">
        <w:rPr>
          <w:lang w:val="en-GB"/>
        </w:rPr>
        <w:t>.</w:t>
      </w:r>
    </w:p>
    <w:p w:rsidR="00013706" w:rsidRPr="00571F0B" w:rsidRDefault="00013706" w:rsidP="00013706">
      <w:pPr>
        <w:spacing w:before="0" w:after="0"/>
        <w:rPr>
          <w:lang w:val="en-GB"/>
        </w:rPr>
        <w:sectPr w:rsidR="00013706" w:rsidRPr="00571F0B" w:rsidSect="00724D52">
          <w:headerReference w:type="default" r:id="rId27"/>
          <w:pgSz w:w="11909" w:h="16834" w:code="9"/>
          <w:pgMar w:top="851" w:right="1418" w:bottom="851" w:left="1418" w:header="578" w:footer="578" w:gutter="0"/>
          <w:cols w:space="720"/>
        </w:sectPr>
      </w:pPr>
    </w:p>
    <w:p w:rsidR="0058311F" w:rsidRPr="00571F0B" w:rsidRDefault="00FB2DE3" w:rsidP="00FB2DE3">
      <w:pPr>
        <w:pStyle w:val="Caption"/>
        <w:keepNext/>
        <w:jc w:val="both"/>
        <w:rPr>
          <w:lang w:val="en-GB"/>
        </w:rPr>
      </w:pPr>
      <w:bookmarkStart w:id="46" w:name="_Toc403037631"/>
      <w:r w:rsidRPr="00571F0B">
        <w:rPr>
          <w:lang w:val="en-GB"/>
        </w:rPr>
        <w:lastRenderedPageBreak/>
        <w:t xml:space="preserve">Table </w:t>
      </w:r>
      <w:r w:rsidR="00D3593A" w:rsidRPr="00571F0B">
        <w:rPr>
          <w:lang w:val="en-GB"/>
        </w:rPr>
        <w:fldChar w:fldCharType="begin"/>
      </w:r>
      <w:r w:rsidR="00D3593A" w:rsidRPr="00571F0B">
        <w:rPr>
          <w:lang w:val="en-GB"/>
        </w:rPr>
        <w:instrText xml:space="preserve"> SEQ Table \* ARABIC </w:instrText>
      </w:r>
      <w:r w:rsidR="00D3593A" w:rsidRPr="00571F0B">
        <w:rPr>
          <w:lang w:val="en-GB"/>
        </w:rPr>
        <w:fldChar w:fldCharType="separate"/>
      </w:r>
      <w:r w:rsidR="006C1E87">
        <w:rPr>
          <w:noProof/>
          <w:lang w:val="en-GB"/>
        </w:rPr>
        <w:t>9</w:t>
      </w:r>
      <w:r w:rsidR="00D3593A" w:rsidRPr="00571F0B">
        <w:rPr>
          <w:lang w:val="en-GB"/>
        </w:rPr>
        <w:fldChar w:fldCharType="end"/>
      </w:r>
      <w:r w:rsidR="00482032">
        <w:rPr>
          <w:lang w:val="en-GB"/>
        </w:rPr>
        <w:t>:</w:t>
      </w:r>
      <w:r w:rsidRPr="00571F0B">
        <w:rPr>
          <w:lang w:val="en-GB"/>
        </w:rPr>
        <w:t xml:space="preserve"> </w:t>
      </w:r>
      <w:r w:rsidR="006F7CA7" w:rsidRPr="006F7CA7">
        <w:rPr>
          <w:i/>
          <w:lang w:val="en-GB"/>
        </w:rPr>
        <w:t>INDICATIVE</w:t>
      </w:r>
      <w:r w:rsidR="006F7CA7">
        <w:rPr>
          <w:lang w:val="en-GB"/>
        </w:rPr>
        <w:t xml:space="preserve"> </w:t>
      </w:r>
      <w:r w:rsidR="002779FD">
        <w:rPr>
          <w:lang w:val="en-GB"/>
        </w:rPr>
        <w:t>IF (IV)</w:t>
      </w:r>
      <w:r w:rsidRPr="00571F0B">
        <w:rPr>
          <w:lang w:val="en-GB"/>
        </w:rPr>
        <w:t xml:space="preserve"> Performance Assessment Framework</w:t>
      </w:r>
      <w:bookmarkEnd w:id="46"/>
    </w:p>
    <w:p w:rsidR="00FB2DE3" w:rsidRPr="00E93038" w:rsidRDefault="00FB2DE3" w:rsidP="00FB2DE3">
      <w:pPr>
        <w:spacing w:before="0" w:after="0"/>
        <w:jc w:val="left"/>
        <w:rPr>
          <w:rFonts w:ascii="Arial Narrow" w:hAnsi="Arial Narrow"/>
          <w:b/>
          <w:sz w:val="16"/>
          <w:szCs w:val="16"/>
          <w:lang w:val="en-GB" w:eastAsia="en-AU"/>
        </w:rPr>
      </w:pPr>
    </w:p>
    <w:p w:rsidR="00A42279" w:rsidRPr="00A42279" w:rsidRDefault="00A42279" w:rsidP="00A42279">
      <w:pPr>
        <w:rPr>
          <w:b/>
          <w:lang w:eastAsia="en-AU"/>
        </w:rPr>
      </w:pPr>
      <w:r w:rsidRPr="00A42279">
        <w:rPr>
          <w:b/>
          <w:lang w:eastAsia="en-AU"/>
        </w:rPr>
        <w:t>HEALTH</w:t>
      </w:r>
    </w:p>
    <w:p w:rsidR="00A42279" w:rsidRPr="00A42279" w:rsidRDefault="00A42279" w:rsidP="00A42279">
      <w:pPr>
        <w:rPr>
          <w:b/>
          <w:lang w:eastAsia="en-AU"/>
        </w:rPr>
      </w:pPr>
    </w:p>
    <w:tbl>
      <w:tblPr>
        <w:tblStyle w:val="LightShading"/>
        <w:tblW w:w="143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38"/>
        <w:gridCol w:w="3665"/>
        <w:gridCol w:w="1451"/>
        <w:gridCol w:w="1452"/>
        <w:gridCol w:w="716"/>
        <w:gridCol w:w="717"/>
        <w:gridCol w:w="717"/>
        <w:gridCol w:w="717"/>
        <w:gridCol w:w="717"/>
        <w:gridCol w:w="717"/>
        <w:gridCol w:w="1103"/>
      </w:tblGrid>
      <w:tr w:rsidR="00A42279" w:rsidRPr="00A42279" w:rsidTr="00A42279">
        <w:trPr>
          <w:cnfStyle w:val="100000000000" w:firstRow="1" w:lastRow="0" w:firstColumn="0" w:lastColumn="0" w:oddVBand="0" w:evenVBand="0" w:oddHBand="0" w:evenHBand="0" w:firstRowFirstColumn="0" w:firstRowLastColumn="0" w:lastRowFirstColumn="0" w:lastRowLastColumn="0"/>
          <w:trHeight w:val="357"/>
          <w:tblHeader/>
        </w:trPr>
        <w:tc>
          <w:tcPr>
            <w:cnfStyle w:val="001000000000" w:firstRow="0" w:lastRow="0" w:firstColumn="1" w:lastColumn="0" w:oddVBand="0" w:evenVBand="0" w:oddHBand="0" w:evenHBand="0" w:firstRowFirstColumn="0" w:firstRowLastColumn="0" w:lastRowFirstColumn="0" w:lastRowLastColumn="0"/>
            <w:tcW w:w="2338" w:type="dxa"/>
            <w:tcBorders>
              <w:top w:val="dotted" w:sz="4" w:space="0" w:color="auto"/>
              <w:left w:val="dotted" w:sz="4" w:space="0" w:color="auto"/>
              <w:bottom w:val="dotted" w:sz="4" w:space="0" w:color="auto"/>
              <w:right w:val="dotted" w:sz="4" w:space="0" w:color="auto"/>
            </w:tcBorders>
            <w:shd w:val="clear" w:color="auto" w:fill="C2D69B" w:themeFill="accent3" w:themeFillTint="99"/>
            <w:hideMark/>
          </w:tcPr>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Post IF (IV) Goal</w:t>
            </w:r>
          </w:p>
        </w:tc>
        <w:tc>
          <w:tcPr>
            <w:tcW w:w="11972" w:type="dxa"/>
            <w:gridSpan w:val="10"/>
            <w:tcBorders>
              <w:top w:val="dotted" w:sz="4" w:space="0" w:color="auto"/>
              <w:left w:val="dotted" w:sz="4" w:space="0" w:color="auto"/>
              <w:bottom w:val="dotted" w:sz="4" w:space="0" w:color="auto"/>
              <w:right w:val="dotted" w:sz="4" w:space="0" w:color="auto"/>
            </w:tcBorders>
            <w:shd w:val="clear" w:color="auto" w:fill="C2D69B" w:themeFill="accent3" w:themeFillTint="99"/>
          </w:tcPr>
          <w:p w:rsidR="003E03F2" w:rsidRPr="003E03F2" w:rsidRDefault="003E03F2" w:rsidP="003E03F2">
            <w:pPr>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i/>
                <w:color w:val="000000"/>
                <w:sz w:val="20"/>
                <w:lang w:val="en-GB"/>
              </w:rPr>
            </w:pPr>
            <w:r w:rsidRPr="003E03F2">
              <w:rPr>
                <w:rFonts w:ascii="Arial Narrow" w:hAnsi="Arial Narrow"/>
                <w:i/>
                <w:color w:val="000000"/>
                <w:sz w:val="20"/>
                <w:lang w:val="en-GB"/>
              </w:rPr>
              <w:t xml:space="preserve">To improve the capacity of organisations to meet the service delivery and economic development needs of the women, children and men f Papua New Guinea. </w:t>
            </w:r>
          </w:p>
          <w:p w:rsidR="00A42279" w:rsidRPr="00A42279" w:rsidRDefault="00A42279" w:rsidP="00A42279">
            <w:pPr>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p>
        </w:tc>
      </w:tr>
      <w:tr w:rsidR="00A42279" w:rsidRPr="00A42279" w:rsidTr="00A42279">
        <w:trPr>
          <w:cnfStyle w:val="100000000000" w:firstRow="1" w:lastRow="0" w:firstColumn="0" w:lastColumn="0" w:oddVBand="0" w:evenVBand="0" w:oddHBand="0" w:evenHBand="0" w:firstRowFirstColumn="0" w:firstRowLastColumn="0" w:lastRowFirstColumn="0" w:lastRowLastColumn="0"/>
          <w:trHeight w:val="63"/>
          <w:tblHeader/>
        </w:trPr>
        <w:tc>
          <w:tcPr>
            <w:cnfStyle w:val="001000000000" w:firstRow="0" w:lastRow="0" w:firstColumn="1" w:lastColumn="0" w:oddVBand="0" w:evenVBand="0" w:oddHBand="0" w:evenHBand="0" w:firstRowFirstColumn="0" w:firstRowLastColumn="0" w:lastRowFirstColumn="0" w:lastRowLastColumn="0"/>
            <w:tcW w:w="2338" w:type="dxa"/>
            <w:tcBorders>
              <w:top w:val="dotted" w:sz="4" w:space="0" w:color="auto"/>
              <w:left w:val="dotted" w:sz="4" w:space="0" w:color="auto"/>
              <w:bottom w:val="dotted" w:sz="4" w:space="0" w:color="auto"/>
              <w:right w:val="dotted" w:sz="4" w:space="0" w:color="auto"/>
            </w:tcBorders>
            <w:shd w:val="clear" w:color="auto" w:fill="FABF8F" w:themeFill="accent6" w:themeFillTint="99"/>
            <w:hideMark/>
          </w:tcPr>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Purpose</w:t>
            </w:r>
          </w:p>
        </w:tc>
        <w:tc>
          <w:tcPr>
            <w:tcW w:w="11972" w:type="dxa"/>
            <w:gridSpan w:val="10"/>
            <w:tcBorders>
              <w:top w:val="dotted" w:sz="4" w:space="0" w:color="auto"/>
              <w:left w:val="dotted" w:sz="4" w:space="0" w:color="auto"/>
              <w:bottom w:val="dotted" w:sz="4" w:space="0" w:color="auto"/>
              <w:right w:val="dotted" w:sz="4" w:space="0" w:color="auto"/>
            </w:tcBorders>
            <w:shd w:val="clear" w:color="auto" w:fill="FABF8F" w:themeFill="accent6" w:themeFillTint="99"/>
          </w:tcPr>
          <w:p w:rsidR="00A42279" w:rsidRPr="00A42279" w:rsidRDefault="00CC1E7D" w:rsidP="00A42279">
            <w:pPr>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iCs/>
                <w:color w:val="000000"/>
                <w:sz w:val="20"/>
              </w:rPr>
            </w:pPr>
            <w:r w:rsidRPr="00CC1E7D">
              <w:rPr>
                <w:rFonts w:ascii="Arial Narrow" w:hAnsi="Arial Narrow"/>
                <w:iCs/>
                <w:color w:val="000000"/>
                <w:sz w:val="20"/>
              </w:rPr>
              <w:t xml:space="preserve">To attract, identify and incentivise good performing organisations to expand the reach, coverage and quality of their contribution to service delivery and/or economic </w:t>
            </w:r>
            <w:r w:rsidR="00205423" w:rsidRPr="00205423">
              <w:rPr>
                <w:rFonts w:ascii="Arial Narrow" w:hAnsi="Arial Narrow"/>
                <w:iCs/>
                <w:color w:val="000000"/>
                <w:sz w:val="20"/>
              </w:rPr>
              <w:t>development</w:t>
            </w:r>
            <w:r w:rsidRPr="00CC1E7D">
              <w:rPr>
                <w:rFonts w:ascii="Arial Narrow" w:hAnsi="Arial Narrow"/>
                <w:iCs/>
                <w:color w:val="000000"/>
                <w:sz w:val="20"/>
              </w:rPr>
              <w:t xml:space="preserve"> in Papua New Guinea.</w:t>
            </w:r>
          </w:p>
        </w:tc>
      </w:tr>
      <w:tr w:rsidR="00A42279" w:rsidRPr="00A42279" w:rsidTr="00A42279">
        <w:trPr>
          <w:cnfStyle w:val="100000000000" w:firstRow="1" w:lastRow="0" w:firstColumn="0" w:lastColumn="0" w:oddVBand="0" w:evenVBand="0" w:oddHBand="0" w:evenHBand="0" w:firstRowFirstColumn="0" w:firstRowLastColumn="0" w:lastRowFirstColumn="0" w:lastRowLastColumn="0"/>
          <w:trHeight w:val="3"/>
          <w:tblHeader/>
        </w:trPr>
        <w:tc>
          <w:tcPr>
            <w:cnfStyle w:val="001000000000" w:firstRow="0" w:lastRow="0" w:firstColumn="1" w:lastColumn="0" w:oddVBand="0" w:evenVBand="0" w:oddHBand="0" w:evenHBand="0" w:firstRowFirstColumn="0" w:firstRowLastColumn="0" w:lastRowFirstColumn="0" w:lastRowLastColumn="0"/>
            <w:tcW w:w="2338" w:type="dxa"/>
            <w:tcBorders>
              <w:top w:val="dotted" w:sz="4" w:space="0" w:color="auto"/>
              <w:left w:val="dotted" w:sz="4" w:space="0" w:color="auto"/>
              <w:bottom w:val="dotted" w:sz="4" w:space="0" w:color="auto"/>
              <w:right w:val="dotted" w:sz="4" w:space="0" w:color="auto"/>
            </w:tcBorders>
            <w:hideMark/>
          </w:tcPr>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 xml:space="preserve">1: Intermediate </w:t>
            </w:r>
          </w:p>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Health Outcomes</w:t>
            </w:r>
          </w:p>
        </w:tc>
        <w:tc>
          <w:tcPr>
            <w:tcW w:w="3665" w:type="dxa"/>
            <w:tcBorders>
              <w:top w:val="dotted" w:sz="4" w:space="0" w:color="auto"/>
              <w:left w:val="dotted" w:sz="4" w:space="0" w:color="auto"/>
              <w:bottom w:val="dotted" w:sz="4" w:space="0" w:color="auto"/>
              <w:right w:val="dotted" w:sz="4" w:space="0" w:color="auto"/>
            </w:tcBorders>
            <w:hideMark/>
          </w:tcPr>
          <w:p w:rsidR="00A42279" w:rsidRPr="00A42279" w:rsidRDefault="00A42279" w:rsidP="00A42279">
            <w:pPr>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End-of-program outcome indicators (2015-2021)</w:t>
            </w:r>
          </w:p>
        </w:tc>
        <w:tc>
          <w:tcPr>
            <w:tcW w:w="1451" w:type="dxa"/>
            <w:tcBorders>
              <w:top w:val="dotted" w:sz="4" w:space="0" w:color="auto"/>
              <w:left w:val="dotted" w:sz="4" w:space="0" w:color="auto"/>
              <w:bottom w:val="dotted" w:sz="4" w:space="0" w:color="auto"/>
              <w:right w:val="dotted" w:sz="4" w:space="0" w:color="auto"/>
            </w:tcBorders>
            <w:hideMark/>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Data source and baseline</w:t>
            </w:r>
          </w:p>
        </w:tc>
        <w:tc>
          <w:tcPr>
            <w:tcW w:w="1452" w:type="dxa"/>
            <w:tcBorders>
              <w:top w:val="dotted" w:sz="4" w:space="0" w:color="auto"/>
              <w:left w:val="dotted" w:sz="4" w:space="0" w:color="auto"/>
              <w:bottom w:val="dotted" w:sz="4" w:space="0" w:color="auto"/>
              <w:right w:val="dotted" w:sz="4" w:space="0" w:color="auto"/>
            </w:tcBorders>
            <w:hideMark/>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Target</w:t>
            </w:r>
          </w:p>
        </w:tc>
        <w:tc>
          <w:tcPr>
            <w:tcW w:w="71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2015–16</w:t>
            </w:r>
          </w:p>
        </w:tc>
        <w:tc>
          <w:tcPr>
            <w:tcW w:w="717"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2016–17</w:t>
            </w:r>
          </w:p>
        </w:tc>
        <w:tc>
          <w:tcPr>
            <w:tcW w:w="717"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2017–18</w:t>
            </w:r>
          </w:p>
        </w:tc>
        <w:tc>
          <w:tcPr>
            <w:tcW w:w="717"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2018–19</w:t>
            </w:r>
          </w:p>
        </w:tc>
        <w:tc>
          <w:tcPr>
            <w:tcW w:w="717"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2019-20</w:t>
            </w:r>
          </w:p>
        </w:tc>
        <w:tc>
          <w:tcPr>
            <w:tcW w:w="717"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2020-21</w:t>
            </w:r>
          </w:p>
        </w:tc>
        <w:tc>
          <w:tcPr>
            <w:tcW w:w="1103"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From Phase III</w:t>
            </w:r>
          </w:p>
        </w:tc>
      </w:tr>
      <w:tr w:rsidR="00F3424C" w:rsidRPr="00A42279" w:rsidTr="00F3424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338" w:type="dxa"/>
            <w:vMerge w:val="restart"/>
            <w:tcBorders>
              <w:top w:val="dotted" w:sz="4" w:space="0" w:color="auto"/>
              <w:left w:val="dotted" w:sz="4" w:space="0" w:color="auto"/>
              <w:right w:val="dotted" w:sz="4" w:space="0" w:color="auto"/>
            </w:tcBorders>
            <w:shd w:val="clear" w:color="auto" w:fill="auto"/>
            <w:hideMark/>
          </w:tcPr>
          <w:p w:rsidR="00F3424C" w:rsidRPr="00A42279" w:rsidRDefault="00F3424C" w:rsidP="00A42279">
            <w:pPr>
              <w:spacing w:before="0" w:after="0"/>
              <w:jc w:val="left"/>
              <w:rPr>
                <w:rFonts w:ascii="Arial Narrow" w:hAnsi="Arial Narrow"/>
                <w:sz w:val="20"/>
              </w:rPr>
            </w:pPr>
            <w:r w:rsidRPr="00A42279">
              <w:rPr>
                <w:rFonts w:ascii="Arial Narrow" w:hAnsi="Arial Narrow"/>
                <w:sz w:val="20"/>
              </w:rPr>
              <w:t xml:space="preserve">1a:Partners are operating and maintaining all their infrastructure and support </w:t>
            </w:r>
          </w:p>
        </w:tc>
        <w:tc>
          <w:tcPr>
            <w:tcW w:w="3665" w:type="dxa"/>
            <w:tcBorders>
              <w:top w:val="dotted" w:sz="4" w:space="0" w:color="auto"/>
              <w:left w:val="dotted" w:sz="4" w:space="0" w:color="auto"/>
              <w:right w:val="dotted" w:sz="4" w:space="0" w:color="auto"/>
            </w:tcBorders>
            <w:shd w:val="clear" w:color="auto" w:fill="auto"/>
          </w:tcPr>
          <w:p w:rsidR="00F3424C" w:rsidRPr="00A42279" w:rsidRDefault="00F3424C" w:rsidP="00F3424C">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Proportion of IF (IV) funded health facilities fully functional, maintained and operating</w:t>
            </w:r>
          </w:p>
        </w:tc>
        <w:tc>
          <w:tcPr>
            <w:tcW w:w="1451" w:type="dxa"/>
            <w:vMerge w:val="restart"/>
            <w:tcBorders>
              <w:top w:val="dotted" w:sz="4" w:space="0" w:color="auto"/>
              <w:left w:val="dotted" w:sz="4" w:space="0" w:color="auto"/>
              <w:right w:val="dotted" w:sz="4" w:space="0" w:color="auto"/>
            </w:tcBorders>
            <w:shd w:val="clear" w:color="auto" w:fill="auto"/>
          </w:tcPr>
          <w:p w:rsidR="00F3424C" w:rsidRPr="0070258C" w:rsidRDefault="00F3424C" w:rsidP="00994D0B">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0258C">
              <w:rPr>
                <w:rFonts w:ascii="Arial Narrow" w:hAnsi="Arial Narrow"/>
                <w:sz w:val="20"/>
                <w:szCs w:val="20"/>
              </w:rPr>
              <w:t>Progress reports, Project monitoring, MIS, end-of-program evaluation, local health facility data</w:t>
            </w:r>
          </w:p>
          <w:p w:rsidR="00F3424C" w:rsidRPr="0070258C" w:rsidRDefault="00F3424C" w:rsidP="00994D0B">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52" w:type="dxa"/>
            <w:vMerge w:val="restart"/>
            <w:tcBorders>
              <w:top w:val="dotted" w:sz="4" w:space="0" w:color="auto"/>
              <w:left w:val="dotted" w:sz="4" w:space="0" w:color="auto"/>
              <w:right w:val="dotted" w:sz="4" w:space="0" w:color="auto"/>
            </w:tcBorders>
            <w:shd w:val="clear" w:color="auto" w:fill="auto"/>
          </w:tcPr>
          <w:p w:rsidR="00F3424C" w:rsidRPr="0070258C" w:rsidRDefault="00F3424C" w:rsidP="00994D0B">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0258C">
              <w:rPr>
                <w:rFonts w:ascii="Arial Narrow" w:hAnsi="Arial Narrow"/>
                <w:sz w:val="20"/>
                <w:szCs w:val="20"/>
              </w:rPr>
              <w:t>Targets leading to 2021 will be confirmed at start-up when strategic targets are set</w:t>
            </w:r>
          </w:p>
          <w:p w:rsidR="00F3424C" w:rsidRPr="0070258C" w:rsidRDefault="00F3424C" w:rsidP="002B7876">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0258C">
              <w:rPr>
                <w:rFonts w:ascii="Arial Narrow" w:hAnsi="Arial Narrow"/>
                <w:sz w:val="20"/>
                <w:szCs w:val="20"/>
              </w:rPr>
              <w:t xml:space="preserve">Phase </w:t>
            </w:r>
            <w:r>
              <w:rPr>
                <w:rFonts w:ascii="Arial Narrow" w:hAnsi="Arial Narrow"/>
                <w:sz w:val="20"/>
                <w:szCs w:val="20"/>
              </w:rPr>
              <w:t>I</w:t>
            </w:r>
            <w:r w:rsidRPr="0070258C">
              <w:rPr>
                <w:rFonts w:ascii="Arial Narrow" w:hAnsi="Arial Narrow"/>
                <w:sz w:val="20"/>
                <w:szCs w:val="20"/>
              </w:rPr>
              <w:t>-III evaluation will inform IF (IV) targets</w:t>
            </w:r>
          </w:p>
        </w:tc>
        <w:tc>
          <w:tcPr>
            <w:tcW w:w="716" w:type="dxa"/>
            <w:tcBorders>
              <w:top w:val="dotted" w:sz="4" w:space="0" w:color="auto"/>
              <w:left w:val="dotted" w:sz="4" w:space="0" w:color="auto"/>
              <w:right w:val="dotted" w:sz="4" w:space="0" w:color="auto"/>
            </w:tcBorders>
            <w:shd w:val="clear" w:color="auto" w:fill="auto"/>
            <w:vAlign w:val="center"/>
          </w:tcPr>
          <w:p w:rsidR="00F3424C" w:rsidRPr="00A42279" w:rsidRDefault="00F3424C"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vAlign w:val="center"/>
          </w:tcPr>
          <w:p w:rsidR="00F3424C" w:rsidRPr="00A42279" w:rsidRDefault="00F3424C"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vAlign w:val="center"/>
          </w:tcPr>
          <w:p w:rsidR="00F3424C" w:rsidRPr="00A42279" w:rsidRDefault="00F3424C"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vAlign w:val="center"/>
          </w:tcPr>
          <w:p w:rsidR="00F3424C" w:rsidRPr="00A42279" w:rsidRDefault="00F3424C"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vAlign w:val="center"/>
          </w:tcPr>
          <w:p w:rsidR="00F3424C" w:rsidRPr="00A42279" w:rsidRDefault="00F3424C"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vAlign w:val="center"/>
          </w:tcPr>
          <w:p w:rsidR="00F3424C" w:rsidRPr="00A42279" w:rsidRDefault="00F3424C"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1103" w:type="dxa"/>
            <w:tcBorders>
              <w:top w:val="dotted" w:sz="4" w:space="0" w:color="auto"/>
              <w:left w:val="dotted" w:sz="4" w:space="0" w:color="auto"/>
              <w:right w:val="dotted" w:sz="4" w:space="0" w:color="auto"/>
            </w:tcBorders>
            <w:shd w:val="clear" w:color="auto" w:fill="auto"/>
            <w:vAlign w:val="center"/>
          </w:tcPr>
          <w:p w:rsidR="00F3424C" w:rsidRPr="00A42279" w:rsidRDefault="00F3424C"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Not known</w:t>
            </w:r>
          </w:p>
        </w:tc>
      </w:tr>
      <w:tr w:rsidR="00A42279" w:rsidRPr="00A42279" w:rsidTr="00A42279">
        <w:trPr>
          <w:trHeight w:val="507"/>
        </w:trPr>
        <w:tc>
          <w:tcPr>
            <w:cnfStyle w:val="001000000000" w:firstRow="0" w:lastRow="0" w:firstColumn="1" w:lastColumn="0" w:oddVBand="0" w:evenVBand="0" w:oddHBand="0" w:evenHBand="0" w:firstRowFirstColumn="0" w:firstRowLastColumn="0" w:lastRowFirstColumn="0" w:lastRowLastColumn="0"/>
            <w:tcW w:w="2338" w:type="dxa"/>
            <w:vMerge/>
            <w:tcBorders>
              <w:left w:val="dotted" w:sz="4" w:space="0" w:color="auto"/>
              <w:right w:val="dotted" w:sz="4" w:space="0" w:color="auto"/>
            </w:tcBorders>
            <w:shd w:val="clear" w:color="auto" w:fill="auto"/>
          </w:tcPr>
          <w:p w:rsidR="00A42279" w:rsidRPr="00A42279" w:rsidRDefault="00A42279" w:rsidP="00A42279">
            <w:pPr>
              <w:spacing w:before="0" w:after="0"/>
              <w:ind w:left="34"/>
              <w:contextualSpacing/>
              <w:jc w:val="left"/>
              <w:rPr>
                <w:rFonts w:ascii="Arial Narrow" w:hAnsi="Arial Narrow"/>
                <w:color w:val="000000"/>
                <w:sz w:val="20"/>
              </w:rPr>
            </w:pPr>
          </w:p>
        </w:tc>
        <w:tc>
          <w:tcPr>
            <w:tcW w:w="3665" w:type="dxa"/>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Number of medical staff working in medical IF (IV) constructed facilities</w:t>
            </w:r>
          </w:p>
        </w:tc>
        <w:tc>
          <w:tcPr>
            <w:tcW w:w="1451" w:type="dxa"/>
            <w:vMerge/>
            <w:tcBorders>
              <w:left w:val="dotted" w:sz="4" w:space="0" w:color="auto"/>
              <w:right w:val="dotted" w:sz="4" w:space="0" w:color="auto"/>
            </w:tcBorders>
            <w:shd w:val="clear" w:color="auto" w:fill="auto"/>
          </w:tcPr>
          <w:p w:rsidR="00A42279" w:rsidRPr="00A42279" w:rsidRDefault="00A42279" w:rsidP="00A42279">
            <w:pP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1452"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6" w:type="dxa"/>
            <w:tcBorders>
              <w:top w:val="dotted" w:sz="4" w:space="0" w:color="auto"/>
              <w:left w:val="dotted" w:sz="4" w:space="0" w:color="auto"/>
              <w:right w:val="dotted" w:sz="4" w:space="0" w:color="auto"/>
            </w:tcBorders>
            <w:shd w:val="clear" w:color="auto" w:fill="auto"/>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1103" w:type="dxa"/>
            <w:tcBorders>
              <w:top w:val="dotted" w:sz="4" w:space="0" w:color="auto"/>
              <w:left w:val="dotted" w:sz="4" w:space="0" w:color="auto"/>
              <w:right w:val="dotted" w:sz="4" w:space="0" w:color="auto"/>
            </w:tcBorders>
            <w:shd w:val="clear" w:color="auto" w:fill="auto"/>
          </w:tcPr>
          <w:p w:rsidR="00A42279" w:rsidRPr="00A42279" w:rsidRDefault="0070258C" w:rsidP="0070258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r>
              <w:rPr>
                <w:rFonts w:ascii="Arial Narrow" w:hAnsi="Arial Narrow"/>
                <w:color w:val="000000"/>
                <w:sz w:val="20"/>
              </w:rPr>
              <w:t>116 nurses/ Not Known</w:t>
            </w:r>
          </w:p>
        </w:tc>
      </w:tr>
      <w:tr w:rsidR="00A42279" w:rsidRPr="00A42279" w:rsidTr="00A42279">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338" w:type="dxa"/>
            <w:vMerge/>
            <w:tcBorders>
              <w:left w:val="dotted" w:sz="4" w:space="0" w:color="auto"/>
              <w:right w:val="dotted" w:sz="4" w:space="0" w:color="auto"/>
            </w:tcBorders>
            <w:shd w:val="clear" w:color="auto" w:fill="auto"/>
          </w:tcPr>
          <w:p w:rsidR="00A42279" w:rsidRPr="00A42279" w:rsidRDefault="00A42279" w:rsidP="00A42279">
            <w:pPr>
              <w:spacing w:before="0" w:after="0"/>
              <w:ind w:left="34"/>
              <w:contextualSpacing/>
              <w:jc w:val="left"/>
              <w:rPr>
                <w:rFonts w:ascii="Arial Narrow" w:hAnsi="Arial Narrow"/>
                <w:color w:val="000000"/>
                <w:sz w:val="20"/>
              </w:rPr>
            </w:pPr>
          </w:p>
        </w:tc>
        <w:tc>
          <w:tcPr>
            <w:tcW w:w="3665" w:type="dxa"/>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Number of children being immunised through IF (IV) support</w:t>
            </w:r>
          </w:p>
        </w:tc>
        <w:tc>
          <w:tcPr>
            <w:tcW w:w="1451" w:type="dxa"/>
            <w:vMerge/>
            <w:tcBorders>
              <w:left w:val="dotted" w:sz="4" w:space="0" w:color="auto"/>
              <w:right w:val="dotted" w:sz="4" w:space="0" w:color="auto"/>
            </w:tcBorders>
            <w:shd w:val="clear" w:color="auto" w:fill="auto"/>
          </w:tcPr>
          <w:p w:rsidR="00A42279" w:rsidRPr="00A42279" w:rsidRDefault="00A42279" w:rsidP="00A42279">
            <w:pP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p>
        </w:tc>
        <w:tc>
          <w:tcPr>
            <w:tcW w:w="1452"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6" w:type="dxa"/>
            <w:tcBorders>
              <w:left w:val="dotted" w:sz="4" w:space="0" w:color="auto"/>
              <w:right w:val="dotted" w:sz="4" w:space="0" w:color="auto"/>
            </w:tcBorders>
            <w:shd w:val="clear" w:color="auto" w:fill="auto"/>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left w:val="dotted" w:sz="4" w:space="0" w:color="auto"/>
              <w:right w:val="dotted" w:sz="4" w:space="0" w:color="auto"/>
            </w:tcBorders>
            <w:shd w:val="clear" w:color="auto" w:fill="auto"/>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left w:val="dotted" w:sz="4" w:space="0" w:color="auto"/>
              <w:right w:val="dotted" w:sz="4" w:space="0" w:color="auto"/>
            </w:tcBorders>
            <w:shd w:val="clear" w:color="auto" w:fill="auto"/>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left w:val="dotted" w:sz="4" w:space="0" w:color="auto"/>
              <w:right w:val="dotted" w:sz="4" w:space="0" w:color="auto"/>
            </w:tcBorders>
            <w:shd w:val="clear" w:color="auto" w:fill="auto"/>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left w:val="dotted" w:sz="4" w:space="0" w:color="auto"/>
              <w:right w:val="dotted" w:sz="4" w:space="0" w:color="auto"/>
            </w:tcBorders>
            <w:shd w:val="clear" w:color="auto" w:fill="auto"/>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left w:val="dotted" w:sz="4" w:space="0" w:color="auto"/>
              <w:right w:val="dotted" w:sz="4" w:space="0" w:color="auto"/>
            </w:tcBorders>
            <w:shd w:val="clear" w:color="auto" w:fill="auto"/>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1103" w:type="dxa"/>
            <w:tcBorders>
              <w:left w:val="dotted" w:sz="4" w:space="0" w:color="auto"/>
              <w:right w:val="dotted" w:sz="4" w:space="0" w:color="auto"/>
            </w:tcBorders>
            <w:shd w:val="clear" w:color="auto" w:fill="auto"/>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11,421</w:t>
            </w:r>
          </w:p>
        </w:tc>
      </w:tr>
      <w:tr w:rsidR="00A42279" w:rsidRPr="00A42279" w:rsidTr="00A42279">
        <w:trPr>
          <w:trHeight w:val="534"/>
        </w:trPr>
        <w:tc>
          <w:tcPr>
            <w:cnfStyle w:val="001000000000" w:firstRow="0" w:lastRow="0" w:firstColumn="1" w:lastColumn="0" w:oddVBand="0" w:evenVBand="0" w:oddHBand="0" w:evenHBand="0" w:firstRowFirstColumn="0" w:firstRowLastColumn="0" w:lastRowFirstColumn="0" w:lastRowLastColumn="0"/>
            <w:tcW w:w="2338" w:type="dxa"/>
            <w:vMerge/>
            <w:tcBorders>
              <w:left w:val="dotted" w:sz="4" w:space="0" w:color="auto"/>
              <w:right w:val="dotted" w:sz="4" w:space="0" w:color="auto"/>
            </w:tcBorders>
            <w:shd w:val="clear" w:color="auto" w:fill="auto"/>
          </w:tcPr>
          <w:p w:rsidR="00A42279" w:rsidRPr="00A42279" w:rsidRDefault="00A42279" w:rsidP="00A42279">
            <w:pPr>
              <w:spacing w:before="0" w:after="0"/>
              <w:ind w:left="34"/>
              <w:contextualSpacing/>
              <w:jc w:val="left"/>
              <w:rPr>
                <w:rFonts w:ascii="Arial Narrow" w:hAnsi="Arial Narrow"/>
                <w:color w:val="000000"/>
                <w:sz w:val="20"/>
              </w:rPr>
            </w:pPr>
          </w:p>
        </w:tc>
        <w:tc>
          <w:tcPr>
            <w:tcW w:w="3665" w:type="dxa"/>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Number of patients accessing clinical services through (IF (IV) support</w:t>
            </w:r>
          </w:p>
        </w:tc>
        <w:tc>
          <w:tcPr>
            <w:tcW w:w="1451" w:type="dxa"/>
            <w:vMerge/>
            <w:tcBorders>
              <w:left w:val="dotted" w:sz="4" w:space="0" w:color="auto"/>
              <w:right w:val="dotted" w:sz="4" w:space="0" w:color="auto"/>
            </w:tcBorders>
            <w:shd w:val="clear" w:color="auto" w:fill="auto"/>
          </w:tcPr>
          <w:p w:rsidR="00A42279" w:rsidRPr="00A42279" w:rsidRDefault="00A42279" w:rsidP="00A42279">
            <w:pP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1452"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6" w:type="dxa"/>
            <w:tcBorders>
              <w:left w:val="dotted" w:sz="4" w:space="0" w:color="auto"/>
              <w:right w:val="dotted" w:sz="4" w:space="0" w:color="auto"/>
            </w:tcBorders>
            <w:shd w:val="clear" w:color="auto" w:fill="auto"/>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left w:val="dotted" w:sz="4" w:space="0" w:color="auto"/>
              <w:right w:val="dotted" w:sz="4" w:space="0" w:color="auto"/>
            </w:tcBorders>
            <w:shd w:val="clear" w:color="auto" w:fill="auto"/>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left w:val="dotted" w:sz="4" w:space="0" w:color="auto"/>
              <w:right w:val="dotted" w:sz="4" w:space="0" w:color="auto"/>
            </w:tcBorders>
            <w:shd w:val="clear" w:color="auto" w:fill="auto"/>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left w:val="dotted" w:sz="4" w:space="0" w:color="auto"/>
              <w:right w:val="dotted" w:sz="4" w:space="0" w:color="auto"/>
            </w:tcBorders>
            <w:shd w:val="clear" w:color="auto" w:fill="auto"/>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left w:val="dotted" w:sz="4" w:space="0" w:color="auto"/>
              <w:right w:val="dotted" w:sz="4" w:space="0" w:color="auto"/>
            </w:tcBorders>
            <w:shd w:val="clear" w:color="auto" w:fill="auto"/>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left w:val="dotted" w:sz="4" w:space="0" w:color="auto"/>
              <w:right w:val="dotted" w:sz="4" w:space="0" w:color="auto"/>
            </w:tcBorders>
            <w:shd w:val="clear" w:color="auto" w:fill="auto"/>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1103" w:type="dxa"/>
            <w:tcBorders>
              <w:left w:val="dotted" w:sz="4" w:space="0" w:color="auto"/>
              <w:right w:val="dotted" w:sz="4" w:space="0" w:color="auto"/>
            </w:tcBorders>
            <w:shd w:val="clear" w:color="auto" w:fill="auto"/>
          </w:tcPr>
          <w:p w:rsidR="00A42279" w:rsidRPr="00A42279" w:rsidRDefault="0070258C"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r>
              <w:rPr>
                <w:rFonts w:ascii="Arial Narrow" w:hAnsi="Arial Narrow"/>
                <w:color w:val="000000"/>
                <w:sz w:val="20"/>
              </w:rPr>
              <w:t>9688/ Not Known</w:t>
            </w:r>
          </w:p>
        </w:tc>
      </w:tr>
      <w:tr w:rsidR="00A42279" w:rsidRPr="00A42279" w:rsidTr="00A42279">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338" w:type="dxa"/>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ind w:left="34"/>
              <w:contextualSpacing/>
              <w:jc w:val="left"/>
              <w:rPr>
                <w:rFonts w:ascii="Arial Narrow" w:hAnsi="Arial Narrow"/>
                <w:color w:val="000000"/>
                <w:sz w:val="20"/>
              </w:rPr>
            </w:pPr>
            <w:r w:rsidRPr="00A42279">
              <w:rPr>
                <w:rFonts w:ascii="Arial Narrow" w:hAnsi="Arial Narrow"/>
                <w:color w:val="000000"/>
                <w:sz w:val="20"/>
              </w:rPr>
              <w:t>1b:</w:t>
            </w:r>
            <w:r w:rsidR="00CC1E7D">
              <w:t xml:space="preserve"> </w:t>
            </w:r>
            <w:r w:rsidR="00CC1E7D" w:rsidRPr="00CC1E7D">
              <w:rPr>
                <w:rFonts w:ascii="Arial Narrow" w:hAnsi="Arial Narrow"/>
                <w:color w:val="000000"/>
                <w:sz w:val="20"/>
              </w:rPr>
              <w:t>80 per cent of the investments will support empowerment of women and girls</w:t>
            </w:r>
          </w:p>
        </w:tc>
        <w:tc>
          <w:tcPr>
            <w:tcW w:w="3665" w:type="dxa"/>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Proportion of women and girls accessing health facilities built with IF(IV) resources</w:t>
            </w:r>
          </w:p>
        </w:tc>
        <w:tc>
          <w:tcPr>
            <w:tcW w:w="1451" w:type="dxa"/>
            <w:vMerge/>
            <w:tcBorders>
              <w:left w:val="dotted" w:sz="4" w:space="0" w:color="auto"/>
              <w:right w:val="dotted" w:sz="4" w:space="0" w:color="auto"/>
            </w:tcBorders>
            <w:shd w:val="clear" w:color="auto" w:fill="auto"/>
          </w:tcPr>
          <w:p w:rsidR="00A42279" w:rsidRPr="00A42279" w:rsidRDefault="00A42279" w:rsidP="00A42279">
            <w:pP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p>
        </w:tc>
        <w:tc>
          <w:tcPr>
            <w:tcW w:w="1452"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6" w:type="dxa"/>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1103" w:type="dxa"/>
            <w:tcBorders>
              <w:top w:val="dotted" w:sz="4" w:space="0" w:color="auto"/>
              <w:left w:val="dotted" w:sz="4" w:space="0" w:color="auto"/>
              <w:right w:val="dotted" w:sz="4" w:space="0" w:color="auto"/>
            </w:tcBorders>
            <w:shd w:val="clear" w:color="auto" w:fill="auto"/>
            <w:vAlign w:val="center"/>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Not Known</w:t>
            </w:r>
          </w:p>
        </w:tc>
      </w:tr>
      <w:tr w:rsidR="00A42279" w:rsidRPr="00A42279" w:rsidTr="00A42279">
        <w:trPr>
          <w:trHeight w:val="510"/>
        </w:trPr>
        <w:tc>
          <w:tcPr>
            <w:cnfStyle w:val="001000000000" w:firstRow="0" w:lastRow="0" w:firstColumn="1" w:lastColumn="0" w:oddVBand="0" w:evenVBand="0" w:oddHBand="0" w:evenHBand="0" w:firstRowFirstColumn="0" w:firstRowLastColumn="0" w:lastRowFirstColumn="0" w:lastRowLastColumn="0"/>
            <w:tcW w:w="2338"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1c:</w:t>
            </w:r>
            <w:r w:rsidRPr="00A42279">
              <w:t xml:space="preserve"> </w:t>
            </w:r>
            <w:r w:rsidRPr="00A42279">
              <w:rPr>
                <w:rFonts w:ascii="Arial Narrow" w:hAnsi="Arial Narrow"/>
                <w:color w:val="000000"/>
                <w:sz w:val="20"/>
              </w:rPr>
              <w:t>100% of Partners are using social inclusion policy</w:t>
            </w:r>
          </w:p>
        </w:tc>
        <w:tc>
          <w:tcPr>
            <w:tcW w:w="3665"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Proportion of IF(IV) health partners with social inclusion policy and implementing procedures</w:t>
            </w:r>
          </w:p>
        </w:tc>
        <w:tc>
          <w:tcPr>
            <w:tcW w:w="1451"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1452"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1103" w:type="dxa"/>
            <w:tcBorders>
              <w:top w:val="dotted" w:sz="4" w:space="0" w:color="auto"/>
              <w:left w:val="dotted" w:sz="4" w:space="0" w:color="auto"/>
              <w:bottom w:val="dotted" w:sz="4" w:space="0" w:color="auto"/>
              <w:right w:val="dotted" w:sz="4" w:space="0" w:color="auto"/>
            </w:tcBorders>
            <w:shd w:val="clear" w:color="auto" w:fill="auto"/>
            <w:vAlign w:val="center"/>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pPr>
            <w:r w:rsidRPr="00A42279">
              <w:rPr>
                <w:rFonts w:ascii="Arial Narrow" w:hAnsi="Arial Narrow"/>
                <w:color w:val="000000"/>
                <w:sz w:val="20"/>
              </w:rPr>
              <w:t>Assumed 7/20</w:t>
            </w:r>
          </w:p>
        </w:tc>
      </w:tr>
      <w:tr w:rsidR="00F3424C" w:rsidRPr="00A42279" w:rsidTr="00A4227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38" w:type="dxa"/>
            <w:tcBorders>
              <w:top w:val="dotted" w:sz="4" w:space="0" w:color="auto"/>
              <w:left w:val="dotted" w:sz="4" w:space="0" w:color="auto"/>
              <w:bottom w:val="dotted" w:sz="4" w:space="0" w:color="auto"/>
              <w:right w:val="dotted" w:sz="4" w:space="0" w:color="auto"/>
            </w:tcBorders>
            <w:shd w:val="clear" w:color="auto" w:fill="auto"/>
          </w:tcPr>
          <w:p w:rsidR="00F3424C" w:rsidRPr="00A42279" w:rsidRDefault="00F3424C" w:rsidP="00A42279">
            <w:pPr>
              <w:spacing w:before="0" w:after="0"/>
              <w:jc w:val="left"/>
              <w:rPr>
                <w:rFonts w:ascii="Arial Narrow" w:hAnsi="Arial Narrow"/>
                <w:color w:val="000000"/>
                <w:sz w:val="20"/>
              </w:rPr>
            </w:pPr>
            <w:r>
              <w:rPr>
                <w:rFonts w:ascii="Arial Narrow" w:hAnsi="Arial Narrow"/>
                <w:color w:val="000000"/>
                <w:sz w:val="20"/>
              </w:rPr>
              <w:t xml:space="preserve">1.d: </w:t>
            </w:r>
            <w:r w:rsidRPr="00F3424C">
              <w:rPr>
                <w:rFonts w:ascii="Arial Narrow" w:hAnsi="Arial Narrow"/>
                <w:color w:val="000000"/>
                <w:sz w:val="20"/>
              </w:rPr>
              <w:t>20% of IF (IV) Partners are from the private sector and effective</w:t>
            </w:r>
          </w:p>
        </w:tc>
        <w:tc>
          <w:tcPr>
            <w:tcW w:w="3665" w:type="dxa"/>
            <w:tcBorders>
              <w:top w:val="dotted" w:sz="4" w:space="0" w:color="auto"/>
              <w:left w:val="dotted" w:sz="4" w:space="0" w:color="auto"/>
              <w:bottom w:val="dotted" w:sz="4" w:space="0" w:color="auto"/>
              <w:right w:val="dotted" w:sz="4" w:space="0" w:color="auto"/>
            </w:tcBorders>
            <w:shd w:val="clear" w:color="auto" w:fill="auto"/>
          </w:tcPr>
          <w:p w:rsidR="00F3424C" w:rsidRPr="00A42279" w:rsidRDefault="00F3424C" w:rsidP="007A118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20"/>
              </w:rPr>
            </w:pPr>
            <w:r w:rsidRPr="00F3424C">
              <w:rPr>
                <w:rFonts w:ascii="Arial Narrow" w:hAnsi="Arial Narrow"/>
                <w:bCs/>
                <w:color w:val="000000"/>
                <w:sz w:val="20"/>
              </w:rPr>
              <w:t xml:space="preserve">Proportion of IF (IV) funded </w:t>
            </w:r>
            <w:r w:rsidR="007A1189">
              <w:rPr>
                <w:rFonts w:ascii="Arial Narrow" w:hAnsi="Arial Narrow"/>
                <w:bCs/>
                <w:color w:val="000000"/>
                <w:sz w:val="20"/>
              </w:rPr>
              <w:t>health</w:t>
            </w:r>
            <w:r w:rsidRPr="00F3424C">
              <w:rPr>
                <w:rFonts w:ascii="Arial Narrow" w:hAnsi="Arial Narrow"/>
                <w:bCs/>
                <w:color w:val="000000"/>
                <w:sz w:val="20"/>
              </w:rPr>
              <w:t xml:space="preserve"> facilities managed by private sector partners</w:t>
            </w:r>
          </w:p>
        </w:tc>
        <w:tc>
          <w:tcPr>
            <w:tcW w:w="1451" w:type="dxa"/>
            <w:vMerge/>
            <w:tcBorders>
              <w:left w:val="dotted" w:sz="4" w:space="0" w:color="auto"/>
              <w:right w:val="dotted" w:sz="4" w:space="0" w:color="auto"/>
            </w:tcBorders>
            <w:shd w:val="clear" w:color="auto" w:fill="auto"/>
          </w:tcPr>
          <w:p w:rsidR="00F3424C" w:rsidRPr="00A42279" w:rsidRDefault="00F3424C"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1452" w:type="dxa"/>
            <w:vMerge/>
            <w:tcBorders>
              <w:left w:val="dotted" w:sz="4" w:space="0" w:color="auto"/>
              <w:right w:val="dotted" w:sz="4" w:space="0" w:color="auto"/>
            </w:tcBorders>
            <w:shd w:val="clear" w:color="auto" w:fill="auto"/>
          </w:tcPr>
          <w:p w:rsidR="00F3424C" w:rsidRPr="00A42279" w:rsidRDefault="00F3424C"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6" w:type="dxa"/>
            <w:tcBorders>
              <w:top w:val="dotted" w:sz="4" w:space="0" w:color="auto"/>
              <w:left w:val="dotted" w:sz="4" w:space="0" w:color="auto"/>
              <w:bottom w:val="dotted" w:sz="4" w:space="0" w:color="auto"/>
              <w:right w:val="dotted" w:sz="4" w:space="0" w:color="auto"/>
            </w:tcBorders>
            <w:shd w:val="clear" w:color="auto" w:fill="auto"/>
          </w:tcPr>
          <w:p w:rsidR="00F3424C" w:rsidRPr="00A42279" w:rsidRDefault="00F3424C"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bottom w:val="dotted" w:sz="4" w:space="0" w:color="auto"/>
              <w:right w:val="dotted" w:sz="4" w:space="0" w:color="auto"/>
            </w:tcBorders>
            <w:shd w:val="clear" w:color="auto" w:fill="auto"/>
          </w:tcPr>
          <w:p w:rsidR="00F3424C" w:rsidRPr="00A42279" w:rsidRDefault="00F3424C"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bottom w:val="dotted" w:sz="4" w:space="0" w:color="auto"/>
              <w:right w:val="dotted" w:sz="4" w:space="0" w:color="auto"/>
            </w:tcBorders>
            <w:shd w:val="clear" w:color="auto" w:fill="auto"/>
          </w:tcPr>
          <w:p w:rsidR="00F3424C" w:rsidRPr="00A42279" w:rsidRDefault="00F3424C"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bottom w:val="dotted" w:sz="4" w:space="0" w:color="auto"/>
              <w:right w:val="dotted" w:sz="4" w:space="0" w:color="auto"/>
            </w:tcBorders>
            <w:shd w:val="clear" w:color="auto" w:fill="auto"/>
          </w:tcPr>
          <w:p w:rsidR="00F3424C" w:rsidRPr="00A42279" w:rsidRDefault="00F3424C"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bottom w:val="dotted" w:sz="4" w:space="0" w:color="auto"/>
              <w:right w:val="dotted" w:sz="4" w:space="0" w:color="auto"/>
            </w:tcBorders>
            <w:shd w:val="clear" w:color="auto" w:fill="auto"/>
          </w:tcPr>
          <w:p w:rsidR="00F3424C" w:rsidRPr="00A42279" w:rsidRDefault="00F3424C"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bottom w:val="dotted" w:sz="4" w:space="0" w:color="auto"/>
              <w:right w:val="dotted" w:sz="4" w:space="0" w:color="auto"/>
            </w:tcBorders>
            <w:shd w:val="clear" w:color="auto" w:fill="auto"/>
          </w:tcPr>
          <w:p w:rsidR="00F3424C" w:rsidRPr="00A42279" w:rsidRDefault="00F3424C"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1103" w:type="dxa"/>
            <w:tcBorders>
              <w:top w:val="dotted" w:sz="4" w:space="0" w:color="auto"/>
              <w:left w:val="dotted" w:sz="4" w:space="0" w:color="auto"/>
              <w:bottom w:val="dotted" w:sz="4" w:space="0" w:color="auto"/>
              <w:right w:val="dotted" w:sz="4" w:space="0" w:color="auto"/>
            </w:tcBorders>
            <w:shd w:val="clear" w:color="auto" w:fill="auto"/>
            <w:vAlign w:val="center"/>
          </w:tcPr>
          <w:p w:rsidR="00F3424C" w:rsidRPr="00A42279" w:rsidRDefault="00F3424C"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r>
              <w:rPr>
                <w:rFonts w:ascii="Arial Narrow" w:hAnsi="Arial Narrow"/>
                <w:color w:val="000000"/>
                <w:sz w:val="20"/>
              </w:rPr>
              <w:t>Zero</w:t>
            </w:r>
          </w:p>
        </w:tc>
      </w:tr>
      <w:tr w:rsidR="00F3424C" w:rsidRPr="00A42279" w:rsidTr="00F3424C">
        <w:trPr>
          <w:trHeight w:val="849"/>
        </w:trPr>
        <w:tc>
          <w:tcPr>
            <w:cnfStyle w:val="001000000000" w:firstRow="0" w:lastRow="0" w:firstColumn="1" w:lastColumn="0" w:oddVBand="0" w:evenVBand="0" w:oddHBand="0" w:evenHBand="0" w:firstRowFirstColumn="0" w:firstRowLastColumn="0" w:lastRowFirstColumn="0" w:lastRowLastColumn="0"/>
            <w:tcW w:w="2338" w:type="dxa"/>
            <w:tcBorders>
              <w:top w:val="dotted" w:sz="4" w:space="0" w:color="auto"/>
              <w:left w:val="dotted" w:sz="4" w:space="0" w:color="auto"/>
              <w:right w:val="dotted" w:sz="4" w:space="0" w:color="auto"/>
            </w:tcBorders>
            <w:shd w:val="clear" w:color="auto" w:fill="auto"/>
          </w:tcPr>
          <w:p w:rsidR="00F3424C" w:rsidRPr="00A42279" w:rsidRDefault="007A1189" w:rsidP="00A42279">
            <w:pPr>
              <w:spacing w:before="0" w:after="0"/>
              <w:jc w:val="left"/>
              <w:rPr>
                <w:rFonts w:ascii="Arial Narrow" w:hAnsi="Arial Narrow"/>
                <w:color w:val="000000"/>
                <w:sz w:val="20"/>
              </w:rPr>
            </w:pPr>
            <w:r>
              <w:rPr>
                <w:rFonts w:ascii="Arial Narrow" w:hAnsi="Arial Narrow"/>
                <w:color w:val="000000"/>
                <w:sz w:val="20"/>
              </w:rPr>
              <w:t>1e</w:t>
            </w:r>
            <w:r w:rsidR="00F3424C" w:rsidRPr="00A42279">
              <w:rPr>
                <w:rFonts w:ascii="Arial Narrow" w:hAnsi="Arial Narrow"/>
                <w:color w:val="000000"/>
                <w:sz w:val="20"/>
              </w:rPr>
              <w:t>: Partners have new capacity to implement projects or activities</w:t>
            </w:r>
          </w:p>
        </w:tc>
        <w:tc>
          <w:tcPr>
            <w:tcW w:w="3665" w:type="dxa"/>
            <w:tcBorders>
              <w:top w:val="dotted" w:sz="4" w:space="0" w:color="auto"/>
              <w:left w:val="dotted" w:sz="4" w:space="0" w:color="auto"/>
              <w:right w:val="dotted" w:sz="4" w:space="0" w:color="auto"/>
            </w:tcBorders>
            <w:shd w:val="clear" w:color="auto" w:fill="auto"/>
          </w:tcPr>
          <w:p w:rsidR="00F3424C" w:rsidRPr="00A42279" w:rsidRDefault="00F3424C"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Proportion of partners practicing project management skills and knowledge obtained through IF(IV)  to build new health facilities</w:t>
            </w:r>
          </w:p>
        </w:tc>
        <w:tc>
          <w:tcPr>
            <w:tcW w:w="1451" w:type="dxa"/>
            <w:vMerge/>
            <w:tcBorders>
              <w:left w:val="dotted" w:sz="4" w:space="0" w:color="auto"/>
              <w:right w:val="dotted" w:sz="4" w:space="0" w:color="auto"/>
            </w:tcBorders>
            <w:shd w:val="clear" w:color="auto" w:fill="auto"/>
          </w:tcPr>
          <w:p w:rsidR="00F3424C" w:rsidRPr="00A42279" w:rsidRDefault="00F3424C"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1452" w:type="dxa"/>
            <w:vMerge/>
            <w:tcBorders>
              <w:left w:val="dotted" w:sz="4" w:space="0" w:color="auto"/>
              <w:right w:val="dotted" w:sz="4" w:space="0" w:color="auto"/>
            </w:tcBorders>
            <w:shd w:val="clear" w:color="auto" w:fill="auto"/>
          </w:tcPr>
          <w:p w:rsidR="00F3424C" w:rsidRPr="00A42279" w:rsidRDefault="00F3424C"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6" w:type="dxa"/>
            <w:tcBorders>
              <w:top w:val="dotted" w:sz="4" w:space="0" w:color="auto"/>
              <w:left w:val="dotted" w:sz="4" w:space="0" w:color="auto"/>
              <w:right w:val="dotted" w:sz="4" w:space="0" w:color="auto"/>
            </w:tcBorders>
            <w:shd w:val="clear" w:color="auto" w:fill="auto"/>
          </w:tcPr>
          <w:p w:rsidR="00F3424C" w:rsidRPr="00A42279" w:rsidRDefault="00F3424C"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tcPr>
          <w:p w:rsidR="00F3424C" w:rsidRPr="00A42279" w:rsidRDefault="00F3424C"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tcPr>
          <w:p w:rsidR="00F3424C" w:rsidRPr="00A42279" w:rsidRDefault="00F3424C"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tcPr>
          <w:p w:rsidR="00F3424C" w:rsidRPr="00A42279" w:rsidRDefault="00F3424C"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tcPr>
          <w:p w:rsidR="00F3424C" w:rsidRPr="00A42279" w:rsidRDefault="00F3424C"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17" w:type="dxa"/>
            <w:tcBorders>
              <w:top w:val="dotted" w:sz="4" w:space="0" w:color="auto"/>
              <w:left w:val="dotted" w:sz="4" w:space="0" w:color="auto"/>
              <w:right w:val="dotted" w:sz="4" w:space="0" w:color="auto"/>
            </w:tcBorders>
            <w:shd w:val="clear" w:color="auto" w:fill="auto"/>
          </w:tcPr>
          <w:p w:rsidR="00F3424C" w:rsidRPr="00A42279" w:rsidRDefault="00F3424C"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1103" w:type="dxa"/>
            <w:tcBorders>
              <w:top w:val="dotted" w:sz="4" w:space="0" w:color="auto"/>
              <w:left w:val="dotted" w:sz="4" w:space="0" w:color="auto"/>
              <w:right w:val="dotted" w:sz="4" w:space="0" w:color="auto"/>
            </w:tcBorders>
            <w:shd w:val="clear" w:color="auto" w:fill="auto"/>
            <w:vAlign w:val="center"/>
          </w:tcPr>
          <w:p w:rsidR="00F3424C" w:rsidRPr="00A42279" w:rsidRDefault="00F3424C"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Not Known</w:t>
            </w:r>
          </w:p>
          <w:p w:rsidR="00F3424C" w:rsidRPr="00A42279" w:rsidRDefault="00F3424C"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r>
    </w:tbl>
    <w:p w:rsidR="00A42279" w:rsidRPr="00A42279" w:rsidRDefault="00A42279" w:rsidP="00A42279">
      <w:pPr>
        <w:spacing w:before="0" w:after="0"/>
        <w:jc w:val="left"/>
        <w:rPr>
          <w:rFonts w:ascii="Arial" w:hAnsi="Arial"/>
          <w:b/>
          <w:lang w:eastAsia="en-AU"/>
        </w:rPr>
      </w:pPr>
      <w:r w:rsidRPr="00A42279">
        <w:rPr>
          <w:lang w:eastAsia="en-AU"/>
        </w:rPr>
        <w:br w:type="page"/>
      </w:r>
    </w:p>
    <w:p w:rsidR="00A42279" w:rsidRPr="00A42279" w:rsidRDefault="00A42279" w:rsidP="00A42279">
      <w:pPr>
        <w:spacing w:after="240"/>
        <w:jc w:val="left"/>
        <w:rPr>
          <w:rFonts w:ascii="Arial" w:hAnsi="Arial"/>
          <w:b/>
          <w:lang w:eastAsia="en-AU"/>
        </w:rPr>
      </w:pPr>
      <w:r w:rsidRPr="00A42279">
        <w:rPr>
          <w:rFonts w:ascii="Arial" w:hAnsi="Arial"/>
          <w:b/>
          <w:lang w:eastAsia="en-AU"/>
        </w:rPr>
        <w:lastRenderedPageBreak/>
        <w:t>EDUCATION</w:t>
      </w:r>
    </w:p>
    <w:tbl>
      <w:tblPr>
        <w:tblStyle w:val="LightShading"/>
        <w:tblW w:w="147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0"/>
        <w:gridCol w:w="3870"/>
        <w:gridCol w:w="1620"/>
        <w:gridCol w:w="1620"/>
        <w:gridCol w:w="746"/>
        <w:gridCol w:w="746"/>
        <w:gridCol w:w="746"/>
        <w:gridCol w:w="746"/>
        <w:gridCol w:w="746"/>
        <w:gridCol w:w="747"/>
        <w:gridCol w:w="923"/>
      </w:tblGrid>
      <w:tr w:rsidR="00A42279" w:rsidRPr="00A42279" w:rsidTr="00564C5C">
        <w:trPr>
          <w:cnfStyle w:val="100000000000" w:firstRow="1" w:lastRow="0" w:firstColumn="0" w:lastColumn="0" w:oddVBand="0" w:evenVBand="0" w:oddHBand="0" w:evenHBand="0" w:firstRowFirstColumn="0" w:firstRowLastColumn="0" w:lastRowFirstColumn="0" w:lastRowLastColumn="0"/>
          <w:trHeight w:val="357"/>
          <w:tblHeader/>
        </w:trPr>
        <w:tc>
          <w:tcPr>
            <w:cnfStyle w:val="001000000000" w:firstRow="0" w:lastRow="0" w:firstColumn="1" w:lastColumn="0" w:oddVBand="0" w:evenVBand="0" w:oddHBand="0" w:evenHBand="0" w:firstRowFirstColumn="0" w:firstRowLastColumn="0" w:lastRowFirstColumn="0" w:lastRowLastColumn="0"/>
            <w:tcW w:w="2250" w:type="dxa"/>
            <w:tcBorders>
              <w:top w:val="dotted" w:sz="4" w:space="0" w:color="auto"/>
              <w:left w:val="dotted" w:sz="4" w:space="0" w:color="auto"/>
              <w:bottom w:val="dotted" w:sz="4" w:space="0" w:color="auto"/>
              <w:right w:val="dotted" w:sz="4" w:space="0" w:color="auto"/>
            </w:tcBorders>
            <w:shd w:val="clear" w:color="auto" w:fill="C2D69B" w:themeFill="accent3" w:themeFillTint="99"/>
            <w:hideMark/>
          </w:tcPr>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Post IF (IV) Goal</w:t>
            </w:r>
          </w:p>
        </w:tc>
        <w:tc>
          <w:tcPr>
            <w:tcW w:w="12510" w:type="dxa"/>
            <w:gridSpan w:val="10"/>
            <w:tcBorders>
              <w:top w:val="dotted" w:sz="4" w:space="0" w:color="auto"/>
              <w:left w:val="dotted" w:sz="4" w:space="0" w:color="auto"/>
              <w:bottom w:val="dotted" w:sz="4" w:space="0" w:color="auto"/>
              <w:right w:val="dotted" w:sz="4" w:space="0" w:color="auto"/>
            </w:tcBorders>
            <w:shd w:val="clear" w:color="auto" w:fill="C2D69B" w:themeFill="accent3" w:themeFillTint="99"/>
          </w:tcPr>
          <w:p w:rsidR="003E03F2" w:rsidRPr="003E03F2" w:rsidRDefault="003E03F2" w:rsidP="003E03F2">
            <w:pPr>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i/>
                <w:color w:val="000000"/>
                <w:sz w:val="20"/>
                <w:lang w:val="en-GB"/>
              </w:rPr>
            </w:pPr>
            <w:r w:rsidRPr="003E03F2">
              <w:rPr>
                <w:rFonts w:ascii="Arial Narrow" w:hAnsi="Arial Narrow"/>
                <w:i/>
                <w:color w:val="000000"/>
                <w:sz w:val="20"/>
                <w:lang w:val="en-GB"/>
              </w:rPr>
              <w:t xml:space="preserve">To improve the capacity of organisations to meet the service delivery and economic development needs of the women, children and men of Papua New Guinea. </w:t>
            </w:r>
          </w:p>
          <w:p w:rsidR="00A42279" w:rsidRPr="00A42279" w:rsidRDefault="00A42279" w:rsidP="00A42279">
            <w:pPr>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p>
        </w:tc>
      </w:tr>
      <w:tr w:rsidR="00A42279" w:rsidRPr="00A42279" w:rsidTr="00564C5C">
        <w:trPr>
          <w:cnfStyle w:val="100000000000" w:firstRow="1" w:lastRow="0" w:firstColumn="0" w:lastColumn="0" w:oddVBand="0" w:evenVBand="0" w:oddHBand="0" w:evenHBand="0" w:firstRowFirstColumn="0" w:firstRowLastColumn="0" w:lastRowFirstColumn="0" w:lastRowLastColumn="0"/>
          <w:trHeight w:val="63"/>
          <w:tblHeader/>
        </w:trPr>
        <w:tc>
          <w:tcPr>
            <w:cnfStyle w:val="001000000000" w:firstRow="0" w:lastRow="0" w:firstColumn="1" w:lastColumn="0" w:oddVBand="0" w:evenVBand="0" w:oddHBand="0" w:evenHBand="0" w:firstRowFirstColumn="0" w:firstRowLastColumn="0" w:lastRowFirstColumn="0" w:lastRowLastColumn="0"/>
            <w:tcW w:w="2250" w:type="dxa"/>
            <w:tcBorders>
              <w:top w:val="dotted" w:sz="4" w:space="0" w:color="auto"/>
              <w:left w:val="dotted" w:sz="4" w:space="0" w:color="auto"/>
              <w:bottom w:val="dotted" w:sz="4" w:space="0" w:color="auto"/>
              <w:right w:val="dotted" w:sz="4" w:space="0" w:color="auto"/>
            </w:tcBorders>
            <w:shd w:val="clear" w:color="auto" w:fill="FABF8F" w:themeFill="accent6" w:themeFillTint="99"/>
            <w:hideMark/>
          </w:tcPr>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Purpose</w:t>
            </w:r>
          </w:p>
        </w:tc>
        <w:tc>
          <w:tcPr>
            <w:tcW w:w="12510" w:type="dxa"/>
            <w:gridSpan w:val="10"/>
            <w:tcBorders>
              <w:top w:val="dotted" w:sz="4" w:space="0" w:color="auto"/>
              <w:left w:val="dotted" w:sz="4" w:space="0" w:color="auto"/>
              <w:bottom w:val="dotted" w:sz="4" w:space="0" w:color="auto"/>
              <w:right w:val="dotted" w:sz="4" w:space="0" w:color="auto"/>
            </w:tcBorders>
            <w:shd w:val="clear" w:color="auto" w:fill="FABF8F" w:themeFill="accent6" w:themeFillTint="99"/>
          </w:tcPr>
          <w:p w:rsidR="00A42279" w:rsidRPr="00A42279" w:rsidRDefault="00CC1E7D" w:rsidP="00A42279">
            <w:pPr>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i/>
                <w:iCs/>
                <w:color w:val="000000"/>
                <w:sz w:val="20"/>
              </w:rPr>
            </w:pPr>
            <w:r w:rsidRPr="00CC1E7D">
              <w:rPr>
                <w:rFonts w:ascii="Arial Narrow" w:hAnsi="Arial Narrow"/>
                <w:i/>
                <w:iCs/>
                <w:color w:val="000000"/>
                <w:sz w:val="20"/>
              </w:rPr>
              <w:t xml:space="preserve">To attract, identify and incentivise good performing organisations to expand the reach, coverage and quality of their contribution to service delivery and/or economic </w:t>
            </w:r>
            <w:r w:rsidR="00205423" w:rsidRPr="00205423">
              <w:rPr>
                <w:rFonts w:ascii="Arial Narrow" w:hAnsi="Arial Narrow"/>
                <w:i/>
                <w:iCs/>
                <w:color w:val="000000"/>
                <w:sz w:val="20"/>
              </w:rPr>
              <w:t>development</w:t>
            </w:r>
            <w:r w:rsidRPr="00CC1E7D">
              <w:rPr>
                <w:rFonts w:ascii="Arial Narrow" w:hAnsi="Arial Narrow"/>
                <w:i/>
                <w:iCs/>
                <w:color w:val="000000"/>
                <w:sz w:val="20"/>
              </w:rPr>
              <w:t xml:space="preserve"> in Papua New Guinea.</w:t>
            </w:r>
          </w:p>
        </w:tc>
      </w:tr>
      <w:tr w:rsidR="00A42279" w:rsidRPr="00A42279" w:rsidTr="00F3424C">
        <w:trPr>
          <w:cnfStyle w:val="100000000000" w:firstRow="1" w:lastRow="0" w:firstColumn="0" w:lastColumn="0" w:oddVBand="0" w:evenVBand="0" w:oddHBand="0" w:evenHBand="0" w:firstRowFirstColumn="0" w:firstRowLastColumn="0" w:lastRowFirstColumn="0" w:lastRowLastColumn="0"/>
          <w:trHeight w:val="3"/>
          <w:tblHeader/>
        </w:trPr>
        <w:tc>
          <w:tcPr>
            <w:cnfStyle w:val="001000000000" w:firstRow="0" w:lastRow="0" w:firstColumn="1" w:lastColumn="0" w:oddVBand="0" w:evenVBand="0" w:oddHBand="0" w:evenHBand="0" w:firstRowFirstColumn="0" w:firstRowLastColumn="0" w:lastRowFirstColumn="0" w:lastRowLastColumn="0"/>
            <w:tcW w:w="2250" w:type="dxa"/>
            <w:tcBorders>
              <w:top w:val="dotted" w:sz="4" w:space="0" w:color="auto"/>
              <w:left w:val="dotted" w:sz="4" w:space="0" w:color="auto"/>
              <w:bottom w:val="dotted" w:sz="4" w:space="0" w:color="auto"/>
              <w:right w:val="dotted" w:sz="4" w:space="0" w:color="auto"/>
            </w:tcBorders>
            <w:hideMark/>
          </w:tcPr>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 xml:space="preserve">2: Intermediate </w:t>
            </w:r>
          </w:p>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Education Outcomes</w:t>
            </w:r>
          </w:p>
        </w:tc>
        <w:tc>
          <w:tcPr>
            <w:tcW w:w="3870" w:type="dxa"/>
            <w:tcBorders>
              <w:top w:val="dotted" w:sz="4" w:space="0" w:color="auto"/>
              <w:left w:val="dotted" w:sz="4" w:space="0" w:color="auto"/>
              <w:bottom w:val="dotted" w:sz="4" w:space="0" w:color="auto"/>
              <w:right w:val="dotted" w:sz="4" w:space="0" w:color="auto"/>
            </w:tcBorders>
            <w:hideMark/>
          </w:tcPr>
          <w:p w:rsidR="00A42279" w:rsidRPr="00A42279" w:rsidRDefault="00A42279" w:rsidP="00A42279">
            <w:pPr>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End-of-program outcome indicators (2015-2021)</w:t>
            </w:r>
          </w:p>
        </w:tc>
        <w:tc>
          <w:tcPr>
            <w:tcW w:w="1620" w:type="dxa"/>
            <w:tcBorders>
              <w:top w:val="dotted" w:sz="4" w:space="0" w:color="auto"/>
              <w:left w:val="dotted" w:sz="4" w:space="0" w:color="auto"/>
              <w:bottom w:val="dotted" w:sz="4" w:space="0" w:color="auto"/>
              <w:right w:val="dotted" w:sz="4" w:space="0" w:color="auto"/>
            </w:tcBorders>
            <w:hideMark/>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Data source and baseline</w:t>
            </w:r>
          </w:p>
        </w:tc>
        <w:tc>
          <w:tcPr>
            <w:tcW w:w="1620" w:type="dxa"/>
            <w:tcBorders>
              <w:top w:val="dotted" w:sz="4" w:space="0" w:color="auto"/>
              <w:left w:val="dotted" w:sz="4" w:space="0" w:color="auto"/>
              <w:bottom w:val="dotted" w:sz="4" w:space="0" w:color="auto"/>
              <w:right w:val="dotted" w:sz="4" w:space="0" w:color="auto"/>
            </w:tcBorders>
            <w:hideMark/>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Target</w:t>
            </w:r>
          </w:p>
        </w:tc>
        <w:tc>
          <w:tcPr>
            <w:tcW w:w="74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2015–16</w:t>
            </w:r>
          </w:p>
        </w:tc>
        <w:tc>
          <w:tcPr>
            <w:tcW w:w="74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2016–17</w:t>
            </w:r>
          </w:p>
        </w:tc>
        <w:tc>
          <w:tcPr>
            <w:tcW w:w="74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2017–18</w:t>
            </w:r>
          </w:p>
        </w:tc>
        <w:tc>
          <w:tcPr>
            <w:tcW w:w="74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2018–19</w:t>
            </w:r>
          </w:p>
        </w:tc>
        <w:tc>
          <w:tcPr>
            <w:tcW w:w="74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2019-20</w:t>
            </w:r>
          </w:p>
        </w:tc>
        <w:tc>
          <w:tcPr>
            <w:tcW w:w="747"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2020-21</w:t>
            </w:r>
          </w:p>
        </w:tc>
        <w:tc>
          <w:tcPr>
            <w:tcW w:w="923"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From Phase III</w:t>
            </w:r>
          </w:p>
        </w:tc>
      </w:tr>
      <w:tr w:rsidR="00A42279" w:rsidRPr="00A42279" w:rsidTr="00F3424C">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50" w:type="dxa"/>
            <w:vMerge w:val="restart"/>
            <w:tcBorders>
              <w:top w:val="dotted" w:sz="4" w:space="0" w:color="auto"/>
              <w:left w:val="dotted" w:sz="4" w:space="0" w:color="auto"/>
              <w:right w:val="dotted" w:sz="4" w:space="0" w:color="auto"/>
            </w:tcBorders>
            <w:shd w:val="clear" w:color="auto" w:fill="auto"/>
            <w:hideMark/>
          </w:tcPr>
          <w:p w:rsidR="00A42279" w:rsidRPr="00A42279" w:rsidRDefault="00A42279" w:rsidP="00A42279">
            <w:pPr>
              <w:spacing w:before="0" w:after="0"/>
              <w:jc w:val="left"/>
              <w:rPr>
                <w:rFonts w:ascii="Arial Narrow" w:hAnsi="Arial Narrow"/>
                <w:sz w:val="20"/>
              </w:rPr>
            </w:pPr>
            <w:r w:rsidRPr="00A42279">
              <w:rPr>
                <w:rFonts w:ascii="Arial Narrow" w:hAnsi="Arial Narrow"/>
                <w:sz w:val="20"/>
              </w:rPr>
              <w:t xml:space="preserve">2a:Partners are operating and maintaining all their infrastructure and support </w:t>
            </w:r>
          </w:p>
        </w:tc>
        <w:tc>
          <w:tcPr>
            <w:tcW w:w="3870"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Number of women and girls /  men and boys accessing  education facilities built with IF(IV) resources</w:t>
            </w:r>
          </w:p>
        </w:tc>
        <w:tc>
          <w:tcPr>
            <w:tcW w:w="1620" w:type="dxa"/>
            <w:vMerge w:val="restart"/>
            <w:tcBorders>
              <w:top w:val="dotted" w:sz="4" w:space="0" w:color="auto"/>
              <w:left w:val="dotted" w:sz="4" w:space="0" w:color="auto"/>
              <w:right w:val="dotted" w:sz="4" w:space="0" w:color="auto"/>
            </w:tcBorders>
            <w:shd w:val="clear" w:color="auto" w:fill="auto"/>
          </w:tcPr>
          <w:p w:rsidR="00A42279" w:rsidRPr="0070258C" w:rsidRDefault="00A42279" w:rsidP="00994D0B">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0258C">
              <w:rPr>
                <w:rFonts w:ascii="Arial Narrow" w:hAnsi="Arial Narrow"/>
                <w:sz w:val="20"/>
                <w:szCs w:val="20"/>
              </w:rPr>
              <w:t>Progress reports, Project monitoring, MIS, end-of-program evaluation, local health facility data</w:t>
            </w:r>
          </w:p>
        </w:tc>
        <w:tc>
          <w:tcPr>
            <w:tcW w:w="1620" w:type="dxa"/>
            <w:vMerge w:val="restart"/>
            <w:tcBorders>
              <w:top w:val="dotted" w:sz="4" w:space="0" w:color="auto"/>
              <w:left w:val="dotted" w:sz="4" w:space="0" w:color="auto"/>
              <w:right w:val="dotted" w:sz="4" w:space="0" w:color="auto"/>
            </w:tcBorders>
            <w:shd w:val="clear" w:color="auto" w:fill="auto"/>
          </w:tcPr>
          <w:p w:rsidR="00A42279" w:rsidRPr="0070258C" w:rsidRDefault="00A42279" w:rsidP="00994D0B">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0258C">
              <w:rPr>
                <w:rFonts w:ascii="Arial Narrow" w:hAnsi="Arial Narrow"/>
                <w:sz w:val="20"/>
                <w:szCs w:val="20"/>
              </w:rPr>
              <w:t>Targets leading to 2021 will be confirmed at start-up when strategic targets are set</w:t>
            </w:r>
          </w:p>
          <w:p w:rsidR="00A42279" w:rsidRPr="0070258C" w:rsidRDefault="002B7876" w:rsidP="00994D0B">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Phase I</w:t>
            </w:r>
            <w:r w:rsidR="00A42279" w:rsidRPr="0070258C">
              <w:rPr>
                <w:rFonts w:ascii="Arial Narrow" w:hAnsi="Arial Narrow"/>
                <w:sz w:val="20"/>
                <w:szCs w:val="20"/>
              </w:rPr>
              <w:t>-III evaluation will inform IF (IV) targets</w:t>
            </w:r>
          </w:p>
        </w:tc>
        <w:tc>
          <w:tcPr>
            <w:tcW w:w="746" w:type="dxa"/>
            <w:tcBorders>
              <w:top w:val="dotted" w:sz="4" w:space="0" w:color="auto"/>
              <w:left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7" w:type="dxa"/>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923" w:type="dxa"/>
            <w:tcBorders>
              <w:top w:val="dotted" w:sz="4" w:space="0" w:color="auto"/>
              <w:left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 xml:space="preserve">858 girls and 356 boys </w:t>
            </w:r>
          </w:p>
        </w:tc>
      </w:tr>
      <w:tr w:rsidR="00A42279" w:rsidRPr="00A42279" w:rsidTr="00F3424C">
        <w:trPr>
          <w:trHeight w:val="690"/>
        </w:trPr>
        <w:tc>
          <w:tcPr>
            <w:cnfStyle w:val="001000000000" w:firstRow="0" w:lastRow="0" w:firstColumn="1" w:lastColumn="0" w:oddVBand="0" w:evenVBand="0" w:oddHBand="0" w:evenHBand="0" w:firstRowFirstColumn="0" w:firstRowLastColumn="0" w:lastRowFirstColumn="0" w:lastRowLastColumn="0"/>
            <w:tcW w:w="2250"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rPr>
                <w:rFonts w:ascii="Arial Narrow" w:hAnsi="Arial Narrow"/>
                <w:sz w:val="20"/>
              </w:rPr>
            </w:pPr>
          </w:p>
        </w:tc>
        <w:tc>
          <w:tcPr>
            <w:tcW w:w="3870"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 xml:space="preserve">Proportion of IF (IV) funded education facilities fully functional, operating as intended </w:t>
            </w:r>
          </w:p>
        </w:tc>
        <w:tc>
          <w:tcPr>
            <w:tcW w:w="1620"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1620" w:type="dxa"/>
            <w:vMerge/>
            <w:tcBorders>
              <w:left w:val="dotted" w:sz="4" w:space="0" w:color="auto"/>
              <w:right w:val="dotted" w:sz="4" w:space="0" w:color="auto"/>
            </w:tcBorders>
            <w:shd w:val="clear" w:color="auto" w:fill="auto"/>
          </w:tcPr>
          <w:p w:rsidR="00A42279" w:rsidRPr="00A42279" w:rsidRDefault="00A42279" w:rsidP="00A42279">
            <w:pPr>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7" w:type="dxa"/>
            <w:tcBorders>
              <w:left w:val="dotted" w:sz="4" w:space="0" w:color="auto"/>
              <w:bottom w:val="dotted" w:sz="4" w:space="0" w:color="auto"/>
              <w:right w:val="dotted" w:sz="4" w:space="0" w:color="auto"/>
            </w:tcBorders>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923" w:type="dxa"/>
            <w:tcBorders>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Not known</w:t>
            </w:r>
          </w:p>
        </w:tc>
      </w:tr>
      <w:tr w:rsidR="00A42279" w:rsidRPr="00A42279" w:rsidTr="006D66A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250" w:type="dxa"/>
            <w:vMerge/>
            <w:tcBorders>
              <w:left w:val="dotted" w:sz="4" w:space="0" w:color="auto"/>
              <w:right w:val="dotted" w:sz="4" w:space="0" w:color="auto"/>
            </w:tcBorders>
            <w:shd w:val="clear" w:color="auto" w:fill="auto"/>
          </w:tcPr>
          <w:p w:rsidR="00A42279" w:rsidRPr="00A42279" w:rsidRDefault="00A42279" w:rsidP="00A42279">
            <w:pPr>
              <w:spacing w:before="0" w:after="0"/>
              <w:ind w:left="34"/>
              <w:contextualSpacing/>
              <w:jc w:val="left"/>
              <w:rPr>
                <w:rFonts w:ascii="Arial Narrow" w:hAnsi="Arial Narrow"/>
                <w:color w:val="000000"/>
                <w:sz w:val="20"/>
              </w:rPr>
            </w:pPr>
          </w:p>
        </w:tc>
        <w:tc>
          <w:tcPr>
            <w:tcW w:w="3870" w:type="dxa"/>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Number of education staff working in education facilities because of IF (IV) support</w:t>
            </w:r>
          </w:p>
        </w:tc>
        <w:tc>
          <w:tcPr>
            <w:tcW w:w="1620" w:type="dxa"/>
            <w:vMerge/>
            <w:tcBorders>
              <w:left w:val="dotted" w:sz="4" w:space="0" w:color="auto"/>
              <w:right w:val="dotted" w:sz="4" w:space="0" w:color="auto"/>
            </w:tcBorders>
            <w:shd w:val="clear" w:color="auto" w:fill="auto"/>
          </w:tcPr>
          <w:p w:rsidR="00A42279" w:rsidRPr="00A42279" w:rsidRDefault="00A42279" w:rsidP="00A42279">
            <w:pP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p>
        </w:tc>
        <w:tc>
          <w:tcPr>
            <w:tcW w:w="1620"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right w:val="dotted" w:sz="4" w:space="0" w:color="auto"/>
            </w:tcBorders>
            <w:shd w:val="clear" w:color="auto" w:fill="auto"/>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7" w:type="dxa"/>
            <w:tcBorders>
              <w:top w:val="dotted" w:sz="4" w:space="0" w:color="auto"/>
              <w:left w:val="dotted" w:sz="4" w:space="0" w:color="auto"/>
              <w:right w:val="dotted" w:sz="4" w:space="0" w:color="auto"/>
            </w:tcBorders>
            <w:shd w:val="clear" w:color="auto" w:fill="auto"/>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923" w:type="dxa"/>
            <w:tcBorders>
              <w:top w:val="dotted" w:sz="4" w:space="0" w:color="auto"/>
              <w:left w:val="dotted" w:sz="4" w:space="0" w:color="auto"/>
              <w:right w:val="dotted" w:sz="4" w:space="0" w:color="auto"/>
            </w:tcBorders>
            <w:shd w:val="clear" w:color="auto" w:fill="auto"/>
            <w:vAlign w:val="center"/>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72 teachers</w:t>
            </w:r>
          </w:p>
        </w:tc>
      </w:tr>
      <w:tr w:rsidR="00A42279" w:rsidRPr="00A42279" w:rsidTr="00F3424C">
        <w:trPr>
          <w:trHeight w:val="510"/>
        </w:trPr>
        <w:tc>
          <w:tcPr>
            <w:cnfStyle w:val="001000000000" w:firstRow="0" w:lastRow="0" w:firstColumn="1" w:lastColumn="0" w:oddVBand="0" w:evenVBand="0" w:oddHBand="0" w:evenHBand="0" w:firstRowFirstColumn="0" w:firstRowLastColumn="0" w:lastRowFirstColumn="0" w:lastRowLastColumn="0"/>
            <w:tcW w:w="2250" w:type="dxa"/>
            <w:vMerge w:val="restart"/>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ind w:left="34"/>
              <w:contextualSpacing/>
              <w:jc w:val="left"/>
              <w:rPr>
                <w:rFonts w:ascii="Arial Narrow" w:hAnsi="Arial Narrow"/>
                <w:color w:val="000000"/>
                <w:sz w:val="20"/>
              </w:rPr>
            </w:pPr>
            <w:r w:rsidRPr="00A42279">
              <w:rPr>
                <w:rFonts w:ascii="Arial Narrow" w:hAnsi="Arial Narrow"/>
                <w:color w:val="000000"/>
                <w:sz w:val="20"/>
              </w:rPr>
              <w:t>2b:</w:t>
            </w:r>
            <w:r w:rsidR="00CC1E7D">
              <w:t xml:space="preserve"> </w:t>
            </w:r>
            <w:r w:rsidR="00CC1E7D" w:rsidRPr="00CC1E7D">
              <w:rPr>
                <w:rFonts w:ascii="Arial Narrow" w:hAnsi="Arial Narrow"/>
                <w:color w:val="000000"/>
                <w:sz w:val="20"/>
              </w:rPr>
              <w:t>80 per cent of the investments will support empowerment of women and girls</w:t>
            </w:r>
          </w:p>
        </w:tc>
        <w:tc>
          <w:tcPr>
            <w:tcW w:w="3870"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Proportion of women and girls accessing new education facilities because of IF (IV) support</w:t>
            </w:r>
          </w:p>
        </w:tc>
        <w:tc>
          <w:tcPr>
            <w:tcW w:w="1620"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1620"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7"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923" w:type="dxa"/>
            <w:tcBorders>
              <w:top w:val="dotted" w:sz="4" w:space="0" w:color="auto"/>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 xml:space="preserve">71% </w:t>
            </w:r>
          </w:p>
        </w:tc>
      </w:tr>
      <w:tr w:rsidR="00A42279" w:rsidRPr="00A42279" w:rsidTr="00F3424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50" w:type="dxa"/>
            <w:vMerge/>
            <w:tcBorders>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rPr>
                <w:rFonts w:ascii="Arial Narrow" w:hAnsi="Arial Narrow"/>
                <w:color w:val="000000"/>
                <w:sz w:val="20"/>
              </w:rPr>
            </w:pPr>
          </w:p>
        </w:tc>
        <w:tc>
          <w:tcPr>
            <w:tcW w:w="3870"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6D66AF">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 xml:space="preserve">Number of women and girls </w:t>
            </w:r>
            <w:r w:rsidR="006D66AF">
              <w:rPr>
                <w:rFonts w:ascii="Arial Narrow" w:hAnsi="Arial Narrow"/>
                <w:bCs/>
                <w:color w:val="000000"/>
                <w:sz w:val="20"/>
              </w:rPr>
              <w:t xml:space="preserve">with increased educational attainment results from </w:t>
            </w:r>
            <w:r w:rsidRPr="00A42279">
              <w:rPr>
                <w:rFonts w:ascii="Arial Narrow" w:hAnsi="Arial Narrow"/>
                <w:bCs/>
                <w:color w:val="000000"/>
                <w:sz w:val="20"/>
              </w:rPr>
              <w:t>IF (IV) support</w:t>
            </w:r>
          </w:p>
        </w:tc>
        <w:tc>
          <w:tcPr>
            <w:tcW w:w="1620"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1620"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7"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923" w:type="dxa"/>
            <w:tcBorders>
              <w:top w:val="dotted" w:sz="4" w:space="0" w:color="auto"/>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Not Known</w:t>
            </w:r>
          </w:p>
        </w:tc>
      </w:tr>
      <w:tr w:rsidR="00A42279" w:rsidRPr="00A42279" w:rsidTr="00F3424C">
        <w:trPr>
          <w:trHeight w:val="510"/>
        </w:trPr>
        <w:tc>
          <w:tcPr>
            <w:cnfStyle w:val="001000000000" w:firstRow="0" w:lastRow="0" w:firstColumn="1" w:lastColumn="0" w:oddVBand="0" w:evenVBand="0" w:oddHBand="0" w:evenHBand="0" w:firstRowFirstColumn="0" w:firstRowLastColumn="0" w:lastRowFirstColumn="0" w:lastRowLastColumn="0"/>
            <w:tcW w:w="2250"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 xml:space="preserve">2c: 100% of Partners using social inclusion policy </w:t>
            </w:r>
          </w:p>
        </w:tc>
        <w:tc>
          <w:tcPr>
            <w:tcW w:w="3870"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 xml:space="preserve">Proportion of </w:t>
            </w:r>
            <w:r w:rsidR="006D66AF" w:rsidRPr="006D66AF">
              <w:rPr>
                <w:rFonts w:ascii="Arial Narrow" w:hAnsi="Arial Narrow"/>
                <w:bCs/>
                <w:color w:val="000000"/>
                <w:sz w:val="20"/>
              </w:rPr>
              <w:t>education</w:t>
            </w:r>
            <w:r w:rsidRPr="00A42279">
              <w:rPr>
                <w:rFonts w:ascii="Arial Narrow" w:hAnsi="Arial Narrow"/>
                <w:bCs/>
                <w:color w:val="000000"/>
                <w:sz w:val="20"/>
              </w:rPr>
              <w:t xml:space="preserve"> partners with social inclusion policy and implementing procedures</w:t>
            </w:r>
          </w:p>
        </w:tc>
        <w:tc>
          <w:tcPr>
            <w:tcW w:w="1620"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1620"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7"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923" w:type="dxa"/>
            <w:tcBorders>
              <w:top w:val="dotted" w:sz="4" w:space="0" w:color="auto"/>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Assumed 20/20</w:t>
            </w:r>
          </w:p>
        </w:tc>
      </w:tr>
      <w:tr w:rsidR="00F3424C" w:rsidRPr="00A42279" w:rsidTr="00F3424C">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250" w:type="dxa"/>
            <w:tcBorders>
              <w:top w:val="dotted" w:sz="4" w:space="0" w:color="auto"/>
              <w:left w:val="dotted" w:sz="4" w:space="0" w:color="auto"/>
              <w:right w:val="dotted" w:sz="4" w:space="0" w:color="auto"/>
            </w:tcBorders>
            <w:shd w:val="clear" w:color="auto" w:fill="auto"/>
          </w:tcPr>
          <w:p w:rsidR="00F3424C" w:rsidRPr="00A42279" w:rsidRDefault="00F3424C" w:rsidP="00A42279">
            <w:pPr>
              <w:spacing w:before="0" w:after="0"/>
              <w:jc w:val="left"/>
              <w:rPr>
                <w:rFonts w:ascii="Arial Narrow" w:hAnsi="Arial Narrow"/>
                <w:sz w:val="20"/>
              </w:rPr>
            </w:pPr>
            <w:r w:rsidRPr="00A42279">
              <w:rPr>
                <w:rFonts w:ascii="Arial Narrow" w:hAnsi="Arial Narrow"/>
                <w:sz w:val="20"/>
              </w:rPr>
              <w:t>2d: 20% of IF (IV) Partners are from the private sector</w:t>
            </w:r>
            <w:r w:rsidRPr="00A42279">
              <w:t xml:space="preserve"> </w:t>
            </w:r>
            <w:r w:rsidRPr="00A42279">
              <w:rPr>
                <w:rFonts w:ascii="Arial Narrow" w:hAnsi="Arial Narrow"/>
                <w:sz w:val="20"/>
              </w:rPr>
              <w:t>and effective</w:t>
            </w:r>
          </w:p>
        </w:tc>
        <w:tc>
          <w:tcPr>
            <w:tcW w:w="3870" w:type="dxa"/>
            <w:tcBorders>
              <w:top w:val="dotted" w:sz="4" w:space="0" w:color="auto"/>
              <w:left w:val="dotted" w:sz="4" w:space="0" w:color="auto"/>
              <w:right w:val="dotted" w:sz="4" w:space="0" w:color="auto"/>
            </w:tcBorders>
            <w:shd w:val="clear" w:color="auto" w:fill="auto"/>
          </w:tcPr>
          <w:p w:rsidR="00F3424C" w:rsidRPr="00A42279" w:rsidRDefault="00F3424C" w:rsidP="00F3424C">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20"/>
              </w:rPr>
            </w:pPr>
            <w:r>
              <w:rPr>
                <w:rFonts w:ascii="Arial Narrow" w:hAnsi="Arial Narrow"/>
                <w:bCs/>
                <w:color w:val="000000"/>
                <w:sz w:val="20"/>
              </w:rPr>
              <w:t>Proportion of</w:t>
            </w:r>
            <w:r w:rsidRPr="00A42279">
              <w:rPr>
                <w:rFonts w:ascii="Arial Narrow" w:hAnsi="Arial Narrow"/>
                <w:bCs/>
                <w:color w:val="000000"/>
                <w:sz w:val="20"/>
              </w:rPr>
              <w:t xml:space="preserve"> IF (IV) funded </w:t>
            </w:r>
            <w:r>
              <w:rPr>
                <w:rFonts w:ascii="Arial Narrow" w:hAnsi="Arial Narrow"/>
                <w:bCs/>
                <w:color w:val="000000"/>
                <w:sz w:val="20"/>
              </w:rPr>
              <w:t>education</w:t>
            </w:r>
            <w:r w:rsidRPr="00A42279">
              <w:rPr>
                <w:rFonts w:ascii="Arial Narrow" w:hAnsi="Arial Narrow"/>
                <w:bCs/>
                <w:color w:val="000000"/>
                <w:sz w:val="20"/>
              </w:rPr>
              <w:t xml:space="preserve"> facilities managed by private sector partners</w:t>
            </w:r>
          </w:p>
        </w:tc>
        <w:tc>
          <w:tcPr>
            <w:tcW w:w="1620" w:type="dxa"/>
            <w:vMerge/>
            <w:tcBorders>
              <w:left w:val="dotted" w:sz="4" w:space="0" w:color="auto"/>
              <w:right w:val="dotted" w:sz="4" w:space="0" w:color="auto"/>
            </w:tcBorders>
            <w:shd w:val="clear" w:color="auto" w:fill="auto"/>
          </w:tcPr>
          <w:p w:rsidR="00F3424C" w:rsidRPr="00A42279" w:rsidRDefault="00F3424C"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1620" w:type="dxa"/>
            <w:vMerge/>
            <w:tcBorders>
              <w:left w:val="dotted" w:sz="4" w:space="0" w:color="auto"/>
              <w:right w:val="dotted" w:sz="4" w:space="0" w:color="auto"/>
            </w:tcBorders>
            <w:shd w:val="clear" w:color="auto" w:fill="auto"/>
          </w:tcPr>
          <w:p w:rsidR="00F3424C" w:rsidRPr="00A42279" w:rsidRDefault="00F3424C"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right w:val="dotted" w:sz="4" w:space="0" w:color="auto"/>
            </w:tcBorders>
            <w:shd w:val="clear" w:color="auto" w:fill="auto"/>
          </w:tcPr>
          <w:p w:rsidR="00F3424C" w:rsidRPr="00A42279" w:rsidRDefault="00F3424C"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right w:val="dotted" w:sz="4" w:space="0" w:color="auto"/>
            </w:tcBorders>
            <w:shd w:val="clear" w:color="auto" w:fill="auto"/>
          </w:tcPr>
          <w:p w:rsidR="00F3424C" w:rsidRPr="00A42279" w:rsidRDefault="00F3424C" w:rsidP="00F3424C">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right w:val="dotted" w:sz="4" w:space="0" w:color="auto"/>
            </w:tcBorders>
            <w:shd w:val="clear" w:color="auto" w:fill="auto"/>
          </w:tcPr>
          <w:p w:rsidR="00F3424C" w:rsidRPr="00A42279" w:rsidRDefault="00F3424C" w:rsidP="00F3424C">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right w:val="dotted" w:sz="4" w:space="0" w:color="auto"/>
            </w:tcBorders>
            <w:shd w:val="clear" w:color="auto" w:fill="auto"/>
          </w:tcPr>
          <w:p w:rsidR="00F3424C" w:rsidRPr="00A42279" w:rsidRDefault="00F3424C" w:rsidP="00F3424C">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right w:val="dotted" w:sz="4" w:space="0" w:color="auto"/>
            </w:tcBorders>
            <w:shd w:val="clear" w:color="auto" w:fill="auto"/>
          </w:tcPr>
          <w:p w:rsidR="00F3424C" w:rsidRPr="00A42279" w:rsidRDefault="00F3424C" w:rsidP="00F3424C">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7" w:type="dxa"/>
            <w:tcBorders>
              <w:top w:val="dotted" w:sz="4" w:space="0" w:color="auto"/>
              <w:left w:val="dotted" w:sz="4" w:space="0" w:color="auto"/>
              <w:right w:val="dotted" w:sz="4" w:space="0" w:color="auto"/>
            </w:tcBorders>
            <w:shd w:val="clear" w:color="auto" w:fill="auto"/>
          </w:tcPr>
          <w:p w:rsidR="00F3424C" w:rsidRPr="00A42279" w:rsidRDefault="00F3424C" w:rsidP="00F3424C">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923" w:type="dxa"/>
            <w:tcBorders>
              <w:top w:val="dotted" w:sz="4" w:space="0" w:color="auto"/>
              <w:left w:val="dotted" w:sz="4" w:space="0" w:color="auto"/>
              <w:right w:val="dotted" w:sz="4" w:space="0" w:color="auto"/>
            </w:tcBorders>
            <w:shd w:val="clear" w:color="auto" w:fill="auto"/>
            <w:vAlign w:val="center"/>
          </w:tcPr>
          <w:p w:rsidR="00F3424C" w:rsidRPr="00A42279" w:rsidRDefault="00F3424C" w:rsidP="00F3424C">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r>
              <w:rPr>
                <w:rFonts w:ascii="Arial Narrow" w:hAnsi="Arial Narrow"/>
                <w:color w:val="000000"/>
                <w:sz w:val="20"/>
              </w:rPr>
              <w:t>Zero</w:t>
            </w:r>
          </w:p>
        </w:tc>
      </w:tr>
      <w:tr w:rsidR="00A42279" w:rsidRPr="00A42279" w:rsidTr="00F3424C">
        <w:trPr>
          <w:trHeight w:val="822"/>
        </w:trPr>
        <w:tc>
          <w:tcPr>
            <w:cnfStyle w:val="001000000000" w:firstRow="0" w:lastRow="0" w:firstColumn="1" w:lastColumn="0" w:oddVBand="0" w:evenVBand="0" w:oddHBand="0" w:evenHBand="0" w:firstRowFirstColumn="0" w:firstRowLastColumn="0" w:lastRowFirstColumn="0" w:lastRowLastColumn="0"/>
            <w:tcW w:w="2250"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2e: Partners have new capacity to implement projects or activities</w:t>
            </w:r>
          </w:p>
        </w:tc>
        <w:tc>
          <w:tcPr>
            <w:tcW w:w="3870"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 xml:space="preserve">Proportion of partners utilising new project management capacity to </w:t>
            </w:r>
            <w:r w:rsidR="006D66AF">
              <w:rPr>
                <w:rFonts w:ascii="Arial Narrow" w:hAnsi="Arial Narrow"/>
                <w:bCs/>
                <w:color w:val="000000"/>
                <w:sz w:val="20"/>
              </w:rPr>
              <w:t xml:space="preserve">renovate or </w:t>
            </w:r>
            <w:r w:rsidRPr="00A42279">
              <w:rPr>
                <w:rFonts w:ascii="Arial Narrow" w:hAnsi="Arial Narrow"/>
                <w:bCs/>
                <w:color w:val="000000"/>
                <w:sz w:val="20"/>
              </w:rPr>
              <w:t>build new education facilities</w:t>
            </w:r>
          </w:p>
        </w:tc>
        <w:tc>
          <w:tcPr>
            <w:tcW w:w="1620"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1620"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6"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7"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923" w:type="dxa"/>
            <w:tcBorders>
              <w:top w:val="dotted" w:sz="4" w:space="0" w:color="auto"/>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Not Known</w:t>
            </w:r>
          </w:p>
        </w:tc>
      </w:tr>
    </w:tbl>
    <w:p w:rsidR="00A42279" w:rsidRPr="00A42279" w:rsidRDefault="00A42279" w:rsidP="00A42279">
      <w:pPr>
        <w:spacing w:before="0" w:after="0"/>
        <w:jc w:val="left"/>
        <w:rPr>
          <w:rFonts w:ascii="Arial" w:hAnsi="Arial"/>
          <w:b/>
          <w:lang w:eastAsia="en-AU"/>
        </w:rPr>
      </w:pPr>
      <w:r w:rsidRPr="00A42279">
        <w:rPr>
          <w:lang w:eastAsia="en-AU"/>
        </w:rPr>
        <w:br w:type="page"/>
      </w:r>
    </w:p>
    <w:p w:rsidR="00A42279" w:rsidRPr="00A42279" w:rsidRDefault="00A42279" w:rsidP="00A42279">
      <w:pPr>
        <w:spacing w:after="240"/>
        <w:jc w:val="left"/>
        <w:rPr>
          <w:rFonts w:ascii="Arial" w:hAnsi="Arial"/>
          <w:b/>
          <w:lang w:eastAsia="en-AU"/>
        </w:rPr>
      </w:pPr>
      <w:r w:rsidRPr="00A42279">
        <w:rPr>
          <w:rFonts w:ascii="Arial" w:hAnsi="Arial"/>
          <w:b/>
          <w:lang w:eastAsia="en-AU"/>
        </w:rPr>
        <w:lastRenderedPageBreak/>
        <w:t xml:space="preserve">ECONOMIC </w:t>
      </w:r>
      <w:r w:rsidR="007A6262">
        <w:rPr>
          <w:rFonts w:ascii="Arial" w:hAnsi="Arial"/>
          <w:b/>
          <w:lang w:eastAsia="en-AU"/>
        </w:rPr>
        <w:t>DEVELOPMENT</w:t>
      </w:r>
    </w:p>
    <w:tbl>
      <w:tblPr>
        <w:tblStyle w:val="LightShading"/>
        <w:tblW w:w="1482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7"/>
        <w:gridCol w:w="2933"/>
        <w:gridCol w:w="2205"/>
        <w:gridCol w:w="2205"/>
        <w:gridCol w:w="743"/>
        <w:gridCol w:w="743"/>
        <w:gridCol w:w="744"/>
        <w:gridCol w:w="743"/>
        <w:gridCol w:w="743"/>
        <w:gridCol w:w="744"/>
        <w:gridCol w:w="1187"/>
      </w:tblGrid>
      <w:tr w:rsidR="00A42279" w:rsidRPr="00A42279" w:rsidTr="00F3424C">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837" w:type="dxa"/>
            <w:tcBorders>
              <w:top w:val="dotted" w:sz="4" w:space="0" w:color="auto"/>
              <w:left w:val="dotted" w:sz="4" w:space="0" w:color="auto"/>
              <w:bottom w:val="dotted" w:sz="4" w:space="0" w:color="auto"/>
              <w:right w:val="dotted" w:sz="4" w:space="0" w:color="auto"/>
            </w:tcBorders>
            <w:shd w:val="clear" w:color="auto" w:fill="C2D69B" w:themeFill="accent3" w:themeFillTint="99"/>
            <w:hideMark/>
          </w:tcPr>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Post IF (IV) Goal</w:t>
            </w:r>
          </w:p>
        </w:tc>
        <w:tc>
          <w:tcPr>
            <w:tcW w:w="12990" w:type="dxa"/>
            <w:gridSpan w:val="10"/>
            <w:tcBorders>
              <w:top w:val="dotted" w:sz="4" w:space="0" w:color="auto"/>
              <w:left w:val="dotted" w:sz="4" w:space="0" w:color="auto"/>
              <w:bottom w:val="dotted" w:sz="4" w:space="0" w:color="auto"/>
              <w:right w:val="dotted" w:sz="4" w:space="0" w:color="auto"/>
            </w:tcBorders>
            <w:shd w:val="clear" w:color="auto" w:fill="C2D69B" w:themeFill="accent3" w:themeFillTint="99"/>
          </w:tcPr>
          <w:p w:rsidR="003E03F2" w:rsidRPr="003E03F2" w:rsidRDefault="003E03F2" w:rsidP="003E03F2">
            <w:pPr>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i/>
                <w:color w:val="000000"/>
                <w:sz w:val="20"/>
                <w:lang w:val="en-GB"/>
              </w:rPr>
            </w:pPr>
            <w:r w:rsidRPr="003E03F2">
              <w:rPr>
                <w:rFonts w:ascii="Arial Narrow" w:hAnsi="Arial Narrow"/>
                <w:i/>
                <w:color w:val="000000"/>
                <w:sz w:val="20"/>
                <w:lang w:val="en-GB"/>
              </w:rPr>
              <w:t xml:space="preserve">To improve the capacity of organisations to meet the service delivery and economic development needs of the women, children and men of Papua New Guinea. </w:t>
            </w:r>
          </w:p>
          <w:p w:rsidR="00A42279" w:rsidRPr="00A42279" w:rsidRDefault="00A42279" w:rsidP="00A42279">
            <w:pPr>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rPr>
            </w:pPr>
          </w:p>
        </w:tc>
      </w:tr>
      <w:tr w:rsidR="00A42279" w:rsidRPr="00A42279" w:rsidTr="00F3424C">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837" w:type="dxa"/>
            <w:tcBorders>
              <w:top w:val="dotted" w:sz="4" w:space="0" w:color="auto"/>
              <w:left w:val="dotted" w:sz="4" w:space="0" w:color="auto"/>
              <w:bottom w:val="dotted" w:sz="4" w:space="0" w:color="auto"/>
              <w:right w:val="dotted" w:sz="4" w:space="0" w:color="auto"/>
            </w:tcBorders>
            <w:shd w:val="clear" w:color="auto" w:fill="FABF8F" w:themeFill="accent6" w:themeFillTint="99"/>
            <w:hideMark/>
          </w:tcPr>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Purpose</w:t>
            </w:r>
          </w:p>
        </w:tc>
        <w:tc>
          <w:tcPr>
            <w:tcW w:w="12990" w:type="dxa"/>
            <w:gridSpan w:val="10"/>
            <w:tcBorders>
              <w:top w:val="dotted" w:sz="4" w:space="0" w:color="auto"/>
              <w:left w:val="dotted" w:sz="4" w:space="0" w:color="auto"/>
              <w:bottom w:val="dotted" w:sz="4" w:space="0" w:color="auto"/>
              <w:right w:val="dotted" w:sz="4" w:space="0" w:color="auto"/>
            </w:tcBorders>
            <w:shd w:val="clear" w:color="auto" w:fill="FABF8F" w:themeFill="accent6" w:themeFillTint="99"/>
          </w:tcPr>
          <w:p w:rsidR="00A42279" w:rsidRPr="00A42279" w:rsidRDefault="00EF5855"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b/>
                <w:bCs/>
                <w:i/>
                <w:iCs/>
                <w:color w:val="000000"/>
                <w:sz w:val="20"/>
              </w:rPr>
            </w:pPr>
            <w:r w:rsidRPr="00EF5855">
              <w:rPr>
                <w:rFonts w:ascii="Arial Narrow" w:hAnsi="Arial Narrow"/>
                <w:b/>
                <w:bCs/>
                <w:i/>
                <w:iCs/>
                <w:color w:val="000000"/>
                <w:sz w:val="20"/>
              </w:rPr>
              <w:t>To attract, identify and incentivise good performing organisations to expand the reach, coverage and quality of their contribution to service delivery and/or economic development in Papua New Guinea.</w:t>
            </w:r>
          </w:p>
        </w:tc>
      </w:tr>
      <w:tr w:rsidR="00A42279" w:rsidRPr="00A42279" w:rsidTr="00F3424C">
        <w:trPr>
          <w:trHeight w:val="3"/>
        </w:trPr>
        <w:tc>
          <w:tcPr>
            <w:cnfStyle w:val="001000000000" w:firstRow="0" w:lastRow="0" w:firstColumn="1" w:lastColumn="0" w:oddVBand="0" w:evenVBand="0" w:oddHBand="0" w:evenHBand="0" w:firstRowFirstColumn="0" w:firstRowLastColumn="0" w:lastRowFirstColumn="0" w:lastRowLastColumn="0"/>
            <w:tcW w:w="1837" w:type="dxa"/>
            <w:tcBorders>
              <w:top w:val="dotted" w:sz="4" w:space="0" w:color="auto"/>
              <w:left w:val="dotted" w:sz="4" w:space="0" w:color="auto"/>
              <w:bottom w:val="dotted" w:sz="4" w:space="0" w:color="auto"/>
              <w:right w:val="dotted" w:sz="4" w:space="0" w:color="auto"/>
            </w:tcBorders>
            <w:hideMark/>
          </w:tcPr>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 xml:space="preserve">3: Intermediate </w:t>
            </w:r>
          </w:p>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 xml:space="preserve">Economic </w:t>
            </w:r>
            <w:r w:rsidR="00205423">
              <w:rPr>
                <w:rFonts w:ascii="Arial Narrow" w:hAnsi="Arial Narrow"/>
                <w:color w:val="000000"/>
                <w:sz w:val="20"/>
              </w:rPr>
              <w:t>D</w:t>
            </w:r>
            <w:r w:rsidR="00205423" w:rsidRPr="00205423">
              <w:rPr>
                <w:rFonts w:ascii="Arial Narrow" w:hAnsi="Arial Narrow"/>
                <w:color w:val="000000"/>
                <w:sz w:val="20"/>
              </w:rPr>
              <w:t>evelopment</w:t>
            </w:r>
            <w:r w:rsidRPr="00A42279">
              <w:rPr>
                <w:rFonts w:ascii="Arial Narrow" w:hAnsi="Arial Narrow"/>
                <w:color w:val="000000"/>
                <w:sz w:val="20"/>
              </w:rPr>
              <w:t xml:space="preserve"> Outcomes</w:t>
            </w:r>
          </w:p>
        </w:tc>
        <w:tc>
          <w:tcPr>
            <w:tcW w:w="2933" w:type="dxa"/>
            <w:tcBorders>
              <w:top w:val="dotted" w:sz="4" w:space="0" w:color="auto"/>
              <w:left w:val="dotted" w:sz="4" w:space="0" w:color="auto"/>
              <w:bottom w:val="dotted" w:sz="4" w:space="0" w:color="auto"/>
              <w:right w:val="dotted" w:sz="4" w:space="0" w:color="auto"/>
            </w:tcBorders>
            <w:hideMark/>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0"/>
              </w:rPr>
            </w:pPr>
            <w:r w:rsidRPr="00A42279">
              <w:rPr>
                <w:rFonts w:ascii="Arial Narrow" w:hAnsi="Arial Narrow"/>
                <w:b/>
                <w:bCs/>
                <w:color w:val="000000"/>
                <w:sz w:val="20"/>
              </w:rPr>
              <w:t>End-of-program outcome indicators (2015-2021)</w:t>
            </w:r>
          </w:p>
        </w:tc>
        <w:tc>
          <w:tcPr>
            <w:tcW w:w="2205" w:type="dxa"/>
            <w:tcBorders>
              <w:top w:val="dotted" w:sz="4" w:space="0" w:color="auto"/>
              <w:left w:val="dotted" w:sz="4" w:space="0" w:color="auto"/>
              <w:bottom w:val="dotted" w:sz="4" w:space="0" w:color="auto"/>
              <w:right w:val="dotted" w:sz="4" w:space="0" w:color="auto"/>
            </w:tcBorders>
            <w:hideMark/>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0"/>
              </w:rPr>
            </w:pPr>
            <w:r w:rsidRPr="00A42279">
              <w:rPr>
                <w:rFonts w:ascii="Arial Narrow" w:hAnsi="Arial Narrow"/>
                <w:b/>
                <w:bCs/>
                <w:color w:val="000000"/>
                <w:sz w:val="20"/>
              </w:rPr>
              <w:t>Data source and baseline</w:t>
            </w:r>
          </w:p>
        </w:tc>
        <w:tc>
          <w:tcPr>
            <w:tcW w:w="2205" w:type="dxa"/>
            <w:tcBorders>
              <w:top w:val="dotted" w:sz="4" w:space="0" w:color="auto"/>
              <w:left w:val="dotted" w:sz="4" w:space="0" w:color="auto"/>
              <w:bottom w:val="dotted" w:sz="4" w:space="0" w:color="auto"/>
              <w:right w:val="dotted" w:sz="4" w:space="0" w:color="auto"/>
            </w:tcBorders>
            <w:hideMark/>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0"/>
              </w:rPr>
            </w:pPr>
            <w:r w:rsidRPr="00A42279">
              <w:rPr>
                <w:rFonts w:ascii="Arial Narrow" w:hAnsi="Arial Narrow"/>
                <w:b/>
                <w:bCs/>
                <w:color w:val="000000"/>
                <w:sz w:val="20"/>
              </w:rPr>
              <w:t>Target</w:t>
            </w:r>
          </w:p>
        </w:tc>
        <w:tc>
          <w:tcPr>
            <w:tcW w:w="743"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0"/>
              </w:rPr>
            </w:pPr>
            <w:r w:rsidRPr="00A42279">
              <w:rPr>
                <w:rFonts w:ascii="Arial Narrow" w:hAnsi="Arial Narrow"/>
                <w:b/>
                <w:bCs/>
                <w:color w:val="000000"/>
                <w:sz w:val="20"/>
              </w:rPr>
              <w:t>2015–16</w:t>
            </w:r>
          </w:p>
        </w:tc>
        <w:tc>
          <w:tcPr>
            <w:tcW w:w="743"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0"/>
              </w:rPr>
            </w:pPr>
            <w:r w:rsidRPr="00A42279">
              <w:rPr>
                <w:rFonts w:ascii="Arial Narrow" w:hAnsi="Arial Narrow"/>
                <w:b/>
                <w:bCs/>
                <w:color w:val="000000"/>
                <w:sz w:val="20"/>
              </w:rPr>
              <w:t>2016–17</w:t>
            </w:r>
          </w:p>
        </w:tc>
        <w:tc>
          <w:tcPr>
            <w:tcW w:w="744"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0"/>
              </w:rPr>
            </w:pPr>
            <w:r w:rsidRPr="00A42279">
              <w:rPr>
                <w:rFonts w:ascii="Arial Narrow" w:hAnsi="Arial Narrow"/>
                <w:b/>
                <w:bCs/>
                <w:color w:val="000000"/>
                <w:sz w:val="20"/>
              </w:rPr>
              <w:t>2017–18</w:t>
            </w:r>
          </w:p>
        </w:tc>
        <w:tc>
          <w:tcPr>
            <w:tcW w:w="743"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0"/>
              </w:rPr>
            </w:pPr>
            <w:r w:rsidRPr="00A42279">
              <w:rPr>
                <w:rFonts w:ascii="Arial Narrow" w:hAnsi="Arial Narrow"/>
                <w:b/>
                <w:bCs/>
                <w:color w:val="000000"/>
                <w:sz w:val="20"/>
              </w:rPr>
              <w:t>2018–19</w:t>
            </w:r>
          </w:p>
        </w:tc>
        <w:tc>
          <w:tcPr>
            <w:tcW w:w="743"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0"/>
              </w:rPr>
            </w:pPr>
            <w:r w:rsidRPr="00A42279">
              <w:rPr>
                <w:rFonts w:ascii="Arial Narrow" w:hAnsi="Arial Narrow"/>
                <w:b/>
                <w:bCs/>
                <w:color w:val="000000"/>
                <w:sz w:val="20"/>
              </w:rPr>
              <w:t>2019-20</w:t>
            </w:r>
          </w:p>
        </w:tc>
        <w:tc>
          <w:tcPr>
            <w:tcW w:w="744"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0"/>
              </w:rPr>
            </w:pPr>
            <w:r w:rsidRPr="00A42279">
              <w:rPr>
                <w:rFonts w:ascii="Arial Narrow" w:hAnsi="Arial Narrow"/>
                <w:b/>
                <w:bCs/>
                <w:color w:val="000000"/>
                <w:sz w:val="20"/>
              </w:rPr>
              <w:t>2020-21</w:t>
            </w:r>
          </w:p>
        </w:tc>
        <w:tc>
          <w:tcPr>
            <w:tcW w:w="1187"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0"/>
              </w:rPr>
            </w:pPr>
            <w:r w:rsidRPr="00A42279">
              <w:rPr>
                <w:rFonts w:ascii="Arial Narrow" w:hAnsi="Arial Narrow"/>
                <w:b/>
                <w:bCs/>
                <w:color w:val="000000"/>
                <w:sz w:val="20"/>
              </w:rPr>
              <w:t>From Phase III</w:t>
            </w:r>
          </w:p>
        </w:tc>
      </w:tr>
      <w:tr w:rsidR="00A42279" w:rsidRPr="00A42279" w:rsidTr="00F3424C">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837" w:type="dxa"/>
            <w:vMerge w:val="restart"/>
            <w:tcBorders>
              <w:top w:val="dotted" w:sz="4" w:space="0" w:color="auto"/>
              <w:left w:val="dotted" w:sz="4" w:space="0" w:color="auto"/>
              <w:bottom w:val="dotted" w:sz="4" w:space="0" w:color="auto"/>
              <w:right w:val="dotted" w:sz="4" w:space="0" w:color="auto"/>
            </w:tcBorders>
            <w:shd w:val="clear" w:color="auto" w:fill="auto"/>
            <w:hideMark/>
          </w:tcPr>
          <w:p w:rsidR="00A42279" w:rsidRPr="00A42279" w:rsidRDefault="00A42279" w:rsidP="00A42279">
            <w:pPr>
              <w:spacing w:before="0" w:after="0"/>
              <w:jc w:val="left"/>
              <w:rPr>
                <w:rFonts w:ascii="Arial Narrow" w:hAnsi="Arial Narrow"/>
                <w:sz w:val="20"/>
              </w:rPr>
            </w:pPr>
            <w:r w:rsidRPr="00A42279">
              <w:rPr>
                <w:rFonts w:ascii="Arial Narrow" w:hAnsi="Arial Narrow"/>
                <w:sz w:val="20"/>
              </w:rPr>
              <w:t xml:space="preserve">3a:Partners are operating and maintaining all their infrastructure and support </w:t>
            </w:r>
          </w:p>
        </w:tc>
        <w:tc>
          <w:tcPr>
            <w:tcW w:w="293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 xml:space="preserve">Increased infrastructure for economic </w:t>
            </w:r>
            <w:r w:rsidR="00205423" w:rsidRPr="00205423">
              <w:rPr>
                <w:rFonts w:ascii="Arial Narrow" w:hAnsi="Arial Narrow"/>
                <w:bCs/>
                <w:color w:val="000000"/>
                <w:sz w:val="20"/>
              </w:rPr>
              <w:t>development</w:t>
            </w:r>
            <w:r w:rsidRPr="00A42279">
              <w:rPr>
                <w:rFonts w:ascii="Arial Narrow" w:hAnsi="Arial Narrow"/>
                <w:bCs/>
                <w:color w:val="000000"/>
                <w:sz w:val="20"/>
              </w:rPr>
              <w:t xml:space="preserve"> activities </w:t>
            </w:r>
          </w:p>
        </w:tc>
        <w:tc>
          <w:tcPr>
            <w:tcW w:w="2205" w:type="dxa"/>
            <w:vMerge w:val="restart"/>
            <w:tcBorders>
              <w:top w:val="dotted" w:sz="4" w:space="0" w:color="auto"/>
              <w:left w:val="dotted" w:sz="4" w:space="0" w:color="auto"/>
              <w:right w:val="dotted" w:sz="4" w:space="0" w:color="auto"/>
            </w:tcBorders>
            <w:shd w:val="clear" w:color="auto" w:fill="auto"/>
          </w:tcPr>
          <w:p w:rsidR="00A42279" w:rsidRPr="0070258C" w:rsidRDefault="00A42279" w:rsidP="00994D0B">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70258C">
              <w:rPr>
                <w:rFonts w:ascii="Arial Narrow" w:hAnsi="Arial Narrow" w:cs="Arial"/>
                <w:sz w:val="20"/>
                <w:szCs w:val="20"/>
              </w:rPr>
              <w:t>Progress reports, Project monitoring, MIS, end-of-program evaluation, local health facility data</w:t>
            </w:r>
          </w:p>
        </w:tc>
        <w:tc>
          <w:tcPr>
            <w:tcW w:w="2205" w:type="dxa"/>
            <w:vMerge w:val="restart"/>
            <w:tcBorders>
              <w:top w:val="dotted" w:sz="4" w:space="0" w:color="auto"/>
              <w:left w:val="dotted" w:sz="4" w:space="0" w:color="auto"/>
              <w:right w:val="dotted" w:sz="4" w:space="0" w:color="auto"/>
            </w:tcBorders>
            <w:shd w:val="clear" w:color="auto" w:fill="auto"/>
          </w:tcPr>
          <w:p w:rsidR="00A42279" w:rsidRPr="0070258C" w:rsidRDefault="00A42279" w:rsidP="00994D0B">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70258C">
              <w:rPr>
                <w:rFonts w:ascii="Arial Narrow" w:hAnsi="Arial Narrow" w:cs="Arial"/>
                <w:sz w:val="20"/>
                <w:szCs w:val="20"/>
              </w:rPr>
              <w:t>Targets leading to 2021 will be confirmed at start-up when strategic targets are set</w:t>
            </w:r>
          </w:p>
          <w:p w:rsidR="00A42279" w:rsidRPr="0070258C" w:rsidRDefault="00A42279" w:rsidP="002B7876">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70258C">
              <w:rPr>
                <w:rFonts w:ascii="Arial Narrow" w:hAnsi="Arial Narrow" w:cs="Arial"/>
                <w:sz w:val="20"/>
                <w:szCs w:val="20"/>
              </w:rPr>
              <w:t xml:space="preserve">Phase </w:t>
            </w:r>
            <w:r w:rsidR="002B7876">
              <w:rPr>
                <w:rFonts w:ascii="Arial Narrow" w:hAnsi="Arial Narrow" w:cs="Arial"/>
                <w:sz w:val="20"/>
                <w:szCs w:val="20"/>
              </w:rPr>
              <w:t>I</w:t>
            </w:r>
            <w:r w:rsidRPr="0070258C">
              <w:rPr>
                <w:rFonts w:ascii="Arial Narrow" w:hAnsi="Arial Narrow" w:cs="Arial"/>
                <w:sz w:val="20"/>
                <w:szCs w:val="20"/>
              </w:rPr>
              <w:t>-III evaluation will inform IF (IV) targets</w:t>
            </w:r>
          </w:p>
        </w:tc>
        <w:tc>
          <w:tcPr>
            <w:tcW w:w="743" w:type="dxa"/>
            <w:tcBorders>
              <w:top w:val="dotted" w:sz="4" w:space="0" w:color="auto"/>
              <w:left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4" w:type="dxa"/>
            <w:tcBorders>
              <w:top w:val="dotted" w:sz="4" w:space="0" w:color="auto"/>
              <w:left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4" w:type="dxa"/>
            <w:tcBorders>
              <w:top w:val="dotted" w:sz="4" w:space="0" w:color="auto"/>
              <w:left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1187" w:type="dxa"/>
            <w:tcBorders>
              <w:top w:val="dotted" w:sz="4" w:space="0" w:color="auto"/>
              <w:left w:val="dotted" w:sz="4" w:space="0" w:color="auto"/>
              <w:right w:val="dotted" w:sz="4" w:space="0" w:color="auto"/>
            </w:tcBorders>
            <w:shd w:val="clear" w:color="auto" w:fill="auto"/>
            <w:vAlign w:val="center"/>
          </w:tcPr>
          <w:p w:rsidR="00A42279" w:rsidRPr="00A42279" w:rsidRDefault="00A42279" w:rsidP="00A42279">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6/20</w:t>
            </w:r>
            <w:r w:rsidRPr="00A42279">
              <w:rPr>
                <w:rFonts w:ascii="Arial Narrow" w:hAnsi="Arial Narrow"/>
                <w:color w:val="000000"/>
                <w:sz w:val="20"/>
                <w:vertAlign w:val="superscript"/>
              </w:rPr>
              <w:footnoteReference w:id="11"/>
            </w:r>
            <w:r w:rsidRPr="00A42279">
              <w:rPr>
                <w:rFonts w:ascii="Arial Narrow" w:hAnsi="Arial Narrow"/>
                <w:color w:val="000000"/>
                <w:sz w:val="20"/>
              </w:rPr>
              <w:t xml:space="preserve"> IFAs and 803 people</w:t>
            </w:r>
          </w:p>
        </w:tc>
      </w:tr>
      <w:tr w:rsidR="00A42279" w:rsidRPr="00A42279" w:rsidTr="00F3424C">
        <w:trPr>
          <w:trHeight w:val="690"/>
        </w:trPr>
        <w:tc>
          <w:tcPr>
            <w:cnfStyle w:val="001000000000" w:firstRow="0" w:lastRow="0" w:firstColumn="1" w:lastColumn="0" w:oddVBand="0" w:evenVBand="0" w:oddHBand="0" w:evenHBand="0" w:firstRowFirstColumn="0" w:firstRowLastColumn="0" w:lastRowFirstColumn="0" w:lastRowLastColumn="0"/>
            <w:tcW w:w="1837" w:type="dxa"/>
            <w:vMerge/>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rPr>
                <w:rFonts w:ascii="Arial Narrow" w:hAnsi="Arial Narrow"/>
                <w:sz w:val="20"/>
              </w:rPr>
            </w:pPr>
          </w:p>
        </w:tc>
        <w:tc>
          <w:tcPr>
            <w:tcW w:w="293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 xml:space="preserve">Proportion of IF (IV) funded economic </w:t>
            </w:r>
            <w:r w:rsidR="00205423" w:rsidRPr="00205423">
              <w:rPr>
                <w:rFonts w:ascii="Arial Narrow" w:hAnsi="Arial Narrow"/>
                <w:bCs/>
                <w:color w:val="000000"/>
                <w:sz w:val="20"/>
              </w:rPr>
              <w:t>development</w:t>
            </w:r>
            <w:r w:rsidRPr="00A42279">
              <w:rPr>
                <w:rFonts w:ascii="Arial Narrow" w:hAnsi="Arial Narrow"/>
                <w:bCs/>
                <w:color w:val="000000"/>
                <w:sz w:val="20"/>
              </w:rPr>
              <w:t xml:space="preserve"> activities performing as expected</w:t>
            </w:r>
          </w:p>
        </w:tc>
        <w:tc>
          <w:tcPr>
            <w:tcW w:w="2205"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2205" w:type="dxa"/>
            <w:vMerge/>
            <w:tcBorders>
              <w:left w:val="dotted" w:sz="4" w:space="0" w:color="auto"/>
              <w:right w:val="dotted" w:sz="4" w:space="0" w:color="auto"/>
            </w:tcBorders>
            <w:shd w:val="clear" w:color="auto" w:fill="auto"/>
          </w:tcPr>
          <w:p w:rsidR="00A42279" w:rsidRPr="00A42279" w:rsidRDefault="00A42279" w:rsidP="00A42279">
            <w:pPr>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3" w:type="dxa"/>
            <w:tcBorders>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3" w:type="dxa"/>
            <w:tcBorders>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4" w:type="dxa"/>
            <w:tcBorders>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3" w:type="dxa"/>
            <w:tcBorders>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3" w:type="dxa"/>
            <w:tcBorders>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4" w:type="dxa"/>
            <w:tcBorders>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1187" w:type="dxa"/>
            <w:tcBorders>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Not Known</w:t>
            </w:r>
          </w:p>
        </w:tc>
      </w:tr>
      <w:tr w:rsidR="00A42279" w:rsidRPr="00A42279" w:rsidTr="00F3424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37"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ind w:left="34"/>
              <w:contextualSpacing/>
              <w:jc w:val="left"/>
              <w:rPr>
                <w:rFonts w:ascii="Arial Narrow" w:hAnsi="Arial Narrow"/>
                <w:color w:val="000000"/>
                <w:sz w:val="20"/>
              </w:rPr>
            </w:pPr>
            <w:r w:rsidRPr="00A42279">
              <w:rPr>
                <w:rFonts w:ascii="Arial Narrow" w:hAnsi="Arial Narrow"/>
                <w:color w:val="000000"/>
                <w:sz w:val="20"/>
              </w:rPr>
              <w:t>3b:</w:t>
            </w:r>
            <w:r w:rsidR="00CC1E7D">
              <w:t xml:space="preserve"> </w:t>
            </w:r>
            <w:r w:rsidR="00CC1E7D" w:rsidRPr="00CC1E7D">
              <w:rPr>
                <w:rFonts w:ascii="Arial Narrow" w:hAnsi="Arial Narrow"/>
                <w:color w:val="000000"/>
                <w:sz w:val="20"/>
              </w:rPr>
              <w:t>80 per cent of the investments will support empowerment of women and girls</w:t>
            </w:r>
          </w:p>
        </w:tc>
        <w:tc>
          <w:tcPr>
            <w:tcW w:w="2933" w:type="dxa"/>
            <w:tcBorders>
              <w:top w:val="dotted" w:sz="4" w:space="0" w:color="auto"/>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 xml:space="preserve">Proportion of women and girls involved in economic </w:t>
            </w:r>
            <w:r w:rsidR="00205423" w:rsidRPr="00205423">
              <w:rPr>
                <w:rFonts w:ascii="Arial Narrow" w:hAnsi="Arial Narrow"/>
                <w:bCs/>
                <w:color w:val="000000"/>
                <w:sz w:val="20"/>
              </w:rPr>
              <w:t>development</w:t>
            </w:r>
            <w:r w:rsidRPr="00A42279">
              <w:rPr>
                <w:rFonts w:ascii="Arial Narrow" w:hAnsi="Arial Narrow"/>
                <w:bCs/>
                <w:color w:val="000000"/>
                <w:sz w:val="20"/>
              </w:rPr>
              <w:t xml:space="preserve"> activities</w:t>
            </w:r>
          </w:p>
        </w:tc>
        <w:tc>
          <w:tcPr>
            <w:tcW w:w="2205" w:type="dxa"/>
            <w:vMerge/>
            <w:tcBorders>
              <w:left w:val="dotted" w:sz="4" w:space="0" w:color="auto"/>
              <w:right w:val="dotted" w:sz="4" w:space="0" w:color="auto"/>
            </w:tcBorders>
            <w:shd w:val="clear" w:color="auto" w:fill="auto"/>
          </w:tcPr>
          <w:p w:rsidR="00A42279" w:rsidRPr="00A42279" w:rsidRDefault="00A42279" w:rsidP="00A42279">
            <w:pP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p>
        </w:tc>
        <w:tc>
          <w:tcPr>
            <w:tcW w:w="2205"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4"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4"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1187" w:type="dxa"/>
            <w:tcBorders>
              <w:top w:val="dotted" w:sz="4" w:space="0" w:color="auto"/>
              <w:left w:val="dotted" w:sz="4" w:space="0" w:color="auto"/>
              <w:bottom w:val="dotted" w:sz="4" w:space="0" w:color="auto"/>
              <w:right w:val="dotted" w:sz="4" w:space="0" w:color="auto"/>
            </w:tcBorders>
            <w:shd w:val="clear" w:color="auto" w:fill="auto"/>
            <w:vAlign w:val="center"/>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Not Known</w:t>
            </w:r>
          </w:p>
        </w:tc>
      </w:tr>
      <w:tr w:rsidR="00A42279" w:rsidRPr="00A42279" w:rsidTr="00F3424C">
        <w:trPr>
          <w:trHeight w:val="510"/>
        </w:trPr>
        <w:tc>
          <w:tcPr>
            <w:cnfStyle w:val="001000000000" w:firstRow="0" w:lastRow="0" w:firstColumn="1" w:lastColumn="0" w:oddVBand="0" w:evenVBand="0" w:oddHBand="0" w:evenHBand="0" w:firstRowFirstColumn="0" w:firstRowLastColumn="0" w:lastRowFirstColumn="0" w:lastRowLastColumn="0"/>
            <w:tcW w:w="1837"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3c:</w:t>
            </w:r>
            <w:r w:rsidRPr="00A42279">
              <w:t xml:space="preserve"> </w:t>
            </w:r>
            <w:r w:rsidRPr="00A42279">
              <w:rPr>
                <w:rFonts w:ascii="Arial Narrow" w:hAnsi="Arial Narrow"/>
                <w:color w:val="000000"/>
                <w:sz w:val="20"/>
              </w:rPr>
              <w:t>100% of Partners using social inclusion policy</w:t>
            </w:r>
          </w:p>
        </w:tc>
        <w:tc>
          <w:tcPr>
            <w:tcW w:w="293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 xml:space="preserve">Proportion of economic </w:t>
            </w:r>
            <w:r w:rsidR="00205423" w:rsidRPr="00205423">
              <w:rPr>
                <w:rFonts w:ascii="Arial Narrow" w:hAnsi="Arial Narrow"/>
                <w:bCs/>
                <w:color w:val="000000"/>
                <w:sz w:val="20"/>
              </w:rPr>
              <w:t xml:space="preserve">development </w:t>
            </w:r>
            <w:r w:rsidRPr="00A42279">
              <w:rPr>
                <w:rFonts w:ascii="Arial Narrow" w:hAnsi="Arial Narrow"/>
                <w:bCs/>
                <w:color w:val="000000"/>
                <w:sz w:val="20"/>
              </w:rPr>
              <w:t>activities with social inclusion policy and implementing procedures</w:t>
            </w:r>
          </w:p>
        </w:tc>
        <w:tc>
          <w:tcPr>
            <w:tcW w:w="2205"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2205"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4"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4" w:type="dxa"/>
            <w:tcBorders>
              <w:top w:val="dotted" w:sz="4" w:space="0" w:color="auto"/>
              <w:left w:val="dotted" w:sz="4" w:space="0" w:color="auto"/>
              <w:bottom w:val="dotted" w:sz="4" w:space="0" w:color="auto"/>
              <w:right w:val="dotted" w:sz="4" w:space="0" w:color="auto"/>
            </w:tcBorders>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1187" w:type="dxa"/>
            <w:tcBorders>
              <w:top w:val="dotted" w:sz="4" w:space="0" w:color="auto"/>
              <w:left w:val="dotted" w:sz="4" w:space="0" w:color="auto"/>
              <w:bottom w:val="dotted" w:sz="4" w:space="0" w:color="auto"/>
              <w:right w:val="dotted" w:sz="4" w:space="0" w:color="auto"/>
            </w:tcBorders>
            <w:shd w:val="clear" w:color="auto" w:fill="auto"/>
            <w:vAlign w:val="center"/>
          </w:tcPr>
          <w:p w:rsidR="00A42279" w:rsidRPr="00A42279" w:rsidRDefault="00A42279" w:rsidP="00A42279">
            <w:pPr>
              <w:jc w:val="center"/>
              <w:cnfStyle w:val="000000000000" w:firstRow="0" w:lastRow="0" w:firstColumn="0" w:lastColumn="0" w:oddVBand="0" w:evenVBand="0" w:oddHBand="0" w:evenHBand="0" w:firstRowFirstColumn="0" w:firstRowLastColumn="0" w:lastRowFirstColumn="0" w:lastRowLastColumn="0"/>
            </w:pPr>
            <w:r w:rsidRPr="00A42279">
              <w:rPr>
                <w:rFonts w:ascii="Arial Narrow" w:hAnsi="Arial Narrow"/>
                <w:color w:val="000000"/>
                <w:sz w:val="20"/>
              </w:rPr>
              <w:t>Assumed 6/20</w:t>
            </w:r>
          </w:p>
        </w:tc>
      </w:tr>
      <w:tr w:rsidR="00A42279" w:rsidRPr="00A42279" w:rsidTr="00F3424C">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837"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rPr>
                <w:rFonts w:ascii="Arial Narrow" w:hAnsi="Arial Narrow"/>
                <w:sz w:val="20"/>
              </w:rPr>
            </w:pPr>
            <w:r w:rsidRPr="00A42279">
              <w:rPr>
                <w:rFonts w:ascii="Arial Narrow" w:hAnsi="Arial Narrow"/>
                <w:sz w:val="20"/>
              </w:rPr>
              <w:t>3d: 20 % of IF (IV) Partners are from the private sector</w:t>
            </w:r>
            <w:r w:rsidRPr="00A42279">
              <w:t xml:space="preserve"> </w:t>
            </w:r>
            <w:r w:rsidRPr="00A42279">
              <w:rPr>
                <w:rFonts w:ascii="Arial Narrow" w:hAnsi="Arial Narrow"/>
                <w:sz w:val="20"/>
              </w:rPr>
              <w:t>and effective</w:t>
            </w:r>
          </w:p>
        </w:tc>
        <w:tc>
          <w:tcPr>
            <w:tcW w:w="293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 xml:space="preserve">Proportion of IF (IV) economic </w:t>
            </w:r>
            <w:r w:rsidR="00205423" w:rsidRPr="00205423">
              <w:rPr>
                <w:rFonts w:ascii="Arial Narrow" w:hAnsi="Arial Narrow"/>
                <w:bCs/>
                <w:color w:val="000000"/>
                <w:sz w:val="20"/>
              </w:rPr>
              <w:t>development</w:t>
            </w:r>
            <w:r w:rsidRPr="00A42279">
              <w:rPr>
                <w:rFonts w:ascii="Arial Narrow" w:hAnsi="Arial Narrow"/>
                <w:bCs/>
                <w:color w:val="000000"/>
                <w:sz w:val="20"/>
              </w:rPr>
              <w:t xml:space="preserve"> activities funded through the IF (IV) private sector partners</w:t>
            </w:r>
          </w:p>
        </w:tc>
        <w:tc>
          <w:tcPr>
            <w:tcW w:w="2205"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2205"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4"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744"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p>
        </w:tc>
        <w:tc>
          <w:tcPr>
            <w:tcW w:w="1187" w:type="dxa"/>
            <w:tcBorders>
              <w:top w:val="dotted" w:sz="4" w:space="0" w:color="auto"/>
              <w:left w:val="dotted" w:sz="4" w:space="0" w:color="auto"/>
              <w:bottom w:val="dotted" w:sz="4" w:space="0" w:color="auto"/>
              <w:right w:val="dotted" w:sz="4" w:space="0" w:color="auto"/>
            </w:tcBorders>
            <w:shd w:val="clear" w:color="auto" w:fill="auto"/>
            <w:vAlign w:val="center"/>
          </w:tcPr>
          <w:p w:rsidR="00A42279" w:rsidRPr="00A42279" w:rsidRDefault="006D66AF" w:rsidP="00A4227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r>
              <w:rPr>
                <w:rFonts w:ascii="Arial Narrow" w:hAnsi="Arial Narrow"/>
                <w:color w:val="000000"/>
                <w:sz w:val="20"/>
              </w:rPr>
              <w:t>Zero</w:t>
            </w:r>
          </w:p>
        </w:tc>
      </w:tr>
      <w:tr w:rsidR="00A42279" w:rsidRPr="00A42279" w:rsidTr="00F3424C">
        <w:trPr>
          <w:trHeight w:val="510"/>
        </w:trPr>
        <w:tc>
          <w:tcPr>
            <w:cnfStyle w:val="001000000000" w:firstRow="0" w:lastRow="0" w:firstColumn="1" w:lastColumn="0" w:oddVBand="0" w:evenVBand="0" w:oddHBand="0" w:evenHBand="0" w:firstRowFirstColumn="0" w:firstRowLastColumn="0" w:lastRowFirstColumn="0" w:lastRowLastColumn="0"/>
            <w:tcW w:w="1837"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rPr>
                <w:rFonts w:ascii="Arial Narrow" w:hAnsi="Arial Narrow"/>
                <w:color w:val="000000"/>
                <w:sz w:val="20"/>
              </w:rPr>
            </w:pPr>
            <w:r w:rsidRPr="00A42279">
              <w:rPr>
                <w:rFonts w:ascii="Arial Narrow" w:hAnsi="Arial Narrow"/>
                <w:color w:val="000000"/>
                <w:sz w:val="20"/>
              </w:rPr>
              <w:t>3e: Partners have new capacity to implement projects or activities</w:t>
            </w:r>
          </w:p>
        </w:tc>
        <w:tc>
          <w:tcPr>
            <w:tcW w:w="293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20"/>
              </w:rPr>
            </w:pPr>
            <w:r w:rsidRPr="00A42279">
              <w:rPr>
                <w:rFonts w:ascii="Arial Narrow" w:hAnsi="Arial Narrow"/>
                <w:bCs/>
                <w:color w:val="000000"/>
                <w:sz w:val="20"/>
              </w:rPr>
              <w:t xml:space="preserve">Proportion of partners utilising new IF (IV) project management capacity to expand economic </w:t>
            </w:r>
            <w:r w:rsidR="00205423" w:rsidRPr="00205423">
              <w:rPr>
                <w:rFonts w:ascii="Arial Narrow" w:hAnsi="Arial Narrow"/>
                <w:bCs/>
                <w:color w:val="000000"/>
                <w:sz w:val="20"/>
              </w:rPr>
              <w:t>development</w:t>
            </w:r>
            <w:r w:rsidRPr="00A42279">
              <w:rPr>
                <w:rFonts w:ascii="Arial Narrow" w:hAnsi="Arial Narrow"/>
                <w:bCs/>
                <w:color w:val="000000"/>
                <w:sz w:val="20"/>
              </w:rPr>
              <w:t xml:space="preserve"> activities further</w:t>
            </w:r>
          </w:p>
        </w:tc>
        <w:tc>
          <w:tcPr>
            <w:tcW w:w="2205"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2205" w:type="dxa"/>
            <w:vMerge/>
            <w:tcBorders>
              <w:left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4"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3" w:type="dxa"/>
            <w:tcBorders>
              <w:top w:val="dotted" w:sz="4" w:space="0" w:color="auto"/>
              <w:left w:val="dotted" w:sz="4" w:space="0" w:color="auto"/>
              <w:bottom w:val="dotted" w:sz="4" w:space="0" w:color="auto"/>
              <w:right w:val="dotted" w:sz="4" w:space="0" w:color="auto"/>
            </w:tcBorders>
            <w:shd w:val="clear" w:color="auto" w:fill="auto"/>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744" w:type="dxa"/>
            <w:tcBorders>
              <w:top w:val="dotted" w:sz="4" w:space="0" w:color="auto"/>
              <w:left w:val="dotted" w:sz="4" w:space="0" w:color="auto"/>
              <w:bottom w:val="dotted" w:sz="4" w:space="0" w:color="auto"/>
              <w:right w:val="dotted" w:sz="4" w:space="0" w:color="auto"/>
            </w:tcBorders>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p>
        </w:tc>
        <w:tc>
          <w:tcPr>
            <w:tcW w:w="1187" w:type="dxa"/>
            <w:tcBorders>
              <w:top w:val="dotted" w:sz="4" w:space="0" w:color="auto"/>
              <w:left w:val="dotted" w:sz="4" w:space="0" w:color="auto"/>
              <w:bottom w:val="dotted" w:sz="4" w:space="0" w:color="auto"/>
              <w:right w:val="dotted" w:sz="4" w:space="0" w:color="auto"/>
            </w:tcBorders>
            <w:shd w:val="clear" w:color="auto" w:fill="auto"/>
            <w:vAlign w:val="center"/>
          </w:tcPr>
          <w:p w:rsidR="00A42279" w:rsidRPr="00A42279" w:rsidRDefault="00A42279" w:rsidP="00A42279">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r w:rsidRPr="00A42279">
              <w:rPr>
                <w:rFonts w:ascii="Arial Narrow" w:hAnsi="Arial Narrow"/>
                <w:color w:val="000000"/>
                <w:sz w:val="20"/>
              </w:rPr>
              <w:t>Not Known</w:t>
            </w:r>
          </w:p>
        </w:tc>
      </w:tr>
    </w:tbl>
    <w:p w:rsidR="00A521EF" w:rsidRPr="00571F0B" w:rsidRDefault="00A42279" w:rsidP="00A521EF">
      <w:pPr>
        <w:spacing w:before="0" w:after="0"/>
        <w:jc w:val="left"/>
        <w:rPr>
          <w:rFonts w:ascii="Arial Narrow" w:hAnsi="Arial Narrow"/>
          <w:szCs w:val="24"/>
          <w:lang w:val="en-GB" w:eastAsia="en-AU"/>
        </w:rPr>
      </w:pPr>
      <w:r w:rsidRPr="00A42279">
        <w:rPr>
          <w:rFonts w:ascii="Arial Narrow" w:hAnsi="Arial Narrow"/>
          <w:sz w:val="20"/>
          <w:lang w:eastAsia="en-AU"/>
        </w:rPr>
        <w:t xml:space="preserve"> </w:t>
      </w:r>
    </w:p>
    <w:p w:rsidR="00FB2DE3" w:rsidRPr="00571F0B" w:rsidRDefault="00FB2DE3" w:rsidP="00C05D33">
      <w:pPr>
        <w:spacing w:before="0" w:after="0"/>
        <w:rPr>
          <w:lang w:val="en-GB"/>
        </w:rPr>
        <w:sectPr w:rsidR="00FB2DE3" w:rsidRPr="00571F0B" w:rsidSect="00FB2DE3">
          <w:headerReference w:type="default" r:id="rId28"/>
          <w:footerReference w:type="default" r:id="rId29"/>
          <w:pgSz w:w="16834" w:h="11909" w:orient="landscape" w:code="9"/>
          <w:pgMar w:top="1418" w:right="851" w:bottom="1418" w:left="851" w:header="578" w:footer="578" w:gutter="0"/>
          <w:cols w:space="720"/>
          <w:docGrid w:linePitch="326"/>
        </w:sectPr>
      </w:pPr>
    </w:p>
    <w:p w:rsidR="00037235" w:rsidRPr="00571F0B" w:rsidRDefault="00037235" w:rsidP="00BE7C9E">
      <w:pPr>
        <w:pStyle w:val="Heading2"/>
        <w:rPr>
          <w:lang w:val="en-GB"/>
        </w:rPr>
      </w:pPr>
      <w:bookmarkStart w:id="47" w:name="_Toc403037580"/>
      <w:r w:rsidRPr="00571F0B">
        <w:rPr>
          <w:lang w:val="en-GB"/>
        </w:rPr>
        <w:lastRenderedPageBreak/>
        <w:t>Responsibilities for functional M&amp;E</w:t>
      </w:r>
      <w:bookmarkEnd w:id="47"/>
    </w:p>
    <w:p w:rsidR="00037235" w:rsidRDefault="00037235" w:rsidP="00DC1742">
      <w:pPr>
        <w:spacing w:before="0" w:after="0"/>
        <w:rPr>
          <w:lang w:val="en-GB"/>
        </w:rPr>
      </w:pPr>
      <w:r w:rsidRPr="00571F0B">
        <w:rPr>
          <w:lang w:val="en-GB"/>
        </w:rPr>
        <w:t xml:space="preserve">The following is provided to guide consideration around the </w:t>
      </w:r>
      <w:r w:rsidR="00A833E4">
        <w:rPr>
          <w:lang w:val="en-GB"/>
        </w:rPr>
        <w:t>monitoring and evaluation (</w:t>
      </w:r>
      <w:r w:rsidRPr="00571F0B">
        <w:rPr>
          <w:lang w:val="en-GB"/>
        </w:rPr>
        <w:t>M&amp;E</w:t>
      </w:r>
      <w:r w:rsidR="00A833E4">
        <w:rPr>
          <w:lang w:val="en-GB"/>
        </w:rPr>
        <w:t>)</w:t>
      </w:r>
      <w:r w:rsidRPr="00571F0B">
        <w:rPr>
          <w:lang w:val="en-GB"/>
        </w:rPr>
        <w:t xml:space="preserve"> functions and requirements of IF (IV) and DFAT. DFAT expects the MC to be able to present relevant approaches and systems, compliant with DFAT Monitoring and Evaluation Standards June 2014, to deliver the form that M&amp;E systems take to deliver the</w:t>
      </w:r>
      <w:r w:rsidR="006B3178">
        <w:rPr>
          <w:lang w:val="en-GB"/>
        </w:rPr>
        <w:t>se</w:t>
      </w:r>
      <w:r w:rsidRPr="00571F0B">
        <w:rPr>
          <w:lang w:val="en-GB"/>
        </w:rPr>
        <w:t xml:space="preserve"> functions.</w:t>
      </w:r>
    </w:p>
    <w:p w:rsidR="00037235" w:rsidRPr="00DC1742" w:rsidRDefault="00037235" w:rsidP="00DC1742">
      <w:pPr>
        <w:spacing w:before="0" w:after="0"/>
        <w:rPr>
          <w:sz w:val="16"/>
          <w:szCs w:val="16"/>
          <w:lang w:val="en-GB"/>
        </w:rPr>
      </w:pPr>
    </w:p>
    <w:p w:rsidR="00037235" w:rsidRDefault="00037235" w:rsidP="00DC1742">
      <w:pPr>
        <w:spacing w:before="0" w:after="0"/>
        <w:rPr>
          <w:szCs w:val="24"/>
          <w:lang w:val="en-GB"/>
        </w:rPr>
      </w:pPr>
      <w:r w:rsidRPr="00BD3BA6">
        <w:rPr>
          <w:szCs w:val="24"/>
          <w:lang w:val="en-GB"/>
        </w:rPr>
        <w:t>T</w:t>
      </w:r>
      <w:r>
        <w:rPr>
          <w:szCs w:val="24"/>
          <w:lang w:val="en-GB"/>
        </w:rPr>
        <w:t xml:space="preserve">he MC is responsible for delivering all </w:t>
      </w:r>
      <w:r w:rsidR="00A833E4">
        <w:rPr>
          <w:szCs w:val="24"/>
          <w:lang w:val="en-GB"/>
        </w:rPr>
        <w:t xml:space="preserve">IF (IV) </w:t>
      </w:r>
      <w:r>
        <w:rPr>
          <w:szCs w:val="24"/>
          <w:lang w:val="en-GB"/>
        </w:rPr>
        <w:t>M&amp;E functions and to ensure through the PAF that IF (IV) is making progress toward</w:t>
      </w:r>
      <w:r w:rsidR="003D217F">
        <w:rPr>
          <w:szCs w:val="24"/>
          <w:lang w:val="en-GB"/>
        </w:rPr>
        <w:t>s the end-of-program position</w:t>
      </w:r>
      <w:r w:rsidR="006F7CA7">
        <w:rPr>
          <w:szCs w:val="24"/>
          <w:lang w:val="en-GB"/>
        </w:rPr>
        <w:t xml:space="preserve"> </w:t>
      </w:r>
      <w:r w:rsidR="003D217F">
        <w:rPr>
          <w:szCs w:val="24"/>
          <w:lang w:val="en-GB"/>
        </w:rPr>
        <w:t>described in Box 6.</w:t>
      </w:r>
    </w:p>
    <w:p w:rsidR="00037235" w:rsidRDefault="00037235" w:rsidP="00DC1742">
      <w:pPr>
        <w:spacing w:before="0" w:after="0"/>
        <w:rPr>
          <w:lang w:val="en-GB"/>
        </w:rPr>
      </w:pPr>
    </w:p>
    <w:p w:rsidR="00037235" w:rsidRPr="00571F0B" w:rsidRDefault="00037235" w:rsidP="00037235">
      <w:pPr>
        <w:pStyle w:val="Caption"/>
        <w:rPr>
          <w:lang w:val="en-GB"/>
        </w:rPr>
      </w:pPr>
      <w:bookmarkStart w:id="48" w:name="_Toc403037638"/>
      <w:r>
        <w:t xml:space="preserve">Box </w:t>
      </w:r>
      <w:fldSimple w:instr=" SEQ Box \* ARABIC ">
        <w:r w:rsidR="006C1E87">
          <w:rPr>
            <w:noProof/>
          </w:rPr>
          <w:t>6</w:t>
        </w:r>
      </w:fldSimple>
      <w:r>
        <w:t>: Description of the IF (IV) end-of-program position</w:t>
      </w:r>
      <w:bookmarkEnd w:id="48"/>
    </w:p>
    <w:tbl>
      <w:tblPr>
        <w:tblStyle w:val="TableGrid"/>
        <w:tblW w:w="0" w:type="auto"/>
        <w:tblLook w:val="04A0" w:firstRow="1" w:lastRow="0" w:firstColumn="1" w:lastColumn="0" w:noHBand="0" w:noVBand="1"/>
      </w:tblPr>
      <w:tblGrid>
        <w:gridCol w:w="9289"/>
      </w:tblGrid>
      <w:tr w:rsidR="00037235" w:rsidRPr="00571F0B" w:rsidTr="006B3178">
        <w:tc>
          <w:tcPr>
            <w:tcW w:w="9289" w:type="dxa"/>
            <w:tcBorders>
              <w:top w:val="nil"/>
              <w:left w:val="nil"/>
              <w:bottom w:val="nil"/>
              <w:right w:val="nil"/>
            </w:tcBorders>
            <w:shd w:val="clear" w:color="auto" w:fill="D6E3BC" w:themeFill="accent3" w:themeFillTint="66"/>
          </w:tcPr>
          <w:p w:rsidR="00037235" w:rsidRPr="00013706" w:rsidRDefault="00037235" w:rsidP="006B3178">
            <w:pPr>
              <w:spacing w:before="0" w:after="0"/>
              <w:rPr>
                <w:rFonts w:ascii="Arial Narrow" w:hAnsi="Arial Narrow"/>
                <w:b/>
                <w:sz w:val="20"/>
                <w:lang w:val="en-GB"/>
              </w:rPr>
            </w:pPr>
            <w:r w:rsidRPr="00013706">
              <w:rPr>
                <w:rFonts w:ascii="Arial Narrow" w:hAnsi="Arial Narrow"/>
                <w:b/>
                <w:sz w:val="20"/>
                <w:lang w:val="en-GB"/>
              </w:rPr>
              <w:t>By 2021 I</w:t>
            </w:r>
            <w:r>
              <w:rPr>
                <w:rFonts w:ascii="Arial Narrow" w:hAnsi="Arial Narrow"/>
                <w:b/>
                <w:sz w:val="20"/>
                <w:lang w:val="en-GB"/>
              </w:rPr>
              <w:t xml:space="preserve">ncentive </w:t>
            </w:r>
            <w:r w:rsidRPr="00013706">
              <w:rPr>
                <w:rFonts w:ascii="Arial Narrow" w:hAnsi="Arial Narrow"/>
                <w:b/>
                <w:sz w:val="20"/>
                <w:lang w:val="en-GB"/>
              </w:rPr>
              <w:t>F</w:t>
            </w:r>
            <w:r>
              <w:rPr>
                <w:rFonts w:ascii="Arial Narrow" w:hAnsi="Arial Narrow"/>
                <w:b/>
                <w:sz w:val="20"/>
                <w:lang w:val="en-GB"/>
              </w:rPr>
              <w:t>und</w:t>
            </w:r>
            <w:r w:rsidRPr="00013706">
              <w:rPr>
                <w:rFonts w:ascii="Arial Narrow" w:hAnsi="Arial Narrow"/>
                <w:b/>
                <w:sz w:val="20"/>
                <w:lang w:val="en-GB"/>
              </w:rPr>
              <w:t xml:space="preserve"> (IV) will have:</w:t>
            </w:r>
          </w:p>
          <w:p w:rsidR="00037235" w:rsidRPr="00013706" w:rsidRDefault="00037235" w:rsidP="006B3178">
            <w:pPr>
              <w:spacing w:before="0" w:after="0"/>
              <w:rPr>
                <w:rFonts w:ascii="Arial Narrow" w:hAnsi="Arial Narrow"/>
                <w:sz w:val="20"/>
                <w:lang w:val="en-GB"/>
              </w:rPr>
            </w:pPr>
          </w:p>
          <w:p w:rsidR="00037235" w:rsidRPr="00013706" w:rsidRDefault="00037235" w:rsidP="00A82AAB">
            <w:pPr>
              <w:numPr>
                <w:ilvl w:val="0"/>
                <w:numId w:val="23"/>
              </w:numPr>
              <w:spacing w:before="0" w:after="0"/>
              <w:ind w:left="284" w:hanging="284"/>
              <w:rPr>
                <w:rFonts w:ascii="Arial Narrow" w:hAnsi="Arial Narrow"/>
                <w:sz w:val="20"/>
                <w:lang w:val="en-GB"/>
              </w:rPr>
            </w:pPr>
            <w:r w:rsidRPr="00013706">
              <w:rPr>
                <w:rFonts w:ascii="Arial Narrow" w:hAnsi="Arial Narrow"/>
                <w:sz w:val="20"/>
                <w:lang w:val="en-GB"/>
              </w:rPr>
              <w:t>Delivered $72 million through approximately 26 IFAs</w:t>
            </w:r>
          </w:p>
          <w:p w:rsidR="00037235" w:rsidRPr="00013706" w:rsidRDefault="00037235" w:rsidP="00A82AAB">
            <w:pPr>
              <w:numPr>
                <w:ilvl w:val="0"/>
                <w:numId w:val="23"/>
              </w:numPr>
              <w:spacing w:before="0" w:after="0"/>
              <w:ind w:left="284" w:hanging="284"/>
              <w:rPr>
                <w:rFonts w:ascii="Arial Narrow" w:hAnsi="Arial Narrow"/>
                <w:sz w:val="20"/>
                <w:lang w:val="en-GB"/>
              </w:rPr>
            </w:pPr>
            <w:r w:rsidRPr="00013706">
              <w:rPr>
                <w:rFonts w:ascii="Arial Narrow" w:hAnsi="Arial Narrow"/>
                <w:sz w:val="20"/>
                <w:lang w:val="en-GB"/>
              </w:rPr>
              <w:t xml:space="preserve">Only delivered investments in the health, education </w:t>
            </w:r>
            <w:r w:rsidR="00205423">
              <w:rPr>
                <w:rFonts w:ascii="Arial Narrow" w:hAnsi="Arial Narrow"/>
                <w:sz w:val="20"/>
                <w:lang w:val="en-GB"/>
              </w:rPr>
              <w:t xml:space="preserve">and other sectors </w:t>
            </w:r>
            <w:r w:rsidRPr="00013706">
              <w:rPr>
                <w:rFonts w:ascii="Arial Narrow" w:hAnsi="Arial Narrow"/>
                <w:sz w:val="20"/>
                <w:lang w:val="en-GB"/>
              </w:rPr>
              <w:t xml:space="preserve">and </w:t>
            </w:r>
            <w:r w:rsidR="00205423">
              <w:rPr>
                <w:rFonts w:ascii="Arial Narrow" w:hAnsi="Arial Narrow"/>
                <w:sz w:val="20"/>
                <w:lang w:val="en-GB"/>
              </w:rPr>
              <w:t xml:space="preserve">to stimulate </w:t>
            </w:r>
            <w:r w:rsidRPr="00013706">
              <w:rPr>
                <w:rFonts w:ascii="Arial Narrow" w:hAnsi="Arial Narrow"/>
                <w:sz w:val="20"/>
                <w:lang w:val="en-GB"/>
              </w:rPr>
              <w:t xml:space="preserve">economic </w:t>
            </w:r>
            <w:r w:rsidR="00205423" w:rsidRPr="00205423">
              <w:rPr>
                <w:rFonts w:ascii="Arial Narrow" w:hAnsi="Arial Narrow"/>
                <w:sz w:val="20"/>
              </w:rPr>
              <w:t>development</w:t>
            </w:r>
            <w:r w:rsidR="00205423" w:rsidRPr="00205423">
              <w:rPr>
                <w:rFonts w:ascii="Arial Narrow" w:hAnsi="Arial Narrow"/>
                <w:sz w:val="20"/>
                <w:lang w:val="en-GB"/>
              </w:rPr>
              <w:t xml:space="preserve"> </w:t>
            </w:r>
            <w:r w:rsidRPr="00013706">
              <w:rPr>
                <w:rFonts w:ascii="Arial Narrow" w:hAnsi="Arial Narrow"/>
                <w:sz w:val="20"/>
                <w:lang w:val="en-GB"/>
              </w:rPr>
              <w:t xml:space="preserve">and any proportionality will </w:t>
            </w:r>
            <w:r w:rsidR="00246F50">
              <w:rPr>
                <w:rFonts w:ascii="Arial Narrow" w:hAnsi="Arial Narrow"/>
                <w:sz w:val="20"/>
                <w:lang w:val="en-GB"/>
              </w:rPr>
              <w:t>have been</w:t>
            </w:r>
            <w:r w:rsidRPr="00013706">
              <w:rPr>
                <w:rFonts w:ascii="Arial Narrow" w:hAnsi="Arial Narrow"/>
                <w:sz w:val="20"/>
                <w:lang w:val="en-GB"/>
              </w:rPr>
              <w:t xml:space="preserve"> established through the strategic and annual plans and, targeted through the CPRs</w:t>
            </w:r>
          </w:p>
          <w:p w:rsidR="00037235" w:rsidRPr="00013706" w:rsidRDefault="00037235" w:rsidP="00A82AAB">
            <w:pPr>
              <w:numPr>
                <w:ilvl w:val="0"/>
                <w:numId w:val="23"/>
              </w:numPr>
              <w:spacing w:before="0" w:after="0"/>
              <w:ind w:left="284" w:hanging="284"/>
              <w:rPr>
                <w:rFonts w:ascii="Arial Narrow" w:hAnsi="Arial Narrow"/>
                <w:sz w:val="20"/>
                <w:lang w:val="en-GB"/>
              </w:rPr>
            </w:pPr>
            <w:r w:rsidRPr="00013706">
              <w:rPr>
                <w:rFonts w:ascii="Arial Narrow" w:hAnsi="Arial Narrow"/>
                <w:sz w:val="20"/>
                <w:lang w:val="en-GB"/>
              </w:rPr>
              <w:t xml:space="preserve">Ensured that </w:t>
            </w:r>
            <w:r w:rsidR="00CC1E7D" w:rsidRPr="00CC1E7D">
              <w:rPr>
                <w:rFonts w:ascii="Arial Narrow" w:hAnsi="Arial Narrow"/>
                <w:sz w:val="20"/>
                <w:lang w:val="en-GB"/>
              </w:rPr>
              <w:t xml:space="preserve">80 per cent of the investments will support empowerment of women and girls </w:t>
            </w:r>
            <w:r w:rsidRPr="00013706">
              <w:rPr>
                <w:rFonts w:ascii="Arial Narrow" w:hAnsi="Arial Narrow"/>
                <w:sz w:val="20"/>
                <w:lang w:val="en-GB"/>
              </w:rPr>
              <w:t xml:space="preserve">who </w:t>
            </w:r>
            <w:r w:rsidR="00246F50">
              <w:rPr>
                <w:rFonts w:ascii="Arial Narrow" w:hAnsi="Arial Narrow"/>
                <w:sz w:val="20"/>
                <w:lang w:val="en-GB"/>
              </w:rPr>
              <w:t xml:space="preserve">will </w:t>
            </w:r>
            <w:r w:rsidRPr="00013706">
              <w:rPr>
                <w:rFonts w:ascii="Arial Narrow" w:hAnsi="Arial Narrow"/>
                <w:sz w:val="20"/>
                <w:lang w:val="en-GB"/>
              </w:rPr>
              <w:t>have had their lives changed in ways that are consistent with the Pacific Women objectives</w:t>
            </w:r>
          </w:p>
          <w:p w:rsidR="00037235" w:rsidRPr="00013706" w:rsidRDefault="006F7CA7" w:rsidP="00A82AAB">
            <w:pPr>
              <w:numPr>
                <w:ilvl w:val="0"/>
                <w:numId w:val="23"/>
              </w:numPr>
              <w:spacing w:before="0" w:after="0"/>
              <w:ind w:left="284" w:hanging="284"/>
              <w:rPr>
                <w:rFonts w:ascii="Arial Narrow" w:hAnsi="Arial Narrow"/>
                <w:sz w:val="20"/>
                <w:lang w:val="en-GB"/>
              </w:rPr>
            </w:pPr>
            <w:r>
              <w:rPr>
                <w:rFonts w:ascii="Arial Narrow" w:hAnsi="Arial Narrow"/>
                <w:sz w:val="20"/>
                <w:lang w:val="en-GB"/>
              </w:rPr>
              <w:t>Ensured that at least 20 per cent</w:t>
            </w:r>
            <w:r w:rsidR="00037235" w:rsidRPr="00013706">
              <w:rPr>
                <w:rFonts w:ascii="Arial Narrow" w:hAnsi="Arial Narrow"/>
                <w:sz w:val="20"/>
                <w:lang w:val="en-GB"/>
              </w:rPr>
              <w:t xml:space="preserve"> of the </w:t>
            </w:r>
            <w:r>
              <w:rPr>
                <w:rFonts w:ascii="Arial Narrow" w:hAnsi="Arial Narrow"/>
                <w:sz w:val="20"/>
                <w:lang w:val="en-GB"/>
              </w:rPr>
              <w:t>investments</w:t>
            </w:r>
            <w:r w:rsidR="00037235" w:rsidRPr="00013706">
              <w:rPr>
                <w:rFonts w:ascii="Arial Narrow" w:hAnsi="Arial Narrow"/>
                <w:sz w:val="20"/>
                <w:lang w:val="en-GB"/>
              </w:rPr>
              <w:t xml:space="preserve"> will have been delivered by effective private sector partners</w:t>
            </w:r>
          </w:p>
          <w:p w:rsidR="00037235" w:rsidRPr="00013706" w:rsidRDefault="00037235" w:rsidP="00A82AAB">
            <w:pPr>
              <w:numPr>
                <w:ilvl w:val="0"/>
                <w:numId w:val="23"/>
              </w:numPr>
              <w:spacing w:before="0" w:after="0"/>
              <w:ind w:left="284" w:hanging="284"/>
              <w:rPr>
                <w:rFonts w:ascii="Arial Narrow" w:hAnsi="Arial Narrow"/>
                <w:sz w:val="20"/>
                <w:lang w:val="en-GB"/>
              </w:rPr>
            </w:pPr>
            <w:r w:rsidRPr="00013706">
              <w:rPr>
                <w:rFonts w:ascii="Arial Narrow" w:hAnsi="Arial Narrow"/>
                <w:sz w:val="20"/>
                <w:lang w:val="en-GB"/>
              </w:rPr>
              <w:t>Ensured that at leas</w:t>
            </w:r>
            <w:r w:rsidR="006F7CA7">
              <w:rPr>
                <w:rFonts w:ascii="Arial Narrow" w:hAnsi="Arial Narrow"/>
                <w:sz w:val="20"/>
                <w:lang w:val="en-GB"/>
              </w:rPr>
              <w:t>t 50 per cent</w:t>
            </w:r>
            <w:r w:rsidRPr="00013706">
              <w:rPr>
                <w:rFonts w:ascii="Arial Narrow" w:hAnsi="Arial Narrow"/>
                <w:sz w:val="20"/>
                <w:lang w:val="en-GB"/>
              </w:rPr>
              <w:t xml:space="preserve"> (A$36 million</w:t>
            </w:r>
            <w:r w:rsidR="00246F50">
              <w:rPr>
                <w:rFonts w:ascii="Arial Narrow" w:hAnsi="Arial Narrow"/>
                <w:sz w:val="20"/>
                <w:lang w:val="en-GB"/>
              </w:rPr>
              <w:t xml:space="preserve">) of the activity investment will have been </w:t>
            </w:r>
            <w:r w:rsidRPr="00013706">
              <w:rPr>
                <w:rFonts w:ascii="Arial Narrow" w:hAnsi="Arial Narrow"/>
                <w:sz w:val="20"/>
                <w:lang w:val="en-GB"/>
              </w:rPr>
              <w:t>spent on infrastructure and all infrastructure is of sufficient quality, fit-for-purpose, fully operational and has a confirmed maintenance schedule and budget</w:t>
            </w:r>
          </w:p>
          <w:p w:rsidR="00037235" w:rsidRPr="00013706" w:rsidRDefault="00037235" w:rsidP="00A82AAB">
            <w:pPr>
              <w:numPr>
                <w:ilvl w:val="0"/>
                <w:numId w:val="23"/>
              </w:numPr>
              <w:spacing w:before="0" w:after="0"/>
              <w:ind w:left="284" w:hanging="284"/>
              <w:rPr>
                <w:rFonts w:ascii="Arial Narrow" w:hAnsi="Arial Narrow"/>
                <w:sz w:val="20"/>
                <w:lang w:val="en-GB"/>
              </w:rPr>
            </w:pPr>
            <w:r w:rsidRPr="00013706">
              <w:rPr>
                <w:rFonts w:ascii="Arial Narrow" w:hAnsi="Arial Narrow"/>
                <w:sz w:val="20"/>
                <w:lang w:val="en-GB"/>
              </w:rPr>
              <w:t>Ensured that all the implementing partners were effective and had additional and recognised capacity at the end of implementation to maintain all organisational responsibilities and expand further</w:t>
            </w:r>
          </w:p>
          <w:p w:rsidR="00037235" w:rsidRPr="00013706" w:rsidRDefault="00037235" w:rsidP="00A82AAB">
            <w:pPr>
              <w:numPr>
                <w:ilvl w:val="0"/>
                <w:numId w:val="23"/>
              </w:numPr>
              <w:spacing w:before="0" w:after="0"/>
              <w:ind w:left="284" w:hanging="284"/>
              <w:rPr>
                <w:rFonts w:ascii="Arial Narrow" w:hAnsi="Arial Narrow"/>
                <w:sz w:val="20"/>
                <w:lang w:val="en-GB"/>
              </w:rPr>
            </w:pPr>
            <w:r w:rsidRPr="00013706">
              <w:rPr>
                <w:rFonts w:ascii="Arial Narrow" w:hAnsi="Arial Narrow"/>
                <w:sz w:val="20"/>
                <w:lang w:val="en-GB"/>
              </w:rPr>
              <w:t>Ensured that all the implementing partners and managers of any IFA assets are operating appropriate social inclusion procedures informed by appr</w:t>
            </w:r>
            <w:r>
              <w:rPr>
                <w:rFonts w:ascii="Arial Narrow" w:hAnsi="Arial Narrow"/>
                <w:sz w:val="20"/>
                <w:lang w:val="en-GB"/>
              </w:rPr>
              <w:t>opriate social inclusion policy</w:t>
            </w:r>
          </w:p>
          <w:p w:rsidR="00037235" w:rsidRPr="00013706" w:rsidRDefault="00037235" w:rsidP="006B3178">
            <w:pPr>
              <w:spacing w:before="0" w:after="0"/>
              <w:rPr>
                <w:rFonts w:ascii="Arial Narrow" w:hAnsi="Arial Narrow"/>
                <w:sz w:val="16"/>
                <w:szCs w:val="16"/>
                <w:lang w:val="en-GB"/>
              </w:rPr>
            </w:pPr>
          </w:p>
        </w:tc>
      </w:tr>
    </w:tbl>
    <w:p w:rsidR="00037235" w:rsidRDefault="00037235" w:rsidP="00037235">
      <w:pPr>
        <w:spacing w:before="0" w:after="0"/>
        <w:rPr>
          <w:sz w:val="16"/>
          <w:szCs w:val="16"/>
          <w:lang w:val="en-GB"/>
        </w:rPr>
      </w:pPr>
    </w:p>
    <w:p w:rsidR="00037235" w:rsidRPr="00571F0B" w:rsidRDefault="00037235" w:rsidP="00BE7C9E">
      <w:pPr>
        <w:pStyle w:val="Heading3"/>
        <w:rPr>
          <w:lang w:val="en-GB"/>
        </w:rPr>
      </w:pPr>
      <w:r w:rsidRPr="00571F0B">
        <w:rPr>
          <w:lang w:val="en-GB"/>
        </w:rPr>
        <w:t xml:space="preserve">Program level </w:t>
      </w:r>
      <w:r w:rsidR="003D217F">
        <w:rPr>
          <w:lang w:val="en-GB"/>
        </w:rPr>
        <w:t xml:space="preserve">monitoring </w:t>
      </w:r>
      <w:r w:rsidRPr="00571F0B">
        <w:rPr>
          <w:lang w:val="en-GB"/>
        </w:rPr>
        <w:t>functions</w:t>
      </w:r>
    </w:p>
    <w:p w:rsidR="00CF33FB" w:rsidRDefault="00037235" w:rsidP="00DC1742">
      <w:pPr>
        <w:spacing w:before="0" w:after="0"/>
        <w:rPr>
          <w:lang w:val="en-GB"/>
        </w:rPr>
      </w:pPr>
      <w:r w:rsidRPr="00013706">
        <w:rPr>
          <w:lang w:val="en-GB"/>
        </w:rPr>
        <w:t xml:space="preserve">The end of program position, IF (IV) Goal and Purpose drive the IF (IV) </w:t>
      </w:r>
      <w:r w:rsidR="009D1D6B">
        <w:rPr>
          <w:lang w:val="en-GB"/>
        </w:rPr>
        <w:t xml:space="preserve">strategic, </w:t>
      </w:r>
      <w:r w:rsidR="009A35A6">
        <w:rPr>
          <w:lang w:val="en-GB"/>
        </w:rPr>
        <w:t xml:space="preserve">annual </w:t>
      </w:r>
      <w:r w:rsidR="006B3178">
        <w:rPr>
          <w:lang w:val="en-GB"/>
        </w:rPr>
        <w:t xml:space="preserve">and </w:t>
      </w:r>
      <w:r w:rsidRPr="00013706">
        <w:rPr>
          <w:lang w:val="en-GB"/>
        </w:rPr>
        <w:t xml:space="preserve">implementation </w:t>
      </w:r>
      <w:r w:rsidR="009D1D6B">
        <w:rPr>
          <w:lang w:val="en-GB"/>
        </w:rPr>
        <w:t>plans</w:t>
      </w:r>
      <w:r w:rsidRPr="00013706">
        <w:rPr>
          <w:lang w:val="en-GB"/>
        </w:rPr>
        <w:t>. DFAT</w:t>
      </w:r>
      <w:r w:rsidR="00C53862">
        <w:rPr>
          <w:lang w:val="en-GB"/>
        </w:rPr>
        <w:t xml:space="preserve"> and </w:t>
      </w:r>
      <w:r w:rsidRPr="00013706">
        <w:rPr>
          <w:lang w:val="en-GB"/>
        </w:rPr>
        <w:t>the MG</w:t>
      </w:r>
      <w:r w:rsidR="00C53862">
        <w:rPr>
          <w:lang w:val="en-GB"/>
        </w:rPr>
        <w:t xml:space="preserve">, supported by the </w:t>
      </w:r>
      <w:r w:rsidR="006F7CA7" w:rsidRPr="006F7CA7">
        <w:rPr>
          <w:lang w:val="en-GB"/>
        </w:rPr>
        <w:t xml:space="preserve">Independent Review Team </w:t>
      </w:r>
      <w:r w:rsidR="006F7CA7">
        <w:rPr>
          <w:lang w:val="en-GB"/>
        </w:rPr>
        <w:t>(</w:t>
      </w:r>
      <w:r w:rsidR="00C53862">
        <w:rPr>
          <w:lang w:val="en-GB"/>
        </w:rPr>
        <w:t>IRT</w:t>
      </w:r>
      <w:r w:rsidR="006F7CA7">
        <w:rPr>
          <w:lang w:val="en-GB"/>
        </w:rPr>
        <w:t>)</w:t>
      </w:r>
      <w:r w:rsidR="00C53862">
        <w:rPr>
          <w:lang w:val="en-GB"/>
        </w:rPr>
        <w:t>,</w:t>
      </w:r>
      <w:r w:rsidRPr="00013706">
        <w:rPr>
          <w:lang w:val="en-GB"/>
        </w:rPr>
        <w:t xml:space="preserve"> </w:t>
      </w:r>
      <w:r w:rsidR="009A35A6">
        <w:rPr>
          <w:lang w:val="en-GB"/>
        </w:rPr>
        <w:t>will</w:t>
      </w:r>
      <w:r w:rsidRPr="00013706">
        <w:rPr>
          <w:lang w:val="en-GB"/>
        </w:rPr>
        <w:t xml:space="preserve"> determine any proportionality of investments between health, education and </w:t>
      </w:r>
      <w:r w:rsidR="00205423">
        <w:rPr>
          <w:lang w:val="en-GB"/>
        </w:rPr>
        <w:t xml:space="preserve">other sectors and to stimulate </w:t>
      </w:r>
      <w:r w:rsidRPr="00013706">
        <w:rPr>
          <w:lang w:val="en-GB"/>
        </w:rPr>
        <w:t xml:space="preserve">economic </w:t>
      </w:r>
      <w:r w:rsidR="00205423" w:rsidRPr="00205423">
        <w:rPr>
          <w:lang w:val="en-GB"/>
        </w:rPr>
        <w:t>development</w:t>
      </w:r>
      <w:r w:rsidR="009A35A6">
        <w:rPr>
          <w:lang w:val="en-GB"/>
        </w:rPr>
        <w:t>,</w:t>
      </w:r>
      <w:r w:rsidRPr="00013706">
        <w:rPr>
          <w:lang w:val="en-GB"/>
        </w:rPr>
        <w:t xml:space="preserve"> and this proportionality may well change during implementation. If </w:t>
      </w:r>
      <w:r w:rsidR="002820B7">
        <w:rPr>
          <w:lang w:val="en-GB"/>
        </w:rPr>
        <w:t xml:space="preserve">the sector support allocations of IF (IV) do change then change </w:t>
      </w:r>
      <w:r w:rsidRPr="00013706">
        <w:rPr>
          <w:lang w:val="en-GB"/>
        </w:rPr>
        <w:t xml:space="preserve">should be </w:t>
      </w:r>
      <w:r w:rsidR="009A35A6">
        <w:rPr>
          <w:lang w:val="en-GB"/>
        </w:rPr>
        <w:t>a strategic management decision informed by the PAF and outcome indicators</w:t>
      </w:r>
      <w:r w:rsidRPr="00013706">
        <w:rPr>
          <w:lang w:val="en-GB"/>
        </w:rPr>
        <w:t xml:space="preserve">. </w:t>
      </w:r>
    </w:p>
    <w:p w:rsidR="00CF33FB" w:rsidRPr="00DC1742" w:rsidRDefault="00CF33FB" w:rsidP="00DC1742">
      <w:pPr>
        <w:spacing w:before="0" w:after="0"/>
        <w:rPr>
          <w:sz w:val="16"/>
          <w:szCs w:val="16"/>
          <w:lang w:val="en-GB"/>
        </w:rPr>
      </w:pPr>
    </w:p>
    <w:p w:rsidR="00CF33FB" w:rsidRDefault="00037235" w:rsidP="00DC1742">
      <w:pPr>
        <w:spacing w:before="0" w:after="0"/>
        <w:rPr>
          <w:lang w:val="en-GB"/>
        </w:rPr>
      </w:pPr>
      <w:r>
        <w:rPr>
          <w:lang w:val="en-GB"/>
        </w:rPr>
        <w:t xml:space="preserve">The MC is responsible for identifying </w:t>
      </w:r>
      <w:r w:rsidR="00CF33FB">
        <w:rPr>
          <w:lang w:val="en-GB"/>
        </w:rPr>
        <w:t xml:space="preserve">potential </w:t>
      </w:r>
      <w:r w:rsidRPr="00013706">
        <w:rPr>
          <w:lang w:val="en-GB"/>
        </w:rPr>
        <w:t xml:space="preserve">sector </w:t>
      </w:r>
      <w:r w:rsidR="00CF33FB">
        <w:rPr>
          <w:lang w:val="en-GB"/>
        </w:rPr>
        <w:t>investments</w:t>
      </w:r>
      <w:r>
        <w:rPr>
          <w:lang w:val="en-GB"/>
        </w:rPr>
        <w:t xml:space="preserve"> and</w:t>
      </w:r>
      <w:r w:rsidRPr="00013706">
        <w:rPr>
          <w:lang w:val="en-GB"/>
        </w:rPr>
        <w:t xml:space="preserve"> </w:t>
      </w:r>
      <w:r w:rsidR="00CF33FB">
        <w:rPr>
          <w:lang w:val="en-GB"/>
        </w:rPr>
        <w:t>revising the PAF to ensu</w:t>
      </w:r>
      <w:r w:rsidR="006B3178">
        <w:rPr>
          <w:lang w:val="en-GB"/>
        </w:rPr>
        <w:t xml:space="preserve">re the sector targets are </w:t>
      </w:r>
      <w:r w:rsidR="009D1D6B">
        <w:rPr>
          <w:lang w:val="en-GB"/>
        </w:rPr>
        <w:t>agreed</w:t>
      </w:r>
      <w:r w:rsidR="006B3178">
        <w:rPr>
          <w:lang w:val="en-GB"/>
        </w:rPr>
        <w:t xml:space="preserve">, that </w:t>
      </w:r>
      <w:r w:rsidR="00CF33FB">
        <w:rPr>
          <w:lang w:val="en-GB"/>
        </w:rPr>
        <w:t>contribution</w:t>
      </w:r>
      <w:r w:rsidR="006B3178">
        <w:rPr>
          <w:lang w:val="en-GB"/>
        </w:rPr>
        <w:t>s</w:t>
      </w:r>
      <w:r w:rsidR="00CF33FB">
        <w:rPr>
          <w:lang w:val="en-GB"/>
        </w:rPr>
        <w:t xml:space="preserve"> to the end-of-program position </w:t>
      </w:r>
      <w:r w:rsidR="006B3178">
        <w:rPr>
          <w:lang w:val="en-GB"/>
        </w:rPr>
        <w:t>are</w:t>
      </w:r>
      <w:r w:rsidR="00CF33FB">
        <w:rPr>
          <w:lang w:val="en-GB"/>
        </w:rPr>
        <w:t xml:space="preserve"> identified across the year</w:t>
      </w:r>
      <w:r w:rsidR="003D217F">
        <w:rPr>
          <w:lang w:val="en-GB"/>
        </w:rPr>
        <w:t xml:space="preserve">ly </w:t>
      </w:r>
      <w:r w:rsidR="00CF33FB">
        <w:rPr>
          <w:lang w:val="en-GB"/>
        </w:rPr>
        <w:t xml:space="preserve">implementation </w:t>
      </w:r>
      <w:r w:rsidR="003D217F">
        <w:rPr>
          <w:lang w:val="en-GB"/>
        </w:rPr>
        <w:t xml:space="preserve">targets </w:t>
      </w:r>
      <w:r w:rsidR="00CF33FB">
        <w:rPr>
          <w:lang w:val="en-GB"/>
        </w:rPr>
        <w:t xml:space="preserve">and that suitable </w:t>
      </w:r>
      <w:r w:rsidR="006B3178">
        <w:rPr>
          <w:lang w:val="en-GB"/>
        </w:rPr>
        <w:t xml:space="preserve">outcome </w:t>
      </w:r>
      <w:r w:rsidR="00CF33FB">
        <w:rPr>
          <w:lang w:val="en-GB"/>
        </w:rPr>
        <w:t xml:space="preserve">indicators are established and </w:t>
      </w:r>
      <w:r w:rsidR="006B3178">
        <w:rPr>
          <w:lang w:val="en-GB"/>
        </w:rPr>
        <w:t xml:space="preserve">able to be </w:t>
      </w:r>
      <w:r w:rsidR="00CF33FB">
        <w:rPr>
          <w:lang w:val="en-GB"/>
        </w:rPr>
        <w:t xml:space="preserve">monitored to ensure, through the PAF, that the end-of-program position is being delivered.  </w:t>
      </w:r>
    </w:p>
    <w:p w:rsidR="00CF33FB" w:rsidRPr="00DC1742" w:rsidRDefault="00CF33FB" w:rsidP="00DC1742">
      <w:pPr>
        <w:spacing w:before="0" w:after="0"/>
        <w:rPr>
          <w:sz w:val="16"/>
          <w:szCs w:val="16"/>
          <w:lang w:val="en-GB"/>
        </w:rPr>
      </w:pPr>
    </w:p>
    <w:p w:rsidR="00037235" w:rsidRDefault="00037235" w:rsidP="00DC1742">
      <w:pPr>
        <w:spacing w:before="0" w:after="0"/>
        <w:rPr>
          <w:lang w:val="en-GB"/>
        </w:rPr>
      </w:pPr>
      <w:r>
        <w:rPr>
          <w:lang w:val="en-GB"/>
        </w:rPr>
        <w:t xml:space="preserve">The MC will ensure that </w:t>
      </w:r>
      <w:r w:rsidR="00CF33FB">
        <w:rPr>
          <w:lang w:val="en-GB"/>
        </w:rPr>
        <w:t xml:space="preserve">appropriate </w:t>
      </w:r>
      <w:r w:rsidR="006B3178">
        <w:rPr>
          <w:lang w:val="en-GB"/>
        </w:rPr>
        <w:t>monitoring</w:t>
      </w:r>
      <w:r w:rsidRPr="00706C92">
        <w:rPr>
          <w:lang w:val="en-GB"/>
        </w:rPr>
        <w:t xml:space="preserve"> systems </w:t>
      </w:r>
      <w:r>
        <w:rPr>
          <w:lang w:val="en-GB"/>
        </w:rPr>
        <w:t>are</w:t>
      </w:r>
      <w:r w:rsidRPr="00706C92">
        <w:rPr>
          <w:lang w:val="en-GB"/>
        </w:rPr>
        <w:t xml:space="preserve"> established to continually aggregate and present data from CPs and implementing IFAs</w:t>
      </w:r>
      <w:r w:rsidR="00CF33FB">
        <w:rPr>
          <w:lang w:val="en-GB"/>
        </w:rPr>
        <w:t xml:space="preserve"> to inform the PAF indicators</w:t>
      </w:r>
      <w:r w:rsidRPr="00706C92">
        <w:rPr>
          <w:lang w:val="en-GB"/>
        </w:rPr>
        <w:t xml:space="preserve">. This is </w:t>
      </w:r>
      <w:r w:rsidR="00CF33FB">
        <w:rPr>
          <w:lang w:val="en-GB"/>
        </w:rPr>
        <w:t xml:space="preserve">a </w:t>
      </w:r>
      <w:r w:rsidRPr="00706C92">
        <w:rPr>
          <w:lang w:val="en-GB"/>
        </w:rPr>
        <w:t>critical</w:t>
      </w:r>
      <w:r w:rsidR="00CF33FB">
        <w:rPr>
          <w:lang w:val="en-GB"/>
        </w:rPr>
        <w:t xml:space="preserve"> function</w:t>
      </w:r>
      <w:r w:rsidRPr="00706C92">
        <w:rPr>
          <w:lang w:val="en-GB"/>
        </w:rPr>
        <w:t xml:space="preserve"> because the </w:t>
      </w:r>
      <w:r w:rsidR="00CF33FB">
        <w:rPr>
          <w:lang w:val="en-GB"/>
        </w:rPr>
        <w:t>MG</w:t>
      </w:r>
      <w:r w:rsidR="006B3178">
        <w:rPr>
          <w:lang w:val="en-GB"/>
        </w:rPr>
        <w:t xml:space="preserve">, DFAT and </w:t>
      </w:r>
      <w:r w:rsidR="006F7CA7">
        <w:rPr>
          <w:lang w:val="en-GB"/>
        </w:rPr>
        <w:t xml:space="preserve">the </w:t>
      </w:r>
      <w:r w:rsidR="006B3178">
        <w:rPr>
          <w:lang w:val="en-GB"/>
        </w:rPr>
        <w:t>Team Leader n</w:t>
      </w:r>
      <w:r w:rsidRPr="00706C92">
        <w:rPr>
          <w:lang w:val="en-GB"/>
        </w:rPr>
        <w:t xml:space="preserve">eed to </w:t>
      </w:r>
      <w:r w:rsidR="00CF33FB">
        <w:rPr>
          <w:lang w:val="en-GB"/>
        </w:rPr>
        <w:t xml:space="preserve">understand current progress being made </w:t>
      </w:r>
      <w:r w:rsidRPr="00706C92">
        <w:rPr>
          <w:lang w:val="en-GB"/>
        </w:rPr>
        <w:t>towards the end-of-program position</w:t>
      </w:r>
      <w:r w:rsidR="00CF33FB">
        <w:rPr>
          <w:lang w:val="en-GB"/>
        </w:rPr>
        <w:t xml:space="preserve"> and identify any strategic adjustments that need to be made </w:t>
      </w:r>
      <w:r w:rsidRPr="00706C92">
        <w:rPr>
          <w:i/>
          <w:lang w:val="en-GB"/>
        </w:rPr>
        <w:t>e.g.</w:t>
      </w:r>
      <w:r w:rsidRPr="00706C92">
        <w:rPr>
          <w:lang w:val="en-GB"/>
        </w:rPr>
        <w:t xml:space="preserve"> if the </w:t>
      </w:r>
      <w:r w:rsidR="009A35A6">
        <w:rPr>
          <w:lang w:val="en-GB"/>
        </w:rPr>
        <w:t xml:space="preserve">PAF outcome indicators </w:t>
      </w:r>
      <w:r w:rsidRPr="00706C92">
        <w:rPr>
          <w:lang w:val="en-GB"/>
        </w:rPr>
        <w:t xml:space="preserve">show that </w:t>
      </w:r>
      <w:r w:rsidR="00463D79">
        <w:rPr>
          <w:lang w:val="en-GB"/>
        </w:rPr>
        <w:t xml:space="preserve">less than </w:t>
      </w:r>
      <w:r w:rsidR="00463D79" w:rsidRPr="00463D79">
        <w:rPr>
          <w:lang w:val="en-GB"/>
        </w:rPr>
        <w:t xml:space="preserve">80 per cent of the investments support empowerment of women and girls </w:t>
      </w:r>
      <w:r w:rsidRPr="00706C92">
        <w:rPr>
          <w:lang w:val="en-GB"/>
        </w:rPr>
        <w:t xml:space="preserve">then more priority will need to be given to </w:t>
      </w:r>
      <w:r w:rsidR="009A35A6">
        <w:rPr>
          <w:lang w:val="en-GB"/>
        </w:rPr>
        <w:t xml:space="preserve">attract and </w:t>
      </w:r>
      <w:r w:rsidRPr="00706C92">
        <w:rPr>
          <w:lang w:val="en-GB"/>
        </w:rPr>
        <w:t>invest in CPs that will achieve the target</w:t>
      </w:r>
      <w:r>
        <w:rPr>
          <w:lang w:val="en-GB"/>
        </w:rPr>
        <w:t>.</w:t>
      </w:r>
    </w:p>
    <w:p w:rsidR="00037235" w:rsidRPr="00DC1742" w:rsidRDefault="00037235" w:rsidP="00DC1742">
      <w:pPr>
        <w:spacing w:before="0" w:after="0"/>
        <w:rPr>
          <w:sz w:val="16"/>
          <w:szCs w:val="16"/>
          <w:lang w:val="en-GB"/>
        </w:rPr>
      </w:pPr>
    </w:p>
    <w:p w:rsidR="00037235" w:rsidRDefault="00037235" w:rsidP="00DC1742">
      <w:pPr>
        <w:spacing w:before="0" w:after="0"/>
        <w:rPr>
          <w:lang w:val="en-GB"/>
        </w:rPr>
      </w:pPr>
      <w:r w:rsidRPr="00706C92">
        <w:rPr>
          <w:lang w:val="en-GB"/>
        </w:rPr>
        <w:t xml:space="preserve">The proposed annual IRT should be positioned ahead of </w:t>
      </w:r>
      <w:r w:rsidR="006F7CA7">
        <w:rPr>
          <w:lang w:val="en-GB"/>
        </w:rPr>
        <w:t>Delivery Strategy and A</w:t>
      </w:r>
      <w:r w:rsidRPr="00706C92">
        <w:rPr>
          <w:lang w:val="en-GB"/>
        </w:rPr>
        <w:t xml:space="preserve">nnual </w:t>
      </w:r>
      <w:r w:rsidR="006F7CA7">
        <w:rPr>
          <w:lang w:val="en-GB"/>
        </w:rPr>
        <w:t>P</w:t>
      </w:r>
      <w:r w:rsidRPr="00706C92">
        <w:rPr>
          <w:lang w:val="en-GB"/>
        </w:rPr>
        <w:t xml:space="preserve">lan confirmations and confirm the current progress being made towards the end-of-program position. They will confirm the PAF and that the Incentive Fund Logic is still relevant and </w:t>
      </w:r>
      <w:proofErr w:type="gramStart"/>
      <w:r w:rsidRPr="00706C92">
        <w:rPr>
          <w:lang w:val="en-GB"/>
        </w:rPr>
        <w:t>recommend</w:t>
      </w:r>
      <w:proofErr w:type="gramEnd"/>
      <w:r w:rsidRPr="00706C92">
        <w:rPr>
          <w:lang w:val="en-GB"/>
        </w:rPr>
        <w:t xml:space="preserve"> any adjustments. Program level aggregated data will be essential to enable the</w:t>
      </w:r>
      <w:r>
        <w:rPr>
          <w:lang w:val="en-GB"/>
        </w:rPr>
        <w:t xml:space="preserve"> IRT to make these assessments.</w:t>
      </w:r>
    </w:p>
    <w:p w:rsidR="00DC1742" w:rsidRDefault="00DC1742">
      <w:pPr>
        <w:spacing w:before="0" w:after="0"/>
        <w:jc w:val="left"/>
        <w:rPr>
          <w:sz w:val="16"/>
          <w:szCs w:val="16"/>
          <w:lang w:val="en-GB"/>
        </w:rPr>
      </w:pPr>
      <w:r>
        <w:rPr>
          <w:sz w:val="16"/>
          <w:szCs w:val="16"/>
          <w:lang w:val="en-GB"/>
        </w:rPr>
        <w:br w:type="page"/>
      </w:r>
    </w:p>
    <w:p w:rsidR="00037235" w:rsidRPr="00706C92" w:rsidRDefault="00037235" w:rsidP="00037235">
      <w:pPr>
        <w:spacing w:before="0" w:after="0"/>
        <w:rPr>
          <w:lang w:val="en-GB"/>
        </w:rPr>
      </w:pPr>
      <w:proofErr w:type="gramStart"/>
      <w:r w:rsidRPr="00706C92">
        <w:rPr>
          <w:lang w:val="en-GB"/>
        </w:rPr>
        <w:lastRenderedPageBreak/>
        <w:t>IF (IV) will be a public diplomacy giant in the aid program.</w:t>
      </w:r>
      <w:proofErr w:type="gramEnd"/>
      <w:r w:rsidRPr="00706C92">
        <w:rPr>
          <w:lang w:val="en-GB"/>
        </w:rPr>
        <w:t xml:space="preserve"> Accurate information in regard to the delivery of outputs and processes, levels of benefits being provided, and where, and the numbers of direct and indirect beneficiaries, disaggregated by gender and age, must be maintained through a Management Information System (MIS) which can be easily accessible through web-based media, or upon request</w:t>
      </w:r>
      <w:r>
        <w:rPr>
          <w:lang w:val="en-GB"/>
        </w:rPr>
        <w:t>.</w:t>
      </w:r>
    </w:p>
    <w:p w:rsidR="00037235" w:rsidRPr="00DC1742" w:rsidRDefault="00037235" w:rsidP="00706C92">
      <w:pPr>
        <w:spacing w:before="0" w:after="0"/>
        <w:rPr>
          <w:sz w:val="16"/>
          <w:szCs w:val="16"/>
          <w:lang w:val="en-GB"/>
        </w:rPr>
      </w:pPr>
    </w:p>
    <w:p w:rsidR="00706C92" w:rsidRPr="00706C92" w:rsidRDefault="00706C92" w:rsidP="00706C92">
      <w:pPr>
        <w:spacing w:before="0" w:after="0"/>
        <w:rPr>
          <w:lang w:val="en-GB"/>
        </w:rPr>
      </w:pPr>
      <w:r w:rsidRPr="00706C92">
        <w:rPr>
          <w:lang w:val="en-GB"/>
        </w:rPr>
        <w:t xml:space="preserve">Whilst this public diplomacy function should not be underestimated, the MIS </w:t>
      </w:r>
      <w:r w:rsidR="009A35A6">
        <w:rPr>
          <w:lang w:val="en-GB"/>
        </w:rPr>
        <w:t xml:space="preserve">is an important performance management tool </w:t>
      </w:r>
      <w:r w:rsidRPr="00706C92">
        <w:rPr>
          <w:lang w:val="en-GB"/>
        </w:rPr>
        <w:t xml:space="preserve">to efficiently inform </w:t>
      </w:r>
      <w:r w:rsidR="0000186B">
        <w:rPr>
          <w:lang w:val="en-GB"/>
        </w:rPr>
        <w:t>the Delivery Strategy</w:t>
      </w:r>
      <w:r w:rsidRPr="00706C92">
        <w:rPr>
          <w:lang w:val="en-GB"/>
        </w:rPr>
        <w:t>, Annual Plans, progress reports, monthly updates and the (to be expected) numerous ex</w:t>
      </w:r>
      <w:r>
        <w:rPr>
          <w:lang w:val="en-GB"/>
        </w:rPr>
        <w:t>traordinary requests from DFAT</w:t>
      </w:r>
      <w:r w:rsidR="009A35A6">
        <w:rPr>
          <w:lang w:val="en-GB"/>
        </w:rPr>
        <w:t>, including APPRs</w:t>
      </w:r>
      <w:r>
        <w:rPr>
          <w:lang w:val="en-GB"/>
        </w:rPr>
        <w:t>.</w:t>
      </w:r>
    </w:p>
    <w:p w:rsidR="00706C92" w:rsidRPr="00706C92" w:rsidRDefault="00706C92" w:rsidP="00706C92">
      <w:pPr>
        <w:spacing w:before="0" w:after="0"/>
        <w:rPr>
          <w:sz w:val="16"/>
          <w:szCs w:val="16"/>
          <w:lang w:val="en-GB"/>
        </w:rPr>
      </w:pPr>
    </w:p>
    <w:p w:rsidR="00706C92" w:rsidRPr="00571F0B" w:rsidRDefault="00706C92" w:rsidP="00706C92">
      <w:pPr>
        <w:spacing w:before="0" w:after="0"/>
        <w:rPr>
          <w:lang w:val="en-GB"/>
        </w:rPr>
      </w:pPr>
      <w:r w:rsidRPr="00571F0B">
        <w:rPr>
          <w:lang w:val="en-GB"/>
        </w:rPr>
        <w:t xml:space="preserve">At the program level there will be high demand for aggregated data and information and the </w:t>
      </w:r>
      <w:r w:rsidR="009A35A6">
        <w:rPr>
          <w:lang w:val="en-GB"/>
        </w:rPr>
        <w:t>MC</w:t>
      </w:r>
      <w:r w:rsidRPr="00571F0B">
        <w:rPr>
          <w:lang w:val="en-GB"/>
        </w:rPr>
        <w:t xml:space="preserve"> is expected to meet this demand. The MIS is expected to be used as a decision making tool assisting to confirm whether IF (IV) is on track to reach its end-of-program position</w:t>
      </w:r>
      <w:r w:rsidR="009A35A6">
        <w:rPr>
          <w:lang w:val="en-GB"/>
        </w:rPr>
        <w:t xml:space="preserve">, and not </w:t>
      </w:r>
      <w:r w:rsidRPr="00571F0B">
        <w:rPr>
          <w:lang w:val="en-GB"/>
        </w:rPr>
        <w:t>merely a collection of historic data.</w:t>
      </w:r>
    </w:p>
    <w:p w:rsidR="00706C92" w:rsidRDefault="00706C92" w:rsidP="00706C92">
      <w:pPr>
        <w:spacing w:before="0" w:after="0"/>
        <w:rPr>
          <w:lang w:val="en-GB"/>
        </w:rPr>
      </w:pPr>
    </w:p>
    <w:p w:rsidR="00706C92" w:rsidRDefault="009E1DA4" w:rsidP="00BE7C9E">
      <w:pPr>
        <w:pStyle w:val="Heading3"/>
        <w:rPr>
          <w:lang w:val="en-GB"/>
        </w:rPr>
      </w:pPr>
      <w:r>
        <w:rPr>
          <w:lang w:val="en-GB"/>
        </w:rPr>
        <w:t xml:space="preserve">Activity level </w:t>
      </w:r>
      <w:r w:rsidR="003D217F">
        <w:rPr>
          <w:lang w:val="en-GB"/>
        </w:rPr>
        <w:t xml:space="preserve">monitoring </w:t>
      </w:r>
      <w:r>
        <w:rPr>
          <w:lang w:val="en-GB"/>
        </w:rPr>
        <w:t>functions</w:t>
      </w:r>
    </w:p>
    <w:p w:rsidR="009E1DA4" w:rsidRDefault="009A35A6" w:rsidP="009E1DA4">
      <w:pPr>
        <w:spacing w:before="0" w:after="0"/>
        <w:rPr>
          <w:lang w:val="en-GB"/>
        </w:rPr>
      </w:pPr>
      <w:r>
        <w:rPr>
          <w:lang w:val="en-GB"/>
        </w:rPr>
        <w:t xml:space="preserve">At the activity level the MC is responsible for delivering a range of </w:t>
      </w:r>
      <w:r w:rsidR="00790388">
        <w:rPr>
          <w:lang w:val="en-GB"/>
        </w:rPr>
        <w:t xml:space="preserve">planning, costing, technical and project management support across PNG and </w:t>
      </w:r>
      <w:r w:rsidR="003D217F">
        <w:rPr>
          <w:lang w:val="en-GB"/>
        </w:rPr>
        <w:t xml:space="preserve">monitoring </w:t>
      </w:r>
      <w:r w:rsidR="009D1D6B">
        <w:rPr>
          <w:lang w:val="en-GB"/>
        </w:rPr>
        <w:t xml:space="preserve">the delivery of this support </w:t>
      </w:r>
      <w:r w:rsidR="00790388">
        <w:rPr>
          <w:lang w:val="en-GB"/>
        </w:rPr>
        <w:t>is a key M&amp;E function</w:t>
      </w:r>
      <w:r>
        <w:rPr>
          <w:lang w:val="en-GB"/>
        </w:rPr>
        <w:t xml:space="preserve">. </w:t>
      </w:r>
      <w:r w:rsidR="00790388">
        <w:rPr>
          <w:lang w:val="en-GB"/>
        </w:rPr>
        <w:t>The MC is specifically responsible for the following</w:t>
      </w:r>
      <w:r w:rsidR="005D6E0C">
        <w:rPr>
          <w:lang w:val="en-GB"/>
        </w:rPr>
        <w:t xml:space="preserve"> implementation and monitoring functions</w:t>
      </w:r>
      <w:r w:rsidR="00790388">
        <w:rPr>
          <w:lang w:val="en-GB"/>
        </w:rPr>
        <w:t>:</w:t>
      </w:r>
    </w:p>
    <w:p w:rsidR="009E1DA4" w:rsidRPr="009E1DA4" w:rsidRDefault="009E1DA4" w:rsidP="009E1DA4">
      <w:pPr>
        <w:rPr>
          <w:sz w:val="16"/>
          <w:szCs w:val="16"/>
          <w:lang w:val="en-GB"/>
        </w:rPr>
      </w:pPr>
    </w:p>
    <w:p w:rsidR="005D6E0C" w:rsidRDefault="00790388" w:rsidP="00A82AAB">
      <w:pPr>
        <w:pStyle w:val="ListParagraph"/>
        <w:numPr>
          <w:ilvl w:val="0"/>
          <w:numId w:val="46"/>
        </w:numPr>
        <w:spacing w:before="0" w:after="0"/>
        <w:ind w:left="284" w:hanging="284"/>
        <w:rPr>
          <w:lang w:val="en-GB"/>
        </w:rPr>
      </w:pPr>
      <w:r>
        <w:rPr>
          <w:lang w:val="en-GB"/>
        </w:rPr>
        <w:t xml:space="preserve">Planning </w:t>
      </w:r>
      <w:r w:rsidR="005D6E0C">
        <w:rPr>
          <w:lang w:val="en-GB"/>
        </w:rPr>
        <w:t>and</w:t>
      </w:r>
      <w:r>
        <w:rPr>
          <w:lang w:val="en-GB"/>
        </w:rPr>
        <w:t xml:space="preserve"> monitoring </w:t>
      </w:r>
      <w:r w:rsidR="005D6E0C">
        <w:rPr>
          <w:lang w:val="en-GB"/>
        </w:rPr>
        <w:t>the</w:t>
      </w:r>
      <w:r>
        <w:rPr>
          <w:lang w:val="en-GB"/>
        </w:rPr>
        <w:t xml:space="preserve"> implementation of all CPR rounds to determine where demand originated, in what sectors, for which activities and by what type of organisation. This information is essential to enable IF (IV) to understand the level of demand and how to target this demand. </w:t>
      </w:r>
    </w:p>
    <w:p w:rsidR="00790388" w:rsidRDefault="005D6E0C" w:rsidP="00A82AAB">
      <w:pPr>
        <w:pStyle w:val="ListParagraph"/>
        <w:numPr>
          <w:ilvl w:val="0"/>
          <w:numId w:val="46"/>
        </w:numPr>
        <w:spacing w:before="0" w:after="0"/>
        <w:ind w:left="284" w:hanging="284"/>
        <w:rPr>
          <w:lang w:val="en-GB"/>
        </w:rPr>
      </w:pPr>
      <w:r>
        <w:rPr>
          <w:lang w:val="en-GB"/>
        </w:rPr>
        <w:t>Planning, budgeting and scheduling all the activities and inputs required to deliver selected concept proposal development, through to detailed proposal establishment</w:t>
      </w:r>
      <w:r w:rsidR="009D1D6B">
        <w:rPr>
          <w:lang w:val="en-GB"/>
        </w:rPr>
        <w:t>,</w:t>
      </w:r>
      <w:r>
        <w:rPr>
          <w:lang w:val="en-GB"/>
        </w:rPr>
        <w:t xml:space="preserve"> approval and then implementation of an IFA. Thi</w:t>
      </w:r>
      <w:r w:rsidR="00E50742">
        <w:rPr>
          <w:lang w:val="en-GB"/>
        </w:rPr>
        <w:t xml:space="preserve">s must be a detailed and fully </w:t>
      </w:r>
      <w:r>
        <w:rPr>
          <w:lang w:val="en-GB"/>
        </w:rPr>
        <w:t>costed planning and implementation support function over a period of time expect</w:t>
      </w:r>
      <w:r w:rsidR="00E50742">
        <w:rPr>
          <w:lang w:val="en-GB"/>
        </w:rPr>
        <w:t>ed</w:t>
      </w:r>
      <w:r>
        <w:rPr>
          <w:lang w:val="en-GB"/>
        </w:rPr>
        <w:t xml:space="preserve"> to</w:t>
      </w:r>
      <w:r w:rsidR="00E50742">
        <w:rPr>
          <w:lang w:val="en-GB"/>
        </w:rPr>
        <w:t xml:space="preserve"> be </w:t>
      </w:r>
      <w:r>
        <w:rPr>
          <w:lang w:val="en-GB"/>
        </w:rPr>
        <w:t>approximately two years for each IFA. This level of information is essential to ensure annual plans</w:t>
      </w:r>
      <w:r w:rsidR="00E50742">
        <w:rPr>
          <w:lang w:val="en-GB"/>
        </w:rPr>
        <w:t xml:space="preserve"> and </w:t>
      </w:r>
      <w:r>
        <w:rPr>
          <w:lang w:val="en-GB"/>
        </w:rPr>
        <w:t xml:space="preserve">work plans are fully resourced </w:t>
      </w:r>
      <w:r w:rsidR="00E50742">
        <w:rPr>
          <w:lang w:val="en-GB"/>
        </w:rPr>
        <w:t xml:space="preserve">and that sufficient cash flows are in place to </w:t>
      </w:r>
      <w:r>
        <w:rPr>
          <w:lang w:val="en-GB"/>
        </w:rPr>
        <w:t>deliver all IFA support functions</w:t>
      </w:r>
      <w:r w:rsidR="00E50742">
        <w:rPr>
          <w:lang w:val="en-GB"/>
        </w:rPr>
        <w:t>.</w:t>
      </w:r>
    </w:p>
    <w:p w:rsidR="00DD6F3D" w:rsidRPr="009E1DA4" w:rsidRDefault="00E43FCB" w:rsidP="00A82AAB">
      <w:pPr>
        <w:pStyle w:val="ListParagraph"/>
        <w:numPr>
          <w:ilvl w:val="0"/>
          <w:numId w:val="46"/>
        </w:numPr>
        <w:spacing w:before="0" w:after="0"/>
        <w:ind w:left="284" w:hanging="284"/>
        <w:rPr>
          <w:lang w:val="en-GB"/>
        </w:rPr>
      </w:pPr>
      <w:r w:rsidRPr="009E1DA4">
        <w:rPr>
          <w:lang w:val="en-GB"/>
        </w:rPr>
        <w:t xml:space="preserve">Capturing and managing all information in relation to the delivery cost of inputs and activities </w:t>
      </w:r>
      <w:r w:rsidR="00B63161" w:rsidRPr="009E1DA4">
        <w:rPr>
          <w:lang w:val="en-GB"/>
        </w:rPr>
        <w:t>and conf</w:t>
      </w:r>
      <w:r w:rsidR="00586F06" w:rsidRPr="009E1DA4">
        <w:rPr>
          <w:lang w:val="en-GB"/>
        </w:rPr>
        <w:t xml:space="preserve">irming </w:t>
      </w:r>
      <w:r w:rsidR="005D6E0C">
        <w:rPr>
          <w:lang w:val="en-GB"/>
        </w:rPr>
        <w:t xml:space="preserve">all </w:t>
      </w:r>
      <w:r w:rsidRPr="009E1DA4">
        <w:rPr>
          <w:lang w:val="en-GB"/>
        </w:rPr>
        <w:t>output</w:t>
      </w:r>
      <w:r w:rsidR="00B63161" w:rsidRPr="009E1DA4">
        <w:rPr>
          <w:lang w:val="en-GB"/>
        </w:rPr>
        <w:t xml:space="preserve"> delivery </w:t>
      </w:r>
      <w:r w:rsidRPr="009E1DA4">
        <w:rPr>
          <w:lang w:val="en-GB"/>
        </w:rPr>
        <w:t xml:space="preserve">is critical. Expenditure data will be required constantly and the Financial Management System will be linked to monthly reports to understand expenditure trends and </w:t>
      </w:r>
      <w:r w:rsidR="0056370E" w:rsidRPr="009E1DA4">
        <w:rPr>
          <w:lang w:val="en-GB"/>
        </w:rPr>
        <w:t>facilitate</w:t>
      </w:r>
      <w:r w:rsidRPr="009E1DA4">
        <w:rPr>
          <w:lang w:val="en-GB"/>
        </w:rPr>
        <w:t xml:space="preserve"> variance analysis</w:t>
      </w:r>
      <w:r w:rsidR="00B63161" w:rsidRPr="009E1DA4">
        <w:rPr>
          <w:lang w:val="en-GB"/>
        </w:rPr>
        <w:t xml:space="preserve"> </w:t>
      </w:r>
      <w:r w:rsidR="00586F06" w:rsidRPr="009E1DA4">
        <w:rPr>
          <w:i/>
          <w:lang w:val="en-GB"/>
        </w:rPr>
        <w:t>e.g.</w:t>
      </w:r>
      <w:r w:rsidR="00B63161" w:rsidRPr="009E1DA4">
        <w:rPr>
          <w:lang w:val="en-GB"/>
        </w:rPr>
        <w:t xml:space="preserve"> explaining why expenditure rates are lower (or higher) than predicted</w:t>
      </w:r>
      <w:r w:rsidR="009E1DA4">
        <w:rPr>
          <w:lang w:val="en-GB"/>
        </w:rPr>
        <w:t>.</w:t>
      </w:r>
    </w:p>
    <w:p w:rsidR="00E43FCB" w:rsidRPr="00571F0B" w:rsidRDefault="00E43FCB" w:rsidP="00A82AAB">
      <w:pPr>
        <w:pStyle w:val="ListParagraph"/>
        <w:numPr>
          <w:ilvl w:val="0"/>
          <w:numId w:val="46"/>
        </w:numPr>
        <w:spacing w:before="0" w:after="0"/>
        <w:ind w:left="284" w:hanging="284"/>
        <w:rPr>
          <w:lang w:val="en-GB"/>
        </w:rPr>
      </w:pPr>
      <w:r w:rsidRPr="00571F0B">
        <w:rPr>
          <w:lang w:val="en-GB"/>
        </w:rPr>
        <w:t xml:space="preserve">Variance analysis is essential to enable accurate forecasts and expenditure predictions. Section 3.2.1 highlighted the </w:t>
      </w:r>
      <w:r w:rsidR="004B72A4" w:rsidRPr="00571F0B">
        <w:rPr>
          <w:lang w:val="en-GB"/>
        </w:rPr>
        <w:t xml:space="preserve">expected </w:t>
      </w:r>
      <w:r w:rsidRPr="00571F0B">
        <w:rPr>
          <w:lang w:val="en-GB"/>
        </w:rPr>
        <w:t>cash-flow risks associated with implementing through a UFU and accurate management of cash-</w:t>
      </w:r>
      <w:r w:rsidR="00B63161" w:rsidRPr="00571F0B">
        <w:rPr>
          <w:lang w:val="en-GB"/>
        </w:rPr>
        <w:t>f</w:t>
      </w:r>
      <w:r w:rsidRPr="00571F0B">
        <w:rPr>
          <w:lang w:val="en-GB"/>
        </w:rPr>
        <w:t xml:space="preserve">lows </w:t>
      </w:r>
      <w:r w:rsidR="00B63161" w:rsidRPr="00571F0B">
        <w:rPr>
          <w:lang w:val="en-GB"/>
        </w:rPr>
        <w:t>will be</w:t>
      </w:r>
      <w:r w:rsidRPr="00571F0B">
        <w:rPr>
          <w:lang w:val="en-GB"/>
        </w:rPr>
        <w:t xml:space="preserve"> critical</w:t>
      </w:r>
      <w:r w:rsidR="00B63161" w:rsidRPr="00571F0B">
        <w:rPr>
          <w:lang w:val="en-GB"/>
        </w:rPr>
        <w:t xml:space="preserve"> to manage this problem</w:t>
      </w:r>
      <w:r w:rsidRPr="00571F0B">
        <w:rPr>
          <w:lang w:val="en-GB"/>
        </w:rPr>
        <w:t>.</w:t>
      </w:r>
    </w:p>
    <w:p w:rsidR="004B72A4" w:rsidRDefault="004B72A4" w:rsidP="00A82AAB">
      <w:pPr>
        <w:pStyle w:val="ListParagraph"/>
        <w:numPr>
          <w:ilvl w:val="0"/>
          <w:numId w:val="46"/>
        </w:numPr>
        <w:spacing w:before="0" w:after="0"/>
        <w:ind w:left="284" w:hanging="284"/>
        <w:rPr>
          <w:lang w:val="en-GB"/>
        </w:rPr>
      </w:pPr>
      <w:r w:rsidRPr="00571F0B">
        <w:rPr>
          <w:lang w:val="en-GB"/>
        </w:rPr>
        <w:t xml:space="preserve">Review of Phase I, II and III highlights difficulty in assessing the conversion of outputs to outcomes, and the real contribution investments are making </w:t>
      </w:r>
      <w:r w:rsidR="00E50742">
        <w:rPr>
          <w:lang w:val="en-GB"/>
        </w:rPr>
        <w:t>to service delivery and/or economic development</w:t>
      </w:r>
      <w:r w:rsidRPr="00571F0B">
        <w:rPr>
          <w:lang w:val="en-GB"/>
        </w:rPr>
        <w:t xml:space="preserve">. One function that </w:t>
      </w:r>
      <w:r w:rsidR="00B63161" w:rsidRPr="00571F0B">
        <w:rPr>
          <w:lang w:val="en-GB"/>
        </w:rPr>
        <w:t>will</w:t>
      </w:r>
      <w:r w:rsidRPr="00571F0B">
        <w:rPr>
          <w:lang w:val="en-GB"/>
        </w:rPr>
        <w:t xml:space="preserve"> improve </w:t>
      </w:r>
      <w:proofErr w:type="gramStart"/>
      <w:r w:rsidR="00E50742">
        <w:rPr>
          <w:lang w:val="en-GB"/>
        </w:rPr>
        <w:t>are</w:t>
      </w:r>
      <w:proofErr w:type="gramEnd"/>
      <w:r w:rsidR="00B63161" w:rsidRPr="00571F0B">
        <w:rPr>
          <w:lang w:val="en-GB"/>
        </w:rPr>
        <w:t xml:space="preserve"> </w:t>
      </w:r>
      <w:r w:rsidRPr="00571F0B">
        <w:rPr>
          <w:lang w:val="en-GB"/>
        </w:rPr>
        <w:t>end-of-project evaluation</w:t>
      </w:r>
      <w:r w:rsidR="00E50742">
        <w:rPr>
          <w:lang w:val="en-GB"/>
        </w:rPr>
        <w:t>s</w:t>
      </w:r>
      <w:r w:rsidRPr="00571F0B">
        <w:rPr>
          <w:lang w:val="en-GB"/>
        </w:rPr>
        <w:t xml:space="preserve">. All IF (IV) projects </w:t>
      </w:r>
      <w:r w:rsidR="00B63161" w:rsidRPr="00571F0B">
        <w:rPr>
          <w:lang w:val="en-GB"/>
        </w:rPr>
        <w:t>will</w:t>
      </w:r>
      <w:r w:rsidRPr="00571F0B">
        <w:rPr>
          <w:lang w:val="en-GB"/>
        </w:rPr>
        <w:t xml:space="preserve"> have an independently facilitated </w:t>
      </w:r>
      <w:r w:rsidR="00B63161" w:rsidRPr="00571F0B">
        <w:rPr>
          <w:lang w:val="en-GB"/>
        </w:rPr>
        <w:t xml:space="preserve">end-of-project evaluation and evaluation questions should </w:t>
      </w:r>
      <w:r w:rsidR="009D1D6B">
        <w:rPr>
          <w:lang w:val="en-GB"/>
        </w:rPr>
        <w:t>align to confirm the relevant PAF outcome indicators</w:t>
      </w:r>
      <w:r w:rsidR="00B63161" w:rsidRPr="00571F0B">
        <w:rPr>
          <w:lang w:val="en-GB"/>
        </w:rPr>
        <w:t>. Phase III grant recipients consulted by the design mission all confirmed that they struggle</w:t>
      </w:r>
      <w:r w:rsidR="00586F06" w:rsidRPr="00571F0B">
        <w:rPr>
          <w:lang w:val="en-GB"/>
        </w:rPr>
        <w:t>d</w:t>
      </w:r>
      <w:r w:rsidR="00B63161" w:rsidRPr="00571F0B">
        <w:rPr>
          <w:lang w:val="en-GB"/>
        </w:rPr>
        <w:t xml:space="preserve"> with the completion reports and information</w:t>
      </w:r>
      <w:r w:rsidR="00586F06" w:rsidRPr="00571F0B">
        <w:rPr>
          <w:lang w:val="en-GB"/>
        </w:rPr>
        <w:t xml:space="preserve">. At best reporting </w:t>
      </w:r>
      <w:r w:rsidR="00B63161" w:rsidRPr="00571F0B">
        <w:rPr>
          <w:lang w:val="en-GB"/>
        </w:rPr>
        <w:t xml:space="preserve">was restricted to efficiency level reporting (inputs, activities and outputs). To determine the end-of-program position IF (IV) is going to have to ‘raise the game’ in regard to </w:t>
      </w:r>
      <w:r w:rsidR="009D1D6B">
        <w:rPr>
          <w:lang w:val="en-GB"/>
        </w:rPr>
        <w:t xml:space="preserve">the </w:t>
      </w:r>
      <w:r w:rsidR="00B63161" w:rsidRPr="00571F0B">
        <w:rPr>
          <w:lang w:val="en-GB"/>
        </w:rPr>
        <w:t>reporting</w:t>
      </w:r>
      <w:r w:rsidR="009D1D6B">
        <w:rPr>
          <w:lang w:val="en-GB"/>
        </w:rPr>
        <w:t xml:space="preserve"> of effectiveness</w:t>
      </w:r>
      <w:r w:rsidR="00B63161" w:rsidRPr="00571F0B">
        <w:rPr>
          <w:lang w:val="en-GB"/>
        </w:rPr>
        <w:t xml:space="preserve"> and the conversion of outputs to outcomes. IF (IV) requires strong project level reporting to </w:t>
      </w:r>
      <w:r w:rsidR="00B63161" w:rsidRPr="00571F0B">
        <w:rPr>
          <w:lang w:val="en-GB"/>
        </w:rPr>
        <w:lastRenderedPageBreak/>
        <w:t>meaningfully aggregate data and information to a program level and to be able to report against the intermediate outcomes, end-of-prog</w:t>
      </w:r>
      <w:r w:rsidR="009E1DA4">
        <w:rPr>
          <w:lang w:val="en-GB"/>
        </w:rPr>
        <w:t>ram outcomes, purpose and goal.</w:t>
      </w:r>
    </w:p>
    <w:p w:rsidR="009D1D6B" w:rsidRPr="00571F0B" w:rsidRDefault="009D1D6B" w:rsidP="00A82AAB">
      <w:pPr>
        <w:pStyle w:val="ListParagraph"/>
        <w:numPr>
          <w:ilvl w:val="0"/>
          <w:numId w:val="46"/>
        </w:numPr>
        <w:spacing w:before="0" w:after="0"/>
        <w:ind w:left="284" w:hanging="284"/>
        <w:rPr>
          <w:lang w:val="en-GB"/>
        </w:rPr>
      </w:pPr>
      <w:r>
        <w:rPr>
          <w:lang w:val="en-GB"/>
        </w:rPr>
        <w:t>All projects will be required to use independently available local GoPNG data</w:t>
      </w:r>
      <w:r w:rsidR="00EE47AA">
        <w:rPr>
          <w:lang w:val="en-GB"/>
        </w:rPr>
        <w:t xml:space="preserve"> to con</w:t>
      </w:r>
      <w:r>
        <w:rPr>
          <w:lang w:val="en-GB"/>
        </w:rPr>
        <w:t xml:space="preserve">firm their </w:t>
      </w:r>
      <w:r w:rsidR="00EE47AA">
        <w:rPr>
          <w:lang w:val="en-GB"/>
        </w:rPr>
        <w:t xml:space="preserve">contribution to outcomes </w:t>
      </w:r>
      <w:r w:rsidR="00EE47AA" w:rsidRPr="00EE47AA">
        <w:rPr>
          <w:i/>
          <w:lang w:val="en-GB"/>
        </w:rPr>
        <w:t>e.g.</w:t>
      </w:r>
      <w:r w:rsidR="00EE47AA">
        <w:rPr>
          <w:lang w:val="en-GB"/>
        </w:rPr>
        <w:t xml:space="preserve"> time-series h</w:t>
      </w:r>
      <w:r>
        <w:rPr>
          <w:lang w:val="en-GB"/>
        </w:rPr>
        <w:t xml:space="preserve">ealth data at supported </w:t>
      </w:r>
      <w:r w:rsidR="00EE47AA">
        <w:rPr>
          <w:lang w:val="en-GB"/>
        </w:rPr>
        <w:t>medical facilities should be used to confirm any expanded capability as a result of the IFA support.</w:t>
      </w:r>
    </w:p>
    <w:p w:rsidR="00E43FCB" w:rsidRPr="00571F0B" w:rsidRDefault="00E43FCB" w:rsidP="00A82AAB">
      <w:pPr>
        <w:pStyle w:val="ListParagraph"/>
        <w:numPr>
          <w:ilvl w:val="0"/>
          <w:numId w:val="46"/>
        </w:numPr>
        <w:spacing w:before="0" w:after="0"/>
        <w:ind w:left="284" w:hanging="284"/>
        <w:rPr>
          <w:lang w:val="en-GB"/>
        </w:rPr>
      </w:pPr>
      <w:r w:rsidRPr="00571F0B">
        <w:rPr>
          <w:lang w:val="en-GB"/>
        </w:rPr>
        <w:t>Value-for-money (VfM) determinations can only be accurately applied if we can establish the delivery costs of outputs and their conversion to making a contribution to outcomes.</w:t>
      </w:r>
      <w:r w:rsidR="00B63161" w:rsidRPr="00571F0B">
        <w:rPr>
          <w:lang w:val="en-GB"/>
        </w:rPr>
        <w:t xml:space="preserve"> </w:t>
      </w:r>
      <w:r w:rsidR="00586F06" w:rsidRPr="00571F0B">
        <w:rPr>
          <w:lang w:val="en-GB"/>
        </w:rPr>
        <w:t>C</w:t>
      </w:r>
      <w:r w:rsidR="004B72A4" w:rsidRPr="00571F0B">
        <w:rPr>
          <w:lang w:val="en-GB"/>
        </w:rPr>
        <w:t>ost and conversion are intrinsically linked in a grant funding mechanisms</w:t>
      </w:r>
      <w:r w:rsidR="00586F06" w:rsidRPr="00571F0B">
        <w:rPr>
          <w:lang w:val="en-GB"/>
        </w:rPr>
        <w:t>. It is recognised that b</w:t>
      </w:r>
      <w:r w:rsidR="004B72A4" w:rsidRPr="00571F0B">
        <w:rPr>
          <w:lang w:val="en-GB"/>
        </w:rPr>
        <w:t xml:space="preserve">oth </w:t>
      </w:r>
      <w:r w:rsidR="00586F06" w:rsidRPr="00571F0B">
        <w:rPr>
          <w:lang w:val="en-GB"/>
        </w:rPr>
        <w:t xml:space="preserve">output to outcome </w:t>
      </w:r>
      <w:r w:rsidR="004B72A4" w:rsidRPr="00571F0B">
        <w:rPr>
          <w:lang w:val="en-GB"/>
        </w:rPr>
        <w:t xml:space="preserve">conversion and accurate VfM determinations are often the blind spot in </w:t>
      </w:r>
      <w:r w:rsidR="00586F06" w:rsidRPr="00571F0B">
        <w:rPr>
          <w:lang w:val="en-GB"/>
        </w:rPr>
        <w:t xml:space="preserve">grant </w:t>
      </w:r>
      <w:r w:rsidR="004B72A4" w:rsidRPr="00571F0B">
        <w:rPr>
          <w:lang w:val="en-GB"/>
        </w:rPr>
        <w:t>mechanism</w:t>
      </w:r>
      <w:r w:rsidR="00586F06" w:rsidRPr="00571F0B">
        <w:rPr>
          <w:lang w:val="en-GB"/>
        </w:rPr>
        <w:t>s</w:t>
      </w:r>
      <w:r w:rsidR="004B72A4" w:rsidRPr="00571F0B">
        <w:rPr>
          <w:lang w:val="en-GB"/>
        </w:rPr>
        <w:t xml:space="preserve">. </w:t>
      </w:r>
      <w:r w:rsidRPr="00571F0B">
        <w:rPr>
          <w:lang w:val="en-GB"/>
        </w:rPr>
        <w:t xml:space="preserve">It was not possible for the design to make </w:t>
      </w:r>
      <w:r w:rsidR="00B63161" w:rsidRPr="00571F0B">
        <w:rPr>
          <w:lang w:val="en-GB"/>
        </w:rPr>
        <w:t xml:space="preserve">any </w:t>
      </w:r>
      <w:r w:rsidR="004B72A4" w:rsidRPr="00571F0B">
        <w:rPr>
          <w:lang w:val="en-GB"/>
        </w:rPr>
        <w:t>VfM</w:t>
      </w:r>
      <w:r w:rsidRPr="00571F0B">
        <w:rPr>
          <w:lang w:val="en-GB"/>
        </w:rPr>
        <w:t xml:space="preserve"> determination</w:t>
      </w:r>
      <w:r w:rsidR="004B72A4" w:rsidRPr="00571F0B">
        <w:rPr>
          <w:lang w:val="en-GB"/>
        </w:rPr>
        <w:t>s</w:t>
      </w:r>
      <w:r w:rsidRPr="00571F0B">
        <w:rPr>
          <w:lang w:val="en-GB"/>
        </w:rPr>
        <w:t xml:space="preserve"> from previous phases due to time constraints and not having access to sufficient delivery data. It is expected that IF (I</w:t>
      </w:r>
      <w:r w:rsidR="00586F06" w:rsidRPr="00571F0B">
        <w:rPr>
          <w:lang w:val="en-GB"/>
        </w:rPr>
        <w:t>V</w:t>
      </w:r>
      <w:r w:rsidRPr="00571F0B">
        <w:rPr>
          <w:lang w:val="en-GB"/>
        </w:rPr>
        <w:t>) will be able to present VfM analysis on a regular basis to compare the different delivery mechanisms and the efficiency o</w:t>
      </w:r>
      <w:r w:rsidR="009E1DA4">
        <w:rPr>
          <w:lang w:val="en-GB"/>
        </w:rPr>
        <w:t>f different effective partners.</w:t>
      </w:r>
    </w:p>
    <w:p w:rsidR="004E1C93" w:rsidRPr="009E1DA4" w:rsidRDefault="004E1C93" w:rsidP="004E1C93">
      <w:pPr>
        <w:spacing w:before="0" w:after="0"/>
        <w:rPr>
          <w:sz w:val="16"/>
          <w:szCs w:val="16"/>
          <w:lang w:val="en-GB"/>
        </w:rPr>
      </w:pPr>
    </w:p>
    <w:p w:rsidR="004E1C93" w:rsidRDefault="004E1C93" w:rsidP="00BE7C9E">
      <w:pPr>
        <w:pStyle w:val="Heading3"/>
        <w:rPr>
          <w:lang w:val="en-GB"/>
        </w:rPr>
      </w:pPr>
      <w:r w:rsidRPr="00571F0B">
        <w:rPr>
          <w:lang w:val="en-GB"/>
        </w:rPr>
        <w:t xml:space="preserve">Performance management </w:t>
      </w:r>
      <w:r w:rsidR="003D217F">
        <w:rPr>
          <w:lang w:val="en-GB"/>
        </w:rPr>
        <w:t xml:space="preserve">monitoring </w:t>
      </w:r>
      <w:r w:rsidRPr="00571F0B">
        <w:rPr>
          <w:lang w:val="en-GB"/>
        </w:rPr>
        <w:t>functions</w:t>
      </w:r>
    </w:p>
    <w:p w:rsidR="00A833E4" w:rsidRDefault="00A833E4" w:rsidP="009E1DA4">
      <w:pPr>
        <w:spacing w:before="0" w:after="0"/>
        <w:rPr>
          <w:lang w:val="en-GB"/>
        </w:rPr>
      </w:pPr>
      <w:r>
        <w:rPr>
          <w:lang w:val="en-GB"/>
        </w:rPr>
        <w:t>The MC is responsible for monitoring and reporting against a number of core program performance management functions, which include the following</w:t>
      </w:r>
      <w:r w:rsidR="003A203A">
        <w:rPr>
          <w:lang w:val="en-GB"/>
        </w:rPr>
        <w:t>:</w:t>
      </w:r>
    </w:p>
    <w:p w:rsidR="009E1DA4" w:rsidRPr="009E1DA4" w:rsidRDefault="009E1DA4" w:rsidP="009E1DA4">
      <w:pPr>
        <w:spacing w:before="0" w:after="0"/>
        <w:rPr>
          <w:sz w:val="16"/>
          <w:szCs w:val="16"/>
          <w:lang w:val="en-GB"/>
        </w:rPr>
      </w:pPr>
    </w:p>
    <w:p w:rsidR="003A203A" w:rsidRDefault="00A833E4" w:rsidP="00A82AAB">
      <w:pPr>
        <w:pStyle w:val="ListParagraph"/>
        <w:numPr>
          <w:ilvl w:val="0"/>
          <w:numId w:val="47"/>
        </w:numPr>
        <w:spacing w:before="0" w:after="0"/>
        <w:ind w:left="284" w:hanging="284"/>
        <w:rPr>
          <w:lang w:val="en-GB"/>
        </w:rPr>
      </w:pPr>
      <w:r>
        <w:rPr>
          <w:lang w:val="en-GB"/>
        </w:rPr>
        <w:t xml:space="preserve">Performance of the governance structures of IF (IV) must be managed well and this can be monitored through ensuring the delivery of key </w:t>
      </w:r>
      <w:r w:rsidR="00700024">
        <w:rPr>
          <w:lang w:val="en-GB"/>
        </w:rPr>
        <w:t xml:space="preserve">review and </w:t>
      </w:r>
      <w:r w:rsidR="003A203A">
        <w:rPr>
          <w:lang w:val="en-GB"/>
        </w:rPr>
        <w:t xml:space="preserve">decision making </w:t>
      </w:r>
      <w:r>
        <w:rPr>
          <w:lang w:val="en-GB"/>
        </w:rPr>
        <w:t xml:space="preserve">functions. At the program level </w:t>
      </w:r>
      <w:r w:rsidR="003A203A">
        <w:rPr>
          <w:lang w:val="en-GB"/>
        </w:rPr>
        <w:t xml:space="preserve">the </w:t>
      </w:r>
      <w:r>
        <w:rPr>
          <w:lang w:val="en-GB"/>
        </w:rPr>
        <w:t>MG meeting</w:t>
      </w:r>
      <w:r w:rsidR="003A203A">
        <w:rPr>
          <w:lang w:val="en-GB"/>
        </w:rPr>
        <w:t>s</w:t>
      </w:r>
      <w:r>
        <w:rPr>
          <w:lang w:val="en-GB"/>
        </w:rPr>
        <w:t xml:space="preserve"> should be scheduled, supported</w:t>
      </w:r>
      <w:r w:rsidR="003A203A">
        <w:rPr>
          <w:lang w:val="en-GB"/>
        </w:rPr>
        <w:t xml:space="preserve"> by the IFT and </w:t>
      </w:r>
      <w:r>
        <w:rPr>
          <w:lang w:val="en-GB"/>
        </w:rPr>
        <w:t xml:space="preserve">delivered with minutes confirming the agenda, </w:t>
      </w:r>
      <w:r w:rsidR="003A203A">
        <w:rPr>
          <w:lang w:val="en-GB"/>
        </w:rPr>
        <w:t xml:space="preserve">discussions, </w:t>
      </w:r>
      <w:r>
        <w:rPr>
          <w:lang w:val="en-GB"/>
        </w:rPr>
        <w:t>decisions and further actions.</w:t>
      </w:r>
      <w:r w:rsidR="00700024">
        <w:rPr>
          <w:lang w:val="en-GB"/>
        </w:rPr>
        <w:t xml:space="preserve"> Failure to deliver this function means IF (IV) will lack the strategic direction required from the MG and could severely jeopardise IF (IV) confirming and achieving an end-of-program position agreed by GoPNG and GoA.</w:t>
      </w:r>
    </w:p>
    <w:p w:rsidR="00A833E4" w:rsidRDefault="003A203A" w:rsidP="00A82AAB">
      <w:pPr>
        <w:pStyle w:val="ListParagraph"/>
        <w:numPr>
          <w:ilvl w:val="0"/>
          <w:numId w:val="47"/>
        </w:numPr>
        <w:spacing w:before="0" w:after="0"/>
        <w:ind w:left="284" w:hanging="284"/>
        <w:rPr>
          <w:lang w:val="en-GB"/>
        </w:rPr>
      </w:pPr>
      <w:r>
        <w:rPr>
          <w:lang w:val="en-GB"/>
        </w:rPr>
        <w:t xml:space="preserve">At the IFT level there will be a number of </w:t>
      </w:r>
      <w:r w:rsidR="00700024">
        <w:rPr>
          <w:lang w:val="en-GB"/>
        </w:rPr>
        <w:t xml:space="preserve">performance </w:t>
      </w:r>
      <w:r>
        <w:rPr>
          <w:lang w:val="en-GB"/>
        </w:rPr>
        <w:t xml:space="preserve">management groups </w:t>
      </w:r>
      <w:r w:rsidR="00700024">
        <w:rPr>
          <w:lang w:val="en-GB"/>
        </w:rPr>
        <w:t>which require</w:t>
      </w:r>
      <w:r>
        <w:rPr>
          <w:lang w:val="en-GB"/>
        </w:rPr>
        <w:t xml:space="preserve"> regularly scheduled meetings</w:t>
      </w:r>
      <w:r w:rsidR="00700024">
        <w:rPr>
          <w:lang w:val="en-GB"/>
        </w:rPr>
        <w:t xml:space="preserve">, and these </w:t>
      </w:r>
      <w:r>
        <w:rPr>
          <w:lang w:val="en-GB"/>
        </w:rPr>
        <w:t xml:space="preserve">will include, but </w:t>
      </w:r>
      <w:r w:rsidR="00700024">
        <w:rPr>
          <w:lang w:val="en-GB"/>
        </w:rPr>
        <w:t xml:space="preserve">are </w:t>
      </w:r>
      <w:r>
        <w:rPr>
          <w:lang w:val="en-GB"/>
        </w:rPr>
        <w:t>not</w:t>
      </w:r>
      <w:r w:rsidR="00700024">
        <w:rPr>
          <w:lang w:val="en-GB"/>
        </w:rPr>
        <w:t xml:space="preserve"> </w:t>
      </w:r>
      <w:r>
        <w:rPr>
          <w:lang w:val="en-GB"/>
        </w:rPr>
        <w:t xml:space="preserve">restricted to: the executive management team </w:t>
      </w:r>
      <w:r w:rsidR="00700024">
        <w:rPr>
          <w:lang w:val="en-GB"/>
        </w:rPr>
        <w:t xml:space="preserve">responsible </w:t>
      </w:r>
      <w:r>
        <w:rPr>
          <w:lang w:val="en-GB"/>
        </w:rPr>
        <w:t>for strategic decision making</w:t>
      </w:r>
      <w:r w:rsidR="00700024">
        <w:rPr>
          <w:lang w:val="en-GB"/>
        </w:rPr>
        <w:t>, which is confirmed through the annual plan</w:t>
      </w:r>
      <w:r>
        <w:rPr>
          <w:lang w:val="en-GB"/>
        </w:rPr>
        <w:t xml:space="preserve">; the senior management </w:t>
      </w:r>
      <w:r w:rsidR="00700024">
        <w:rPr>
          <w:lang w:val="en-GB"/>
        </w:rPr>
        <w:t xml:space="preserve">team which is responsible </w:t>
      </w:r>
      <w:r>
        <w:rPr>
          <w:lang w:val="en-GB"/>
        </w:rPr>
        <w:t xml:space="preserve">for </w:t>
      </w:r>
      <w:r w:rsidR="00700024">
        <w:rPr>
          <w:lang w:val="en-GB"/>
        </w:rPr>
        <w:t xml:space="preserve">the </w:t>
      </w:r>
      <w:r>
        <w:rPr>
          <w:lang w:val="en-GB"/>
        </w:rPr>
        <w:t xml:space="preserve">operational planning and implementation </w:t>
      </w:r>
      <w:r w:rsidR="00700024">
        <w:rPr>
          <w:lang w:val="en-GB"/>
        </w:rPr>
        <w:t>to deliver the annual plan</w:t>
      </w:r>
      <w:r>
        <w:rPr>
          <w:lang w:val="en-GB"/>
        </w:rPr>
        <w:t xml:space="preserve">; the financial management team </w:t>
      </w:r>
      <w:r w:rsidR="00700024">
        <w:rPr>
          <w:lang w:val="en-GB"/>
        </w:rPr>
        <w:t xml:space="preserve">which is responsible </w:t>
      </w:r>
      <w:r>
        <w:rPr>
          <w:lang w:val="en-GB"/>
        </w:rPr>
        <w:t>for budget and expenditure confirmation</w:t>
      </w:r>
      <w:r w:rsidR="00700024">
        <w:rPr>
          <w:lang w:val="en-GB"/>
        </w:rPr>
        <w:t xml:space="preserve">s, </w:t>
      </w:r>
      <w:r w:rsidR="00EE47AA">
        <w:rPr>
          <w:lang w:val="en-GB"/>
        </w:rPr>
        <w:t>conducting</w:t>
      </w:r>
      <w:r w:rsidR="00700024">
        <w:rPr>
          <w:lang w:val="en-GB"/>
        </w:rPr>
        <w:t xml:space="preserve"> </w:t>
      </w:r>
      <w:r>
        <w:rPr>
          <w:lang w:val="en-GB"/>
        </w:rPr>
        <w:t>variance analysis</w:t>
      </w:r>
      <w:r w:rsidR="00700024">
        <w:rPr>
          <w:lang w:val="en-GB"/>
        </w:rPr>
        <w:t xml:space="preserve"> and </w:t>
      </w:r>
      <w:r w:rsidR="00EE47AA">
        <w:rPr>
          <w:lang w:val="en-GB"/>
        </w:rPr>
        <w:t xml:space="preserve">preparing </w:t>
      </w:r>
      <w:r w:rsidR="00700024">
        <w:rPr>
          <w:lang w:val="en-GB"/>
        </w:rPr>
        <w:t>financial report</w:t>
      </w:r>
      <w:r w:rsidR="00EE47AA">
        <w:rPr>
          <w:lang w:val="en-GB"/>
        </w:rPr>
        <w:t>s to inform implementation</w:t>
      </w:r>
      <w:r>
        <w:rPr>
          <w:lang w:val="en-GB"/>
        </w:rPr>
        <w:t xml:space="preserve">; and the technical management team </w:t>
      </w:r>
      <w:r w:rsidR="00700024">
        <w:rPr>
          <w:lang w:val="en-GB"/>
        </w:rPr>
        <w:t xml:space="preserve">which is responsible for planning and implanting </w:t>
      </w:r>
      <w:r>
        <w:rPr>
          <w:lang w:val="en-GB"/>
        </w:rPr>
        <w:t xml:space="preserve">IFA </w:t>
      </w:r>
      <w:r w:rsidR="00700024">
        <w:rPr>
          <w:lang w:val="en-GB"/>
        </w:rPr>
        <w:t xml:space="preserve">delivery </w:t>
      </w:r>
      <w:r>
        <w:rPr>
          <w:lang w:val="en-GB"/>
        </w:rPr>
        <w:t>support</w:t>
      </w:r>
      <w:r w:rsidR="00700024">
        <w:rPr>
          <w:lang w:val="en-GB"/>
        </w:rPr>
        <w:t xml:space="preserve"> to partners</w:t>
      </w:r>
      <w:r>
        <w:rPr>
          <w:lang w:val="en-GB"/>
        </w:rPr>
        <w:t xml:space="preserve">. All meeting forums should be formal, scheduled and monitored for delivery </w:t>
      </w:r>
      <w:r w:rsidR="00EE47AA">
        <w:rPr>
          <w:lang w:val="en-GB"/>
        </w:rPr>
        <w:t>confirmed by</w:t>
      </w:r>
      <w:r>
        <w:rPr>
          <w:lang w:val="en-GB"/>
        </w:rPr>
        <w:t xml:space="preserve"> minutes, updated plans or exceptional reporting</w:t>
      </w:r>
      <w:r w:rsidR="008570E6">
        <w:rPr>
          <w:lang w:val="en-GB"/>
        </w:rPr>
        <w:t xml:space="preserve">, and </w:t>
      </w:r>
      <w:r w:rsidR="00EE47AA">
        <w:rPr>
          <w:lang w:val="en-GB"/>
        </w:rPr>
        <w:t>detailing</w:t>
      </w:r>
      <w:r>
        <w:rPr>
          <w:lang w:val="en-GB"/>
        </w:rPr>
        <w:t xml:space="preserve"> the agenda, discussions, decisions and further actions</w:t>
      </w:r>
      <w:r w:rsidR="00700024">
        <w:rPr>
          <w:lang w:val="en-GB"/>
        </w:rPr>
        <w:t xml:space="preserve">. The risk of any of these management mechanisms not functioning properly is high because it will impact immediately on the delivery of </w:t>
      </w:r>
      <w:r w:rsidR="008570E6">
        <w:rPr>
          <w:lang w:val="en-GB"/>
        </w:rPr>
        <w:t>approved</w:t>
      </w:r>
      <w:r w:rsidR="00700024">
        <w:rPr>
          <w:lang w:val="en-GB"/>
        </w:rPr>
        <w:t xml:space="preserve"> annual plans and impact on progress being made to</w:t>
      </w:r>
      <w:r w:rsidR="00EE47AA">
        <w:rPr>
          <w:lang w:val="en-GB"/>
        </w:rPr>
        <w:t>wards</w:t>
      </w:r>
      <w:r w:rsidR="00700024">
        <w:rPr>
          <w:lang w:val="en-GB"/>
        </w:rPr>
        <w:t xml:space="preserve"> the end-of-program position. </w:t>
      </w:r>
      <w:r>
        <w:rPr>
          <w:lang w:val="en-GB"/>
        </w:rPr>
        <w:t xml:space="preserve"> </w:t>
      </w:r>
    </w:p>
    <w:p w:rsidR="00476F22" w:rsidRDefault="004E1C93" w:rsidP="00A82AAB">
      <w:pPr>
        <w:pStyle w:val="ListParagraph"/>
        <w:numPr>
          <w:ilvl w:val="0"/>
          <w:numId w:val="47"/>
        </w:numPr>
        <w:spacing w:before="0" w:after="0"/>
        <w:ind w:left="284" w:hanging="284"/>
        <w:rPr>
          <w:lang w:val="en-GB"/>
        </w:rPr>
      </w:pPr>
      <w:r w:rsidRPr="00571F0B">
        <w:rPr>
          <w:lang w:val="en-GB"/>
        </w:rPr>
        <w:t xml:space="preserve">All the deliverables presented </w:t>
      </w:r>
      <w:r w:rsidRPr="003D217F">
        <w:rPr>
          <w:lang w:val="en-GB"/>
        </w:rPr>
        <w:t xml:space="preserve">in Table </w:t>
      </w:r>
      <w:r w:rsidR="00E444DC">
        <w:rPr>
          <w:lang w:val="en-GB"/>
        </w:rPr>
        <w:t>8</w:t>
      </w:r>
      <w:r w:rsidRPr="00571F0B">
        <w:rPr>
          <w:lang w:val="en-GB"/>
        </w:rPr>
        <w:t xml:space="preserve"> are essential to the delivery of a successful incentive funding mechanism. On-time, high quality deliverables with little or no </w:t>
      </w:r>
      <w:r w:rsidR="008570E6">
        <w:rPr>
          <w:lang w:val="en-GB"/>
        </w:rPr>
        <w:t>re</w:t>
      </w:r>
      <w:r w:rsidRPr="00571F0B">
        <w:rPr>
          <w:lang w:val="en-GB"/>
        </w:rPr>
        <w:t>work is expected.</w:t>
      </w:r>
      <w:r w:rsidR="008570E6">
        <w:rPr>
          <w:lang w:val="en-GB"/>
        </w:rPr>
        <w:t xml:space="preserve"> The delivery of these key documents will be closely monitored by DFAT because </w:t>
      </w:r>
      <w:r w:rsidR="002820B7">
        <w:rPr>
          <w:lang w:val="en-GB"/>
        </w:rPr>
        <w:t xml:space="preserve">their </w:t>
      </w:r>
      <w:r w:rsidR="008570E6">
        <w:rPr>
          <w:lang w:val="en-GB"/>
        </w:rPr>
        <w:t>non-delivery will increase the risk of delayed or insufficient strategic planning, making poor investment decisions and delaying the implementation of IF (IV). All of which will impact on delivering a relevant end-of-program position</w:t>
      </w:r>
      <w:r w:rsidR="00EE47AA">
        <w:rPr>
          <w:lang w:val="en-GB"/>
        </w:rPr>
        <w:t xml:space="preserve"> within the </w:t>
      </w:r>
      <w:r w:rsidR="002B7876" w:rsidRPr="002B7876">
        <w:rPr>
          <w:lang w:val="en-GB"/>
        </w:rPr>
        <w:t xml:space="preserve">IF (IV) </w:t>
      </w:r>
      <w:r w:rsidR="00EE47AA">
        <w:rPr>
          <w:lang w:val="en-GB"/>
        </w:rPr>
        <w:t>timeframe.</w:t>
      </w:r>
    </w:p>
    <w:p w:rsidR="008570E6" w:rsidRPr="00571F0B" w:rsidRDefault="008570E6" w:rsidP="00A82AAB">
      <w:pPr>
        <w:pStyle w:val="ListParagraph"/>
        <w:numPr>
          <w:ilvl w:val="0"/>
          <w:numId w:val="47"/>
        </w:numPr>
        <w:spacing w:before="0" w:after="0"/>
        <w:ind w:left="284" w:hanging="284"/>
        <w:rPr>
          <w:lang w:val="en-GB"/>
        </w:rPr>
      </w:pPr>
      <w:r w:rsidRPr="00571F0B">
        <w:rPr>
          <w:lang w:val="en-GB"/>
        </w:rPr>
        <w:t xml:space="preserve">The </w:t>
      </w:r>
      <w:r>
        <w:rPr>
          <w:lang w:val="en-GB"/>
        </w:rPr>
        <w:t>MC,</w:t>
      </w:r>
      <w:r w:rsidRPr="00571F0B">
        <w:rPr>
          <w:lang w:val="en-GB"/>
        </w:rPr>
        <w:t xml:space="preserve"> and </w:t>
      </w:r>
      <w:r>
        <w:rPr>
          <w:lang w:val="en-GB"/>
        </w:rPr>
        <w:t xml:space="preserve">the </w:t>
      </w:r>
      <w:r w:rsidRPr="00571F0B">
        <w:rPr>
          <w:lang w:val="en-GB"/>
        </w:rPr>
        <w:t xml:space="preserve">IFT </w:t>
      </w:r>
      <w:r>
        <w:rPr>
          <w:lang w:val="en-GB"/>
        </w:rPr>
        <w:t xml:space="preserve">it is responsible for performance managing, </w:t>
      </w:r>
      <w:r w:rsidRPr="00571F0B">
        <w:rPr>
          <w:lang w:val="en-GB"/>
        </w:rPr>
        <w:t xml:space="preserve">will be assessed by their ability to formulate appropriate strategies, plan and set budgets, organise resources, monitor and control implementation and manage any variances. This should be </w:t>
      </w:r>
      <w:r>
        <w:rPr>
          <w:lang w:val="en-GB"/>
        </w:rPr>
        <w:t>verified</w:t>
      </w:r>
      <w:r w:rsidRPr="00571F0B">
        <w:rPr>
          <w:lang w:val="en-GB"/>
        </w:rPr>
        <w:t xml:space="preserve"> </w:t>
      </w:r>
      <w:r w:rsidR="002820B7">
        <w:rPr>
          <w:lang w:val="en-GB"/>
        </w:rPr>
        <w:t xml:space="preserve">through </w:t>
      </w:r>
      <w:r w:rsidRPr="00571F0B">
        <w:rPr>
          <w:lang w:val="en-GB"/>
        </w:rPr>
        <w:t>annual plans and progress reports</w:t>
      </w:r>
      <w:r>
        <w:rPr>
          <w:lang w:val="en-GB"/>
        </w:rPr>
        <w:t xml:space="preserve"> with performance management process confirmed through monitoring of the above governance and management structures</w:t>
      </w:r>
      <w:r w:rsidRPr="00571F0B">
        <w:rPr>
          <w:lang w:val="en-GB"/>
        </w:rPr>
        <w:t>.</w:t>
      </w:r>
      <w:r w:rsidR="002820B7">
        <w:rPr>
          <w:lang w:val="en-GB"/>
        </w:rPr>
        <w:t xml:space="preserve"> MC </w:t>
      </w:r>
      <w:r w:rsidR="002820B7">
        <w:rPr>
          <w:lang w:val="en-GB"/>
        </w:rPr>
        <w:lastRenderedPageBreak/>
        <w:t xml:space="preserve">and IFT performance will </w:t>
      </w:r>
      <w:r w:rsidR="00EE47AA">
        <w:rPr>
          <w:lang w:val="en-GB"/>
        </w:rPr>
        <w:t>require on-going monitoring b</w:t>
      </w:r>
      <w:r w:rsidR="002820B7">
        <w:rPr>
          <w:lang w:val="en-GB"/>
        </w:rPr>
        <w:t xml:space="preserve">y DFAT </w:t>
      </w:r>
      <w:r w:rsidR="00EE47AA">
        <w:rPr>
          <w:lang w:val="en-GB"/>
        </w:rPr>
        <w:t xml:space="preserve">and </w:t>
      </w:r>
      <w:r w:rsidR="002820B7">
        <w:rPr>
          <w:lang w:val="en-GB"/>
        </w:rPr>
        <w:t xml:space="preserve">holding the MC </w:t>
      </w:r>
      <w:r w:rsidR="00EE47AA">
        <w:rPr>
          <w:lang w:val="en-GB"/>
        </w:rPr>
        <w:t xml:space="preserve">to </w:t>
      </w:r>
      <w:r w:rsidR="002820B7">
        <w:rPr>
          <w:lang w:val="en-GB"/>
        </w:rPr>
        <w:t>account for all deliverable</w:t>
      </w:r>
      <w:r w:rsidR="00EE47AA">
        <w:rPr>
          <w:lang w:val="en-GB"/>
        </w:rPr>
        <w:t>s. P</w:t>
      </w:r>
      <w:r w:rsidR="002820B7">
        <w:rPr>
          <w:lang w:val="en-GB"/>
        </w:rPr>
        <w:t xml:space="preserve">erformance will be assessed annually through the IRT. If DFAT and the IRT fail to objectively ensure strong performance management by the MC there is a high risk that a satisfactory and agreed end-of-program position will not be achieved. </w:t>
      </w:r>
    </w:p>
    <w:p w:rsidR="004E1C93" w:rsidRPr="00571F0B" w:rsidRDefault="002820B7" w:rsidP="00A82AAB">
      <w:pPr>
        <w:pStyle w:val="ListParagraph"/>
        <w:numPr>
          <w:ilvl w:val="0"/>
          <w:numId w:val="47"/>
        </w:numPr>
        <w:spacing w:before="0" w:after="0"/>
        <w:ind w:left="284" w:hanging="284"/>
        <w:rPr>
          <w:lang w:val="en-GB"/>
        </w:rPr>
      </w:pPr>
      <w:r>
        <w:rPr>
          <w:lang w:val="en-GB"/>
        </w:rPr>
        <w:t>IF (IV) delivery management that produces n</w:t>
      </w:r>
      <w:r w:rsidR="004E1C93" w:rsidRPr="00571F0B">
        <w:rPr>
          <w:lang w:val="en-GB"/>
        </w:rPr>
        <w:t xml:space="preserve">o surprises and </w:t>
      </w:r>
      <w:r>
        <w:rPr>
          <w:lang w:val="en-GB"/>
        </w:rPr>
        <w:t xml:space="preserve">seeks to add value to find new opportunities </w:t>
      </w:r>
      <w:r w:rsidR="004E1C93" w:rsidRPr="00571F0B">
        <w:rPr>
          <w:lang w:val="en-GB"/>
        </w:rPr>
        <w:t xml:space="preserve">will ensure IF (IV) is delivered effectively. IF (IV) </w:t>
      </w:r>
      <w:r w:rsidR="002873A2" w:rsidRPr="00571F0B">
        <w:rPr>
          <w:lang w:val="en-GB"/>
        </w:rPr>
        <w:t>seeks</w:t>
      </w:r>
      <w:r w:rsidR="004E1C93" w:rsidRPr="00571F0B">
        <w:rPr>
          <w:lang w:val="en-GB"/>
        </w:rPr>
        <w:t xml:space="preserve"> good performers who </w:t>
      </w:r>
      <w:r>
        <w:rPr>
          <w:lang w:val="en-GB"/>
        </w:rPr>
        <w:t xml:space="preserve">can expand </w:t>
      </w:r>
      <w:r w:rsidR="00E444DC">
        <w:rPr>
          <w:lang w:val="en-GB"/>
        </w:rPr>
        <w:t>sustainable service delivery and economic development</w:t>
      </w:r>
      <w:r w:rsidR="004E1C93" w:rsidRPr="00571F0B">
        <w:rPr>
          <w:lang w:val="en-GB"/>
        </w:rPr>
        <w:t xml:space="preserve">. It is correct to insist that the performance management of </w:t>
      </w:r>
      <w:r w:rsidR="00E444DC">
        <w:rPr>
          <w:lang w:val="en-GB"/>
        </w:rPr>
        <w:t>IF (IV)</w:t>
      </w:r>
      <w:r w:rsidR="004E1C93" w:rsidRPr="00571F0B">
        <w:rPr>
          <w:lang w:val="en-GB"/>
        </w:rPr>
        <w:t xml:space="preserve"> </w:t>
      </w:r>
      <w:r w:rsidR="002873A2" w:rsidRPr="00571F0B">
        <w:rPr>
          <w:lang w:val="en-GB"/>
        </w:rPr>
        <w:t xml:space="preserve">itself </w:t>
      </w:r>
      <w:r w:rsidR="004E1C93" w:rsidRPr="00571F0B">
        <w:rPr>
          <w:lang w:val="en-GB"/>
        </w:rPr>
        <w:t>demonstrates the same comm</w:t>
      </w:r>
      <w:r w:rsidR="002873A2" w:rsidRPr="00571F0B">
        <w:rPr>
          <w:lang w:val="en-GB"/>
        </w:rPr>
        <w:t xml:space="preserve">itment, culture and </w:t>
      </w:r>
      <w:r>
        <w:rPr>
          <w:lang w:val="en-GB"/>
        </w:rPr>
        <w:t xml:space="preserve">good </w:t>
      </w:r>
      <w:r w:rsidR="002873A2" w:rsidRPr="00571F0B">
        <w:rPr>
          <w:lang w:val="en-GB"/>
        </w:rPr>
        <w:t>performance</w:t>
      </w:r>
      <w:r w:rsidR="009E1DA4">
        <w:rPr>
          <w:lang w:val="en-GB"/>
        </w:rPr>
        <w:t>.</w:t>
      </w:r>
    </w:p>
    <w:p w:rsidR="00E43FCB" w:rsidRPr="00571F0B" w:rsidRDefault="00E43FCB" w:rsidP="009E1DA4">
      <w:pPr>
        <w:spacing w:before="0" w:after="0"/>
        <w:rPr>
          <w:lang w:val="en-GB"/>
        </w:rPr>
      </w:pPr>
    </w:p>
    <w:p w:rsidR="0058311F" w:rsidRPr="00571F0B" w:rsidRDefault="0058311F" w:rsidP="00BE7C9E">
      <w:pPr>
        <w:pStyle w:val="Heading2"/>
        <w:rPr>
          <w:lang w:val="en-GB"/>
        </w:rPr>
      </w:pPr>
      <w:bookmarkStart w:id="49" w:name="_Toc403037581"/>
      <w:r w:rsidRPr="00571F0B">
        <w:rPr>
          <w:lang w:val="en-GB"/>
        </w:rPr>
        <w:t xml:space="preserve">Independent Review </w:t>
      </w:r>
      <w:r w:rsidR="00DD2483" w:rsidRPr="00571F0B">
        <w:rPr>
          <w:lang w:val="en-GB"/>
        </w:rPr>
        <w:t>Team</w:t>
      </w:r>
      <w:bookmarkEnd w:id="49"/>
    </w:p>
    <w:p w:rsidR="0058311F" w:rsidRDefault="00C24888" w:rsidP="00C05D33">
      <w:pPr>
        <w:spacing w:before="0" w:after="0"/>
        <w:rPr>
          <w:lang w:val="en-GB"/>
        </w:rPr>
      </w:pPr>
      <w:r w:rsidRPr="00571F0B">
        <w:rPr>
          <w:lang w:val="en-GB"/>
        </w:rPr>
        <w:t xml:space="preserve">As presented </w:t>
      </w:r>
      <w:r w:rsidRPr="003D217F">
        <w:rPr>
          <w:lang w:val="en-GB"/>
        </w:rPr>
        <w:t xml:space="preserve">in </w:t>
      </w:r>
      <w:r w:rsidR="00E444DC">
        <w:rPr>
          <w:lang w:val="en-GB"/>
        </w:rPr>
        <w:t>Figure 3</w:t>
      </w:r>
      <w:r w:rsidRPr="00571F0B">
        <w:rPr>
          <w:lang w:val="en-GB"/>
        </w:rPr>
        <w:t xml:space="preserve"> the IRT should report to DFAT and GoPNG through the SMG. </w:t>
      </w:r>
      <w:r w:rsidR="00114C4F" w:rsidRPr="00571F0B">
        <w:rPr>
          <w:lang w:val="en-GB"/>
        </w:rPr>
        <w:t xml:space="preserve">As above, the role of the IRT will be </w:t>
      </w:r>
      <w:r w:rsidR="002873A2" w:rsidRPr="00571F0B">
        <w:rPr>
          <w:lang w:val="en-GB"/>
        </w:rPr>
        <w:t xml:space="preserve">to </w:t>
      </w:r>
      <w:r w:rsidR="00114C4F" w:rsidRPr="00571F0B">
        <w:rPr>
          <w:lang w:val="en-GB"/>
        </w:rPr>
        <w:t>confirm strategic directions, update the PAF</w:t>
      </w:r>
      <w:r w:rsidR="00EE47AA">
        <w:rPr>
          <w:lang w:val="en-GB"/>
        </w:rPr>
        <w:t>,</w:t>
      </w:r>
      <w:r w:rsidR="00114C4F" w:rsidRPr="00571F0B">
        <w:rPr>
          <w:lang w:val="en-GB"/>
        </w:rPr>
        <w:t xml:space="preserve"> ensure the Incentive Fund Logic is still relevant, and recommend any adjustments for MG approval. The IRT will also conduct quality at implementation spot checks on small pre-selected samples of IFAs to </w:t>
      </w:r>
      <w:r w:rsidR="00E444DC">
        <w:rPr>
          <w:lang w:val="en-GB"/>
        </w:rPr>
        <w:t>confirm</w:t>
      </w:r>
      <w:r w:rsidR="00114C4F" w:rsidRPr="00571F0B">
        <w:rPr>
          <w:lang w:val="en-GB"/>
        </w:rPr>
        <w:t xml:space="preserve"> quality at implementation, </w:t>
      </w:r>
      <w:r w:rsidR="00E444DC">
        <w:rPr>
          <w:lang w:val="en-GB"/>
        </w:rPr>
        <w:t xml:space="preserve">the </w:t>
      </w:r>
      <w:r w:rsidR="00114C4F" w:rsidRPr="00571F0B">
        <w:rPr>
          <w:lang w:val="en-GB"/>
        </w:rPr>
        <w:t>quality of rep</w:t>
      </w:r>
      <w:r w:rsidR="009E1DA4">
        <w:rPr>
          <w:lang w:val="en-GB"/>
        </w:rPr>
        <w:t xml:space="preserve">orting and </w:t>
      </w:r>
      <w:r w:rsidR="00E444DC">
        <w:rPr>
          <w:lang w:val="en-GB"/>
        </w:rPr>
        <w:t xml:space="preserve">the </w:t>
      </w:r>
      <w:r w:rsidR="009E1DA4">
        <w:rPr>
          <w:lang w:val="en-GB"/>
        </w:rPr>
        <w:t>quality of MIS data.</w:t>
      </w:r>
    </w:p>
    <w:p w:rsidR="009E1DA4" w:rsidRPr="009E1DA4" w:rsidRDefault="009E1DA4" w:rsidP="00C05D33">
      <w:pPr>
        <w:spacing w:before="0" w:after="0"/>
        <w:rPr>
          <w:sz w:val="16"/>
          <w:szCs w:val="16"/>
          <w:lang w:val="en-GB"/>
        </w:rPr>
      </w:pPr>
    </w:p>
    <w:p w:rsidR="0058311F" w:rsidRPr="00571F0B" w:rsidRDefault="00254203" w:rsidP="00C05D33">
      <w:pPr>
        <w:spacing w:before="0" w:after="0"/>
        <w:rPr>
          <w:lang w:val="en-GB"/>
        </w:rPr>
      </w:pPr>
      <w:r w:rsidRPr="00571F0B">
        <w:rPr>
          <w:lang w:val="en-GB"/>
        </w:rPr>
        <w:t xml:space="preserve">It is proposed that the IRT members be independently selected </w:t>
      </w:r>
      <w:r w:rsidR="00C24888" w:rsidRPr="00571F0B">
        <w:rPr>
          <w:lang w:val="en-GB"/>
        </w:rPr>
        <w:t xml:space="preserve">by </w:t>
      </w:r>
      <w:r w:rsidRPr="00571F0B">
        <w:rPr>
          <w:lang w:val="en-GB"/>
        </w:rPr>
        <w:t xml:space="preserve">DFAT because they are safeguarding the IF (IV) mechanism </w:t>
      </w:r>
      <w:r w:rsidR="00C24888" w:rsidRPr="00571F0B">
        <w:rPr>
          <w:lang w:val="en-GB"/>
        </w:rPr>
        <w:t xml:space="preserve">and DFAT investments by confirming the </w:t>
      </w:r>
      <w:r w:rsidRPr="00571F0B">
        <w:rPr>
          <w:lang w:val="en-GB"/>
        </w:rPr>
        <w:t xml:space="preserve">end-of-project position </w:t>
      </w:r>
      <w:r w:rsidR="00C24888" w:rsidRPr="00571F0B">
        <w:rPr>
          <w:lang w:val="en-GB"/>
        </w:rPr>
        <w:t>and that</w:t>
      </w:r>
      <w:r w:rsidRPr="00571F0B">
        <w:rPr>
          <w:lang w:val="en-GB"/>
        </w:rPr>
        <w:t xml:space="preserve"> flow-through investments</w:t>
      </w:r>
      <w:r w:rsidR="00C24888" w:rsidRPr="00571F0B">
        <w:rPr>
          <w:lang w:val="en-GB"/>
        </w:rPr>
        <w:t xml:space="preserve"> are appropriate</w:t>
      </w:r>
      <w:r w:rsidRPr="00571F0B">
        <w:rPr>
          <w:lang w:val="en-GB"/>
        </w:rPr>
        <w:t>. It is suggested that the IRT consist of at least two members</w:t>
      </w:r>
      <w:r w:rsidR="00E43FCB" w:rsidRPr="00571F0B">
        <w:rPr>
          <w:lang w:val="en-GB"/>
        </w:rPr>
        <w:t>. O</w:t>
      </w:r>
      <w:r w:rsidRPr="00571F0B">
        <w:rPr>
          <w:lang w:val="en-GB"/>
        </w:rPr>
        <w:t>ne should be an M&amp;E specialist and one should be expert in the PNG sub-national environment and operating context. The IFT would contract and support the IRT as required and this should be incorpo</w:t>
      </w:r>
      <w:r w:rsidR="009E1DA4">
        <w:rPr>
          <w:lang w:val="en-GB"/>
        </w:rPr>
        <w:t>rated into operational costs.</w:t>
      </w:r>
    </w:p>
    <w:p w:rsidR="0058311F" w:rsidRPr="00571F0B" w:rsidRDefault="0058311F" w:rsidP="00C05D33">
      <w:pPr>
        <w:spacing w:before="0" w:after="0"/>
        <w:rPr>
          <w:lang w:val="en-GB"/>
        </w:rPr>
      </w:pPr>
    </w:p>
    <w:p w:rsidR="00C05D33" w:rsidRPr="00571F0B" w:rsidRDefault="00C0198F" w:rsidP="00BE7C9E">
      <w:pPr>
        <w:pStyle w:val="Heading2"/>
        <w:rPr>
          <w:lang w:val="en-GB"/>
        </w:rPr>
      </w:pPr>
      <w:bookmarkStart w:id="50" w:name="_Toc403037582"/>
      <w:r w:rsidRPr="00571F0B">
        <w:rPr>
          <w:lang w:val="en-GB"/>
        </w:rPr>
        <w:t xml:space="preserve">The function of the </w:t>
      </w:r>
      <w:r w:rsidR="00C05D33" w:rsidRPr="00571F0B">
        <w:rPr>
          <w:lang w:val="en-GB"/>
        </w:rPr>
        <w:t xml:space="preserve">M&amp;E </w:t>
      </w:r>
      <w:r w:rsidR="0058311F" w:rsidRPr="00571F0B">
        <w:rPr>
          <w:lang w:val="en-GB"/>
        </w:rPr>
        <w:t>standards</w:t>
      </w:r>
      <w:bookmarkEnd w:id="50"/>
    </w:p>
    <w:p w:rsidR="00C0198F" w:rsidRPr="00571F0B" w:rsidRDefault="004E1C93" w:rsidP="0058311F">
      <w:pPr>
        <w:spacing w:before="0" w:after="0"/>
        <w:rPr>
          <w:lang w:val="en-GB"/>
        </w:rPr>
      </w:pPr>
      <w:r w:rsidRPr="00571F0B">
        <w:rPr>
          <w:lang w:val="en-GB"/>
        </w:rPr>
        <w:t>The function of the D</w:t>
      </w:r>
      <w:r w:rsidR="002873A2" w:rsidRPr="00571F0B">
        <w:rPr>
          <w:lang w:val="en-GB"/>
        </w:rPr>
        <w:t xml:space="preserve">FAT </w:t>
      </w:r>
      <w:r w:rsidRPr="00571F0B">
        <w:rPr>
          <w:lang w:val="en-GB"/>
        </w:rPr>
        <w:t>M&amp;E Standards</w:t>
      </w:r>
      <w:r w:rsidR="009E1DA4">
        <w:rPr>
          <w:rStyle w:val="FootnoteReference"/>
          <w:lang w:val="en-GB"/>
        </w:rPr>
        <w:footnoteReference w:id="12"/>
      </w:r>
      <w:r w:rsidRPr="00571F0B">
        <w:rPr>
          <w:lang w:val="en-GB"/>
        </w:rPr>
        <w:t xml:space="preserve"> is not to act </w:t>
      </w:r>
      <w:r w:rsidR="0056370E" w:rsidRPr="00571F0B">
        <w:rPr>
          <w:lang w:val="en-GB"/>
        </w:rPr>
        <w:t xml:space="preserve">as </w:t>
      </w:r>
      <w:r w:rsidRPr="00571F0B">
        <w:rPr>
          <w:lang w:val="en-GB"/>
        </w:rPr>
        <w:t>a check list</w:t>
      </w:r>
      <w:r w:rsidR="00C0198F" w:rsidRPr="00571F0B">
        <w:rPr>
          <w:lang w:val="en-GB"/>
        </w:rPr>
        <w:t xml:space="preserve">. The standards are meant to </w:t>
      </w:r>
      <w:r w:rsidR="009E1DA4">
        <w:rPr>
          <w:lang w:val="en-GB"/>
        </w:rPr>
        <w:t>present</w:t>
      </w:r>
      <w:r w:rsidR="00C0198F" w:rsidRPr="00571F0B">
        <w:rPr>
          <w:lang w:val="en-GB"/>
        </w:rPr>
        <w:t xml:space="preserve"> what a quality </w:t>
      </w:r>
      <w:r w:rsidR="009E1DA4">
        <w:rPr>
          <w:lang w:val="en-GB"/>
        </w:rPr>
        <w:t xml:space="preserve">monitoring or evaluation </w:t>
      </w:r>
      <w:r w:rsidR="00C0198F" w:rsidRPr="00571F0B">
        <w:rPr>
          <w:lang w:val="en-GB"/>
        </w:rPr>
        <w:t>product ought to look like. These standards will apply to both IF (IV) as a funding mechanism</w:t>
      </w:r>
      <w:r w:rsidR="009E1DA4">
        <w:rPr>
          <w:lang w:val="en-GB"/>
        </w:rPr>
        <w:t>,</w:t>
      </w:r>
      <w:r w:rsidR="00C0198F" w:rsidRPr="00571F0B">
        <w:rPr>
          <w:lang w:val="en-GB"/>
        </w:rPr>
        <w:t xml:space="preserve"> and to each IFA within the mechanism. </w:t>
      </w:r>
      <w:r w:rsidR="009E1DA4">
        <w:rPr>
          <w:lang w:val="en-GB"/>
        </w:rPr>
        <w:t xml:space="preserve"> </w:t>
      </w:r>
      <w:r w:rsidR="00C0198F" w:rsidRPr="00571F0B">
        <w:rPr>
          <w:lang w:val="en-GB"/>
        </w:rPr>
        <w:t xml:space="preserve">The standards will need to be integrated into the Information Book </w:t>
      </w:r>
      <w:r w:rsidR="00C0198F" w:rsidRPr="00571F0B">
        <w:rPr>
          <w:i/>
          <w:lang w:val="en-GB"/>
        </w:rPr>
        <w:t>e.g.</w:t>
      </w:r>
      <w:r w:rsidR="00C0198F" w:rsidRPr="00571F0B">
        <w:rPr>
          <w:lang w:val="en-GB"/>
        </w:rPr>
        <w:t xml:space="preserve"> into all concept papers, proposals and reporting templates. </w:t>
      </w:r>
      <w:r w:rsidR="009E1DA4">
        <w:rPr>
          <w:lang w:val="en-GB"/>
        </w:rPr>
        <w:t xml:space="preserve"> </w:t>
      </w:r>
      <w:r w:rsidR="00C0198F" w:rsidRPr="00571F0B">
        <w:rPr>
          <w:lang w:val="en-GB"/>
        </w:rPr>
        <w:t>The standards will be an imposed process and will assist to better M&amp;E ability and practice amongst partners, and therefore deliver an M&amp;E process outcome through the implementation of IF (IV)</w:t>
      </w:r>
      <w:r w:rsidR="00DE35C5" w:rsidRPr="00571F0B">
        <w:rPr>
          <w:lang w:val="en-GB"/>
        </w:rPr>
        <w:t>. The S</w:t>
      </w:r>
      <w:r w:rsidR="00C0198F" w:rsidRPr="00571F0B">
        <w:rPr>
          <w:lang w:val="en-GB"/>
        </w:rPr>
        <w:t>tandards are:</w:t>
      </w:r>
    </w:p>
    <w:p w:rsidR="0058311F" w:rsidRPr="00571F0B" w:rsidRDefault="009E1DA4" w:rsidP="0058311F">
      <w:pPr>
        <w:spacing w:before="0" w:after="0"/>
        <w:rPr>
          <w:lang w:val="en-GB"/>
        </w:rPr>
      </w:pPr>
      <w:r>
        <w:rPr>
          <w:lang w:val="en-GB"/>
        </w:rPr>
        <w:t>Standard 1:  Investment Design</w:t>
      </w:r>
    </w:p>
    <w:p w:rsidR="0058311F" w:rsidRPr="00571F0B" w:rsidRDefault="00C0198F" w:rsidP="0058311F">
      <w:pPr>
        <w:spacing w:before="0" w:after="0"/>
        <w:rPr>
          <w:lang w:val="en-GB"/>
        </w:rPr>
      </w:pPr>
      <w:r w:rsidRPr="00571F0B">
        <w:rPr>
          <w:lang w:val="en-GB"/>
        </w:rPr>
        <w:t>Standard 2:  Initiative M&amp;E systems</w:t>
      </w:r>
    </w:p>
    <w:p w:rsidR="0058311F" w:rsidRPr="00571F0B" w:rsidRDefault="00C0198F" w:rsidP="0058311F">
      <w:pPr>
        <w:spacing w:before="0" w:after="0"/>
        <w:rPr>
          <w:lang w:val="en-GB"/>
        </w:rPr>
      </w:pPr>
      <w:r w:rsidRPr="00571F0B">
        <w:rPr>
          <w:lang w:val="en-GB"/>
        </w:rPr>
        <w:t>Standard 3:  Initiative Progress Reporting</w:t>
      </w:r>
    </w:p>
    <w:p w:rsidR="00C0198F" w:rsidRPr="00571F0B" w:rsidRDefault="00C0198F" w:rsidP="0058311F">
      <w:pPr>
        <w:spacing w:before="0" w:after="0"/>
        <w:rPr>
          <w:lang w:val="en-GB"/>
        </w:rPr>
      </w:pPr>
      <w:r w:rsidRPr="00571F0B">
        <w:rPr>
          <w:lang w:val="en-GB"/>
        </w:rPr>
        <w:t>Standard 4:  Terms of reference for Independent Evaluations</w:t>
      </w:r>
    </w:p>
    <w:p w:rsidR="00C0198F" w:rsidRPr="00571F0B" w:rsidRDefault="00C0198F" w:rsidP="0058311F">
      <w:pPr>
        <w:spacing w:before="0" w:after="0"/>
        <w:rPr>
          <w:lang w:val="en-GB"/>
        </w:rPr>
      </w:pPr>
      <w:r w:rsidRPr="00571F0B">
        <w:rPr>
          <w:lang w:val="en-GB"/>
        </w:rPr>
        <w:t>Standard 5:  Independent Evaluation Plan</w:t>
      </w:r>
    </w:p>
    <w:p w:rsidR="00C0198F" w:rsidRPr="00571F0B" w:rsidRDefault="00C0198F" w:rsidP="0058311F">
      <w:pPr>
        <w:spacing w:before="0" w:after="0"/>
        <w:rPr>
          <w:lang w:val="en-GB"/>
        </w:rPr>
      </w:pPr>
      <w:r w:rsidRPr="00571F0B">
        <w:rPr>
          <w:lang w:val="en-GB"/>
        </w:rPr>
        <w:t>Standard 6:  Independent Evaluation report</w:t>
      </w:r>
    </w:p>
    <w:p w:rsidR="0058311F" w:rsidRPr="00571F0B" w:rsidRDefault="00C0198F" w:rsidP="0058311F">
      <w:pPr>
        <w:spacing w:before="0" w:after="0"/>
        <w:rPr>
          <w:lang w:val="en-GB"/>
        </w:rPr>
      </w:pPr>
      <w:r w:rsidRPr="00571F0B">
        <w:rPr>
          <w:lang w:val="en-GB"/>
        </w:rPr>
        <w:t>Standard 7:  Monitoring visits</w:t>
      </w:r>
      <w:r w:rsidR="00277117">
        <w:rPr>
          <w:lang w:val="en-GB"/>
        </w:rPr>
        <w:t>.</w:t>
      </w:r>
    </w:p>
    <w:p w:rsidR="00DE35C5" w:rsidRPr="00DC1742" w:rsidRDefault="00DE35C5" w:rsidP="0058311F">
      <w:pPr>
        <w:spacing w:before="0" w:after="0"/>
        <w:rPr>
          <w:sz w:val="16"/>
          <w:szCs w:val="16"/>
          <w:lang w:val="en-GB"/>
        </w:rPr>
      </w:pPr>
    </w:p>
    <w:p w:rsidR="00DE35C5" w:rsidRPr="00571F0B" w:rsidRDefault="00345556" w:rsidP="0058311F">
      <w:pPr>
        <w:spacing w:before="0" w:after="0"/>
        <w:rPr>
          <w:lang w:val="en-GB"/>
        </w:rPr>
      </w:pPr>
      <w:r w:rsidRPr="00571F0B">
        <w:rPr>
          <w:lang w:val="en-GB"/>
        </w:rPr>
        <w:t>All seven S</w:t>
      </w:r>
      <w:r w:rsidR="00DE35C5" w:rsidRPr="00571F0B">
        <w:rPr>
          <w:lang w:val="en-GB"/>
        </w:rPr>
        <w:t xml:space="preserve">tandards will assist the quality implementation of </w:t>
      </w:r>
      <w:r w:rsidR="00277117">
        <w:rPr>
          <w:lang w:val="en-GB"/>
        </w:rPr>
        <w:t xml:space="preserve">monitoring and evaluation for </w:t>
      </w:r>
      <w:r w:rsidR="00DE35C5" w:rsidRPr="00571F0B">
        <w:rPr>
          <w:lang w:val="en-GB"/>
        </w:rPr>
        <w:t>IF (IV).</w:t>
      </w:r>
      <w:r w:rsidR="00277117">
        <w:rPr>
          <w:lang w:val="en-GB"/>
        </w:rPr>
        <w:t xml:space="preserve">  </w:t>
      </w:r>
      <w:r w:rsidR="00DE35C5" w:rsidRPr="00571F0B">
        <w:rPr>
          <w:lang w:val="en-GB"/>
        </w:rPr>
        <w:t>In addition the DFAT Investment design Quality Standards (IDSQ) will also be useful for confirming quality IF (IV) proposal</w:t>
      </w:r>
      <w:r w:rsidR="00277117">
        <w:rPr>
          <w:lang w:val="en-GB"/>
        </w:rPr>
        <w:t xml:space="preserve"> designs.</w:t>
      </w:r>
    </w:p>
    <w:p w:rsidR="00C05D33" w:rsidRPr="00571F0B" w:rsidRDefault="0058311F" w:rsidP="00BE7C9E">
      <w:pPr>
        <w:pStyle w:val="Heading1"/>
        <w:rPr>
          <w:lang w:val="en-GB"/>
        </w:rPr>
      </w:pPr>
      <w:bookmarkStart w:id="51" w:name="_Toc403037583"/>
      <w:r w:rsidRPr="00571F0B">
        <w:rPr>
          <w:lang w:val="en-GB"/>
        </w:rPr>
        <w:lastRenderedPageBreak/>
        <w:t>Risk and Feasibility</w:t>
      </w:r>
      <w:bookmarkEnd w:id="51"/>
    </w:p>
    <w:p w:rsidR="00C05D33" w:rsidRPr="00571F0B" w:rsidRDefault="00C05D33" w:rsidP="00BE7C9E">
      <w:pPr>
        <w:pStyle w:val="Heading2"/>
        <w:rPr>
          <w:lang w:val="en-GB"/>
        </w:rPr>
      </w:pPr>
      <w:bookmarkStart w:id="52" w:name="_Toc403037584"/>
      <w:r w:rsidRPr="00571F0B">
        <w:rPr>
          <w:lang w:val="en-GB"/>
        </w:rPr>
        <w:t>Risks</w:t>
      </w:r>
      <w:bookmarkEnd w:id="52"/>
    </w:p>
    <w:p w:rsidR="00DA45A1" w:rsidRPr="00571F0B" w:rsidRDefault="00DA45A1" w:rsidP="00DA45A1">
      <w:pPr>
        <w:pStyle w:val="Heading3"/>
        <w:rPr>
          <w:lang w:val="en-GB"/>
        </w:rPr>
      </w:pPr>
      <w:r>
        <w:rPr>
          <w:lang w:val="en-GB"/>
        </w:rPr>
        <w:t>Risk Matrix</w:t>
      </w:r>
    </w:p>
    <w:p w:rsidR="0058311F" w:rsidRDefault="00E444DC" w:rsidP="00277117">
      <w:pPr>
        <w:spacing w:before="0" w:after="0"/>
        <w:rPr>
          <w:lang w:val="en-GB"/>
        </w:rPr>
      </w:pPr>
      <w:r>
        <w:rPr>
          <w:lang w:val="en-GB"/>
        </w:rPr>
        <w:t xml:space="preserve">Table </w:t>
      </w:r>
      <w:r w:rsidR="00DA45A1">
        <w:rPr>
          <w:lang w:val="en-GB"/>
        </w:rPr>
        <w:t>10</w:t>
      </w:r>
      <w:r w:rsidR="001C5F6D" w:rsidRPr="00571F0B">
        <w:rPr>
          <w:lang w:val="en-GB"/>
        </w:rPr>
        <w:t xml:space="preserve"> identifies the main risks associated with IF (IV) from a design </w:t>
      </w:r>
      <w:r w:rsidR="00DA45A1">
        <w:rPr>
          <w:lang w:val="en-GB"/>
        </w:rPr>
        <w:t xml:space="preserve">and operating </w:t>
      </w:r>
      <w:r w:rsidR="001C5F6D" w:rsidRPr="00571F0B">
        <w:rPr>
          <w:lang w:val="en-GB"/>
        </w:rPr>
        <w:t xml:space="preserve">perspective. This combines the risks that actually occurred in Phase III </w:t>
      </w:r>
      <w:r w:rsidR="002873A2" w:rsidRPr="00571F0B">
        <w:rPr>
          <w:lang w:val="en-GB"/>
        </w:rPr>
        <w:t>(</w:t>
      </w:r>
      <w:r w:rsidR="001C5F6D" w:rsidRPr="00571F0B">
        <w:rPr>
          <w:lang w:val="en-GB"/>
        </w:rPr>
        <w:t>presented in the ACR</w:t>
      </w:r>
      <w:r w:rsidR="002873A2" w:rsidRPr="00571F0B">
        <w:rPr>
          <w:lang w:val="en-GB"/>
        </w:rPr>
        <w:t>) with risks identified</w:t>
      </w:r>
      <w:r w:rsidR="001C5F6D" w:rsidRPr="00571F0B">
        <w:rPr>
          <w:lang w:val="en-GB"/>
        </w:rPr>
        <w:t xml:space="preserve"> in the short design consultation phase. This is not a </w:t>
      </w:r>
      <w:r>
        <w:rPr>
          <w:lang w:val="en-GB"/>
        </w:rPr>
        <w:t>complete</w:t>
      </w:r>
      <w:r w:rsidR="001C5F6D" w:rsidRPr="00571F0B">
        <w:rPr>
          <w:lang w:val="en-GB"/>
        </w:rPr>
        <w:t xml:space="preserve"> risk </w:t>
      </w:r>
      <w:r w:rsidR="00DA45A1">
        <w:rPr>
          <w:lang w:val="en-GB"/>
        </w:rPr>
        <w:t>matrix</w:t>
      </w:r>
      <w:r w:rsidR="001C5F6D" w:rsidRPr="00571F0B">
        <w:rPr>
          <w:lang w:val="en-GB"/>
        </w:rPr>
        <w:t xml:space="preserve"> but it does highlight </w:t>
      </w:r>
      <w:r>
        <w:rPr>
          <w:lang w:val="en-GB"/>
        </w:rPr>
        <w:t xml:space="preserve">the main </w:t>
      </w:r>
      <w:r w:rsidR="00E93847">
        <w:rPr>
          <w:lang w:val="en-GB"/>
        </w:rPr>
        <w:t>risk</w:t>
      </w:r>
      <w:r>
        <w:rPr>
          <w:lang w:val="en-GB"/>
        </w:rPr>
        <w:t>s</w:t>
      </w:r>
      <w:r w:rsidR="00E93847">
        <w:rPr>
          <w:lang w:val="en-GB"/>
        </w:rPr>
        <w:t xml:space="preserve"> to be managed and mitigation strategies</w:t>
      </w:r>
      <w:r w:rsidR="001C5F6D" w:rsidRPr="00571F0B">
        <w:rPr>
          <w:lang w:val="en-GB"/>
        </w:rPr>
        <w:t xml:space="preserve">. All the risks have the potential to be managed </w:t>
      </w:r>
      <w:r w:rsidR="00E93847">
        <w:rPr>
          <w:lang w:val="en-GB"/>
        </w:rPr>
        <w:t xml:space="preserve">down significantly </w:t>
      </w:r>
      <w:r w:rsidR="001C5F6D" w:rsidRPr="00571F0B">
        <w:rPr>
          <w:lang w:val="en-GB"/>
        </w:rPr>
        <w:t>and Phase III appears to have incurred negligible risk impact throughout implementation, the highest impact was caused by bad</w:t>
      </w:r>
      <w:r w:rsidR="00277117">
        <w:rPr>
          <w:lang w:val="en-GB"/>
        </w:rPr>
        <w:t xml:space="preserve"> weather delaying construction.</w:t>
      </w:r>
    </w:p>
    <w:p w:rsidR="00E93847" w:rsidRDefault="00E93847" w:rsidP="00277117">
      <w:pPr>
        <w:spacing w:before="0" w:after="0"/>
        <w:rPr>
          <w:lang w:val="en-GB"/>
        </w:rPr>
      </w:pPr>
    </w:p>
    <w:p w:rsidR="00E93847" w:rsidRPr="00E93847" w:rsidRDefault="00E93847" w:rsidP="00E93847">
      <w:pPr>
        <w:pStyle w:val="Heading3"/>
        <w:rPr>
          <w:lang w:val="en-GB"/>
        </w:rPr>
      </w:pPr>
      <w:r>
        <w:rPr>
          <w:lang w:val="en-GB"/>
        </w:rPr>
        <w:t>Fraud</w:t>
      </w:r>
    </w:p>
    <w:p w:rsidR="00E93847" w:rsidRPr="00E93847" w:rsidRDefault="00E93847" w:rsidP="00E93847">
      <w:pPr>
        <w:spacing w:before="0" w:after="0"/>
        <w:rPr>
          <w:lang w:val="en-US"/>
        </w:rPr>
      </w:pPr>
      <w:r w:rsidRPr="00E93847">
        <w:rPr>
          <w:lang w:val="en-US"/>
        </w:rPr>
        <w:t>DFAT has a policy of zero tolerance towards fraudulent activity or behaviour. This applies to departmental staff (including locally engaged staff at overseas posts) and external parties that receive Australian Government funds, including all aid program funds. Accordingly the policy applies to contractors, third party service providers, non-government organisations and other funding recipients.</w:t>
      </w:r>
    </w:p>
    <w:p w:rsidR="00E93847" w:rsidRPr="00E93847" w:rsidRDefault="00E93847" w:rsidP="00E93847">
      <w:pPr>
        <w:spacing w:before="0" w:after="0"/>
        <w:rPr>
          <w:lang w:val="en-US"/>
        </w:rPr>
      </w:pPr>
    </w:p>
    <w:p w:rsidR="00E93847" w:rsidRDefault="00E444DC" w:rsidP="00E93847">
      <w:pPr>
        <w:spacing w:before="0" w:after="0"/>
        <w:rPr>
          <w:lang w:val="en-US"/>
        </w:rPr>
      </w:pPr>
      <w:r>
        <w:rPr>
          <w:lang w:val="en-US"/>
        </w:rPr>
        <w:t>The Fraud Policy Statement states that</w:t>
      </w:r>
      <w:r w:rsidR="00E93847" w:rsidRPr="00E93847">
        <w:rPr>
          <w:lang w:val="en-US"/>
        </w:rPr>
        <w:t xml:space="preserve"> fraud is defined as 'dishonestly obtaining a benefit, or causing a loss, by deception or other means'. This definition extends beyond the legal definition of fraud to include benefits obtained that can be both tangible and intangible. It thus encompasses activities or behaviours broader than the misuse or misappropriation of monies or assets.</w:t>
      </w:r>
    </w:p>
    <w:p w:rsidR="00E93847" w:rsidRPr="00E93847" w:rsidRDefault="00E93847" w:rsidP="00E93847">
      <w:pPr>
        <w:spacing w:before="0" w:after="0"/>
        <w:rPr>
          <w:lang w:val="en-US"/>
        </w:rPr>
      </w:pPr>
    </w:p>
    <w:p w:rsidR="00E93847" w:rsidRPr="00E93847" w:rsidRDefault="00E93847" w:rsidP="00E93847">
      <w:pPr>
        <w:spacing w:before="0" w:after="0"/>
        <w:rPr>
          <w:lang w:val="en-US"/>
        </w:rPr>
      </w:pPr>
      <w:r w:rsidRPr="00E93847">
        <w:rPr>
          <w:lang w:val="en-US"/>
        </w:rPr>
        <w:t>Examples of fraud include:</w:t>
      </w:r>
    </w:p>
    <w:p w:rsidR="00E93847" w:rsidRPr="00E93847" w:rsidRDefault="00E93847" w:rsidP="00A82AAB">
      <w:pPr>
        <w:pStyle w:val="ListParagraph"/>
        <w:numPr>
          <w:ilvl w:val="0"/>
          <w:numId w:val="93"/>
        </w:numPr>
        <w:spacing w:before="0" w:after="0"/>
        <w:rPr>
          <w:lang w:val="en-US"/>
        </w:rPr>
      </w:pPr>
      <w:r w:rsidRPr="00E93847">
        <w:rPr>
          <w:lang w:val="en-US"/>
        </w:rPr>
        <w:t xml:space="preserve">Misappropriation of funds </w:t>
      </w:r>
    </w:p>
    <w:p w:rsidR="00E93847" w:rsidRPr="00E93847" w:rsidRDefault="00E93847" w:rsidP="00A82AAB">
      <w:pPr>
        <w:pStyle w:val="ListParagraph"/>
        <w:numPr>
          <w:ilvl w:val="0"/>
          <w:numId w:val="93"/>
        </w:numPr>
        <w:spacing w:before="0" w:after="0"/>
        <w:rPr>
          <w:lang w:val="en-US"/>
        </w:rPr>
      </w:pPr>
      <w:r w:rsidRPr="00E93847">
        <w:rPr>
          <w:lang w:val="en-US"/>
        </w:rPr>
        <w:t xml:space="preserve">Altering documents </w:t>
      </w:r>
    </w:p>
    <w:p w:rsidR="00E93847" w:rsidRPr="00E93847" w:rsidRDefault="00E93847" w:rsidP="00A82AAB">
      <w:pPr>
        <w:pStyle w:val="ListParagraph"/>
        <w:numPr>
          <w:ilvl w:val="0"/>
          <w:numId w:val="93"/>
        </w:numPr>
        <w:spacing w:before="0" w:after="0"/>
        <w:rPr>
          <w:lang w:val="en-US"/>
        </w:rPr>
      </w:pPr>
      <w:r w:rsidRPr="00E93847">
        <w:rPr>
          <w:lang w:val="en-US"/>
        </w:rPr>
        <w:t xml:space="preserve">Falsifying signatures </w:t>
      </w:r>
    </w:p>
    <w:p w:rsidR="00E93847" w:rsidRPr="00E93847" w:rsidRDefault="00E93847" w:rsidP="00A82AAB">
      <w:pPr>
        <w:pStyle w:val="ListParagraph"/>
        <w:numPr>
          <w:ilvl w:val="0"/>
          <w:numId w:val="93"/>
        </w:numPr>
        <w:spacing w:before="0" w:after="0"/>
        <w:rPr>
          <w:lang w:val="en-US"/>
        </w:rPr>
      </w:pPr>
      <w:r w:rsidRPr="00E93847">
        <w:rPr>
          <w:lang w:val="en-US"/>
        </w:rPr>
        <w:t xml:space="preserve">Misuse of Commonwealth assets </w:t>
      </w:r>
    </w:p>
    <w:p w:rsidR="00E93847" w:rsidRPr="00E93847" w:rsidRDefault="00E93847" w:rsidP="00A82AAB">
      <w:pPr>
        <w:pStyle w:val="ListParagraph"/>
        <w:numPr>
          <w:ilvl w:val="0"/>
          <w:numId w:val="93"/>
        </w:numPr>
        <w:spacing w:before="0" w:after="0"/>
        <w:rPr>
          <w:lang w:val="en-US"/>
        </w:rPr>
      </w:pPr>
      <w:r w:rsidRPr="00E93847">
        <w:rPr>
          <w:lang w:val="en-US"/>
        </w:rPr>
        <w:t xml:space="preserve">Providing false information to the Commonwealth </w:t>
      </w:r>
    </w:p>
    <w:p w:rsidR="00E93847" w:rsidRPr="00E93847" w:rsidRDefault="00E93847" w:rsidP="00A82AAB">
      <w:pPr>
        <w:pStyle w:val="ListParagraph"/>
        <w:numPr>
          <w:ilvl w:val="0"/>
          <w:numId w:val="93"/>
        </w:numPr>
        <w:spacing w:before="0" w:after="0"/>
        <w:rPr>
          <w:lang w:val="en-US"/>
        </w:rPr>
      </w:pPr>
      <w:r w:rsidRPr="00E93847">
        <w:rPr>
          <w:lang w:val="en-US"/>
        </w:rPr>
        <w:t xml:space="preserve">Unauthorised disclosure of confidential information </w:t>
      </w:r>
    </w:p>
    <w:p w:rsidR="00E93847" w:rsidRPr="00E93847" w:rsidRDefault="00E93847" w:rsidP="00A82AAB">
      <w:pPr>
        <w:pStyle w:val="ListParagraph"/>
        <w:numPr>
          <w:ilvl w:val="0"/>
          <w:numId w:val="93"/>
        </w:numPr>
        <w:spacing w:before="0" w:after="0"/>
        <w:rPr>
          <w:lang w:val="en-US"/>
        </w:rPr>
      </w:pPr>
      <w:r w:rsidRPr="00E93847">
        <w:rPr>
          <w:lang w:val="en-US"/>
        </w:rPr>
        <w:t>Theft of aid program funds or assets.</w:t>
      </w:r>
    </w:p>
    <w:p w:rsidR="00E93847" w:rsidRDefault="00E93847" w:rsidP="00E93847">
      <w:pPr>
        <w:spacing w:before="0" w:after="0"/>
        <w:rPr>
          <w:lang w:val="en-US"/>
        </w:rPr>
      </w:pPr>
    </w:p>
    <w:p w:rsidR="0058311F" w:rsidRDefault="00E93847" w:rsidP="00E93847">
      <w:pPr>
        <w:spacing w:before="0" w:after="0"/>
        <w:rPr>
          <w:lang w:val="en-US"/>
        </w:rPr>
      </w:pPr>
      <w:r>
        <w:rPr>
          <w:lang w:val="en-US"/>
        </w:rPr>
        <w:t>The DFAT fraud policy statement can be found on the DFAT-AID website.</w:t>
      </w:r>
      <w:r>
        <w:rPr>
          <w:rStyle w:val="FootnoteReference"/>
          <w:lang w:val="en-US"/>
        </w:rPr>
        <w:footnoteReference w:id="13"/>
      </w:r>
      <w:r>
        <w:rPr>
          <w:lang w:val="en-US"/>
        </w:rPr>
        <w:t xml:space="preserve">  </w:t>
      </w:r>
    </w:p>
    <w:p w:rsidR="00E93847" w:rsidRDefault="00E93847" w:rsidP="00E93847">
      <w:pPr>
        <w:spacing w:before="0" w:after="0"/>
        <w:rPr>
          <w:lang w:val="en-US"/>
        </w:rPr>
      </w:pPr>
    </w:p>
    <w:p w:rsidR="00E93847" w:rsidRDefault="00E444DC" w:rsidP="00E93847">
      <w:pPr>
        <w:spacing w:before="0" w:after="0"/>
        <w:rPr>
          <w:lang w:val="en-US"/>
        </w:rPr>
      </w:pPr>
      <w:r>
        <w:rPr>
          <w:lang w:val="en-US"/>
        </w:rPr>
        <w:t xml:space="preserve">It is noted that </w:t>
      </w:r>
      <w:r w:rsidR="00E93847">
        <w:rPr>
          <w:lang w:val="en-US"/>
        </w:rPr>
        <w:t xml:space="preserve">Phase III had no confirmed cases of fraud and the MC in </w:t>
      </w:r>
      <w:r w:rsidR="002B7876" w:rsidRPr="002B7876">
        <w:rPr>
          <w:lang w:val="en-GB"/>
        </w:rPr>
        <w:t xml:space="preserve">IF (IV) </w:t>
      </w:r>
      <w:r w:rsidR="00E93847">
        <w:rPr>
          <w:lang w:val="en-US"/>
        </w:rPr>
        <w:t>is expected to operate rigid fraud management procedures</w:t>
      </w:r>
      <w:r>
        <w:rPr>
          <w:lang w:val="en-US"/>
        </w:rPr>
        <w:t xml:space="preserve"> to maintain this zero fraud status</w:t>
      </w:r>
      <w:r w:rsidR="00E93847">
        <w:rPr>
          <w:lang w:val="en-US"/>
        </w:rPr>
        <w:t>. This e</w:t>
      </w:r>
      <w:r w:rsidR="00E93847" w:rsidRPr="00E93847">
        <w:rPr>
          <w:lang w:val="en-US"/>
        </w:rPr>
        <w:t xml:space="preserve">mphasises the requirement to only support good performing partners and good development concepts and not to compromise the high IF (IV) process </w:t>
      </w:r>
      <w:r w:rsidR="00E93847">
        <w:rPr>
          <w:lang w:val="en-US"/>
        </w:rPr>
        <w:t xml:space="preserve">and delivery </w:t>
      </w:r>
      <w:r w:rsidR="00E93847" w:rsidRPr="00E93847">
        <w:rPr>
          <w:lang w:val="en-US"/>
        </w:rPr>
        <w:t>standards</w:t>
      </w:r>
      <w:r w:rsidR="00F24E64">
        <w:rPr>
          <w:lang w:val="en-US"/>
        </w:rPr>
        <w:t>.</w:t>
      </w:r>
    </w:p>
    <w:p w:rsidR="00F24E64" w:rsidRPr="00571F0B" w:rsidRDefault="00F24E64" w:rsidP="00E93847">
      <w:pPr>
        <w:spacing w:before="0" w:after="0"/>
        <w:rPr>
          <w:lang w:val="en-GB"/>
        </w:rPr>
      </w:pPr>
    </w:p>
    <w:p w:rsidR="0058311F" w:rsidRPr="00571F0B" w:rsidRDefault="0058311F" w:rsidP="00BE7C9E">
      <w:pPr>
        <w:pStyle w:val="Heading2"/>
        <w:rPr>
          <w:lang w:val="en-GB"/>
        </w:rPr>
      </w:pPr>
      <w:bookmarkStart w:id="53" w:name="_Toc403037585"/>
      <w:r w:rsidRPr="00571F0B">
        <w:rPr>
          <w:lang w:val="en-GB"/>
        </w:rPr>
        <w:t>Feasibility</w:t>
      </w:r>
      <w:bookmarkEnd w:id="53"/>
    </w:p>
    <w:p w:rsidR="008C5D18" w:rsidRPr="00571F0B" w:rsidRDefault="008C5D18" w:rsidP="00BE7C9E">
      <w:pPr>
        <w:pStyle w:val="Heading3"/>
        <w:rPr>
          <w:lang w:val="en-GB"/>
        </w:rPr>
      </w:pPr>
      <w:r w:rsidRPr="00571F0B">
        <w:rPr>
          <w:lang w:val="en-GB"/>
        </w:rPr>
        <w:t>Program feasibility</w:t>
      </w:r>
    </w:p>
    <w:p w:rsidR="001C5F6D" w:rsidRPr="00571F0B" w:rsidRDefault="001C5F6D" w:rsidP="00277117">
      <w:pPr>
        <w:spacing w:before="0" w:after="0"/>
        <w:rPr>
          <w:lang w:val="en-GB"/>
        </w:rPr>
      </w:pPr>
      <w:r w:rsidRPr="00571F0B">
        <w:rPr>
          <w:lang w:val="en-GB"/>
        </w:rPr>
        <w:t xml:space="preserve">Based upon 14 successful years of implementation the overall feasibility of IF </w:t>
      </w:r>
      <w:r w:rsidR="00277117">
        <w:rPr>
          <w:lang w:val="en-GB"/>
        </w:rPr>
        <w:t>(IV) is ranked at a high level.</w:t>
      </w:r>
    </w:p>
    <w:p w:rsidR="002873A2" w:rsidRPr="00277117" w:rsidRDefault="002873A2" w:rsidP="00277117">
      <w:pPr>
        <w:spacing w:before="0" w:after="0"/>
        <w:rPr>
          <w:sz w:val="16"/>
          <w:szCs w:val="16"/>
          <w:lang w:val="en-GB"/>
        </w:rPr>
      </w:pPr>
    </w:p>
    <w:p w:rsidR="001C5F6D" w:rsidRPr="00571F0B" w:rsidRDefault="00E35DC8" w:rsidP="00277117">
      <w:pPr>
        <w:spacing w:before="0" w:after="0"/>
        <w:rPr>
          <w:lang w:val="en-GB"/>
        </w:rPr>
      </w:pPr>
      <w:r w:rsidRPr="00571F0B">
        <w:rPr>
          <w:lang w:val="en-GB"/>
        </w:rPr>
        <w:lastRenderedPageBreak/>
        <w:t>In regard to the design feasibility, t</w:t>
      </w:r>
      <w:r w:rsidR="001C5F6D" w:rsidRPr="00571F0B">
        <w:rPr>
          <w:lang w:val="en-GB"/>
        </w:rPr>
        <w:t xml:space="preserve">his design is adhering to the principles that underpinned all previous phases </w:t>
      </w:r>
      <w:r w:rsidR="002873A2" w:rsidRPr="00571F0B">
        <w:rPr>
          <w:lang w:val="en-GB"/>
        </w:rPr>
        <w:t xml:space="preserve">and is ensuring </w:t>
      </w:r>
      <w:r w:rsidR="001C5F6D" w:rsidRPr="00571F0B">
        <w:rPr>
          <w:lang w:val="en-GB"/>
        </w:rPr>
        <w:t>that IF</w:t>
      </w:r>
      <w:r w:rsidR="002873A2" w:rsidRPr="00571F0B">
        <w:rPr>
          <w:lang w:val="en-GB"/>
        </w:rPr>
        <w:t xml:space="preserve"> </w:t>
      </w:r>
      <w:r w:rsidR="001C5F6D" w:rsidRPr="00571F0B">
        <w:rPr>
          <w:lang w:val="en-GB"/>
        </w:rPr>
        <w:t xml:space="preserve">(IV) implementation </w:t>
      </w:r>
      <w:r w:rsidR="002873A2" w:rsidRPr="00571F0B">
        <w:rPr>
          <w:lang w:val="en-GB"/>
        </w:rPr>
        <w:t>is</w:t>
      </w:r>
      <w:r w:rsidR="001C5F6D" w:rsidRPr="00571F0B">
        <w:rPr>
          <w:lang w:val="en-GB"/>
        </w:rPr>
        <w:t xml:space="preserve"> based upon the Information </w:t>
      </w:r>
      <w:r w:rsidR="0056370E" w:rsidRPr="00571F0B">
        <w:rPr>
          <w:lang w:val="en-GB"/>
        </w:rPr>
        <w:t>Book</w:t>
      </w:r>
      <w:r w:rsidR="001C5F6D" w:rsidRPr="00571F0B">
        <w:rPr>
          <w:lang w:val="en-GB"/>
        </w:rPr>
        <w:t xml:space="preserve"> process, procedures and forms that evolved from Phase I and II </w:t>
      </w:r>
      <w:r w:rsidR="002873A2" w:rsidRPr="00571F0B">
        <w:rPr>
          <w:lang w:val="en-GB"/>
        </w:rPr>
        <w:t xml:space="preserve">and </w:t>
      </w:r>
      <w:r w:rsidR="001C5F6D" w:rsidRPr="00571F0B">
        <w:rPr>
          <w:lang w:val="en-GB"/>
        </w:rPr>
        <w:t>through the Phase III design</w:t>
      </w:r>
      <w:r w:rsidR="002873A2" w:rsidRPr="00571F0B">
        <w:rPr>
          <w:lang w:val="en-GB"/>
        </w:rPr>
        <w:t>,</w:t>
      </w:r>
      <w:r w:rsidR="001C5F6D" w:rsidRPr="00571F0B">
        <w:rPr>
          <w:lang w:val="en-GB"/>
        </w:rPr>
        <w:t xml:space="preserve"> and served Phase III well.</w:t>
      </w:r>
    </w:p>
    <w:p w:rsidR="002873A2" w:rsidRPr="00277117" w:rsidRDefault="002873A2" w:rsidP="00277117">
      <w:pPr>
        <w:spacing w:before="0" w:after="0"/>
        <w:rPr>
          <w:sz w:val="16"/>
          <w:szCs w:val="16"/>
          <w:lang w:val="en-GB"/>
        </w:rPr>
      </w:pPr>
    </w:p>
    <w:p w:rsidR="001C5F6D" w:rsidRPr="00571F0B" w:rsidRDefault="001C5F6D" w:rsidP="00277117">
      <w:pPr>
        <w:spacing w:before="0" w:after="0"/>
        <w:rPr>
          <w:lang w:val="en-GB"/>
        </w:rPr>
      </w:pPr>
      <w:r w:rsidRPr="00571F0B">
        <w:rPr>
          <w:lang w:val="en-GB"/>
        </w:rPr>
        <w:t xml:space="preserve">Introduced refinements include: </w:t>
      </w:r>
      <w:r w:rsidR="00350A70" w:rsidRPr="00350A70">
        <w:rPr>
          <w:lang w:val="en-GB"/>
        </w:rPr>
        <w:t xml:space="preserve">local political economy and operating context </w:t>
      </w:r>
      <w:r w:rsidRPr="00571F0B">
        <w:rPr>
          <w:lang w:val="en-GB"/>
        </w:rPr>
        <w:t xml:space="preserve">assessments; conducting economic analysis of any private sector business plans; </w:t>
      </w:r>
      <w:r w:rsidR="001B7FD0">
        <w:rPr>
          <w:lang w:val="en-GB"/>
        </w:rPr>
        <w:t xml:space="preserve">introducing appropriate due diligence assessments for private sector companies; </w:t>
      </w:r>
      <w:r w:rsidRPr="00571F0B">
        <w:rPr>
          <w:lang w:val="en-GB"/>
        </w:rPr>
        <w:t>introducing a grievance mechanism; and sep</w:t>
      </w:r>
      <w:r w:rsidR="00E35DC8" w:rsidRPr="00571F0B">
        <w:rPr>
          <w:lang w:val="en-GB"/>
        </w:rPr>
        <w:t>a</w:t>
      </w:r>
      <w:r w:rsidRPr="00571F0B">
        <w:rPr>
          <w:lang w:val="en-GB"/>
        </w:rPr>
        <w:t xml:space="preserve">rating the application process into five stages to allow specific analysis of new and effective partners, anticipating private sector partners may (initially) take longer to assess. These refinements </w:t>
      </w:r>
      <w:r w:rsidR="00E35DC8" w:rsidRPr="00571F0B">
        <w:rPr>
          <w:lang w:val="en-GB"/>
        </w:rPr>
        <w:t xml:space="preserve">should improve </w:t>
      </w:r>
      <w:r w:rsidRPr="00571F0B">
        <w:rPr>
          <w:lang w:val="en-GB"/>
        </w:rPr>
        <w:t xml:space="preserve">risk </w:t>
      </w:r>
      <w:r w:rsidR="00E35DC8" w:rsidRPr="00571F0B">
        <w:rPr>
          <w:lang w:val="en-GB"/>
        </w:rPr>
        <w:t xml:space="preserve">mitigation further and </w:t>
      </w:r>
      <w:r w:rsidRPr="00571F0B">
        <w:rPr>
          <w:lang w:val="en-GB"/>
        </w:rPr>
        <w:t>enhance feasibility.</w:t>
      </w:r>
    </w:p>
    <w:p w:rsidR="0056370E" w:rsidRPr="00571F0B" w:rsidRDefault="0056370E" w:rsidP="00277117">
      <w:pPr>
        <w:spacing w:before="0" w:after="0"/>
        <w:rPr>
          <w:lang w:val="en-GB"/>
        </w:rPr>
      </w:pPr>
    </w:p>
    <w:p w:rsidR="002873A2" w:rsidRPr="00571F0B" w:rsidRDefault="002873A2" w:rsidP="00BE7C9E">
      <w:pPr>
        <w:pStyle w:val="Heading3"/>
        <w:rPr>
          <w:lang w:val="en-GB"/>
        </w:rPr>
      </w:pPr>
      <w:r w:rsidRPr="00571F0B">
        <w:rPr>
          <w:lang w:val="en-GB"/>
        </w:rPr>
        <w:t>Project feasibility,</w:t>
      </w:r>
    </w:p>
    <w:p w:rsidR="008C5D18" w:rsidRPr="00571F0B" w:rsidRDefault="002873A2" w:rsidP="00277117">
      <w:pPr>
        <w:spacing w:before="0" w:after="0"/>
        <w:rPr>
          <w:lang w:val="en-GB"/>
        </w:rPr>
      </w:pPr>
      <w:r w:rsidRPr="00571F0B">
        <w:rPr>
          <w:lang w:val="en-GB"/>
        </w:rPr>
        <w:t>S</w:t>
      </w:r>
      <w:r w:rsidR="00E35DC8" w:rsidRPr="00571F0B">
        <w:rPr>
          <w:lang w:val="en-GB"/>
        </w:rPr>
        <w:t xml:space="preserve">uccessful implementation </w:t>
      </w:r>
      <w:r w:rsidR="001C5F6D" w:rsidRPr="00571F0B">
        <w:rPr>
          <w:lang w:val="en-GB"/>
        </w:rPr>
        <w:t xml:space="preserve">will depend </w:t>
      </w:r>
      <w:r w:rsidR="00E35DC8" w:rsidRPr="00571F0B">
        <w:rPr>
          <w:lang w:val="en-GB"/>
        </w:rPr>
        <w:t>up</w:t>
      </w:r>
      <w:r w:rsidR="001C5F6D" w:rsidRPr="00571F0B">
        <w:rPr>
          <w:lang w:val="en-GB"/>
        </w:rPr>
        <w:t xml:space="preserve">on the capacity of the organisations and the technical feasibility of the proposed projects. The overall assessment of feasibility is therefore dependent </w:t>
      </w:r>
      <w:r w:rsidR="00E35DC8" w:rsidRPr="00571F0B">
        <w:rPr>
          <w:lang w:val="en-GB"/>
        </w:rPr>
        <w:t xml:space="preserve">upon a sensible and deliverable </w:t>
      </w:r>
      <w:r w:rsidRPr="00571F0B">
        <w:rPr>
          <w:lang w:val="en-GB"/>
        </w:rPr>
        <w:t>opportunity</w:t>
      </w:r>
      <w:r w:rsidR="00E35DC8" w:rsidRPr="00571F0B">
        <w:rPr>
          <w:lang w:val="en-GB"/>
        </w:rPr>
        <w:t xml:space="preserve"> being accurately assessed through the CP (Stages 1 and 2) and organisations being properly assessed as being effective and capable of delivering the CP (Stage </w:t>
      </w:r>
      <w:r w:rsidR="00DA3C5A">
        <w:rPr>
          <w:lang w:val="en-GB"/>
        </w:rPr>
        <w:t>3</w:t>
      </w:r>
      <w:r w:rsidR="00E35DC8" w:rsidRPr="00571F0B">
        <w:rPr>
          <w:lang w:val="en-GB"/>
        </w:rPr>
        <w:t xml:space="preserve">). </w:t>
      </w:r>
      <w:r w:rsidR="001C5F6D" w:rsidRPr="00571F0B">
        <w:rPr>
          <w:lang w:val="en-GB"/>
        </w:rPr>
        <w:t xml:space="preserve">If the appraisal and screening process is rigidly adhered to, </w:t>
      </w:r>
      <w:r w:rsidR="00E35DC8" w:rsidRPr="00571F0B">
        <w:rPr>
          <w:lang w:val="en-GB"/>
        </w:rPr>
        <w:t xml:space="preserve">then </w:t>
      </w:r>
      <w:r w:rsidR="001C5F6D" w:rsidRPr="00571F0B">
        <w:rPr>
          <w:lang w:val="en-GB"/>
        </w:rPr>
        <w:t xml:space="preserve">there </w:t>
      </w:r>
      <w:r w:rsidRPr="00571F0B">
        <w:rPr>
          <w:lang w:val="en-GB"/>
        </w:rPr>
        <w:t xml:space="preserve">is </w:t>
      </w:r>
      <w:r w:rsidR="0056370E" w:rsidRPr="00571F0B">
        <w:rPr>
          <w:lang w:val="en-GB"/>
        </w:rPr>
        <w:t>less</w:t>
      </w:r>
      <w:r w:rsidR="001C5F6D" w:rsidRPr="00571F0B">
        <w:rPr>
          <w:lang w:val="en-GB"/>
        </w:rPr>
        <w:t xml:space="preserve"> possibility that projects will not </w:t>
      </w:r>
      <w:r w:rsidR="00E35DC8" w:rsidRPr="00571F0B">
        <w:rPr>
          <w:lang w:val="en-GB"/>
        </w:rPr>
        <w:t xml:space="preserve">deliver relevant outputs that convert into the intermediate and end-of-project outcomes. Should </w:t>
      </w:r>
      <w:r w:rsidR="008C5D18" w:rsidRPr="00571F0B">
        <w:rPr>
          <w:lang w:val="en-GB"/>
        </w:rPr>
        <w:t xml:space="preserve">the screening mechanism be undermined there is a much higher probability that the project will not deliver outputs that convert into the required outcomes which undermines the </w:t>
      </w:r>
      <w:r w:rsidR="00E35DC8" w:rsidRPr="00571F0B">
        <w:rPr>
          <w:lang w:val="en-GB"/>
        </w:rPr>
        <w:t xml:space="preserve">achievement of the </w:t>
      </w:r>
      <w:r w:rsidR="008C5D18" w:rsidRPr="00571F0B">
        <w:rPr>
          <w:lang w:val="en-GB"/>
        </w:rPr>
        <w:t xml:space="preserve">end-of-program position, the </w:t>
      </w:r>
      <w:r w:rsidR="00E35DC8" w:rsidRPr="00571F0B">
        <w:rPr>
          <w:lang w:val="en-GB"/>
        </w:rPr>
        <w:t xml:space="preserve">purpose and </w:t>
      </w:r>
      <w:r w:rsidR="008C5D18" w:rsidRPr="00571F0B">
        <w:rPr>
          <w:lang w:val="en-GB"/>
        </w:rPr>
        <w:t xml:space="preserve">the </w:t>
      </w:r>
      <w:r w:rsidR="00E35DC8" w:rsidRPr="00571F0B">
        <w:rPr>
          <w:lang w:val="en-GB"/>
        </w:rPr>
        <w:t>(post program) goal</w:t>
      </w:r>
      <w:r w:rsidR="008C5D18" w:rsidRPr="00571F0B">
        <w:rPr>
          <w:lang w:val="en-GB"/>
        </w:rPr>
        <w:t xml:space="preserve">. This </w:t>
      </w:r>
      <w:r w:rsidR="008C5D18" w:rsidRPr="00277117">
        <w:rPr>
          <w:lang w:val="en-GB"/>
        </w:rPr>
        <w:t>design put</w:t>
      </w:r>
      <w:r w:rsidR="00277117" w:rsidRPr="00277117">
        <w:rPr>
          <w:lang w:val="en-GB"/>
        </w:rPr>
        <w:t>s</w:t>
      </w:r>
      <w:r w:rsidR="008C5D18" w:rsidRPr="00277117">
        <w:rPr>
          <w:lang w:val="en-GB"/>
        </w:rPr>
        <w:t xml:space="preserve"> in </w:t>
      </w:r>
      <w:r w:rsidRPr="00277117">
        <w:rPr>
          <w:lang w:val="en-GB"/>
        </w:rPr>
        <w:t xml:space="preserve">place </w:t>
      </w:r>
      <w:r w:rsidR="008C5D18" w:rsidRPr="00277117">
        <w:rPr>
          <w:lang w:val="en-GB"/>
        </w:rPr>
        <w:t>safeguards</w:t>
      </w:r>
      <w:r w:rsidR="008C5D18" w:rsidRPr="00571F0B">
        <w:rPr>
          <w:lang w:val="en-GB"/>
        </w:rPr>
        <w:t xml:space="preserve"> and warnings to ensure undermining the scr</w:t>
      </w:r>
      <w:r w:rsidR="00277117">
        <w:rPr>
          <w:lang w:val="en-GB"/>
        </w:rPr>
        <w:t>eening process does not occur.</w:t>
      </w:r>
    </w:p>
    <w:p w:rsidR="008C5D18" w:rsidRPr="00571F0B" w:rsidRDefault="008C5D18" w:rsidP="001C5F6D">
      <w:pPr>
        <w:spacing w:before="0" w:after="0"/>
        <w:rPr>
          <w:lang w:val="en-GB"/>
        </w:rPr>
      </w:pPr>
    </w:p>
    <w:p w:rsidR="0058311F" w:rsidRPr="00571F0B" w:rsidRDefault="0058311F" w:rsidP="00BE7C9E">
      <w:pPr>
        <w:pStyle w:val="Heading2"/>
        <w:rPr>
          <w:lang w:val="en-GB"/>
        </w:rPr>
      </w:pPr>
      <w:bookmarkStart w:id="54" w:name="_Toc403037586"/>
      <w:r w:rsidRPr="00571F0B">
        <w:rPr>
          <w:lang w:val="en-GB"/>
        </w:rPr>
        <w:t>Sustainability</w:t>
      </w:r>
      <w:bookmarkEnd w:id="54"/>
    </w:p>
    <w:p w:rsidR="00E444DC" w:rsidRDefault="00E444DC" w:rsidP="008C5D18">
      <w:pPr>
        <w:spacing w:before="0" w:after="0"/>
        <w:rPr>
          <w:lang w:val="en-GB"/>
        </w:rPr>
      </w:pPr>
      <w:r>
        <w:rPr>
          <w:lang w:val="en-GB"/>
        </w:rPr>
        <w:t xml:space="preserve">Only activities that can demonstrate sustainability through the provision of all on-going operation and maintenance costs will be funded. </w:t>
      </w:r>
    </w:p>
    <w:p w:rsidR="00E444DC" w:rsidRDefault="00E444DC" w:rsidP="008C5D18">
      <w:pPr>
        <w:spacing w:before="0" w:after="0"/>
        <w:rPr>
          <w:lang w:val="en-GB"/>
        </w:rPr>
      </w:pPr>
    </w:p>
    <w:p w:rsidR="008C5D18" w:rsidRDefault="008C5D18" w:rsidP="008C5D18">
      <w:pPr>
        <w:spacing w:before="0" w:after="0"/>
        <w:rPr>
          <w:lang w:val="en-GB"/>
        </w:rPr>
      </w:pPr>
      <w:r w:rsidRPr="00571F0B">
        <w:rPr>
          <w:lang w:val="en-GB"/>
        </w:rPr>
        <w:t>The very nature of IF (IV), to reward and strengthen performing org</w:t>
      </w:r>
      <w:r w:rsidR="0056370E" w:rsidRPr="00571F0B">
        <w:rPr>
          <w:lang w:val="en-GB"/>
        </w:rPr>
        <w:t>ani</w:t>
      </w:r>
      <w:r w:rsidR="00277117">
        <w:rPr>
          <w:lang w:val="en-GB"/>
        </w:rPr>
        <w:t>s</w:t>
      </w:r>
      <w:r w:rsidR="0056370E" w:rsidRPr="00571F0B">
        <w:rPr>
          <w:lang w:val="en-GB"/>
        </w:rPr>
        <w:t>ations, together with the CP</w:t>
      </w:r>
      <w:r w:rsidRPr="00571F0B">
        <w:rPr>
          <w:lang w:val="en-GB"/>
        </w:rPr>
        <w:t xml:space="preserve"> and OA processes encourages the building of capacity within the organisations and medium to longer term sustainability. The whole assessment process looks at technical feasibility and also organisational capacity and IF (IV) can afford to be </w:t>
      </w:r>
      <w:r w:rsidR="002873A2" w:rsidRPr="00571F0B">
        <w:rPr>
          <w:lang w:val="en-GB"/>
        </w:rPr>
        <w:t>highly</w:t>
      </w:r>
      <w:r w:rsidRPr="00571F0B">
        <w:rPr>
          <w:lang w:val="en-GB"/>
        </w:rPr>
        <w:t xml:space="preserve"> selective and pedantic about selecting only those organisations that have already</w:t>
      </w:r>
      <w:r w:rsidR="002873A2" w:rsidRPr="00571F0B">
        <w:rPr>
          <w:lang w:val="en-GB"/>
        </w:rPr>
        <w:t>,</w:t>
      </w:r>
      <w:r w:rsidRPr="00571F0B">
        <w:rPr>
          <w:lang w:val="en-GB"/>
        </w:rPr>
        <w:t xml:space="preserve"> by themselves</w:t>
      </w:r>
      <w:r w:rsidR="002873A2" w:rsidRPr="00571F0B">
        <w:rPr>
          <w:lang w:val="en-GB"/>
        </w:rPr>
        <w:t>,</w:t>
      </w:r>
      <w:r w:rsidRPr="00571F0B">
        <w:rPr>
          <w:lang w:val="en-GB"/>
        </w:rPr>
        <w:t xml:space="preserve"> achieved elements of sustainability in a large measure and demonstrated effectiveness.</w:t>
      </w:r>
    </w:p>
    <w:p w:rsidR="00277117" w:rsidRPr="00277117" w:rsidRDefault="00277117" w:rsidP="008C5D18">
      <w:pPr>
        <w:spacing w:before="0" w:after="0"/>
        <w:rPr>
          <w:sz w:val="16"/>
          <w:szCs w:val="16"/>
          <w:lang w:val="en-GB"/>
        </w:rPr>
      </w:pPr>
    </w:p>
    <w:p w:rsidR="00B02379" w:rsidRDefault="008C5D18" w:rsidP="00B02379">
      <w:pPr>
        <w:spacing w:before="0" w:after="0"/>
        <w:rPr>
          <w:lang w:val="en-GB"/>
        </w:rPr>
      </w:pPr>
      <w:r w:rsidRPr="00571F0B">
        <w:rPr>
          <w:lang w:val="en-GB"/>
        </w:rPr>
        <w:t xml:space="preserve">An assessment improvement </w:t>
      </w:r>
      <w:r w:rsidR="00B02379" w:rsidRPr="00571F0B">
        <w:rPr>
          <w:lang w:val="en-GB"/>
        </w:rPr>
        <w:t xml:space="preserve">that </w:t>
      </w:r>
      <w:r w:rsidRPr="00571F0B">
        <w:rPr>
          <w:lang w:val="en-GB"/>
        </w:rPr>
        <w:t xml:space="preserve">successfully delivered Phase III was </w:t>
      </w:r>
      <w:r w:rsidR="002873A2" w:rsidRPr="00571F0B">
        <w:rPr>
          <w:lang w:val="en-GB"/>
        </w:rPr>
        <w:t xml:space="preserve">greater </w:t>
      </w:r>
      <w:r w:rsidRPr="00571F0B">
        <w:rPr>
          <w:lang w:val="en-GB"/>
        </w:rPr>
        <w:t xml:space="preserve">detailed scrutiny </w:t>
      </w:r>
      <w:r w:rsidR="00B02379" w:rsidRPr="00571F0B">
        <w:rPr>
          <w:lang w:val="en-GB"/>
        </w:rPr>
        <w:t>of</w:t>
      </w:r>
      <w:r w:rsidRPr="00571F0B">
        <w:rPr>
          <w:lang w:val="en-GB"/>
        </w:rPr>
        <w:t xml:space="preserve"> CP</w:t>
      </w:r>
      <w:r w:rsidR="00B02379" w:rsidRPr="00571F0B">
        <w:rPr>
          <w:lang w:val="en-GB"/>
        </w:rPr>
        <w:t>s</w:t>
      </w:r>
      <w:r w:rsidRPr="00571F0B">
        <w:rPr>
          <w:lang w:val="en-GB"/>
        </w:rPr>
        <w:t xml:space="preserve"> </w:t>
      </w:r>
      <w:r w:rsidR="00B02379" w:rsidRPr="00571F0B">
        <w:rPr>
          <w:lang w:val="en-GB"/>
        </w:rPr>
        <w:t>by the SMG (S</w:t>
      </w:r>
      <w:r w:rsidRPr="00571F0B">
        <w:rPr>
          <w:lang w:val="en-GB"/>
        </w:rPr>
        <w:t>tage</w:t>
      </w:r>
      <w:r w:rsidR="00277117">
        <w:rPr>
          <w:lang w:val="en-GB"/>
        </w:rPr>
        <w:t xml:space="preserve"> 1</w:t>
      </w:r>
      <w:r w:rsidR="00B02379" w:rsidRPr="00571F0B">
        <w:rPr>
          <w:lang w:val="en-GB"/>
        </w:rPr>
        <w:t xml:space="preserve"> and 2). This detailed what is intended to happen </w:t>
      </w:r>
      <w:r w:rsidRPr="00571F0B">
        <w:rPr>
          <w:lang w:val="en-GB"/>
        </w:rPr>
        <w:t xml:space="preserve">after the project outputs are delivered and the project is physically completed. </w:t>
      </w:r>
      <w:r w:rsidR="00B02379" w:rsidRPr="00571F0B">
        <w:rPr>
          <w:lang w:val="en-GB"/>
        </w:rPr>
        <w:t xml:space="preserve">This </w:t>
      </w:r>
      <w:r w:rsidR="002B7876" w:rsidRPr="002B7876">
        <w:rPr>
          <w:lang w:val="en-GB"/>
        </w:rPr>
        <w:t xml:space="preserve">IF (IV) </w:t>
      </w:r>
      <w:r w:rsidR="00B02379" w:rsidRPr="00571F0B">
        <w:rPr>
          <w:lang w:val="en-GB"/>
        </w:rPr>
        <w:t xml:space="preserve">design </w:t>
      </w:r>
      <w:r w:rsidR="0056370E" w:rsidRPr="00571F0B">
        <w:rPr>
          <w:lang w:val="en-GB"/>
        </w:rPr>
        <w:t>goes</w:t>
      </w:r>
      <w:r w:rsidR="002873A2" w:rsidRPr="00571F0B">
        <w:rPr>
          <w:lang w:val="en-GB"/>
        </w:rPr>
        <w:t xml:space="preserve"> further</w:t>
      </w:r>
      <w:r w:rsidR="00B02379" w:rsidRPr="00571F0B">
        <w:rPr>
          <w:lang w:val="en-GB"/>
        </w:rPr>
        <w:t xml:space="preserve"> </w:t>
      </w:r>
      <w:r w:rsidR="002873A2" w:rsidRPr="00571F0B">
        <w:rPr>
          <w:lang w:val="en-GB"/>
        </w:rPr>
        <w:t xml:space="preserve">by introducing </w:t>
      </w:r>
      <w:r w:rsidR="00B02379" w:rsidRPr="00571F0B">
        <w:rPr>
          <w:lang w:val="en-GB"/>
        </w:rPr>
        <w:t xml:space="preserve">a Phase I-III evaluation to determine the extent to which infrastructure or support </w:t>
      </w:r>
      <w:r w:rsidR="0056370E" w:rsidRPr="00571F0B">
        <w:rPr>
          <w:lang w:val="en-GB"/>
        </w:rPr>
        <w:t>wa</w:t>
      </w:r>
      <w:r w:rsidR="00B02379" w:rsidRPr="00571F0B">
        <w:rPr>
          <w:lang w:val="en-GB"/>
        </w:rPr>
        <w:t>s of sufficient quality, fit-for-purpose and will continue to be operated and maintained post investment and post pro</w:t>
      </w:r>
      <w:r w:rsidR="00277117">
        <w:rPr>
          <w:lang w:val="en-GB"/>
        </w:rPr>
        <w:t>gram. Lessons will be employed.</w:t>
      </w:r>
    </w:p>
    <w:p w:rsidR="00277117" w:rsidRPr="00277117" w:rsidRDefault="00277117" w:rsidP="00B02379">
      <w:pPr>
        <w:spacing w:before="0" w:after="0"/>
        <w:rPr>
          <w:sz w:val="16"/>
          <w:szCs w:val="16"/>
          <w:lang w:val="en-GB"/>
        </w:rPr>
      </w:pPr>
    </w:p>
    <w:p w:rsidR="002873A2" w:rsidRPr="00571F0B" w:rsidRDefault="002B7876" w:rsidP="00B02379">
      <w:pPr>
        <w:spacing w:before="0" w:after="0"/>
        <w:rPr>
          <w:lang w:val="en-GB"/>
        </w:rPr>
      </w:pPr>
      <w:r w:rsidRPr="002B7876">
        <w:rPr>
          <w:lang w:val="en-GB"/>
        </w:rPr>
        <w:t xml:space="preserve">IF (IV) </w:t>
      </w:r>
      <w:r w:rsidR="002873A2" w:rsidRPr="00571F0B">
        <w:rPr>
          <w:lang w:val="en-GB"/>
        </w:rPr>
        <w:t xml:space="preserve">is also introducing more comprehensive </w:t>
      </w:r>
      <w:r w:rsidR="00350A70" w:rsidRPr="00350A70">
        <w:rPr>
          <w:lang w:val="en-GB"/>
        </w:rPr>
        <w:t xml:space="preserve">local political economy and operating context </w:t>
      </w:r>
      <w:r w:rsidR="002873A2" w:rsidRPr="00571F0B">
        <w:rPr>
          <w:lang w:val="en-GB"/>
        </w:rPr>
        <w:t xml:space="preserve">assessments to ensure local context and </w:t>
      </w:r>
      <w:r w:rsidR="0056370E" w:rsidRPr="00571F0B">
        <w:rPr>
          <w:lang w:val="en-GB"/>
        </w:rPr>
        <w:t xml:space="preserve">that </w:t>
      </w:r>
      <w:r w:rsidR="002873A2" w:rsidRPr="00571F0B">
        <w:rPr>
          <w:lang w:val="en-GB"/>
        </w:rPr>
        <w:t>the political economy is better understood</w:t>
      </w:r>
      <w:r w:rsidR="00DA45A1">
        <w:rPr>
          <w:lang w:val="en-GB"/>
        </w:rPr>
        <w:t>, refer to section 2.5.5</w:t>
      </w:r>
      <w:r w:rsidR="0056370E" w:rsidRPr="00571F0B">
        <w:rPr>
          <w:lang w:val="en-GB"/>
        </w:rPr>
        <w:t xml:space="preserve">. </w:t>
      </w:r>
      <w:r w:rsidR="00DA45A1">
        <w:rPr>
          <w:lang w:val="en-GB"/>
        </w:rPr>
        <w:t xml:space="preserve">The </w:t>
      </w:r>
      <w:r w:rsidR="0056370E" w:rsidRPr="00571F0B">
        <w:rPr>
          <w:lang w:val="en-GB"/>
        </w:rPr>
        <w:t xml:space="preserve">IF (IV) </w:t>
      </w:r>
      <w:r w:rsidR="00DA45A1">
        <w:rPr>
          <w:lang w:val="en-GB"/>
        </w:rPr>
        <w:t xml:space="preserve">design is </w:t>
      </w:r>
      <w:r w:rsidR="0056370E" w:rsidRPr="00571F0B">
        <w:rPr>
          <w:lang w:val="en-GB"/>
        </w:rPr>
        <w:t>insist</w:t>
      </w:r>
      <w:r w:rsidR="00DA45A1">
        <w:rPr>
          <w:lang w:val="en-GB"/>
        </w:rPr>
        <w:t xml:space="preserve">ing that </w:t>
      </w:r>
      <w:r w:rsidR="0056370E" w:rsidRPr="00571F0B">
        <w:rPr>
          <w:lang w:val="en-GB"/>
        </w:rPr>
        <w:t xml:space="preserve">a </w:t>
      </w:r>
      <w:r w:rsidR="00DA45A1">
        <w:rPr>
          <w:lang w:val="en-GB"/>
        </w:rPr>
        <w:t xml:space="preserve">qualified </w:t>
      </w:r>
      <w:r w:rsidR="002873A2" w:rsidRPr="00571F0B">
        <w:rPr>
          <w:lang w:val="en-GB"/>
        </w:rPr>
        <w:t xml:space="preserve">Team Leader </w:t>
      </w:r>
      <w:r w:rsidR="00DA45A1">
        <w:rPr>
          <w:lang w:val="en-GB"/>
        </w:rPr>
        <w:t xml:space="preserve">is </w:t>
      </w:r>
      <w:r w:rsidR="0056370E" w:rsidRPr="00571F0B">
        <w:rPr>
          <w:lang w:val="en-GB"/>
        </w:rPr>
        <w:t xml:space="preserve">engaged who </w:t>
      </w:r>
      <w:r w:rsidR="002873A2" w:rsidRPr="00571F0B">
        <w:rPr>
          <w:lang w:val="en-GB"/>
        </w:rPr>
        <w:t>can understand</w:t>
      </w:r>
      <w:r w:rsidR="0056370E" w:rsidRPr="00571F0B">
        <w:rPr>
          <w:lang w:val="en-GB"/>
        </w:rPr>
        <w:t xml:space="preserve"> the local context</w:t>
      </w:r>
      <w:r w:rsidR="002873A2" w:rsidRPr="00571F0B">
        <w:rPr>
          <w:lang w:val="en-GB"/>
        </w:rPr>
        <w:t xml:space="preserve">, </w:t>
      </w:r>
      <w:r w:rsidR="0056370E" w:rsidRPr="00571F0B">
        <w:rPr>
          <w:lang w:val="en-GB"/>
        </w:rPr>
        <w:t xml:space="preserve">can </w:t>
      </w:r>
      <w:r w:rsidR="002873A2" w:rsidRPr="00571F0B">
        <w:rPr>
          <w:lang w:val="en-GB"/>
        </w:rPr>
        <w:t xml:space="preserve">navigate </w:t>
      </w:r>
      <w:r w:rsidR="0056370E" w:rsidRPr="00571F0B">
        <w:rPr>
          <w:lang w:val="en-GB"/>
        </w:rPr>
        <w:t xml:space="preserve">risks and </w:t>
      </w:r>
      <w:r w:rsidR="002873A2" w:rsidRPr="00571F0B">
        <w:rPr>
          <w:lang w:val="en-GB"/>
        </w:rPr>
        <w:t>protect IF (IV) investments</w:t>
      </w:r>
      <w:r w:rsidR="00277117">
        <w:rPr>
          <w:lang w:val="en-GB"/>
        </w:rPr>
        <w:t xml:space="preserve"> in this </w:t>
      </w:r>
      <w:r w:rsidR="00DA45A1">
        <w:rPr>
          <w:lang w:val="en-GB"/>
        </w:rPr>
        <w:t xml:space="preserve">diverse operating </w:t>
      </w:r>
      <w:r w:rsidR="00277117">
        <w:rPr>
          <w:lang w:val="en-GB"/>
        </w:rPr>
        <w:t>environment.</w:t>
      </w:r>
    </w:p>
    <w:p w:rsidR="00B02379" w:rsidRPr="00571F0B" w:rsidRDefault="00B02379" w:rsidP="00B02379">
      <w:pPr>
        <w:spacing w:before="0" w:after="0"/>
        <w:rPr>
          <w:lang w:val="en-GB"/>
        </w:rPr>
      </w:pPr>
    </w:p>
    <w:p w:rsidR="00277117" w:rsidRDefault="00277117" w:rsidP="00966F2B">
      <w:pPr>
        <w:spacing w:before="0" w:after="0"/>
        <w:rPr>
          <w:rFonts w:cs="Calibri"/>
          <w:color w:val="000000"/>
          <w:sz w:val="22"/>
          <w:szCs w:val="22"/>
          <w:lang w:val="en-GB"/>
        </w:rPr>
      </w:pPr>
    </w:p>
    <w:p w:rsidR="00277117" w:rsidRPr="00571F0B" w:rsidRDefault="00277117" w:rsidP="00966F2B">
      <w:pPr>
        <w:spacing w:before="0" w:after="0"/>
        <w:rPr>
          <w:rFonts w:cs="Calibri"/>
          <w:color w:val="000000"/>
          <w:sz w:val="22"/>
          <w:szCs w:val="22"/>
          <w:lang w:val="en-GB"/>
        </w:rPr>
      </w:pPr>
    </w:p>
    <w:p w:rsidR="00966F2B" w:rsidRPr="00571F0B" w:rsidRDefault="00966F2B" w:rsidP="00966F2B">
      <w:pPr>
        <w:spacing w:before="0" w:after="0"/>
        <w:rPr>
          <w:rFonts w:cs="Calibri"/>
          <w:color w:val="000000"/>
          <w:sz w:val="22"/>
          <w:szCs w:val="22"/>
          <w:lang w:val="en-GB"/>
        </w:rPr>
        <w:sectPr w:rsidR="00966F2B" w:rsidRPr="00571F0B" w:rsidSect="00724D52">
          <w:headerReference w:type="default" r:id="rId30"/>
          <w:footerReference w:type="default" r:id="rId31"/>
          <w:pgSz w:w="11909" w:h="16834" w:code="9"/>
          <w:pgMar w:top="851" w:right="1418" w:bottom="851" w:left="1418" w:header="578" w:footer="578" w:gutter="0"/>
          <w:cols w:space="720"/>
        </w:sectPr>
      </w:pPr>
    </w:p>
    <w:p w:rsidR="001C5F6D" w:rsidRPr="00571F0B" w:rsidRDefault="001C5F6D" w:rsidP="001C5F6D">
      <w:pPr>
        <w:pStyle w:val="Caption"/>
        <w:rPr>
          <w:rFonts w:ascii="Arial Narrow" w:hAnsi="Arial Narrow"/>
          <w:b w:val="0"/>
          <w:sz w:val="20"/>
          <w:lang w:val="en-GB" w:eastAsia="en-GB"/>
        </w:rPr>
      </w:pPr>
      <w:bookmarkStart w:id="55" w:name="_Toc403037632"/>
      <w:r w:rsidRPr="00571F0B">
        <w:rPr>
          <w:lang w:val="en-GB"/>
        </w:rPr>
        <w:lastRenderedPageBreak/>
        <w:t xml:space="preserve">Table </w:t>
      </w:r>
      <w:r w:rsidR="00D3593A" w:rsidRPr="00571F0B">
        <w:rPr>
          <w:lang w:val="en-GB"/>
        </w:rPr>
        <w:fldChar w:fldCharType="begin"/>
      </w:r>
      <w:r w:rsidR="00D3593A" w:rsidRPr="00571F0B">
        <w:rPr>
          <w:lang w:val="en-GB"/>
        </w:rPr>
        <w:instrText xml:space="preserve"> SEQ Table \* ARABIC </w:instrText>
      </w:r>
      <w:r w:rsidR="00D3593A" w:rsidRPr="00571F0B">
        <w:rPr>
          <w:lang w:val="en-GB"/>
        </w:rPr>
        <w:fldChar w:fldCharType="separate"/>
      </w:r>
      <w:r w:rsidR="006C1E87">
        <w:rPr>
          <w:noProof/>
          <w:lang w:val="en-GB"/>
        </w:rPr>
        <w:t>10</w:t>
      </w:r>
      <w:r w:rsidR="00D3593A" w:rsidRPr="00571F0B">
        <w:rPr>
          <w:lang w:val="en-GB"/>
        </w:rPr>
        <w:fldChar w:fldCharType="end"/>
      </w:r>
      <w:r w:rsidR="00277117">
        <w:rPr>
          <w:lang w:val="en-GB"/>
        </w:rPr>
        <w:t>:</w:t>
      </w:r>
      <w:r w:rsidRPr="00571F0B">
        <w:rPr>
          <w:lang w:val="en-GB"/>
        </w:rPr>
        <w:t xml:space="preserve"> IF (IV) Risk Matrix</w:t>
      </w:r>
      <w:bookmarkEnd w:id="55"/>
    </w:p>
    <w:p w:rsidR="00387BC0" w:rsidRPr="00571F0B" w:rsidRDefault="00387BC0" w:rsidP="00387BC0">
      <w:pPr>
        <w:widowControl w:val="0"/>
        <w:spacing w:before="0" w:after="120"/>
        <w:jc w:val="left"/>
        <w:rPr>
          <w:rFonts w:ascii="Arial Narrow" w:hAnsi="Arial Narrow"/>
          <w:sz w:val="20"/>
          <w:lang w:val="en-GB" w:eastAsia="en-GB"/>
        </w:rPr>
      </w:pPr>
      <w:r w:rsidRPr="00571F0B">
        <w:rPr>
          <w:rFonts w:ascii="Arial Narrow" w:hAnsi="Arial Narrow"/>
          <w:b/>
          <w:sz w:val="20"/>
          <w:lang w:val="en-GB" w:eastAsia="en-GB"/>
        </w:rPr>
        <w:t>Notes and Key:</w:t>
      </w:r>
      <w:r w:rsidRPr="00571F0B">
        <w:rPr>
          <w:rFonts w:ascii="Arial Narrow" w:hAnsi="Arial Narrow"/>
          <w:sz w:val="20"/>
          <w:lang w:val="en-GB" w:eastAsia="en-GB"/>
        </w:rPr>
        <w:t xml:space="preserve"> </w:t>
      </w:r>
      <w:r w:rsidRPr="00571F0B">
        <w:rPr>
          <w:rFonts w:ascii="Arial Narrow" w:hAnsi="Arial Narrow"/>
          <w:b/>
          <w:sz w:val="20"/>
          <w:lang w:val="en-GB" w:eastAsia="en-GB"/>
        </w:rPr>
        <w:t>EMI</w:t>
      </w:r>
      <w:r w:rsidRPr="00571F0B">
        <w:rPr>
          <w:rFonts w:ascii="Arial Narrow" w:hAnsi="Arial Narrow"/>
          <w:sz w:val="20"/>
          <w:lang w:val="en-GB" w:eastAsia="en-GB"/>
        </w:rPr>
        <w:t xml:space="preserve"> = Estimated Management Influence on ratings. (</w:t>
      </w:r>
      <w:r w:rsidRPr="00571F0B">
        <w:rPr>
          <w:rFonts w:ascii="Arial Narrow" w:hAnsi="Arial Narrow"/>
          <w:b/>
          <w:sz w:val="20"/>
          <w:lang w:val="en-GB" w:eastAsia="en-GB"/>
        </w:rPr>
        <w:t>D</w:t>
      </w:r>
      <w:proofErr w:type="gramStart"/>
      <w:r w:rsidRPr="00571F0B">
        <w:rPr>
          <w:rFonts w:ascii="Arial Narrow" w:hAnsi="Arial Narrow"/>
          <w:sz w:val="20"/>
          <w:lang w:val="en-GB" w:eastAsia="en-GB"/>
        </w:rPr>
        <w:t>)ominant</w:t>
      </w:r>
      <w:proofErr w:type="gramEnd"/>
      <w:r w:rsidRPr="00571F0B">
        <w:rPr>
          <w:rFonts w:ascii="Arial Narrow" w:hAnsi="Arial Narrow"/>
          <w:sz w:val="20"/>
          <w:lang w:val="en-GB" w:eastAsia="en-GB"/>
        </w:rPr>
        <w:t xml:space="preserve"> = the most direct control; (</w:t>
      </w:r>
      <w:r w:rsidRPr="00571F0B">
        <w:rPr>
          <w:rFonts w:ascii="Arial Narrow" w:hAnsi="Arial Narrow"/>
          <w:b/>
          <w:sz w:val="20"/>
          <w:lang w:val="en-GB" w:eastAsia="en-GB"/>
        </w:rPr>
        <w:t>P</w:t>
      </w:r>
      <w:r w:rsidRPr="00571F0B">
        <w:rPr>
          <w:rFonts w:ascii="Arial Narrow" w:hAnsi="Arial Narrow"/>
          <w:sz w:val="20"/>
          <w:lang w:val="en-GB" w:eastAsia="en-GB"/>
        </w:rPr>
        <w:t>)artnership = has some influence, in partnership with others; (</w:t>
      </w:r>
      <w:r w:rsidRPr="00571F0B">
        <w:rPr>
          <w:rFonts w:ascii="Arial Narrow" w:hAnsi="Arial Narrow"/>
          <w:b/>
          <w:sz w:val="20"/>
          <w:lang w:val="en-GB" w:eastAsia="en-GB"/>
        </w:rPr>
        <w:t>S</w:t>
      </w:r>
      <w:r w:rsidRPr="00571F0B">
        <w:rPr>
          <w:rFonts w:ascii="Arial Narrow" w:hAnsi="Arial Narrow"/>
          <w:sz w:val="20"/>
          <w:lang w:val="en-GB" w:eastAsia="en-GB"/>
        </w:rPr>
        <w:t xml:space="preserve">)light = can recommend, but others decide. Risk rating is before and after implementing mitigation strategies. Ratings are: </w:t>
      </w:r>
      <w:r w:rsidRPr="00571F0B">
        <w:rPr>
          <w:rFonts w:ascii="Arial Narrow" w:hAnsi="Arial Narrow"/>
          <w:b/>
          <w:sz w:val="20"/>
          <w:lang w:val="en-GB" w:eastAsia="en-GB"/>
        </w:rPr>
        <w:t>P</w:t>
      </w:r>
      <w:r w:rsidRPr="00571F0B">
        <w:rPr>
          <w:rFonts w:ascii="Arial Narrow" w:hAnsi="Arial Narrow"/>
          <w:sz w:val="20"/>
          <w:lang w:val="en-GB" w:eastAsia="en-GB"/>
        </w:rPr>
        <w:t xml:space="preserve"> = Probability (</w:t>
      </w:r>
      <w:r w:rsidRPr="00571F0B">
        <w:rPr>
          <w:rFonts w:ascii="Arial Narrow" w:hAnsi="Arial Narrow"/>
          <w:b/>
          <w:sz w:val="20"/>
          <w:lang w:val="en-GB" w:eastAsia="en-GB"/>
        </w:rPr>
        <w:t>1</w:t>
      </w:r>
      <w:r w:rsidRPr="00571F0B">
        <w:rPr>
          <w:rFonts w:ascii="Arial Narrow" w:hAnsi="Arial Narrow"/>
          <w:sz w:val="20"/>
          <w:lang w:val="en-GB" w:eastAsia="en-GB"/>
        </w:rPr>
        <w:t xml:space="preserve"> = Rare, </w:t>
      </w:r>
      <w:r w:rsidRPr="00571F0B">
        <w:rPr>
          <w:rFonts w:ascii="Arial Narrow" w:hAnsi="Arial Narrow"/>
          <w:b/>
          <w:sz w:val="20"/>
          <w:lang w:val="en-GB" w:eastAsia="en-GB"/>
        </w:rPr>
        <w:t>2</w:t>
      </w:r>
      <w:r w:rsidRPr="00571F0B">
        <w:rPr>
          <w:rFonts w:ascii="Arial Narrow" w:hAnsi="Arial Narrow"/>
          <w:sz w:val="20"/>
          <w:lang w:val="en-GB" w:eastAsia="en-GB"/>
        </w:rPr>
        <w:t xml:space="preserve"> = Unlikely, </w:t>
      </w:r>
      <w:r w:rsidRPr="00571F0B">
        <w:rPr>
          <w:rFonts w:ascii="Arial Narrow" w:hAnsi="Arial Narrow"/>
          <w:b/>
          <w:sz w:val="20"/>
          <w:lang w:val="en-GB" w:eastAsia="en-GB"/>
        </w:rPr>
        <w:t>3</w:t>
      </w:r>
      <w:r w:rsidRPr="00571F0B">
        <w:rPr>
          <w:rFonts w:ascii="Arial Narrow" w:hAnsi="Arial Narrow"/>
          <w:sz w:val="20"/>
          <w:lang w:val="en-GB" w:eastAsia="en-GB"/>
        </w:rPr>
        <w:t xml:space="preserve"> = Possible, </w:t>
      </w:r>
      <w:r w:rsidRPr="00571F0B">
        <w:rPr>
          <w:rFonts w:ascii="Arial Narrow" w:hAnsi="Arial Narrow"/>
          <w:b/>
          <w:sz w:val="20"/>
          <w:lang w:val="en-GB" w:eastAsia="en-GB"/>
        </w:rPr>
        <w:t>4</w:t>
      </w:r>
      <w:r w:rsidRPr="00571F0B">
        <w:rPr>
          <w:rFonts w:ascii="Arial Narrow" w:hAnsi="Arial Narrow"/>
          <w:sz w:val="20"/>
          <w:lang w:val="en-GB" w:eastAsia="en-GB"/>
        </w:rPr>
        <w:t xml:space="preserve"> = Likely, </w:t>
      </w:r>
      <w:r w:rsidRPr="00571F0B">
        <w:rPr>
          <w:rFonts w:ascii="Arial Narrow" w:hAnsi="Arial Narrow"/>
          <w:b/>
          <w:sz w:val="20"/>
          <w:lang w:val="en-GB" w:eastAsia="en-GB"/>
        </w:rPr>
        <w:t>5</w:t>
      </w:r>
      <w:r w:rsidRPr="00571F0B">
        <w:rPr>
          <w:rFonts w:ascii="Arial Narrow" w:hAnsi="Arial Narrow"/>
          <w:sz w:val="20"/>
          <w:lang w:val="en-GB" w:eastAsia="en-GB"/>
        </w:rPr>
        <w:t xml:space="preserve"> = Almost certain); </w:t>
      </w:r>
      <w:r w:rsidRPr="00571F0B">
        <w:rPr>
          <w:rFonts w:ascii="Arial Narrow" w:hAnsi="Arial Narrow"/>
          <w:b/>
          <w:sz w:val="20"/>
          <w:lang w:val="en-GB" w:eastAsia="en-GB"/>
        </w:rPr>
        <w:t>C</w:t>
      </w:r>
      <w:r w:rsidRPr="00571F0B">
        <w:rPr>
          <w:rFonts w:ascii="Arial Narrow" w:hAnsi="Arial Narrow"/>
          <w:sz w:val="20"/>
          <w:lang w:val="en-GB" w:eastAsia="en-GB"/>
        </w:rPr>
        <w:t xml:space="preserve"> = Consequence if risk eventuates (</w:t>
      </w:r>
      <w:r w:rsidRPr="00571F0B">
        <w:rPr>
          <w:rFonts w:ascii="Arial Narrow" w:hAnsi="Arial Narrow"/>
          <w:b/>
          <w:sz w:val="20"/>
          <w:lang w:val="en-GB" w:eastAsia="en-GB"/>
        </w:rPr>
        <w:t>1</w:t>
      </w:r>
      <w:r w:rsidRPr="00571F0B">
        <w:rPr>
          <w:rFonts w:ascii="Arial Narrow" w:hAnsi="Arial Narrow"/>
          <w:sz w:val="20"/>
          <w:lang w:val="en-GB" w:eastAsia="en-GB"/>
        </w:rPr>
        <w:t xml:space="preserve"> = Negligible, </w:t>
      </w:r>
      <w:r w:rsidRPr="00571F0B">
        <w:rPr>
          <w:rFonts w:ascii="Arial Narrow" w:hAnsi="Arial Narrow"/>
          <w:b/>
          <w:sz w:val="20"/>
          <w:lang w:val="en-GB" w:eastAsia="en-GB"/>
        </w:rPr>
        <w:t>2</w:t>
      </w:r>
      <w:r w:rsidRPr="00571F0B">
        <w:rPr>
          <w:rFonts w:ascii="Arial Narrow" w:hAnsi="Arial Narrow"/>
          <w:sz w:val="20"/>
          <w:lang w:val="en-GB" w:eastAsia="en-GB"/>
        </w:rPr>
        <w:t xml:space="preserve"> = Minor, </w:t>
      </w:r>
      <w:r w:rsidRPr="00571F0B">
        <w:rPr>
          <w:rFonts w:ascii="Arial Narrow" w:hAnsi="Arial Narrow"/>
          <w:b/>
          <w:sz w:val="20"/>
          <w:lang w:val="en-GB" w:eastAsia="en-GB"/>
        </w:rPr>
        <w:t>3</w:t>
      </w:r>
      <w:r w:rsidRPr="00571F0B">
        <w:rPr>
          <w:rFonts w:ascii="Arial Narrow" w:hAnsi="Arial Narrow"/>
          <w:sz w:val="20"/>
          <w:lang w:val="en-GB" w:eastAsia="en-GB"/>
        </w:rPr>
        <w:t xml:space="preserve"> = Moderate, </w:t>
      </w:r>
      <w:r w:rsidRPr="00571F0B">
        <w:rPr>
          <w:rFonts w:ascii="Arial Narrow" w:hAnsi="Arial Narrow"/>
          <w:b/>
          <w:sz w:val="20"/>
          <w:lang w:val="en-GB" w:eastAsia="en-GB"/>
        </w:rPr>
        <w:t>4</w:t>
      </w:r>
      <w:r w:rsidRPr="00571F0B">
        <w:rPr>
          <w:rFonts w:ascii="Arial Narrow" w:hAnsi="Arial Narrow"/>
          <w:sz w:val="20"/>
          <w:lang w:val="en-GB" w:eastAsia="en-GB"/>
        </w:rPr>
        <w:t xml:space="preserve"> = Major, </w:t>
      </w:r>
      <w:r w:rsidRPr="00571F0B">
        <w:rPr>
          <w:rFonts w:ascii="Arial Narrow" w:hAnsi="Arial Narrow"/>
          <w:b/>
          <w:sz w:val="20"/>
          <w:lang w:val="en-GB" w:eastAsia="en-GB"/>
        </w:rPr>
        <w:t>5</w:t>
      </w:r>
      <w:r w:rsidRPr="00571F0B">
        <w:rPr>
          <w:rFonts w:ascii="Arial Narrow" w:hAnsi="Arial Narrow"/>
          <w:sz w:val="20"/>
          <w:lang w:val="en-GB" w:eastAsia="en-GB"/>
        </w:rPr>
        <w:t xml:space="preserve"> = Severe); </w:t>
      </w:r>
      <w:r w:rsidRPr="00571F0B">
        <w:rPr>
          <w:rFonts w:ascii="Arial Narrow" w:hAnsi="Arial Narrow"/>
          <w:b/>
          <w:sz w:val="20"/>
          <w:lang w:val="en-GB" w:eastAsia="en-GB"/>
        </w:rPr>
        <w:t>R</w:t>
      </w:r>
      <w:r w:rsidRPr="00571F0B">
        <w:rPr>
          <w:rFonts w:ascii="Arial Narrow" w:hAnsi="Arial Narrow"/>
          <w:sz w:val="20"/>
          <w:lang w:val="en-GB" w:eastAsia="en-GB"/>
        </w:rPr>
        <w:t xml:space="preserve"> = Risk Level – the sum of P and C (</w:t>
      </w:r>
      <w:r w:rsidRPr="00571F0B">
        <w:rPr>
          <w:rFonts w:ascii="Arial Narrow" w:hAnsi="Arial Narrow"/>
          <w:b/>
          <w:sz w:val="20"/>
          <w:lang w:val="en-GB" w:eastAsia="en-GB"/>
        </w:rPr>
        <w:t>10</w:t>
      </w:r>
      <w:r w:rsidRPr="00571F0B">
        <w:rPr>
          <w:rFonts w:ascii="Arial Narrow" w:hAnsi="Arial Narrow"/>
          <w:sz w:val="20"/>
          <w:lang w:val="en-GB" w:eastAsia="en-GB"/>
        </w:rPr>
        <w:t xml:space="preserve"> = Extreme, </w:t>
      </w:r>
      <w:r w:rsidRPr="00571F0B">
        <w:rPr>
          <w:rFonts w:ascii="Arial Narrow" w:hAnsi="Arial Narrow"/>
          <w:b/>
          <w:sz w:val="20"/>
          <w:lang w:val="en-GB" w:eastAsia="en-GB"/>
        </w:rPr>
        <w:t>2</w:t>
      </w:r>
      <w:r w:rsidRPr="00571F0B">
        <w:rPr>
          <w:rFonts w:ascii="Arial Narrow" w:hAnsi="Arial Narrow"/>
          <w:sz w:val="20"/>
          <w:lang w:val="en-GB" w:eastAsia="en-GB"/>
        </w:rPr>
        <w:t xml:space="preserve"> = Very low).</w:t>
      </w:r>
    </w:p>
    <w:tbl>
      <w:tblPr>
        <w:tblW w:w="15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829"/>
        <w:gridCol w:w="567"/>
        <w:gridCol w:w="3621"/>
        <w:gridCol w:w="322"/>
        <w:gridCol w:w="322"/>
        <w:gridCol w:w="407"/>
        <w:gridCol w:w="5245"/>
        <w:gridCol w:w="284"/>
        <w:gridCol w:w="283"/>
        <w:gridCol w:w="253"/>
      </w:tblGrid>
      <w:tr w:rsidR="00387BC0" w:rsidRPr="00571F0B" w:rsidTr="00277117">
        <w:trPr>
          <w:tblHeader/>
          <w:jc w:val="center"/>
        </w:trPr>
        <w:tc>
          <w:tcPr>
            <w:tcW w:w="3829" w:type="dxa"/>
            <w:vMerge w:val="restart"/>
            <w:shd w:val="clear" w:color="auto" w:fill="D6E3BC" w:themeFill="accent3" w:themeFillTint="66"/>
            <w:vAlign w:val="center"/>
          </w:tcPr>
          <w:p w:rsidR="00387BC0" w:rsidRPr="00571F0B" w:rsidRDefault="00387BC0" w:rsidP="0062086E">
            <w:pPr>
              <w:spacing w:before="60" w:after="60"/>
              <w:jc w:val="center"/>
              <w:rPr>
                <w:rFonts w:ascii="Arial Narrow" w:hAnsi="Arial Narrow" w:cs="Arial"/>
                <w:b/>
                <w:lang w:val="en-GB" w:eastAsia="en-GB"/>
              </w:rPr>
            </w:pPr>
            <w:r w:rsidRPr="00571F0B">
              <w:rPr>
                <w:rFonts w:ascii="Arial Narrow" w:hAnsi="Arial Narrow" w:cs="Arial"/>
                <w:b/>
                <w:lang w:val="en-GB" w:eastAsia="en-GB"/>
              </w:rPr>
              <w:t>Potential Risk</w:t>
            </w:r>
          </w:p>
        </w:tc>
        <w:tc>
          <w:tcPr>
            <w:tcW w:w="567" w:type="dxa"/>
            <w:vMerge w:val="restart"/>
            <w:shd w:val="clear" w:color="auto" w:fill="D6E3BC" w:themeFill="accent3" w:themeFillTint="66"/>
            <w:vAlign w:val="center"/>
          </w:tcPr>
          <w:p w:rsidR="00387BC0" w:rsidRPr="00571F0B" w:rsidRDefault="00387BC0" w:rsidP="0062086E">
            <w:pPr>
              <w:spacing w:before="60" w:after="60"/>
              <w:jc w:val="center"/>
              <w:rPr>
                <w:rFonts w:ascii="Arial Narrow" w:hAnsi="Arial Narrow" w:cs="Arial"/>
                <w:b/>
                <w:lang w:val="en-GB" w:eastAsia="en-GB"/>
              </w:rPr>
            </w:pPr>
            <w:r w:rsidRPr="00571F0B">
              <w:rPr>
                <w:rFonts w:ascii="Arial Narrow" w:hAnsi="Arial Narrow" w:cs="Arial"/>
                <w:b/>
                <w:lang w:val="en-GB" w:eastAsia="en-GB"/>
              </w:rPr>
              <w:t>EMI</w:t>
            </w:r>
          </w:p>
        </w:tc>
        <w:tc>
          <w:tcPr>
            <w:tcW w:w="3621" w:type="dxa"/>
            <w:vMerge w:val="restart"/>
            <w:shd w:val="clear" w:color="auto" w:fill="D6E3BC" w:themeFill="accent3" w:themeFillTint="66"/>
            <w:vAlign w:val="center"/>
          </w:tcPr>
          <w:p w:rsidR="00387BC0" w:rsidRPr="00571F0B" w:rsidRDefault="00387BC0" w:rsidP="0062086E">
            <w:pPr>
              <w:spacing w:before="60" w:after="60"/>
              <w:jc w:val="center"/>
              <w:rPr>
                <w:rFonts w:ascii="Arial Narrow" w:hAnsi="Arial Narrow" w:cs="Arial"/>
                <w:b/>
                <w:lang w:val="en-GB" w:eastAsia="en-GB"/>
              </w:rPr>
            </w:pPr>
            <w:r w:rsidRPr="00571F0B">
              <w:rPr>
                <w:rFonts w:ascii="Arial Narrow" w:hAnsi="Arial Narrow" w:cs="Arial"/>
                <w:b/>
                <w:lang w:val="en-GB" w:eastAsia="en-GB"/>
              </w:rPr>
              <w:t>Potential Impact</w:t>
            </w:r>
          </w:p>
        </w:tc>
        <w:tc>
          <w:tcPr>
            <w:tcW w:w="1051" w:type="dxa"/>
            <w:gridSpan w:val="3"/>
            <w:shd w:val="clear" w:color="auto" w:fill="D6E3BC" w:themeFill="accent3" w:themeFillTint="66"/>
            <w:tcMar>
              <w:left w:w="57" w:type="dxa"/>
              <w:right w:w="57" w:type="dxa"/>
            </w:tcMar>
            <w:vAlign w:val="center"/>
          </w:tcPr>
          <w:p w:rsidR="00387BC0" w:rsidRPr="00571F0B" w:rsidRDefault="00387BC0" w:rsidP="0062086E">
            <w:pPr>
              <w:spacing w:before="60" w:after="60"/>
              <w:jc w:val="center"/>
              <w:rPr>
                <w:rFonts w:ascii="Arial Narrow" w:hAnsi="Arial Narrow" w:cs="Arial"/>
                <w:b/>
                <w:lang w:val="en-GB" w:eastAsia="en-GB"/>
              </w:rPr>
            </w:pPr>
            <w:r w:rsidRPr="00571F0B">
              <w:rPr>
                <w:rFonts w:ascii="Arial Narrow" w:hAnsi="Arial Narrow" w:cs="Arial"/>
                <w:b/>
                <w:lang w:val="en-GB" w:eastAsia="en-GB"/>
              </w:rPr>
              <w:t>Risk before</w:t>
            </w:r>
          </w:p>
        </w:tc>
        <w:tc>
          <w:tcPr>
            <w:tcW w:w="5245" w:type="dxa"/>
            <w:vMerge w:val="restart"/>
            <w:shd w:val="clear" w:color="auto" w:fill="D6E3BC" w:themeFill="accent3" w:themeFillTint="66"/>
            <w:vAlign w:val="center"/>
          </w:tcPr>
          <w:p w:rsidR="00387BC0" w:rsidRPr="00571F0B" w:rsidRDefault="00387BC0" w:rsidP="0062086E">
            <w:pPr>
              <w:spacing w:before="60" w:after="60"/>
              <w:jc w:val="center"/>
              <w:rPr>
                <w:rFonts w:ascii="Arial Narrow" w:hAnsi="Arial Narrow" w:cs="Arial"/>
                <w:b/>
                <w:lang w:val="en-GB" w:eastAsia="en-GB"/>
              </w:rPr>
            </w:pPr>
            <w:r w:rsidRPr="00571F0B">
              <w:rPr>
                <w:rFonts w:ascii="Arial Narrow" w:hAnsi="Arial Narrow" w:cs="Arial"/>
                <w:b/>
                <w:lang w:val="en-GB" w:eastAsia="en-GB"/>
              </w:rPr>
              <w:t>Risk Mitigation Strategies Management</w:t>
            </w:r>
          </w:p>
        </w:tc>
        <w:tc>
          <w:tcPr>
            <w:tcW w:w="820" w:type="dxa"/>
            <w:gridSpan w:val="3"/>
            <w:shd w:val="clear" w:color="auto" w:fill="D6E3BC" w:themeFill="accent3" w:themeFillTint="66"/>
            <w:tcMar>
              <w:left w:w="57" w:type="dxa"/>
              <w:right w:w="57" w:type="dxa"/>
            </w:tcMar>
            <w:vAlign w:val="center"/>
          </w:tcPr>
          <w:p w:rsidR="00387BC0" w:rsidRPr="00571F0B" w:rsidRDefault="00387BC0" w:rsidP="0062086E">
            <w:pPr>
              <w:spacing w:before="60" w:after="60"/>
              <w:jc w:val="center"/>
              <w:rPr>
                <w:rFonts w:ascii="Arial Narrow" w:hAnsi="Arial Narrow" w:cs="Arial"/>
                <w:b/>
                <w:lang w:val="en-GB" w:eastAsia="en-GB"/>
              </w:rPr>
            </w:pPr>
            <w:r w:rsidRPr="00571F0B">
              <w:rPr>
                <w:rFonts w:ascii="Arial Narrow" w:hAnsi="Arial Narrow" w:cs="Arial"/>
                <w:b/>
                <w:lang w:val="en-GB" w:eastAsia="en-GB"/>
              </w:rPr>
              <w:t>Risk After</w:t>
            </w:r>
          </w:p>
        </w:tc>
      </w:tr>
      <w:tr w:rsidR="00387BC0" w:rsidRPr="00571F0B" w:rsidTr="00277117">
        <w:trPr>
          <w:tblHeader/>
          <w:jc w:val="center"/>
        </w:trPr>
        <w:tc>
          <w:tcPr>
            <w:tcW w:w="3829" w:type="dxa"/>
            <w:vMerge/>
            <w:shd w:val="clear" w:color="auto" w:fill="0C479D"/>
            <w:vAlign w:val="center"/>
          </w:tcPr>
          <w:p w:rsidR="00387BC0" w:rsidRPr="00571F0B" w:rsidRDefault="00387BC0" w:rsidP="0062086E">
            <w:pPr>
              <w:spacing w:before="60" w:after="60"/>
              <w:jc w:val="center"/>
              <w:rPr>
                <w:rFonts w:ascii="Arial Narrow" w:hAnsi="Arial Narrow" w:cs="Arial"/>
                <w:b/>
                <w:color w:val="FFFFFF"/>
                <w:lang w:val="en-GB" w:eastAsia="en-GB"/>
              </w:rPr>
            </w:pPr>
          </w:p>
        </w:tc>
        <w:tc>
          <w:tcPr>
            <w:tcW w:w="567" w:type="dxa"/>
            <w:vMerge/>
            <w:shd w:val="clear" w:color="auto" w:fill="0C479D"/>
          </w:tcPr>
          <w:p w:rsidR="00387BC0" w:rsidRPr="00571F0B" w:rsidRDefault="00387BC0" w:rsidP="0062086E">
            <w:pPr>
              <w:spacing w:before="60" w:after="60"/>
              <w:jc w:val="center"/>
              <w:rPr>
                <w:rFonts w:ascii="Arial Narrow" w:hAnsi="Arial Narrow" w:cs="Arial"/>
                <w:b/>
                <w:color w:val="FFFFFF"/>
                <w:lang w:val="en-GB" w:eastAsia="en-GB"/>
              </w:rPr>
            </w:pPr>
          </w:p>
        </w:tc>
        <w:tc>
          <w:tcPr>
            <w:tcW w:w="3621" w:type="dxa"/>
            <w:vMerge/>
            <w:shd w:val="clear" w:color="auto" w:fill="0C479D"/>
            <w:vAlign w:val="center"/>
          </w:tcPr>
          <w:p w:rsidR="00387BC0" w:rsidRPr="00571F0B" w:rsidRDefault="00387BC0" w:rsidP="0062086E">
            <w:pPr>
              <w:spacing w:before="60" w:after="60"/>
              <w:jc w:val="center"/>
              <w:rPr>
                <w:rFonts w:ascii="Arial Narrow" w:hAnsi="Arial Narrow" w:cs="Arial"/>
                <w:b/>
                <w:color w:val="FFFFFF"/>
                <w:lang w:val="en-GB" w:eastAsia="en-GB"/>
              </w:rPr>
            </w:pPr>
          </w:p>
        </w:tc>
        <w:tc>
          <w:tcPr>
            <w:tcW w:w="322" w:type="dxa"/>
            <w:shd w:val="clear" w:color="auto" w:fill="D6E3BC" w:themeFill="accent3" w:themeFillTint="66"/>
            <w:tcMar>
              <w:left w:w="57" w:type="dxa"/>
              <w:right w:w="57" w:type="dxa"/>
            </w:tcMar>
            <w:vAlign w:val="center"/>
          </w:tcPr>
          <w:p w:rsidR="00387BC0" w:rsidRPr="00571F0B" w:rsidRDefault="00387BC0" w:rsidP="0062086E">
            <w:pPr>
              <w:spacing w:before="60" w:after="60"/>
              <w:jc w:val="center"/>
              <w:rPr>
                <w:rFonts w:ascii="Arial Narrow" w:hAnsi="Arial Narrow" w:cs="Arial"/>
                <w:lang w:val="en-GB" w:eastAsia="en-GB"/>
              </w:rPr>
            </w:pPr>
            <w:r w:rsidRPr="00571F0B">
              <w:rPr>
                <w:rFonts w:ascii="Arial Narrow" w:hAnsi="Arial Narrow" w:cs="Arial"/>
                <w:lang w:val="en-GB" w:eastAsia="en-GB"/>
              </w:rPr>
              <w:t>P</w:t>
            </w:r>
          </w:p>
        </w:tc>
        <w:tc>
          <w:tcPr>
            <w:tcW w:w="322" w:type="dxa"/>
            <w:shd w:val="clear" w:color="auto" w:fill="D6E3BC" w:themeFill="accent3" w:themeFillTint="66"/>
            <w:tcMar>
              <w:left w:w="57" w:type="dxa"/>
              <w:right w:w="57" w:type="dxa"/>
            </w:tcMar>
            <w:vAlign w:val="center"/>
          </w:tcPr>
          <w:p w:rsidR="00387BC0" w:rsidRPr="00571F0B" w:rsidRDefault="00387BC0" w:rsidP="0062086E">
            <w:pPr>
              <w:spacing w:before="60" w:after="60"/>
              <w:jc w:val="center"/>
              <w:rPr>
                <w:rFonts w:ascii="Arial Narrow" w:hAnsi="Arial Narrow" w:cs="Arial"/>
                <w:lang w:val="en-GB" w:eastAsia="en-GB"/>
              </w:rPr>
            </w:pPr>
            <w:r w:rsidRPr="00571F0B">
              <w:rPr>
                <w:rFonts w:ascii="Arial Narrow" w:hAnsi="Arial Narrow" w:cs="Arial"/>
                <w:lang w:val="en-GB" w:eastAsia="en-GB"/>
              </w:rPr>
              <w:t>C</w:t>
            </w:r>
          </w:p>
        </w:tc>
        <w:tc>
          <w:tcPr>
            <w:tcW w:w="407" w:type="dxa"/>
            <w:shd w:val="clear" w:color="auto" w:fill="D6E3BC" w:themeFill="accent3" w:themeFillTint="66"/>
            <w:tcMar>
              <w:left w:w="57" w:type="dxa"/>
              <w:right w:w="57" w:type="dxa"/>
            </w:tcMar>
            <w:vAlign w:val="center"/>
          </w:tcPr>
          <w:p w:rsidR="00387BC0" w:rsidRPr="00571F0B" w:rsidRDefault="00387BC0" w:rsidP="0062086E">
            <w:pPr>
              <w:spacing w:before="60" w:after="60"/>
              <w:jc w:val="center"/>
              <w:rPr>
                <w:rFonts w:ascii="Arial Narrow" w:hAnsi="Arial Narrow" w:cs="Arial"/>
                <w:lang w:val="en-GB" w:eastAsia="en-GB"/>
              </w:rPr>
            </w:pPr>
            <w:r w:rsidRPr="00571F0B">
              <w:rPr>
                <w:rFonts w:ascii="Arial Narrow" w:hAnsi="Arial Narrow" w:cs="Arial"/>
                <w:lang w:val="en-GB" w:eastAsia="en-GB"/>
              </w:rPr>
              <w:t>R</w:t>
            </w:r>
          </w:p>
        </w:tc>
        <w:tc>
          <w:tcPr>
            <w:tcW w:w="5245" w:type="dxa"/>
            <w:vMerge/>
            <w:shd w:val="clear" w:color="auto" w:fill="0C479D"/>
            <w:vAlign w:val="center"/>
          </w:tcPr>
          <w:p w:rsidR="00387BC0" w:rsidRPr="00571F0B" w:rsidRDefault="00387BC0" w:rsidP="0062086E">
            <w:pPr>
              <w:spacing w:before="60" w:after="60"/>
              <w:jc w:val="center"/>
              <w:rPr>
                <w:rFonts w:ascii="Arial Narrow" w:hAnsi="Arial Narrow" w:cs="Arial"/>
                <w:b/>
                <w:color w:val="FFFFFF"/>
                <w:lang w:val="en-GB" w:eastAsia="en-GB"/>
              </w:rPr>
            </w:pPr>
          </w:p>
        </w:tc>
        <w:tc>
          <w:tcPr>
            <w:tcW w:w="284" w:type="dxa"/>
            <w:shd w:val="clear" w:color="auto" w:fill="D6E3BC" w:themeFill="accent3" w:themeFillTint="66"/>
            <w:tcMar>
              <w:left w:w="57" w:type="dxa"/>
              <w:right w:w="57" w:type="dxa"/>
            </w:tcMar>
            <w:vAlign w:val="center"/>
          </w:tcPr>
          <w:p w:rsidR="00387BC0" w:rsidRPr="00571F0B" w:rsidRDefault="00387BC0" w:rsidP="0062086E">
            <w:pPr>
              <w:spacing w:before="60" w:after="60"/>
              <w:jc w:val="center"/>
              <w:rPr>
                <w:rFonts w:ascii="Arial Narrow" w:hAnsi="Arial Narrow" w:cs="Arial"/>
                <w:lang w:val="en-GB" w:eastAsia="en-GB"/>
              </w:rPr>
            </w:pPr>
            <w:r w:rsidRPr="00571F0B">
              <w:rPr>
                <w:rFonts w:ascii="Arial Narrow" w:hAnsi="Arial Narrow" w:cs="Arial"/>
                <w:lang w:val="en-GB" w:eastAsia="en-GB"/>
              </w:rPr>
              <w:t>P</w:t>
            </w:r>
          </w:p>
        </w:tc>
        <w:tc>
          <w:tcPr>
            <w:tcW w:w="283" w:type="dxa"/>
            <w:shd w:val="clear" w:color="auto" w:fill="D6E3BC" w:themeFill="accent3" w:themeFillTint="66"/>
            <w:tcMar>
              <w:left w:w="57" w:type="dxa"/>
              <w:right w:w="57" w:type="dxa"/>
            </w:tcMar>
            <w:vAlign w:val="center"/>
          </w:tcPr>
          <w:p w:rsidR="00387BC0" w:rsidRPr="00571F0B" w:rsidRDefault="00387BC0" w:rsidP="0062086E">
            <w:pPr>
              <w:spacing w:before="60" w:after="60"/>
              <w:jc w:val="center"/>
              <w:rPr>
                <w:rFonts w:ascii="Arial Narrow" w:hAnsi="Arial Narrow" w:cs="Arial"/>
                <w:lang w:val="en-GB" w:eastAsia="en-GB"/>
              </w:rPr>
            </w:pPr>
            <w:r w:rsidRPr="00571F0B">
              <w:rPr>
                <w:rFonts w:ascii="Arial Narrow" w:hAnsi="Arial Narrow" w:cs="Arial"/>
                <w:lang w:val="en-GB" w:eastAsia="en-GB"/>
              </w:rPr>
              <w:t>C</w:t>
            </w:r>
          </w:p>
        </w:tc>
        <w:tc>
          <w:tcPr>
            <w:tcW w:w="253" w:type="dxa"/>
            <w:shd w:val="clear" w:color="auto" w:fill="D6E3BC" w:themeFill="accent3" w:themeFillTint="66"/>
            <w:tcMar>
              <w:left w:w="57" w:type="dxa"/>
              <w:right w:w="57" w:type="dxa"/>
            </w:tcMar>
            <w:vAlign w:val="center"/>
          </w:tcPr>
          <w:p w:rsidR="00387BC0" w:rsidRPr="00571F0B" w:rsidRDefault="00387BC0" w:rsidP="0062086E">
            <w:pPr>
              <w:spacing w:before="60" w:after="60"/>
              <w:jc w:val="center"/>
              <w:rPr>
                <w:rFonts w:ascii="Arial Narrow" w:hAnsi="Arial Narrow" w:cs="Arial"/>
                <w:lang w:val="en-GB" w:eastAsia="en-GB"/>
              </w:rPr>
            </w:pPr>
            <w:r w:rsidRPr="00571F0B">
              <w:rPr>
                <w:rFonts w:ascii="Arial Narrow" w:hAnsi="Arial Narrow" w:cs="Arial"/>
                <w:lang w:val="en-GB" w:eastAsia="en-GB"/>
              </w:rPr>
              <w:t>R</w:t>
            </w:r>
          </w:p>
        </w:tc>
      </w:tr>
      <w:tr w:rsidR="00571CC1" w:rsidRPr="00571F0B" w:rsidTr="00277117">
        <w:trPr>
          <w:jc w:val="center"/>
        </w:trPr>
        <w:tc>
          <w:tcPr>
            <w:tcW w:w="3829" w:type="dxa"/>
          </w:tcPr>
          <w:p w:rsidR="00571CC1" w:rsidRDefault="00571CC1" w:rsidP="00571CC1">
            <w:pPr>
              <w:spacing w:before="60" w:after="60"/>
              <w:jc w:val="left"/>
              <w:rPr>
                <w:rFonts w:ascii="Arial Narrow" w:hAnsi="Arial Narrow" w:cs="Arial"/>
                <w:sz w:val="22"/>
                <w:szCs w:val="22"/>
                <w:lang w:val="en-GB" w:eastAsia="en-GB"/>
              </w:rPr>
            </w:pPr>
            <w:r>
              <w:rPr>
                <w:rFonts w:ascii="Arial Narrow" w:hAnsi="Arial Narrow" w:cs="Arial"/>
                <w:sz w:val="22"/>
                <w:szCs w:val="22"/>
                <w:lang w:val="en-GB" w:eastAsia="en-GB"/>
              </w:rPr>
              <w:t>As a high profile mechanism any failure to effectively deliver IF (IV) commitments could result in reputational damage to DFAT</w:t>
            </w:r>
          </w:p>
        </w:tc>
        <w:tc>
          <w:tcPr>
            <w:tcW w:w="567" w:type="dxa"/>
          </w:tcPr>
          <w:p w:rsidR="00571CC1" w:rsidRPr="00571F0B" w:rsidRDefault="00571CC1"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D</w:t>
            </w:r>
          </w:p>
        </w:tc>
        <w:tc>
          <w:tcPr>
            <w:tcW w:w="3621" w:type="dxa"/>
          </w:tcPr>
          <w:p w:rsidR="00571CC1" w:rsidRPr="00571F0B" w:rsidRDefault="00571CC1" w:rsidP="00571CC1">
            <w:pPr>
              <w:spacing w:before="60" w:after="60"/>
              <w:jc w:val="left"/>
              <w:rPr>
                <w:rFonts w:ascii="Arial Narrow" w:hAnsi="Arial Narrow" w:cs="Arial"/>
                <w:sz w:val="22"/>
                <w:szCs w:val="22"/>
                <w:lang w:val="en-GB" w:eastAsia="en-GB"/>
              </w:rPr>
            </w:pPr>
            <w:r>
              <w:rPr>
                <w:rFonts w:ascii="Arial Narrow" w:hAnsi="Arial Narrow" w:cs="Arial"/>
                <w:sz w:val="22"/>
                <w:szCs w:val="22"/>
                <w:lang w:val="en-GB" w:eastAsia="en-GB"/>
              </w:rPr>
              <w:t xml:space="preserve">At the extreme, broken commitments could affect bi-lateral relationships and embarrass Australia, more probable is that pressure will be applied to secure additional funding to fix any poor delivery </w:t>
            </w:r>
          </w:p>
        </w:tc>
        <w:tc>
          <w:tcPr>
            <w:tcW w:w="322" w:type="dxa"/>
            <w:shd w:val="clear" w:color="auto" w:fill="auto"/>
            <w:tcMar>
              <w:left w:w="57" w:type="dxa"/>
              <w:right w:w="57" w:type="dxa"/>
            </w:tcMar>
          </w:tcPr>
          <w:p w:rsidR="00571CC1" w:rsidRPr="00571F0B" w:rsidRDefault="00571CC1"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4</w:t>
            </w:r>
          </w:p>
        </w:tc>
        <w:tc>
          <w:tcPr>
            <w:tcW w:w="322" w:type="dxa"/>
            <w:shd w:val="clear" w:color="auto" w:fill="auto"/>
            <w:tcMar>
              <w:left w:w="57" w:type="dxa"/>
              <w:right w:w="57" w:type="dxa"/>
            </w:tcMar>
          </w:tcPr>
          <w:p w:rsidR="00571CC1" w:rsidRPr="00571F0B" w:rsidRDefault="00571CC1"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4</w:t>
            </w:r>
          </w:p>
        </w:tc>
        <w:tc>
          <w:tcPr>
            <w:tcW w:w="407" w:type="dxa"/>
            <w:shd w:val="clear" w:color="auto" w:fill="auto"/>
            <w:tcMar>
              <w:left w:w="57" w:type="dxa"/>
              <w:right w:w="57" w:type="dxa"/>
            </w:tcMar>
          </w:tcPr>
          <w:p w:rsidR="00571CC1" w:rsidRPr="00571F0B" w:rsidRDefault="00571CC1"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8</w:t>
            </w:r>
          </w:p>
        </w:tc>
        <w:tc>
          <w:tcPr>
            <w:tcW w:w="5245" w:type="dxa"/>
            <w:shd w:val="clear" w:color="auto" w:fill="auto"/>
          </w:tcPr>
          <w:p w:rsidR="00571CC1" w:rsidRPr="00571F0B" w:rsidRDefault="00571CC1" w:rsidP="00571CC1">
            <w:pPr>
              <w:spacing w:before="60" w:after="60"/>
              <w:jc w:val="left"/>
              <w:rPr>
                <w:rFonts w:ascii="Arial Narrow" w:hAnsi="Arial Narrow" w:cs="Arial"/>
                <w:sz w:val="22"/>
                <w:szCs w:val="22"/>
                <w:lang w:val="en-GB" w:eastAsia="en-GB"/>
              </w:rPr>
            </w:pPr>
            <w:r>
              <w:rPr>
                <w:rFonts w:ascii="Arial Narrow" w:hAnsi="Arial Narrow" w:cs="Arial"/>
                <w:sz w:val="22"/>
                <w:szCs w:val="22"/>
                <w:lang w:val="en-GB" w:eastAsia="en-GB"/>
              </w:rPr>
              <w:t>Emphasises the requirement to only support good performing partners and good development concepts and not to compromise the high IF (IV) process standards</w:t>
            </w:r>
          </w:p>
        </w:tc>
        <w:tc>
          <w:tcPr>
            <w:tcW w:w="284" w:type="dxa"/>
            <w:shd w:val="clear" w:color="auto" w:fill="auto"/>
            <w:tcMar>
              <w:left w:w="57" w:type="dxa"/>
              <w:right w:w="57" w:type="dxa"/>
            </w:tcMar>
          </w:tcPr>
          <w:p w:rsidR="00571CC1" w:rsidRPr="00571F0B" w:rsidRDefault="00571CC1"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1</w:t>
            </w:r>
          </w:p>
        </w:tc>
        <w:tc>
          <w:tcPr>
            <w:tcW w:w="283" w:type="dxa"/>
            <w:shd w:val="clear" w:color="auto" w:fill="auto"/>
            <w:tcMar>
              <w:left w:w="57" w:type="dxa"/>
              <w:right w:w="57" w:type="dxa"/>
            </w:tcMar>
          </w:tcPr>
          <w:p w:rsidR="00571CC1" w:rsidRPr="00571F0B" w:rsidRDefault="00571CC1"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2</w:t>
            </w:r>
          </w:p>
        </w:tc>
        <w:tc>
          <w:tcPr>
            <w:tcW w:w="253" w:type="dxa"/>
            <w:tcMar>
              <w:left w:w="57" w:type="dxa"/>
              <w:right w:w="57" w:type="dxa"/>
            </w:tcMar>
          </w:tcPr>
          <w:p w:rsidR="00571CC1" w:rsidRPr="00571F0B" w:rsidRDefault="00571CC1"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3</w:t>
            </w:r>
          </w:p>
        </w:tc>
      </w:tr>
      <w:tr w:rsidR="00571CC1" w:rsidRPr="00571F0B" w:rsidTr="00277117">
        <w:trPr>
          <w:jc w:val="center"/>
        </w:trPr>
        <w:tc>
          <w:tcPr>
            <w:tcW w:w="3829" w:type="dxa"/>
          </w:tcPr>
          <w:p w:rsidR="00571CC1" w:rsidRDefault="00571CC1" w:rsidP="00571CC1">
            <w:pPr>
              <w:spacing w:before="60" w:after="60"/>
              <w:jc w:val="left"/>
              <w:rPr>
                <w:rFonts w:ascii="Arial Narrow" w:hAnsi="Arial Narrow" w:cs="Arial"/>
                <w:sz w:val="22"/>
                <w:szCs w:val="22"/>
                <w:lang w:val="en-GB" w:eastAsia="en-GB"/>
              </w:rPr>
            </w:pPr>
            <w:r>
              <w:rPr>
                <w:rFonts w:ascii="Arial Narrow" w:hAnsi="Arial Narrow" w:cs="Arial"/>
                <w:sz w:val="22"/>
                <w:szCs w:val="22"/>
                <w:lang w:val="en-GB" w:eastAsia="en-GB"/>
              </w:rPr>
              <w:t>Partners are not effective</w:t>
            </w:r>
          </w:p>
        </w:tc>
        <w:tc>
          <w:tcPr>
            <w:tcW w:w="567" w:type="dxa"/>
          </w:tcPr>
          <w:p w:rsidR="00571CC1" w:rsidRDefault="00571CC1"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P</w:t>
            </w:r>
          </w:p>
        </w:tc>
        <w:tc>
          <w:tcPr>
            <w:tcW w:w="3621" w:type="dxa"/>
          </w:tcPr>
          <w:p w:rsidR="00571CC1" w:rsidRDefault="00571CC1" w:rsidP="00DA45A1">
            <w:pPr>
              <w:spacing w:before="60" w:after="60"/>
              <w:jc w:val="left"/>
              <w:rPr>
                <w:rFonts w:ascii="Arial Narrow" w:hAnsi="Arial Narrow" w:cs="Arial"/>
                <w:sz w:val="22"/>
                <w:szCs w:val="22"/>
                <w:lang w:val="en-GB" w:eastAsia="en-GB"/>
              </w:rPr>
            </w:pPr>
            <w:r>
              <w:rPr>
                <w:rFonts w:ascii="Arial Narrow" w:hAnsi="Arial Narrow" w:cs="Arial"/>
                <w:sz w:val="22"/>
                <w:szCs w:val="22"/>
                <w:lang w:val="en-GB" w:eastAsia="en-GB"/>
              </w:rPr>
              <w:t>As the risk of poor implementation delivery becomes higher, the conversion of outputs to expected outcomes will become lower undermining the investment and the end-of-program position</w:t>
            </w:r>
            <w:r w:rsidR="00DA45A1">
              <w:rPr>
                <w:rFonts w:ascii="Arial Narrow" w:hAnsi="Arial Narrow" w:cs="Arial"/>
                <w:sz w:val="22"/>
                <w:szCs w:val="22"/>
                <w:lang w:val="en-GB" w:eastAsia="en-GB"/>
              </w:rPr>
              <w:t>. This would be a wasted investment and opportunity by supporting an inappropriate partner.</w:t>
            </w:r>
            <w:r>
              <w:rPr>
                <w:rFonts w:ascii="Arial Narrow" w:hAnsi="Arial Narrow" w:cs="Arial"/>
                <w:sz w:val="22"/>
                <w:szCs w:val="22"/>
                <w:lang w:val="en-GB" w:eastAsia="en-GB"/>
              </w:rPr>
              <w:t xml:space="preserve"> </w:t>
            </w:r>
          </w:p>
        </w:tc>
        <w:tc>
          <w:tcPr>
            <w:tcW w:w="322" w:type="dxa"/>
            <w:shd w:val="clear" w:color="auto" w:fill="auto"/>
            <w:tcMar>
              <w:left w:w="57" w:type="dxa"/>
              <w:right w:w="57" w:type="dxa"/>
            </w:tcMar>
          </w:tcPr>
          <w:p w:rsidR="00571CC1" w:rsidRDefault="00DA45A1"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4</w:t>
            </w:r>
          </w:p>
        </w:tc>
        <w:tc>
          <w:tcPr>
            <w:tcW w:w="322" w:type="dxa"/>
            <w:shd w:val="clear" w:color="auto" w:fill="auto"/>
            <w:tcMar>
              <w:left w:w="57" w:type="dxa"/>
              <w:right w:w="57" w:type="dxa"/>
            </w:tcMar>
          </w:tcPr>
          <w:p w:rsidR="00571CC1" w:rsidRDefault="00DA45A1"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4</w:t>
            </w:r>
          </w:p>
        </w:tc>
        <w:tc>
          <w:tcPr>
            <w:tcW w:w="407" w:type="dxa"/>
            <w:shd w:val="clear" w:color="auto" w:fill="auto"/>
            <w:tcMar>
              <w:left w:w="57" w:type="dxa"/>
              <w:right w:w="57" w:type="dxa"/>
            </w:tcMar>
          </w:tcPr>
          <w:p w:rsidR="00571CC1" w:rsidRDefault="00DA45A1"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8</w:t>
            </w:r>
          </w:p>
        </w:tc>
        <w:tc>
          <w:tcPr>
            <w:tcW w:w="5245" w:type="dxa"/>
            <w:shd w:val="clear" w:color="auto" w:fill="auto"/>
          </w:tcPr>
          <w:p w:rsidR="00571CC1" w:rsidRDefault="00571CC1" w:rsidP="00571CC1">
            <w:pPr>
              <w:spacing w:before="60" w:after="60"/>
              <w:jc w:val="left"/>
              <w:rPr>
                <w:rFonts w:ascii="Arial Narrow" w:hAnsi="Arial Narrow" w:cs="Arial"/>
                <w:sz w:val="22"/>
                <w:szCs w:val="22"/>
                <w:lang w:val="en-GB" w:eastAsia="en-GB"/>
              </w:rPr>
            </w:pPr>
            <w:r w:rsidRPr="00571CC1">
              <w:rPr>
                <w:rFonts w:ascii="Arial Narrow" w:hAnsi="Arial Narrow" w:cs="Arial"/>
                <w:sz w:val="22"/>
                <w:szCs w:val="22"/>
                <w:lang w:val="en-GB" w:eastAsia="en-GB"/>
              </w:rPr>
              <w:t>Emphasises the requirement to only support good performing partners and good development concepts and not to compromise the high IF (IV) process standards</w:t>
            </w:r>
          </w:p>
        </w:tc>
        <w:tc>
          <w:tcPr>
            <w:tcW w:w="284" w:type="dxa"/>
            <w:shd w:val="clear" w:color="auto" w:fill="auto"/>
            <w:tcMar>
              <w:left w:w="57" w:type="dxa"/>
              <w:right w:w="57" w:type="dxa"/>
            </w:tcMar>
          </w:tcPr>
          <w:p w:rsidR="00571CC1" w:rsidRDefault="00DA45A1"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2</w:t>
            </w:r>
          </w:p>
        </w:tc>
        <w:tc>
          <w:tcPr>
            <w:tcW w:w="283" w:type="dxa"/>
            <w:shd w:val="clear" w:color="auto" w:fill="auto"/>
            <w:tcMar>
              <w:left w:w="57" w:type="dxa"/>
              <w:right w:w="57" w:type="dxa"/>
            </w:tcMar>
          </w:tcPr>
          <w:p w:rsidR="00571CC1" w:rsidRDefault="00DA45A1"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2</w:t>
            </w:r>
          </w:p>
        </w:tc>
        <w:tc>
          <w:tcPr>
            <w:tcW w:w="253" w:type="dxa"/>
            <w:tcMar>
              <w:left w:w="57" w:type="dxa"/>
              <w:right w:w="57" w:type="dxa"/>
            </w:tcMar>
          </w:tcPr>
          <w:p w:rsidR="00571CC1" w:rsidRDefault="00DA45A1"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4</w:t>
            </w:r>
          </w:p>
        </w:tc>
      </w:tr>
      <w:tr w:rsidR="00F76FCE" w:rsidRPr="00571F0B" w:rsidTr="00277117">
        <w:trPr>
          <w:jc w:val="center"/>
        </w:trPr>
        <w:tc>
          <w:tcPr>
            <w:tcW w:w="3829" w:type="dxa"/>
          </w:tcPr>
          <w:p w:rsidR="00F76FCE" w:rsidRDefault="00F76FCE" w:rsidP="00571CC1">
            <w:pPr>
              <w:spacing w:before="60" w:after="60"/>
              <w:jc w:val="left"/>
              <w:rPr>
                <w:rFonts w:ascii="Arial Narrow" w:hAnsi="Arial Narrow" w:cs="Arial"/>
                <w:sz w:val="22"/>
                <w:szCs w:val="22"/>
                <w:lang w:val="en-GB" w:eastAsia="en-GB"/>
              </w:rPr>
            </w:pPr>
            <w:r>
              <w:rPr>
                <w:rFonts w:ascii="Arial Narrow" w:hAnsi="Arial Narrow" w:cs="Arial"/>
                <w:sz w:val="22"/>
                <w:szCs w:val="22"/>
                <w:lang w:val="en-GB" w:eastAsia="en-GB"/>
              </w:rPr>
              <w:t>Partner fraud</w:t>
            </w:r>
          </w:p>
        </w:tc>
        <w:tc>
          <w:tcPr>
            <w:tcW w:w="567" w:type="dxa"/>
          </w:tcPr>
          <w:p w:rsidR="00F76FCE" w:rsidRDefault="00F76FCE"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P</w:t>
            </w:r>
          </w:p>
        </w:tc>
        <w:tc>
          <w:tcPr>
            <w:tcW w:w="3621" w:type="dxa"/>
          </w:tcPr>
          <w:p w:rsidR="00F76FCE" w:rsidRDefault="00F76FCE" w:rsidP="00F76FCE">
            <w:pPr>
              <w:spacing w:before="60" w:after="60"/>
              <w:jc w:val="left"/>
              <w:rPr>
                <w:rFonts w:ascii="Arial Narrow" w:hAnsi="Arial Narrow" w:cs="Arial"/>
                <w:sz w:val="22"/>
                <w:szCs w:val="22"/>
                <w:lang w:val="en-GB" w:eastAsia="en-GB"/>
              </w:rPr>
            </w:pPr>
            <w:r>
              <w:rPr>
                <w:rFonts w:ascii="Arial Narrow" w:hAnsi="Arial Narrow" w:cs="Arial"/>
                <w:sz w:val="22"/>
                <w:szCs w:val="22"/>
                <w:lang w:val="en-GB" w:eastAsia="en-GB"/>
              </w:rPr>
              <w:t>M</w:t>
            </w:r>
            <w:r w:rsidR="006D43EE">
              <w:rPr>
                <w:rFonts w:ascii="Arial Narrow" w:hAnsi="Arial Narrow" w:cs="Arial"/>
                <w:sz w:val="22"/>
                <w:szCs w:val="22"/>
                <w:lang w:val="en-GB" w:eastAsia="en-GB"/>
              </w:rPr>
              <w:t>is</w:t>
            </w:r>
            <w:r>
              <w:rPr>
                <w:rFonts w:ascii="Arial Narrow" w:hAnsi="Arial Narrow" w:cs="Arial"/>
                <w:sz w:val="22"/>
                <w:szCs w:val="22"/>
                <w:lang w:val="en-GB" w:eastAsia="en-GB"/>
              </w:rPr>
              <w:t xml:space="preserve">use of funding support will badly damage the reputation of the partner, IF (IV), the MC and potentially DFAT. It will also reduce </w:t>
            </w:r>
            <w:r w:rsidRPr="00F76FCE">
              <w:rPr>
                <w:rFonts w:ascii="Arial Narrow" w:hAnsi="Arial Narrow" w:cs="Arial"/>
                <w:sz w:val="22"/>
                <w:szCs w:val="22"/>
                <w:lang w:val="en-GB" w:eastAsia="en-GB"/>
              </w:rPr>
              <w:t xml:space="preserve">the conversion of outputs to expected outcomes </w:t>
            </w:r>
            <w:r>
              <w:rPr>
                <w:rFonts w:ascii="Arial Narrow" w:hAnsi="Arial Narrow" w:cs="Arial"/>
                <w:sz w:val="22"/>
                <w:szCs w:val="22"/>
                <w:lang w:val="en-GB" w:eastAsia="en-GB"/>
              </w:rPr>
              <w:t>and</w:t>
            </w:r>
            <w:r w:rsidRPr="00F76FCE">
              <w:rPr>
                <w:rFonts w:ascii="Arial Narrow" w:hAnsi="Arial Narrow" w:cs="Arial"/>
                <w:sz w:val="22"/>
                <w:szCs w:val="22"/>
                <w:lang w:val="en-GB" w:eastAsia="en-GB"/>
              </w:rPr>
              <w:t xml:space="preserve"> undermin</w:t>
            </w:r>
            <w:r>
              <w:rPr>
                <w:rFonts w:ascii="Arial Narrow" w:hAnsi="Arial Narrow" w:cs="Arial"/>
                <w:sz w:val="22"/>
                <w:szCs w:val="22"/>
                <w:lang w:val="en-GB" w:eastAsia="en-GB"/>
              </w:rPr>
              <w:t xml:space="preserve">e </w:t>
            </w:r>
            <w:r w:rsidRPr="00F76FCE">
              <w:rPr>
                <w:rFonts w:ascii="Arial Narrow" w:hAnsi="Arial Narrow" w:cs="Arial"/>
                <w:sz w:val="22"/>
                <w:szCs w:val="22"/>
                <w:lang w:val="en-GB" w:eastAsia="en-GB"/>
              </w:rPr>
              <w:t xml:space="preserve">the end-of-program position. This </w:t>
            </w:r>
            <w:r>
              <w:rPr>
                <w:rFonts w:ascii="Arial Narrow" w:hAnsi="Arial Narrow" w:cs="Arial"/>
                <w:sz w:val="22"/>
                <w:szCs w:val="22"/>
                <w:lang w:val="en-GB" w:eastAsia="en-GB"/>
              </w:rPr>
              <w:t>c</w:t>
            </w:r>
            <w:r w:rsidRPr="00F76FCE">
              <w:rPr>
                <w:rFonts w:ascii="Arial Narrow" w:hAnsi="Arial Narrow" w:cs="Arial"/>
                <w:sz w:val="22"/>
                <w:szCs w:val="22"/>
                <w:lang w:val="en-GB" w:eastAsia="en-GB"/>
              </w:rPr>
              <w:t>ould be a wasted investment and opportunity by supporting an inappropriate partner.</w:t>
            </w:r>
          </w:p>
        </w:tc>
        <w:tc>
          <w:tcPr>
            <w:tcW w:w="322" w:type="dxa"/>
            <w:shd w:val="clear" w:color="auto" w:fill="auto"/>
            <w:tcMar>
              <w:left w:w="57" w:type="dxa"/>
              <w:right w:w="57" w:type="dxa"/>
            </w:tcMar>
          </w:tcPr>
          <w:p w:rsidR="00F76FCE" w:rsidRDefault="00F76FCE"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2</w:t>
            </w:r>
          </w:p>
        </w:tc>
        <w:tc>
          <w:tcPr>
            <w:tcW w:w="322" w:type="dxa"/>
            <w:shd w:val="clear" w:color="auto" w:fill="auto"/>
            <w:tcMar>
              <w:left w:w="57" w:type="dxa"/>
              <w:right w:w="57" w:type="dxa"/>
            </w:tcMar>
          </w:tcPr>
          <w:p w:rsidR="00F76FCE" w:rsidRDefault="00F76FCE"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4</w:t>
            </w:r>
          </w:p>
        </w:tc>
        <w:tc>
          <w:tcPr>
            <w:tcW w:w="407" w:type="dxa"/>
            <w:shd w:val="clear" w:color="auto" w:fill="auto"/>
            <w:tcMar>
              <w:left w:w="57" w:type="dxa"/>
              <w:right w:w="57" w:type="dxa"/>
            </w:tcMar>
          </w:tcPr>
          <w:p w:rsidR="00F76FCE" w:rsidRDefault="00F76FCE"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6</w:t>
            </w:r>
          </w:p>
        </w:tc>
        <w:tc>
          <w:tcPr>
            <w:tcW w:w="5245" w:type="dxa"/>
            <w:shd w:val="clear" w:color="auto" w:fill="auto"/>
          </w:tcPr>
          <w:p w:rsidR="00F76FCE" w:rsidRPr="00571CC1" w:rsidRDefault="00F76FCE" w:rsidP="00F76FCE">
            <w:pPr>
              <w:spacing w:before="60" w:after="60"/>
              <w:jc w:val="left"/>
              <w:rPr>
                <w:rFonts w:ascii="Arial Narrow" w:hAnsi="Arial Narrow" w:cs="Arial"/>
                <w:sz w:val="22"/>
                <w:szCs w:val="22"/>
                <w:lang w:val="en-GB" w:eastAsia="en-GB"/>
              </w:rPr>
            </w:pPr>
            <w:r w:rsidRPr="00F76FCE">
              <w:rPr>
                <w:rFonts w:ascii="Arial Narrow" w:hAnsi="Arial Narrow" w:cs="Arial"/>
                <w:sz w:val="22"/>
                <w:szCs w:val="22"/>
                <w:lang w:val="en-GB" w:eastAsia="en-GB"/>
              </w:rPr>
              <w:t xml:space="preserve">Emphasises the requirement to only support good performing partners and good development concepts and not to compromise the high IF (IV) </w:t>
            </w:r>
            <w:r>
              <w:rPr>
                <w:rFonts w:ascii="Arial Narrow" w:hAnsi="Arial Narrow" w:cs="Arial"/>
                <w:sz w:val="22"/>
                <w:szCs w:val="22"/>
                <w:lang w:val="en-GB" w:eastAsia="en-GB"/>
              </w:rPr>
              <w:t>standard of implementation and financial monitoring processes</w:t>
            </w:r>
          </w:p>
        </w:tc>
        <w:tc>
          <w:tcPr>
            <w:tcW w:w="284" w:type="dxa"/>
            <w:shd w:val="clear" w:color="auto" w:fill="auto"/>
            <w:tcMar>
              <w:left w:w="57" w:type="dxa"/>
              <w:right w:w="57" w:type="dxa"/>
            </w:tcMar>
          </w:tcPr>
          <w:p w:rsidR="00F76FCE" w:rsidRDefault="00F76FCE"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1</w:t>
            </w:r>
          </w:p>
        </w:tc>
        <w:tc>
          <w:tcPr>
            <w:tcW w:w="283" w:type="dxa"/>
            <w:shd w:val="clear" w:color="auto" w:fill="auto"/>
            <w:tcMar>
              <w:left w:w="57" w:type="dxa"/>
              <w:right w:w="57" w:type="dxa"/>
            </w:tcMar>
          </w:tcPr>
          <w:p w:rsidR="00F76FCE" w:rsidRDefault="00F76FCE"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1</w:t>
            </w:r>
          </w:p>
        </w:tc>
        <w:tc>
          <w:tcPr>
            <w:tcW w:w="253" w:type="dxa"/>
            <w:tcMar>
              <w:left w:w="57" w:type="dxa"/>
              <w:right w:w="57" w:type="dxa"/>
            </w:tcMar>
          </w:tcPr>
          <w:p w:rsidR="00F76FCE" w:rsidRDefault="00F76FCE"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2</w:t>
            </w:r>
          </w:p>
        </w:tc>
      </w:tr>
      <w:tr w:rsidR="00387BC0" w:rsidRPr="00571F0B" w:rsidTr="00277117">
        <w:trPr>
          <w:jc w:val="center"/>
        </w:trPr>
        <w:tc>
          <w:tcPr>
            <w:tcW w:w="3829" w:type="dxa"/>
          </w:tcPr>
          <w:p w:rsidR="00387BC0" w:rsidRPr="00571F0B" w:rsidRDefault="00753230" w:rsidP="00753230">
            <w:pPr>
              <w:spacing w:before="60" w:after="60"/>
              <w:jc w:val="left"/>
              <w:rPr>
                <w:rFonts w:ascii="Arial Narrow" w:hAnsi="Arial Narrow" w:cs="Arial"/>
                <w:sz w:val="22"/>
                <w:szCs w:val="22"/>
                <w:lang w:val="en-GB" w:eastAsia="en-GB"/>
              </w:rPr>
            </w:pPr>
            <w:r>
              <w:rPr>
                <w:rFonts w:ascii="Arial Narrow" w:hAnsi="Arial Narrow" w:cs="Arial"/>
                <w:sz w:val="22"/>
                <w:szCs w:val="22"/>
                <w:lang w:val="en-GB" w:eastAsia="en-GB"/>
              </w:rPr>
              <w:t>I</w:t>
            </w:r>
            <w:r w:rsidR="00387BC0" w:rsidRPr="00571F0B">
              <w:rPr>
                <w:rFonts w:ascii="Arial Narrow" w:hAnsi="Arial Narrow" w:cs="Arial"/>
                <w:sz w:val="22"/>
                <w:szCs w:val="22"/>
                <w:lang w:val="en-GB" w:eastAsia="en-GB"/>
              </w:rPr>
              <w:t xml:space="preserve">nfrastructure investments </w:t>
            </w:r>
            <w:r>
              <w:rPr>
                <w:rFonts w:ascii="Arial Narrow" w:hAnsi="Arial Narrow" w:cs="Arial"/>
                <w:sz w:val="22"/>
                <w:szCs w:val="22"/>
                <w:lang w:val="en-GB" w:eastAsia="en-GB"/>
              </w:rPr>
              <w:t xml:space="preserve">do not have on-going operating and maintenance cost covered so outputs do not convert into expected contributions to outcomes in service </w:t>
            </w:r>
            <w:r>
              <w:rPr>
                <w:rFonts w:ascii="Arial Narrow" w:hAnsi="Arial Narrow" w:cs="Arial"/>
                <w:sz w:val="22"/>
                <w:szCs w:val="22"/>
                <w:lang w:val="en-GB" w:eastAsia="en-GB"/>
              </w:rPr>
              <w:lastRenderedPageBreak/>
              <w:t>delivery or economic development</w:t>
            </w:r>
          </w:p>
        </w:tc>
        <w:tc>
          <w:tcPr>
            <w:tcW w:w="567" w:type="dxa"/>
          </w:tcPr>
          <w:p w:rsidR="00387BC0" w:rsidRPr="00571F0B" w:rsidRDefault="00387BC0" w:rsidP="0062086E">
            <w:pPr>
              <w:spacing w:before="60" w:after="60"/>
              <w:jc w:val="center"/>
              <w:rPr>
                <w:rFonts w:ascii="Arial Narrow" w:hAnsi="Arial Narrow" w:cs="Arial"/>
                <w:sz w:val="22"/>
                <w:szCs w:val="22"/>
                <w:lang w:val="en-GB" w:eastAsia="en-GB"/>
              </w:rPr>
            </w:pPr>
            <w:r w:rsidRPr="00571F0B">
              <w:rPr>
                <w:rFonts w:ascii="Arial Narrow" w:hAnsi="Arial Narrow" w:cs="Arial"/>
                <w:sz w:val="22"/>
                <w:szCs w:val="22"/>
                <w:lang w:val="en-GB" w:eastAsia="en-GB"/>
              </w:rPr>
              <w:lastRenderedPageBreak/>
              <w:t>P</w:t>
            </w:r>
          </w:p>
        </w:tc>
        <w:tc>
          <w:tcPr>
            <w:tcW w:w="3621" w:type="dxa"/>
          </w:tcPr>
          <w:p w:rsidR="00387BC0" w:rsidRPr="00571F0B" w:rsidRDefault="00387BC0" w:rsidP="00753230">
            <w:pPr>
              <w:spacing w:before="60" w:after="60"/>
              <w:jc w:val="left"/>
              <w:rPr>
                <w:rFonts w:ascii="Arial Narrow" w:hAnsi="Arial Narrow" w:cs="Arial"/>
                <w:sz w:val="22"/>
                <w:szCs w:val="22"/>
                <w:lang w:val="en-GB" w:eastAsia="en-GB"/>
              </w:rPr>
            </w:pPr>
            <w:r w:rsidRPr="00571F0B">
              <w:rPr>
                <w:rFonts w:ascii="Arial Narrow" w:hAnsi="Arial Narrow" w:cs="Arial"/>
                <w:sz w:val="22"/>
                <w:szCs w:val="22"/>
                <w:lang w:val="en-GB" w:eastAsia="en-GB"/>
              </w:rPr>
              <w:t>Unmet service delivery</w:t>
            </w:r>
            <w:r w:rsidR="00753230">
              <w:rPr>
                <w:rFonts w:ascii="Arial Narrow" w:hAnsi="Arial Narrow" w:cs="Arial"/>
                <w:sz w:val="22"/>
                <w:szCs w:val="22"/>
                <w:lang w:val="en-GB" w:eastAsia="en-GB"/>
              </w:rPr>
              <w:t xml:space="preserve"> and economic development </w:t>
            </w:r>
            <w:r w:rsidRPr="00571F0B">
              <w:rPr>
                <w:rFonts w:ascii="Arial Narrow" w:hAnsi="Arial Narrow" w:cs="Arial"/>
                <w:sz w:val="22"/>
                <w:szCs w:val="22"/>
                <w:lang w:val="en-GB" w:eastAsia="en-GB"/>
              </w:rPr>
              <w:t xml:space="preserve"> demand, </w:t>
            </w:r>
            <w:r w:rsidR="00753230">
              <w:rPr>
                <w:rFonts w:ascii="Arial Narrow" w:hAnsi="Arial Narrow" w:cs="Arial"/>
                <w:sz w:val="22"/>
                <w:szCs w:val="22"/>
                <w:lang w:val="en-GB" w:eastAsia="en-GB"/>
              </w:rPr>
              <w:t xml:space="preserve">reputational damage to partner and DFAT, </w:t>
            </w:r>
            <w:r w:rsidRPr="00571F0B">
              <w:rPr>
                <w:rFonts w:ascii="Arial Narrow" w:hAnsi="Arial Narrow" w:cs="Arial"/>
                <w:sz w:val="22"/>
                <w:szCs w:val="22"/>
                <w:lang w:val="en-GB" w:eastAsia="en-GB"/>
              </w:rPr>
              <w:t xml:space="preserve">unnecessary strain on </w:t>
            </w:r>
            <w:r w:rsidR="00753230">
              <w:rPr>
                <w:rFonts w:ascii="Arial Narrow" w:hAnsi="Arial Narrow" w:cs="Arial"/>
                <w:sz w:val="22"/>
                <w:szCs w:val="22"/>
                <w:lang w:val="en-GB" w:eastAsia="en-GB"/>
              </w:rPr>
              <w:t>relationships</w:t>
            </w:r>
            <w:r w:rsidRPr="00571F0B">
              <w:rPr>
                <w:rFonts w:ascii="Arial Narrow" w:hAnsi="Arial Narrow" w:cs="Arial"/>
                <w:sz w:val="22"/>
                <w:szCs w:val="22"/>
                <w:lang w:val="en-GB" w:eastAsia="en-GB"/>
              </w:rPr>
              <w:t xml:space="preserve">, </w:t>
            </w:r>
            <w:r w:rsidR="00753230">
              <w:rPr>
                <w:rFonts w:ascii="Arial Narrow" w:hAnsi="Arial Narrow" w:cs="Arial"/>
                <w:sz w:val="22"/>
                <w:szCs w:val="22"/>
                <w:lang w:val="en-GB" w:eastAsia="en-GB"/>
              </w:rPr>
              <w:t xml:space="preserve">additional work, </w:t>
            </w:r>
            <w:r w:rsidR="00753230">
              <w:rPr>
                <w:rFonts w:ascii="Arial Narrow" w:hAnsi="Arial Narrow" w:cs="Arial"/>
                <w:sz w:val="22"/>
                <w:szCs w:val="22"/>
                <w:lang w:val="en-GB" w:eastAsia="en-GB"/>
              </w:rPr>
              <w:lastRenderedPageBreak/>
              <w:t xml:space="preserve">further potential </w:t>
            </w:r>
            <w:r w:rsidRPr="00571F0B">
              <w:rPr>
                <w:rFonts w:ascii="Arial Narrow" w:hAnsi="Arial Narrow" w:cs="Arial"/>
                <w:sz w:val="22"/>
                <w:szCs w:val="22"/>
                <w:lang w:val="en-GB" w:eastAsia="en-GB"/>
              </w:rPr>
              <w:t>distorti</w:t>
            </w:r>
            <w:r w:rsidR="00753230">
              <w:rPr>
                <w:rFonts w:ascii="Arial Narrow" w:hAnsi="Arial Narrow" w:cs="Arial"/>
                <w:sz w:val="22"/>
                <w:szCs w:val="22"/>
                <w:lang w:val="en-GB" w:eastAsia="en-GB"/>
              </w:rPr>
              <w:t xml:space="preserve">on in </w:t>
            </w:r>
            <w:r w:rsidRPr="00571F0B">
              <w:rPr>
                <w:rFonts w:ascii="Arial Narrow" w:hAnsi="Arial Narrow" w:cs="Arial"/>
                <w:sz w:val="22"/>
                <w:szCs w:val="22"/>
                <w:lang w:val="en-GB" w:eastAsia="en-GB"/>
              </w:rPr>
              <w:t xml:space="preserve">areas of low political economy </w:t>
            </w:r>
          </w:p>
        </w:tc>
        <w:tc>
          <w:tcPr>
            <w:tcW w:w="322" w:type="dxa"/>
            <w:shd w:val="clear" w:color="auto" w:fill="auto"/>
            <w:tcMar>
              <w:left w:w="57" w:type="dxa"/>
              <w:right w:w="57" w:type="dxa"/>
            </w:tcMar>
          </w:tcPr>
          <w:p w:rsidR="00387BC0" w:rsidRPr="00571F0B" w:rsidRDefault="00DA45A1"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lastRenderedPageBreak/>
              <w:t>4</w:t>
            </w:r>
          </w:p>
        </w:tc>
        <w:tc>
          <w:tcPr>
            <w:tcW w:w="322" w:type="dxa"/>
            <w:shd w:val="clear" w:color="auto" w:fill="auto"/>
            <w:tcMar>
              <w:left w:w="57" w:type="dxa"/>
              <w:right w:w="57" w:type="dxa"/>
            </w:tcMar>
          </w:tcPr>
          <w:p w:rsidR="00387BC0" w:rsidRPr="00571F0B" w:rsidRDefault="00387BC0" w:rsidP="0062086E">
            <w:pPr>
              <w:spacing w:before="60" w:after="60"/>
              <w:jc w:val="center"/>
              <w:rPr>
                <w:rFonts w:ascii="Arial Narrow" w:hAnsi="Arial Narrow" w:cs="Arial"/>
                <w:sz w:val="22"/>
                <w:szCs w:val="22"/>
                <w:lang w:val="en-GB" w:eastAsia="en-GB"/>
              </w:rPr>
            </w:pPr>
            <w:r w:rsidRPr="00571F0B">
              <w:rPr>
                <w:rFonts w:ascii="Arial Narrow" w:hAnsi="Arial Narrow" w:cs="Arial"/>
                <w:sz w:val="22"/>
                <w:szCs w:val="22"/>
                <w:lang w:val="en-GB" w:eastAsia="en-GB"/>
              </w:rPr>
              <w:t>4</w:t>
            </w:r>
          </w:p>
        </w:tc>
        <w:tc>
          <w:tcPr>
            <w:tcW w:w="407" w:type="dxa"/>
            <w:shd w:val="clear" w:color="auto" w:fill="auto"/>
            <w:tcMar>
              <w:left w:w="57" w:type="dxa"/>
              <w:right w:w="57" w:type="dxa"/>
            </w:tcMar>
          </w:tcPr>
          <w:p w:rsidR="00387BC0" w:rsidRPr="00571F0B" w:rsidRDefault="00387BC0" w:rsidP="0062086E">
            <w:pPr>
              <w:spacing w:before="60" w:after="60"/>
              <w:jc w:val="center"/>
              <w:rPr>
                <w:rFonts w:ascii="Arial Narrow" w:hAnsi="Arial Narrow" w:cs="Arial"/>
                <w:sz w:val="22"/>
                <w:szCs w:val="22"/>
                <w:lang w:val="en-GB" w:eastAsia="en-GB"/>
              </w:rPr>
            </w:pPr>
            <w:r w:rsidRPr="00571F0B">
              <w:rPr>
                <w:rFonts w:ascii="Arial Narrow" w:hAnsi="Arial Narrow" w:cs="Arial"/>
                <w:sz w:val="22"/>
                <w:szCs w:val="22"/>
                <w:lang w:val="en-GB" w:eastAsia="en-GB"/>
              </w:rPr>
              <w:t>8</w:t>
            </w:r>
          </w:p>
        </w:tc>
        <w:tc>
          <w:tcPr>
            <w:tcW w:w="5245" w:type="dxa"/>
            <w:shd w:val="clear" w:color="auto" w:fill="auto"/>
          </w:tcPr>
          <w:p w:rsidR="00387BC0" w:rsidRPr="00571F0B" w:rsidRDefault="00387BC0" w:rsidP="00753230">
            <w:pPr>
              <w:spacing w:before="60" w:after="60"/>
              <w:jc w:val="left"/>
              <w:rPr>
                <w:rFonts w:ascii="Arial Narrow" w:hAnsi="Arial Narrow" w:cs="Arial"/>
                <w:sz w:val="22"/>
                <w:szCs w:val="22"/>
                <w:lang w:val="en-GB" w:eastAsia="en-GB"/>
              </w:rPr>
            </w:pPr>
            <w:r w:rsidRPr="00571F0B">
              <w:rPr>
                <w:rFonts w:ascii="Arial Narrow" w:hAnsi="Arial Narrow" w:cs="Arial"/>
                <w:sz w:val="22"/>
                <w:szCs w:val="22"/>
                <w:lang w:val="en-GB" w:eastAsia="en-GB"/>
              </w:rPr>
              <w:t xml:space="preserve">Need to assess and understand the local </w:t>
            </w:r>
            <w:r w:rsidR="00350A70" w:rsidRPr="00350A70">
              <w:rPr>
                <w:rFonts w:ascii="Arial Narrow" w:hAnsi="Arial Narrow" w:cs="Arial"/>
                <w:sz w:val="22"/>
                <w:szCs w:val="22"/>
                <w:lang w:val="en-GB" w:eastAsia="en-GB"/>
              </w:rPr>
              <w:t xml:space="preserve">political economy and operating context </w:t>
            </w:r>
            <w:r w:rsidRPr="00571F0B">
              <w:rPr>
                <w:rFonts w:ascii="Arial Narrow" w:hAnsi="Arial Narrow" w:cs="Arial"/>
                <w:sz w:val="22"/>
                <w:szCs w:val="22"/>
                <w:lang w:val="en-GB" w:eastAsia="en-GB"/>
              </w:rPr>
              <w:t xml:space="preserve">to ensure the on-going operation and maintenance of assets. Evaluation of Phase I, II and III will assist to understand how we </w:t>
            </w:r>
            <w:r w:rsidR="00753230">
              <w:rPr>
                <w:rFonts w:ascii="Arial Narrow" w:hAnsi="Arial Narrow" w:cs="Arial"/>
                <w:sz w:val="22"/>
                <w:szCs w:val="22"/>
                <w:lang w:val="en-GB" w:eastAsia="en-GB"/>
              </w:rPr>
              <w:t xml:space="preserve">effectively deliver </w:t>
            </w:r>
            <w:r w:rsidRPr="00571F0B">
              <w:rPr>
                <w:rFonts w:ascii="Arial Narrow" w:hAnsi="Arial Narrow" w:cs="Arial"/>
                <w:sz w:val="22"/>
                <w:szCs w:val="22"/>
                <w:lang w:val="en-GB" w:eastAsia="en-GB"/>
              </w:rPr>
              <w:t>th</w:t>
            </w:r>
            <w:r w:rsidR="00753230">
              <w:rPr>
                <w:rFonts w:ascii="Arial Narrow" w:hAnsi="Arial Narrow" w:cs="Arial"/>
                <w:sz w:val="22"/>
                <w:szCs w:val="22"/>
                <w:lang w:val="en-GB" w:eastAsia="en-GB"/>
              </w:rPr>
              <w:t xml:space="preserve">ese </w:t>
            </w:r>
            <w:r w:rsidRPr="00571F0B">
              <w:rPr>
                <w:rFonts w:ascii="Arial Narrow" w:hAnsi="Arial Narrow" w:cs="Arial"/>
                <w:sz w:val="22"/>
                <w:szCs w:val="22"/>
                <w:lang w:val="en-GB" w:eastAsia="en-GB"/>
              </w:rPr>
              <w:lastRenderedPageBreak/>
              <w:t>assessment</w:t>
            </w:r>
            <w:r w:rsidR="00753230">
              <w:rPr>
                <w:rFonts w:ascii="Arial Narrow" w:hAnsi="Arial Narrow" w:cs="Arial"/>
                <w:sz w:val="22"/>
                <w:szCs w:val="22"/>
                <w:lang w:val="en-GB" w:eastAsia="en-GB"/>
              </w:rPr>
              <w:t>s</w:t>
            </w:r>
            <w:r w:rsidRPr="00571F0B">
              <w:rPr>
                <w:rFonts w:ascii="Arial Narrow" w:hAnsi="Arial Narrow" w:cs="Arial"/>
                <w:sz w:val="22"/>
                <w:szCs w:val="22"/>
                <w:lang w:val="en-GB" w:eastAsia="en-GB"/>
              </w:rPr>
              <w:t xml:space="preserve">   </w:t>
            </w:r>
          </w:p>
        </w:tc>
        <w:tc>
          <w:tcPr>
            <w:tcW w:w="284" w:type="dxa"/>
            <w:shd w:val="clear" w:color="auto" w:fill="auto"/>
            <w:tcMar>
              <w:left w:w="57" w:type="dxa"/>
              <w:right w:w="57" w:type="dxa"/>
            </w:tcMar>
          </w:tcPr>
          <w:p w:rsidR="00387BC0" w:rsidRPr="00571F0B" w:rsidRDefault="00387BC0" w:rsidP="0062086E">
            <w:pPr>
              <w:spacing w:before="60" w:after="60"/>
              <w:jc w:val="center"/>
              <w:rPr>
                <w:rFonts w:ascii="Arial Narrow" w:hAnsi="Arial Narrow" w:cs="Arial"/>
                <w:sz w:val="22"/>
                <w:szCs w:val="22"/>
                <w:lang w:val="en-GB" w:eastAsia="en-GB"/>
              </w:rPr>
            </w:pPr>
            <w:r w:rsidRPr="00571F0B">
              <w:rPr>
                <w:rFonts w:ascii="Arial Narrow" w:hAnsi="Arial Narrow" w:cs="Arial"/>
                <w:sz w:val="22"/>
                <w:szCs w:val="22"/>
                <w:lang w:val="en-GB" w:eastAsia="en-GB"/>
              </w:rPr>
              <w:lastRenderedPageBreak/>
              <w:t>2</w:t>
            </w:r>
          </w:p>
        </w:tc>
        <w:tc>
          <w:tcPr>
            <w:tcW w:w="283" w:type="dxa"/>
            <w:shd w:val="clear" w:color="auto" w:fill="auto"/>
            <w:tcMar>
              <w:left w:w="57" w:type="dxa"/>
              <w:right w:w="57" w:type="dxa"/>
            </w:tcMar>
          </w:tcPr>
          <w:p w:rsidR="00387BC0" w:rsidRPr="00571F0B" w:rsidRDefault="00387BC0" w:rsidP="0062086E">
            <w:pPr>
              <w:spacing w:before="60" w:after="60"/>
              <w:jc w:val="center"/>
              <w:rPr>
                <w:rFonts w:ascii="Arial Narrow" w:hAnsi="Arial Narrow" w:cs="Arial"/>
                <w:sz w:val="22"/>
                <w:szCs w:val="22"/>
                <w:lang w:val="en-GB" w:eastAsia="en-GB"/>
              </w:rPr>
            </w:pPr>
            <w:r w:rsidRPr="00571F0B">
              <w:rPr>
                <w:rFonts w:ascii="Arial Narrow" w:hAnsi="Arial Narrow" w:cs="Arial"/>
                <w:sz w:val="22"/>
                <w:szCs w:val="22"/>
                <w:lang w:val="en-GB" w:eastAsia="en-GB"/>
              </w:rPr>
              <w:t>2</w:t>
            </w:r>
          </w:p>
        </w:tc>
        <w:tc>
          <w:tcPr>
            <w:tcW w:w="253" w:type="dxa"/>
            <w:tcMar>
              <w:left w:w="57" w:type="dxa"/>
              <w:right w:w="57" w:type="dxa"/>
            </w:tcMar>
          </w:tcPr>
          <w:p w:rsidR="00387BC0" w:rsidRPr="00571F0B" w:rsidRDefault="00387BC0" w:rsidP="0062086E">
            <w:pPr>
              <w:spacing w:before="60" w:after="60"/>
              <w:jc w:val="center"/>
              <w:rPr>
                <w:rFonts w:ascii="Arial Narrow" w:hAnsi="Arial Narrow" w:cs="Arial"/>
                <w:sz w:val="22"/>
                <w:szCs w:val="22"/>
                <w:lang w:val="en-GB" w:eastAsia="en-GB"/>
              </w:rPr>
            </w:pPr>
            <w:r w:rsidRPr="00571F0B">
              <w:rPr>
                <w:rFonts w:ascii="Arial Narrow" w:hAnsi="Arial Narrow" w:cs="Arial"/>
                <w:sz w:val="22"/>
                <w:szCs w:val="22"/>
                <w:lang w:val="en-GB" w:eastAsia="en-GB"/>
              </w:rPr>
              <w:t>4</w:t>
            </w:r>
          </w:p>
        </w:tc>
      </w:tr>
      <w:tr w:rsidR="00571CC1" w:rsidRPr="00571F0B" w:rsidTr="00277117">
        <w:trPr>
          <w:jc w:val="center"/>
        </w:trPr>
        <w:tc>
          <w:tcPr>
            <w:tcW w:w="3829" w:type="dxa"/>
          </w:tcPr>
          <w:p w:rsidR="00571CC1" w:rsidRDefault="00DA45A1" w:rsidP="00753230">
            <w:pPr>
              <w:spacing w:before="60" w:after="60"/>
              <w:jc w:val="left"/>
              <w:rPr>
                <w:rFonts w:ascii="Arial Narrow" w:hAnsi="Arial Narrow" w:cs="Arial"/>
                <w:sz w:val="22"/>
                <w:szCs w:val="22"/>
                <w:lang w:val="en-GB" w:eastAsia="en-GB"/>
              </w:rPr>
            </w:pPr>
            <w:r>
              <w:rPr>
                <w:rFonts w:ascii="Arial Narrow" w:hAnsi="Arial Narrow" w:cs="Arial"/>
                <w:sz w:val="22"/>
                <w:szCs w:val="22"/>
                <w:lang w:val="en-GB" w:eastAsia="en-GB"/>
              </w:rPr>
              <w:lastRenderedPageBreak/>
              <w:t>Unsuccessful and disappointed organisations complain about their lack of support and success</w:t>
            </w:r>
          </w:p>
        </w:tc>
        <w:tc>
          <w:tcPr>
            <w:tcW w:w="567" w:type="dxa"/>
          </w:tcPr>
          <w:p w:rsidR="00571CC1" w:rsidRPr="00571F0B" w:rsidRDefault="007A3FBB"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P</w:t>
            </w:r>
          </w:p>
        </w:tc>
        <w:tc>
          <w:tcPr>
            <w:tcW w:w="3621" w:type="dxa"/>
          </w:tcPr>
          <w:p w:rsidR="00571CC1" w:rsidRPr="00571F0B" w:rsidRDefault="00DA45A1" w:rsidP="00753230">
            <w:pPr>
              <w:spacing w:before="60" w:after="60"/>
              <w:jc w:val="left"/>
              <w:rPr>
                <w:rFonts w:ascii="Arial Narrow" w:hAnsi="Arial Narrow" w:cs="Arial"/>
                <w:sz w:val="22"/>
                <w:szCs w:val="22"/>
                <w:lang w:val="en-GB" w:eastAsia="en-GB"/>
              </w:rPr>
            </w:pPr>
            <w:r>
              <w:rPr>
                <w:rFonts w:ascii="Arial Narrow" w:hAnsi="Arial Narrow" w:cs="Arial"/>
                <w:sz w:val="22"/>
                <w:szCs w:val="22"/>
                <w:lang w:val="en-GB" w:eastAsia="en-GB"/>
              </w:rPr>
              <w:t>Potential reputational damage to IF (IV) and DFAT</w:t>
            </w:r>
          </w:p>
        </w:tc>
        <w:tc>
          <w:tcPr>
            <w:tcW w:w="322" w:type="dxa"/>
            <w:shd w:val="clear" w:color="auto" w:fill="auto"/>
            <w:tcMar>
              <w:left w:w="57" w:type="dxa"/>
              <w:right w:w="57" w:type="dxa"/>
            </w:tcMar>
          </w:tcPr>
          <w:p w:rsidR="00571CC1" w:rsidRPr="00571F0B" w:rsidRDefault="007A3FBB"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2</w:t>
            </w:r>
          </w:p>
        </w:tc>
        <w:tc>
          <w:tcPr>
            <w:tcW w:w="322" w:type="dxa"/>
            <w:shd w:val="clear" w:color="auto" w:fill="auto"/>
            <w:tcMar>
              <w:left w:w="57" w:type="dxa"/>
              <w:right w:w="57" w:type="dxa"/>
            </w:tcMar>
          </w:tcPr>
          <w:p w:rsidR="00571CC1" w:rsidRPr="00571F0B" w:rsidRDefault="007A3FBB" w:rsidP="00DA45A1">
            <w:pPr>
              <w:spacing w:before="60" w:after="60"/>
              <w:rPr>
                <w:rFonts w:ascii="Arial Narrow" w:hAnsi="Arial Narrow" w:cs="Arial"/>
                <w:sz w:val="22"/>
                <w:szCs w:val="22"/>
                <w:lang w:val="en-GB" w:eastAsia="en-GB"/>
              </w:rPr>
            </w:pPr>
            <w:r>
              <w:rPr>
                <w:rFonts w:ascii="Arial Narrow" w:hAnsi="Arial Narrow" w:cs="Arial"/>
                <w:sz w:val="22"/>
                <w:szCs w:val="22"/>
                <w:lang w:val="en-GB" w:eastAsia="en-GB"/>
              </w:rPr>
              <w:t>2</w:t>
            </w:r>
          </w:p>
        </w:tc>
        <w:tc>
          <w:tcPr>
            <w:tcW w:w="407" w:type="dxa"/>
            <w:shd w:val="clear" w:color="auto" w:fill="auto"/>
            <w:tcMar>
              <w:left w:w="57" w:type="dxa"/>
              <w:right w:w="57" w:type="dxa"/>
            </w:tcMar>
          </w:tcPr>
          <w:p w:rsidR="00571CC1" w:rsidRPr="00571F0B" w:rsidRDefault="007A3FBB" w:rsidP="00DA45A1">
            <w:pPr>
              <w:spacing w:before="60" w:after="60"/>
              <w:rPr>
                <w:rFonts w:ascii="Arial Narrow" w:hAnsi="Arial Narrow" w:cs="Arial"/>
                <w:sz w:val="22"/>
                <w:szCs w:val="22"/>
                <w:lang w:val="en-GB" w:eastAsia="en-GB"/>
              </w:rPr>
            </w:pPr>
            <w:r>
              <w:rPr>
                <w:rFonts w:ascii="Arial Narrow" w:hAnsi="Arial Narrow" w:cs="Arial"/>
                <w:sz w:val="22"/>
                <w:szCs w:val="22"/>
                <w:lang w:val="en-GB" w:eastAsia="en-GB"/>
              </w:rPr>
              <w:t>4</w:t>
            </w:r>
          </w:p>
        </w:tc>
        <w:tc>
          <w:tcPr>
            <w:tcW w:w="5245" w:type="dxa"/>
            <w:shd w:val="clear" w:color="auto" w:fill="auto"/>
          </w:tcPr>
          <w:p w:rsidR="00571CC1" w:rsidRPr="00571F0B" w:rsidRDefault="00DA45A1" w:rsidP="00F76FCE">
            <w:pPr>
              <w:spacing w:before="60" w:after="60"/>
              <w:jc w:val="left"/>
              <w:rPr>
                <w:rFonts w:ascii="Arial Narrow" w:hAnsi="Arial Narrow" w:cs="Arial"/>
                <w:sz w:val="22"/>
                <w:szCs w:val="22"/>
                <w:lang w:val="en-GB" w:eastAsia="en-GB"/>
              </w:rPr>
            </w:pPr>
            <w:r>
              <w:rPr>
                <w:rFonts w:ascii="Arial Narrow" w:hAnsi="Arial Narrow" w:cs="Arial"/>
                <w:sz w:val="22"/>
                <w:szCs w:val="22"/>
                <w:lang w:val="en-GB" w:eastAsia="en-GB"/>
              </w:rPr>
              <w:t xml:space="preserve">Ensure strong process and transparency to </w:t>
            </w:r>
            <w:r w:rsidRPr="00DA45A1">
              <w:rPr>
                <w:rFonts w:ascii="Arial Narrow" w:hAnsi="Arial Narrow" w:cs="Arial"/>
                <w:sz w:val="22"/>
                <w:szCs w:val="22"/>
                <w:lang w:val="en-GB" w:eastAsia="en-GB"/>
              </w:rPr>
              <w:t>only support good performing partners and good development concepts and not to compromise the high IF (IV) process standards</w:t>
            </w:r>
            <w:r w:rsidR="00F76FCE">
              <w:rPr>
                <w:rFonts w:ascii="Arial Narrow" w:hAnsi="Arial Narrow" w:cs="Arial"/>
                <w:sz w:val="22"/>
                <w:szCs w:val="22"/>
                <w:lang w:val="en-GB" w:eastAsia="en-GB"/>
              </w:rPr>
              <w:t>. E</w:t>
            </w:r>
            <w:r>
              <w:rPr>
                <w:rFonts w:ascii="Arial Narrow" w:hAnsi="Arial Narrow" w:cs="Arial"/>
                <w:sz w:val="22"/>
                <w:szCs w:val="22"/>
                <w:lang w:val="en-GB" w:eastAsia="en-GB"/>
              </w:rPr>
              <w:t xml:space="preserve">nsure good communication of the process to all applicants. This creates a defensible </w:t>
            </w:r>
            <w:r w:rsidR="00F76FCE">
              <w:rPr>
                <w:rFonts w:ascii="Arial Narrow" w:hAnsi="Arial Narrow" w:cs="Arial"/>
                <w:sz w:val="22"/>
                <w:szCs w:val="22"/>
                <w:lang w:val="en-GB" w:eastAsia="en-GB"/>
              </w:rPr>
              <w:t>position</w:t>
            </w:r>
            <w:r>
              <w:rPr>
                <w:rFonts w:ascii="Arial Narrow" w:hAnsi="Arial Narrow" w:cs="Arial"/>
                <w:sz w:val="22"/>
                <w:szCs w:val="22"/>
                <w:lang w:val="en-GB" w:eastAsia="en-GB"/>
              </w:rPr>
              <w:t xml:space="preserve">. In difficult cases refer the applicant to the grievance mechanism. </w:t>
            </w:r>
          </w:p>
        </w:tc>
        <w:tc>
          <w:tcPr>
            <w:tcW w:w="284" w:type="dxa"/>
            <w:shd w:val="clear" w:color="auto" w:fill="auto"/>
            <w:tcMar>
              <w:left w:w="57" w:type="dxa"/>
              <w:right w:w="57" w:type="dxa"/>
            </w:tcMar>
          </w:tcPr>
          <w:p w:rsidR="00571CC1" w:rsidRPr="00571F0B" w:rsidRDefault="007A3FBB"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1</w:t>
            </w:r>
          </w:p>
        </w:tc>
        <w:tc>
          <w:tcPr>
            <w:tcW w:w="283" w:type="dxa"/>
            <w:shd w:val="clear" w:color="auto" w:fill="auto"/>
            <w:tcMar>
              <w:left w:w="57" w:type="dxa"/>
              <w:right w:w="57" w:type="dxa"/>
            </w:tcMar>
          </w:tcPr>
          <w:p w:rsidR="00571CC1" w:rsidRPr="00571F0B" w:rsidRDefault="007A3FBB"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2</w:t>
            </w:r>
          </w:p>
        </w:tc>
        <w:tc>
          <w:tcPr>
            <w:tcW w:w="253" w:type="dxa"/>
            <w:tcMar>
              <w:left w:w="57" w:type="dxa"/>
              <w:right w:w="57" w:type="dxa"/>
            </w:tcMar>
          </w:tcPr>
          <w:p w:rsidR="00571CC1" w:rsidRPr="00571F0B" w:rsidRDefault="007A3FBB" w:rsidP="0062086E">
            <w:pPr>
              <w:spacing w:before="60" w:after="60"/>
              <w:jc w:val="center"/>
              <w:rPr>
                <w:rFonts w:ascii="Arial Narrow" w:hAnsi="Arial Narrow" w:cs="Arial"/>
                <w:sz w:val="22"/>
                <w:szCs w:val="22"/>
                <w:lang w:val="en-GB" w:eastAsia="en-GB"/>
              </w:rPr>
            </w:pPr>
            <w:r>
              <w:rPr>
                <w:rFonts w:ascii="Arial Narrow" w:hAnsi="Arial Narrow" w:cs="Arial"/>
                <w:sz w:val="22"/>
                <w:szCs w:val="22"/>
                <w:lang w:val="en-GB" w:eastAsia="en-GB"/>
              </w:rPr>
              <w:t>3</w:t>
            </w:r>
          </w:p>
        </w:tc>
      </w:tr>
      <w:tr w:rsidR="00387BC0" w:rsidRPr="00571F0B" w:rsidTr="00B301E0">
        <w:trPr>
          <w:jc w:val="center"/>
        </w:trPr>
        <w:tc>
          <w:tcPr>
            <w:tcW w:w="3829" w:type="dxa"/>
            <w:tcBorders>
              <w:bottom w:val="single" w:sz="4" w:space="0" w:color="auto"/>
            </w:tcBorders>
          </w:tcPr>
          <w:p w:rsidR="00387BC0" w:rsidRPr="00571F0B" w:rsidRDefault="00387BC0" w:rsidP="0062086E">
            <w:pPr>
              <w:spacing w:before="0" w:after="120"/>
              <w:jc w:val="left"/>
              <w:rPr>
                <w:rFonts w:ascii="Arial Narrow" w:hAnsi="Arial Narrow"/>
                <w:sz w:val="22"/>
                <w:szCs w:val="22"/>
                <w:lang w:val="en-GB" w:eastAsia="en-GB"/>
              </w:rPr>
            </w:pPr>
            <w:r w:rsidRPr="00571F0B">
              <w:rPr>
                <w:rFonts w:ascii="Arial Narrow" w:hAnsi="Arial Narrow"/>
                <w:sz w:val="22"/>
                <w:szCs w:val="22"/>
                <w:lang w:val="en-GB" w:eastAsia="en-GB"/>
              </w:rPr>
              <w:t>IF (IV) and project cash-flows are disrupted by the UFU</w:t>
            </w:r>
          </w:p>
        </w:tc>
        <w:tc>
          <w:tcPr>
            <w:tcW w:w="567" w:type="dxa"/>
            <w:tcBorders>
              <w:bottom w:val="single" w:sz="4" w:space="0" w:color="auto"/>
            </w:tcBorders>
          </w:tcPr>
          <w:p w:rsidR="00387BC0" w:rsidRPr="00571F0B" w:rsidRDefault="00387BC0"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D</w:t>
            </w:r>
          </w:p>
        </w:tc>
        <w:tc>
          <w:tcPr>
            <w:tcW w:w="3621" w:type="dxa"/>
            <w:tcBorders>
              <w:bottom w:val="single" w:sz="4" w:space="0" w:color="auto"/>
            </w:tcBorders>
          </w:tcPr>
          <w:p w:rsidR="00387BC0" w:rsidRPr="00571F0B" w:rsidRDefault="00387BC0" w:rsidP="0062086E">
            <w:pPr>
              <w:spacing w:before="0" w:after="120"/>
              <w:jc w:val="left"/>
              <w:rPr>
                <w:rFonts w:ascii="Arial Narrow" w:hAnsi="Arial Narrow"/>
                <w:sz w:val="22"/>
                <w:szCs w:val="22"/>
                <w:lang w:val="en-GB" w:eastAsia="en-GB"/>
              </w:rPr>
            </w:pPr>
            <w:r w:rsidRPr="00571F0B">
              <w:rPr>
                <w:rFonts w:ascii="Arial Narrow" w:hAnsi="Arial Narrow"/>
                <w:sz w:val="22"/>
                <w:szCs w:val="22"/>
                <w:lang w:val="en-GB" w:eastAsia="en-GB"/>
              </w:rPr>
              <w:t>IF (IV) cannot mobilise support, projects activities delayed, sub-contractors walk away, costs rise</w:t>
            </w:r>
          </w:p>
        </w:tc>
        <w:tc>
          <w:tcPr>
            <w:tcW w:w="322" w:type="dxa"/>
            <w:tcBorders>
              <w:bottom w:val="single" w:sz="4" w:space="0" w:color="auto"/>
            </w:tcBorders>
            <w:shd w:val="clear" w:color="auto" w:fill="auto"/>
            <w:tcMar>
              <w:left w:w="57" w:type="dxa"/>
              <w:right w:w="57" w:type="dxa"/>
            </w:tcMar>
          </w:tcPr>
          <w:p w:rsidR="00387BC0" w:rsidRPr="00571F0B" w:rsidRDefault="00387BC0"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4</w:t>
            </w:r>
          </w:p>
        </w:tc>
        <w:tc>
          <w:tcPr>
            <w:tcW w:w="322" w:type="dxa"/>
            <w:tcBorders>
              <w:bottom w:val="single" w:sz="4" w:space="0" w:color="auto"/>
            </w:tcBorders>
            <w:shd w:val="clear" w:color="auto" w:fill="auto"/>
            <w:tcMar>
              <w:left w:w="57" w:type="dxa"/>
              <w:right w:w="57" w:type="dxa"/>
            </w:tcMar>
          </w:tcPr>
          <w:p w:rsidR="00387BC0" w:rsidRPr="00571F0B" w:rsidRDefault="00387BC0"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4</w:t>
            </w:r>
          </w:p>
        </w:tc>
        <w:tc>
          <w:tcPr>
            <w:tcW w:w="407" w:type="dxa"/>
            <w:tcBorders>
              <w:bottom w:val="single" w:sz="4" w:space="0" w:color="auto"/>
            </w:tcBorders>
            <w:shd w:val="clear" w:color="auto" w:fill="auto"/>
            <w:tcMar>
              <w:left w:w="57" w:type="dxa"/>
              <w:right w:w="57" w:type="dxa"/>
            </w:tcMar>
          </w:tcPr>
          <w:p w:rsidR="00387BC0" w:rsidRPr="00571F0B" w:rsidRDefault="00387BC0"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8</w:t>
            </w:r>
          </w:p>
        </w:tc>
        <w:tc>
          <w:tcPr>
            <w:tcW w:w="5245" w:type="dxa"/>
            <w:tcBorders>
              <w:bottom w:val="single" w:sz="4" w:space="0" w:color="auto"/>
            </w:tcBorders>
            <w:shd w:val="clear" w:color="auto" w:fill="auto"/>
          </w:tcPr>
          <w:p w:rsidR="00387BC0" w:rsidRPr="00571F0B" w:rsidRDefault="00387BC0" w:rsidP="0062086E">
            <w:pPr>
              <w:spacing w:before="0" w:after="120"/>
              <w:jc w:val="left"/>
              <w:rPr>
                <w:rFonts w:ascii="Arial Narrow" w:hAnsi="Arial Narrow"/>
                <w:sz w:val="22"/>
                <w:szCs w:val="22"/>
                <w:lang w:val="en-GB" w:eastAsia="en-GB"/>
              </w:rPr>
            </w:pPr>
            <w:r w:rsidRPr="00571F0B">
              <w:rPr>
                <w:rFonts w:ascii="Arial Narrow" w:hAnsi="Arial Narrow"/>
                <w:sz w:val="22"/>
                <w:szCs w:val="22"/>
                <w:lang w:val="en-GB" w:eastAsia="en-GB"/>
              </w:rPr>
              <w:t>Cash-flow planning and efficient forecasting can only ease some risk. Non-use of easy flexibility and scalability in the UFU limits is required</w:t>
            </w:r>
          </w:p>
        </w:tc>
        <w:tc>
          <w:tcPr>
            <w:tcW w:w="284" w:type="dxa"/>
            <w:tcBorders>
              <w:bottom w:val="single" w:sz="4" w:space="0" w:color="auto"/>
            </w:tcBorders>
            <w:shd w:val="clear" w:color="auto" w:fill="auto"/>
            <w:tcMar>
              <w:left w:w="57" w:type="dxa"/>
              <w:right w:w="57" w:type="dxa"/>
            </w:tcMar>
          </w:tcPr>
          <w:p w:rsidR="00387BC0" w:rsidRPr="00571F0B" w:rsidRDefault="00387BC0"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1</w:t>
            </w:r>
          </w:p>
        </w:tc>
        <w:tc>
          <w:tcPr>
            <w:tcW w:w="283" w:type="dxa"/>
            <w:tcBorders>
              <w:bottom w:val="single" w:sz="4" w:space="0" w:color="auto"/>
            </w:tcBorders>
            <w:shd w:val="clear" w:color="auto" w:fill="auto"/>
            <w:tcMar>
              <w:left w:w="57" w:type="dxa"/>
              <w:right w:w="57" w:type="dxa"/>
            </w:tcMar>
          </w:tcPr>
          <w:p w:rsidR="00387BC0" w:rsidRPr="00571F0B" w:rsidRDefault="00387BC0"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1</w:t>
            </w:r>
          </w:p>
        </w:tc>
        <w:tc>
          <w:tcPr>
            <w:tcW w:w="253" w:type="dxa"/>
            <w:tcBorders>
              <w:bottom w:val="single" w:sz="4" w:space="0" w:color="auto"/>
            </w:tcBorders>
            <w:tcMar>
              <w:left w:w="57" w:type="dxa"/>
              <w:right w:w="57" w:type="dxa"/>
            </w:tcMar>
          </w:tcPr>
          <w:p w:rsidR="00387BC0" w:rsidRPr="00571F0B" w:rsidRDefault="00387BC0"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2</w:t>
            </w:r>
          </w:p>
        </w:tc>
      </w:tr>
      <w:tr w:rsidR="00B301E0" w:rsidRPr="00571F0B" w:rsidTr="00B301E0">
        <w:trPr>
          <w:jc w:val="center"/>
        </w:trPr>
        <w:tc>
          <w:tcPr>
            <w:tcW w:w="3829" w:type="dxa"/>
            <w:shd w:val="clear" w:color="auto" w:fill="auto"/>
          </w:tcPr>
          <w:p w:rsidR="00B301E0" w:rsidRPr="00B301E0" w:rsidRDefault="00B301E0">
            <w:pPr>
              <w:spacing w:after="120"/>
              <w:rPr>
                <w:rFonts w:ascii="Arial Narrow" w:eastAsiaTheme="minorHAnsi" w:hAnsi="Arial Narrow"/>
                <w:sz w:val="22"/>
                <w:szCs w:val="22"/>
                <w:lang w:val="en-GB" w:eastAsia="en-GB"/>
              </w:rPr>
            </w:pPr>
            <w:r w:rsidRPr="00B301E0">
              <w:rPr>
                <w:rFonts w:ascii="Arial Narrow" w:hAnsi="Arial Narrow"/>
                <w:i/>
                <w:iCs/>
                <w:sz w:val="22"/>
                <w:szCs w:val="22"/>
                <w:lang w:val="en-GB" w:eastAsia="en-GB"/>
              </w:rPr>
              <w:t>For reimbursable payment arrangement</w:t>
            </w:r>
            <w:r w:rsidRPr="00B301E0">
              <w:rPr>
                <w:rFonts w:ascii="Arial Narrow" w:hAnsi="Arial Narrow"/>
                <w:sz w:val="22"/>
                <w:szCs w:val="22"/>
                <w:lang w:val="en-GB" w:eastAsia="en-GB"/>
              </w:rPr>
              <w:t xml:space="preserve"> – The capacity of the contractor to fund projects diminished with increased number of projects being funded. </w:t>
            </w:r>
          </w:p>
        </w:tc>
        <w:tc>
          <w:tcPr>
            <w:tcW w:w="567" w:type="dxa"/>
            <w:shd w:val="clear" w:color="auto" w:fill="auto"/>
          </w:tcPr>
          <w:p w:rsidR="00B301E0" w:rsidRPr="00B301E0" w:rsidRDefault="00B301E0">
            <w:pPr>
              <w:spacing w:after="120"/>
              <w:jc w:val="center"/>
              <w:rPr>
                <w:rFonts w:ascii="Arial Narrow" w:eastAsiaTheme="minorHAnsi" w:hAnsi="Arial Narrow"/>
                <w:sz w:val="22"/>
                <w:szCs w:val="22"/>
                <w:lang w:val="en-GB" w:eastAsia="en-GB"/>
              </w:rPr>
            </w:pPr>
            <w:r w:rsidRPr="00B301E0">
              <w:rPr>
                <w:rFonts w:ascii="Arial Narrow" w:hAnsi="Arial Narrow"/>
                <w:sz w:val="22"/>
                <w:szCs w:val="22"/>
                <w:lang w:val="en-GB" w:eastAsia="en-GB"/>
              </w:rPr>
              <w:t>P</w:t>
            </w:r>
          </w:p>
        </w:tc>
        <w:tc>
          <w:tcPr>
            <w:tcW w:w="3621" w:type="dxa"/>
            <w:shd w:val="clear" w:color="auto" w:fill="auto"/>
          </w:tcPr>
          <w:p w:rsidR="00B301E0" w:rsidRPr="00B301E0" w:rsidRDefault="00B301E0">
            <w:pPr>
              <w:spacing w:after="120"/>
              <w:rPr>
                <w:rFonts w:ascii="Arial Narrow" w:eastAsiaTheme="minorHAnsi" w:hAnsi="Arial Narrow"/>
                <w:sz w:val="22"/>
                <w:szCs w:val="22"/>
                <w:lang w:val="en-GB" w:eastAsia="en-GB"/>
              </w:rPr>
            </w:pPr>
            <w:r w:rsidRPr="00B301E0">
              <w:rPr>
                <w:rFonts w:ascii="Arial Narrow" w:hAnsi="Arial Narrow"/>
                <w:sz w:val="22"/>
                <w:szCs w:val="22"/>
                <w:lang w:val="en-GB" w:eastAsia="en-GB"/>
              </w:rPr>
              <w:t xml:space="preserve">IF (IV) individual project implementation schedules are disrupted resulting in delays in completion of projects hence reputational damage to DFAT  </w:t>
            </w:r>
          </w:p>
        </w:tc>
        <w:tc>
          <w:tcPr>
            <w:tcW w:w="322" w:type="dxa"/>
            <w:shd w:val="clear" w:color="auto" w:fill="auto"/>
            <w:tcMar>
              <w:left w:w="57" w:type="dxa"/>
              <w:right w:w="57" w:type="dxa"/>
            </w:tcMar>
          </w:tcPr>
          <w:p w:rsidR="00B301E0" w:rsidRPr="00B301E0" w:rsidRDefault="00B301E0">
            <w:pPr>
              <w:spacing w:after="120"/>
              <w:jc w:val="center"/>
              <w:rPr>
                <w:rFonts w:ascii="Arial Narrow" w:eastAsiaTheme="minorHAnsi" w:hAnsi="Arial Narrow"/>
                <w:sz w:val="22"/>
                <w:szCs w:val="22"/>
                <w:lang w:val="en-GB" w:eastAsia="en-GB"/>
              </w:rPr>
            </w:pPr>
            <w:r w:rsidRPr="00B301E0">
              <w:rPr>
                <w:rFonts w:ascii="Arial Narrow" w:hAnsi="Arial Narrow"/>
                <w:sz w:val="22"/>
                <w:szCs w:val="22"/>
                <w:lang w:val="en-GB" w:eastAsia="en-GB"/>
              </w:rPr>
              <w:t>4</w:t>
            </w:r>
          </w:p>
        </w:tc>
        <w:tc>
          <w:tcPr>
            <w:tcW w:w="322" w:type="dxa"/>
            <w:shd w:val="clear" w:color="auto" w:fill="auto"/>
            <w:tcMar>
              <w:left w:w="57" w:type="dxa"/>
              <w:right w:w="57" w:type="dxa"/>
            </w:tcMar>
          </w:tcPr>
          <w:p w:rsidR="00B301E0" w:rsidRPr="00B301E0" w:rsidRDefault="00B301E0">
            <w:pPr>
              <w:spacing w:after="120"/>
              <w:jc w:val="center"/>
              <w:rPr>
                <w:rFonts w:ascii="Arial Narrow" w:eastAsiaTheme="minorHAnsi" w:hAnsi="Arial Narrow"/>
                <w:sz w:val="22"/>
                <w:szCs w:val="22"/>
                <w:lang w:val="en-GB" w:eastAsia="en-GB"/>
              </w:rPr>
            </w:pPr>
            <w:r w:rsidRPr="00B301E0">
              <w:rPr>
                <w:rFonts w:ascii="Arial Narrow" w:hAnsi="Arial Narrow"/>
                <w:sz w:val="22"/>
                <w:szCs w:val="22"/>
                <w:lang w:val="en-GB" w:eastAsia="en-GB"/>
              </w:rPr>
              <w:t>4</w:t>
            </w:r>
          </w:p>
        </w:tc>
        <w:tc>
          <w:tcPr>
            <w:tcW w:w="407" w:type="dxa"/>
            <w:shd w:val="clear" w:color="auto" w:fill="auto"/>
            <w:tcMar>
              <w:left w:w="57" w:type="dxa"/>
              <w:right w:w="57" w:type="dxa"/>
            </w:tcMar>
          </w:tcPr>
          <w:p w:rsidR="00B301E0" w:rsidRPr="00B301E0" w:rsidRDefault="00B301E0">
            <w:pPr>
              <w:spacing w:after="120"/>
              <w:jc w:val="center"/>
              <w:rPr>
                <w:rFonts w:ascii="Arial Narrow" w:eastAsiaTheme="minorHAnsi" w:hAnsi="Arial Narrow"/>
                <w:sz w:val="22"/>
                <w:szCs w:val="22"/>
                <w:lang w:val="en-GB" w:eastAsia="en-GB"/>
              </w:rPr>
            </w:pPr>
            <w:r w:rsidRPr="00B301E0">
              <w:rPr>
                <w:rFonts w:ascii="Arial Narrow" w:hAnsi="Arial Narrow"/>
                <w:sz w:val="22"/>
                <w:szCs w:val="22"/>
                <w:lang w:val="en-GB" w:eastAsia="en-GB"/>
              </w:rPr>
              <w:t>8</w:t>
            </w:r>
          </w:p>
        </w:tc>
        <w:tc>
          <w:tcPr>
            <w:tcW w:w="5245" w:type="dxa"/>
            <w:shd w:val="clear" w:color="auto" w:fill="auto"/>
          </w:tcPr>
          <w:p w:rsidR="00B301E0" w:rsidRPr="00B301E0" w:rsidRDefault="00B301E0">
            <w:pPr>
              <w:spacing w:after="120"/>
              <w:rPr>
                <w:rFonts w:ascii="Arial Narrow" w:eastAsiaTheme="minorHAnsi" w:hAnsi="Arial Narrow"/>
                <w:sz w:val="22"/>
                <w:szCs w:val="22"/>
                <w:lang w:val="en-GB" w:eastAsia="en-GB"/>
              </w:rPr>
            </w:pPr>
            <w:r w:rsidRPr="00B301E0">
              <w:rPr>
                <w:rFonts w:ascii="Arial Narrow" w:hAnsi="Arial Narrow"/>
                <w:sz w:val="22"/>
                <w:szCs w:val="22"/>
                <w:lang w:val="en-GB" w:eastAsia="en-GB"/>
              </w:rPr>
              <w:t>Efficient forward planning to ensure that most large value grant processes don’t overlap from the same pool of funds. The UFU would need to be able to scale up when required, recognising that this will have a higher cost to DFAT.</w:t>
            </w:r>
          </w:p>
        </w:tc>
        <w:tc>
          <w:tcPr>
            <w:tcW w:w="284" w:type="dxa"/>
            <w:shd w:val="clear" w:color="auto" w:fill="auto"/>
            <w:tcMar>
              <w:left w:w="57" w:type="dxa"/>
              <w:right w:w="57" w:type="dxa"/>
            </w:tcMar>
          </w:tcPr>
          <w:p w:rsidR="00B301E0" w:rsidRPr="00B301E0" w:rsidRDefault="00B301E0">
            <w:pPr>
              <w:spacing w:after="120"/>
              <w:jc w:val="center"/>
              <w:rPr>
                <w:rFonts w:ascii="Arial Narrow" w:eastAsiaTheme="minorHAnsi" w:hAnsi="Arial Narrow"/>
                <w:sz w:val="22"/>
                <w:szCs w:val="22"/>
                <w:lang w:val="en-GB" w:eastAsia="en-GB"/>
              </w:rPr>
            </w:pPr>
            <w:r w:rsidRPr="00B301E0">
              <w:rPr>
                <w:rFonts w:ascii="Arial Narrow" w:hAnsi="Arial Narrow"/>
                <w:sz w:val="22"/>
                <w:szCs w:val="22"/>
                <w:lang w:val="en-GB" w:eastAsia="en-GB"/>
              </w:rPr>
              <w:t>2</w:t>
            </w:r>
          </w:p>
        </w:tc>
        <w:tc>
          <w:tcPr>
            <w:tcW w:w="283" w:type="dxa"/>
            <w:shd w:val="clear" w:color="auto" w:fill="auto"/>
            <w:tcMar>
              <w:left w:w="57" w:type="dxa"/>
              <w:right w:w="57" w:type="dxa"/>
            </w:tcMar>
          </w:tcPr>
          <w:p w:rsidR="00B301E0" w:rsidRPr="00B301E0" w:rsidRDefault="00B301E0">
            <w:pPr>
              <w:spacing w:after="120"/>
              <w:jc w:val="center"/>
              <w:rPr>
                <w:rFonts w:ascii="Arial Narrow" w:eastAsiaTheme="minorHAnsi" w:hAnsi="Arial Narrow"/>
                <w:sz w:val="22"/>
                <w:szCs w:val="22"/>
                <w:lang w:val="en-GB" w:eastAsia="en-GB"/>
              </w:rPr>
            </w:pPr>
            <w:r w:rsidRPr="00B301E0">
              <w:rPr>
                <w:rFonts w:ascii="Arial Narrow" w:hAnsi="Arial Narrow"/>
                <w:sz w:val="22"/>
                <w:szCs w:val="22"/>
                <w:lang w:val="en-GB" w:eastAsia="en-GB"/>
              </w:rPr>
              <w:t>2</w:t>
            </w:r>
          </w:p>
        </w:tc>
        <w:tc>
          <w:tcPr>
            <w:tcW w:w="253" w:type="dxa"/>
            <w:shd w:val="clear" w:color="auto" w:fill="auto"/>
            <w:tcMar>
              <w:left w:w="57" w:type="dxa"/>
              <w:right w:w="57" w:type="dxa"/>
            </w:tcMar>
          </w:tcPr>
          <w:p w:rsidR="00B301E0" w:rsidRPr="00B301E0" w:rsidRDefault="00B301E0">
            <w:pPr>
              <w:spacing w:after="120"/>
              <w:jc w:val="center"/>
              <w:rPr>
                <w:rFonts w:ascii="Arial Narrow" w:eastAsiaTheme="minorHAnsi" w:hAnsi="Arial Narrow"/>
                <w:sz w:val="22"/>
                <w:szCs w:val="22"/>
                <w:lang w:val="en-GB" w:eastAsia="en-GB"/>
              </w:rPr>
            </w:pPr>
            <w:r w:rsidRPr="00B301E0">
              <w:rPr>
                <w:rFonts w:ascii="Arial Narrow" w:hAnsi="Arial Narrow"/>
                <w:sz w:val="22"/>
                <w:szCs w:val="22"/>
                <w:lang w:val="en-GB" w:eastAsia="en-GB"/>
              </w:rPr>
              <w:t>4</w:t>
            </w:r>
          </w:p>
        </w:tc>
      </w:tr>
      <w:tr w:rsidR="00B301E0" w:rsidRPr="00571F0B" w:rsidTr="00B301E0">
        <w:trPr>
          <w:jc w:val="center"/>
        </w:trPr>
        <w:tc>
          <w:tcPr>
            <w:tcW w:w="3829" w:type="dxa"/>
            <w:shd w:val="clear" w:color="auto" w:fill="auto"/>
          </w:tcPr>
          <w:p w:rsidR="00B301E0" w:rsidRPr="00B301E0" w:rsidRDefault="00B301E0">
            <w:pPr>
              <w:spacing w:after="120"/>
              <w:rPr>
                <w:rFonts w:ascii="Arial Narrow" w:eastAsiaTheme="minorHAnsi" w:hAnsi="Arial Narrow"/>
                <w:sz w:val="22"/>
                <w:szCs w:val="22"/>
                <w:lang w:val="en-GB" w:eastAsia="en-GB"/>
              </w:rPr>
            </w:pPr>
            <w:r w:rsidRPr="00B301E0">
              <w:rPr>
                <w:rFonts w:ascii="Arial Narrow" w:hAnsi="Arial Narrow"/>
                <w:i/>
                <w:iCs/>
                <w:sz w:val="22"/>
                <w:szCs w:val="22"/>
                <w:lang w:val="en-GB" w:eastAsia="en-GB"/>
              </w:rPr>
              <w:t>In a prepayment payment arrangement  for a grant funding mechanism</w:t>
            </w:r>
            <w:r w:rsidRPr="00B301E0">
              <w:rPr>
                <w:rFonts w:ascii="Arial Narrow" w:hAnsi="Arial Narrow"/>
                <w:sz w:val="22"/>
                <w:szCs w:val="22"/>
                <w:lang w:val="en-GB" w:eastAsia="en-GB"/>
              </w:rPr>
              <w:t xml:space="preserve"> – </w:t>
            </w:r>
          </w:p>
          <w:p w:rsidR="00B301E0" w:rsidRPr="00B301E0" w:rsidRDefault="00B301E0">
            <w:pPr>
              <w:spacing w:after="120"/>
              <w:rPr>
                <w:rFonts w:ascii="Arial Narrow" w:eastAsiaTheme="minorHAnsi" w:hAnsi="Arial Narrow"/>
                <w:sz w:val="22"/>
                <w:szCs w:val="22"/>
                <w:lang w:val="en-GB" w:eastAsia="en-GB"/>
              </w:rPr>
            </w:pPr>
            <w:r w:rsidRPr="00B301E0">
              <w:rPr>
                <w:rFonts w:ascii="Arial Narrow" w:hAnsi="Arial Narrow"/>
                <w:sz w:val="22"/>
                <w:szCs w:val="22"/>
                <w:lang w:val="en-GB" w:eastAsia="en-GB"/>
              </w:rPr>
              <w:t xml:space="preserve">Cases of fraudulent activities at the project implementation level  </w:t>
            </w:r>
          </w:p>
        </w:tc>
        <w:tc>
          <w:tcPr>
            <w:tcW w:w="567" w:type="dxa"/>
            <w:shd w:val="clear" w:color="auto" w:fill="auto"/>
          </w:tcPr>
          <w:p w:rsidR="00B301E0" w:rsidRPr="00B301E0" w:rsidRDefault="00B301E0">
            <w:pPr>
              <w:spacing w:after="120"/>
              <w:jc w:val="center"/>
              <w:rPr>
                <w:rFonts w:ascii="Arial Narrow" w:eastAsiaTheme="minorHAnsi" w:hAnsi="Arial Narrow"/>
                <w:sz w:val="22"/>
                <w:szCs w:val="22"/>
                <w:lang w:val="en-GB" w:eastAsia="en-GB"/>
              </w:rPr>
            </w:pPr>
            <w:r w:rsidRPr="00B301E0">
              <w:rPr>
                <w:rFonts w:ascii="Arial Narrow" w:hAnsi="Arial Narrow"/>
                <w:sz w:val="22"/>
                <w:szCs w:val="22"/>
                <w:lang w:val="en-GB" w:eastAsia="en-GB"/>
              </w:rPr>
              <w:t>P</w:t>
            </w:r>
          </w:p>
        </w:tc>
        <w:tc>
          <w:tcPr>
            <w:tcW w:w="3621" w:type="dxa"/>
            <w:shd w:val="clear" w:color="auto" w:fill="auto"/>
          </w:tcPr>
          <w:p w:rsidR="00B301E0" w:rsidRPr="00B301E0" w:rsidRDefault="00B301E0">
            <w:pPr>
              <w:spacing w:after="120"/>
              <w:rPr>
                <w:rFonts w:ascii="Arial Narrow" w:eastAsiaTheme="minorHAnsi" w:hAnsi="Arial Narrow"/>
                <w:sz w:val="22"/>
                <w:szCs w:val="22"/>
                <w:lang w:val="en-GB" w:eastAsia="en-GB"/>
              </w:rPr>
            </w:pPr>
            <w:r w:rsidRPr="00B301E0">
              <w:rPr>
                <w:rFonts w:ascii="Arial Narrow" w:hAnsi="Arial Narrow"/>
                <w:sz w:val="22"/>
                <w:szCs w:val="22"/>
                <w:lang w:val="en-GB" w:eastAsia="en-GB"/>
              </w:rPr>
              <w:t>DFAT’s integrity to manage commonwealth resources in an effective and ethical manner is compromised.</w:t>
            </w:r>
          </w:p>
          <w:p w:rsidR="00B301E0" w:rsidRPr="00B301E0" w:rsidRDefault="00B301E0">
            <w:pPr>
              <w:spacing w:after="120"/>
              <w:rPr>
                <w:rFonts w:ascii="Arial Narrow" w:eastAsiaTheme="minorHAnsi" w:hAnsi="Arial Narrow"/>
                <w:sz w:val="22"/>
                <w:szCs w:val="22"/>
                <w:lang w:val="en-GB" w:eastAsia="en-GB"/>
              </w:rPr>
            </w:pPr>
            <w:r w:rsidRPr="00B301E0">
              <w:rPr>
                <w:rFonts w:ascii="Arial Narrow" w:hAnsi="Arial Narrow"/>
                <w:sz w:val="22"/>
                <w:szCs w:val="22"/>
                <w:lang w:val="en-GB" w:eastAsia="en-GB"/>
              </w:rPr>
              <w:t>IF reputation and track record as a good performing program will change</w:t>
            </w:r>
            <w:r w:rsidR="003D01BE">
              <w:rPr>
                <w:rFonts w:ascii="Arial Narrow" w:hAnsi="Arial Narrow"/>
                <w:sz w:val="22"/>
                <w:szCs w:val="22"/>
                <w:lang w:val="en-GB" w:eastAsia="en-GB"/>
              </w:rPr>
              <w:t>.</w:t>
            </w:r>
          </w:p>
        </w:tc>
        <w:tc>
          <w:tcPr>
            <w:tcW w:w="322" w:type="dxa"/>
            <w:shd w:val="clear" w:color="auto" w:fill="auto"/>
            <w:tcMar>
              <w:left w:w="57" w:type="dxa"/>
              <w:right w:w="57" w:type="dxa"/>
            </w:tcMar>
          </w:tcPr>
          <w:p w:rsidR="00B301E0" w:rsidRPr="00B301E0" w:rsidRDefault="00B301E0">
            <w:pPr>
              <w:spacing w:after="120"/>
              <w:jc w:val="center"/>
              <w:rPr>
                <w:rFonts w:ascii="Arial Narrow" w:eastAsiaTheme="minorHAnsi" w:hAnsi="Arial Narrow"/>
                <w:sz w:val="22"/>
                <w:szCs w:val="22"/>
                <w:lang w:val="en-GB" w:eastAsia="en-GB"/>
              </w:rPr>
            </w:pPr>
            <w:r w:rsidRPr="00B301E0">
              <w:rPr>
                <w:rFonts w:ascii="Arial Narrow" w:hAnsi="Arial Narrow"/>
                <w:sz w:val="22"/>
                <w:szCs w:val="22"/>
                <w:lang w:val="en-GB" w:eastAsia="en-GB"/>
              </w:rPr>
              <w:t>3</w:t>
            </w:r>
          </w:p>
        </w:tc>
        <w:tc>
          <w:tcPr>
            <w:tcW w:w="322" w:type="dxa"/>
            <w:shd w:val="clear" w:color="auto" w:fill="auto"/>
            <w:tcMar>
              <w:left w:w="57" w:type="dxa"/>
              <w:right w:w="57" w:type="dxa"/>
            </w:tcMar>
          </w:tcPr>
          <w:p w:rsidR="00B301E0" w:rsidRPr="00B301E0" w:rsidRDefault="00B301E0">
            <w:pPr>
              <w:spacing w:after="120"/>
              <w:jc w:val="center"/>
              <w:rPr>
                <w:rFonts w:ascii="Arial Narrow" w:eastAsiaTheme="minorHAnsi" w:hAnsi="Arial Narrow"/>
                <w:sz w:val="22"/>
                <w:szCs w:val="22"/>
                <w:lang w:val="en-GB" w:eastAsia="en-GB"/>
              </w:rPr>
            </w:pPr>
            <w:r w:rsidRPr="00B301E0">
              <w:rPr>
                <w:rFonts w:ascii="Arial Narrow" w:hAnsi="Arial Narrow"/>
                <w:sz w:val="22"/>
                <w:szCs w:val="22"/>
                <w:lang w:val="en-GB" w:eastAsia="en-GB"/>
              </w:rPr>
              <w:t>3</w:t>
            </w:r>
          </w:p>
        </w:tc>
        <w:tc>
          <w:tcPr>
            <w:tcW w:w="407" w:type="dxa"/>
            <w:shd w:val="clear" w:color="auto" w:fill="auto"/>
            <w:tcMar>
              <w:left w:w="57" w:type="dxa"/>
              <w:right w:w="57" w:type="dxa"/>
            </w:tcMar>
          </w:tcPr>
          <w:p w:rsidR="00B301E0" w:rsidRPr="00B301E0" w:rsidRDefault="00B301E0">
            <w:pPr>
              <w:spacing w:after="120"/>
              <w:jc w:val="center"/>
              <w:rPr>
                <w:rFonts w:ascii="Arial Narrow" w:eastAsiaTheme="minorHAnsi" w:hAnsi="Arial Narrow"/>
                <w:sz w:val="22"/>
                <w:szCs w:val="22"/>
                <w:lang w:val="en-GB" w:eastAsia="en-GB"/>
              </w:rPr>
            </w:pPr>
            <w:r w:rsidRPr="00B301E0">
              <w:rPr>
                <w:rFonts w:ascii="Arial Narrow" w:hAnsi="Arial Narrow"/>
                <w:sz w:val="22"/>
                <w:szCs w:val="22"/>
                <w:lang w:val="en-GB" w:eastAsia="en-GB"/>
              </w:rPr>
              <w:t>6</w:t>
            </w:r>
          </w:p>
        </w:tc>
        <w:tc>
          <w:tcPr>
            <w:tcW w:w="5245" w:type="dxa"/>
            <w:shd w:val="clear" w:color="auto" w:fill="auto"/>
          </w:tcPr>
          <w:p w:rsidR="00B301E0" w:rsidRPr="00B301E0" w:rsidRDefault="00B301E0">
            <w:pPr>
              <w:spacing w:after="120"/>
              <w:rPr>
                <w:rFonts w:ascii="Arial Narrow" w:eastAsiaTheme="minorHAnsi" w:hAnsi="Arial Narrow"/>
                <w:sz w:val="22"/>
                <w:szCs w:val="22"/>
                <w:lang w:val="en-GB" w:eastAsia="en-GB"/>
              </w:rPr>
            </w:pPr>
            <w:r w:rsidRPr="00B301E0">
              <w:rPr>
                <w:rFonts w:ascii="Arial Narrow" w:hAnsi="Arial Narrow"/>
                <w:sz w:val="22"/>
                <w:szCs w:val="22"/>
                <w:lang w:val="en-GB" w:eastAsia="en-GB"/>
              </w:rPr>
              <w:t xml:space="preserve">Ensure strong financial management and reporting processes are in place and supported by the Managing Contractor. The IF agreement signed by the MC and the project beneficiary provides the requirements for all management, reporting and evaluation of the financial management of the projects. The Financial Manual at the program level will need to be robust enough to cover these risks and be able to be reviewed and updated as required. </w:t>
            </w:r>
          </w:p>
        </w:tc>
        <w:tc>
          <w:tcPr>
            <w:tcW w:w="284" w:type="dxa"/>
            <w:shd w:val="clear" w:color="auto" w:fill="auto"/>
            <w:tcMar>
              <w:left w:w="57" w:type="dxa"/>
              <w:right w:w="57" w:type="dxa"/>
            </w:tcMar>
          </w:tcPr>
          <w:p w:rsidR="00B301E0" w:rsidRPr="00B301E0" w:rsidRDefault="00B301E0">
            <w:pPr>
              <w:spacing w:after="120"/>
              <w:jc w:val="center"/>
              <w:rPr>
                <w:rFonts w:ascii="Arial Narrow" w:eastAsiaTheme="minorHAnsi" w:hAnsi="Arial Narrow"/>
                <w:sz w:val="22"/>
                <w:szCs w:val="22"/>
                <w:lang w:val="en-GB" w:eastAsia="en-GB"/>
              </w:rPr>
            </w:pPr>
            <w:r w:rsidRPr="00B301E0">
              <w:rPr>
                <w:rFonts w:ascii="Arial Narrow" w:hAnsi="Arial Narrow"/>
                <w:sz w:val="22"/>
                <w:szCs w:val="22"/>
                <w:lang w:val="en-GB" w:eastAsia="en-GB"/>
              </w:rPr>
              <w:t>1</w:t>
            </w:r>
          </w:p>
        </w:tc>
        <w:tc>
          <w:tcPr>
            <w:tcW w:w="283" w:type="dxa"/>
            <w:shd w:val="clear" w:color="auto" w:fill="auto"/>
            <w:tcMar>
              <w:left w:w="57" w:type="dxa"/>
              <w:right w:w="57" w:type="dxa"/>
            </w:tcMar>
          </w:tcPr>
          <w:p w:rsidR="00B301E0" w:rsidRPr="00B301E0" w:rsidRDefault="00B301E0">
            <w:pPr>
              <w:spacing w:after="120"/>
              <w:jc w:val="center"/>
              <w:rPr>
                <w:rFonts w:ascii="Arial Narrow" w:eastAsiaTheme="minorHAnsi" w:hAnsi="Arial Narrow"/>
                <w:sz w:val="22"/>
                <w:szCs w:val="22"/>
                <w:lang w:val="en-GB" w:eastAsia="en-GB"/>
              </w:rPr>
            </w:pPr>
            <w:r w:rsidRPr="00B301E0">
              <w:rPr>
                <w:rFonts w:ascii="Arial Narrow" w:hAnsi="Arial Narrow"/>
                <w:sz w:val="22"/>
                <w:szCs w:val="22"/>
                <w:lang w:val="en-GB" w:eastAsia="en-GB"/>
              </w:rPr>
              <w:t>2</w:t>
            </w:r>
          </w:p>
        </w:tc>
        <w:tc>
          <w:tcPr>
            <w:tcW w:w="253" w:type="dxa"/>
            <w:shd w:val="clear" w:color="auto" w:fill="auto"/>
            <w:tcMar>
              <w:left w:w="57" w:type="dxa"/>
              <w:right w:w="57" w:type="dxa"/>
            </w:tcMar>
          </w:tcPr>
          <w:p w:rsidR="00B301E0" w:rsidRPr="00B301E0" w:rsidRDefault="00B301E0">
            <w:pPr>
              <w:spacing w:after="120"/>
              <w:jc w:val="center"/>
              <w:rPr>
                <w:rFonts w:ascii="Arial Narrow" w:eastAsiaTheme="minorHAnsi" w:hAnsi="Arial Narrow"/>
                <w:sz w:val="22"/>
                <w:szCs w:val="22"/>
                <w:lang w:val="en-GB" w:eastAsia="en-GB"/>
              </w:rPr>
            </w:pPr>
            <w:r w:rsidRPr="00B301E0">
              <w:rPr>
                <w:rFonts w:ascii="Arial Narrow" w:hAnsi="Arial Narrow"/>
                <w:sz w:val="22"/>
                <w:szCs w:val="22"/>
                <w:lang w:val="en-GB" w:eastAsia="en-GB"/>
              </w:rPr>
              <w:t>3</w:t>
            </w:r>
          </w:p>
        </w:tc>
      </w:tr>
      <w:tr w:rsidR="00262D9A" w:rsidRPr="00571F0B" w:rsidTr="00277117">
        <w:trPr>
          <w:jc w:val="center"/>
        </w:trPr>
        <w:tc>
          <w:tcPr>
            <w:tcW w:w="3829" w:type="dxa"/>
          </w:tcPr>
          <w:p w:rsidR="00262D9A" w:rsidRPr="00571F0B" w:rsidRDefault="00262D9A" w:rsidP="00345556">
            <w:pPr>
              <w:spacing w:before="0" w:after="120"/>
              <w:jc w:val="left"/>
              <w:rPr>
                <w:rFonts w:ascii="Arial Narrow" w:hAnsi="Arial Narrow"/>
                <w:sz w:val="22"/>
                <w:szCs w:val="22"/>
                <w:lang w:val="en-GB" w:eastAsia="en-GB"/>
              </w:rPr>
            </w:pPr>
            <w:r w:rsidRPr="00571F0B">
              <w:rPr>
                <w:rFonts w:ascii="Arial Narrow" w:hAnsi="Arial Narrow"/>
                <w:sz w:val="22"/>
                <w:szCs w:val="22"/>
                <w:lang w:val="en-GB" w:eastAsia="en-GB"/>
              </w:rPr>
              <w:t xml:space="preserve">Less than </w:t>
            </w:r>
            <w:r w:rsidRPr="00463D79">
              <w:rPr>
                <w:rFonts w:ascii="Arial Narrow" w:hAnsi="Arial Narrow"/>
                <w:sz w:val="22"/>
                <w:szCs w:val="22"/>
                <w:lang w:val="en-GB" w:eastAsia="en-GB"/>
              </w:rPr>
              <w:t>80 per cent of the investments will support empowerment of women and girls</w:t>
            </w:r>
          </w:p>
        </w:tc>
        <w:tc>
          <w:tcPr>
            <w:tcW w:w="567" w:type="dxa"/>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D</w:t>
            </w:r>
          </w:p>
        </w:tc>
        <w:tc>
          <w:tcPr>
            <w:tcW w:w="3621" w:type="dxa"/>
          </w:tcPr>
          <w:p w:rsidR="00262D9A" w:rsidRPr="00571F0B" w:rsidRDefault="00262D9A" w:rsidP="00345556">
            <w:pPr>
              <w:spacing w:before="0" w:after="120"/>
              <w:jc w:val="left"/>
              <w:rPr>
                <w:rFonts w:ascii="Arial Narrow" w:hAnsi="Arial Narrow"/>
                <w:sz w:val="22"/>
                <w:szCs w:val="22"/>
                <w:lang w:val="en-GB" w:eastAsia="en-GB"/>
              </w:rPr>
            </w:pPr>
            <w:r w:rsidRPr="00571F0B">
              <w:rPr>
                <w:rFonts w:ascii="Arial Narrow" w:hAnsi="Arial Narrow"/>
                <w:sz w:val="22"/>
                <w:szCs w:val="22"/>
                <w:lang w:val="en-GB" w:eastAsia="en-GB"/>
              </w:rPr>
              <w:t xml:space="preserve">Women and girls continue to suffer, high level Australian targets unmet, wasted opportunity </w:t>
            </w:r>
          </w:p>
        </w:tc>
        <w:tc>
          <w:tcPr>
            <w:tcW w:w="322"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4</w:t>
            </w:r>
          </w:p>
        </w:tc>
        <w:tc>
          <w:tcPr>
            <w:tcW w:w="322"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4</w:t>
            </w:r>
          </w:p>
        </w:tc>
        <w:tc>
          <w:tcPr>
            <w:tcW w:w="407"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8</w:t>
            </w:r>
          </w:p>
        </w:tc>
        <w:tc>
          <w:tcPr>
            <w:tcW w:w="5245" w:type="dxa"/>
            <w:shd w:val="clear" w:color="auto" w:fill="auto"/>
          </w:tcPr>
          <w:p w:rsidR="00262D9A" w:rsidRPr="00571F0B" w:rsidRDefault="00262D9A" w:rsidP="00571CC1">
            <w:pPr>
              <w:spacing w:before="0" w:after="120"/>
              <w:jc w:val="left"/>
              <w:rPr>
                <w:rFonts w:ascii="Arial Narrow" w:hAnsi="Arial Narrow"/>
                <w:sz w:val="22"/>
                <w:szCs w:val="22"/>
                <w:lang w:val="en-GB" w:eastAsia="en-GB"/>
              </w:rPr>
            </w:pPr>
            <w:r w:rsidRPr="00571F0B">
              <w:rPr>
                <w:rFonts w:ascii="Arial Narrow" w:hAnsi="Arial Narrow"/>
                <w:sz w:val="22"/>
                <w:szCs w:val="22"/>
                <w:lang w:val="en-GB" w:eastAsia="en-GB"/>
              </w:rPr>
              <w:t xml:space="preserve">The five stage assessment process needs to confirm </w:t>
            </w:r>
            <w:r w:rsidRPr="00463D79">
              <w:rPr>
                <w:rFonts w:ascii="Arial Narrow" w:hAnsi="Arial Narrow"/>
                <w:sz w:val="22"/>
                <w:szCs w:val="22"/>
                <w:lang w:val="en-GB" w:eastAsia="en-GB"/>
              </w:rPr>
              <w:t xml:space="preserve">80 per cent of the investments </w:t>
            </w:r>
            <w:r>
              <w:rPr>
                <w:rFonts w:ascii="Arial Narrow" w:hAnsi="Arial Narrow"/>
                <w:sz w:val="22"/>
                <w:szCs w:val="22"/>
                <w:lang w:val="en-GB" w:eastAsia="en-GB"/>
              </w:rPr>
              <w:t>do</w:t>
            </w:r>
            <w:r w:rsidRPr="00463D79">
              <w:rPr>
                <w:rFonts w:ascii="Arial Narrow" w:hAnsi="Arial Narrow"/>
                <w:sz w:val="22"/>
                <w:szCs w:val="22"/>
                <w:lang w:val="en-GB" w:eastAsia="en-GB"/>
              </w:rPr>
              <w:t xml:space="preserve"> support empowerment of women and girls</w:t>
            </w:r>
            <w:r>
              <w:rPr>
                <w:rFonts w:ascii="Arial Narrow" w:hAnsi="Arial Narrow"/>
                <w:sz w:val="22"/>
                <w:szCs w:val="22"/>
                <w:lang w:val="en-GB" w:eastAsia="en-GB"/>
              </w:rPr>
              <w:t>. M</w:t>
            </w:r>
            <w:r w:rsidRPr="00571F0B">
              <w:rPr>
                <w:rFonts w:ascii="Arial Narrow" w:hAnsi="Arial Narrow"/>
                <w:sz w:val="22"/>
                <w:szCs w:val="22"/>
                <w:lang w:val="en-GB" w:eastAsia="en-GB"/>
              </w:rPr>
              <w:t xml:space="preserve">onitoring at implementation </w:t>
            </w:r>
            <w:r>
              <w:rPr>
                <w:rFonts w:ascii="Arial Narrow" w:hAnsi="Arial Narrow"/>
                <w:sz w:val="22"/>
                <w:szCs w:val="22"/>
                <w:lang w:val="en-GB" w:eastAsia="en-GB"/>
              </w:rPr>
              <w:t xml:space="preserve">must confirm the PAF and </w:t>
            </w:r>
            <w:r w:rsidRPr="00571F0B">
              <w:rPr>
                <w:rFonts w:ascii="Arial Narrow" w:hAnsi="Arial Narrow"/>
                <w:sz w:val="22"/>
                <w:szCs w:val="22"/>
                <w:lang w:val="en-GB" w:eastAsia="en-GB"/>
              </w:rPr>
              <w:t>end of program evaluation confirms</w:t>
            </w:r>
          </w:p>
        </w:tc>
        <w:tc>
          <w:tcPr>
            <w:tcW w:w="284"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1</w:t>
            </w:r>
          </w:p>
        </w:tc>
        <w:tc>
          <w:tcPr>
            <w:tcW w:w="283"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1</w:t>
            </w:r>
          </w:p>
        </w:tc>
        <w:tc>
          <w:tcPr>
            <w:tcW w:w="253" w:type="dxa"/>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2</w:t>
            </w:r>
          </w:p>
        </w:tc>
      </w:tr>
      <w:tr w:rsidR="00262D9A" w:rsidRPr="00571F0B" w:rsidTr="00277117">
        <w:trPr>
          <w:jc w:val="center"/>
        </w:trPr>
        <w:tc>
          <w:tcPr>
            <w:tcW w:w="3829" w:type="dxa"/>
          </w:tcPr>
          <w:p w:rsidR="00262D9A" w:rsidRPr="00571F0B" w:rsidRDefault="00262D9A" w:rsidP="007A3FBB">
            <w:pPr>
              <w:spacing w:before="0" w:after="120"/>
              <w:jc w:val="left"/>
              <w:rPr>
                <w:rFonts w:ascii="Arial Narrow" w:hAnsi="Arial Narrow"/>
                <w:sz w:val="22"/>
                <w:szCs w:val="22"/>
                <w:lang w:val="en-GB" w:eastAsia="en-GB"/>
              </w:rPr>
            </w:pPr>
            <w:r>
              <w:rPr>
                <w:rFonts w:ascii="Arial Narrow" w:hAnsi="Arial Narrow"/>
                <w:sz w:val="22"/>
                <w:szCs w:val="22"/>
                <w:lang w:val="en-GB" w:eastAsia="en-GB"/>
              </w:rPr>
              <w:lastRenderedPageBreak/>
              <w:t>Less than 20 per cent of investments are  delivered</w:t>
            </w:r>
            <w:r w:rsidRPr="00571F0B">
              <w:rPr>
                <w:rFonts w:ascii="Arial Narrow" w:hAnsi="Arial Narrow"/>
                <w:sz w:val="22"/>
                <w:szCs w:val="22"/>
                <w:lang w:val="en-GB" w:eastAsia="en-GB"/>
              </w:rPr>
              <w:t xml:space="preserve"> by effective private sector partners</w:t>
            </w:r>
          </w:p>
        </w:tc>
        <w:tc>
          <w:tcPr>
            <w:tcW w:w="567" w:type="dxa"/>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D</w:t>
            </w:r>
          </w:p>
        </w:tc>
        <w:tc>
          <w:tcPr>
            <w:tcW w:w="3621" w:type="dxa"/>
          </w:tcPr>
          <w:p w:rsidR="00262D9A" w:rsidRPr="00571F0B" w:rsidRDefault="00262D9A" w:rsidP="00753230">
            <w:pPr>
              <w:spacing w:before="0" w:after="120"/>
              <w:jc w:val="left"/>
              <w:rPr>
                <w:rFonts w:ascii="Arial Narrow" w:hAnsi="Arial Narrow"/>
                <w:sz w:val="22"/>
                <w:szCs w:val="22"/>
                <w:lang w:val="en-GB" w:eastAsia="en-GB"/>
              </w:rPr>
            </w:pPr>
            <w:r w:rsidRPr="00571F0B">
              <w:rPr>
                <w:rFonts w:ascii="Arial Narrow" w:hAnsi="Arial Narrow"/>
                <w:sz w:val="22"/>
                <w:szCs w:val="22"/>
                <w:lang w:val="en-GB" w:eastAsia="en-GB"/>
              </w:rPr>
              <w:t xml:space="preserve">Private sector engagement </w:t>
            </w:r>
            <w:r>
              <w:rPr>
                <w:rFonts w:ascii="Arial Narrow" w:hAnsi="Arial Narrow"/>
                <w:sz w:val="22"/>
                <w:szCs w:val="22"/>
                <w:lang w:val="en-GB" w:eastAsia="en-GB"/>
              </w:rPr>
              <w:t>is reduced and conversion of service delivery to private sector is not working effectively</w:t>
            </w:r>
          </w:p>
        </w:tc>
        <w:tc>
          <w:tcPr>
            <w:tcW w:w="322"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4</w:t>
            </w:r>
          </w:p>
        </w:tc>
        <w:tc>
          <w:tcPr>
            <w:tcW w:w="322"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4</w:t>
            </w:r>
          </w:p>
        </w:tc>
        <w:tc>
          <w:tcPr>
            <w:tcW w:w="407"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8</w:t>
            </w:r>
          </w:p>
        </w:tc>
        <w:tc>
          <w:tcPr>
            <w:tcW w:w="5245" w:type="dxa"/>
            <w:shd w:val="clear" w:color="auto" w:fill="auto"/>
          </w:tcPr>
          <w:p w:rsidR="00262D9A" w:rsidRPr="00571F0B" w:rsidRDefault="00262D9A" w:rsidP="00753230">
            <w:pPr>
              <w:spacing w:before="0" w:after="120"/>
              <w:jc w:val="left"/>
              <w:rPr>
                <w:rFonts w:ascii="Arial Narrow" w:hAnsi="Arial Narrow"/>
                <w:sz w:val="22"/>
                <w:szCs w:val="22"/>
                <w:lang w:val="en-GB" w:eastAsia="en-GB"/>
              </w:rPr>
            </w:pPr>
            <w:r w:rsidRPr="00571F0B">
              <w:rPr>
                <w:rFonts w:ascii="Arial Narrow" w:hAnsi="Arial Narrow"/>
                <w:sz w:val="22"/>
                <w:szCs w:val="22"/>
                <w:lang w:val="en-GB" w:eastAsia="en-GB"/>
              </w:rPr>
              <w:t xml:space="preserve">DFAT and IFT have to energise private sector relationship building </w:t>
            </w:r>
            <w:r>
              <w:rPr>
                <w:rFonts w:ascii="Arial Narrow" w:hAnsi="Arial Narrow"/>
                <w:sz w:val="22"/>
                <w:szCs w:val="22"/>
                <w:lang w:val="en-GB" w:eastAsia="en-GB"/>
              </w:rPr>
              <w:t xml:space="preserve">and engagement </w:t>
            </w:r>
            <w:r w:rsidRPr="00571F0B">
              <w:rPr>
                <w:rFonts w:ascii="Arial Narrow" w:hAnsi="Arial Narrow"/>
                <w:sz w:val="22"/>
                <w:szCs w:val="22"/>
                <w:lang w:val="en-GB" w:eastAsia="en-GB"/>
              </w:rPr>
              <w:t xml:space="preserve">and utilise the full potential </w:t>
            </w:r>
            <w:r>
              <w:rPr>
                <w:rFonts w:ascii="Arial Narrow" w:hAnsi="Arial Narrow"/>
                <w:sz w:val="22"/>
                <w:szCs w:val="22"/>
                <w:lang w:val="en-GB" w:eastAsia="en-GB"/>
              </w:rPr>
              <w:t>o</w:t>
            </w:r>
            <w:r w:rsidRPr="00571F0B">
              <w:rPr>
                <w:rFonts w:ascii="Arial Narrow" w:hAnsi="Arial Narrow"/>
                <w:sz w:val="22"/>
                <w:szCs w:val="22"/>
                <w:lang w:val="en-GB" w:eastAsia="en-GB"/>
              </w:rPr>
              <w:t xml:space="preserve">f the </w:t>
            </w:r>
            <w:r>
              <w:rPr>
                <w:rFonts w:ascii="Arial Narrow" w:hAnsi="Arial Narrow"/>
                <w:sz w:val="22"/>
                <w:szCs w:val="22"/>
                <w:lang w:val="en-GB" w:eastAsia="en-GB"/>
              </w:rPr>
              <w:t>Incentive Fund and the Innovation Fund</w:t>
            </w:r>
          </w:p>
        </w:tc>
        <w:tc>
          <w:tcPr>
            <w:tcW w:w="284"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1</w:t>
            </w:r>
          </w:p>
        </w:tc>
        <w:tc>
          <w:tcPr>
            <w:tcW w:w="283"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1</w:t>
            </w:r>
          </w:p>
        </w:tc>
        <w:tc>
          <w:tcPr>
            <w:tcW w:w="253" w:type="dxa"/>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2</w:t>
            </w:r>
          </w:p>
        </w:tc>
      </w:tr>
      <w:tr w:rsidR="00262D9A" w:rsidRPr="00571F0B" w:rsidTr="00277117">
        <w:trPr>
          <w:jc w:val="center"/>
        </w:trPr>
        <w:tc>
          <w:tcPr>
            <w:tcW w:w="3829" w:type="dxa"/>
          </w:tcPr>
          <w:p w:rsidR="00262D9A" w:rsidRPr="00571F0B" w:rsidRDefault="00262D9A" w:rsidP="00345556">
            <w:pPr>
              <w:spacing w:before="0" w:after="120"/>
              <w:jc w:val="left"/>
              <w:rPr>
                <w:rFonts w:ascii="Arial Narrow" w:hAnsi="Arial Narrow"/>
                <w:sz w:val="22"/>
                <w:szCs w:val="22"/>
                <w:lang w:val="en-GB" w:eastAsia="en-GB"/>
              </w:rPr>
            </w:pPr>
            <w:r w:rsidRPr="00571F0B">
              <w:rPr>
                <w:rFonts w:ascii="Arial Narrow" w:hAnsi="Arial Narrow"/>
                <w:sz w:val="22"/>
                <w:szCs w:val="22"/>
                <w:lang w:val="en-GB" w:eastAsia="en-GB"/>
              </w:rPr>
              <w:t>Poor sub-contract management and construction reduces quality and increases cost</w:t>
            </w:r>
          </w:p>
        </w:tc>
        <w:tc>
          <w:tcPr>
            <w:tcW w:w="567" w:type="dxa"/>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D</w:t>
            </w:r>
          </w:p>
        </w:tc>
        <w:tc>
          <w:tcPr>
            <w:tcW w:w="3621" w:type="dxa"/>
          </w:tcPr>
          <w:p w:rsidR="00262D9A" w:rsidRPr="00571F0B" w:rsidRDefault="00262D9A" w:rsidP="00345556">
            <w:pPr>
              <w:spacing w:before="0" w:after="120"/>
              <w:jc w:val="left"/>
              <w:rPr>
                <w:rFonts w:ascii="Arial Narrow" w:hAnsi="Arial Narrow"/>
                <w:sz w:val="22"/>
                <w:szCs w:val="22"/>
                <w:lang w:val="en-GB" w:eastAsia="en-GB"/>
              </w:rPr>
            </w:pPr>
            <w:r w:rsidRPr="00571F0B">
              <w:rPr>
                <w:rFonts w:ascii="Arial Narrow" w:hAnsi="Arial Narrow"/>
                <w:sz w:val="22"/>
                <w:szCs w:val="22"/>
                <w:lang w:val="en-GB" w:eastAsia="en-GB"/>
              </w:rPr>
              <w:t>Infrastructure does not meet minimum quality, fit-for-purpose and maintenance standards reducing application of VfM</w:t>
            </w:r>
          </w:p>
        </w:tc>
        <w:tc>
          <w:tcPr>
            <w:tcW w:w="322"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4</w:t>
            </w:r>
          </w:p>
        </w:tc>
        <w:tc>
          <w:tcPr>
            <w:tcW w:w="322"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4</w:t>
            </w:r>
          </w:p>
        </w:tc>
        <w:tc>
          <w:tcPr>
            <w:tcW w:w="407"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8</w:t>
            </w:r>
          </w:p>
        </w:tc>
        <w:tc>
          <w:tcPr>
            <w:tcW w:w="5245" w:type="dxa"/>
            <w:shd w:val="clear" w:color="auto" w:fill="auto"/>
          </w:tcPr>
          <w:p w:rsidR="00262D9A" w:rsidRPr="00571F0B" w:rsidRDefault="00262D9A" w:rsidP="00753230">
            <w:pPr>
              <w:spacing w:before="0" w:after="120"/>
              <w:jc w:val="left"/>
              <w:rPr>
                <w:rFonts w:ascii="Arial Narrow" w:hAnsi="Arial Narrow"/>
                <w:sz w:val="22"/>
                <w:szCs w:val="22"/>
                <w:lang w:val="en-GB" w:eastAsia="en-GB"/>
              </w:rPr>
            </w:pPr>
            <w:r w:rsidRPr="00571F0B">
              <w:rPr>
                <w:rFonts w:ascii="Arial Narrow" w:hAnsi="Arial Narrow"/>
                <w:sz w:val="22"/>
                <w:szCs w:val="22"/>
                <w:lang w:val="en-GB" w:eastAsia="en-GB"/>
              </w:rPr>
              <w:t>Evaluation of phases I,II and III will identify the scale and impact of this risk</w:t>
            </w:r>
            <w:r>
              <w:rPr>
                <w:rFonts w:ascii="Arial Narrow" w:hAnsi="Arial Narrow"/>
                <w:sz w:val="22"/>
                <w:szCs w:val="22"/>
                <w:lang w:val="en-GB" w:eastAsia="en-GB"/>
              </w:rPr>
              <w:t>,</w:t>
            </w:r>
            <w:r w:rsidRPr="00571F0B">
              <w:rPr>
                <w:rFonts w:ascii="Arial Narrow" w:hAnsi="Arial Narrow"/>
                <w:sz w:val="22"/>
                <w:szCs w:val="22"/>
                <w:lang w:val="en-GB" w:eastAsia="en-GB"/>
              </w:rPr>
              <w:t xml:space="preserve"> and</w:t>
            </w:r>
            <w:r>
              <w:rPr>
                <w:rFonts w:ascii="Arial Narrow" w:hAnsi="Arial Narrow"/>
                <w:sz w:val="22"/>
                <w:szCs w:val="22"/>
                <w:lang w:val="en-GB" w:eastAsia="en-GB"/>
              </w:rPr>
              <w:t xml:space="preserve"> the</w:t>
            </w:r>
            <w:r w:rsidRPr="00571F0B">
              <w:rPr>
                <w:rFonts w:ascii="Arial Narrow" w:hAnsi="Arial Narrow"/>
                <w:sz w:val="22"/>
                <w:szCs w:val="22"/>
                <w:lang w:val="en-GB" w:eastAsia="en-GB"/>
              </w:rPr>
              <w:t xml:space="preserve"> reason</w:t>
            </w:r>
            <w:r>
              <w:rPr>
                <w:rFonts w:ascii="Arial Narrow" w:hAnsi="Arial Narrow"/>
                <w:sz w:val="22"/>
                <w:szCs w:val="22"/>
                <w:lang w:val="en-GB" w:eastAsia="en-GB"/>
              </w:rPr>
              <w:t>s</w:t>
            </w:r>
            <w:r w:rsidRPr="00571F0B">
              <w:rPr>
                <w:rFonts w:ascii="Arial Narrow" w:hAnsi="Arial Narrow"/>
                <w:sz w:val="22"/>
                <w:szCs w:val="22"/>
                <w:lang w:val="en-GB" w:eastAsia="en-GB"/>
              </w:rPr>
              <w:t xml:space="preserve"> why </w:t>
            </w:r>
            <w:r>
              <w:rPr>
                <w:rFonts w:ascii="Arial Narrow" w:hAnsi="Arial Narrow"/>
                <w:sz w:val="22"/>
                <w:szCs w:val="22"/>
                <w:lang w:val="en-GB" w:eastAsia="en-GB"/>
              </w:rPr>
              <w:t>they</w:t>
            </w:r>
            <w:r w:rsidRPr="00571F0B">
              <w:rPr>
                <w:rFonts w:ascii="Arial Narrow" w:hAnsi="Arial Narrow"/>
                <w:sz w:val="22"/>
                <w:szCs w:val="22"/>
                <w:lang w:val="en-GB" w:eastAsia="en-GB"/>
              </w:rPr>
              <w:t xml:space="preserve"> occurred</w:t>
            </w:r>
            <w:r>
              <w:rPr>
                <w:rFonts w:ascii="Arial Narrow" w:hAnsi="Arial Narrow"/>
                <w:sz w:val="22"/>
                <w:szCs w:val="22"/>
                <w:lang w:val="en-GB" w:eastAsia="en-GB"/>
              </w:rPr>
              <w:t>,</w:t>
            </w:r>
            <w:r w:rsidRPr="00571F0B">
              <w:rPr>
                <w:rFonts w:ascii="Arial Narrow" w:hAnsi="Arial Narrow"/>
                <w:sz w:val="22"/>
                <w:szCs w:val="22"/>
                <w:lang w:val="en-GB" w:eastAsia="en-GB"/>
              </w:rPr>
              <w:t xml:space="preserve"> to </w:t>
            </w:r>
            <w:r>
              <w:rPr>
                <w:rFonts w:ascii="Arial Narrow" w:hAnsi="Arial Narrow"/>
                <w:sz w:val="22"/>
                <w:szCs w:val="22"/>
                <w:lang w:val="en-GB" w:eastAsia="en-GB"/>
              </w:rPr>
              <w:t xml:space="preserve">allow </w:t>
            </w:r>
            <w:r w:rsidRPr="00571F0B">
              <w:rPr>
                <w:rFonts w:ascii="Arial Narrow" w:hAnsi="Arial Narrow"/>
                <w:sz w:val="22"/>
                <w:szCs w:val="22"/>
                <w:lang w:val="en-GB" w:eastAsia="en-GB"/>
              </w:rPr>
              <w:t>enhance</w:t>
            </w:r>
            <w:r>
              <w:rPr>
                <w:rFonts w:ascii="Arial Narrow" w:hAnsi="Arial Narrow"/>
                <w:sz w:val="22"/>
                <w:szCs w:val="22"/>
                <w:lang w:val="en-GB" w:eastAsia="en-GB"/>
              </w:rPr>
              <w:t>d</w:t>
            </w:r>
            <w:r w:rsidRPr="00571F0B">
              <w:rPr>
                <w:rFonts w:ascii="Arial Narrow" w:hAnsi="Arial Narrow"/>
                <w:sz w:val="22"/>
                <w:szCs w:val="22"/>
                <w:lang w:val="en-GB" w:eastAsia="en-GB"/>
              </w:rPr>
              <w:t xml:space="preserve"> due diligence</w:t>
            </w:r>
          </w:p>
        </w:tc>
        <w:tc>
          <w:tcPr>
            <w:tcW w:w="284"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1</w:t>
            </w:r>
          </w:p>
        </w:tc>
        <w:tc>
          <w:tcPr>
            <w:tcW w:w="283"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1</w:t>
            </w:r>
          </w:p>
        </w:tc>
        <w:tc>
          <w:tcPr>
            <w:tcW w:w="253" w:type="dxa"/>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2</w:t>
            </w:r>
          </w:p>
        </w:tc>
      </w:tr>
      <w:tr w:rsidR="00262D9A" w:rsidRPr="00571F0B" w:rsidTr="00277117">
        <w:trPr>
          <w:jc w:val="center"/>
        </w:trPr>
        <w:tc>
          <w:tcPr>
            <w:tcW w:w="3829" w:type="dxa"/>
          </w:tcPr>
          <w:p w:rsidR="00262D9A" w:rsidRPr="00571F0B" w:rsidRDefault="00262D9A" w:rsidP="007A3FBB">
            <w:pPr>
              <w:spacing w:before="0" w:after="120"/>
              <w:jc w:val="left"/>
              <w:rPr>
                <w:rFonts w:ascii="Arial Narrow" w:hAnsi="Arial Narrow"/>
                <w:sz w:val="22"/>
                <w:szCs w:val="22"/>
                <w:lang w:val="en-GB" w:eastAsia="en-GB"/>
              </w:rPr>
            </w:pPr>
            <w:r w:rsidRPr="00571F0B">
              <w:rPr>
                <w:rFonts w:ascii="Arial Narrow" w:hAnsi="Arial Narrow"/>
                <w:sz w:val="22"/>
                <w:szCs w:val="22"/>
                <w:lang w:val="en-GB" w:eastAsia="en-GB"/>
              </w:rPr>
              <w:t>Delays mean unfinished programs which require IF (IV) support beyond six years</w:t>
            </w:r>
          </w:p>
        </w:tc>
        <w:tc>
          <w:tcPr>
            <w:tcW w:w="567" w:type="dxa"/>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D</w:t>
            </w:r>
          </w:p>
        </w:tc>
        <w:tc>
          <w:tcPr>
            <w:tcW w:w="3621" w:type="dxa"/>
          </w:tcPr>
          <w:p w:rsidR="00262D9A" w:rsidRPr="00571F0B" w:rsidRDefault="00262D9A" w:rsidP="00345556">
            <w:pPr>
              <w:spacing w:before="0" w:after="120"/>
              <w:jc w:val="left"/>
              <w:rPr>
                <w:rFonts w:ascii="Arial Narrow" w:hAnsi="Arial Narrow"/>
                <w:sz w:val="22"/>
                <w:szCs w:val="22"/>
                <w:lang w:val="en-GB" w:eastAsia="en-GB"/>
              </w:rPr>
            </w:pPr>
            <w:r w:rsidRPr="00571F0B">
              <w:rPr>
                <w:rFonts w:ascii="Arial Narrow" w:hAnsi="Arial Narrow"/>
                <w:sz w:val="22"/>
                <w:szCs w:val="22"/>
                <w:lang w:val="en-GB" w:eastAsia="en-GB"/>
              </w:rPr>
              <w:t>Places pressure on partner to complete and could result on lower quality outputs and outcomes, increased costs</w:t>
            </w:r>
          </w:p>
        </w:tc>
        <w:tc>
          <w:tcPr>
            <w:tcW w:w="322"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4</w:t>
            </w:r>
          </w:p>
        </w:tc>
        <w:tc>
          <w:tcPr>
            <w:tcW w:w="322"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2</w:t>
            </w:r>
          </w:p>
        </w:tc>
        <w:tc>
          <w:tcPr>
            <w:tcW w:w="407"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6</w:t>
            </w:r>
          </w:p>
        </w:tc>
        <w:tc>
          <w:tcPr>
            <w:tcW w:w="5245" w:type="dxa"/>
            <w:shd w:val="clear" w:color="auto" w:fill="auto"/>
          </w:tcPr>
          <w:p w:rsidR="00262D9A" w:rsidRPr="00571F0B" w:rsidRDefault="00262D9A" w:rsidP="00753230">
            <w:pPr>
              <w:spacing w:before="0" w:after="120"/>
              <w:jc w:val="left"/>
              <w:rPr>
                <w:rFonts w:ascii="Arial Narrow" w:hAnsi="Arial Narrow"/>
                <w:sz w:val="22"/>
                <w:szCs w:val="22"/>
                <w:lang w:val="en-GB" w:eastAsia="en-GB"/>
              </w:rPr>
            </w:pPr>
            <w:r>
              <w:rPr>
                <w:rFonts w:ascii="Arial Narrow" w:hAnsi="Arial Narrow"/>
                <w:sz w:val="22"/>
                <w:szCs w:val="22"/>
                <w:lang w:val="en-GB" w:eastAsia="en-GB"/>
              </w:rPr>
              <w:t xml:space="preserve">The requirement to </w:t>
            </w:r>
            <w:r w:rsidRPr="00571F0B">
              <w:rPr>
                <w:rFonts w:ascii="Arial Narrow" w:hAnsi="Arial Narrow"/>
                <w:sz w:val="22"/>
                <w:szCs w:val="22"/>
                <w:lang w:val="en-GB" w:eastAsia="en-GB"/>
              </w:rPr>
              <w:t xml:space="preserve">manage outstanding commitments </w:t>
            </w:r>
            <w:r>
              <w:rPr>
                <w:rFonts w:ascii="Arial Narrow" w:hAnsi="Arial Narrow"/>
                <w:sz w:val="22"/>
                <w:szCs w:val="22"/>
                <w:lang w:val="en-GB" w:eastAsia="en-GB"/>
              </w:rPr>
              <w:t xml:space="preserve">has occurred </w:t>
            </w:r>
            <w:r w:rsidRPr="00571F0B">
              <w:rPr>
                <w:rFonts w:ascii="Arial Narrow" w:hAnsi="Arial Narrow"/>
                <w:sz w:val="22"/>
                <w:szCs w:val="22"/>
                <w:lang w:val="en-GB" w:eastAsia="en-GB"/>
              </w:rPr>
              <w:t xml:space="preserve">in every phase so early manage down of </w:t>
            </w:r>
            <w:r w:rsidRPr="002B7876">
              <w:rPr>
                <w:rFonts w:ascii="Arial Narrow" w:hAnsi="Arial Narrow"/>
                <w:sz w:val="22"/>
                <w:szCs w:val="22"/>
                <w:lang w:val="en-GB" w:eastAsia="en-GB"/>
              </w:rPr>
              <w:t xml:space="preserve">IF (IV) </w:t>
            </w:r>
            <w:r w:rsidRPr="00571F0B">
              <w:rPr>
                <w:rFonts w:ascii="Arial Narrow" w:hAnsi="Arial Narrow"/>
                <w:sz w:val="22"/>
                <w:szCs w:val="22"/>
                <w:lang w:val="en-GB" w:eastAsia="en-GB"/>
              </w:rPr>
              <w:t>or early succession or hand-over strategies should be agreed</w:t>
            </w:r>
          </w:p>
        </w:tc>
        <w:tc>
          <w:tcPr>
            <w:tcW w:w="284"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2</w:t>
            </w:r>
          </w:p>
        </w:tc>
        <w:tc>
          <w:tcPr>
            <w:tcW w:w="283"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1</w:t>
            </w:r>
          </w:p>
        </w:tc>
        <w:tc>
          <w:tcPr>
            <w:tcW w:w="253" w:type="dxa"/>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3</w:t>
            </w:r>
          </w:p>
        </w:tc>
      </w:tr>
      <w:tr w:rsidR="00262D9A" w:rsidRPr="00571F0B" w:rsidTr="00277117">
        <w:trPr>
          <w:jc w:val="center"/>
        </w:trPr>
        <w:tc>
          <w:tcPr>
            <w:tcW w:w="3829" w:type="dxa"/>
          </w:tcPr>
          <w:p w:rsidR="00262D9A" w:rsidRPr="00571F0B" w:rsidRDefault="00262D9A" w:rsidP="00345556">
            <w:pPr>
              <w:spacing w:before="0" w:after="120"/>
              <w:jc w:val="left"/>
              <w:rPr>
                <w:rFonts w:ascii="Arial Narrow" w:hAnsi="Arial Narrow"/>
                <w:sz w:val="22"/>
                <w:szCs w:val="22"/>
                <w:lang w:val="en-GB" w:eastAsia="en-GB"/>
              </w:rPr>
            </w:pPr>
            <w:r w:rsidRPr="00571F0B">
              <w:rPr>
                <w:rFonts w:ascii="Arial Narrow" w:hAnsi="Arial Narrow"/>
                <w:sz w:val="22"/>
                <w:szCs w:val="22"/>
                <w:lang w:val="en-GB" w:eastAsia="en-GB"/>
              </w:rPr>
              <w:t xml:space="preserve">IF </w:t>
            </w:r>
            <w:r>
              <w:rPr>
                <w:rFonts w:ascii="Arial Narrow" w:hAnsi="Arial Narrow"/>
                <w:sz w:val="22"/>
                <w:szCs w:val="22"/>
                <w:lang w:val="en-GB" w:eastAsia="en-GB"/>
              </w:rPr>
              <w:t xml:space="preserve">(IV) </w:t>
            </w:r>
            <w:r w:rsidRPr="00571F0B">
              <w:rPr>
                <w:rFonts w:ascii="Arial Narrow" w:hAnsi="Arial Narrow"/>
                <w:sz w:val="22"/>
                <w:szCs w:val="22"/>
                <w:lang w:val="en-GB" w:eastAsia="en-GB"/>
              </w:rPr>
              <w:t xml:space="preserve">processes are ignored to fund non-compliant projects </w:t>
            </w:r>
          </w:p>
        </w:tc>
        <w:tc>
          <w:tcPr>
            <w:tcW w:w="567" w:type="dxa"/>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D</w:t>
            </w:r>
          </w:p>
        </w:tc>
        <w:tc>
          <w:tcPr>
            <w:tcW w:w="3621" w:type="dxa"/>
          </w:tcPr>
          <w:p w:rsidR="00262D9A" w:rsidRPr="00571F0B" w:rsidRDefault="00262D9A" w:rsidP="00F76FCE">
            <w:pPr>
              <w:spacing w:before="0" w:after="120"/>
              <w:jc w:val="left"/>
              <w:rPr>
                <w:rFonts w:ascii="Arial Narrow" w:hAnsi="Arial Narrow"/>
                <w:sz w:val="22"/>
                <w:szCs w:val="22"/>
                <w:lang w:val="en-GB" w:eastAsia="en-GB"/>
              </w:rPr>
            </w:pPr>
            <w:r w:rsidRPr="00571F0B">
              <w:rPr>
                <w:rFonts w:ascii="Arial Narrow" w:hAnsi="Arial Narrow"/>
                <w:sz w:val="22"/>
                <w:szCs w:val="22"/>
                <w:lang w:val="en-GB" w:eastAsia="en-GB"/>
              </w:rPr>
              <w:t>Integrity of IF damaged.</w:t>
            </w:r>
            <w:r>
              <w:rPr>
                <w:rFonts w:ascii="Arial Narrow" w:hAnsi="Arial Narrow"/>
                <w:sz w:val="22"/>
                <w:szCs w:val="22"/>
                <w:lang w:val="en-GB" w:eastAsia="en-GB"/>
              </w:rPr>
              <w:t xml:space="preserve"> DFATs reputation damaged and investments compromised.</w:t>
            </w:r>
          </w:p>
        </w:tc>
        <w:tc>
          <w:tcPr>
            <w:tcW w:w="322"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3</w:t>
            </w:r>
          </w:p>
        </w:tc>
        <w:tc>
          <w:tcPr>
            <w:tcW w:w="322"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3</w:t>
            </w:r>
          </w:p>
        </w:tc>
        <w:tc>
          <w:tcPr>
            <w:tcW w:w="407"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6</w:t>
            </w:r>
          </w:p>
        </w:tc>
        <w:tc>
          <w:tcPr>
            <w:tcW w:w="5245" w:type="dxa"/>
            <w:shd w:val="clear" w:color="auto" w:fill="auto"/>
          </w:tcPr>
          <w:p w:rsidR="00262D9A" w:rsidRPr="00571F0B" w:rsidRDefault="00262D9A" w:rsidP="00345556">
            <w:pPr>
              <w:spacing w:before="0" w:after="120"/>
              <w:jc w:val="left"/>
              <w:rPr>
                <w:rFonts w:ascii="Arial Narrow" w:hAnsi="Arial Narrow"/>
                <w:sz w:val="22"/>
                <w:szCs w:val="22"/>
                <w:lang w:val="en-GB" w:eastAsia="en-GB"/>
              </w:rPr>
            </w:pPr>
            <w:r w:rsidRPr="00571F0B">
              <w:rPr>
                <w:rFonts w:ascii="Arial Narrow" w:hAnsi="Arial Narrow"/>
                <w:sz w:val="22"/>
                <w:szCs w:val="22"/>
                <w:lang w:val="en-GB" w:eastAsia="en-GB"/>
              </w:rPr>
              <w:t>Implemen</w:t>
            </w:r>
            <w:r>
              <w:rPr>
                <w:rFonts w:ascii="Arial Narrow" w:hAnsi="Arial Narrow"/>
                <w:sz w:val="22"/>
                <w:szCs w:val="22"/>
                <w:lang w:val="en-GB" w:eastAsia="en-GB"/>
              </w:rPr>
              <w:t>t no-exceptions policy. Strong Team L</w:t>
            </w:r>
            <w:r w:rsidRPr="00571F0B">
              <w:rPr>
                <w:rFonts w:ascii="Arial Narrow" w:hAnsi="Arial Narrow"/>
                <w:sz w:val="22"/>
                <w:szCs w:val="22"/>
                <w:lang w:val="en-GB" w:eastAsia="en-GB"/>
              </w:rPr>
              <w:t xml:space="preserve">eader and MG required </w:t>
            </w:r>
            <w:proofErr w:type="gramStart"/>
            <w:r w:rsidRPr="00571F0B">
              <w:rPr>
                <w:rFonts w:ascii="Arial Narrow" w:hAnsi="Arial Narrow"/>
                <w:sz w:val="22"/>
                <w:szCs w:val="22"/>
                <w:lang w:val="en-GB" w:eastAsia="en-GB"/>
              </w:rPr>
              <w:t>to defend</w:t>
            </w:r>
            <w:proofErr w:type="gramEnd"/>
            <w:r w:rsidRPr="00571F0B">
              <w:rPr>
                <w:rFonts w:ascii="Arial Narrow" w:hAnsi="Arial Narrow"/>
                <w:sz w:val="22"/>
                <w:szCs w:val="22"/>
                <w:lang w:val="en-GB" w:eastAsia="en-GB"/>
              </w:rPr>
              <w:t xml:space="preserve"> IF</w:t>
            </w:r>
            <w:r>
              <w:rPr>
                <w:rFonts w:ascii="Arial Narrow" w:hAnsi="Arial Narrow"/>
                <w:sz w:val="22"/>
                <w:szCs w:val="22"/>
                <w:lang w:val="en-GB" w:eastAsia="en-GB"/>
              </w:rPr>
              <w:t xml:space="preserve"> (IV)</w:t>
            </w:r>
            <w:r w:rsidRPr="00571F0B">
              <w:rPr>
                <w:rFonts w:ascii="Arial Narrow" w:hAnsi="Arial Narrow"/>
                <w:sz w:val="22"/>
                <w:szCs w:val="22"/>
                <w:lang w:val="en-GB" w:eastAsia="en-GB"/>
              </w:rPr>
              <w:t>. IRT will respond accordingly.</w:t>
            </w:r>
          </w:p>
        </w:tc>
        <w:tc>
          <w:tcPr>
            <w:tcW w:w="284"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2</w:t>
            </w:r>
          </w:p>
        </w:tc>
        <w:tc>
          <w:tcPr>
            <w:tcW w:w="283" w:type="dxa"/>
            <w:shd w:val="clear" w:color="auto" w:fill="auto"/>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2</w:t>
            </w:r>
          </w:p>
        </w:tc>
        <w:tc>
          <w:tcPr>
            <w:tcW w:w="253" w:type="dxa"/>
            <w:tcMar>
              <w:left w:w="57" w:type="dxa"/>
              <w:right w:w="57" w:type="dxa"/>
            </w:tcMar>
          </w:tcPr>
          <w:p w:rsidR="00262D9A" w:rsidRPr="00571F0B" w:rsidRDefault="00262D9A" w:rsidP="0062086E">
            <w:pPr>
              <w:spacing w:before="0" w:after="120"/>
              <w:jc w:val="center"/>
              <w:rPr>
                <w:rFonts w:ascii="Arial Narrow" w:hAnsi="Arial Narrow"/>
                <w:sz w:val="22"/>
                <w:szCs w:val="22"/>
                <w:lang w:val="en-GB" w:eastAsia="en-GB"/>
              </w:rPr>
            </w:pPr>
            <w:r w:rsidRPr="00571F0B">
              <w:rPr>
                <w:rFonts w:ascii="Arial Narrow" w:hAnsi="Arial Narrow"/>
                <w:sz w:val="22"/>
                <w:szCs w:val="22"/>
                <w:lang w:val="en-GB" w:eastAsia="en-GB"/>
              </w:rPr>
              <w:t>4</w:t>
            </w:r>
          </w:p>
        </w:tc>
      </w:tr>
    </w:tbl>
    <w:p w:rsidR="00387BC0" w:rsidRPr="00571F0B" w:rsidRDefault="00387BC0" w:rsidP="00387BC0">
      <w:pPr>
        <w:rPr>
          <w:lang w:val="en-GB"/>
        </w:rPr>
      </w:pPr>
    </w:p>
    <w:p w:rsidR="00387BC0" w:rsidRPr="00571F0B" w:rsidRDefault="00387BC0" w:rsidP="00387BC0">
      <w:pPr>
        <w:rPr>
          <w:lang w:val="en-GB"/>
        </w:rPr>
        <w:sectPr w:rsidR="00387BC0" w:rsidRPr="00571F0B" w:rsidSect="00387BC0">
          <w:headerReference w:type="default" r:id="rId32"/>
          <w:footerReference w:type="default" r:id="rId33"/>
          <w:pgSz w:w="16834" w:h="11909" w:orient="landscape" w:code="9"/>
          <w:pgMar w:top="1418" w:right="851" w:bottom="1418" w:left="851" w:header="578" w:footer="578" w:gutter="0"/>
          <w:cols w:space="720"/>
          <w:docGrid w:linePitch="326"/>
        </w:sectPr>
      </w:pPr>
    </w:p>
    <w:p w:rsidR="00582A5C" w:rsidRPr="00571F0B" w:rsidRDefault="00CC104A" w:rsidP="00B169B8">
      <w:pPr>
        <w:spacing w:before="0" w:after="0"/>
        <w:jc w:val="left"/>
        <w:rPr>
          <w:lang w:val="en-GB"/>
        </w:rPr>
        <w:sectPr w:rsidR="00582A5C" w:rsidRPr="00571F0B" w:rsidSect="00902169">
          <w:headerReference w:type="default" r:id="rId34"/>
          <w:footerReference w:type="default" r:id="rId35"/>
          <w:pgSz w:w="11909" w:h="16834" w:code="9"/>
          <w:pgMar w:top="851" w:right="1418" w:bottom="851" w:left="1418" w:header="578" w:footer="578" w:gutter="0"/>
          <w:pgNumType w:start="1"/>
          <w:cols w:space="720"/>
        </w:sectPr>
      </w:pPr>
      <w:r>
        <w:rPr>
          <w:lang w:val="en-GB"/>
        </w:rPr>
        <w:lastRenderedPageBreak/>
        <w:t>ANNEX 1 removed</w:t>
      </w:r>
    </w:p>
    <w:p w:rsidR="006E5EE9" w:rsidRPr="00571F0B" w:rsidRDefault="006E5EE9" w:rsidP="006E5EE9">
      <w:pPr>
        <w:jc w:val="center"/>
        <w:rPr>
          <w:b/>
          <w:i/>
          <w:vanish/>
          <w:color w:val="FF0000"/>
          <w:sz w:val="32"/>
          <w:lang w:val="en-GB"/>
        </w:rPr>
      </w:pPr>
      <w:r w:rsidRPr="00571F0B">
        <w:rPr>
          <w:b/>
          <w:i/>
          <w:vanish/>
          <w:color w:val="FF0000"/>
          <w:sz w:val="32"/>
          <w:lang w:val="en-GB"/>
        </w:rPr>
        <w:lastRenderedPageBreak/>
        <w:t>Annex Cover</w:t>
      </w:r>
    </w:p>
    <w:p w:rsidR="006E5EE9" w:rsidRPr="00571F0B" w:rsidRDefault="00826245" w:rsidP="006E5EE9">
      <w:pPr>
        <w:pBdr>
          <w:bottom w:val="single" w:sz="6" w:space="12" w:color="auto"/>
        </w:pBdr>
        <w:spacing w:after="360"/>
        <w:ind w:left="4320"/>
        <w:jc w:val="right"/>
        <w:rPr>
          <w:rFonts w:ascii="Arial" w:hAnsi="Arial"/>
          <w:b/>
          <w:sz w:val="44"/>
          <w:lang w:val="en-GB"/>
        </w:rPr>
      </w:pPr>
      <w:r w:rsidRPr="00571F0B">
        <w:rPr>
          <w:rFonts w:ascii="Arial" w:hAnsi="Arial"/>
          <w:b/>
          <w:sz w:val="44"/>
          <w:lang w:val="en-GB"/>
        </w:rPr>
        <w:t>Annex 2</w:t>
      </w:r>
    </w:p>
    <w:p w:rsidR="00A7141E" w:rsidRPr="00571F0B" w:rsidRDefault="001D5A19" w:rsidP="006E5EE9">
      <w:pPr>
        <w:pStyle w:val="BodyTextIndent2"/>
        <w:rPr>
          <w:lang w:val="en-GB"/>
        </w:rPr>
      </w:pPr>
      <w:r w:rsidRPr="00571F0B">
        <w:rPr>
          <w:lang w:val="en-GB"/>
        </w:rPr>
        <w:t>Incentive Fund Logic</w:t>
      </w:r>
    </w:p>
    <w:p w:rsidR="00A7141E" w:rsidRPr="00571F0B" w:rsidRDefault="00A7141E" w:rsidP="00A7141E">
      <w:pPr>
        <w:pStyle w:val="BodyTextIndent2"/>
        <w:ind w:left="0"/>
        <w:jc w:val="both"/>
        <w:rPr>
          <w:lang w:val="en-GB"/>
        </w:rPr>
      </w:pPr>
    </w:p>
    <w:p w:rsidR="00582A5C" w:rsidRPr="00571F0B" w:rsidRDefault="00582A5C" w:rsidP="00A7141E">
      <w:pPr>
        <w:pStyle w:val="BodyTextIndent2"/>
        <w:ind w:left="0"/>
        <w:jc w:val="both"/>
        <w:rPr>
          <w:lang w:val="en-GB"/>
        </w:rPr>
        <w:sectPr w:rsidR="00582A5C" w:rsidRPr="00571F0B" w:rsidSect="00582A5C">
          <w:headerReference w:type="default" r:id="rId36"/>
          <w:pgSz w:w="11909" w:h="16834" w:code="9"/>
          <w:pgMar w:top="851" w:right="1474" w:bottom="851" w:left="1474" w:header="578" w:footer="578" w:gutter="284"/>
          <w:pgNumType w:fmt="lowerRoman" w:start="1"/>
          <w:cols w:space="720"/>
          <w:vAlign w:val="center"/>
        </w:sectPr>
      </w:pPr>
    </w:p>
    <w:p w:rsidR="00A7141E" w:rsidRPr="00571F0B" w:rsidRDefault="00A71B3E" w:rsidP="00A7141E">
      <w:pPr>
        <w:jc w:val="center"/>
        <w:rPr>
          <w:rFonts w:ascii="Arial" w:hAnsi="Arial" w:cs="Arial"/>
          <w:b/>
          <w:sz w:val="28"/>
          <w:szCs w:val="28"/>
          <w:lang w:val="en-GB"/>
        </w:rPr>
      </w:pPr>
      <w:r>
        <w:rPr>
          <w:rFonts w:ascii="Arial" w:hAnsi="Arial" w:cs="Arial"/>
          <w:b/>
          <w:sz w:val="28"/>
          <w:szCs w:val="28"/>
          <w:lang w:val="en-GB"/>
        </w:rPr>
        <w:lastRenderedPageBreak/>
        <w:t>Annex 2</w:t>
      </w:r>
      <w:r w:rsidR="00A7141E" w:rsidRPr="00571F0B">
        <w:rPr>
          <w:rFonts w:ascii="Arial" w:hAnsi="Arial" w:cs="Arial"/>
          <w:b/>
          <w:sz w:val="28"/>
          <w:szCs w:val="28"/>
          <w:lang w:val="en-GB"/>
        </w:rPr>
        <w:t xml:space="preserve"> </w:t>
      </w:r>
      <w:r w:rsidR="00E56CD0" w:rsidRPr="00571F0B">
        <w:rPr>
          <w:rFonts w:ascii="Arial" w:hAnsi="Arial" w:cs="Arial"/>
          <w:b/>
          <w:sz w:val="28"/>
          <w:szCs w:val="28"/>
          <w:lang w:val="en-GB"/>
        </w:rPr>
        <w:t>–</w:t>
      </w:r>
      <w:r w:rsidR="00A7141E" w:rsidRPr="00571F0B">
        <w:rPr>
          <w:rFonts w:ascii="Arial" w:hAnsi="Arial" w:cs="Arial"/>
          <w:b/>
          <w:sz w:val="28"/>
          <w:szCs w:val="28"/>
          <w:lang w:val="en-GB"/>
        </w:rPr>
        <w:t xml:space="preserve"> </w:t>
      </w:r>
      <w:r w:rsidR="001D5A19" w:rsidRPr="00571F0B">
        <w:rPr>
          <w:rFonts w:ascii="Arial" w:hAnsi="Arial" w:cs="Arial"/>
          <w:b/>
          <w:sz w:val="28"/>
          <w:szCs w:val="28"/>
          <w:lang w:val="en-GB"/>
        </w:rPr>
        <w:t>Incentive Fund Logic</w:t>
      </w:r>
    </w:p>
    <w:p w:rsidR="005E227D" w:rsidRDefault="005E227D" w:rsidP="00B169B8">
      <w:pPr>
        <w:spacing w:before="0" w:after="0"/>
        <w:rPr>
          <w:lang w:val="en-GB"/>
        </w:rPr>
      </w:pPr>
    </w:p>
    <w:tbl>
      <w:tblPr>
        <w:tblW w:w="207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5"/>
        <w:gridCol w:w="3826"/>
        <w:gridCol w:w="269"/>
        <w:gridCol w:w="2952"/>
        <w:gridCol w:w="3866"/>
        <w:gridCol w:w="284"/>
        <w:gridCol w:w="3080"/>
        <w:gridCol w:w="3588"/>
      </w:tblGrid>
      <w:tr w:rsidR="00A17D83" w:rsidRPr="00A17D83" w:rsidTr="00482032">
        <w:trPr>
          <w:trHeight w:val="449"/>
        </w:trPr>
        <w:tc>
          <w:tcPr>
            <w:tcW w:w="20790"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17D83" w:rsidRPr="00A17D83" w:rsidRDefault="00A17D83" w:rsidP="00A17D83">
            <w:pPr>
              <w:spacing w:before="0" w:after="0"/>
              <w:jc w:val="center"/>
              <w:rPr>
                <w:rFonts w:ascii="Arial Narrow" w:hAnsi="Arial Narrow" w:cs="Arial"/>
                <w:b/>
                <w:szCs w:val="24"/>
              </w:rPr>
            </w:pPr>
            <w:r w:rsidRPr="00A17D83">
              <w:rPr>
                <w:rFonts w:ascii="Arial Narrow" w:hAnsi="Arial Narrow" w:cs="Arial"/>
                <w:b/>
                <w:szCs w:val="24"/>
              </w:rPr>
              <w:t>Goal (post program):</w:t>
            </w:r>
          </w:p>
          <w:p w:rsidR="00A17D83" w:rsidRPr="00A17D83" w:rsidRDefault="00CC1E7D" w:rsidP="00A17D83">
            <w:pPr>
              <w:spacing w:before="0" w:after="0"/>
              <w:jc w:val="center"/>
              <w:rPr>
                <w:rFonts w:ascii="Arial Narrow" w:hAnsi="Arial Narrow"/>
                <w:szCs w:val="24"/>
              </w:rPr>
            </w:pPr>
            <w:r w:rsidRPr="00CC1E7D">
              <w:rPr>
                <w:rFonts w:ascii="Arial Narrow" w:hAnsi="Arial Narrow" w:cs="Arial"/>
                <w:b/>
                <w:szCs w:val="24"/>
              </w:rPr>
              <w:t>To improve the capacity of organisations to meet the service delivery and economic development needs of the women, children and men of Papua New Guinea.</w:t>
            </w:r>
          </w:p>
        </w:tc>
      </w:tr>
      <w:tr w:rsidR="00A17D83" w:rsidRPr="00A17D83" w:rsidTr="00482032">
        <w:trPr>
          <w:trHeight w:val="224"/>
        </w:trPr>
        <w:tc>
          <w:tcPr>
            <w:tcW w:w="9972" w:type="dxa"/>
            <w:gridSpan w:val="4"/>
            <w:tcBorders>
              <w:top w:val="single" w:sz="4" w:space="0" w:color="auto"/>
              <w:left w:val="nil"/>
              <w:bottom w:val="nil"/>
              <w:right w:val="single" w:sz="12" w:space="0" w:color="auto"/>
            </w:tcBorders>
          </w:tcPr>
          <w:p w:rsidR="00A17D83" w:rsidRPr="00A17D83" w:rsidRDefault="00A17D83" w:rsidP="00A17D83">
            <w:pPr>
              <w:spacing w:before="0" w:after="0"/>
              <w:rPr>
                <w:rFonts w:ascii="Arial Narrow" w:hAnsi="Arial Narrow"/>
                <w:szCs w:val="24"/>
              </w:rPr>
            </w:pPr>
          </w:p>
        </w:tc>
        <w:tc>
          <w:tcPr>
            <w:tcW w:w="10818" w:type="dxa"/>
            <w:gridSpan w:val="4"/>
            <w:tcBorders>
              <w:top w:val="single" w:sz="4" w:space="0" w:color="auto"/>
              <w:left w:val="single" w:sz="12" w:space="0" w:color="auto"/>
              <w:bottom w:val="nil"/>
              <w:right w:val="nil"/>
            </w:tcBorders>
          </w:tcPr>
          <w:p w:rsidR="00A17D83" w:rsidRPr="00A17D83" w:rsidRDefault="00A17D83" w:rsidP="00A17D83">
            <w:pPr>
              <w:spacing w:before="0" w:after="0"/>
              <w:rPr>
                <w:rFonts w:ascii="Arial Narrow" w:hAnsi="Arial Narrow"/>
                <w:szCs w:val="24"/>
              </w:rPr>
            </w:pPr>
          </w:p>
        </w:tc>
      </w:tr>
      <w:tr w:rsidR="00A17D83" w:rsidRPr="00A17D83" w:rsidTr="00482032">
        <w:trPr>
          <w:trHeight w:val="743"/>
        </w:trPr>
        <w:tc>
          <w:tcPr>
            <w:tcW w:w="20790" w:type="dxa"/>
            <w:gridSpan w:val="8"/>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17D83" w:rsidRPr="00A17D83" w:rsidRDefault="00A17D83" w:rsidP="00A17D83">
            <w:pPr>
              <w:spacing w:before="0" w:after="0"/>
              <w:jc w:val="center"/>
              <w:rPr>
                <w:rFonts w:ascii="Arial Narrow" w:hAnsi="Arial Narrow" w:cs="Arial"/>
                <w:b/>
                <w:szCs w:val="24"/>
              </w:rPr>
            </w:pPr>
            <w:r w:rsidRPr="00A17D83">
              <w:rPr>
                <w:rFonts w:ascii="Arial Narrow" w:hAnsi="Arial Narrow" w:cs="Arial"/>
                <w:b/>
                <w:szCs w:val="24"/>
              </w:rPr>
              <w:t>Purpose:</w:t>
            </w:r>
          </w:p>
          <w:p w:rsidR="00A17D83" w:rsidRPr="00A17D83" w:rsidRDefault="00CC1E7D" w:rsidP="00AF79FB">
            <w:pPr>
              <w:spacing w:before="0" w:after="0"/>
              <w:jc w:val="center"/>
              <w:rPr>
                <w:rFonts w:ascii="Arial Narrow" w:hAnsi="Arial Narrow"/>
                <w:sz w:val="16"/>
                <w:szCs w:val="16"/>
              </w:rPr>
            </w:pPr>
            <w:r w:rsidRPr="00CC1E7D">
              <w:rPr>
                <w:rFonts w:ascii="Arial Narrow" w:hAnsi="Arial Narrow" w:cs="Arial"/>
                <w:b/>
                <w:szCs w:val="24"/>
              </w:rPr>
              <w:t xml:space="preserve">To attract, identify and incentivise good performing organisations to expand the reach, coverage and quality of their contribution to service delivery and/or economic </w:t>
            </w:r>
            <w:r w:rsidR="00AF79FB">
              <w:rPr>
                <w:rFonts w:ascii="Arial Narrow" w:hAnsi="Arial Narrow" w:cs="Arial"/>
                <w:b/>
                <w:szCs w:val="24"/>
              </w:rPr>
              <w:t>development</w:t>
            </w:r>
            <w:r w:rsidRPr="00CC1E7D">
              <w:rPr>
                <w:rFonts w:ascii="Arial Narrow" w:hAnsi="Arial Narrow" w:cs="Arial"/>
                <w:b/>
                <w:szCs w:val="24"/>
              </w:rPr>
              <w:t xml:space="preserve"> in Papua New Guinea. </w:t>
            </w:r>
          </w:p>
        </w:tc>
      </w:tr>
      <w:tr w:rsidR="00A17D83" w:rsidRPr="00A17D83" w:rsidTr="00482032">
        <w:trPr>
          <w:trHeight w:val="179"/>
        </w:trPr>
        <w:tc>
          <w:tcPr>
            <w:tcW w:w="2925" w:type="dxa"/>
            <w:tcBorders>
              <w:top w:val="nil"/>
              <w:left w:val="nil"/>
              <w:bottom w:val="nil"/>
              <w:right w:val="single" w:sz="4" w:space="0" w:color="auto"/>
            </w:tcBorders>
          </w:tcPr>
          <w:p w:rsidR="00A17D83" w:rsidRPr="00A17D83" w:rsidRDefault="00A17D83" w:rsidP="00A17D83">
            <w:pPr>
              <w:spacing w:before="0" w:after="0"/>
              <w:rPr>
                <w:rFonts w:ascii="Arial Narrow" w:hAnsi="Arial Narrow"/>
                <w:szCs w:val="24"/>
              </w:rPr>
            </w:pPr>
          </w:p>
        </w:tc>
        <w:tc>
          <w:tcPr>
            <w:tcW w:w="7047" w:type="dxa"/>
            <w:gridSpan w:val="3"/>
            <w:tcBorders>
              <w:top w:val="single" w:sz="4" w:space="0" w:color="auto"/>
              <w:left w:val="single" w:sz="4" w:space="0" w:color="auto"/>
              <w:bottom w:val="single" w:sz="4" w:space="0" w:color="auto"/>
              <w:right w:val="single" w:sz="4" w:space="0" w:color="auto"/>
            </w:tcBorders>
          </w:tcPr>
          <w:p w:rsidR="00A17D83" w:rsidRPr="00A17D83" w:rsidRDefault="00A17D83" w:rsidP="00A17D83">
            <w:pPr>
              <w:spacing w:before="0" w:after="0"/>
              <w:rPr>
                <w:rFonts w:ascii="Arial Narrow" w:hAnsi="Arial Narrow"/>
                <w:szCs w:val="24"/>
              </w:rPr>
            </w:pPr>
          </w:p>
        </w:tc>
        <w:tc>
          <w:tcPr>
            <w:tcW w:w="7230" w:type="dxa"/>
            <w:gridSpan w:val="3"/>
            <w:tcBorders>
              <w:top w:val="single" w:sz="4" w:space="0" w:color="auto"/>
              <w:left w:val="nil"/>
              <w:bottom w:val="single" w:sz="4" w:space="0" w:color="auto"/>
              <w:right w:val="single" w:sz="4" w:space="0" w:color="auto"/>
            </w:tcBorders>
          </w:tcPr>
          <w:p w:rsidR="00A17D83" w:rsidRPr="00A17D83" w:rsidRDefault="00A17D83" w:rsidP="00A17D83">
            <w:pPr>
              <w:spacing w:before="0" w:after="0"/>
              <w:rPr>
                <w:rFonts w:ascii="Arial Narrow" w:hAnsi="Arial Narrow"/>
                <w:szCs w:val="24"/>
              </w:rPr>
            </w:pPr>
          </w:p>
        </w:tc>
        <w:tc>
          <w:tcPr>
            <w:tcW w:w="3588" w:type="dxa"/>
            <w:tcBorders>
              <w:top w:val="nil"/>
              <w:left w:val="single" w:sz="4" w:space="0" w:color="auto"/>
              <w:bottom w:val="nil"/>
              <w:right w:val="nil"/>
            </w:tcBorders>
          </w:tcPr>
          <w:p w:rsidR="00A17D83" w:rsidRPr="00A17D83" w:rsidRDefault="00A17D83" w:rsidP="00A17D83">
            <w:pPr>
              <w:spacing w:before="0" w:after="0"/>
              <w:rPr>
                <w:rFonts w:ascii="Arial Narrow" w:hAnsi="Arial Narrow"/>
                <w:szCs w:val="24"/>
              </w:rPr>
            </w:pPr>
          </w:p>
        </w:tc>
      </w:tr>
      <w:tr w:rsidR="00A17D83" w:rsidRPr="00A17D83" w:rsidTr="00482032">
        <w:trPr>
          <w:trHeight w:val="514"/>
        </w:trPr>
        <w:tc>
          <w:tcPr>
            <w:tcW w:w="6751" w:type="dxa"/>
            <w:gridSpan w:val="2"/>
            <w:vMerge w:val="restart"/>
            <w:tcBorders>
              <w:top w:val="single" w:sz="4" w:space="0" w:color="auto"/>
              <w:left w:val="single" w:sz="4" w:space="0" w:color="auto"/>
              <w:right w:val="nil"/>
            </w:tcBorders>
            <w:shd w:val="clear" w:color="auto" w:fill="B6DDE8" w:themeFill="accent5" w:themeFillTint="66"/>
          </w:tcPr>
          <w:p w:rsidR="00A17D83" w:rsidRPr="00A17D83" w:rsidRDefault="00A17D83" w:rsidP="00A17D83">
            <w:pPr>
              <w:spacing w:before="0" w:after="0"/>
              <w:jc w:val="left"/>
              <w:rPr>
                <w:rFonts w:ascii="Arial Narrow" w:hAnsi="Arial Narrow" w:cs="Arial"/>
                <w:b/>
                <w:szCs w:val="24"/>
              </w:rPr>
            </w:pPr>
            <w:r w:rsidRPr="00A17D83">
              <w:rPr>
                <w:rFonts w:ascii="Arial Narrow" w:hAnsi="Arial Narrow" w:cs="Arial"/>
                <w:b/>
                <w:szCs w:val="24"/>
              </w:rPr>
              <w:t>End-of-program outcome 1:</w:t>
            </w:r>
          </w:p>
          <w:p w:rsidR="00A17D83" w:rsidRPr="00A17D83" w:rsidRDefault="00A17D83" w:rsidP="00A17D83">
            <w:pPr>
              <w:spacing w:before="0" w:after="0"/>
              <w:jc w:val="left"/>
              <w:rPr>
                <w:rFonts w:ascii="Arial Narrow" w:hAnsi="Arial Narrow" w:cs="Arial"/>
                <w:b/>
                <w:szCs w:val="24"/>
              </w:rPr>
            </w:pPr>
            <w:r w:rsidRPr="00A17D83">
              <w:rPr>
                <w:rFonts w:ascii="Arial Narrow" w:hAnsi="Arial Narrow" w:cs="Arial"/>
                <w:b/>
                <w:szCs w:val="24"/>
              </w:rPr>
              <w:t>Health (2021)</w:t>
            </w:r>
          </w:p>
          <w:p w:rsidR="00A17D83" w:rsidRPr="00A17D83" w:rsidRDefault="00A17D83" w:rsidP="00A17D83">
            <w:pPr>
              <w:spacing w:before="0" w:after="0"/>
              <w:jc w:val="left"/>
              <w:rPr>
                <w:rFonts w:ascii="Arial Narrow" w:hAnsi="Arial Narrow" w:cs="Arial"/>
                <w:szCs w:val="24"/>
              </w:rPr>
            </w:pPr>
            <w:r w:rsidRPr="00A17D83">
              <w:rPr>
                <w:rFonts w:ascii="Arial Narrow" w:hAnsi="Arial Narrow" w:cs="Arial"/>
                <w:szCs w:val="24"/>
              </w:rPr>
              <w:t>Selected IF (IV) grant recipients effectively and efficiently manage, maintain and operate fit-for-purpose health infrastructure and equipment</w:t>
            </w:r>
          </w:p>
          <w:p w:rsidR="00A17D83" w:rsidRPr="00A17D83" w:rsidRDefault="00A17D83" w:rsidP="00A17D83">
            <w:pPr>
              <w:spacing w:before="0" w:after="0"/>
              <w:jc w:val="left"/>
              <w:rPr>
                <w:rFonts w:ascii="Arial Narrow" w:hAnsi="Arial Narrow"/>
                <w:sz w:val="16"/>
                <w:szCs w:val="16"/>
              </w:rPr>
            </w:pPr>
          </w:p>
        </w:tc>
        <w:tc>
          <w:tcPr>
            <w:tcW w:w="269" w:type="dxa"/>
            <w:tcBorders>
              <w:top w:val="nil"/>
              <w:left w:val="nil"/>
              <w:bottom w:val="nil"/>
              <w:right w:val="nil"/>
            </w:tcBorders>
          </w:tcPr>
          <w:p w:rsidR="00A17D83" w:rsidRPr="00A17D83" w:rsidRDefault="00A17D83" w:rsidP="00A17D83">
            <w:pPr>
              <w:spacing w:before="0" w:after="0"/>
              <w:jc w:val="left"/>
              <w:rPr>
                <w:rFonts w:ascii="Arial Narrow" w:hAnsi="Arial Narrow"/>
                <w:b/>
                <w:szCs w:val="24"/>
              </w:rPr>
            </w:pPr>
          </w:p>
        </w:tc>
        <w:tc>
          <w:tcPr>
            <w:tcW w:w="6818" w:type="dxa"/>
            <w:gridSpan w:val="2"/>
            <w:vMerge w:val="restart"/>
            <w:tcBorders>
              <w:top w:val="single" w:sz="4" w:space="0" w:color="auto"/>
              <w:left w:val="nil"/>
              <w:right w:val="nil"/>
            </w:tcBorders>
            <w:shd w:val="clear" w:color="auto" w:fill="B6DDE8" w:themeFill="accent5" w:themeFillTint="66"/>
          </w:tcPr>
          <w:p w:rsidR="00A17D83" w:rsidRPr="00A17D83" w:rsidRDefault="00A17D83" w:rsidP="00A17D83">
            <w:pPr>
              <w:spacing w:before="0" w:after="0"/>
              <w:jc w:val="left"/>
              <w:rPr>
                <w:rFonts w:ascii="Arial Narrow" w:hAnsi="Arial Narrow" w:cs="Arial"/>
                <w:b/>
                <w:szCs w:val="24"/>
              </w:rPr>
            </w:pPr>
            <w:r w:rsidRPr="00A17D83">
              <w:rPr>
                <w:rFonts w:ascii="Arial Narrow" w:hAnsi="Arial Narrow" w:cs="Arial"/>
                <w:b/>
                <w:szCs w:val="24"/>
              </w:rPr>
              <w:t>End-of-program outcome 2:</w:t>
            </w:r>
          </w:p>
          <w:p w:rsidR="00A17D83" w:rsidRPr="00A17D83" w:rsidRDefault="00A17D83" w:rsidP="00A17D83">
            <w:pPr>
              <w:spacing w:before="0" w:after="0"/>
              <w:jc w:val="left"/>
              <w:rPr>
                <w:rFonts w:ascii="Arial Narrow" w:hAnsi="Arial Narrow" w:cs="Arial"/>
                <w:szCs w:val="24"/>
              </w:rPr>
            </w:pPr>
            <w:r w:rsidRPr="00A17D83">
              <w:rPr>
                <w:rFonts w:ascii="Arial Narrow" w:hAnsi="Arial Narrow" w:cs="Arial"/>
                <w:b/>
                <w:szCs w:val="24"/>
              </w:rPr>
              <w:t>Education (2021)</w:t>
            </w:r>
          </w:p>
          <w:p w:rsidR="00A17D83" w:rsidRPr="00A17D83" w:rsidRDefault="00A17D83" w:rsidP="00A17D83">
            <w:pPr>
              <w:spacing w:before="0" w:after="0"/>
              <w:jc w:val="left"/>
              <w:rPr>
                <w:rFonts w:ascii="Arial Narrow" w:hAnsi="Arial Narrow" w:cs="Arial"/>
                <w:szCs w:val="24"/>
              </w:rPr>
            </w:pPr>
            <w:r w:rsidRPr="00A17D83">
              <w:rPr>
                <w:rFonts w:ascii="Arial Narrow" w:hAnsi="Arial Narrow" w:cs="Arial"/>
                <w:szCs w:val="24"/>
              </w:rPr>
              <w:t>Selected IF (IV) grant recipients effectively and efficiently manage, maintain and operate fit-for-purpose education infrastructure and equipment</w:t>
            </w:r>
          </w:p>
          <w:p w:rsidR="00A17D83" w:rsidRPr="00A17D83" w:rsidRDefault="00A17D83" w:rsidP="00A17D83">
            <w:pPr>
              <w:spacing w:before="0" w:after="0"/>
              <w:jc w:val="left"/>
              <w:rPr>
                <w:rFonts w:ascii="Arial Narrow" w:hAnsi="Arial Narrow"/>
                <w:sz w:val="16"/>
                <w:szCs w:val="16"/>
              </w:rPr>
            </w:pPr>
          </w:p>
        </w:tc>
        <w:tc>
          <w:tcPr>
            <w:tcW w:w="284" w:type="dxa"/>
            <w:tcBorders>
              <w:top w:val="nil"/>
              <w:left w:val="nil"/>
              <w:bottom w:val="nil"/>
              <w:right w:val="nil"/>
            </w:tcBorders>
          </w:tcPr>
          <w:p w:rsidR="00A17D83" w:rsidRPr="00A17D83" w:rsidRDefault="00A17D83" w:rsidP="00A17D83">
            <w:pPr>
              <w:spacing w:before="0" w:after="0"/>
              <w:rPr>
                <w:rFonts w:ascii="Arial Narrow" w:hAnsi="Arial Narrow"/>
                <w:b/>
                <w:szCs w:val="24"/>
              </w:rPr>
            </w:pPr>
          </w:p>
        </w:tc>
        <w:tc>
          <w:tcPr>
            <w:tcW w:w="6668" w:type="dxa"/>
            <w:gridSpan w:val="2"/>
            <w:vMerge w:val="restart"/>
            <w:tcBorders>
              <w:top w:val="single" w:sz="4" w:space="0" w:color="auto"/>
              <w:left w:val="nil"/>
              <w:right w:val="single" w:sz="4" w:space="0" w:color="auto"/>
            </w:tcBorders>
            <w:shd w:val="clear" w:color="auto" w:fill="B6DDE8" w:themeFill="accent5" w:themeFillTint="66"/>
          </w:tcPr>
          <w:p w:rsidR="00A17D83" w:rsidRPr="00A17D83" w:rsidRDefault="00A17D83" w:rsidP="00A17D83">
            <w:pPr>
              <w:spacing w:before="0" w:after="0"/>
              <w:jc w:val="left"/>
              <w:rPr>
                <w:rFonts w:ascii="Arial Narrow" w:hAnsi="Arial Narrow" w:cs="Arial"/>
                <w:szCs w:val="24"/>
              </w:rPr>
            </w:pPr>
            <w:r w:rsidRPr="00A17D83">
              <w:rPr>
                <w:rFonts w:ascii="Arial Narrow" w:hAnsi="Arial Narrow" w:cs="Arial"/>
                <w:b/>
                <w:szCs w:val="24"/>
              </w:rPr>
              <w:t>End-of-program outcome 3</w:t>
            </w:r>
            <w:r w:rsidRPr="00A17D83">
              <w:rPr>
                <w:rFonts w:ascii="Arial Narrow" w:hAnsi="Arial Narrow" w:cs="Arial"/>
                <w:szCs w:val="24"/>
              </w:rPr>
              <w:t>:</w:t>
            </w:r>
          </w:p>
          <w:p w:rsidR="00A17D83" w:rsidRPr="00A17D83" w:rsidRDefault="00A17D83" w:rsidP="00A17D83">
            <w:pPr>
              <w:spacing w:before="0" w:after="0"/>
              <w:jc w:val="left"/>
              <w:rPr>
                <w:rFonts w:ascii="Arial Narrow" w:hAnsi="Arial Narrow" w:cs="Arial"/>
                <w:b/>
                <w:szCs w:val="24"/>
              </w:rPr>
            </w:pPr>
            <w:r w:rsidRPr="00A17D83">
              <w:rPr>
                <w:rFonts w:ascii="Arial Narrow" w:hAnsi="Arial Narrow" w:cs="Arial"/>
                <w:b/>
                <w:szCs w:val="24"/>
              </w:rPr>
              <w:t xml:space="preserve">Economic </w:t>
            </w:r>
            <w:r w:rsidR="00AF79FB">
              <w:rPr>
                <w:rFonts w:ascii="Arial Narrow" w:hAnsi="Arial Narrow" w:cs="Arial"/>
                <w:b/>
                <w:szCs w:val="24"/>
              </w:rPr>
              <w:t>D</w:t>
            </w:r>
            <w:r w:rsidR="00AF79FB" w:rsidRPr="00AF79FB">
              <w:rPr>
                <w:rFonts w:ascii="Arial Narrow" w:hAnsi="Arial Narrow" w:cs="Arial"/>
                <w:b/>
                <w:szCs w:val="24"/>
              </w:rPr>
              <w:t>evelopment</w:t>
            </w:r>
            <w:r w:rsidRPr="00A17D83">
              <w:rPr>
                <w:rFonts w:ascii="Arial Narrow" w:hAnsi="Arial Narrow" w:cs="Arial"/>
                <w:b/>
                <w:szCs w:val="24"/>
              </w:rPr>
              <w:t xml:space="preserve"> (202I)</w:t>
            </w:r>
          </w:p>
          <w:p w:rsidR="00A17D83" w:rsidRPr="00A17D83" w:rsidRDefault="00A17D83" w:rsidP="00A17D83">
            <w:pPr>
              <w:spacing w:before="0" w:after="0"/>
              <w:rPr>
                <w:rFonts w:ascii="Arial Narrow" w:hAnsi="Arial Narrow" w:cs="Arial"/>
                <w:szCs w:val="24"/>
              </w:rPr>
            </w:pPr>
            <w:r w:rsidRPr="00A17D83">
              <w:rPr>
                <w:rFonts w:ascii="Arial Narrow" w:hAnsi="Arial Narrow" w:cs="Arial"/>
                <w:szCs w:val="24"/>
              </w:rPr>
              <w:t>IF(IV) grant recipients actively engage in local economic development</w:t>
            </w:r>
          </w:p>
          <w:p w:rsidR="00A17D83" w:rsidRPr="00A17D83" w:rsidRDefault="00A17D83" w:rsidP="00A17D83">
            <w:pPr>
              <w:spacing w:before="0" w:after="0"/>
              <w:rPr>
                <w:rFonts w:ascii="Arial Narrow" w:hAnsi="Arial Narrow"/>
                <w:szCs w:val="24"/>
              </w:rPr>
            </w:pPr>
          </w:p>
        </w:tc>
      </w:tr>
      <w:tr w:rsidR="00A17D83" w:rsidRPr="00A17D83" w:rsidTr="00482032">
        <w:trPr>
          <w:trHeight w:val="716"/>
        </w:trPr>
        <w:tc>
          <w:tcPr>
            <w:tcW w:w="6751" w:type="dxa"/>
            <w:gridSpan w:val="2"/>
            <w:vMerge/>
            <w:tcBorders>
              <w:top w:val="single" w:sz="4" w:space="0" w:color="auto"/>
              <w:left w:val="single" w:sz="4" w:space="0" w:color="auto"/>
              <w:bottom w:val="single" w:sz="4" w:space="0" w:color="auto"/>
              <w:right w:val="nil"/>
            </w:tcBorders>
            <w:shd w:val="clear" w:color="auto" w:fill="B6DDE8" w:themeFill="accent5" w:themeFillTint="66"/>
          </w:tcPr>
          <w:p w:rsidR="00A17D83" w:rsidRPr="00A17D83" w:rsidRDefault="00A17D83" w:rsidP="00A17D83">
            <w:pPr>
              <w:spacing w:before="0" w:after="0"/>
              <w:jc w:val="left"/>
              <w:rPr>
                <w:rFonts w:ascii="Arial Narrow" w:hAnsi="Arial Narrow"/>
                <w:b/>
                <w:szCs w:val="24"/>
              </w:rPr>
            </w:pPr>
          </w:p>
        </w:tc>
        <w:tc>
          <w:tcPr>
            <w:tcW w:w="269" w:type="dxa"/>
            <w:tcBorders>
              <w:top w:val="nil"/>
              <w:left w:val="nil"/>
              <w:bottom w:val="nil"/>
              <w:right w:val="nil"/>
            </w:tcBorders>
          </w:tcPr>
          <w:p w:rsidR="00A17D83" w:rsidRPr="00A17D83" w:rsidRDefault="00A17D83" w:rsidP="00A17D83">
            <w:pPr>
              <w:spacing w:before="0" w:after="0"/>
              <w:jc w:val="left"/>
              <w:rPr>
                <w:rFonts w:ascii="Arial Narrow" w:hAnsi="Arial Narrow"/>
                <w:b/>
                <w:szCs w:val="24"/>
              </w:rPr>
            </w:pPr>
          </w:p>
        </w:tc>
        <w:tc>
          <w:tcPr>
            <w:tcW w:w="6818" w:type="dxa"/>
            <w:gridSpan w:val="2"/>
            <w:vMerge/>
            <w:tcBorders>
              <w:left w:val="nil"/>
              <w:bottom w:val="single" w:sz="4" w:space="0" w:color="auto"/>
              <w:right w:val="nil"/>
            </w:tcBorders>
            <w:shd w:val="clear" w:color="auto" w:fill="B6DDE8" w:themeFill="accent5" w:themeFillTint="66"/>
          </w:tcPr>
          <w:p w:rsidR="00A17D83" w:rsidRPr="00A17D83" w:rsidRDefault="00A17D83" w:rsidP="00A17D83">
            <w:pPr>
              <w:spacing w:before="0" w:after="0"/>
              <w:jc w:val="left"/>
              <w:rPr>
                <w:rFonts w:ascii="Arial Narrow" w:hAnsi="Arial Narrow"/>
                <w:b/>
                <w:szCs w:val="24"/>
              </w:rPr>
            </w:pPr>
          </w:p>
        </w:tc>
        <w:tc>
          <w:tcPr>
            <w:tcW w:w="284" w:type="dxa"/>
            <w:tcBorders>
              <w:top w:val="nil"/>
              <w:left w:val="nil"/>
              <w:bottom w:val="nil"/>
              <w:right w:val="nil"/>
            </w:tcBorders>
          </w:tcPr>
          <w:p w:rsidR="00A17D83" w:rsidRPr="00A17D83" w:rsidRDefault="00A17D83" w:rsidP="00A17D83">
            <w:pPr>
              <w:spacing w:before="0" w:after="0"/>
              <w:rPr>
                <w:rFonts w:ascii="Arial Narrow" w:hAnsi="Arial Narrow"/>
                <w:b/>
                <w:szCs w:val="24"/>
              </w:rPr>
            </w:pPr>
          </w:p>
        </w:tc>
        <w:tc>
          <w:tcPr>
            <w:tcW w:w="6668" w:type="dxa"/>
            <w:gridSpan w:val="2"/>
            <w:vMerge/>
            <w:tcBorders>
              <w:left w:val="nil"/>
              <w:bottom w:val="single" w:sz="4" w:space="0" w:color="auto"/>
              <w:right w:val="single" w:sz="4" w:space="0" w:color="auto"/>
            </w:tcBorders>
            <w:shd w:val="clear" w:color="auto" w:fill="B6DDE8" w:themeFill="accent5" w:themeFillTint="66"/>
          </w:tcPr>
          <w:p w:rsidR="00A17D83" w:rsidRPr="00A17D83" w:rsidRDefault="00A17D83" w:rsidP="00A17D83">
            <w:pPr>
              <w:spacing w:before="0" w:after="0"/>
              <w:jc w:val="left"/>
              <w:rPr>
                <w:rFonts w:ascii="Arial Narrow" w:hAnsi="Arial Narrow"/>
                <w:b/>
                <w:szCs w:val="24"/>
              </w:rPr>
            </w:pPr>
          </w:p>
        </w:tc>
      </w:tr>
      <w:tr w:rsidR="00A17D83" w:rsidRPr="00A17D83" w:rsidTr="00482032">
        <w:trPr>
          <w:trHeight w:val="179"/>
        </w:trPr>
        <w:tc>
          <w:tcPr>
            <w:tcW w:w="2925" w:type="dxa"/>
            <w:tcBorders>
              <w:top w:val="single" w:sz="4" w:space="0" w:color="auto"/>
              <w:left w:val="nil"/>
              <w:bottom w:val="single" w:sz="4" w:space="0" w:color="auto"/>
              <w:right w:val="single" w:sz="4" w:space="0" w:color="auto"/>
            </w:tcBorders>
          </w:tcPr>
          <w:p w:rsidR="00A17D83" w:rsidRPr="00A17D83" w:rsidRDefault="00A17D83" w:rsidP="00A17D83">
            <w:pPr>
              <w:spacing w:before="0" w:after="0"/>
              <w:rPr>
                <w:rFonts w:ascii="Arial Narrow" w:hAnsi="Arial Narrow"/>
                <w:szCs w:val="24"/>
              </w:rPr>
            </w:pPr>
          </w:p>
        </w:tc>
        <w:tc>
          <w:tcPr>
            <w:tcW w:w="7047" w:type="dxa"/>
            <w:gridSpan w:val="3"/>
            <w:tcBorders>
              <w:top w:val="single" w:sz="4" w:space="0" w:color="auto"/>
              <w:left w:val="single" w:sz="4" w:space="0" w:color="auto"/>
              <w:bottom w:val="single" w:sz="4" w:space="0" w:color="auto"/>
              <w:right w:val="single" w:sz="4" w:space="0" w:color="auto"/>
            </w:tcBorders>
          </w:tcPr>
          <w:p w:rsidR="00A17D83" w:rsidRPr="00A17D83" w:rsidRDefault="00A17D83" w:rsidP="00A17D83">
            <w:pPr>
              <w:spacing w:before="0" w:after="0"/>
              <w:jc w:val="left"/>
              <w:rPr>
                <w:rFonts w:ascii="Arial Narrow" w:hAnsi="Arial Narrow"/>
                <w:b/>
                <w:szCs w:val="24"/>
              </w:rPr>
            </w:pPr>
          </w:p>
        </w:tc>
        <w:tc>
          <w:tcPr>
            <w:tcW w:w="4150" w:type="dxa"/>
            <w:gridSpan w:val="2"/>
            <w:tcBorders>
              <w:top w:val="single" w:sz="4" w:space="0" w:color="auto"/>
              <w:left w:val="single" w:sz="4" w:space="0" w:color="auto"/>
              <w:bottom w:val="single" w:sz="4" w:space="0" w:color="auto"/>
              <w:right w:val="nil"/>
            </w:tcBorders>
          </w:tcPr>
          <w:p w:rsidR="00A17D83" w:rsidRPr="00A17D83" w:rsidRDefault="00A17D83" w:rsidP="00A17D83">
            <w:pPr>
              <w:spacing w:before="0" w:after="0"/>
              <w:jc w:val="left"/>
              <w:rPr>
                <w:rFonts w:ascii="Arial Narrow" w:hAnsi="Arial Narrow"/>
                <w:b/>
                <w:szCs w:val="24"/>
              </w:rPr>
            </w:pPr>
          </w:p>
        </w:tc>
        <w:tc>
          <w:tcPr>
            <w:tcW w:w="3080" w:type="dxa"/>
            <w:tcBorders>
              <w:top w:val="single" w:sz="4" w:space="0" w:color="auto"/>
              <w:left w:val="nil"/>
              <w:bottom w:val="single" w:sz="4" w:space="0" w:color="auto"/>
              <w:right w:val="single" w:sz="4" w:space="0" w:color="auto"/>
            </w:tcBorders>
          </w:tcPr>
          <w:p w:rsidR="00A17D83" w:rsidRPr="00A17D83" w:rsidRDefault="00A17D83" w:rsidP="00A17D83">
            <w:pPr>
              <w:spacing w:before="0" w:after="0"/>
              <w:rPr>
                <w:rFonts w:ascii="Arial Narrow" w:hAnsi="Arial Narrow"/>
                <w:szCs w:val="24"/>
              </w:rPr>
            </w:pPr>
          </w:p>
        </w:tc>
        <w:tc>
          <w:tcPr>
            <w:tcW w:w="3588" w:type="dxa"/>
            <w:tcBorders>
              <w:top w:val="single" w:sz="4" w:space="0" w:color="auto"/>
              <w:left w:val="single" w:sz="4" w:space="0" w:color="auto"/>
              <w:bottom w:val="single" w:sz="4" w:space="0" w:color="auto"/>
              <w:right w:val="nil"/>
            </w:tcBorders>
          </w:tcPr>
          <w:p w:rsidR="00A17D83" w:rsidRPr="00A17D83" w:rsidRDefault="00A17D83" w:rsidP="00A17D83">
            <w:pPr>
              <w:spacing w:before="0" w:after="0"/>
              <w:rPr>
                <w:rFonts w:ascii="Arial Narrow" w:hAnsi="Arial Narrow"/>
                <w:szCs w:val="24"/>
              </w:rPr>
            </w:pPr>
          </w:p>
        </w:tc>
      </w:tr>
      <w:tr w:rsidR="00A17D83" w:rsidRPr="00A17D83" w:rsidTr="00482032">
        <w:trPr>
          <w:trHeight w:val="179"/>
        </w:trPr>
        <w:tc>
          <w:tcPr>
            <w:tcW w:w="7020" w:type="dxa"/>
            <w:gridSpan w:val="3"/>
            <w:tcBorders>
              <w:top w:val="single" w:sz="4" w:space="0" w:color="auto"/>
              <w:left w:val="single" w:sz="4" w:space="0" w:color="auto"/>
              <w:bottom w:val="single" w:sz="4" w:space="0" w:color="auto"/>
              <w:right w:val="single" w:sz="4" w:space="0" w:color="auto"/>
            </w:tcBorders>
          </w:tcPr>
          <w:p w:rsidR="00A17D83" w:rsidRPr="00A17D83" w:rsidRDefault="00A17D83" w:rsidP="00A17D83">
            <w:pPr>
              <w:spacing w:before="0" w:after="0"/>
              <w:rPr>
                <w:rFonts w:ascii="Arial Narrow" w:hAnsi="Arial Narrow"/>
                <w:b/>
                <w:szCs w:val="24"/>
              </w:rPr>
            </w:pPr>
            <w:r w:rsidRPr="00A17D83">
              <w:rPr>
                <w:rFonts w:ascii="Arial Narrow" w:hAnsi="Arial Narrow"/>
                <w:b/>
                <w:szCs w:val="24"/>
              </w:rPr>
              <w:t>Intermediate health process and output outcomes 1:</w:t>
            </w:r>
          </w:p>
          <w:p w:rsidR="00A17D83" w:rsidRPr="00A17D83" w:rsidRDefault="00A17D83" w:rsidP="00A17D83">
            <w:pPr>
              <w:spacing w:before="0" w:after="0"/>
              <w:rPr>
                <w:rFonts w:ascii="Arial Narrow" w:hAnsi="Arial Narrow"/>
                <w:szCs w:val="24"/>
              </w:rPr>
            </w:pPr>
          </w:p>
          <w:p w:rsidR="00A17D83" w:rsidRPr="00A17D83" w:rsidRDefault="00A17D83" w:rsidP="00A17D83">
            <w:pPr>
              <w:spacing w:before="0" w:after="0"/>
              <w:jc w:val="left"/>
              <w:rPr>
                <w:rFonts w:ascii="Arial Narrow" w:hAnsi="Arial Narrow"/>
                <w:szCs w:val="24"/>
              </w:rPr>
            </w:pPr>
            <w:r w:rsidRPr="00A17D83">
              <w:rPr>
                <w:rFonts w:ascii="Arial Narrow" w:hAnsi="Arial Narrow"/>
                <w:szCs w:val="24"/>
              </w:rPr>
              <w:t>1a: Partners are operating and maintaining all their infrastructure and support</w:t>
            </w:r>
          </w:p>
          <w:p w:rsidR="00A17D83" w:rsidRPr="00A17D83" w:rsidRDefault="00A17D83" w:rsidP="00A17D83">
            <w:pPr>
              <w:spacing w:before="0" w:after="0"/>
              <w:jc w:val="left"/>
              <w:rPr>
                <w:rFonts w:ascii="Arial Narrow" w:hAnsi="Arial Narrow"/>
                <w:sz w:val="16"/>
                <w:szCs w:val="16"/>
              </w:rPr>
            </w:pPr>
          </w:p>
          <w:p w:rsidR="00A17D83" w:rsidRPr="00A17D83" w:rsidRDefault="00A17D83" w:rsidP="00A17D83">
            <w:pPr>
              <w:spacing w:before="0" w:after="0"/>
              <w:jc w:val="left"/>
              <w:rPr>
                <w:rFonts w:ascii="Arial Narrow" w:hAnsi="Arial Narrow"/>
                <w:szCs w:val="24"/>
              </w:rPr>
            </w:pPr>
            <w:r w:rsidRPr="00A17D83">
              <w:rPr>
                <w:rFonts w:ascii="Arial Narrow" w:hAnsi="Arial Narrow"/>
                <w:szCs w:val="24"/>
              </w:rPr>
              <w:t xml:space="preserve">1b: </w:t>
            </w:r>
            <w:r w:rsidR="00463D79" w:rsidRPr="00463D79">
              <w:rPr>
                <w:rFonts w:ascii="Arial Narrow" w:hAnsi="Arial Narrow"/>
                <w:szCs w:val="24"/>
                <w:lang w:val="en-GB"/>
              </w:rPr>
              <w:t>80 per cent of the investments will support empowerment of women and girls</w:t>
            </w:r>
          </w:p>
          <w:p w:rsidR="00A17D83" w:rsidRPr="00A17D83" w:rsidRDefault="00A17D83" w:rsidP="00A17D83">
            <w:pPr>
              <w:spacing w:before="0" w:after="0"/>
              <w:jc w:val="left"/>
              <w:rPr>
                <w:rFonts w:ascii="Arial Narrow" w:hAnsi="Arial Narrow"/>
                <w:sz w:val="16"/>
                <w:szCs w:val="16"/>
              </w:rPr>
            </w:pPr>
          </w:p>
          <w:p w:rsidR="00A17D83" w:rsidRPr="00A17D83" w:rsidRDefault="00A17D83" w:rsidP="00A17D83">
            <w:pPr>
              <w:spacing w:before="0" w:after="0"/>
              <w:jc w:val="left"/>
              <w:rPr>
                <w:rFonts w:ascii="Arial Narrow" w:hAnsi="Arial Narrow"/>
                <w:szCs w:val="24"/>
              </w:rPr>
            </w:pPr>
            <w:r w:rsidRPr="00A17D83">
              <w:rPr>
                <w:rFonts w:ascii="Arial Narrow" w:hAnsi="Arial Narrow"/>
                <w:szCs w:val="24"/>
              </w:rPr>
              <w:t>1c: 100% of Partners are using social inclusion policy</w:t>
            </w:r>
          </w:p>
          <w:p w:rsidR="00A17D83" w:rsidRPr="00A17D83" w:rsidRDefault="00A17D83" w:rsidP="00A17D83">
            <w:pPr>
              <w:spacing w:before="0" w:after="0"/>
              <w:jc w:val="left"/>
              <w:rPr>
                <w:rFonts w:ascii="Arial Narrow" w:hAnsi="Arial Narrow"/>
                <w:sz w:val="16"/>
                <w:szCs w:val="16"/>
              </w:rPr>
            </w:pPr>
          </w:p>
          <w:p w:rsidR="00A17D83" w:rsidRPr="00A17D83" w:rsidRDefault="00A17D83" w:rsidP="00A17D83">
            <w:pPr>
              <w:spacing w:before="0" w:after="0"/>
              <w:jc w:val="left"/>
              <w:rPr>
                <w:rFonts w:ascii="Arial Narrow" w:hAnsi="Arial Narrow"/>
                <w:szCs w:val="24"/>
              </w:rPr>
            </w:pPr>
            <w:r w:rsidRPr="00A17D83">
              <w:rPr>
                <w:rFonts w:ascii="Arial Narrow" w:hAnsi="Arial Narrow"/>
                <w:szCs w:val="24"/>
              </w:rPr>
              <w:t>1</w:t>
            </w:r>
            <w:r w:rsidR="00AF79FB">
              <w:rPr>
                <w:rFonts w:ascii="Arial Narrow" w:hAnsi="Arial Narrow"/>
                <w:szCs w:val="24"/>
              </w:rPr>
              <w:t>d</w:t>
            </w:r>
            <w:r w:rsidRPr="00A17D83">
              <w:rPr>
                <w:rFonts w:ascii="Arial Narrow" w:hAnsi="Arial Narrow"/>
                <w:szCs w:val="24"/>
              </w:rPr>
              <w:t>: Partners have new capacity to implement projects or activities</w:t>
            </w:r>
          </w:p>
          <w:p w:rsidR="00A17D83" w:rsidRPr="00A17D83" w:rsidRDefault="00A17D83" w:rsidP="00A17D83">
            <w:pPr>
              <w:spacing w:before="0" w:after="0"/>
              <w:jc w:val="left"/>
              <w:rPr>
                <w:rFonts w:ascii="Arial Narrow" w:hAnsi="Arial Narrow"/>
                <w:sz w:val="16"/>
                <w:szCs w:val="16"/>
              </w:rPr>
            </w:pPr>
          </w:p>
        </w:tc>
        <w:tc>
          <w:tcPr>
            <w:tcW w:w="6818" w:type="dxa"/>
            <w:gridSpan w:val="2"/>
            <w:tcBorders>
              <w:top w:val="single" w:sz="4" w:space="0" w:color="auto"/>
              <w:left w:val="single" w:sz="4" w:space="0" w:color="auto"/>
              <w:bottom w:val="single" w:sz="4" w:space="0" w:color="auto"/>
              <w:right w:val="single" w:sz="4" w:space="0" w:color="auto"/>
            </w:tcBorders>
          </w:tcPr>
          <w:p w:rsidR="00A17D83" w:rsidRPr="00A17D83" w:rsidRDefault="00A17D83" w:rsidP="00A17D83">
            <w:pPr>
              <w:spacing w:before="0" w:after="0"/>
              <w:rPr>
                <w:rFonts w:ascii="Arial Narrow" w:hAnsi="Arial Narrow"/>
                <w:b/>
                <w:szCs w:val="24"/>
              </w:rPr>
            </w:pPr>
            <w:r w:rsidRPr="00A17D83">
              <w:rPr>
                <w:rFonts w:ascii="Arial Narrow" w:hAnsi="Arial Narrow"/>
                <w:b/>
                <w:szCs w:val="24"/>
              </w:rPr>
              <w:t>Intermediate education process and output outcomes 2:</w:t>
            </w:r>
          </w:p>
          <w:p w:rsidR="00A17D83" w:rsidRPr="00A17D83" w:rsidRDefault="00A17D83" w:rsidP="00A17D83">
            <w:pPr>
              <w:spacing w:before="0" w:after="0"/>
              <w:rPr>
                <w:rFonts w:ascii="Arial Narrow" w:hAnsi="Arial Narrow"/>
                <w:szCs w:val="24"/>
              </w:rPr>
            </w:pPr>
          </w:p>
          <w:p w:rsidR="00A17D83" w:rsidRPr="00A17D83" w:rsidRDefault="00A17D83" w:rsidP="00A17D83">
            <w:pPr>
              <w:spacing w:before="0" w:after="0"/>
              <w:rPr>
                <w:rFonts w:ascii="Arial Narrow" w:hAnsi="Arial Narrow"/>
                <w:szCs w:val="24"/>
              </w:rPr>
            </w:pPr>
            <w:r w:rsidRPr="00A17D83">
              <w:rPr>
                <w:rFonts w:ascii="Arial Narrow" w:hAnsi="Arial Narrow"/>
                <w:szCs w:val="24"/>
              </w:rPr>
              <w:t>2a: Partners are operating and maintaining all their infrastructure and support</w:t>
            </w:r>
          </w:p>
          <w:p w:rsidR="00A17D83" w:rsidRPr="00A17D83" w:rsidRDefault="00A17D83" w:rsidP="00A17D83">
            <w:pPr>
              <w:spacing w:before="0" w:after="0"/>
              <w:rPr>
                <w:rFonts w:ascii="Arial Narrow" w:hAnsi="Arial Narrow"/>
                <w:sz w:val="16"/>
                <w:szCs w:val="16"/>
              </w:rPr>
            </w:pPr>
          </w:p>
          <w:p w:rsidR="00A17D83" w:rsidRPr="00A17D83" w:rsidRDefault="00A17D83" w:rsidP="00A17D83">
            <w:pPr>
              <w:spacing w:before="0" w:after="0"/>
              <w:rPr>
                <w:rFonts w:ascii="Arial Narrow" w:hAnsi="Arial Narrow"/>
                <w:szCs w:val="24"/>
              </w:rPr>
            </w:pPr>
            <w:r w:rsidRPr="00A17D83">
              <w:rPr>
                <w:rFonts w:ascii="Arial Narrow" w:hAnsi="Arial Narrow"/>
                <w:szCs w:val="24"/>
              </w:rPr>
              <w:t xml:space="preserve">2b: </w:t>
            </w:r>
            <w:r w:rsidR="00463D79" w:rsidRPr="00463D79">
              <w:rPr>
                <w:rFonts w:ascii="Arial Narrow" w:hAnsi="Arial Narrow"/>
                <w:szCs w:val="24"/>
                <w:lang w:val="en-GB"/>
              </w:rPr>
              <w:t>80 per cent of the investments will support empowerment of women and girls</w:t>
            </w:r>
          </w:p>
          <w:p w:rsidR="00A17D83" w:rsidRPr="00A17D83" w:rsidRDefault="00A17D83" w:rsidP="00A17D83">
            <w:pPr>
              <w:spacing w:before="0" w:after="0"/>
              <w:rPr>
                <w:rFonts w:ascii="Arial Narrow" w:hAnsi="Arial Narrow"/>
                <w:sz w:val="16"/>
                <w:szCs w:val="16"/>
              </w:rPr>
            </w:pPr>
          </w:p>
          <w:p w:rsidR="00A17D83" w:rsidRPr="00A17D83" w:rsidRDefault="00A17D83" w:rsidP="00A17D83">
            <w:pPr>
              <w:spacing w:before="0" w:after="0"/>
              <w:rPr>
                <w:rFonts w:ascii="Arial Narrow" w:hAnsi="Arial Narrow"/>
                <w:szCs w:val="24"/>
              </w:rPr>
            </w:pPr>
            <w:r w:rsidRPr="00A17D83">
              <w:rPr>
                <w:rFonts w:ascii="Arial Narrow" w:hAnsi="Arial Narrow"/>
                <w:szCs w:val="24"/>
              </w:rPr>
              <w:t xml:space="preserve">2c: 100% of Partners </w:t>
            </w:r>
            <w:r w:rsidR="00463D79">
              <w:rPr>
                <w:rFonts w:ascii="Arial Narrow" w:hAnsi="Arial Narrow"/>
                <w:szCs w:val="24"/>
              </w:rPr>
              <w:t xml:space="preserve">are </w:t>
            </w:r>
            <w:r w:rsidRPr="00A17D83">
              <w:rPr>
                <w:rFonts w:ascii="Arial Narrow" w:hAnsi="Arial Narrow"/>
                <w:szCs w:val="24"/>
              </w:rPr>
              <w:t>using social inclusion policy</w:t>
            </w:r>
          </w:p>
          <w:p w:rsidR="00A17D83" w:rsidRPr="00A17D83" w:rsidRDefault="00A17D83" w:rsidP="00A17D83">
            <w:pPr>
              <w:spacing w:before="0" w:after="0"/>
              <w:rPr>
                <w:rFonts w:ascii="Arial Narrow" w:hAnsi="Arial Narrow"/>
                <w:sz w:val="16"/>
                <w:szCs w:val="16"/>
              </w:rPr>
            </w:pPr>
          </w:p>
          <w:p w:rsidR="00A17D83" w:rsidRPr="00A17D83" w:rsidRDefault="00A17D83" w:rsidP="00A17D83">
            <w:pPr>
              <w:spacing w:before="0" w:after="0"/>
              <w:rPr>
                <w:rFonts w:ascii="Arial Narrow" w:hAnsi="Arial Narrow"/>
                <w:szCs w:val="24"/>
              </w:rPr>
            </w:pPr>
            <w:r w:rsidRPr="00A17D83">
              <w:rPr>
                <w:rFonts w:ascii="Arial Narrow" w:hAnsi="Arial Narrow"/>
                <w:szCs w:val="24"/>
              </w:rPr>
              <w:t>2</w:t>
            </w:r>
            <w:r w:rsidR="00AF79FB">
              <w:rPr>
                <w:rFonts w:ascii="Arial Narrow" w:hAnsi="Arial Narrow"/>
                <w:szCs w:val="24"/>
              </w:rPr>
              <w:t>d</w:t>
            </w:r>
            <w:r w:rsidRPr="00A17D83">
              <w:rPr>
                <w:rFonts w:ascii="Arial Narrow" w:hAnsi="Arial Narrow"/>
                <w:szCs w:val="24"/>
              </w:rPr>
              <w:t>: Partners have new capacity to implement projects or activities</w:t>
            </w:r>
          </w:p>
          <w:p w:rsidR="00A17D83" w:rsidRPr="00A17D83" w:rsidRDefault="00A17D83" w:rsidP="00A17D83">
            <w:pPr>
              <w:spacing w:before="0" w:after="0"/>
              <w:rPr>
                <w:rFonts w:ascii="Arial Narrow" w:hAnsi="Arial Narrow"/>
                <w:sz w:val="16"/>
                <w:szCs w:val="16"/>
              </w:rPr>
            </w:pPr>
          </w:p>
        </w:tc>
        <w:tc>
          <w:tcPr>
            <w:tcW w:w="6952" w:type="dxa"/>
            <w:gridSpan w:val="3"/>
            <w:tcBorders>
              <w:top w:val="single" w:sz="4" w:space="0" w:color="auto"/>
              <w:left w:val="single" w:sz="4" w:space="0" w:color="auto"/>
              <w:bottom w:val="single" w:sz="4" w:space="0" w:color="auto"/>
              <w:right w:val="single" w:sz="4" w:space="0" w:color="auto"/>
            </w:tcBorders>
          </w:tcPr>
          <w:p w:rsidR="00A17D83" w:rsidRPr="00A17D83" w:rsidRDefault="00A17D83" w:rsidP="00A17D83">
            <w:pPr>
              <w:spacing w:before="0" w:after="0"/>
              <w:rPr>
                <w:rFonts w:ascii="Arial Narrow" w:hAnsi="Arial Narrow"/>
                <w:b/>
                <w:szCs w:val="24"/>
              </w:rPr>
            </w:pPr>
            <w:r w:rsidRPr="00A17D83">
              <w:rPr>
                <w:rFonts w:ascii="Arial Narrow" w:hAnsi="Arial Narrow"/>
                <w:b/>
                <w:szCs w:val="24"/>
              </w:rPr>
              <w:t xml:space="preserve">Intermediate economic </w:t>
            </w:r>
            <w:r w:rsidR="00205423" w:rsidRPr="00205423">
              <w:rPr>
                <w:rFonts w:ascii="Arial Narrow" w:hAnsi="Arial Narrow"/>
                <w:b/>
                <w:szCs w:val="24"/>
              </w:rPr>
              <w:t>development</w:t>
            </w:r>
            <w:r w:rsidRPr="00A17D83">
              <w:rPr>
                <w:rFonts w:ascii="Arial Narrow" w:hAnsi="Arial Narrow"/>
                <w:b/>
                <w:szCs w:val="24"/>
              </w:rPr>
              <w:t xml:space="preserve"> process and output outcomes 3:</w:t>
            </w:r>
          </w:p>
          <w:p w:rsidR="00A17D83" w:rsidRPr="00A17D83" w:rsidRDefault="00A17D83" w:rsidP="00A17D83">
            <w:pPr>
              <w:spacing w:before="0" w:after="0"/>
              <w:rPr>
                <w:rFonts w:ascii="Arial Narrow" w:hAnsi="Arial Narrow"/>
                <w:szCs w:val="24"/>
              </w:rPr>
            </w:pPr>
          </w:p>
          <w:p w:rsidR="00A17D83" w:rsidRPr="00A17D83" w:rsidRDefault="00A17D83" w:rsidP="00A17D83">
            <w:pPr>
              <w:spacing w:before="0" w:after="0"/>
              <w:jc w:val="left"/>
              <w:rPr>
                <w:rFonts w:ascii="Arial Narrow" w:hAnsi="Arial Narrow"/>
                <w:szCs w:val="24"/>
              </w:rPr>
            </w:pPr>
            <w:r w:rsidRPr="00A17D83">
              <w:rPr>
                <w:rFonts w:ascii="Arial Narrow" w:hAnsi="Arial Narrow"/>
                <w:szCs w:val="24"/>
              </w:rPr>
              <w:t xml:space="preserve">3a: Partners are operating and maintaining all their infrastructure and support </w:t>
            </w:r>
          </w:p>
          <w:p w:rsidR="00A17D83" w:rsidRPr="00A17D83" w:rsidRDefault="00A17D83" w:rsidP="00A17D83">
            <w:pPr>
              <w:spacing w:before="0" w:after="0"/>
              <w:jc w:val="left"/>
              <w:rPr>
                <w:rFonts w:ascii="Arial Narrow" w:hAnsi="Arial Narrow"/>
                <w:sz w:val="16"/>
                <w:szCs w:val="16"/>
              </w:rPr>
            </w:pPr>
          </w:p>
          <w:p w:rsidR="00A17D83" w:rsidRPr="00A17D83" w:rsidRDefault="00A17D83" w:rsidP="00A17D83">
            <w:pPr>
              <w:spacing w:before="0" w:after="0"/>
              <w:jc w:val="left"/>
              <w:rPr>
                <w:rFonts w:ascii="Arial Narrow" w:hAnsi="Arial Narrow"/>
                <w:szCs w:val="24"/>
              </w:rPr>
            </w:pPr>
            <w:r w:rsidRPr="00A17D83">
              <w:rPr>
                <w:rFonts w:ascii="Arial Narrow" w:hAnsi="Arial Narrow"/>
                <w:szCs w:val="24"/>
              </w:rPr>
              <w:t xml:space="preserve">3b: </w:t>
            </w:r>
            <w:r w:rsidR="00463D79" w:rsidRPr="00463D79">
              <w:rPr>
                <w:rFonts w:ascii="Arial Narrow" w:hAnsi="Arial Narrow"/>
                <w:szCs w:val="24"/>
                <w:lang w:val="en-GB"/>
              </w:rPr>
              <w:t>80 per cent of the investments will support empowerment of women and girls</w:t>
            </w:r>
          </w:p>
          <w:p w:rsidR="00A17D83" w:rsidRPr="00A17D83" w:rsidRDefault="00A17D83" w:rsidP="00A17D83">
            <w:pPr>
              <w:spacing w:before="0" w:after="0"/>
              <w:jc w:val="left"/>
              <w:rPr>
                <w:rFonts w:ascii="Arial Narrow" w:hAnsi="Arial Narrow"/>
                <w:sz w:val="16"/>
                <w:szCs w:val="16"/>
              </w:rPr>
            </w:pPr>
          </w:p>
          <w:p w:rsidR="00A17D83" w:rsidRPr="00A17D83" w:rsidRDefault="00A17D83" w:rsidP="00A17D83">
            <w:pPr>
              <w:spacing w:before="0" w:after="0"/>
              <w:jc w:val="left"/>
              <w:rPr>
                <w:rFonts w:ascii="Arial Narrow" w:hAnsi="Arial Narrow"/>
                <w:szCs w:val="24"/>
              </w:rPr>
            </w:pPr>
            <w:r w:rsidRPr="00A17D83">
              <w:rPr>
                <w:rFonts w:ascii="Arial Narrow" w:hAnsi="Arial Narrow"/>
                <w:szCs w:val="24"/>
              </w:rPr>
              <w:t xml:space="preserve">3c: 100% of Partners </w:t>
            </w:r>
            <w:r w:rsidR="00463D79">
              <w:rPr>
                <w:rFonts w:ascii="Arial Narrow" w:hAnsi="Arial Narrow"/>
                <w:szCs w:val="24"/>
              </w:rPr>
              <w:t xml:space="preserve">are </w:t>
            </w:r>
            <w:r w:rsidRPr="00A17D83">
              <w:rPr>
                <w:rFonts w:ascii="Arial Narrow" w:hAnsi="Arial Narrow"/>
                <w:szCs w:val="24"/>
              </w:rPr>
              <w:t xml:space="preserve">using social inclusion policy </w:t>
            </w:r>
          </w:p>
          <w:p w:rsidR="00A17D83" w:rsidRPr="00A17D83" w:rsidRDefault="00A17D83" w:rsidP="00A17D83">
            <w:pPr>
              <w:spacing w:before="0" w:after="0"/>
              <w:jc w:val="left"/>
              <w:rPr>
                <w:rFonts w:ascii="Arial Narrow" w:hAnsi="Arial Narrow"/>
                <w:sz w:val="16"/>
                <w:szCs w:val="16"/>
              </w:rPr>
            </w:pPr>
          </w:p>
          <w:p w:rsidR="00A17D83" w:rsidRPr="00A17D83" w:rsidRDefault="00A17D83" w:rsidP="00A17D83">
            <w:pPr>
              <w:spacing w:before="0" w:after="0"/>
              <w:rPr>
                <w:rFonts w:ascii="Arial Narrow" w:hAnsi="Arial Narrow"/>
                <w:szCs w:val="24"/>
              </w:rPr>
            </w:pPr>
            <w:r w:rsidRPr="00A17D83">
              <w:rPr>
                <w:rFonts w:ascii="Arial Narrow" w:hAnsi="Arial Narrow"/>
                <w:szCs w:val="24"/>
              </w:rPr>
              <w:t>3</w:t>
            </w:r>
            <w:r w:rsidR="00AF79FB">
              <w:rPr>
                <w:rFonts w:ascii="Arial Narrow" w:hAnsi="Arial Narrow"/>
                <w:szCs w:val="24"/>
              </w:rPr>
              <w:t>d</w:t>
            </w:r>
            <w:r w:rsidRPr="00A17D83">
              <w:rPr>
                <w:rFonts w:ascii="Arial Narrow" w:hAnsi="Arial Narrow"/>
                <w:szCs w:val="24"/>
              </w:rPr>
              <w:t>: Partners have new capacity to implement projects or activities</w:t>
            </w:r>
          </w:p>
          <w:p w:rsidR="00A17D83" w:rsidRPr="00A17D83" w:rsidRDefault="00A17D83" w:rsidP="00A17D83">
            <w:pPr>
              <w:spacing w:before="0" w:after="0"/>
              <w:rPr>
                <w:rFonts w:ascii="Arial Narrow" w:hAnsi="Arial Narrow"/>
                <w:szCs w:val="24"/>
              </w:rPr>
            </w:pPr>
          </w:p>
        </w:tc>
      </w:tr>
      <w:tr w:rsidR="00A17D83" w:rsidRPr="00A17D83" w:rsidTr="00482032">
        <w:trPr>
          <w:trHeight w:val="179"/>
        </w:trPr>
        <w:tc>
          <w:tcPr>
            <w:tcW w:w="2925" w:type="dxa"/>
            <w:tcBorders>
              <w:top w:val="single" w:sz="4" w:space="0" w:color="auto"/>
              <w:left w:val="nil"/>
              <w:bottom w:val="single" w:sz="4" w:space="0" w:color="auto"/>
              <w:right w:val="single" w:sz="4" w:space="0" w:color="auto"/>
            </w:tcBorders>
          </w:tcPr>
          <w:p w:rsidR="00A17D83" w:rsidRPr="00A17D83" w:rsidRDefault="00A17D83" w:rsidP="00A17D83">
            <w:pPr>
              <w:spacing w:before="0" w:after="0"/>
              <w:rPr>
                <w:rFonts w:ascii="Arial Narrow" w:hAnsi="Arial Narrow"/>
                <w:szCs w:val="24"/>
              </w:rPr>
            </w:pPr>
          </w:p>
        </w:tc>
        <w:tc>
          <w:tcPr>
            <w:tcW w:w="7047" w:type="dxa"/>
            <w:gridSpan w:val="3"/>
            <w:tcBorders>
              <w:top w:val="single" w:sz="4" w:space="0" w:color="auto"/>
              <w:left w:val="single" w:sz="4" w:space="0" w:color="auto"/>
              <w:bottom w:val="single" w:sz="4" w:space="0" w:color="auto"/>
              <w:right w:val="single" w:sz="4" w:space="0" w:color="auto"/>
            </w:tcBorders>
          </w:tcPr>
          <w:p w:rsidR="00A17D83" w:rsidRPr="00A17D83" w:rsidRDefault="00A17D83" w:rsidP="00A17D83">
            <w:pPr>
              <w:spacing w:before="0" w:after="0"/>
              <w:jc w:val="left"/>
              <w:rPr>
                <w:rFonts w:ascii="Arial Narrow" w:hAnsi="Arial Narrow"/>
                <w:b/>
                <w:szCs w:val="24"/>
              </w:rPr>
            </w:pPr>
          </w:p>
        </w:tc>
        <w:tc>
          <w:tcPr>
            <w:tcW w:w="4150" w:type="dxa"/>
            <w:gridSpan w:val="2"/>
            <w:tcBorders>
              <w:top w:val="single" w:sz="4" w:space="0" w:color="auto"/>
              <w:left w:val="single" w:sz="4" w:space="0" w:color="auto"/>
              <w:bottom w:val="single" w:sz="4" w:space="0" w:color="auto"/>
              <w:right w:val="nil"/>
            </w:tcBorders>
          </w:tcPr>
          <w:p w:rsidR="00A17D83" w:rsidRPr="00A17D83" w:rsidRDefault="00A17D83" w:rsidP="00A17D83">
            <w:pPr>
              <w:spacing w:before="0" w:after="0"/>
              <w:jc w:val="left"/>
              <w:rPr>
                <w:rFonts w:ascii="Arial Narrow" w:hAnsi="Arial Narrow"/>
                <w:b/>
                <w:szCs w:val="24"/>
              </w:rPr>
            </w:pPr>
          </w:p>
        </w:tc>
        <w:tc>
          <w:tcPr>
            <w:tcW w:w="3080" w:type="dxa"/>
            <w:tcBorders>
              <w:top w:val="single" w:sz="4" w:space="0" w:color="auto"/>
              <w:left w:val="nil"/>
              <w:bottom w:val="single" w:sz="4" w:space="0" w:color="auto"/>
              <w:right w:val="single" w:sz="4" w:space="0" w:color="auto"/>
            </w:tcBorders>
          </w:tcPr>
          <w:p w:rsidR="00A17D83" w:rsidRPr="00A17D83" w:rsidRDefault="00A17D83" w:rsidP="00A17D83">
            <w:pPr>
              <w:spacing w:before="0" w:after="0"/>
              <w:rPr>
                <w:rFonts w:ascii="Arial Narrow" w:hAnsi="Arial Narrow"/>
                <w:szCs w:val="24"/>
              </w:rPr>
            </w:pPr>
          </w:p>
        </w:tc>
        <w:tc>
          <w:tcPr>
            <w:tcW w:w="3588" w:type="dxa"/>
            <w:tcBorders>
              <w:top w:val="single" w:sz="4" w:space="0" w:color="auto"/>
              <w:left w:val="single" w:sz="4" w:space="0" w:color="auto"/>
              <w:bottom w:val="single" w:sz="4" w:space="0" w:color="auto"/>
              <w:right w:val="nil"/>
            </w:tcBorders>
          </w:tcPr>
          <w:p w:rsidR="00A17D83" w:rsidRPr="00A17D83" w:rsidRDefault="00A17D83" w:rsidP="00A17D83">
            <w:pPr>
              <w:spacing w:before="0" w:after="0"/>
              <w:rPr>
                <w:rFonts w:ascii="Arial Narrow" w:hAnsi="Arial Narrow"/>
                <w:szCs w:val="24"/>
              </w:rPr>
            </w:pPr>
          </w:p>
        </w:tc>
      </w:tr>
      <w:tr w:rsidR="00A17D83" w:rsidRPr="00A17D83" w:rsidTr="00482032">
        <w:tc>
          <w:tcPr>
            <w:tcW w:w="70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7D83" w:rsidRPr="007D1DD7" w:rsidRDefault="00A17D83" w:rsidP="00A82AAB">
            <w:pPr>
              <w:pStyle w:val="ListParagraph"/>
              <w:numPr>
                <w:ilvl w:val="0"/>
                <w:numId w:val="48"/>
              </w:numPr>
              <w:tabs>
                <w:tab w:val="num" w:pos="990"/>
              </w:tabs>
              <w:spacing w:before="0" w:after="0"/>
              <w:ind w:left="264" w:hanging="264"/>
              <w:jc w:val="left"/>
              <w:rPr>
                <w:rFonts w:ascii="Arial Narrow" w:hAnsi="Arial Narrow"/>
                <w:szCs w:val="24"/>
              </w:rPr>
            </w:pPr>
            <w:r w:rsidRPr="007D1DD7">
              <w:rPr>
                <w:rFonts w:ascii="Arial Narrow" w:hAnsi="Arial Narrow"/>
                <w:szCs w:val="24"/>
              </w:rPr>
              <w:t>Independently confirm outputs are of sufficient quality, fit for purpose and able to be maintained and project was value-for-money</w:t>
            </w:r>
          </w:p>
          <w:p w:rsidR="00A17D83" w:rsidRPr="007D1DD7" w:rsidRDefault="00A17D83" w:rsidP="00A82AAB">
            <w:pPr>
              <w:pStyle w:val="ListParagraph"/>
              <w:numPr>
                <w:ilvl w:val="0"/>
                <w:numId w:val="48"/>
              </w:numPr>
              <w:tabs>
                <w:tab w:val="num" w:pos="990"/>
              </w:tabs>
              <w:spacing w:before="0" w:after="0"/>
              <w:ind w:left="264" w:hanging="264"/>
              <w:jc w:val="left"/>
              <w:rPr>
                <w:rFonts w:ascii="Arial Narrow" w:hAnsi="Arial Narrow"/>
                <w:szCs w:val="24"/>
              </w:rPr>
            </w:pPr>
            <w:r w:rsidRPr="007D1DD7">
              <w:rPr>
                <w:rFonts w:ascii="Arial Narrow" w:hAnsi="Arial Narrow"/>
                <w:szCs w:val="24"/>
              </w:rPr>
              <w:t xml:space="preserve">Partner confirms through completion report that end of program outputs and contribution to enabling environment, and that at least </w:t>
            </w:r>
            <w:r w:rsidR="00463D79" w:rsidRPr="00463D79">
              <w:rPr>
                <w:rFonts w:ascii="Arial Narrow" w:hAnsi="Arial Narrow"/>
                <w:szCs w:val="24"/>
                <w:lang w:val="en-GB"/>
              </w:rPr>
              <w:t>80 per cent of the investments will support empowerment of women and girls</w:t>
            </w:r>
            <w:r w:rsidR="00463D79" w:rsidRPr="00463D79">
              <w:rPr>
                <w:rFonts w:ascii="Arial Narrow" w:hAnsi="Arial Narrow"/>
                <w:szCs w:val="24"/>
              </w:rPr>
              <w:t xml:space="preserve"> </w:t>
            </w:r>
            <w:r w:rsidRPr="007D1DD7">
              <w:rPr>
                <w:rFonts w:ascii="Arial Narrow" w:hAnsi="Arial Narrow"/>
                <w:szCs w:val="24"/>
              </w:rPr>
              <w:t xml:space="preserve">Support quality at end of implementation evaluation </w:t>
            </w:r>
          </w:p>
          <w:p w:rsidR="00A17D83" w:rsidRPr="007D1DD7" w:rsidRDefault="00A17D83" w:rsidP="00A82AAB">
            <w:pPr>
              <w:pStyle w:val="ListParagraph"/>
              <w:numPr>
                <w:ilvl w:val="0"/>
                <w:numId w:val="48"/>
              </w:numPr>
              <w:tabs>
                <w:tab w:val="num" w:pos="990"/>
              </w:tabs>
              <w:spacing w:before="0" w:after="0"/>
              <w:ind w:left="264" w:hanging="264"/>
              <w:jc w:val="left"/>
              <w:rPr>
                <w:rFonts w:ascii="Arial Narrow" w:hAnsi="Arial Narrow"/>
                <w:b/>
                <w:szCs w:val="24"/>
              </w:rPr>
            </w:pPr>
            <w:r w:rsidRPr="007D1DD7">
              <w:rPr>
                <w:rFonts w:ascii="Arial Narrow" w:hAnsi="Arial Narrow"/>
                <w:b/>
                <w:szCs w:val="24"/>
              </w:rPr>
              <w:t>Increased partner project management and sub-contract management capacity</w:t>
            </w:r>
          </w:p>
          <w:p w:rsidR="00A17D83" w:rsidRPr="007D1DD7" w:rsidRDefault="00A17D83" w:rsidP="00A82AAB">
            <w:pPr>
              <w:pStyle w:val="ListParagraph"/>
              <w:numPr>
                <w:ilvl w:val="0"/>
                <w:numId w:val="48"/>
              </w:numPr>
              <w:tabs>
                <w:tab w:val="num" w:pos="990"/>
              </w:tabs>
              <w:spacing w:before="0" w:after="0"/>
              <w:ind w:left="264" w:hanging="264"/>
              <w:jc w:val="left"/>
              <w:rPr>
                <w:rFonts w:ascii="Arial Narrow" w:hAnsi="Arial Narrow"/>
                <w:szCs w:val="24"/>
              </w:rPr>
            </w:pPr>
            <w:r w:rsidRPr="007D1DD7">
              <w:rPr>
                <w:rFonts w:ascii="Arial Narrow" w:hAnsi="Arial Narrow"/>
                <w:szCs w:val="24"/>
              </w:rPr>
              <w:t>Support implementation monitoring, procurement, sub-contract management, and any disputes</w:t>
            </w:r>
          </w:p>
          <w:p w:rsidR="00A17D83" w:rsidRPr="007D1DD7" w:rsidRDefault="00A17D83" w:rsidP="00A82AAB">
            <w:pPr>
              <w:pStyle w:val="ListParagraph"/>
              <w:numPr>
                <w:ilvl w:val="0"/>
                <w:numId w:val="48"/>
              </w:numPr>
              <w:tabs>
                <w:tab w:val="num" w:pos="990"/>
              </w:tabs>
              <w:spacing w:before="0" w:after="0"/>
              <w:ind w:left="264" w:hanging="264"/>
              <w:jc w:val="left"/>
              <w:rPr>
                <w:rFonts w:ascii="Arial Narrow" w:hAnsi="Arial Narrow"/>
                <w:szCs w:val="24"/>
              </w:rPr>
            </w:pPr>
            <w:r w:rsidRPr="007D1DD7">
              <w:rPr>
                <w:rFonts w:ascii="Arial Narrow" w:hAnsi="Arial Narrow"/>
                <w:szCs w:val="24"/>
              </w:rPr>
              <w:t>Support any partner sub-contract management arrangement, including sub-contracts</w:t>
            </w:r>
          </w:p>
          <w:p w:rsidR="00A17D83" w:rsidRPr="007D1DD7" w:rsidRDefault="00A17D83" w:rsidP="00A82AAB">
            <w:pPr>
              <w:pStyle w:val="ListParagraph"/>
              <w:numPr>
                <w:ilvl w:val="0"/>
                <w:numId w:val="48"/>
              </w:numPr>
              <w:tabs>
                <w:tab w:val="num" w:pos="990"/>
              </w:tabs>
              <w:spacing w:before="0" w:after="0"/>
              <w:ind w:left="264" w:hanging="264"/>
              <w:rPr>
                <w:rFonts w:ascii="Arial Narrow" w:hAnsi="Arial Narrow"/>
                <w:b/>
                <w:szCs w:val="24"/>
              </w:rPr>
            </w:pPr>
            <w:r w:rsidRPr="007D1DD7">
              <w:rPr>
                <w:rFonts w:ascii="Arial Narrow" w:hAnsi="Arial Narrow"/>
                <w:b/>
                <w:szCs w:val="24"/>
              </w:rPr>
              <w:t xml:space="preserve">Increased partner planning and budget capacity </w:t>
            </w:r>
          </w:p>
          <w:p w:rsidR="00A17D83" w:rsidRPr="007D1DD7" w:rsidRDefault="00A17D83" w:rsidP="00A82AAB">
            <w:pPr>
              <w:pStyle w:val="ListParagraph"/>
              <w:numPr>
                <w:ilvl w:val="0"/>
                <w:numId w:val="48"/>
              </w:numPr>
              <w:tabs>
                <w:tab w:val="num" w:pos="990"/>
              </w:tabs>
              <w:spacing w:before="0" w:after="0"/>
              <w:ind w:left="264" w:hanging="264"/>
              <w:jc w:val="left"/>
              <w:rPr>
                <w:rFonts w:ascii="Arial Narrow" w:hAnsi="Arial Narrow"/>
                <w:i/>
                <w:szCs w:val="24"/>
              </w:rPr>
            </w:pPr>
            <w:r w:rsidRPr="007D1DD7">
              <w:rPr>
                <w:rFonts w:ascii="Arial Narrow" w:hAnsi="Arial Narrow"/>
                <w:szCs w:val="24"/>
              </w:rPr>
              <w:t xml:space="preserve">MG approve proposal </w:t>
            </w:r>
            <w:r w:rsidRPr="007D1DD7">
              <w:rPr>
                <w:rFonts w:ascii="Arial Narrow" w:hAnsi="Arial Narrow"/>
                <w:i/>
                <w:szCs w:val="24"/>
              </w:rPr>
              <w:t>(Stage 5: Incentive Funding Agreement signed)</w:t>
            </w:r>
          </w:p>
          <w:p w:rsidR="00A17D83" w:rsidRPr="007D1DD7" w:rsidRDefault="00A17D83" w:rsidP="00A82AAB">
            <w:pPr>
              <w:pStyle w:val="ListParagraph"/>
              <w:numPr>
                <w:ilvl w:val="0"/>
                <w:numId w:val="48"/>
              </w:numPr>
              <w:tabs>
                <w:tab w:val="num" w:pos="990"/>
              </w:tabs>
              <w:spacing w:before="0" w:after="0"/>
              <w:ind w:left="264" w:hanging="264"/>
              <w:rPr>
                <w:rFonts w:ascii="Arial Narrow" w:hAnsi="Arial Narrow"/>
                <w:i/>
                <w:szCs w:val="24"/>
              </w:rPr>
            </w:pPr>
            <w:r w:rsidRPr="007D1DD7">
              <w:rPr>
                <w:rFonts w:ascii="Arial Narrow" w:hAnsi="Arial Narrow"/>
                <w:szCs w:val="24"/>
              </w:rPr>
              <w:t xml:space="preserve">Support full proposal, budget, implementation and funding predictions completion with partner </w:t>
            </w:r>
            <w:r w:rsidRPr="007D1DD7">
              <w:rPr>
                <w:rFonts w:ascii="Arial Narrow" w:hAnsi="Arial Narrow"/>
                <w:i/>
                <w:szCs w:val="24"/>
              </w:rPr>
              <w:t xml:space="preserve">(Stage 4: proposal development) </w:t>
            </w:r>
          </w:p>
          <w:p w:rsidR="00A17D83" w:rsidRPr="007D1DD7" w:rsidRDefault="00A17D83" w:rsidP="00A82AAB">
            <w:pPr>
              <w:pStyle w:val="ListParagraph"/>
              <w:numPr>
                <w:ilvl w:val="0"/>
                <w:numId w:val="48"/>
              </w:numPr>
              <w:tabs>
                <w:tab w:val="num" w:pos="990"/>
              </w:tabs>
              <w:spacing w:before="0" w:after="0"/>
              <w:ind w:left="264" w:hanging="264"/>
              <w:jc w:val="left"/>
              <w:rPr>
                <w:rFonts w:ascii="Arial Narrow" w:hAnsi="Arial Narrow"/>
                <w:szCs w:val="24"/>
              </w:rPr>
            </w:pPr>
            <w:r w:rsidRPr="007D1DD7">
              <w:rPr>
                <w:rFonts w:ascii="Arial Narrow" w:hAnsi="Arial Narrow"/>
                <w:szCs w:val="24"/>
              </w:rPr>
              <w:t xml:space="preserve">Identify social inclusion plan with partner </w:t>
            </w:r>
            <w:r w:rsidRPr="007D1DD7">
              <w:rPr>
                <w:rFonts w:ascii="Arial Narrow" w:hAnsi="Arial Narrow"/>
                <w:i/>
                <w:szCs w:val="24"/>
              </w:rPr>
              <w:t>(Stage 3: organisational assessment)</w:t>
            </w:r>
          </w:p>
          <w:p w:rsidR="00A17D83" w:rsidRPr="007D1DD7" w:rsidRDefault="00A17D83" w:rsidP="00A82AAB">
            <w:pPr>
              <w:pStyle w:val="ListParagraph"/>
              <w:numPr>
                <w:ilvl w:val="0"/>
                <w:numId w:val="48"/>
              </w:numPr>
              <w:tabs>
                <w:tab w:val="num" w:pos="990"/>
              </w:tabs>
              <w:spacing w:before="0" w:after="0"/>
              <w:ind w:left="264" w:hanging="264"/>
              <w:jc w:val="left"/>
              <w:rPr>
                <w:rFonts w:ascii="Arial Narrow" w:hAnsi="Arial Narrow"/>
                <w:szCs w:val="24"/>
              </w:rPr>
            </w:pPr>
            <w:r w:rsidRPr="007D1DD7">
              <w:rPr>
                <w:rFonts w:ascii="Arial Narrow" w:hAnsi="Arial Narrow"/>
                <w:szCs w:val="24"/>
              </w:rPr>
              <w:t xml:space="preserve">Identify partner risks and any strengthening or risk mitigation required </w:t>
            </w:r>
            <w:r w:rsidRPr="007D1DD7">
              <w:rPr>
                <w:rFonts w:ascii="Arial Narrow" w:hAnsi="Arial Narrow"/>
                <w:i/>
                <w:szCs w:val="24"/>
              </w:rPr>
              <w:t>(Stage 3: organisation assessment)</w:t>
            </w:r>
          </w:p>
          <w:p w:rsidR="00A17D83" w:rsidRPr="007D1DD7" w:rsidRDefault="00A17D83" w:rsidP="00A82AAB">
            <w:pPr>
              <w:pStyle w:val="ListParagraph"/>
              <w:numPr>
                <w:ilvl w:val="0"/>
                <w:numId w:val="48"/>
              </w:numPr>
              <w:tabs>
                <w:tab w:val="num" w:pos="990"/>
              </w:tabs>
              <w:spacing w:before="0" w:after="0"/>
              <w:ind w:left="264" w:hanging="264"/>
              <w:jc w:val="left"/>
              <w:rPr>
                <w:rFonts w:ascii="Arial Narrow" w:hAnsi="Arial Narrow"/>
                <w:i/>
                <w:szCs w:val="24"/>
              </w:rPr>
            </w:pPr>
            <w:r w:rsidRPr="007D1DD7">
              <w:rPr>
                <w:rFonts w:ascii="Arial Narrow" w:hAnsi="Arial Narrow"/>
                <w:szCs w:val="24"/>
              </w:rPr>
              <w:t xml:space="preserve">Identify current performance levels </w:t>
            </w:r>
            <w:r w:rsidRPr="007D1DD7">
              <w:rPr>
                <w:rFonts w:ascii="Arial Narrow" w:hAnsi="Arial Narrow"/>
                <w:i/>
                <w:szCs w:val="24"/>
              </w:rPr>
              <w:t xml:space="preserve">(Stage 3: organisation assessment) </w:t>
            </w:r>
          </w:p>
          <w:p w:rsidR="00A17D83" w:rsidRPr="007D1DD7" w:rsidRDefault="00A17D83" w:rsidP="00A82AAB">
            <w:pPr>
              <w:pStyle w:val="ListParagraph"/>
              <w:numPr>
                <w:ilvl w:val="0"/>
                <w:numId w:val="48"/>
              </w:numPr>
              <w:tabs>
                <w:tab w:val="num" w:pos="990"/>
              </w:tabs>
              <w:spacing w:before="0" w:after="0"/>
              <w:ind w:left="264" w:hanging="264"/>
              <w:jc w:val="left"/>
              <w:rPr>
                <w:rFonts w:ascii="Arial Narrow" w:hAnsi="Arial Narrow"/>
                <w:szCs w:val="24"/>
              </w:rPr>
            </w:pPr>
            <w:r w:rsidRPr="007D1DD7">
              <w:rPr>
                <w:rFonts w:ascii="Arial Narrow" w:hAnsi="Arial Narrow"/>
                <w:szCs w:val="24"/>
              </w:rPr>
              <w:t xml:space="preserve">Confirm concept paper has a relevant theory of change, activities and investment levels </w:t>
            </w:r>
            <w:r w:rsidRPr="007D1DD7">
              <w:rPr>
                <w:rFonts w:ascii="Arial Narrow" w:hAnsi="Arial Narrow"/>
                <w:i/>
                <w:szCs w:val="24"/>
              </w:rPr>
              <w:t>(Stage 2: SGM screening)</w:t>
            </w:r>
          </w:p>
          <w:p w:rsidR="00A17D83" w:rsidRPr="007D1DD7" w:rsidRDefault="00A17D83" w:rsidP="00A82AAB">
            <w:pPr>
              <w:pStyle w:val="ListParagraph"/>
              <w:numPr>
                <w:ilvl w:val="0"/>
                <w:numId w:val="48"/>
              </w:numPr>
              <w:tabs>
                <w:tab w:val="num" w:pos="990"/>
              </w:tabs>
              <w:spacing w:before="0" w:after="0"/>
              <w:ind w:left="264" w:hanging="264"/>
              <w:jc w:val="left"/>
              <w:rPr>
                <w:rFonts w:ascii="Arial Narrow" w:hAnsi="Arial Narrow"/>
                <w:i/>
                <w:szCs w:val="24"/>
              </w:rPr>
            </w:pPr>
            <w:r w:rsidRPr="007D1DD7">
              <w:rPr>
                <w:rFonts w:ascii="Arial Narrow" w:hAnsi="Arial Narrow"/>
                <w:szCs w:val="24"/>
              </w:rPr>
              <w:lastRenderedPageBreak/>
              <w:t xml:space="preserve">Confirm concept paper returns on investment through </w:t>
            </w:r>
            <w:r w:rsidRPr="007D1DD7">
              <w:rPr>
                <w:rFonts w:ascii="Arial Narrow" w:hAnsi="Arial Narrow"/>
                <w:i/>
                <w:szCs w:val="24"/>
              </w:rPr>
              <w:t>(Stage 2: economic analysis)</w:t>
            </w:r>
          </w:p>
          <w:p w:rsidR="00A17D83" w:rsidRPr="007D1DD7" w:rsidRDefault="00A17D83" w:rsidP="00A82AAB">
            <w:pPr>
              <w:pStyle w:val="ListParagraph"/>
              <w:numPr>
                <w:ilvl w:val="0"/>
                <w:numId w:val="48"/>
              </w:numPr>
              <w:tabs>
                <w:tab w:val="num" w:pos="990"/>
              </w:tabs>
              <w:spacing w:before="0" w:after="0"/>
              <w:ind w:left="264" w:hanging="264"/>
              <w:jc w:val="left"/>
              <w:rPr>
                <w:rFonts w:ascii="Arial Narrow" w:hAnsi="Arial Narrow"/>
                <w:i/>
                <w:szCs w:val="24"/>
              </w:rPr>
            </w:pPr>
            <w:r w:rsidRPr="007D1DD7">
              <w:rPr>
                <w:rFonts w:ascii="Arial Narrow" w:hAnsi="Arial Narrow"/>
                <w:szCs w:val="24"/>
              </w:rPr>
              <w:t xml:space="preserve">Confirm of </w:t>
            </w:r>
            <w:r w:rsidR="00463D79" w:rsidRPr="00463D79">
              <w:rPr>
                <w:rFonts w:ascii="Arial Narrow" w:hAnsi="Arial Narrow"/>
                <w:szCs w:val="24"/>
                <w:lang w:val="en-GB"/>
              </w:rPr>
              <w:t>80 per cent of the investments will support empowerment of women and girls</w:t>
            </w:r>
            <w:r w:rsidR="00463D79" w:rsidRPr="00463D79">
              <w:rPr>
                <w:rFonts w:ascii="Arial Narrow" w:hAnsi="Arial Narrow"/>
                <w:i/>
                <w:szCs w:val="24"/>
              </w:rPr>
              <w:t xml:space="preserve"> </w:t>
            </w:r>
            <w:r w:rsidRPr="007D1DD7">
              <w:rPr>
                <w:rFonts w:ascii="Arial Narrow" w:hAnsi="Arial Narrow"/>
                <w:i/>
                <w:szCs w:val="24"/>
              </w:rPr>
              <w:t>(Stage 2: assessment of beneficiaries)</w:t>
            </w:r>
          </w:p>
          <w:p w:rsidR="00A17D83" w:rsidRPr="007D1DD7" w:rsidRDefault="00A17D83" w:rsidP="00A82AAB">
            <w:pPr>
              <w:pStyle w:val="ListParagraph"/>
              <w:numPr>
                <w:ilvl w:val="0"/>
                <w:numId w:val="48"/>
              </w:numPr>
              <w:tabs>
                <w:tab w:val="num" w:pos="990"/>
              </w:tabs>
              <w:spacing w:before="0" w:after="0"/>
              <w:ind w:left="264" w:hanging="264"/>
              <w:jc w:val="left"/>
              <w:rPr>
                <w:rFonts w:ascii="Arial Narrow" w:hAnsi="Arial Narrow"/>
                <w:szCs w:val="24"/>
              </w:rPr>
            </w:pPr>
            <w:r w:rsidRPr="007D1DD7">
              <w:rPr>
                <w:rFonts w:ascii="Arial Narrow" w:hAnsi="Arial Narrow"/>
                <w:szCs w:val="24"/>
              </w:rPr>
              <w:t xml:space="preserve">Identify </w:t>
            </w:r>
            <w:r w:rsidR="00437BA3">
              <w:rPr>
                <w:rFonts w:ascii="Arial Narrow" w:hAnsi="Arial Narrow"/>
                <w:szCs w:val="24"/>
              </w:rPr>
              <w:t xml:space="preserve">the </w:t>
            </w:r>
            <w:r w:rsidR="00350A70" w:rsidRPr="00350A70">
              <w:rPr>
                <w:rFonts w:ascii="Arial Narrow" w:hAnsi="Arial Narrow"/>
                <w:szCs w:val="24"/>
                <w:lang w:val="en-GB"/>
              </w:rPr>
              <w:t xml:space="preserve">local political economy and operating context </w:t>
            </w:r>
            <w:r w:rsidRPr="007D1DD7">
              <w:rPr>
                <w:rFonts w:ascii="Arial Narrow" w:hAnsi="Arial Narrow"/>
                <w:i/>
                <w:szCs w:val="24"/>
              </w:rPr>
              <w:t>(Stage 2: political economy assessment)</w:t>
            </w:r>
          </w:p>
          <w:p w:rsidR="00A17D83" w:rsidRPr="007D1DD7" w:rsidRDefault="00A17D83" w:rsidP="00A82AAB">
            <w:pPr>
              <w:pStyle w:val="ListParagraph"/>
              <w:numPr>
                <w:ilvl w:val="0"/>
                <w:numId w:val="48"/>
              </w:numPr>
              <w:tabs>
                <w:tab w:val="num" w:pos="990"/>
              </w:tabs>
              <w:spacing w:before="0" w:after="0"/>
              <w:ind w:left="264" w:hanging="264"/>
              <w:jc w:val="left"/>
              <w:rPr>
                <w:rFonts w:ascii="Arial Narrow" w:hAnsi="Arial Narrow"/>
                <w:szCs w:val="24"/>
              </w:rPr>
            </w:pPr>
            <w:r w:rsidRPr="007D1DD7">
              <w:rPr>
                <w:rFonts w:ascii="Arial Narrow" w:hAnsi="Arial Narrow"/>
                <w:szCs w:val="24"/>
              </w:rPr>
              <w:t xml:space="preserve">Identify good performing eligible partners and concepts </w:t>
            </w:r>
            <w:r w:rsidRPr="007D1DD7">
              <w:rPr>
                <w:rFonts w:ascii="Arial Narrow" w:hAnsi="Arial Narrow"/>
                <w:i/>
                <w:szCs w:val="24"/>
              </w:rPr>
              <w:t>(Stage 1: concept papers)</w:t>
            </w:r>
          </w:p>
        </w:tc>
        <w:tc>
          <w:tcPr>
            <w:tcW w:w="68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7D83" w:rsidRPr="007D1DD7" w:rsidRDefault="00A17D83" w:rsidP="00A82AAB">
            <w:pPr>
              <w:pStyle w:val="ListParagraph"/>
              <w:numPr>
                <w:ilvl w:val="0"/>
                <w:numId w:val="49"/>
              </w:numPr>
              <w:tabs>
                <w:tab w:val="num" w:pos="990"/>
              </w:tabs>
              <w:spacing w:before="0" w:after="0"/>
              <w:ind w:left="332"/>
              <w:jc w:val="left"/>
              <w:rPr>
                <w:rFonts w:ascii="Arial Narrow" w:hAnsi="Arial Narrow"/>
                <w:szCs w:val="24"/>
              </w:rPr>
            </w:pPr>
            <w:r w:rsidRPr="007D1DD7">
              <w:rPr>
                <w:rFonts w:ascii="Arial Narrow" w:hAnsi="Arial Narrow"/>
                <w:szCs w:val="24"/>
              </w:rPr>
              <w:lastRenderedPageBreak/>
              <w:t>Independently confirm outputs are of sufficient quality, fit for purpose and able to be maintained and project was value-for-money</w:t>
            </w:r>
          </w:p>
          <w:p w:rsidR="00463D79" w:rsidRDefault="00A17D83" w:rsidP="00A82AAB">
            <w:pPr>
              <w:pStyle w:val="ListParagraph"/>
              <w:numPr>
                <w:ilvl w:val="0"/>
                <w:numId w:val="49"/>
              </w:numPr>
              <w:tabs>
                <w:tab w:val="num" w:pos="990"/>
              </w:tabs>
              <w:spacing w:before="0" w:after="0"/>
              <w:ind w:left="332"/>
              <w:jc w:val="left"/>
              <w:rPr>
                <w:rFonts w:ascii="Arial Narrow" w:hAnsi="Arial Narrow"/>
                <w:szCs w:val="24"/>
              </w:rPr>
            </w:pPr>
            <w:r w:rsidRPr="007D1DD7">
              <w:rPr>
                <w:rFonts w:ascii="Arial Narrow" w:hAnsi="Arial Narrow"/>
                <w:szCs w:val="24"/>
              </w:rPr>
              <w:t xml:space="preserve">Partner confirms through completion report that end of program outputs and contribution to enabling environment, and that at least </w:t>
            </w:r>
            <w:r w:rsidR="00463D79" w:rsidRPr="00463D79">
              <w:rPr>
                <w:rFonts w:ascii="Arial Narrow" w:hAnsi="Arial Narrow"/>
                <w:szCs w:val="24"/>
                <w:lang w:val="en-GB"/>
              </w:rPr>
              <w:t>80 per cent of the investments will support empowerment of women and girls</w:t>
            </w:r>
          </w:p>
          <w:p w:rsidR="00A17D83" w:rsidRPr="007D1DD7" w:rsidRDefault="00A17D83" w:rsidP="00A82AAB">
            <w:pPr>
              <w:pStyle w:val="ListParagraph"/>
              <w:numPr>
                <w:ilvl w:val="0"/>
                <w:numId w:val="49"/>
              </w:numPr>
              <w:tabs>
                <w:tab w:val="num" w:pos="990"/>
              </w:tabs>
              <w:spacing w:before="0" w:after="0"/>
              <w:ind w:left="332"/>
              <w:jc w:val="left"/>
              <w:rPr>
                <w:rFonts w:ascii="Arial Narrow" w:hAnsi="Arial Narrow"/>
                <w:szCs w:val="24"/>
              </w:rPr>
            </w:pPr>
            <w:r w:rsidRPr="007D1DD7">
              <w:rPr>
                <w:rFonts w:ascii="Arial Narrow" w:hAnsi="Arial Narrow"/>
                <w:szCs w:val="24"/>
              </w:rPr>
              <w:t xml:space="preserve">Support quality at end of implementation evaluation </w:t>
            </w:r>
          </w:p>
          <w:p w:rsidR="00A17D83" w:rsidRPr="007D1DD7" w:rsidRDefault="00A17D83" w:rsidP="00A82AAB">
            <w:pPr>
              <w:pStyle w:val="ListParagraph"/>
              <w:numPr>
                <w:ilvl w:val="0"/>
                <w:numId w:val="49"/>
              </w:numPr>
              <w:tabs>
                <w:tab w:val="num" w:pos="990"/>
              </w:tabs>
              <w:spacing w:before="0" w:after="0"/>
              <w:ind w:left="332"/>
              <w:jc w:val="left"/>
              <w:rPr>
                <w:rFonts w:ascii="Arial Narrow" w:hAnsi="Arial Narrow"/>
                <w:b/>
                <w:szCs w:val="24"/>
              </w:rPr>
            </w:pPr>
            <w:r w:rsidRPr="007D1DD7">
              <w:rPr>
                <w:rFonts w:ascii="Arial Narrow" w:hAnsi="Arial Narrow"/>
                <w:b/>
                <w:szCs w:val="24"/>
              </w:rPr>
              <w:t>Increased partner project management and sub-contract management capacity</w:t>
            </w:r>
          </w:p>
          <w:p w:rsidR="00A17D83" w:rsidRPr="007D1DD7" w:rsidRDefault="00A17D83" w:rsidP="00A82AAB">
            <w:pPr>
              <w:pStyle w:val="ListParagraph"/>
              <w:numPr>
                <w:ilvl w:val="0"/>
                <w:numId w:val="49"/>
              </w:numPr>
              <w:tabs>
                <w:tab w:val="num" w:pos="990"/>
              </w:tabs>
              <w:spacing w:before="0" w:after="0"/>
              <w:ind w:left="332"/>
              <w:jc w:val="left"/>
              <w:rPr>
                <w:rFonts w:ascii="Arial Narrow" w:hAnsi="Arial Narrow"/>
                <w:szCs w:val="24"/>
              </w:rPr>
            </w:pPr>
            <w:r w:rsidRPr="007D1DD7">
              <w:rPr>
                <w:rFonts w:ascii="Arial Narrow" w:hAnsi="Arial Narrow"/>
                <w:szCs w:val="24"/>
              </w:rPr>
              <w:t>Support implementation monitoring, procurement, sub-contract management, and any disputes</w:t>
            </w:r>
          </w:p>
          <w:p w:rsidR="00A17D83" w:rsidRPr="007D1DD7" w:rsidRDefault="00A17D83" w:rsidP="00A82AAB">
            <w:pPr>
              <w:pStyle w:val="ListParagraph"/>
              <w:numPr>
                <w:ilvl w:val="0"/>
                <w:numId w:val="49"/>
              </w:numPr>
              <w:tabs>
                <w:tab w:val="num" w:pos="990"/>
              </w:tabs>
              <w:spacing w:before="0" w:after="0"/>
              <w:ind w:left="332"/>
              <w:jc w:val="left"/>
              <w:rPr>
                <w:rFonts w:ascii="Arial Narrow" w:hAnsi="Arial Narrow"/>
                <w:szCs w:val="24"/>
              </w:rPr>
            </w:pPr>
            <w:r w:rsidRPr="007D1DD7">
              <w:rPr>
                <w:rFonts w:ascii="Arial Narrow" w:hAnsi="Arial Narrow"/>
                <w:szCs w:val="24"/>
              </w:rPr>
              <w:t>Support any partner sub-contract management arrangement, including sub-contracts</w:t>
            </w:r>
          </w:p>
          <w:p w:rsidR="00A17D83" w:rsidRPr="007D1DD7" w:rsidRDefault="00A17D83" w:rsidP="00A82AAB">
            <w:pPr>
              <w:pStyle w:val="ListParagraph"/>
              <w:numPr>
                <w:ilvl w:val="0"/>
                <w:numId w:val="49"/>
              </w:numPr>
              <w:tabs>
                <w:tab w:val="num" w:pos="990"/>
              </w:tabs>
              <w:spacing w:before="0" w:after="0"/>
              <w:ind w:left="332"/>
              <w:rPr>
                <w:rFonts w:ascii="Arial Narrow" w:hAnsi="Arial Narrow"/>
                <w:b/>
                <w:szCs w:val="24"/>
              </w:rPr>
            </w:pPr>
            <w:r w:rsidRPr="007D1DD7">
              <w:rPr>
                <w:rFonts w:ascii="Arial Narrow" w:hAnsi="Arial Narrow"/>
                <w:b/>
                <w:szCs w:val="24"/>
              </w:rPr>
              <w:t xml:space="preserve">Increased partner planning and budget capacity </w:t>
            </w:r>
          </w:p>
          <w:p w:rsidR="00A17D83" w:rsidRPr="007D1DD7" w:rsidRDefault="00A17D83" w:rsidP="00A82AAB">
            <w:pPr>
              <w:pStyle w:val="ListParagraph"/>
              <w:numPr>
                <w:ilvl w:val="0"/>
                <w:numId w:val="49"/>
              </w:numPr>
              <w:tabs>
                <w:tab w:val="num" w:pos="990"/>
              </w:tabs>
              <w:spacing w:before="0" w:after="0"/>
              <w:ind w:left="332"/>
              <w:jc w:val="left"/>
              <w:rPr>
                <w:rFonts w:ascii="Arial Narrow" w:hAnsi="Arial Narrow"/>
                <w:i/>
                <w:szCs w:val="24"/>
              </w:rPr>
            </w:pPr>
            <w:r w:rsidRPr="007D1DD7">
              <w:rPr>
                <w:rFonts w:ascii="Arial Narrow" w:hAnsi="Arial Narrow"/>
                <w:szCs w:val="24"/>
              </w:rPr>
              <w:t xml:space="preserve">MG approve proposal </w:t>
            </w:r>
            <w:r w:rsidRPr="007D1DD7">
              <w:rPr>
                <w:rFonts w:ascii="Arial Narrow" w:hAnsi="Arial Narrow"/>
                <w:i/>
                <w:szCs w:val="24"/>
              </w:rPr>
              <w:t>(Stage 5: Incentive Funding Agreement signed)</w:t>
            </w:r>
          </w:p>
          <w:p w:rsidR="00A17D83" w:rsidRPr="007D1DD7" w:rsidRDefault="00A17D83" w:rsidP="00A82AAB">
            <w:pPr>
              <w:pStyle w:val="ListParagraph"/>
              <w:numPr>
                <w:ilvl w:val="0"/>
                <w:numId w:val="49"/>
              </w:numPr>
              <w:tabs>
                <w:tab w:val="num" w:pos="990"/>
              </w:tabs>
              <w:spacing w:before="0" w:after="0"/>
              <w:ind w:left="332"/>
              <w:rPr>
                <w:rFonts w:ascii="Arial Narrow" w:hAnsi="Arial Narrow"/>
                <w:i/>
                <w:szCs w:val="24"/>
              </w:rPr>
            </w:pPr>
            <w:r w:rsidRPr="007D1DD7">
              <w:rPr>
                <w:rFonts w:ascii="Arial Narrow" w:hAnsi="Arial Narrow"/>
                <w:szCs w:val="24"/>
              </w:rPr>
              <w:t xml:space="preserve">Support full proposal, budget, implementation and funding predictions completion with partner </w:t>
            </w:r>
            <w:r w:rsidRPr="007D1DD7">
              <w:rPr>
                <w:rFonts w:ascii="Arial Narrow" w:hAnsi="Arial Narrow"/>
                <w:i/>
                <w:szCs w:val="24"/>
              </w:rPr>
              <w:t xml:space="preserve">(Stage 4: proposal development) </w:t>
            </w:r>
          </w:p>
          <w:p w:rsidR="00A17D83" w:rsidRPr="007D1DD7" w:rsidRDefault="00A17D83" w:rsidP="00A82AAB">
            <w:pPr>
              <w:pStyle w:val="ListParagraph"/>
              <w:numPr>
                <w:ilvl w:val="0"/>
                <w:numId w:val="49"/>
              </w:numPr>
              <w:tabs>
                <w:tab w:val="num" w:pos="990"/>
              </w:tabs>
              <w:spacing w:before="0" w:after="0"/>
              <w:ind w:left="332"/>
              <w:jc w:val="left"/>
              <w:rPr>
                <w:rFonts w:ascii="Arial Narrow" w:hAnsi="Arial Narrow"/>
                <w:szCs w:val="24"/>
              </w:rPr>
            </w:pPr>
            <w:r w:rsidRPr="007D1DD7">
              <w:rPr>
                <w:rFonts w:ascii="Arial Narrow" w:hAnsi="Arial Narrow"/>
                <w:szCs w:val="24"/>
              </w:rPr>
              <w:t xml:space="preserve">Identify social inclusion plan with partner </w:t>
            </w:r>
            <w:r w:rsidRPr="007D1DD7">
              <w:rPr>
                <w:rFonts w:ascii="Arial Narrow" w:hAnsi="Arial Narrow"/>
                <w:i/>
                <w:szCs w:val="24"/>
              </w:rPr>
              <w:t>(Stage 3: organisational assessment)</w:t>
            </w:r>
          </w:p>
          <w:p w:rsidR="00A17D83" w:rsidRPr="007D1DD7" w:rsidRDefault="00A17D83" w:rsidP="00A82AAB">
            <w:pPr>
              <w:pStyle w:val="ListParagraph"/>
              <w:numPr>
                <w:ilvl w:val="0"/>
                <w:numId w:val="49"/>
              </w:numPr>
              <w:tabs>
                <w:tab w:val="num" w:pos="990"/>
              </w:tabs>
              <w:spacing w:before="0" w:after="0"/>
              <w:ind w:left="332"/>
              <w:jc w:val="left"/>
              <w:rPr>
                <w:rFonts w:ascii="Arial Narrow" w:hAnsi="Arial Narrow"/>
                <w:szCs w:val="24"/>
              </w:rPr>
            </w:pPr>
            <w:r w:rsidRPr="007D1DD7">
              <w:rPr>
                <w:rFonts w:ascii="Arial Narrow" w:hAnsi="Arial Narrow"/>
                <w:szCs w:val="24"/>
              </w:rPr>
              <w:t xml:space="preserve">Identify partner risks and any strengthening or risk mitigation required </w:t>
            </w:r>
            <w:r w:rsidRPr="007D1DD7">
              <w:rPr>
                <w:rFonts w:ascii="Arial Narrow" w:hAnsi="Arial Narrow"/>
                <w:i/>
                <w:szCs w:val="24"/>
              </w:rPr>
              <w:t>(Stage 3: organisation assessment)</w:t>
            </w:r>
          </w:p>
          <w:p w:rsidR="00A17D83" w:rsidRPr="007D1DD7" w:rsidRDefault="00A17D83" w:rsidP="00A82AAB">
            <w:pPr>
              <w:pStyle w:val="ListParagraph"/>
              <w:numPr>
                <w:ilvl w:val="0"/>
                <w:numId w:val="49"/>
              </w:numPr>
              <w:tabs>
                <w:tab w:val="num" w:pos="990"/>
              </w:tabs>
              <w:spacing w:before="0" w:after="0"/>
              <w:ind w:left="332"/>
              <w:jc w:val="left"/>
              <w:rPr>
                <w:rFonts w:ascii="Arial Narrow" w:hAnsi="Arial Narrow"/>
                <w:i/>
                <w:szCs w:val="24"/>
              </w:rPr>
            </w:pPr>
            <w:r w:rsidRPr="007D1DD7">
              <w:rPr>
                <w:rFonts w:ascii="Arial Narrow" w:hAnsi="Arial Narrow"/>
                <w:szCs w:val="24"/>
              </w:rPr>
              <w:t xml:space="preserve">Identify current performance levels </w:t>
            </w:r>
            <w:r w:rsidRPr="007D1DD7">
              <w:rPr>
                <w:rFonts w:ascii="Arial Narrow" w:hAnsi="Arial Narrow"/>
                <w:i/>
                <w:szCs w:val="24"/>
              </w:rPr>
              <w:t xml:space="preserve">(Stage 3: organisation assessment) </w:t>
            </w:r>
          </w:p>
          <w:p w:rsidR="00A17D83" w:rsidRPr="007D1DD7" w:rsidRDefault="00A17D83" w:rsidP="00A82AAB">
            <w:pPr>
              <w:pStyle w:val="ListParagraph"/>
              <w:numPr>
                <w:ilvl w:val="0"/>
                <w:numId w:val="49"/>
              </w:numPr>
              <w:tabs>
                <w:tab w:val="num" w:pos="990"/>
              </w:tabs>
              <w:spacing w:before="0" w:after="0"/>
              <w:ind w:left="332"/>
              <w:jc w:val="left"/>
              <w:rPr>
                <w:rFonts w:ascii="Arial Narrow" w:hAnsi="Arial Narrow"/>
                <w:szCs w:val="24"/>
              </w:rPr>
            </w:pPr>
            <w:r w:rsidRPr="007D1DD7">
              <w:rPr>
                <w:rFonts w:ascii="Arial Narrow" w:hAnsi="Arial Narrow"/>
                <w:szCs w:val="24"/>
              </w:rPr>
              <w:t xml:space="preserve">Confirm concept paper has a relevant theory of change, activities and investment levels </w:t>
            </w:r>
            <w:r w:rsidRPr="007D1DD7">
              <w:rPr>
                <w:rFonts w:ascii="Arial Narrow" w:hAnsi="Arial Narrow"/>
                <w:i/>
                <w:szCs w:val="24"/>
              </w:rPr>
              <w:t>(Stage 2: SGM screening)</w:t>
            </w:r>
          </w:p>
          <w:p w:rsidR="00A17D83" w:rsidRPr="007D1DD7" w:rsidRDefault="00A17D83" w:rsidP="00A82AAB">
            <w:pPr>
              <w:pStyle w:val="ListParagraph"/>
              <w:numPr>
                <w:ilvl w:val="0"/>
                <w:numId w:val="49"/>
              </w:numPr>
              <w:tabs>
                <w:tab w:val="num" w:pos="990"/>
              </w:tabs>
              <w:spacing w:before="0" w:after="0"/>
              <w:ind w:left="332"/>
              <w:jc w:val="left"/>
              <w:rPr>
                <w:rFonts w:ascii="Arial Narrow" w:hAnsi="Arial Narrow"/>
                <w:i/>
                <w:szCs w:val="24"/>
              </w:rPr>
            </w:pPr>
            <w:r w:rsidRPr="007D1DD7">
              <w:rPr>
                <w:rFonts w:ascii="Arial Narrow" w:hAnsi="Arial Narrow"/>
                <w:szCs w:val="24"/>
              </w:rPr>
              <w:lastRenderedPageBreak/>
              <w:t xml:space="preserve">Confirm concept paper returns on investment through </w:t>
            </w:r>
            <w:r w:rsidRPr="007D1DD7">
              <w:rPr>
                <w:rFonts w:ascii="Arial Narrow" w:hAnsi="Arial Narrow"/>
                <w:i/>
                <w:szCs w:val="24"/>
              </w:rPr>
              <w:t>(Stage 2: economic analysis)</w:t>
            </w:r>
          </w:p>
          <w:p w:rsidR="00A17D83" w:rsidRPr="007D1DD7" w:rsidRDefault="00A17D83" w:rsidP="00A82AAB">
            <w:pPr>
              <w:pStyle w:val="ListParagraph"/>
              <w:numPr>
                <w:ilvl w:val="0"/>
                <w:numId w:val="49"/>
              </w:numPr>
              <w:tabs>
                <w:tab w:val="num" w:pos="990"/>
              </w:tabs>
              <w:spacing w:before="0" w:after="0"/>
              <w:ind w:left="332"/>
              <w:jc w:val="left"/>
              <w:rPr>
                <w:rFonts w:ascii="Arial Narrow" w:hAnsi="Arial Narrow"/>
                <w:i/>
                <w:szCs w:val="24"/>
              </w:rPr>
            </w:pPr>
            <w:r w:rsidRPr="007D1DD7">
              <w:rPr>
                <w:rFonts w:ascii="Arial Narrow" w:hAnsi="Arial Narrow"/>
                <w:szCs w:val="24"/>
              </w:rPr>
              <w:t xml:space="preserve">Confirm of </w:t>
            </w:r>
            <w:r w:rsidR="00463D79" w:rsidRPr="00463D79">
              <w:rPr>
                <w:rFonts w:ascii="Arial Narrow" w:hAnsi="Arial Narrow"/>
                <w:szCs w:val="24"/>
                <w:lang w:val="en-GB"/>
              </w:rPr>
              <w:t>80 per cent of the investments will support empowerment of women and girls</w:t>
            </w:r>
            <w:r w:rsidR="00463D79" w:rsidRPr="00463D79">
              <w:rPr>
                <w:rFonts w:ascii="Arial Narrow" w:hAnsi="Arial Narrow"/>
                <w:i/>
                <w:szCs w:val="24"/>
              </w:rPr>
              <w:t xml:space="preserve"> </w:t>
            </w:r>
            <w:r w:rsidRPr="007D1DD7">
              <w:rPr>
                <w:rFonts w:ascii="Arial Narrow" w:hAnsi="Arial Narrow"/>
                <w:i/>
                <w:szCs w:val="24"/>
              </w:rPr>
              <w:t>(Stage 2: assessment of beneficiaries)</w:t>
            </w:r>
          </w:p>
          <w:p w:rsidR="00A17D83" w:rsidRPr="007D1DD7" w:rsidRDefault="00A17D83" w:rsidP="00A82AAB">
            <w:pPr>
              <w:pStyle w:val="ListParagraph"/>
              <w:numPr>
                <w:ilvl w:val="0"/>
                <w:numId w:val="49"/>
              </w:numPr>
              <w:tabs>
                <w:tab w:val="num" w:pos="990"/>
              </w:tabs>
              <w:spacing w:before="0" w:after="0"/>
              <w:ind w:left="332"/>
              <w:jc w:val="left"/>
              <w:rPr>
                <w:rFonts w:ascii="Arial Narrow" w:hAnsi="Arial Narrow"/>
                <w:i/>
                <w:szCs w:val="24"/>
              </w:rPr>
            </w:pPr>
            <w:r w:rsidRPr="007D1DD7">
              <w:rPr>
                <w:rFonts w:ascii="Arial Narrow" w:hAnsi="Arial Narrow"/>
                <w:szCs w:val="24"/>
              </w:rPr>
              <w:t xml:space="preserve">Identify </w:t>
            </w:r>
            <w:r w:rsidR="00437BA3">
              <w:rPr>
                <w:rFonts w:ascii="Arial Narrow" w:hAnsi="Arial Narrow"/>
                <w:szCs w:val="24"/>
              </w:rPr>
              <w:t xml:space="preserve">the </w:t>
            </w:r>
            <w:r w:rsidR="00350A70" w:rsidRPr="00350A70">
              <w:rPr>
                <w:rFonts w:ascii="Arial Narrow" w:hAnsi="Arial Narrow"/>
                <w:szCs w:val="24"/>
                <w:lang w:val="en-GB"/>
              </w:rPr>
              <w:t xml:space="preserve">local political economy and operating context </w:t>
            </w:r>
            <w:r w:rsidRPr="007D1DD7">
              <w:rPr>
                <w:rFonts w:ascii="Arial Narrow" w:hAnsi="Arial Narrow"/>
                <w:i/>
                <w:szCs w:val="24"/>
              </w:rPr>
              <w:t>(Stage 2: political economy assessment)</w:t>
            </w:r>
          </w:p>
          <w:p w:rsidR="00A17D83" w:rsidRPr="007D1DD7" w:rsidRDefault="00A17D83" w:rsidP="00A82AAB">
            <w:pPr>
              <w:pStyle w:val="ListParagraph"/>
              <w:numPr>
                <w:ilvl w:val="0"/>
                <w:numId w:val="49"/>
              </w:numPr>
              <w:tabs>
                <w:tab w:val="num" w:pos="990"/>
              </w:tabs>
              <w:spacing w:before="0" w:after="0"/>
              <w:ind w:left="332"/>
              <w:jc w:val="left"/>
              <w:rPr>
                <w:rFonts w:ascii="Arial Narrow" w:hAnsi="Arial Narrow" w:cs="Arial"/>
                <w:szCs w:val="24"/>
              </w:rPr>
            </w:pPr>
            <w:r w:rsidRPr="007D1DD7">
              <w:rPr>
                <w:rFonts w:ascii="Arial Narrow" w:hAnsi="Arial Narrow"/>
                <w:szCs w:val="24"/>
              </w:rPr>
              <w:t xml:space="preserve">Identify good performing eligible partners and concepts </w:t>
            </w:r>
            <w:r w:rsidRPr="007D1DD7">
              <w:rPr>
                <w:rFonts w:ascii="Arial Narrow" w:hAnsi="Arial Narrow"/>
                <w:i/>
                <w:szCs w:val="24"/>
              </w:rPr>
              <w:t>(Stage 1: concept papers)</w:t>
            </w:r>
          </w:p>
        </w:tc>
        <w:tc>
          <w:tcPr>
            <w:tcW w:w="695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7D83" w:rsidRPr="007D1DD7" w:rsidRDefault="00A17D83" w:rsidP="00A82AAB">
            <w:pPr>
              <w:pStyle w:val="ListParagraph"/>
              <w:numPr>
                <w:ilvl w:val="0"/>
                <w:numId w:val="50"/>
              </w:numPr>
              <w:tabs>
                <w:tab w:val="num" w:pos="990"/>
              </w:tabs>
              <w:spacing w:before="0" w:after="0"/>
              <w:ind w:left="318"/>
              <w:rPr>
                <w:rFonts w:ascii="Arial Narrow" w:hAnsi="Arial Narrow"/>
                <w:b/>
                <w:szCs w:val="24"/>
              </w:rPr>
            </w:pPr>
            <w:r w:rsidRPr="007D1DD7">
              <w:rPr>
                <w:rFonts w:ascii="Arial Narrow" w:hAnsi="Arial Narrow"/>
                <w:b/>
                <w:szCs w:val="24"/>
              </w:rPr>
              <w:lastRenderedPageBreak/>
              <w:t>Increased number of private sector partners engaging in economic development activities</w:t>
            </w:r>
          </w:p>
          <w:p w:rsidR="00A17D83" w:rsidRPr="007D1DD7" w:rsidRDefault="00A17D83" w:rsidP="00A82AAB">
            <w:pPr>
              <w:pStyle w:val="ListParagraph"/>
              <w:numPr>
                <w:ilvl w:val="0"/>
                <w:numId w:val="50"/>
              </w:numPr>
              <w:tabs>
                <w:tab w:val="num" w:pos="990"/>
              </w:tabs>
              <w:spacing w:before="0" w:after="0"/>
              <w:ind w:left="318"/>
              <w:rPr>
                <w:rFonts w:ascii="Arial Narrow" w:hAnsi="Arial Narrow"/>
                <w:szCs w:val="24"/>
              </w:rPr>
            </w:pPr>
            <w:r w:rsidRPr="007D1DD7">
              <w:rPr>
                <w:rFonts w:ascii="Arial Narrow" w:hAnsi="Arial Narrow"/>
                <w:szCs w:val="24"/>
              </w:rPr>
              <w:t>Independently confirm outputs are of sufficient quality, fit for purpose and able to be maintained and project was value-for-money</w:t>
            </w:r>
          </w:p>
          <w:p w:rsidR="00A17D83" w:rsidRPr="007D1DD7" w:rsidRDefault="00A17D83" w:rsidP="00A82AAB">
            <w:pPr>
              <w:pStyle w:val="ListParagraph"/>
              <w:numPr>
                <w:ilvl w:val="0"/>
                <w:numId w:val="50"/>
              </w:numPr>
              <w:tabs>
                <w:tab w:val="num" w:pos="990"/>
              </w:tabs>
              <w:spacing w:before="0" w:after="0"/>
              <w:ind w:left="318"/>
              <w:rPr>
                <w:rFonts w:ascii="Arial Narrow" w:hAnsi="Arial Narrow"/>
                <w:b/>
                <w:szCs w:val="24"/>
              </w:rPr>
            </w:pPr>
            <w:r w:rsidRPr="007D1DD7">
              <w:rPr>
                <w:rFonts w:ascii="Arial Narrow" w:hAnsi="Arial Narrow"/>
                <w:b/>
                <w:szCs w:val="24"/>
              </w:rPr>
              <w:t>Private Sector Partner has increased capacity to plan, manage and implement economic development projects</w:t>
            </w:r>
          </w:p>
          <w:p w:rsidR="00463D79" w:rsidRDefault="00A17D83" w:rsidP="00A82AAB">
            <w:pPr>
              <w:pStyle w:val="ListParagraph"/>
              <w:numPr>
                <w:ilvl w:val="0"/>
                <w:numId w:val="50"/>
              </w:numPr>
              <w:tabs>
                <w:tab w:val="num" w:pos="990"/>
              </w:tabs>
              <w:spacing w:before="0" w:after="0"/>
              <w:ind w:left="318"/>
              <w:rPr>
                <w:rFonts w:ascii="Arial Narrow" w:hAnsi="Arial Narrow"/>
                <w:szCs w:val="24"/>
              </w:rPr>
            </w:pPr>
            <w:r w:rsidRPr="007D1DD7">
              <w:rPr>
                <w:rFonts w:ascii="Arial Narrow" w:hAnsi="Arial Narrow"/>
                <w:szCs w:val="24"/>
              </w:rPr>
              <w:t xml:space="preserve">Partner confirms through completion that end of program outputs and contribution to enabling environment, and that at least </w:t>
            </w:r>
            <w:r w:rsidR="00463D79" w:rsidRPr="00463D79">
              <w:rPr>
                <w:rFonts w:ascii="Arial Narrow" w:hAnsi="Arial Narrow"/>
                <w:szCs w:val="24"/>
                <w:lang w:val="en-GB"/>
              </w:rPr>
              <w:t>80 per cent of the investments will support empowerment of women and girls</w:t>
            </w:r>
            <w:r w:rsidR="00463D79" w:rsidRPr="00463D79">
              <w:rPr>
                <w:rFonts w:ascii="Arial Narrow" w:hAnsi="Arial Narrow"/>
                <w:szCs w:val="24"/>
              </w:rPr>
              <w:t xml:space="preserve"> </w:t>
            </w:r>
          </w:p>
          <w:p w:rsidR="00A17D83" w:rsidRPr="007D1DD7" w:rsidRDefault="00A17D83" w:rsidP="00A82AAB">
            <w:pPr>
              <w:pStyle w:val="ListParagraph"/>
              <w:numPr>
                <w:ilvl w:val="0"/>
                <w:numId w:val="50"/>
              </w:numPr>
              <w:tabs>
                <w:tab w:val="num" w:pos="990"/>
              </w:tabs>
              <w:spacing w:before="0" w:after="0"/>
              <w:ind w:left="318"/>
              <w:rPr>
                <w:rFonts w:ascii="Arial Narrow" w:hAnsi="Arial Narrow"/>
                <w:szCs w:val="24"/>
              </w:rPr>
            </w:pPr>
            <w:r w:rsidRPr="007D1DD7">
              <w:rPr>
                <w:rFonts w:ascii="Arial Narrow" w:hAnsi="Arial Narrow"/>
                <w:szCs w:val="24"/>
              </w:rPr>
              <w:t xml:space="preserve">Support quality at end of implementation evaluation </w:t>
            </w:r>
          </w:p>
          <w:p w:rsidR="00A17D83" w:rsidRPr="007D1DD7" w:rsidRDefault="00A17D83" w:rsidP="00A82AAB">
            <w:pPr>
              <w:pStyle w:val="ListParagraph"/>
              <w:numPr>
                <w:ilvl w:val="0"/>
                <w:numId w:val="50"/>
              </w:numPr>
              <w:tabs>
                <w:tab w:val="num" w:pos="990"/>
              </w:tabs>
              <w:spacing w:before="0" w:after="0"/>
              <w:ind w:left="318"/>
              <w:rPr>
                <w:rFonts w:ascii="Arial Narrow" w:hAnsi="Arial Narrow"/>
                <w:szCs w:val="24"/>
              </w:rPr>
            </w:pPr>
            <w:r w:rsidRPr="007D1DD7">
              <w:rPr>
                <w:rFonts w:ascii="Arial Narrow" w:hAnsi="Arial Narrow"/>
                <w:szCs w:val="24"/>
              </w:rPr>
              <w:t>Increased partner project management and DFAT performance management requirements</w:t>
            </w:r>
          </w:p>
          <w:p w:rsidR="00A17D83" w:rsidRPr="007D1DD7" w:rsidRDefault="00A17D83" w:rsidP="00A82AAB">
            <w:pPr>
              <w:pStyle w:val="ListParagraph"/>
              <w:numPr>
                <w:ilvl w:val="0"/>
                <w:numId w:val="50"/>
              </w:numPr>
              <w:tabs>
                <w:tab w:val="num" w:pos="990"/>
              </w:tabs>
              <w:spacing w:before="0" w:after="0"/>
              <w:ind w:left="318"/>
              <w:rPr>
                <w:rFonts w:ascii="Arial Narrow" w:hAnsi="Arial Narrow"/>
                <w:szCs w:val="24"/>
              </w:rPr>
            </w:pPr>
            <w:r w:rsidRPr="007D1DD7">
              <w:rPr>
                <w:rFonts w:ascii="Arial Narrow" w:hAnsi="Arial Narrow"/>
                <w:szCs w:val="24"/>
              </w:rPr>
              <w:t>Support implementation monitoring, procurement, sub-contract management, and any disputes</w:t>
            </w:r>
          </w:p>
          <w:p w:rsidR="00A17D83" w:rsidRPr="007D1DD7" w:rsidRDefault="00A17D83" w:rsidP="00A82AAB">
            <w:pPr>
              <w:pStyle w:val="ListParagraph"/>
              <w:numPr>
                <w:ilvl w:val="0"/>
                <w:numId w:val="50"/>
              </w:numPr>
              <w:tabs>
                <w:tab w:val="num" w:pos="990"/>
              </w:tabs>
              <w:spacing w:before="0" w:after="0"/>
              <w:ind w:left="318"/>
              <w:rPr>
                <w:rFonts w:ascii="Arial Narrow" w:hAnsi="Arial Narrow"/>
                <w:szCs w:val="24"/>
              </w:rPr>
            </w:pPr>
            <w:r w:rsidRPr="007D1DD7">
              <w:rPr>
                <w:rFonts w:ascii="Arial Narrow" w:hAnsi="Arial Narrow"/>
                <w:szCs w:val="24"/>
              </w:rPr>
              <w:t>Support any partner sub-contract management arrangement, including sub-contracts</w:t>
            </w:r>
          </w:p>
          <w:p w:rsidR="00A17D83" w:rsidRPr="007D1DD7" w:rsidRDefault="00A17D83" w:rsidP="00A82AAB">
            <w:pPr>
              <w:pStyle w:val="ListParagraph"/>
              <w:numPr>
                <w:ilvl w:val="0"/>
                <w:numId w:val="50"/>
              </w:numPr>
              <w:tabs>
                <w:tab w:val="num" w:pos="990"/>
              </w:tabs>
              <w:spacing w:before="0" w:after="0"/>
              <w:ind w:left="318"/>
              <w:rPr>
                <w:rFonts w:ascii="Arial Narrow" w:hAnsi="Arial Narrow"/>
                <w:b/>
                <w:szCs w:val="24"/>
              </w:rPr>
            </w:pPr>
            <w:r w:rsidRPr="007D1DD7">
              <w:rPr>
                <w:rFonts w:ascii="Arial Narrow" w:hAnsi="Arial Narrow"/>
                <w:b/>
                <w:szCs w:val="24"/>
              </w:rPr>
              <w:t xml:space="preserve">Increased partner DFAT planning and budget requirements capability </w:t>
            </w:r>
          </w:p>
          <w:p w:rsidR="00A17D83" w:rsidRPr="007D1DD7" w:rsidRDefault="00A17D83" w:rsidP="00A82AAB">
            <w:pPr>
              <w:pStyle w:val="ListParagraph"/>
              <w:numPr>
                <w:ilvl w:val="0"/>
                <w:numId w:val="50"/>
              </w:numPr>
              <w:tabs>
                <w:tab w:val="num" w:pos="990"/>
              </w:tabs>
              <w:spacing w:before="0" w:after="0"/>
              <w:ind w:left="318"/>
              <w:rPr>
                <w:rFonts w:ascii="Arial Narrow" w:hAnsi="Arial Narrow"/>
                <w:i/>
                <w:szCs w:val="24"/>
              </w:rPr>
            </w:pPr>
            <w:r w:rsidRPr="007D1DD7">
              <w:rPr>
                <w:rFonts w:ascii="Arial Narrow" w:hAnsi="Arial Narrow"/>
                <w:szCs w:val="24"/>
              </w:rPr>
              <w:t xml:space="preserve">MG approve proposal </w:t>
            </w:r>
            <w:r w:rsidRPr="007D1DD7">
              <w:rPr>
                <w:rFonts w:ascii="Arial Narrow" w:hAnsi="Arial Narrow"/>
                <w:i/>
                <w:szCs w:val="24"/>
              </w:rPr>
              <w:t>(Stage 5: Incentive Funding Agreement signed)</w:t>
            </w:r>
          </w:p>
          <w:p w:rsidR="00A17D83" w:rsidRPr="007D1DD7" w:rsidRDefault="00A17D83" w:rsidP="00A82AAB">
            <w:pPr>
              <w:pStyle w:val="ListParagraph"/>
              <w:numPr>
                <w:ilvl w:val="0"/>
                <w:numId w:val="50"/>
              </w:numPr>
              <w:tabs>
                <w:tab w:val="num" w:pos="990"/>
              </w:tabs>
              <w:spacing w:before="0" w:after="0"/>
              <w:ind w:left="318"/>
              <w:rPr>
                <w:rFonts w:ascii="Arial Narrow" w:hAnsi="Arial Narrow"/>
                <w:i/>
                <w:szCs w:val="24"/>
              </w:rPr>
            </w:pPr>
            <w:r w:rsidRPr="007D1DD7">
              <w:rPr>
                <w:rFonts w:ascii="Arial Narrow" w:hAnsi="Arial Narrow"/>
                <w:szCs w:val="24"/>
              </w:rPr>
              <w:t xml:space="preserve">Support full proposal, budget, implementation and funding predictions completion with partner </w:t>
            </w:r>
            <w:r w:rsidRPr="007D1DD7">
              <w:rPr>
                <w:rFonts w:ascii="Arial Narrow" w:hAnsi="Arial Narrow"/>
                <w:i/>
                <w:szCs w:val="24"/>
              </w:rPr>
              <w:t xml:space="preserve">(Stage 4: proposal development) </w:t>
            </w:r>
          </w:p>
          <w:p w:rsidR="00A17D83" w:rsidRPr="007D1DD7" w:rsidRDefault="00A17D83" w:rsidP="00A82AAB">
            <w:pPr>
              <w:pStyle w:val="ListParagraph"/>
              <w:numPr>
                <w:ilvl w:val="0"/>
                <w:numId w:val="50"/>
              </w:numPr>
              <w:tabs>
                <w:tab w:val="num" w:pos="990"/>
              </w:tabs>
              <w:spacing w:before="0" w:after="0"/>
              <w:ind w:left="318"/>
              <w:rPr>
                <w:rFonts w:ascii="Arial Narrow" w:hAnsi="Arial Narrow"/>
                <w:szCs w:val="24"/>
              </w:rPr>
            </w:pPr>
            <w:r w:rsidRPr="007D1DD7">
              <w:rPr>
                <w:rFonts w:ascii="Arial Narrow" w:hAnsi="Arial Narrow"/>
                <w:szCs w:val="24"/>
              </w:rPr>
              <w:t xml:space="preserve">Identify social inclusion plan with partner </w:t>
            </w:r>
            <w:r w:rsidRPr="007D1DD7">
              <w:rPr>
                <w:rFonts w:ascii="Arial Narrow" w:hAnsi="Arial Narrow"/>
                <w:i/>
                <w:szCs w:val="24"/>
              </w:rPr>
              <w:t>(Stage 3: organisational assessment)</w:t>
            </w:r>
          </w:p>
          <w:p w:rsidR="00A17D83" w:rsidRPr="007D1DD7" w:rsidRDefault="00A17D83" w:rsidP="00A82AAB">
            <w:pPr>
              <w:pStyle w:val="ListParagraph"/>
              <w:numPr>
                <w:ilvl w:val="0"/>
                <w:numId w:val="50"/>
              </w:numPr>
              <w:tabs>
                <w:tab w:val="num" w:pos="990"/>
              </w:tabs>
              <w:spacing w:before="0" w:after="0"/>
              <w:ind w:left="318"/>
              <w:rPr>
                <w:rFonts w:ascii="Arial Narrow" w:hAnsi="Arial Narrow"/>
                <w:szCs w:val="24"/>
              </w:rPr>
            </w:pPr>
            <w:r w:rsidRPr="007D1DD7">
              <w:rPr>
                <w:rFonts w:ascii="Arial Narrow" w:hAnsi="Arial Narrow"/>
                <w:szCs w:val="24"/>
              </w:rPr>
              <w:lastRenderedPageBreak/>
              <w:t xml:space="preserve">Identify partner risks and any strengthening or risk mitigation required </w:t>
            </w:r>
            <w:r w:rsidRPr="007D1DD7">
              <w:rPr>
                <w:rFonts w:ascii="Arial Narrow" w:hAnsi="Arial Narrow"/>
                <w:i/>
                <w:szCs w:val="24"/>
              </w:rPr>
              <w:t>(Stage 3: organisation assessment)</w:t>
            </w:r>
          </w:p>
          <w:p w:rsidR="00A17D83" w:rsidRPr="007D1DD7" w:rsidRDefault="00A17D83" w:rsidP="00A82AAB">
            <w:pPr>
              <w:pStyle w:val="ListParagraph"/>
              <w:numPr>
                <w:ilvl w:val="0"/>
                <w:numId w:val="50"/>
              </w:numPr>
              <w:tabs>
                <w:tab w:val="num" w:pos="990"/>
              </w:tabs>
              <w:spacing w:before="0" w:after="0"/>
              <w:ind w:left="318"/>
              <w:rPr>
                <w:rFonts w:ascii="Arial Narrow" w:hAnsi="Arial Narrow"/>
                <w:i/>
                <w:szCs w:val="24"/>
              </w:rPr>
            </w:pPr>
            <w:r w:rsidRPr="007D1DD7">
              <w:rPr>
                <w:rFonts w:ascii="Arial Narrow" w:hAnsi="Arial Narrow"/>
                <w:szCs w:val="24"/>
              </w:rPr>
              <w:t xml:space="preserve">Identify current performance levels </w:t>
            </w:r>
            <w:r w:rsidRPr="007D1DD7">
              <w:rPr>
                <w:rFonts w:ascii="Arial Narrow" w:hAnsi="Arial Narrow"/>
                <w:i/>
                <w:szCs w:val="24"/>
              </w:rPr>
              <w:t xml:space="preserve">(Stage 3: organisation assessment) </w:t>
            </w:r>
          </w:p>
          <w:p w:rsidR="00A17D83" w:rsidRPr="007D1DD7" w:rsidRDefault="00A17D83" w:rsidP="00A82AAB">
            <w:pPr>
              <w:pStyle w:val="ListParagraph"/>
              <w:numPr>
                <w:ilvl w:val="0"/>
                <w:numId w:val="50"/>
              </w:numPr>
              <w:tabs>
                <w:tab w:val="num" w:pos="990"/>
              </w:tabs>
              <w:spacing w:before="0" w:after="0"/>
              <w:ind w:left="318"/>
              <w:rPr>
                <w:rFonts w:ascii="Arial Narrow" w:hAnsi="Arial Narrow"/>
                <w:szCs w:val="24"/>
              </w:rPr>
            </w:pPr>
            <w:r w:rsidRPr="007D1DD7">
              <w:rPr>
                <w:rFonts w:ascii="Arial Narrow" w:hAnsi="Arial Narrow"/>
                <w:szCs w:val="24"/>
              </w:rPr>
              <w:t xml:space="preserve">Confirm concept paper or business plan has a relevant theory of change, activities and investment levels </w:t>
            </w:r>
            <w:r w:rsidRPr="007D1DD7">
              <w:rPr>
                <w:rFonts w:ascii="Arial Narrow" w:hAnsi="Arial Narrow"/>
                <w:i/>
                <w:szCs w:val="24"/>
              </w:rPr>
              <w:t>(Stage 2: SGM screening)</w:t>
            </w:r>
          </w:p>
          <w:p w:rsidR="00A17D83" w:rsidRPr="007D1DD7" w:rsidRDefault="00A17D83" w:rsidP="00A82AAB">
            <w:pPr>
              <w:pStyle w:val="ListParagraph"/>
              <w:numPr>
                <w:ilvl w:val="0"/>
                <w:numId w:val="50"/>
              </w:numPr>
              <w:tabs>
                <w:tab w:val="num" w:pos="990"/>
              </w:tabs>
              <w:spacing w:before="0" w:after="0"/>
              <w:ind w:left="318"/>
              <w:rPr>
                <w:rFonts w:ascii="Arial Narrow" w:hAnsi="Arial Narrow"/>
                <w:i/>
                <w:szCs w:val="24"/>
              </w:rPr>
            </w:pPr>
            <w:r w:rsidRPr="007D1DD7">
              <w:rPr>
                <w:rFonts w:ascii="Arial Narrow" w:hAnsi="Arial Narrow"/>
                <w:szCs w:val="24"/>
              </w:rPr>
              <w:t xml:space="preserve">Confirm concept paper or business plan returns on investment through </w:t>
            </w:r>
            <w:r w:rsidRPr="007D1DD7">
              <w:rPr>
                <w:rFonts w:ascii="Arial Narrow" w:hAnsi="Arial Narrow"/>
                <w:i/>
                <w:szCs w:val="24"/>
              </w:rPr>
              <w:t>(Stage 2: economic analysis)</w:t>
            </w:r>
          </w:p>
          <w:p w:rsidR="00A17D83" w:rsidRPr="007D1DD7" w:rsidRDefault="00A17D83" w:rsidP="00A82AAB">
            <w:pPr>
              <w:pStyle w:val="ListParagraph"/>
              <w:numPr>
                <w:ilvl w:val="0"/>
                <w:numId w:val="50"/>
              </w:numPr>
              <w:tabs>
                <w:tab w:val="num" w:pos="990"/>
              </w:tabs>
              <w:spacing w:before="0" w:after="0"/>
              <w:ind w:left="318"/>
              <w:rPr>
                <w:rFonts w:ascii="Arial Narrow" w:hAnsi="Arial Narrow"/>
                <w:i/>
                <w:szCs w:val="24"/>
              </w:rPr>
            </w:pPr>
            <w:r w:rsidRPr="007D1DD7">
              <w:rPr>
                <w:rFonts w:ascii="Arial Narrow" w:hAnsi="Arial Narrow"/>
                <w:szCs w:val="24"/>
              </w:rPr>
              <w:t xml:space="preserve">Confirm </w:t>
            </w:r>
            <w:r w:rsidR="00463D79" w:rsidRPr="00463D79">
              <w:rPr>
                <w:rFonts w:ascii="Arial Narrow" w:hAnsi="Arial Narrow"/>
                <w:szCs w:val="24"/>
                <w:lang w:val="en-GB"/>
              </w:rPr>
              <w:t>80 per cent of the investments will support empowerment of women and girls</w:t>
            </w:r>
            <w:r w:rsidRPr="007D1DD7">
              <w:rPr>
                <w:rFonts w:ascii="Arial Narrow" w:hAnsi="Arial Narrow"/>
                <w:szCs w:val="24"/>
              </w:rPr>
              <w:t xml:space="preserve"> </w:t>
            </w:r>
            <w:r w:rsidRPr="007D1DD7">
              <w:rPr>
                <w:rFonts w:ascii="Arial Narrow" w:hAnsi="Arial Narrow"/>
                <w:i/>
                <w:szCs w:val="24"/>
              </w:rPr>
              <w:t>(Stage 2: assessment of beneficiaries)</w:t>
            </w:r>
          </w:p>
          <w:p w:rsidR="00A17D83" w:rsidRPr="007D1DD7" w:rsidRDefault="00A17D83" w:rsidP="00A82AAB">
            <w:pPr>
              <w:pStyle w:val="ListParagraph"/>
              <w:numPr>
                <w:ilvl w:val="0"/>
                <w:numId w:val="50"/>
              </w:numPr>
              <w:tabs>
                <w:tab w:val="num" w:pos="990"/>
              </w:tabs>
              <w:spacing w:before="0" w:after="0"/>
              <w:ind w:left="318"/>
              <w:rPr>
                <w:rFonts w:ascii="Arial Narrow" w:hAnsi="Arial Narrow"/>
                <w:i/>
                <w:szCs w:val="24"/>
              </w:rPr>
            </w:pPr>
            <w:r w:rsidRPr="007D1DD7">
              <w:rPr>
                <w:rFonts w:ascii="Arial Narrow" w:hAnsi="Arial Narrow"/>
                <w:szCs w:val="24"/>
              </w:rPr>
              <w:t xml:space="preserve">Identify </w:t>
            </w:r>
            <w:r w:rsidR="00437BA3">
              <w:rPr>
                <w:rFonts w:ascii="Arial Narrow" w:hAnsi="Arial Narrow"/>
                <w:szCs w:val="24"/>
              </w:rPr>
              <w:t xml:space="preserve">the </w:t>
            </w:r>
            <w:r w:rsidR="00437BA3" w:rsidRPr="00437BA3">
              <w:rPr>
                <w:rFonts w:ascii="Arial Narrow" w:hAnsi="Arial Narrow"/>
                <w:szCs w:val="24"/>
                <w:lang w:val="en-GB"/>
              </w:rPr>
              <w:t xml:space="preserve">local political economy and operating context </w:t>
            </w:r>
            <w:r w:rsidRPr="007D1DD7">
              <w:rPr>
                <w:rFonts w:ascii="Arial Narrow" w:hAnsi="Arial Narrow"/>
                <w:i/>
                <w:szCs w:val="24"/>
              </w:rPr>
              <w:t>(Stage 2: political economy assessment)</w:t>
            </w:r>
          </w:p>
          <w:p w:rsidR="00A17D83" w:rsidRPr="007D1DD7" w:rsidRDefault="00A17D83" w:rsidP="00A82AAB">
            <w:pPr>
              <w:pStyle w:val="ListParagraph"/>
              <w:numPr>
                <w:ilvl w:val="0"/>
                <w:numId w:val="50"/>
              </w:numPr>
              <w:tabs>
                <w:tab w:val="num" w:pos="990"/>
              </w:tabs>
              <w:spacing w:before="0" w:after="0"/>
              <w:ind w:left="318"/>
              <w:rPr>
                <w:rFonts w:ascii="Arial Narrow" w:hAnsi="Arial Narrow"/>
                <w:szCs w:val="24"/>
              </w:rPr>
            </w:pPr>
            <w:r w:rsidRPr="007D1DD7">
              <w:rPr>
                <w:rFonts w:ascii="Arial Narrow" w:hAnsi="Arial Narrow"/>
                <w:szCs w:val="24"/>
              </w:rPr>
              <w:t xml:space="preserve">Identify well-performing private sector partners and concepts </w:t>
            </w:r>
            <w:r w:rsidRPr="007D1DD7">
              <w:rPr>
                <w:rFonts w:ascii="Arial Narrow" w:hAnsi="Arial Narrow"/>
                <w:i/>
                <w:szCs w:val="24"/>
              </w:rPr>
              <w:t>(Stage 1: concept papers)</w:t>
            </w:r>
          </w:p>
        </w:tc>
      </w:tr>
    </w:tbl>
    <w:p w:rsidR="00277117" w:rsidRDefault="00277117" w:rsidP="00B169B8">
      <w:pPr>
        <w:spacing w:before="0" w:after="0"/>
        <w:rPr>
          <w:lang w:val="en-GB"/>
        </w:rPr>
      </w:pPr>
    </w:p>
    <w:p w:rsidR="005E227D" w:rsidRPr="00571F0B" w:rsidRDefault="005E227D" w:rsidP="00B169B8">
      <w:pPr>
        <w:spacing w:before="0" w:after="0"/>
        <w:rPr>
          <w:lang w:val="en-GB"/>
        </w:rPr>
      </w:pPr>
    </w:p>
    <w:p w:rsidR="00582A5C" w:rsidRPr="00571F0B" w:rsidRDefault="00582A5C" w:rsidP="00B169B8">
      <w:pPr>
        <w:spacing w:before="0" w:after="0"/>
        <w:rPr>
          <w:lang w:val="en-GB"/>
        </w:rPr>
      </w:pPr>
    </w:p>
    <w:p w:rsidR="00A71B3E" w:rsidRDefault="00A71B3E" w:rsidP="00B169B8">
      <w:pPr>
        <w:spacing w:before="0" w:after="0"/>
        <w:rPr>
          <w:lang w:val="en-GB"/>
        </w:rPr>
        <w:sectPr w:rsidR="00A71B3E" w:rsidSect="00A71B3E">
          <w:headerReference w:type="default" r:id="rId37"/>
          <w:footerReference w:type="default" r:id="rId38"/>
          <w:pgSz w:w="23814" w:h="16839" w:orient="landscape" w:code="8"/>
          <w:pgMar w:top="1418" w:right="851" w:bottom="1418" w:left="851" w:header="578" w:footer="578" w:gutter="0"/>
          <w:pgNumType w:start="1"/>
          <w:cols w:space="720"/>
          <w:docGrid w:linePitch="326"/>
        </w:sectPr>
      </w:pPr>
    </w:p>
    <w:p w:rsidR="00807B54" w:rsidRDefault="00CC104A" w:rsidP="00807B54">
      <w:pPr>
        <w:rPr>
          <w:lang w:val="en-GB"/>
        </w:rPr>
      </w:pPr>
      <w:r>
        <w:rPr>
          <w:lang w:val="en-GB"/>
        </w:rPr>
        <w:lastRenderedPageBreak/>
        <w:t>Annex 3 &amp; 4 - removed</w:t>
      </w:r>
    </w:p>
    <w:p w:rsidR="00807B54" w:rsidRPr="00807B54" w:rsidRDefault="00807B54" w:rsidP="00807B54">
      <w:pPr>
        <w:rPr>
          <w:lang w:val="en-GB"/>
        </w:rPr>
        <w:sectPr w:rsidR="00807B54" w:rsidRPr="00807B54" w:rsidSect="00807B54">
          <w:headerReference w:type="default" r:id="rId39"/>
          <w:footerReference w:type="default" r:id="rId40"/>
          <w:pgSz w:w="16839" w:h="23814" w:code="8"/>
          <w:pgMar w:top="851" w:right="1418" w:bottom="851" w:left="1418" w:header="578" w:footer="578" w:gutter="0"/>
          <w:pgNumType w:start="1"/>
          <w:cols w:space="720"/>
          <w:docGrid w:linePitch="326"/>
        </w:sectPr>
      </w:pPr>
    </w:p>
    <w:p w:rsidR="000F5358" w:rsidRPr="00571F0B" w:rsidRDefault="000F5358" w:rsidP="000F5358">
      <w:pPr>
        <w:jc w:val="center"/>
        <w:rPr>
          <w:b/>
          <w:i/>
          <w:vanish/>
          <w:color w:val="FF0000"/>
          <w:sz w:val="32"/>
          <w:lang w:val="en-GB"/>
        </w:rPr>
      </w:pPr>
      <w:r w:rsidRPr="00571F0B">
        <w:rPr>
          <w:b/>
          <w:i/>
          <w:vanish/>
          <w:color w:val="FF0000"/>
          <w:sz w:val="32"/>
          <w:lang w:val="en-GB"/>
        </w:rPr>
        <w:lastRenderedPageBreak/>
        <w:t>Annex Cover</w:t>
      </w:r>
    </w:p>
    <w:p w:rsidR="000F5358" w:rsidRPr="00571F0B" w:rsidRDefault="000F5358" w:rsidP="000F5358">
      <w:pPr>
        <w:pBdr>
          <w:bottom w:val="single" w:sz="6" w:space="12" w:color="auto"/>
        </w:pBdr>
        <w:spacing w:after="360"/>
        <w:ind w:left="4320"/>
        <w:jc w:val="right"/>
        <w:rPr>
          <w:rFonts w:ascii="Arial" w:hAnsi="Arial"/>
          <w:b/>
          <w:sz w:val="44"/>
          <w:lang w:val="en-GB"/>
        </w:rPr>
      </w:pPr>
      <w:r>
        <w:rPr>
          <w:rFonts w:ascii="Arial" w:hAnsi="Arial"/>
          <w:b/>
          <w:sz w:val="44"/>
          <w:lang w:val="en-GB"/>
        </w:rPr>
        <w:t>Annex 5</w:t>
      </w:r>
    </w:p>
    <w:p w:rsidR="000F5358" w:rsidRDefault="000F5358" w:rsidP="000F5358">
      <w:pPr>
        <w:pStyle w:val="BodyTextIndent2"/>
        <w:rPr>
          <w:lang w:val="en-GB"/>
        </w:rPr>
      </w:pPr>
      <w:r w:rsidRPr="000F5358">
        <w:rPr>
          <w:lang w:val="en-GB"/>
        </w:rPr>
        <w:t>Design Methodology and Consultations</w:t>
      </w:r>
    </w:p>
    <w:p w:rsidR="006E5EE9" w:rsidRPr="00571F0B" w:rsidRDefault="006E5EE9" w:rsidP="006E5EE9">
      <w:pPr>
        <w:pStyle w:val="BodyTextIndent2"/>
        <w:ind w:left="0"/>
        <w:jc w:val="both"/>
        <w:rPr>
          <w:lang w:val="en-GB"/>
        </w:rPr>
      </w:pPr>
    </w:p>
    <w:p w:rsidR="006E5EE9" w:rsidRPr="00571F0B" w:rsidRDefault="006E5EE9" w:rsidP="006E5EE9">
      <w:pPr>
        <w:pStyle w:val="BodyTextIndent2"/>
        <w:rPr>
          <w:lang w:val="en-GB"/>
        </w:rPr>
        <w:sectPr w:rsidR="006E5EE9" w:rsidRPr="00571F0B" w:rsidSect="00582A5C">
          <w:headerReference w:type="default" r:id="rId41"/>
          <w:pgSz w:w="11909" w:h="16834" w:code="9"/>
          <w:pgMar w:top="851" w:right="1474" w:bottom="851" w:left="1474" w:header="578" w:footer="578" w:gutter="284"/>
          <w:pgNumType w:fmt="lowerRoman" w:start="1"/>
          <w:cols w:space="720"/>
          <w:vAlign w:val="center"/>
        </w:sectPr>
      </w:pPr>
    </w:p>
    <w:p w:rsidR="001D5A19" w:rsidRPr="0034365E" w:rsidRDefault="00A7141E" w:rsidP="001D5A19">
      <w:pPr>
        <w:spacing w:before="120" w:after="240"/>
        <w:jc w:val="center"/>
        <w:rPr>
          <w:rFonts w:ascii="Arial" w:hAnsi="Arial"/>
          <w:b/>
          <w:sz w:val="28"/>
          <w:lang w:val="en-GB"/>
        </w:rPr>
      </w:pPr>
      <w:r w:rsidRPr="00571F0B">
        <w:rPr>
          <w:rFonts w:ascii="Arial" w:hAnsi="Arial"/>
          <w:b/>
          <w:sz w:val="28"/>
          <w:lang w:val="en-GB"/>
        </w:rPr>
        <w:lastRenderedPageBreak/>
        <w:t xml:space="preserve">Annex </w:t>
      </w:r>
      <w:r w:rsidR="00A71B3E">
        <w:rPr>
          <w:rFonts w:ascii="Arial" w:hAnsi="Arial"/>
          <w:b/>
          <w:sz w:val="28"/>
          <w:lang w:val="en-GB"/>
        </w:rPr>
        <w:t>5</w:t>
      </w:r>
      <w:r w:rsidR="006E5EE9" w:rsidRPr="00571F0B">
        <w:rPr>
          <w:rFonts w:ascii="Arial" w:hAnsi="Arial"/>
          <w:b/>
          <w:sz w:val="28"/>
          <w:lang w:val="en-GB"/>
        </w:rPr>
        <w:t xml:space="preserve">: </w:t>
      </w:r>
      <w:r w:rsidR="00FA37DB">
        <w:rPr>
          <w:rFonts w:ascii="Arial" w:hAnsi="Arial"/>
          <w:b/>
          <w:sz w:val="28"/>
          <w:lang w:val="en-GB"/>
        </w:rPr>
        <w:t>Design Methodology and Consultations</w:t>
      </w:r>
    </w:p>
    <w:p w:rsidR="009449AE" w:rsidRPr="007D1DD7" w:rsidRDefault="009449AE" w:rsidP="009449AE">
      <w:pPr>
        <w:rPr>
          <w:rFonts w:ascii="Arial Narrow" w:hAnsi="Arial Narrow"/>
          <w:lang w:val="en-GB"/>
        </w:rPr>
      </w:pPr>
      <w:r w:rsidRPr="007D1DD7">
        <w:rPr>
          <w:rFonts w:ascii="Arial Narrow" w:hAnsi="Arial Narrow"/>
          <w:lang w:val="en-GB"/>
        </w:rPr>
        <w:t>Incentive Fund Phase IV Design PNG based Consultation Schedule September 2014</w:t>
      </w:r>
    </w:p>
    <w:tbl>
      <w:tblPr>
        <w:tblStyle w:val="TableGrid"/>
        <w:tblW w:w="0" w:type="auto"/>
        <w:jc w:val="center"/>
        <w:tblLook w:val="04A0" w:firstRow="1" w:lastRow="0" w:firstColumn="1" w:lastColumn="0" w:noHBand="0" w:noVBand="1"/>
      </w:tblPr>
      <w:tblGrid>
        <w:gridCol w:w="2245"/>
        <w:gridCol w:w="3690"/>
        <w:gridCol w:w="3081"/>
      </w:tblGrid>
      <w:tr w:rsidR="00460633" w:rsidRPr="007D1DD7" w:rsidTr="00460633">
        <w:trPr>
          <w:jc w:val="center"/>
        </w:trPr>
        <w:tc>
          <w:tcPr>
            <w:tcW w:w="2245" w:type="dxa"/>
            <w:shd w:val="clear" w:color="auto" w:fill="D6E3BC" w:themeFill="accent3" w:themeFillTint="66"/>
          </w:tcPr>
          <w:p w:rsidR="00460633" w:rsidRPr="006D02E0" w:rsidRDefault="00460633" w:rsidP="00452ED4">
            <w:pPr>
              <w:jc w:val="center"/>
              <w:rPr>
                <w:rFonts w:ascii="Arial Narrow" w:hAnsi="Arial Narrow"/>
                <w:b/>
                <w:sz w:val="20"/>
                <w:lang w:val="en-GB"/>
              </w:rPr>
            </w:pPr>
            <w:r w:rsidRPr="006D02E0">
              <w:rPr>
                <w:rFonts w:ascii="Arial Narrow" w:hAnsi="Arial Narrow"/>
                <w:b/>
                <w:sz w:val="20"/>
                <w:lang w:val="en-GB"/>
              </w:rPr>
              <w:t>Day</w:t>
            </w:r>
          </w:p>
        </w:tc>
        <w:tc>
          <w:tcPr>
            <w:tcW w:w="3690" w:type="dxa"/>
            <w:shd w:val="clear" w:color="auto" w:fill="D6E3BC" w:themeFill="accent3" w:themeFillTint="66"/>
          </w:tcPr>
          <w:p w:rsidR="00460633" w:rsidRPr="006D02E0" w:rsidRDefault="00460633" w:rsidP="00452ED4">
            <w:pPr>
              <w:spacing w:after="0"/>
              <w:jc w:val="center"/>
              <w:rPr>
                <w:rFonts w:ascii="Arial Narrow" w:hAnsi="Arial Narrow"/>
                <w:b/>
                <w:sz w:val="20"/>
                <w:lang w:val="en-GB"/>
              </w:rPr>
            </w:pPr>
            <w:r w:rsidRPr="006D02E0">
              <w:rPr>
                <w:rFonts w:ascii="Arial Narrow" w:hAnsi="Arial Narrow"/>
                <w:b/>
                <w:sz w:val="20"/>
                <w:lang w:val="en-GB"/>
              </w:rPr>
              <w:t>AM</w:t>
            </w:r>
          </w:p>
        </w:tc>
        <w:tc>
          <w:tcPr>
            <w:tcW w:w="3081" w:type="dxa"/>
            <w:shd w:val="clear" w:color="auto" w:fill="D6E3BC" w:themeFill="accent3" w:themeFillTint="66"/>
          </w:tcPr>
          <w:p w:rsidR="00460633" w:rsidRPr="006D02E0" w:rsidRDefault="00460633" w:rsidP="00452ED4">
            <w:pPr>
              <w:jc w:val="center"/>
              <w:rPr>
                <w:rFonts w:ascii="Arial Narrow" w:hAnsi="Arial Narrow"/>
                <w:b/>
                <w:sz w:val="20"/>
                <w:lang w:val="en-GB"/>
              </w:rPr>
            </w:pPr>
            <w:r w:rsidRPr="006D02E0">
              <w:rPr>
                <w:rFonts w:ascii="Arial Narrow" w:hAnsi="Arial Narrow"/>
                <w:b/>
                <w:sz w:val="20"/>
                <w:lang w:val="en-GB"/>
              </w:rPr>
              <w:t>PM</w:t>
            </w:r>
          </w:p>
        </w:tc>
      </w:tr>
      <w:tr w:rsidR="00460633" w:rsidRPr="007D1DD7" w:rsidTr="00460633">
        <w:trPr>
          <w:jc w:val="center"/>
        </w:trPr>
        <w:tc>
          <w:tcPr>
            <w:tcW w:w="2245" w:type="dxa"/>
          </w:tcPr>
          <w:p w:rsidR="00460633" w:rsidRPr="006D02E0" w:rsidRDefault="00460633" w:rsidP="00452ED4">
            <w:pPr>
              <w:rPr>
                <w:rFonts w:ascii="Arial Narrow" w:hAnsi="Arial Narrow"/>
                <w:sz w:val="20"/>
                <w:lang w:val="en-GB"/>
              </w:rPr>
            </w:pPr>
            <w:r w:rsidRPr="006D02E0">
              <w:rPr>
                <w:rFonts w:ascii="Arial Narrow" w:hAnsi="Arial Narrow"/>
                <w:sz w:val="20"/>
                <w:lang w:val="en-GB"/>
              </w:rPr>
              <w:t>Monday 22</w:t>
            </w:r>
          </w:p>
        </w:tc>
        <w:tc>
          <w:tcPr>
            <w:tcW w:w="3690" w:type="dxa"/>
          </w:tcPr>
          <w:p w:rsidR="00460633" w:rsidRDefault="00460633" w:rsidP="00452ED4">
            <w:pPr>
              <w:jc w:val="left"/>
              <w:rPr>
                <w:rFonts w:ascii="Arial Narrow" w:hAnsi="Arial Narrow"/>
                <w:sz w:val="20"/>
                <w:lang w:val="en-GB"/>
              </w:rPr>
            </w:pPr>
            <w:r>
              <w:rPr>
                <w:rFonts w:ascii="Arial Narrow" w:hAnsi="Arial Narrow"/>
                <w:sz w:val="20"/>
                <w:lang w:val="en-GB"/>
              </w:rPr>
              <w:t>Kanu Negi –First Secretary DFAT Australian High Commission Port Moresby</w:t>
            </w:r>
          </w:p>
          <w:p w:rsidR="00460633" w:rsidRDefault="00460633" w:rsidP="00452ED4">
            <w:pPr>
              <w:jc w:val="left"/>
              <w:rPr>
                <w:rFonts w:ascii="Arial Narrow" w:hAnsi="Arial Narrow"/>
                <w:sz w:val="20"/>
                <w:lang w:val="en-GB"/>
              </w:rPr>
            </w:pPr>
            <w:r w:rsidRPr="006D02E0">
              <w:rPr>
                <w:rFonts w:ascii="Arial Narrow" w:hAnsi="Arial Narrow"/>
                <w:sz w:val="20"/>
                <w:lang w:val="en-GB"/>
              </w:rPr>
              <w:t>Belinda-Maree Gara - Activity Manager</w:t>
            </w:r>
            <w:r>
              <w:rPr>
                <w:rFonts w:ascii="Arial Narrow" w:hAnsi="Arial Narrow"/>
                <w:sz w:val="20"/>
                <w:lang w:val="en-GB"/>
              </w:rPr>
              <w:t xml:space="preserve"> DFAT Australian High Commission Port Moresby</w:t>
            </w:r>
          </w:p>
          <w:p w:rsidR="00460633" w:rsidRPr="006D02E0" w:rsidRDefault="00460633" w:rsidP="00452ED4">
            <w:pPr>
              <w:jc w:val="left"/>
              <w:rPr>
                <w:rFonts w:ascii="Arial Narrow" w:hAnsi="Arial Narrow"/>
                <w:sz w:val="20"/>
                <w:lang w:val="en-GB"/>
              </w:rPr>
            </w:pPr>
            <w:r w:rsidRPr="006D02E0">
              <w:rPr>
                <w:rFonts w:ascii="Arial Narrow" w:hAnsi="Arial Narrow"/>
                <w:sz w:val="20"/>
                <w:lang w:val="en-GB"/>
              </w:rPr>
              <w:t>Steve Hogg – Counsellor</w:t>
            </w:r>
            <w:r>
              <w:rPr>
                <w:rFonts w:ascii="Arial Narrow" w:hAnsi="Arial Narrow"/>
                <w:sz w:val="20"/>
                <w:lang w:val="en-GB"/>
              </w:rPr>
              <w:t>- DFAT Australian High Commission Port Moresby</w:t>
            </w:r>
          </w:p>
          <w:p w:rsidR="00460633" w:rsidRPr="006D02E0" w:rsidRDefault="00460633" w:rsidP="00452ED4">
            <w:pPr>
              <w:jc w:val="left"/>
              <w:rPr>
                <w:rFonts w:ascii="Arial Narrow" w:hAnsi="Arial Narrow"/>
                <w:sz w:val="20"/>
                <w:lang w:val="en-GB"/>
              </w:rPr>
            </w:pPr>
            <w:r w:rsidRPr="006D02E0">
              <w:rPr>
                <w:rFonts w:ascii="Arial Narrow" w:hAnsi="Arial Narrow"/>
                <w:sz w:val="20"/>
                <w:lang w:val="en-GB"/>
              </w:rPr>
              <w:t>Justice Gua and Lisania Boletu – I</w:t>
            </w:r>
            <w:r>
              <w:rPr>
                <w:rFonts w:ascii="Arial Narrow" w:hAnsi="Arial Narrow"/>
                <w:sz w:val="20"/>
                <w:lang w:val="en-GB"/>
              </w:rPr>
              <w:t xml:space="preserve">ncentive </w:t>
            </w:r>
            <w:r w:rsidRPr="006D02E0">
              <w:rPr>
                <w:rFonts w:ascii="Arial Narrow" w:hAnsi="Arial Narrow"/>
                <w:sz w:val="20"/>
                <w:lang w:val="en-GB"/>
              </w:rPr>
              <w:t>F</w:t>
            </w:r>
            <w:r>
              <w:rPr>
                <w:rFonts w:ascii="Arial Narrow" w:hAnsi="Arial Narrow"/>
                <w:sz w:val="20"/>
                <w:lang w:val="en-GB"/>
              </w:rPr>
              <w:t>und Phase</w:t>
            </w:r>
            <w:r w:rsidRPr="006D02E0">
              <w:rPr>
                <w:rFonts w:ascii="Arial Narrow" w:hAnsi="Arial Narrow"/>
                <w:sz w:val="20"/>
                <w:lang w:val="en-GB"/>
              </w:rPr>
              <w:t xml:space="preserve"> (III) M</w:t>
            </w:r>
            <w:r>
              <w:rPr>
                <w:rFonts w:ascii="Arial Narrow" w:hAnsi="Arial Narrow"/>
                <w:sz w:val="20"/>
                <w:lang w:val="en-GB"/>
              </w:rPr>
              <w:t>anaging Contractor</w:t>
            </w:r>
            <w:r w:rsidRPr="006D02E0">
              <w:rPr>
                <w:rFonts w:ascii="Arial Narrow" w:hAnsi="Arial Narrow"/>
                <w:sz w:val="20"/>
                <w:lang w:val="en-GB"/>
              </w:rPr>
              <w:t xml:space="preserve"> </w:t>
            </w:r>
          </w:p>
        </w:tc>
        <w:tc>
          <w:tcPr>
            <w:tcW w:w="3081" w:type="dxa"/>
          </w:tcPr>
          <w:p w:rsidR="00460633" w:rsidRPr="006D02E0" w:rsidRDefault="00460633" w:rsidP="00452ED4">
            <w:pPr>
              <w:jc w:val="left"/>
              <w:rPr>
                <w:rFonts w:ascii="Arial Narrow" w:hAnsi="Arial Narrow"/>
                <w:sz w:val="20"/>
                <w:lang w:val="en-GB"/>
              </w:rPr>
            </w:pPr>
            <w:r w:rsidRPr="006D02E0">
              <w:rPr>
                <w:rFonts w:ascii="Arial Narrow" w:hAnsi="Arial Narrow"/>
                <w:sz w:val="20"/>
                <w:lang w:val="en-GB"/>
              </w:rPr>
              <w:t xml:space="preserve">James Hall </w:t>
            </w:r>
            <w:r>
              <w:rPr>
                <w:rFonts w:ascii="Arial Narrow" w:hAnsi="Arial Narrow"/>
                <w:sz w:val="20"/>
                <w:lang w:val="en-GB"/>
              </w:rPr>
              <w:t xml:space="preserve">– Minister Counsellor –Australian High Commission Port Moresby </w:t>
            </w:r>
            <w:r w:rsidRPr="006D02E0">
              <w:rPr>
                <w:rFonts w:ascii="Arial Narrow" w:hAnsi="Arial Narrow"/>
                <w:sz w:val="20"/>
                <w:lang w:val="en-GB"/>
              </w:rPr>
              <w:t xml:space="preserve">and Cathie Hurst – </w:t>
            </w:r>
            <w:r>
              <w:rPr>
                <w:rFonts w:ascii="Arial Narrow" w:hAnsi="Arial Narrow"/>
                <w:sz w:val="20"/>
                <w:lang w:val="en-GB"/>
              </w:rPr>
              <w:t>Counsellor – Australian High Commission Port Moresby</w:t>
            </w:r>
          </w:p>
          <w:p w:rsidR="00460633" w:rsidRPr="006D02E0" w:rsidRDefault="00460633" w:rsidP="00452ED4">
            <w:pPr>
              <w:jc w:val="left"/>
              <w:rPr>
                <w:rFonts w:ascii="Arial Narrow" w:hAnsi="Arial Narrow"/>
                <w:sz w:val="20"/>
                <w:lang w:val="en-GB"/>
              </w:rPr>
            </w:pPr>
            <w:r w:rsidRPr="006D02E0">
              <w:rPr>
                <w:rFonts w:ascii="Arial Narrow" w:hAnsi="Arial Narrow"/>
                <w:sz w:val="20"/>
                <w:lang w:val="en-GB"/>
              </w:rPr>
              <w:t xml:space="preserve">Tony O’Dowd - </w:t>
            </w:r>
            <w:r>
              <w:rPr>
                <w:rFonts w:ascii="Arial Narrow" w:hAnsi="Arial Narrow"/>
                <w:sz w:val="20"/>
                <w:lang w:val="en-GB"/>
              </w:rPr>
              <w:t xml:space="preserve">Australian High Commission Port Moresby </w:t>
            </w:r>
            <w:r w:rsidRPr="006D02E0">
              <w:rPr>
                <w:rFonts w:ascii="Arial Narrow" w:hAnsi="Arial Narrow"/>
                <w:sz w:val="20"/>
                <w:lang w:val="en-GB"/>
              </w:rPr>
              <w:t xml:space="preserve"> Economist</w:t>
            </w:r>
          </w:p>
          <w:p w:rsidR="00460633" w:rsidRPr="006D02E0" w:rsidRDefault="00460633" w:rsidP="00452ED4">
            <w:pPr>
              <w:jc w:val="left"/>
              <w:rPr>
                <w:rFonts w:ascii="Arial Narrow" w:hAnsi="Arial Narrow"/>
                <w:sz w:val="20"/>
                <w:lang w:val="en-GB"/>
              </w:rPr>
            </w:pPr>
            <w:r>
              <w:rPr>
                <w:rFonts w:ascii="Arial Narrow" w:hAnsi="Arial Narrow"/>
                <w:sz w:val="20"/>
                <w:lang w:val="en-GB"/>
              </w:rPr>
              <w:t xml:space="preserve">Ilma Gani – A/First Assistant Secretary </w:t>
            </w:r>
            <w:r w:rsidRPr="006D02E0">
              <w:rPr>
                <w:rFonts w:ascii="Arial Narrow" w:hAnsi="Arial Narrow"/>
                <w:sz w:val="20"/>
                <w:lang w:val="en-GB"/>
              </w:rPr>
              <w:t>DNPM</w:t>
            </w:r>
            <w:r>
              <w:rPr>
                <w:rFonts w:ascii="Arial Narrow" w:hAnsi="Arial Narrow"/>
                <w:sz w:val="20"/>
                <w:lang w:val="en-GB"/>
              </w:rPr>
              <w:t xml:space="preserve"> - GoPNG</w:t>
            </w:r>
          </w:p>
        </w:tc>
      </w:tr>
      <w:tr w:rsidR="00460633" w:rsidRPr="007D1DD7" w:rsidTr="00460633">
        <w:trPr>
          <w:jc w:val="center"/>
        </w:trPr>
        <w:tc>
          <w:tcPr>
            <w:tcW w:w="2245" w:type="dxa"/>
          </w:tcPr>
          <w:p w:rsidR="00460633" w:rsidRPr="006D02E0" w:rsidRDefault="00460633" w:rsidP="00452ED4">
            <w:pPr>
              <w:rPr>
                <w:rFonts w:ascii="Arial Narrow" w:hAnsi="Arial Narrow"/>
                <w:sz w:val="20"/>
                <w:lang w:val="en-GB"/>
              </w:rPr>
            </w:pPr>
            <w:r w:rsidRPr="006D02E0">
              <w:rPr>
                <w:rFonts w:ascii="Arial Narrow" w:hAnsi="Arial Narrow"/>
                <w:sz w:val="20"/>
                <w:lang w:val="en-GB"/>
              </w:rPr>
              <w:t>Tuesday 23</w:t>
            </w:r>
          </w:p>
        </w:tc>
        <w:tc>
          <w:tcPr>
            <w:tcW w:w="3690" w:type="dxa"/>
          </w:tcPr>
          <w:p w:rsidR="00460633" w:rsidRPr="006D02E0" w:rsidRDefault="00460633" w:rsidP="00452ED4">
            <w:pPr>
              <w:spacing w:after="0"/>
              <w:jc w:val="left"/>
              <w:rPr>
                <w:rFonts w:ascii="Arial Narrow" w:hAnsi="Arial Narrow"/>
                <w:sz w:val="20"/>
                <w:lang w:val="en-GB"/>
              </w:rPr>
            </w:pPr>
            <w:r w:rsidRPr="006D02E0">
              <w:rPr>
                <w:rFonts w:ascii="Arial Narrow" w:hAnsi="Arial Narrow"/>
                <w:sz w:val="20"/>
                <w:lang w:val="en-GB"/>
              </w:rPr>
              <w:t xml:space="preserve">Belinda Conn – </w:t>
            </w:r>
            <w:r>
              <w:rPr>
                <w:rFonts w:ascii="Arial Narrow" w:hAnsi="Arial Narrow"/>
                <w:sz w:val="20"/>
                <w:lang w:val="en-GB"/>
              </w:rPr>
              <w:t>First Secretary DFAT Australian High Commission Port Moresby</w:t>
            </w:r>
          </w:p>
        </w:tc>
        <w:tc>
          <w:tcPr>
            <w:tcW w:w="3081" w:type="dxa"/>
          </w:tcPr>
          <w:p w:rsidR="00460633" w:rsidRPr="006D02E0" w:rsidRDefault="00460633" w:rsidP="00452ED4">
            <w:pPr>
              <w:jc w:val="left"/>
              <w:rPr>
                <w:rFonts w:ascii="Arial Narrow" w:hAnsi="Arial Narrow"/>
                <w:sz w:val="20"/>
                <w:lang w:val="en-GB"/>
              </w:rPr>
            </w:pPr>
            <w:r w:rsidRPr="006D02E0">
              <w:rPr>
                <w:rFonts w:ascii="Arial Narrow" w:hAnsi="Arial Narrow"/>
                <w:sz w:val="20"/>
                <w:lang w:val="en-GB"/>
              </w:rPr>
              <w:t>Workshop with select IF (III) recipients:</w:t>
            </w:r>
          </w:p>
          <w:p w:rsidR="00460633" w:rsidRPr="006D02E0" w:rsidRDefault="00460633" w:rsidP="00A82AAB">
            <w:pPr>
              <w:pStyle w:val="ListParagraph"/>
              <w:numPr>
                <w:ilvl w:val="0"/>
                <w:numId w:val="61"/>
              </w:numPr>
              <w:jc w:val="left"/>
              <w:rPr>
                <w:rFonts w:ascii="Arial Narrow" w:hAnsi="Arial Narrow"/>
                <w:sz w:val="20"/>
                <w:lang w:val="en-GB"/>
              </w:rPr>
            </w:pPr>
            <w:r w:rsidRPr="006D02E0">
              <w:rPr>
                <w:rFonts w:ascii="Arial Narrow" w:hAnsi="Arial Narrow"/>
                <w:sz w:val="20"/>
                <w:lang w:val="en-GB"/>
              </w:rPr>
              <w:t>Sr. Angela Taylor, Principal, and Monica Keanga Deputy Principal Marianville Secondary School.</w:t>
            </w:r>
          </w:p>
          <w:p w:rsidR="00460633" w:rsidRPr="006D02E0" w:rsidRDefault="00460633" w:rsidP="00A82AAB">
            <w:pPr>
              <w:pStyle w:val="ListParagraph"/>
              <w:numPr>
                <w:ilvl w:val="0"/>
                <w:numId w:val="61"/>
              </w:numPr>
              <w:jc w:val="left"/>
              <w:rPr>
                <w:rFonts w:ascii="Arial Narrow" w:hAnsi="Arial Narrow"/>
                <w:sz w:val="20"/>
                <w:lang w:val="en-GB"/>
              </w:rPr>
            </w:pPr>
            <w:r w:rsidRPr="006D02E0">
              <w:rPr>
                <w:rFonts w:ascii="Arial Narrow" w:hAnsi="Arial Narrow"/>
                <w:sz w:val="20"/>
                <w:lang w:val="en-GB"/>
              </w:rPr>
              <w:t>Taupo Tani , Support Services Director PAU</w:t>
            </w:r>
          </w:p>
          <w:p w:rsidR="00460633" w:rsidRPr="006D02E0" w:rsidRDefault="00460633" w:rsidP="00A82AAB">
            <w:pPr>
              <w:pStyle w:val="ListParagraph"/>
              <w:numPr>
                <w:ilvl w:val="0"/>
                <w:numId w:val="61"/>
              </w:numPr>
              <w:jc w:val="left"/>
              <w:rPr>
                <w:rFonts w:ascii="Arial Narrow" w:hAnsi="Arial Narrow"/>
                <w:sz w:val="20"/>
                <w:lang w:val="en-GB"/>
              </w:rPr>
            </w:pPr>
            <w:r w:rsidRPr="006D02E0">
              <w:rPr>
                <w:rFonts w:ascii="Arial Narrow" w:hAnsi="Arial Narrow"/>
                <w:sz w:val="20"/>
                <w:lang w:val="en-GB"/>
              </w:rPr>
              <w:t>Bro. Antony Swamy, Principal Lasalle Hydro</w:t>
            </w:r>
          </w:p>
          <w:p w:rsidR="00460633" w:rsidRPr="006D02E0" w:rsidRDefault="00460633" w:rsidP="00A82AAB">
            <w:pPr>
              <w:pStyle w:val="ListParagraph"/>
              <w:numPr>
                <w:ilvl w:val="0"/>
                <w:numId w:val="61"/>
              </w:numPr>
              <w:jc w:val="left"/>
              <w:rPr>
                <w:rFonts w:ascii="Arial Narrow" w:hAnsi="Arial Narrow"/>
                <w:sz w:val="20"/>
                <w:lang w:val="en-GB"/>
              </w:rPr>
            </w:pPr>
            <w:r w:rsidRPr="006D02E0">
              <w:rPr>
                <w:rFonts w:ascii="Arial Narrow" w:hAnsi="Arial Narrow"/>
                <w:sz w:val="20"/>
                <w:lang w:val="en-GB"/>
              </w:rPr>
              <w:t>Esther Mwayemwana A/Principal Caritas Technical Secondary School</w:t>
            </w:r>
          </w:p>
          <w:p w:rsidR="00460633" w:rsidRPr="006D02E0" w:rsidRDefault="00460633" w:rsidP="00A82AAB">
            <w:pPr>
              <w:pStyle w:val="ListParagraph"/>
              <w:numPr>
                <w:ilvl w:val="0"/>
                <w:numId w:val="61"/>
              </w:numPr>
              <w:jc w:val="left"/>
              <w:rPr>
                <w:rFonts w:ascii="Arial Narrow" w:hAnsi="Arial Narrow"/>
                <w:sz w:val="20"/>
                <w:lang w:val="en-GB"/>
              </w:rPr>
            </w:pPr>
            <w:r w:rsidRPr="006D02E0">
              <w:rPr>
                <w:rFonts w:ascii="Arial Narrow" w:hAnsi="Arial Narrow"/>
                <w:sz w:val="20"/>
                <w:lang w:val="en-GB"/>
              </w:rPr>
              <w:t>Gerhard S. Business Manager, Archdiocese of Madang</w:t>
            </w:r>
          </w:p>
          <w:p w:rsidR="00460633" w:rsidRPr="006D02E0" w:rsidRDefault="00460633" w:rsidP="00452ED4">
            <w:pPr>
              <w:jc w:val="left"/>
              <w:rPr>
                <w:rFonts w:ascii="Arial Narrow" w:hAnsi="Arial Narrow"/>
                <w:sz w:val="20"/>
                <w:lang w:val="en-GB"/>
              </w:rPr>
            </w:pPr>
            <w:r w:rsidRPr="006D02E0">
              <w:rPr>
                <w:rFonts w:ascii="Arial Narrow" w:hAnsi="Arial Narrow"/>
                <w:sz w:val="20"/>
                <w:lang w:val="en-GB"/>
              </w:rPr>
              <w:t xml:space="preserve">DFAT Gender Team </w:t>
            </w:r>
          </w:p>
        </w:tc>
      </w:tr>
      <w:tr w:rsidR="00460633" w:rsidRPr="007D1DD7" w:rsidTr="00460633">
        <w:trPr>
          <w:trHeight w:val="323"/>
          <w:jc w:val="center"/>
        </w:trPr>
        <w:tc>
          <w:tcPr>
            <w:tcW w:w="2245" w:type="dxa"/>
          </w:tcPr>
          <w:p w:rsidR="00460633" w:rsidRPr="006D02E0" w:rsidRDefault="00460633" w:rsidP="00452ED4">
            <w:pPr>
              <w:rPr>
                <w:rFonts w:ascii="Arial Narrow" w:hAnsi="Arial Narrow"/>
                <w:sz w:val="20"/>
                <w:lang w:val="en-GB"/>
              </w:rPr>
            </w:pPr>
            <w:r w:rsidRPr="006D02E0">
              <w:rPr>
                <w:rFonts w:ascii="Arial Narrow" w:hAnsi="Arial Narrow"/>
                <w:sz w:val="20"/>
                <w:lang w:val="en-GB"/>
              </w:rPr>
              <w:t>Wednesday 24</w:t>
            </w:r>
          </w:p>
        </w:tc>
        <w:tc>
          <w:tcPr>
            <w:tcW w:w="3690" w:type="dxa"/>
          </w:tcPr>
          <w:p w:rsidR="00460633" w:rsidRPr="006D02E0" w:rsidRDefault="00460633" w:rsidP="00452ED4">
            <w:pPr>
              <w:spacing w:after="0"/>
              <w:jc w:val="left"/>
              <w:rPr>
                <w:rFonts w:ascii="Arial Narrow" w:hAnsi="Arial Narrow"/>
                <w:sz w:val="20"/>
                <w:lang w:val="en-GB"/>
              </w:rPr>
            </w:pPr>
            <w:r w:rsidRPr="006D02E0">
              <w:rPr>
                <w:rFonts w:ascii="Arial Narrow" w:hAnsi="Arial Narrow"/>
                <w:sz w:val="20"/>
                <w:lang w:val="en-GB"/>
              </w:rPr>
              <w:t>DFAT Health Team</w:t>
            </w:r>
          </w:p>
          <w:p w:rsidR="00460633" w:rsidRPr="006D02E0" w:rsidRDefault="00460633" w:rsidP="00452ED4">
            <w:pPr>
              <w:spacing w:after="0"/>
              <w:jc w:val="left"/>
              <w:rPr>
                <w:rFonts w:ascii="Arial Narrow" w:hAnsi="Arial Narrow"/>
                <w:sz w:val="20"/>
                <w:lang w:val="en-GB"/>
              </w:rPr>
            </w:pPr>
            <w:r w:rsidRPr="006D02E0">
              <w:rPr>
                <w:rFonts w:ascii="Arial Narrow" w:hAnsi="Arial Narrow"/>
                <w:sz w:val="20"/>
                <w:lang w:val="en-GB"/>
              </w:rPr>
              <w:t>Andrew Gavin Public Diplomacy</w:t>
            </w:r>
          </w:p>
        </w:tc>
        <w:tc>
          <w:tcPr>
            <w:tcW w:w="3081" w:type="dxa"/>
          </w:tcPr>
          <w:p w:rsidR="00460633" w:rsidRPr="006D02E0" w:rsidRDefault="00460633" w:rsidP="00452ED4">
            <w:pPr>
              <w:rPr>
                <w:rFonts w:ascii="Arial Narrow" w:hAnsi="Arial Narrow"/>
                <w:sz w:val="20"/>
                <w:lang w:val="en-GB"/>
              </w:rPr>
            </w:pPr>
            <w:r w:rsidRPr="006D02E0">
              <w:rPr>
                <w:rFonts w:ascii="Arial Narrow" w:hAnsi="Arial Narrow"/>
                <w:sz w:val="20"/>
                <w:lang w:val="en-GB"/>
              </w:rPr>
              <w:t xml:space="preserve">Ed Vrkic – DFAT Operations </w:t>
            </w:r>
          </w:p>
          <w:p w:rsidR="00460633" w:rsidRPr="006D02E0" w:rsidRDefault="00460633" w:rsidP="00452ED4">
            <w:pPr>
              <w:rPr>
                <w:rFonts w:ascii="Arial Narrow" w:hAnsi="Arial Narrow"/>
                <w:sz w:val="20"/>
                <w:lang w:val="en-GB"/>
              </w:rPr>
            </w:pPr>
            <w:r w:rsidRPr="006D02E0">
              <w:rPr>
                <w:rFonts w:ascii="Arial Narrow" w:hAnsi="Arial Narrow"/>
                <w:sz w:val="20"/>
                <w:lang w:val="en-GB"/>
              </w:rPr>
              <w:t xml:space="preserve">Don Manoa – </w:t>
            </w:r>
            <w:r>
              <w:rPr>
                <w:rFonts w:ascii="Arial Narrow" w:hAnsi="Arial Narrow"/>
                <w:sz w:val="20"/>
                <w:lang w:val="en-GB"/>
              </w:rPr>
              <w:t xml:space="preserve">IF Phase III </w:t>
            </w:r>
            <w:r w:rsidRPr="006D02E0">
              <w:rPr>
                <w:rFonts w:ascii="Arial Narrow" w:hAnsi="Arial Narrow"/>
                <w:sz w:val="20"/>
                <w:lang w:val="en-GB"/>
              </w:rPr>
              <w:t>M</w:t>
            </w:r>
            <w:r>
              <w:rPr>
                <w:rFonts w:ascii="Arial Narrow" w:hAnsi="Arial Narrow"/>
                <w:sz w:val="20"/>
                <w:lang w:val="en-GB"/>
              </w:rPr>
              <w:t xml:space="preserve">anagement </w:t>
            </w:r>
            <w:r w:rsidRPr="006D02E0">
              <w:rPr>
                <w:rFonts w:ascii="Arial Narrow" w:hAnsi="Arial Narrow"/>
                <w:sz w:val="20"/>
                <w:lang w:val="en-GB"/>
              </w:rPr>
              <w:t>G</w:t>
            </w:r>
            <w:r>
              <w:rPr>
                <w:rFonts w:ascii="Arial Narrow" w:hAnsi="Arial Narrow"/>
                <w:sz w:val="20"/>
                <w:lang w:val="en-GB"/>
              </w:rPr>
              <w:t>roup</w:t>
            </w:r>
            <w:r w:rsidRPr="006D02E0">
              <w:rPr>
                <w:rFonts w:ascii="Arial Narrow" w:hAnsi="Arial Narrow"/>
                <w:sz w:val="20"/>
                <w:lang w:val="en-GB"/>
              </w:rPr>
              <w:t xml:space="preserve"> Chair</w:t>
            </w:r>
          </w:p>
          <w:p w:rsidR="00460633" w:rsidRPr="006D02E0" w:rsidRDefault="00460633" w:rsidP="00452ED4">
            <w:pPr>
              <w:jc w:val="left"/>
              <w:rPr>
                <w:rFonts w:ascii="Arial Narrow" w:hAnsi="Arial Narrow"/>
                <w:sz w:val="20"/>
                <w:lang w:val="en-GB"/>
              </w:rPr>
            </w:pPr>
            <w:r w:rsidRPr="006D02E0">
              <w:rPr>
                <w:rFonts w:ascii="Arial Narrow" w:hAnsi="Arial Narrow"/>
                <w:sz w:val="20"/>
                <w:lang w:val="en-GB"/>
              </w:rPr>
              <w:t>DFAT Education Team</w:t>
            </w:r>
          </w:p>
        </w:tc>
      </w:tr>
      <w:tr w:rsidR="00460633" w:rsidRPr="007D1DD7" w:rsidTr="00460633">
        <w:trPr>
          <w:jc w:val="center"/>
        </w:trPr>
        <w:tc>
          <w:tcPr>
            <w:tcW w:w="2245" w:type="dxa"/>
          </w:tcPr>
          <w:p w:rsidR="00460633" w:rsidRPr="006D02E0" w:rsidRDefault="00460633" w:rsidP="00452ED4">
            <w:pPr>
              <w:rPr>
                <w:rFonts w:ascii="Arial Narrow" w:hAnsi="Arial Narrow"/>
                <w:sz w:val="20"/>
                <w:lang w:val="en-GB"/>
              </w:rPr>
            </w:pPr>
            <w:r w:rsidRPr="006D02E0">
              <w:rPr>
                <w:rFonts w:ascii="Arial Narrow" w:hAnsi="Arial Narrow"/>
                <w:sz w:val="20"/>
                <w:lang w:val="en-GB"/>
              </w:rPr>
              <w:t>Thursday 25</w:t>
            </w:r>
          </w:p>
        </w:tc>
        <w:tc>
          <w:tcPr>
            <w:tcW w:w="3690" w:type="dxa"/>
          </w:tcPr>
          <w:p w:rsidR="00460633" w:rsidRPr="006D02E0" w:rsidRDefault="00460633" w:rsidP="00452ED4">
            <w:pPr>
              <w:spacing w:after="0"/>
              <w:jc w:val="left"/>
              <w:rPr>
                <w:rFonts w:ascii="Arial Narrow" w:hAnsi="Arial Narrow"/>
                <w:sz w:val="20"/>
                <w:lang w:val="en-GB"/>
              </w:rPr>
            </w:pPr>
            <w:r w:rsidRPr="006D02E0">
              <w:rPr>
                <w:rFonts w:ascii="Arial Narrow" w:hAnsi="Arial Narrow"/>
                <w:sz w:val="20"/>
                <w:lang w:val="en-GB"/>
              </w:rPr>
              <w:t xml:space="preserve">Dr Thomas Webster </w:t>
            </w:r>
            <w:r>
              <w:rPr>
                <w:rFonts w:ascii="Arial Narrow" w:hAnsi="Arial Narrow"/>
                <w:sz w:val="20"/>
                <w:lang w:val="en-GB"/>
              </w:rPr>
              <w:t>–</w:t>
            </w:r>
            <w:r w:rsidRPr="006D02E0">
              <w:rPr>
                <w:rFonts w:ascii="Arial Narrow" w:hAnsi="Arial Narrow"/>
                <w:sz w:val="20"/>
                <w:lang w:val="en-GB"/>
              </w:rPr>
              <w:t xml:space="preserve"> </w:t>
            </w:r>
            <w:r>
              <w:rPr>
                <w:rFonts w:ascii="Arial Narrow" w:hAnsi="Arial Narrow"/>
                <w:sz w:val="20"/>
                <w:lang w:val="en-GB"/>
              </w:rPr>
              <w:t xml:space="preserve">Director </w:t>
            </w:r>
            <w:r w:rsidRPr="006D02E0">
              <w:rPr>
                <w:rFonts w:ascii="Arial Narrow" w:hAnsi="Arial Narrow"/>
                <w:sz w:val="20"/>
                <w:lang w:val="en-GB"/>
              </w:rPr>
              <w:t>N</w:t>
            </w:r>
            <w:r>
              <w:rPr>
                <w:rFonts w:ascii="Arial Narrow" w:hAnsi="Arial Narrow"/>
                <w:sz w:val="20"/>
                <w:lang w:val="en-GB"/>
              </w:rPr>
              <w:t xml:space="preserve">ational </w:t>
            </w:r>
            <w:r w:rsidRPr="006D02E0">
              <w:rPr>
                <w:rFonts w:ascii="Arial Narrow" w:hAnsi="Arial Narrow"/>
                <w:sz w:val="20"/>
                <w:lang w:val="en-GB"/>
              </w:rPr>
              <w:t>R</w:t>
            </w:r>
            <w:r>
              <w:rPr>
                <w:rFonts w:ascii="Arial Narrow" w:hAnsi="Arial Narrow"/>
                <w:sz w:val="20"/>
                <w:lang w:val="en-GB"/>
              </w:rPr>
              <w:t xml:space="preserve">esearch </w:t>
            </w:r>
            <w:r w:rsidRPr="006D02E0">
              <w:rPr>
                <w:rFonts w:ascii="Arial Narrow" w:hAnsi="Arial Narrow"/>
                <w:sz w:val="20"/>
                <w:lang w:val="en-GB"/>
              </w:rPr>
              <w:t>I</w:t>
            </w:r>
            <w:r>
              <w:rPr>
                <w:rFonts w:ascii="Arial Narrow" w:hAnsi="Arial Narrow"/>
                <w:sz w:val="20"/>
                <w:lang w:val="en-GB"/>
              </w:rPr>
              <w:t>nstitute Port Moresby</w:t>
            </w:r>
          </w:p>
        </w:tc>
        <w:tc>
          <w:tcPr>
            <w:tcW w:w="3081" w:type="dxa"/>
          </w:tcPr>
          <w:p w:rsidR="00460633" w:rsidRPr="006D02E0" w:rsidRDefault="00460633" w:rsidP="00452ED4">
            <w:pPr>
              <w:jc w:val="left"/>
              <w:rPr>
                <w:rFonts w:ascii="Arial Narrow" w:hAnsi="Arial Narrow"/>
                <w:sz w:val="20"/>
                <w:lang w:val="en-GB"/>
              </w:rPr>
            </w:pPr>
          </w:p>
        </w:tc>
      </w:tr>
      <w:tr w:rsidR="00460633" w:rsidRPr="007D1DD7" w:rsidTr="00460633">
        <w:trPr>
          <w:jc w:val="center"/>
        </w:trPr>
        <w:tc>
          <w:tcPr>
            <w:tcW w:w="2245" w:type="dxa"/>
          </w:tcPr>
          <w:p w:rsidR="00460633" w:rsidRPr="006D02E0" w:rsidRDefault="00460633" w:rsidP="00452ED4">
            <w:pPr>
              <w:rPr>
                <w:rFonts w:ascii="Arial Narrow" w:hAnsi="Arial Narrow"/>
                <w:sz w:val="20"/>
                <w:lang w:val="en-GB"/>
              </w:rPr>
            </w:pPr>
            <w:r w:rsidRPr="006D02E0">
              <w:rPr>
                <w:rFonts w:ascii="Arial Narrow" w:hAnsi="Arial Narrow"/>
                <w:sz w:val="20"/>
                <w:lang w:val="en-GB"/>
              </w:rPr>
              <w:t>Friday 26</w:t>
            </w:r>
          </w:p>
        </w:tc>
        <w:tc>
          <w:tcPr>
            <w:tcW w:w="3690" w:type="dxa"/>
          </w:tcPr>
          <w:p w:rsidR="00460633" w:rsidRPr="006D02E0" w:rsidRDefault="00460633" w:rsidP="00452ED4">
            <w:pPr>
              <w:spacing w:after="0"/>
              <w:jc w:val="left"/>
              <w:rPr>
                <w:rFonts w:ascii="Arial Narrow" w:hAnsi="Arial Narrow"/>
                <w:sz w:val="20"/>
                <w:lang w:val="en-GB"/>
              </w:rPr>
            </w:pPr>
          </w:p>
        </w:tc>
        <w:tc>
          <w:tcPr>
            <w:tcW w:w="3081" w:type="dxa"/>
          </w:tcPr>
          <w:p w:rsidR="00460633" w:rsidRPr="006D02E0" w:rsidRDefault="00460633" w:rsidP="00452ED4">
            <w:pPr>
              <w:jc w:val="left"/>
              <w:rPr>
                <w:rFonts w:ascii="Arial Narrow" w:hAnsi="Arial Narrow"/>
                <w:sz w:val="20"/>
                <w:lang w:val="en-GB"/>
              </w:rPr>
            </w:pPr>
            <w:r w:rsidRPr="006D02E0">
              <w:rPr>
                <w:rFonts w:ascii="Arial Narrow" w:hAnsi="Arial Narrow"/>
                <w:sz w:val="20"/>
                <w:lang w:val="en-GB"/>
              </w:rPr>
              <w:t xml:space="preserve">Aide Memoire Presentation – James Hall, Cathie Hurst and other Counsellors and IF Team </w:t>
            </w:r>
          </w:p>
        </w:tc>
      </w:tr>
    </w:tbl>
    <w:p w:rsidR="00D8630F" w:rsidRPr="00571F0B" w:rsidRDefault="00D8630F" w:rsidP="00D8630F">
      <w:pPr>
        <w:spacing w:before="0" w:after="0"/>
        <w:ind w:left="720" w:hanging="720"/>
        <w:rPr>
          <w:szCs w:val="24"/>
          <w:lang w:val="en-GB"/>
        </w:rPr>
      </w:pPr>
    </w:p>
    <w:p w:rsidR="000F5358" w:rsidRDefault="000F5358">
      <w:pPr>
        <w:spacing w:before="0" w:after="0"/>
        <w:jc w:val="left"/>
        <w:rPr>
          <w:szCs w:val="24"/>
          <w:lang w:val="en-GB"/>
        </w:rPr>
      </w:pPr>
      <w:r>
        <w:rPr>
          <w:szCs w:val="24"/>
          <w:lang w:val="en-GB"/>
        </w:rPr>
        <w:br w:type="page"/>
      </w:r>
    </w:p>
    <w:p w:rsidR="009F5452" w:rsidRPr="0070776B" w:rsidRDefault="009F5452" w:rsidP="00824139">
      <w:pPr>
        <w:pStyle w:val="Caption"/>
        <w:rPr>
          <w:rFonts w:eastAsia="Calibri"/>
        </w:rPr>
      </w:pPr>
      <w:r>
        <w:rPr>
          <w:rFonts w:eastAsia="Calibri"/>
        </w:rPr>
        <w:lastRenderedPageBreak/>
        <w:t>Methodology to complete the design</w:t>
      </w:r>
    </w:p>
    <w:p w:rsidR="009F5452" w:rsidRDefault="009F5452" w:rsidP="009F5452">
      <w:pPr>
        <w:spacing w:before="0" w:after="160" w:line="259" w:lineRule="auto"/>
        <w:jc w:val="left"/>
        <w:rPr>
          <w:rFonts w:ascii="Calibri" w:eastAsia="Calibri" w:hAnsi="Calibri"/>
          <w:sz w:val="22"/>
          <w:szCs w:val="22"/>
        </w:rPr>
      </w:pPr>
      <w:r w:rsidRPr="006D02E0">
        <w:rPr>
          <w:rFonts w:eastAsia="Calibri"/>
          <w:szCs w:val="24"/>
        </w:rPr>
        <w:t>This design methodology, plan and Contents table meets DFAT Monitoring and Evaluation Standard 1 and the DFAT Investment Design Quality Standards (IDQS).</w:t>
      </w:r>
      <w:r>
        <w:rPr>
          <w:rFonts w:ascii="Calibri" w:eastAsia="Calibri" w:hAnsi="Calibri"/>
          <w:sz w:val="22"/>
          <w:szCs w:val="22"/>
        </w:rPr>
        <w:t xml:space="preserve"> </w:t>
      </w:r>
      <w:r>
        <w:rPr>
          <w:rFonts w:ascii="Calibri" w:eastAsia="Calibri" w:hAnsi="Calibri"/>
          <w:noProof/>
          <w:sz w:val="22"/>
          <w:szCs w:val="22"/>
          <w:lang w:eastAsia="en-AU"/>
        </w:rPr>
        <w:drawing>
          <wp:inline distT="0" distB="0" distL="0" distR="0" wp14:anchorId="364E2A82" wp14:editId="6FC182C2">
            <wp:extent cx="5761355" cy="3122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D4E67C.tmp"/>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761355" cy="3122930"/>
                    </a:xfrm>
                    <a:prstGeom prst="rect">
                      <a:avLst/>
                    </a:prstGeom>
                  </pic:spPr>
                </pic:pic>
              </a:graphicData>
            </a:graphic>
          </wp:inline>
        </w:drawing>
      </w:r>
    </w:p>
    <w:tbl>
      <w:tblPr>
        <w:tblpPr w:leftFromText="180" w:rightFromText="180" w:vertAnchor="page" w:horzAnchor="margin" w:tblpXSpec="center" w:tblpY="9481"/>
        <w:tblW w:w="10520" w:type="dxa"/>
        <w:tblLook w:val="04A0" w:firstRow="1" w:lastRow="0" w:firstColumn="1" w:lastColumn="0" w:noHBand="0" w:noVBand="1"/>
      </w:tblPr>
      <w:tblGrid>
        <w:gridCol w:w="3699"/>
        <w:gridCol w:w="298"/>
        <w:gridCol w:w="298"/>
        <w:gridCol w:w="298"/>
        <w:gridCol w:w="298"/>
        <w:gridCol w:w="298"/>
        <w:gridCol w:w="298"/>
        <w:gridCol w:w="298"/>
        <w:gridCol w:w="298"/>
        <w:gridCol w:w="616"/>
        <w:gridCol w:w="2741"/>
        <w:gridCol w:w="1080"/>
      </w:tblGrid>
      <w:tr w:rsidR="009F5452" w:rsidRPr="00AA04C8" w:rsidTr="009F5452">
        <w:trPr>
          <w:trHeight w:val="243"/>
        </w:trPr>
        <w:tc>
          <w:tcPr>
            <w:tcW w:w="3699" w:type="dxa"/>
            <w:tcBorders>
              <w:top w:val="single" w:sz="4" w:space="0" w:color="auto"/>
              <w:left w:val="single" w:sz="4" w:space="0" w:color="auto"/>
            </w:tcBorders>
            <w:shd w:val="clear" w:color="000000" w:fill="A9D08E"/>
            <w:noWrap/>
            <w:vAlign w:val="bottom"/>
            <w:hideMark/>
          </w:tcPr>
          <w:p w:rsidR="009F5452" w:rsidRPr="006D02E0" w:rsidRDefault="009F5452" w:rsidP="009F5452">
            <w:pPr>
              <w:spacing w:after="0"/>
              <w:rPr>
                <w:rFonts w:ascii="Arial Narrow" w:hAnsi="Arial Narrow"/>
                <w:b/>
                <w:bCs/>
                <w:color w:val="000000"/>
                <w:sz w:val="20"/>
                <w:lang w:eastAsia="en-AU"/>
              </w:rPr>
            </w:pPr>
            <w:r w:rsidRPr="006D02E0">
              <w:rPr>
                <w:rFonts w:ascii="Arial Narrow" w:hAnsi="Arial Narrow"/>
                <w:b/>
                <w:bCs/>
                <w:color w:val="000000"/>
                <w:sz w:val="20"/>
                <w:lang w:eastAsia="en-AU"/>
              </w:rPr>
              <w:t>Design Team Inputs</w:t>
            </w:r>
          </w:p>
        </w:tc>
        <w:tc>
          <w:tcPr>
            <w:tcW w:w="298" w:type="dxa"/>
            <w:tcBorders>
              <w:top w:val="single" w:sz="4" w:space="0" w:color="auto"/>
            </w:tcBorders>
            <w:shd w:val="clear" w:color="000000" w:fill="A9D08E"/>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tcBorders>
              <w:top w:val="single" w:sz="4" w:space="0" w:color="auto"/>
            </w:tcBorders>
            <w:shd w:val="clear" w:color="000000" w:fill="A9D08E"/>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tcBorders>
              <w:top w:val="single" w:sz="4" w:space="0" w:color="auto"/>
            </w:tcBorders>
            <w:shd w:val="clear" w:color="000000" w:fill="A9D08E"/>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tcBorders>
              <w:top w:val="single" w:sz="4" w:space="0" w:color="auto"/>
            </w:tcBorders>
            <w:shd w:val="clear" w:color="000000" w:fill="A9D08E"/>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tcBorders>
              <w:top w:val="single" w:sz="4" w:space="0" w:color="auto"/>
            </w:tcBorders>
            <w:shd w:val="clear" w:color="000000" w:fill="A9D08E"/>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tcBorders>
              <w:top w:val="single" w:sz="4" w:space="0" w:color="auto"/>
            </w:tcBorders>
            <w:shd w:val="clear" w:color="000000" w:fill="A9D08E"/>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tcBorders>
              <w:top w:val="single" w:sz="4" w:space="0" w:color="auto"/>
            </w:tcBorders>
            <w:shd w:val="clear" w:color="000000" w:fill="A9D08E"/>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tcBorders>
              <w:top w:val="single" w:sz="4" w:space="0" w:color="auto"/>
            </w:tcBorders>
            <w:shd w:val="clear" w:color="000000" w:fill="A9D08E"/>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616" w:type="dxa"/>
            <w:tcBorders>
              <w:top w:val="single" w:sz="4" w:space="0" w:color="auto"/>
            </w:tcBorders>
            <w:shd w:val="clear" w:color="000000" w:fill="A9D08E"/>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741" w:type="dxa"/>
            <w:tcBorders>
              <w:top w:val="single" w:sz="4" w:space="0" w:color="auto"/>
            </w:tcBorders>
            <w:shd w:val="clear" w:color="000000" w:fill="A9D08E"/>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1080" w:type="dxa"/>
            <w:tcBorders>
              <w:top w:val="single" w:sz="4" w:space="0" w:color="auto"/>
              <w:right w:val="single" w:sz="4" w:space="0" w:color="auto"/>
            </w:tcBorders>
            <w:shd w:val="clear" w:color="000000" w:fill="A9D08E"/>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r>
      <w:tr w:rsidR="009F5452" w:rsidRPr="00AA04C8" w:rsidTr="009F5452">
        <w:trPr>
          <w:trHeight w:val="243"/>
        </w:trPr>
        <w:tc>
          <w:tcPr>
            <w:tcW w:w="3699" w:type="dxa"/>
            <w:tcBorders>
              <w:left w:val="single" w:sz="4" w:space="0" w:color="auto"/>
            </w:tcBorders>
            <w:shd w:val="clear" w:color="000000" w:fill="A9D08E"/>
            <w:noWrap/>
            <w:vAlign w:val="bottom"/>
            <w:hideMark/>
          </w:tcPr>
          <w:p w:rsidR="009F5452" w:rsidRPr="006D02E0" w:rsidRDefault="009F5452" w:rsidP="009F5452">
            <w:pPr>
              <w:spacing w:after="0"/>
              <w:jc w:val="center"/>
              <w:rPr>
                <w:rFonts w:ascii="Arial Narrow" w:hAnsi="Arial Narrow"/>
                <w:b/>
                <w:bCs/>
                <w:color w:val="000000"/>
                <w:sz w:val="20"/>
                <w:lang w:eastAsia="en-AU"/>
              </w:rPr>
            </w:pPr>
            <w:r w:rsidRPr="006D02E0">
              <w:rPr>
                <w:rFonts w:ascii="Arial Narrow" w:hAnsi="Arial Narrow"/>
                <w:b/>
                <w:bCs/>
                <w:color w:val="000000"/>
                <w:sz w:val="20"/>
                <w:lang w:eastAsia="en-AU"/>
              </w:rPr>
              <w:t>Activity</w:t>
            </w:r>
          </w:p>
        </w:tc>
        <w:tc>
          <w:tcPr>
            <w:tcW w:w="2384" w:type="dxa"/>
            <w:gridSpan w:val="8"/>
            <w:shd w:val="clear" w:color="000000" w:fill="A9D08E"/>
            <w:noWrap/>
            <w:vAlign w:val="bottom"/>
            <w:hideMark/>
          </w:tcPr>
          <w:p w:rsidR="009F5452" w:rsidRPr="006D02E0" w:rsidRDefault="009F5452" w:rsidP="009F5452">
            <w:pPr>
              <w:spacing w:after="0"/>
              <w:jc w:val="center"/>
              <w:rPr>
                <w:rFonts w:ascii="Arial Narrow" w:hAnsi="Arial Narrow"/>
                <w:b/>
                <w:bCs/>
                <w:color w:val="000000"/>
                <w:sz w:val="20"/>
                <w:lang w:eastAsia="en-AU"/>
              </w:rPr>
            </w:pPr>
            <w:r w:rsidRPr="006D02E0">
              <w:rPr>
                <w:rFonts w:ascii="Arial Narrow" w:hAnsi="Arial Narrow"/>
                <w:b/>
                <w:bCs/>
                <w:color w:val="000000"/>
                <w:sz w:val="20"/>
                <w:lang w:eastAsia="en-AU"/>
              </w:rPr>
              <w:t>16 Sep - 30 Oct</w:t>
            </w:r>
          </w:p>
        </w:tc>
        <w:tc>
          <w:tcPr>
            <w:tcW w:w="616" w:type="dxa"/>
            <w:shd w:val="clear" w:color="000000" w:fill="A9D08E"/>
            <w:noWrap/>
            <w:vAlign w:val="bottom"/>
            <w:hideMark/>
          </w:tcPr>
          <w:p w:rsidR="009F5452" w:rsidRPr="006D02E0" w:rsidRDefault="009F5452" w:rsidP="009F5452">
            <w:pPr>
              <w:spacing w:after="0"/>
              <w:jc w:val="center"/>
              <w:rPr>
                <w:rFonts w:ascii="Arial Narrow" w:hAnsi="Arial Narrow"/>
                <w:b/>
                <w:bCs/>
                <w:color w:val="000000"/>
                <w:sz w:val="20"/>
                <w:lang w:eastAsia="en-AU"/>
              </w:rPr>
            </w:pPr>
            <w:r w:rsidRPr="006D02E0">
              <w:rPr>
                <w:rFonts w:ascii="Arial Narrow" w:hAnsi="Arial Narrow"/>
                <w:b/>
                <w:bCs/>
                <w:color w:val="000000"/>
                <w:sz w:val="20"/>
                <w:lang w:eastAsia="en-AU"/>
              </w:rPr>
              <w:t>Days</w:t>
            </w:r>
          </w:p>
        </w:tc>
        <w:tc>
          <w:tcPr>
            <w:tcW w:w="2741" w:type="dxa"/>
            <w:shd w:val="clear" w:color="000000" w:fill="A9D08E"/>
            <w:noWrap/>
            <w:vAlign w:val="bottom"/>
            <w:hideMark/>
          </w:tcPr>
          <w:p w:rsidR="009F5452" w:rsidRPr="006D02E0" w:rsidRDefault="009F5452" w:rsidP="009F5452">
            <w:pPr>
              <w:spacing w:after="0"/>
              <w:jc w:val="center"/>
              <w:rPr>
                <w:rFonts w:ascii="Arial Narrow" w:hAnsi="Arial Narrow"/>
                <w:b/>
                <w:bCs/>
                <w:color w:val="000000"/>
                <w:sz w:val="20"/>
                <w:lang w:eastAsia="en-AU"/>
              </w:rPr>
            </w:pPr>
            <w:r w:rsidRPr="006D02E0">
              <w:rPr>
                <w:rFonts w:ascii="Arial Narrow" w:hAnsi="Arial Narrow"/>
                <w:b/>
                <w:bCs/>
                <w:color w:val="000000"/>
                <w:sz w:val="20"/>
                <w:lang w:eastAsia="en-AU"/>
              </w:rPr>
              <w:t>Output</w:t>
            </w:r>
          </w:p>
        </w:tc>
        <w:tc>
          <w:tcPr>
            <w:tcW w:w="1080" w:type="dxa"/>
            <w:tcBorders>
              <w:right w:val="single" w:sz="4" w:space="0" w:color="auto"/>
            </w:tcBorders>
            <w:shd w:val="clear" w:color="000000" w:fill="A9D08E"/>
            <w:noWrap/>
            <w:vAlign w:val="bottom"/>
            <w:hideMark/>
          </w:tcPr>
          <w:p w:rsidR="009F5452" w:rsidRPr="006D02E0" w:rsidRDefault="009F5452" w:rsidP="009F5452">
            <w:pPr>
              <w:spacing w:after="0"/>
              <w:jc w:val="center"/>
              <w:rPr>
                <w:rFonts w:ascii="Arial Narrow" w:hAnsi="Arial Narrow"/>
                <w:b/>
                <w:bCs/>
                <w:color w:val="000000"/>
                <w:sz w:val="20"/>
                <w:lang w:eastAsia="en-AU"/>
              </w:rPr>
            </w:pPr>
            <w:r w:rsidRPr="006D02E0">
              <w:rPr>
                <w:rFonts w:ascii="Arial Narrow" w:hAnsi="Arial Narrow"/>
                <w:b/>
                <w:bCs/>
                <w:color w:val="000000"/>
                <w:sz w:val="20"/>
                <w:lang w:eastAsia="en-AU"/>
              </w:rPr>
              <w:t>Date</w:t>
            </w:r>
          </w:p>
        </w:tc>
      </w:tr>
      <w:tr w:rsidR="009F5452" w:rsidRPr="00AA04C8" w:rsidTr="009F5452">
        <w:trPr>
          <w:trHeight w:val="243"/>
        </w:trPr>
        <w:tc>
          <w:tcPr>
            <w:tcW w:w="3699" w:type="dxa"/>
            <w:tcBorders>
              <w:left w:val="single" w:sz="4" w:space="0" w:color="auto"/>
            </w:tcBorders>
            <w:shd w:val="clear" w:color="auto" w:fill="auto"/>
            <w:noWrap/>
            <w:hideMark/>
          </w:tcPr>
          <w:p w:rsidR="009F5452" w:rsidRPr="006D02E0" w:rsidRDefault="009F5452" w:rsidP="009F5452">
            <w:pPr>
              <w:spacing w:after="0"/>
              <w:jc w:val="left"/>
              <w:rPr>
                <w:rFonts w:ascii="Arial Narrow" w:hAnsi="Arial Narrow"/>
                <w:color w:val="000000"/>
                <w:sz w:val="20"/>
                <w:lang w:eastAsia="en-AU"/>
              </w:rPr>
            </w:pPr>
            <w:r w:rsidRPr="006D02E0">
              <w:rPr>
                <w:rFonts w:ascii="Arial Narrow" w:hAnsi="Arial Narrow"/>
                <w:color w:val="000000"/>
                <w:sz w:val="20"/>
                <w:lang w:eastAsia="en-AU"/>
              </w:rPr>
              <w:t>Establish Methodology and Plan</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616" w:type="dxa"/>
            <w:shd w:val="clear" w:color="auto" w:fill="auto"/>
            <w:noWrap/>
            <w:vAlign w:val="bottom"/>
            <w:hideMark/>
          </w:tcPr>
          <w:p w:rsidR="009F5452" w:rsidRPr="006D02E0" w:rsidRDefault="009F5452" w:rsidP="009F5452">
            <w:pPr>
              <w:spacing w:after="0"/>
              <w:jc w:val="center"/>
              <w:rPr>
                <w:rFonts w:ascii="Arial Narrow" w:hAnsi="Arial Narrow"/>
                <w:b/>
                <w:bCs/>
                <w:color w:val="000000"/>
                <w:sz w:val="20"/>
                <w:lang w:eastAsia="en-AU"/>
              </w:rPr>
            </w:pPr>
            <w:r w:rsidRPr="006D02E0">
              <w:rPr>
                <w:rFonts w:ascii="Arial Narrow" w:hAnsi="Arial Narrow"/>
                <w:b/>
                <w:bCs/>
                <w:color w:val="000000"/>
                <w:sz w:val="20"/>
                <w:lang w:eastAsia="en-AU"/>
              </w:rPr>
              <w:t>1</w:t>
            </w:r>
          </w:p>
        </w:tc>
        <w:tc>
          <w:tcPr>
            <w:tcW w:w="2741"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Design methodology and plan</w:t>
            </w:r>
          </w:p>
        </w:tc>
        <w:tc>
          <w:tcPr>
            <w:tcW w:w="1080" w:type="dxa"/>
            <w:tcBorders>
              <w:right w:val="single" w:sz="4" w:space="0" w:color="auto"/>
            </w:tcBorders>
            <w:shd w:val="clear" w:color="auto" w:fill="auto"/>
            <w:noWrap/>
            <w:hideMark/>
          </w:tcPr>
          <w:p w:rsidR="009F5452" w:rsidRPr="006D02E0" w:rsidRDefault="009F5452" w:rsidP="009F5452">
            <w:pPr>
              <w:spacing w:after="0"/>
              <w:jc w:val="right"/>
              <w:rPr>
                <w:rFonts w:ascii="Arial Narrow" w:hAnsi="Arial Narrow"/>
                <w:color w:val="000000"/>
                <w:sz w:val="20"/>
                <w:lang w:eastAsia="en-AU"/>
              </w:rPr>
            </w:pPr>
            <w:r w:rsidRPr="006D02E0">
              <w:rPr>
                <w:rFonts w:ascii="Arial Narrow" w:hAnsi="Arial Narrow"/>
                <w:color w:val="000000"/>
                <w:sz w:val="20"/>
                <w:lang w:eastAsia="en-AU"/>
              </w:rPr>
              <w:t>19-Sep</w:t>
            </w:r>
          </w:p>
        </w:tc>
      </w:tr>
      <w:tr w:rsidR="009F5452" w:rsidRPr="00AA04C8" w:rsidTr="009F5452">
        <w:trPr>
          <w:trHeight w:val="243"/>
        </w:trPr>
        <w:tc>
          <w:tcPr>
            <w:tcW w:w="3699" w:type="dxa"/>
            <w:tcBorders>
              <w:left w:val="single" w:sz="4" w:space="0" w:color="auto"/>
            </w:tcBorders>
            <w:shd w:val="clear" w:color="auto" w:fill="auto"/>
            <w:noWrap/>
            <w:hideMark/>
          </w:tcPr>
          <w:p w:rsidR="009F5452" w:rsidRPr="006D02E0" w:rsidRDefault="009F5452" w:rsidP="009F5452">
            <w:pPr>
              <w:spacing w:after="0"/>
              <w:jc w:val="left"/>
              <w:rPr>
                <w:rFonts w:ascii="Arial Narrow" w:hAnsi="Arial Narrow"/>
                <w:color w:val="000000"/>
                <w:sz w:val="20"/>
                <w:lang w:eastAsia="en-AU"/>
              </w:rPr>
            </w:pPr>
            <w:r w:rsidRPr="006D02E0">
              <w:rPr>
                <w:rFonts w:ascii="Arial Narrow" w:hAnsi="Arial Narrow"/>
                <w:color w:val="000000"/>
                <w:sz w:val="20"/>
                <w:lang w:eastAsia="en-AU"/>
              </w:rPr>
              <w:t>Pre-PNG meetings and document review</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616" w:type="dxa"/>
            <w:shd w:val="clear" w:color="auto" w:fill="auto"/>
            <w:noWrap/>
            <w:vAlign w:val="bottom"/>
            <w:hideMark/>
          </w:tcPr>
          <w:p w:rsidR="009F5452" w:rsidRPr="006D02E0" w:rsidRDefault="009F5452" w:rsidP="009F5452">
            <w:pPr>
              <w:spacing w:after="0"/>
              <w:jc w:val="center"/>
              <w:rPr>
                <w:rFonts w:ascii="Arial Narrow" w:hAnsi="Arial Narrow"/>
                <w:b/>
                <w:bCs/>
                <w:color w:val="000000"/>
                <w:sz w:val="20"/>
                <w:lang w:eastAsia="en-AU"/>
              </w:rPr>
            </w:pPr>
            <w:r w:rsidRPr="006D02E0">
              <w:rPr>
                <w:rFonts w:ascii="Arial Narrow" w:hAnsi="Arial Narrow"/>
                <w:b/>
                <w:bCs/>
                <w:color w:val="000000"/>
                <w:sz w:val="20"/>
                <w:lang w:eastAsia="en-AU"/>
              </w:rPr>
              <w:t>2</w:t>
            </w:r>
          </w:p>
        </w:tc>
        <w:tc>
          <w:tcPr>
            <w:tcW w:w="2741"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1080" w:type="dxa"/>
            <w:tcBorders>
              <w:right w:val="single" w:sz="4" w:space="0" w:color="auto"/>
            </w:tcBorders>
            <w:shd w:val="clear" w:color="auto" w:fill="auto"/>
            <w:noWrap/>
            <w:hideMark/>
          </w:tcPr>
          <w:p w:rsidR="009F5452" w:rsidRPr="006D02E0" w:rsidRDefault="009F5452" w:rsidP="009F5452">
            <w:pPr>
              <w:spacing w:after="0"/>
              <w:jc w:val="right"/>
              <w:rPr>
                <w:rFonts w:ascii="Arial Narrow" w:hAnsi="Arial Narrow"/>
                <w:color w:val="000000"/>
                <w:sz w:val="20"/>
                <w:lang w:eastAsia="en-AU"/>
              </w:rPr>
            </w:pPr>
            <w:r w:rsidRPr="006D02E0">
              <w:rPr>
                <w:rFonts w:ascii="Arial Narrow" w:hAnsi="Arial Narrow"/>
                <w:color w:val="000000"/>
                <w:sz w:val="20"/>
                <w:lang w:eastAsia="en-AU"/>
              </w:rPr>
              <w:t>19-Sep</w:t>
            </w:r>
          </w:p>
        </w:tc>
      </w:tr>
      <w:tr w:rsidR="009F5452" w:rsidRPr="00AA04C8" w:rsidTr="009F5452">
        <w:trPr>
          <w:trHeight w:val="243"/>
        </w:trPr>
        <w:tc>
          <w:tcPr>
            <w:tcW w:w="3699" w:type="dxa"/>
            <w:tcBorders>
              <w:left w:val="single" w:sz="4" w:space="0" w:color="auto"/>
            </w:tcBorders>
            <w:shd w:val="clear" w:color="auto" w:fill="auto"/>
            <w:noWrap/>
            <w:hideMark/>
          </w:tcPr>
          <w:p w:rsidR="009F5452" w:rsidRPr="006D02E0" w:rsidRDefault="009F5452" w:rsidP="009F5452">
            <w:pPr>
              <w:spacing w:after="0"/>
              <w:jc w:val="left"/>
              <w:rPr>
                <w:rFonts w:ascii="Arial Narrow" w:hAnsi="Arial Narrow"/>
                <w:color w:val="000000"/>
                <w:sz w:val="20"/>
                <w:lang w:eastAsia="en-AU"/>
              </w:rPr>
            </w:pPr>
            <w:r w:rsidRPr="006D02E0">
              <w:rPr>
                <w:rFonts w:ascii="Arial Narrow" w:hAnsi="Arial Narrow"/>
                <w:color w:val="000000"/>
                <w:sz w:val="20"/>
                <w:lang w:eastAsia="en-AU"/>
              </w:rPr>
              <w:t>Travel and document review</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616" w:type="dxa"/>
            <w:shd w:val="clear" w:color="auto" w:fill="auto"/>
            <w:noWrap/>
            <w:vAlign w:val="bottom"/>
            <w:hideMark/>
          </w:tcPr>
          <w:p w:rsidR="009F5452" w:rsidRPr="006D02E0" w:rsidRDefault="009F5452" w:rsidP="009F5452">
            <w:pPr>
              <w:spacing w:after="0"/>
              <w:jc w:val="center"/>
              <w:rPr>
                <w:rFonts w:ascii="Arial Narrow" w:hAnsi="Arial Narrow"/>
                <w:b/>
                <w:bCs/>
                <w:color w:val="000000"/>
                <w:sz w:val="20"/>
                <w:lang w:eastAsia="en-AU"/>
              </w:rPr>
            </w:pPr>
            <w:r w:rsidRPr="006D02E0">
              <w:rPr>
                <w:rFonts w:ascii="Arial Narrow" w:hAnsi="Arial Narrow"/>
                <w:b/>
                <w:bCs/>
                <w:color w:val="000000"/>
                <w:sz w:val="20"/>
                <w:lang w:eastAsia="en-AU"/>
              </w:rPr>
              <w:t>2</w:t>
            </w:r>
          </w:p>
        </w:tc>
        <w:tc>
          <w:tcPr>
            <w:tcW w:w="2741"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1080" w:type="dxa"/>
            <w:tcBorders>
              <w:right w:val="single" w:sz="4" w:space="0" w:color="auto"/>
            </w:tcBorders>
            <w:shd w:val="clear" w:color="auto" w:fill="auto"/>
            <w:noWrap/>
            <w:hideMark/>
          </w:tcPr>
          <w:p w:rsidR="009F5452" w:rsidRPr="006D02E0" w:rsidRDefault="009F5452" w:rsidP="009F5452">
            <w:pPr>
              <w:spacing w:after="0"/>
              <w:jc w:val="right"/>
              <w:rPr>
                <w:rFonts w:ascii="Arial Narrow" w:hAnsi="Arial Narrow"/>
                <w:color w:val="000000"/>
                <w:sz w:val="20"/>
                <w:lang w:eastAsia="en-AU"/>
              </w:rPr>
            </w:pPr>
            <w:r w:rsidRPr="006D02E0">
              <w:rPr>
                <w:rFonts w:ascii="Arial Narrow" w:hAnsi="Arial Narrow"/>
                <w:color w:val="000000"/>
                <w:sz w:val="20"/>
                <w:lang w:eastAsia="en-AU"/>
              </w:rPr>
              <w:t>21/27 Sep</w:t>
            </w:r>
          </w:p>
        </w:tc>
      </w:tr>
      <w:tr w:rsidR="009F5452" w:rsidRPr="00AA04C8" w:rsidTr="009F5452">
        <w:trPr>
          <w:trHeight w:val="243"/>
        </w:trPr>
        <w:tc>
          <w:tcPr>
            <w:tcW w:w="3699" w:type="dxa"/>
            <w:tcBorders>
              <w:left w:val="single" w:sz="4" w:space="0" w:color="auto"/>
            </w:tcBorders>
            <w:shd w:val="clear" w:color="auto" w:fill="auto"/>
            <w:noWrap/>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xml:space="preserve">In PNG consultations </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616" w:type="dxa"/>
            <w:shd w:val="clear" w:color="auto" w:fill="auto"/>
            <w:noWrap/>
            <w:vAlign w:val="bottom"/>
            <w:hideMark/>
          </w:tcPr>
          <w:p w:rsidR="009F5452" w:rsidRPr="006D02E0" w:rsidRDefault="009F5452" w:rsidP="009F5452">
            <w:pPr>
              <w:spacing w:after="0"/>
              <w:jc w:val="center"/>
              <w:rPr>
                <w:rFonts w:ascii="Arial Narrow" w:hAnsi="Arial Narrow"/>
                <w:b/>
                <w:bCs/>
                <w:color w:val="000000"/>
                <w:sz w:val="20"/>
                <w:lang w:eastAsia="en-AU"/>
              </w:rPr>
            </w:pPr>
            <w:r w:rsidRPr="006D02E0">
              <w:rPr>
                <w:rFonts w:ascii="Arial Narrow" w:hAnsi="Arial Narrow"/>
                <w:b/>
                <w:bCs/>
                <w:color w:val="000000"/>
                <w:sz w:val="20"/>
                <w:lang w:eastAsia="en-AU"/>
              </w:rPr>
              <w:t>5</w:t>
            </w:r>
          </w:p>
        </w:tc>
        <w:tc>
          <w:tcPr>
            <w:tcW w:w="2741"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Aide Memoire</w:t>
            </w:r>
          </w:p>
        </w:tc>
        <w:tc>
          <w:tcPr>
            <w:tcW w:w="1080" w:type="dxa"/>
            <w:tcBorders>
              <w:right w:val="single" w:sz="4" w:space="0" w:color="auto"/>
            </w:tcBorders>
            <w:shd w:val="clear" w:color="auto" w:fill="auto"/>
            <w:noWrap/>
            <w:hideMark/>
          </w:tcPr>
          <w:p w:rsidR="009F5452" w:rsidRPr="006D02E0" w:rsidRDefault="009F5452" w:rsidP="009F5452">
            <w:pPr>
              <w:spacing w:after="0"/>
              <w:jc w:val="right"/>
              <w:rPr>
                <w:rFonts w:ascii="Arial Narrow" w:hAnsi="Arial Narrow"/>
                <w:color w:val="000000"/>
                <w:sz w:val="20"/>
                <w:lang w:eastAsia="en-AU"/>
              </w:rPr>
            </w:pPr>
            <w:r w:rsidRPr="006D02E0">
              <w:rPr>
                <w:rFonts w:ascii="Arial Narrow" w:hAnsi="Arial Narrow"/>
                <w:color w:val="000000"/>
                <w:sz w:val="20"/>
                <w:lang w:eastAsia="en-AU"/>
              </w:rPr>
              <w:t>26-Sep</w:t>
            </w:r>
          </w:p>
        </w:tc>
      </w:tr>
      <w:tr w:rsidR="009F5452" w:rsidRPr="00AA04C8" w:rsidTr="009F5452">
        <w:trPr>
          <w:trHeight w:val="238"/>
        </w:trPr>
        <w:tc>
          <w:tcPr>
            <w:tcW w:w="3699" w:type="dxa"/>
            <w:tcBorders>
              <w:left w:val="single" w:sz="4" w:space="0" w:color="auto"/>
            </w:tcBorders>
            <w:shd w:val="clear" w:color="auto" w:fill="auto"/>
            <w:noWrap/>
            <w:hideMark/>
          </w:tcPr>
          <w:p w:rsidR="009F5452" w:rsidRPr="006D02E0" w:rsidRDefault="009F5452" w:rsidP="009F5452">
            <w:pPr>
              <w:spacing w:after="0"/>
              <w:jc w:val="left"/>
              <w:rPr>
                <w:rFonts w:ascii="Arial Narrow" w:hAnsi="Arial Narrow"/>
                <w:color w:val="000000"/>
                <w:sz w:val="20"/>
                <w:lang w:eastAsia="en-AU"/>
              </w:rPr>
            </w:pPr>
            <w:r w:rsidRPr="006D02E0">
              <w:rPr>
                <w:rFonts w:ascii="Arial Narrow" w:hAnsi="Arial Narrow"/>
                <w:color w:val="000000"/>
                <w:sz w:val="20"/>
                <w:lang w:eastAsia="en-AU"/>
              </w:rPr>
              <w:t>In Australia drafting</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616" w:type="dxa"/>
            <w:shd w:val="clear" w:color="auto" w:fill="auto"/>
            <w:noWrap/>
            <w:vAlign w:val="bottom"/>
            <w:hideMark/>
          </w:tcPr>
          <w:p w:rsidR="009F5452" w:rsidRPr="006D02E0" w:rsidRDefault="009F5452" w:rsidP="009F5452">
            <w:pPr>
              <w:spacing w:after="0"/>
              <w:jc w:val="center"/>
              <w:rPr>
                <w:rFonts w:ascii="Arial Narrow" w:hAnsi="Arial Narrow"/>
                <w:b/>
                <w:bCs/>
                <w:color w:val="000000"/>
                <w:sz w:val="20"/>
                <w:lang w:eastAsia="en-AU"/>
              </w:rPr>
            </w:pPr>
            <w:r w:rsidRPr="006D02E0">
              <w:rPr>
                <w:rFonts w:ascii="Arial Narrow" w:hAnsi="Arial Narrow"/>
                <w:b/>
                <w:bCs/>
                <w:color w:val="000000"/>
                <w:sz w:val="20"/>
                <w:lang w:eastAsia="en-AU"/>
              </w:rPr>
              <w:t>8</w:t>
            </w:r>
          </w:p>
        </w:tc>
        <w:tc>
          <w:tcPr>
            <w:tcW w:w="2741"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Draft PDD</w:t>
            </w:r>
          </w:p>
        </w:tc>
        <w:tc>
          <w:tcPr>
            <w:tcW w:w="1080" w:type="dxa"/>
            <w:tcBorders>
              <w:right w:val="single" w:sz="4" w:space="0" w:color="auto"/>
            </w:tcBorders>
            <w:shd w:val="clear" w:color="auto" w:fill="auto"/>
            <w:noWrap/>
            <w:hideMark/>
          </w:tcPr>
          <w:p w:rsidR="009F5452" w:rsidRPr="006D02E0" w:rsidRDefault="009F5452" w:rsidP="009F5452">
            <w:pPr>
              <w:spacing w:after="0"/>
              <w:jc w:val="right"/>
              <w:rPr>
                <w:rFonts w:ascii="Arial Narrow" w:hAnsi="Arial Narrow"/>
                <w:color w:val="000000"/>
                <w:sz w:val="20"/>
                <w:lang w:eastAsia="en-AU"/>
              </w:rPr>
            </w:pPr>
            <w:r w:rsidRPr="006D02E0">
              <w:rPr>
                <w:rFonts w:ascii="Arial Narrow" w:hAnsi="Arial Narrow"/>
                <w:color w:val="000000"/>
                <w:sz w:val="20"/>
                <w:lang w:eastAsia="en-AU"/>
              </w:rPr>
              <w:t>6-Oct</w:t>
            </w:r>
          </w:p>
        </w:tc>
      </w:tr>
      <w:tr w:rsidR="009F5452" w:rsidRPr="00AA04C8" w:rsidTr="009F5452">
        <w:trPr>
          <w:trHeight w:val="243"/>
        </w:trPr>
        <w:tc>
          <w:tcPr>
            <w:tcW w:w="3699" w:type="dxa"/>
            <w:tcBorders>
              <w:left w:val="single" w:sz="4" w:space="0" w:color="auto"/>
            </w:tcBorders>
            <w:shd w:val="clear" w:color="auto" w:fill="auto"/>
            <w:noWrap/>
            <w:hideMark/>
          </w:tcPr>
          <w:p w:rsidR="009F5452" w:rsidRPr="006D02E0" w:rsidRDefault="009F5452" w:rsidP="009F5452">
            <w:pPr>
              <w:spacing w:after="0"/>
              <w:jc w:val="left"/>
              <w:rPr>
                <w:rFonts w:ascii="Arial Narrow" w:hAnsi="Arial Narrow"/>
                <w:color w:val="000000"/>
                <w:sz w:val="20"/>
                <w:lang w:eastAsia="en-AU"/>
              </w:rPr>
            </w:pPr>
            <w:r w:rsidRPr="006D02E0">
              <w:rPr>
                <w:rFonts w:ascii="Arial Narrow" w:hAnsi="Arial Narrow"/>
                <w:color w:val="000000"/>
                <w:sz w:val="20"/>
                <w:lang w:eastAsia="en-AU"/>
              </w:rPr>
              <w:t>In Australia finalisation</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000000" w:fill="548235"/>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98"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616" w:type="dxa"/>
            <w:shd w:val="clear" w:color="auto" w:fill="auto"/>
            <w:noWrap/>
            <w:vAlign w:val="bottom"/>
            <w:hideMark/>
          </w:tcPr>
          <w:p w:rsidR="009F5452" w:rsidRPr="006D02E0" w:rsidRDefault="009F5452" w:rsidP="009F5452">
            <w:pPr>
              <w:spacing w:after="0"/>
              <w:jc w:val="center"/>
              <w:rPr>
                <w:rFonts w:ascii="Arial Narrow" w:hAnsi="Arial Narrow"/>
                <w:b/>
                <w:bCs/>
                <w:color w:val="000000"/>
                <w:sz w:val="20"/>
                <w:lang w:eastAsia="en-AU"/>
              </w:rPr>
            </w:pPr>
            <w:r w:rsidRPr="006D02E0">
              <w:rPr>
                <w:rFonts w:ascii="Arial Narrow" w:hAnsi="Arial Narrow"/>
                <w:b/>
                <w:bCs/>
                <w:color w:val="000000"/>
                <w:sz w:val="20"/>
                <w:lang w:eastAsia="en-AU"/>
              </w:rPr>
              <w:t>2</w:t>
            </w:r>
          </w:p>
        </w:tc>
        <w:tc>
          <w:tcPr>
            <w:tcW w:w="2741" w:type="dxa"/>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Final PDD</w:t>
            </w:r>
          </w:p>
        </w:tc>
        <w:tc>
          <w:tcPr>
            <w:tcW w:w="1080" w:type="dxa"/>
            <w:tcBorders>
              <w:right w:val="single" w:sz="4" w:space="0" w:color="auto"/>
            </w:tcBorders>
            <w:shd w:val="clear" w:color="auto" w:fill="auto"/>
            <w:noWrap/>
            <w:hideMark/>
          </w:tcPr>
          <w:p w:rsidR="009F5452" w:rsidRPr="006D02E0" w:rsidRDefault="009F5452" w:rsidP="009F5452">
            <w:pPr>
              <w:spacing w:after="0"/>
              <w:jc w:val="right"/>
              <w:rPr>
                <w:rFonts w:ascii="Arial Narrow" w:hAnsi="Arial Narrow"/>
                <w:color w:val="000000"/>
                <w:sz w:val="20"/>
                <w:lang w:eastAsia="en-AU"/>
              </w:rPr>
            </w:pPr>
            <w:r w:rsidRPr="006D02E0">
              <w:rPr>
                <w:rFonts w:ascii="Arial Narrow" w:eastAsia="Calibri" w:hAnsi="Arial Narrow"/>
                <w:color w:val="000000"/>
                <w:sz w:val="20"/>
                <w:lang w:eastAsia="en-AU"/>
              </w:rPr>
              <w:t>30-Oct</w:t>
            </w:r>
          </w:p>
        </w:tc>
      </w:tr>
      <w:tr w:rsidR="009F5452" w:rsidRPr="00AA04C8" w:rsidTr="009F5452">
        <w:trPr>
          <w:trHeight w:val="255"/>
        </w:trPr>
        <w:tc>
          <w:tcPr>
            <w:tcW w:w="3699" w:type="dxa"/>
            <w:tcBorders>
              <w:left w:val="single" w:sz="4" w:space="0" w:color="auto"/>
              <w:bottom w:val="single" w:sz="4" w:space="0" w:color="auto"/>
            </w:tcBorders>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2384" w:type="dxa"/>
            <w:gridSpan w:val="8"/>
            <w:tcBorders>
              <w:bottom w:val="single" w:sz="4" w:space="0" w:color="auto"/>
            </w:tcBorders>
            <w:shd w:val="clear" w:color="auto" w:fill="auto"/>
            <w:noWrap/>
            <w:vAlign w:val="bottom"/>
            <w:hideMark/>
          </w:tcPr>
          <w:p w:rsidR="009F5452" w:rsidRPr="006D02E0" w:rsidRDefault="009F5452" w:rsidP="009F5452">
            <w:pPr>
              <w:spacing w:after="0"/>
              <w:jc w:val="right"/>
              <w:rPr>
                <w:rFonts w:ascii="Arial Narrow" w:hAnsi="Arial Narrow"/>
                <w:b/>
                <w:bCs/>
                <w:color w:val="000000"/>
                <w:sz w:val="20"/>
                <w:lang w:eastAsia="en-AU"/>
              </w:rPr>
            </w:pPr>
            <w:r w:rsidRPr="006D02E0">
              <w:rPr>
                <w:rFonts w:ascii="Arial Narrow" w:hAnsi="Arial Narrow"/>
                <w:b/>
                <w:bCs/>
                <w:color w:val="000000"/>
                <w:sz w:val="20"/>
                <w:lang w:eastAsia="en-AU"/>
              </w:rPr>
              <w:t>Total days</w:t>
            </w:r>
          </w:p>
        </w:tc>
        <w:tc>
          <w:tcPr>
            <w:tcW w:w="616" w:type="dxa"/>
            <w:tcBorders>
              <w:bottom w:val="single" w:sz="4" w:space="0" w:color="auto"/>
            </w:tcBorders>
            <w:shd w:val="clear" w:color="auto" w:fill="auto"/>
            <w:noWrap/>
            <w:vAlign w:val="bottom"/>
            <w:hideMark/>
          </w:tcPr>
          <w:p w:rsidR="009F5452" w:rsidRPr="006D02E0" w:rsidRDefault="009F5452" w:rsidP="009F5452">
            <w:pPr>
              <w:spacing w:after="0"/>
              <w:jc w:val="center"/>
              <w:rPr>
                <w:rFonts w:ascii="Arial Narrow" w:hAnsi="Arial Narrow"/>
                <w:b/>
                <w:bCs/>
                <w:color w:val="000000"/>
                <w:sz w:val="20"/>
                <w:lang w:eastAsia="en-AU"/>
              </w:rPr>
            </w:pPr>
            <w:r w:rsidRPr="006D02E0">
              <w:rPr>
                <w:rFonts w:ascii="Arial Narrow" w:hAnsi="Arial Narrow"/>
                <w:b/>
                <w:bCs/>
                <w:color w:val="000000"/>
                <w:sz w:val="20"/>
                <w:lang w:eastAsia="en-AU"/>
              </w:rPr>
              <w:t>20</w:t>
            </w:r>
          </w:p>
        </w:tc>
        <w:tc>
          <w:tcPr>
            <w:tcW w:w="2741" w:type="dxa"/>
            <w:tcBorders>
              <w:bottom w:val="single" w:sz="4" w:space="0" w:color="auto"/>
            </w:tcBorders>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c>
          <w:tcPr>
            <w:tcW w:w="1080" w:type="dxa"/>
            <w:tcBorders>
              <w:bottom w:val="single" w:sz="4" w:space="0" w:color="auto"/>
              <w:right w:val="single" w:sz="4" w:space="0" w:color="auto"/>
            </w:tcBorders>
            <w:shd w:val="clear" w:color="auto" w:fill="auto"/>
            <w:noWrap/>
            <w:vAlign w:val="bottom"/>
            <w:hideMark/>
          </w:tcPr>
          <w:p w:rsidR="009F5452" w:rsidRPr="006D02E0" w:rsidRDefault="009F5452" w:rsidP="009F5452">
            <w:pPr>
              <w:spacing w:after="0"/>
              <w:rPr>
                <w:rFonts w:ascii="Arial Narrow" w:hAnsi="Arial Narrow"/>
                <w:color w:val="000000"/>
                <w:sz w:val="20"/>
                <w:lang w:eastAsia="en-AU"/>
              </w:rPr>
            </w:pPr>
            <w:r w:rsidRPr="006D02E0">
              <w:rPr>
                <w:rFonts w:ascii="Arial Narrow" w:hAnsi="Arial Narrow"/>
                <w:color w:val="000000"/>
                <w:sz w:val="20"/>
                <w:lang w:eastAsia="en-AU"/>
              </w:rPr>
              <w:t> </w:t>
            </w:r>
          </w:p>
        </w:tc>
      </w:tr>
    </w:tbl>
    <w:p w:rsidR="009F5452" w:rsidRPr="006D02E0" w:rsidRDefault="009F5452" w:rsidP="006D02E0">
      <w:pPr>
        <w:spacing w:before="0" w:after="160" w:line="259" w:lineRule="auto"/>
        <w:rPr>
          <w:rFonts w:eastAsia="Calibri"/>
          <w:szCs w:val="24"/>
        </w:rPr>
      </w:pPr>
      <w:r w:rsidRPr="006D02E0">
        <w:rPr>
          <w:rFonts w:eastAsia="Calibri"/>
          <w:szCs w:val="24"/>
        </w:rPr>
        <w:t xml:space="preserve">This is stage one of the design process for the Incentive Fund Phase IV [IF (IV)]. With limited time and analytical scope it will update the Phase III design. Later, stage two will introduce an Innovation Fund component. The Program Design Document Contents headings above identify the question areas for this design mission. The approach is to question, confirm answers and </w:t>
      </w:r>
      <w:proofErr w:type="gramStart"/>
      <w:r w:rsidRPr="006D02E0">
        <w:rPr>
          <w:rFonts w:eastAsia="Calibri"/>
          <w:szCs w:val="24"/>
        </w:rPr>
        <w:t>positions,</w:t>
      </w:r>
      <w:proofErr w:type="gramEnd"/>
      <w:r w:rsidRPr="006D02E0">
        <w:rPr>
          <w:rFonts w:eastAsia="Calibri"/>
          <w:szCs w:val="24"/>
        </w:rPr>
        <w:t xml:space="preserve"> identify important DFAT narrative, and rearticulate as required. Design principles and context, and any repositioning, will be presented in the Aide Memoire. </w:t>
      </w:r>
    </w:p>
    <w:p w:rsidR="009F5452" w:rsidRDefault="009F5452" w:rsidP="009F5452">
      <w:pPr>
        <w:spacing w:before="0" w:after="160" w:line="259" w:lineRule="auto"/>
        <w:jc w:val="left"/>
        <w:rPr>
          <w:rFonts w:ascii="Calibri" w:eastAsia="Calibri" w:hAnsi="Calibri"/>
          <w:b/>
          <w:sz w:val="22"/>
          <w:szCs w:val="22"/>
        </w:rPr>
      </w:pPr>
    </w:p>
    <w:p w:rsidR="009F5452" w:rsidRPr="00150DD9" w:rsidRDefault="009F5452" w:rsidP="00824139">
      <w:pPr>
        <w:pStyle w:val="Caption"/>
        <w:rPr>
          <w:rFonts w:eastAsia="Calibri"/>
        </w:rPr>
      </w:pPr>
      <w:r w:rsidRPr="00150DD9">
        <w:rPr>
          <w:rFonts w:eastAsia="Calibri"/>
        </w:rPr>
        <w:t>Key documents provided by DFAT:</w:t>
      </w:r>
    </w:p>
    <w:p w:rsidR="009F5452" w:rsidRPr="00824139" w:rsidRDefault="009F5452" w:rsidP="00A82AAB">
      <w:pPr>
        <w:numPr>
          <w:ilvl w:val="0"/>
          <w:numId w:val="56"/>
        </w:numPr>
        <w:spacing w:before="0" w:after="160" w:line="259" w:lineRule="auto"/>
        <w:contextualSpacing/>
        <w:jc w:val="left"/>
        <w:rPr>
          <w:rFonts w:eastAsia="Calibri"/>
          <w:szCs w:val="24"/>
        </w:rPr>
      </w:pPr>
      <w:r w:rsidRPr="00824139">
        <w:rPr>
          <w:rFonts w:eastAsia="Calibri"/>
          <w:szCs w:val="24"/>
        </w:rPr>
        <w:t>Design Terms of Reference</w:t>
      </w:r>
    </w:p>
    <w:p w:rsidR="009F5452" w:rsidRPr="00824139" w:rsidRDefault="009F5452" w:rsidP="00A82AAB">
      <w:pPr>
        <w:numPr>
          <w:ilvl w:val="0"/>
          <w:numId w:val="56"/>
        </w:numPr>
        <w:spacing w:before="0" w:after="160" w:line="259" w:lineRule="auto"/>
        <w:contextualSpacing/>
        <w:jc w:val="left"/>
        <w:rPr>
          <w:rFonts w:eastAsia="Calibri"/>
          <w:szCs w:val="24"/>
        </w:rPr>
      </w:pPr>
      <w:r w:rsidRPr="00824139">
        <w:rPr>
          <w:rFonts w:eastAsia="Calibri"/>
          <w:szCs w:val="24"/>
        </w:rPr>
        <w:t>DFAT Changes to the Aid Management System</w:t>
      </w:r>
    </w:p>
    <w:p w:rsidR="009F5452" w:rsidRPr="00824139" w:rsidRDefault="009F5452" w:rsidP="00A82AAB">
      <w:pPr>
        <w:numPr>
          <w:ilvl w:val="0"/>
          <w:numId w:val="56"/>
        </w:numPr>
        <w:spacing w:before="0" w:after="160" w:line="259" w:lineRule="auto"/>
        <w:contextualSpacing/>
        <w:jc w:val="left"/>
        <w:rPr>
          <w:rFonts w:eastAsia="Calibri"/>
          <w:szCs w:val="24"/>
        </w:rPr>
      </w:pPr>
      <w:r w:rsidRPr="00824139">
        <w:rPr>
          <w:rFonts w:eastAsia="Calibri"/>
          <w:szCs w:val="24"/>
        </w:rPr>
        <w:t xml:space="preserve">IF4 Options Paper August (2014)   </w:t>
      </w:r>
    </w:p>
    <w:p w:rsidR="009F5452" w:rsidRPr="00824139" w:rsidRDefault="009F5452" w:rsidP="00A82AAB">
      <w:pPr>
        <w:numPr>
          <w:ilvl w:val="0"/>
          <w:numId w:val="56"/>
        </w:numPr>
        <w:spacing w:before="0" w:after="160" w:line="259" w:lineRule="auto"/>
        <w:contextualSpacing/>
        <w:jc w:val="left"/>
        <w:rPr>
          <w:rFonts w:eastAsia="Calibri"/>
          <w:szCs w:val="24"/>
        </w:rPr>
      </w:pPr>
      <w:r w:rsidRPr="00824139">
        <w:rPr>
          <w:rFonts w:eastAsia="Calibri"/>
          <w:szCs w:val="24"/>
        </w:rPr>
        <w:t>PNG Aid Assessment recommendations</w:t>
      </w:r>
    </w:p>
    <w:p w:rsidR="009F5452" w:rsidRPr="00824139" w:rsidRDefault="009F5452" w:rsidP="00A82AAB">
      <w:pPr>
        <w:numPr>
          <w:ilvl w:val="0"/>
          <w:numId w:val="56"/>
        </w:numPr>
        <w:spacing w:before="0" w:after="160" w:line="259" w:lineRule="auto"/>
        <w:contextualSpacing/>
        <w:jc w:val="left"/>
        <w:rPr>
          <w:rFonts w:eastAsia="Calibri"/>
          <w:szCs w:val="24"/>
        </w:rPr>
      </w:pPr>
      <w:r w:rsidRPr="00824139">
        <w:rPr>
          <w:rFonts w:eastAsia="Calibri"/>
          <w:szCs w:val="24"/>
        </w:rPr>
        <w:t>Aid for trade notes</w:t>
      </w:r>
    </w:p>
    <w:p w:rsidR="009F5452" w:rsidRPr="00824139" w:rsidRDefault="009F5452" w:rsidP="00A82AAB">
      <w:pPr>
        <w:numPr>
          <w:ilvl w:val="0"/>
          <w:numId w:val="56"/>
        </w:numPr>
        <w:spacing w:before="0" w:after="160" w:line="259" w:lineRule="auto"/>
        <w:contextualSpacing/>
        <w:jc w:val="left"/>
        <w:rPr>
          <w:rFonts w:eastAsia="Calibri"/>
          <w:szCs w:val="24"/>
        </w:rPr>
      </w:pPr>
      <w:r w:rsidRPr="00824139">
        <w:rPr>
          <w:rFonts w:eastAsia="Calibri"/>
          <w:szCs w:val="24"/>
        </w:rPr>
        <w:t>Private sector development and private sector engagement: guidance note (July 2014)</w:t>
      </w:r>
    </w:p>
    <w:p w:rsidR="009F5452" w:rsidRPr="00824139" w:rsidRDefault="009F5452" w:rsidP="00A82AAB">
      <w:pPr>
        <w:numPr>
          <w:ilvl w:val="0"/>
          <w:numId w:val="56"/>
        </w:numPr>
        <w:spacing w:before="0" w:after="160" w:line="259" w:lineRule="auto"/>
        <w:contextualSpacing/>
        <w:jc w:val="left"/>
        <w:rPr>
          <w:rFonts w:eastAsia="Calibri"/>
          <w:szCs w:val="24"/>
        </w:rPr>
      </w:pPr>
      <w:r w:rsidRPr="00824139">
        <w:rPr>
          <w:rFonts w:eastAsia="Calibri"/>
          <w:szCs w:val="24"/>
        </w:rPr>
        <w:t>Incentive Fund Phase III Project Design Document</w:t>
      </w:r>
    </w:p>
    <w:p w:rsidR="009F5452" w:rsidRPr="00824139" w:rsidRDefault="009F5452" w:rsidP="00A82AAB">
      <w:pPr>
        <w:numPr>
          <w:ilvl w:val="0"/>
          <w:numId w:val="56"/>
        </w:numPr>
        <w:spacing w:before="0" w:after="160" w:line="259" w:lineRule="auto"/>
        <w:contextualSpacing/>
        <w:jc w:val="left"/>
        <w:rPr>
          <w:rFonts w:eastAsia="Calibri"/>
          <w:szCs w:val="24"/>
        </w:rPr>
      </w:pPr>
      <w:r w:rsidRPr="00824139">
        <w:rPr>
          <w:rFonts w:eastAsia="Calibri"/>
          <w:szCs w:val="24"/>
        </w:rPr>
        <w:t>Incentive fund Phase III Activity Completion Report</w:t>
      </w:r>
    </w:p>
    <w:p w:rsidR="009F5452" w:rsidRPr="00824139" w:rsidRDefault="009F5452" w:rsidP="00A82AAB">
      <w:pPr>
        <w:numPr>
          <w:ilvl w:val="0"/>
          <w:numId w:val="56"/>
        </w:numPr>
        <w:spacing w:before="0" w:after="160" w:line="259" w:lineRule="auto"/>
        <w:contextualSpacing/>
        <w:jc w:val="left"/>
        <w:rPr>
          <w:rFonts w:eastAsia="Calibri"/>
          <w:szCs w:val="24"/>
        </w:rPr>
      </w:pPr>
      <w:r w:rsidRPr="00824139">
        <w:rPr>
          <w:rFonts w:eastAsia="Calibri"/>
          <w:szCs w:val="24"/>
        </w:rPr>
        <w:t>Incentive Fund Independent Progress Report November 2012</w:t>
      </w:r>
    </w:p>
    <w:p w:rsidR="009F5452" w:rsidRPr="00824139" w:rsidRDefault="009F5452" w:rsidP="00A82AAB">
      <w:pPr>
        <w:numPr>
          <w:ilvl w:val="0"/>
          <w:numId w:val="56"/>
        </w:numPr>
        <w:spacing w:before="0" w:after="160" w:line="259" w:lineRule="auto"/>
        <w:contextualSpacing/>
        <w:jc w:val="left"/>
        <w:rPr>
          <w:rFonts w:eastAsia="Calibri"/>
          <w:szCs w:val="24"/>
        </w:rPr>
      </w:pPr>
      <w:r w:rsidRPr="00824139">
        <w:rPr>
          <w:rFonts w:eastAsia="Calibri"/>
          <w:szCs w:val="24"/>
        </w:rPr>
        <w:t>Changing Attitudes: Stories from the Incentive Fund Phase III 2010-2014</w:t>
      </w:r>
    </w:p>
    <w:p w:rsidR="009F5452" w:rsidRPr="00824139" w:rsidRDefault="009F5452" w:rsidP="00A82AAB">
      <w:pPr>
        <w:numPr>
          <w:ilvl w:val="0"/>
          <w:numId w:val="56"/>
        </w:numPr>
        <w:spacing w:before="0" w:after="160" w:line="259" w:lineRule="auto"/>
        <w:contextualSpacing/>
        <w:jc w:val="left"/>
        <w:rPr>
          <w:rFonts w:eastAsia="Calibri"/>
          <w:szCs w:val="24"/>
        </w:rPr>
      </w:pPr>
      <w:r w:rsidRPr="00824139">
        <w:rPr>
          <w:rFonts w:eastAsia="Calibri"/>
          <w:szCs w:val="24"/>
        </w:rPr>
        <w:lastRenderedPageBreak/>
        <w:t>Incentive Fund Information Book 2011 – 2</w:t>
      </w:r>
      <w:r w:rsidRPr="00824139">
        <w:rPr>
          <w:rFonts w:eastAsia="Calibri"/>
          <w:szCs w:val="24"/>
          <w:vertAlign w:val="superscript"/>
        </w:rPr>
        <w:t>nd</w:t>
      </w:r>
      <w:r w:rsidRPr="00824139">
        <w:rPr>
          <w:rFonts w:eastAsia="Calibri"/>
          <w:szCs w:val="24"/>
        </w:rPr>
        <w:t xml:space="preserve"> edition</w:t>
      </w:r>
    </w:p>
    <w:p w:rsidR="009F5452" w:rsidRDefault="009F5452" w:rsidP="009F5452">
      <w:pPr>
        <w:spacing w:before="0" w:after="160" w:line="259" w:lineRule="auto"/>
        <w:contextualSpacing/>
        <w:jc w:val="left"/>
        <w:rPr>
          <w:rFonts w:ascii="Calibri" w:eastAsia="Calibri" w:hAnsi="Calibri"/>
          <w:b/>
          <w:sz w:val="22"/>
          <w:szCs w:val="22"/>
        </w:rPr>
      </w:pPr>
    </w:p>
    <w:p w:rsidR="009F5452" w:rsidRPr="00150DD9" w:rsidRDefault="009F5452" w:rsidP="00824139">
      <w:pPr>
        <w:pStyle w:val="Caption"/>
        <w:rPr>
          <w:rFonts w:eastAsia="Calibri"/>
        </w:rPr>
      </w:pPr>
      <w:r w:rsidRPr="00150DD9">
        <w:rPr>
          <w:rFonts w:eastAsia="Calibri"/>
        </w:rPr>
        <w:t>Document Review and Consultation Process</w:t>
      </w:r>
    </w:p>
    <w:p w:rsidR="009F5452" w:rsidRDefault="009F5452" w:rsidP="006D02E0">
      <w:pPr>
        <w:spacing w:before="0" w:after="160" w:line="259" w:lineRule="auto"/>
        <w:contextualSpacing/>
        <w:rPr>
          <w:rFonts w:ascii="Calibri" w:eastAsia="Calibri" w:hAnsi="Calibri"/>
          <w:sz w:val="22"/>
          <w:szCs w:val="22"/>
        </w:rPr>
      </w:pPr>
      <w:r w:rsidRPr="00BE0503">
        <w:rPr>
          <w:rFonts w:ascii="Calibri" w:eastAsia="Calibri" w:hAnsi="Calibri"/>
          <w:sz w:val="22"/>
          <w:szCs w:val="22"/>
        </w:rPr>
        <w:t>DFAT has already committed to us</w:t>
      </w:r>
      <w:r>
        <w:rPr>
          <w:rFonts w:ascii="Calibri" w:eastAsia="Calibri" w:hAnsi="Calibri"/>
          <w:sz w:val="22"/>
          <w:szCs w:val="22"/>
        </w:rPr>
        <w:t xml:space="preserve">e </w:t>
      </w:r>
      <w:r w:rsidRPr="00BE0503">
        <w:rPr>
          <w:rFonts w:ascii="Calibri" w:eastAsia="Calibri" w:hAnsi="Calibri"/>
          <w:sz w:val="22"/>
          <w:szCs w:val="22"/>
        </w:rPr>
        <w:t xml:space="preserve">the Phase III design as the basis for </w:t>
      </w:r>
      <w:r>
        <w:rPr>
          <w:rFonts w:ascii="Calibri" w:eastAsia="Calibri" w:hAnsi="Calibri"/>
          <w:sz w:val="22"/>
          <w:szCs w:val="22"/>
        </w:rPr>
        <w:t xml:space="preserve">stage one of </w:t>
      </w:r>
      <w:r w:rsidRPr="00BE0503">
        <w:rPr>
          <w:rFonts w:ascii="Calibri" w:eastAsia="Calibri" w:hAnsi="Calibri"/>
          <w:sz w:val="22"/>
          <w:szCs w:val="22"/>
        </w:rPr>
        <w:t xml:space="preserve">the </w:t>
      </w:r>
      <w:r w:rsidR="002B7876" w:rsidRPr="002B7876">
        <w:rPr>
          <w:rFonts w:ascii="Calibri" w:eastAsia="Calibri" w:hAnsi="Calibri"/>
          <w:sz w:val="22"/>
          <w:szCs w:val="22"/>
          <w:lang w:val="en-GB"/>
        </w:rPr>
        <w:t xml:space="preserve">IF (IV) </w:t>
      </w:r>
      <w:r w:rsidRPr="00BE0503">
        <w:rPr>
          <w:rFonts w:ascii="Calibri" w:eastAsia="Calibri" w:hAnsi="Calibri"/>
          <w:sz w:val="22"/>
          <w:szCs w:val="22"/>
        </w:rPr>
        <w:t>design.</w:t>
      </w:r>
      <w:r>
        <w:rPr>
          <w:rFonts w:ascii="Calibri" w:eastAsia="Calibri" w:hAnsi="Calibri"/>
          <w:sz w:val="22"/>
          <w:szCs w:val="22"/>
        </w:rPr>
        <w:t xml:space="preserve"> The design team will co</w:t>
      </w:r>
      <w:r w:rsidRPr="00BE0503">
        <w:rPr>
          <w:rFonts w:ascii="Calibri" w:eastAsia="Calibri" w:hAnsi="Calibri"/>
          <w:sz w:val="22"/>
          <w:szCs w:val="22"/>
        </w:rPr>
        <w:t xml:space="preserve">nduct </w:t>
      </w:r>
      <w:r>
        <w:rPr>
          <w:rFonts w:ascii="Calibri" w:eastAsia="Calibri" w:hAnsi="Calibri"/>
          <w:sz w:val="22"/>
          <w:szCs w:val="22"/>
        </w:rPr>
        <w:t xml:space="preserve">a </w:t>
      </w:r>
      <w:r w:rsidRPr="00BE0503">
        <w:rPr>
          <w:rFonts w:ascii="Calibri" w:eastAsia="Calibri" w:hAnsi="Calibri"/>
          <w:sz w:val="22"/>
          <w:szCs w:val="22"/>
        </w:rPr>
        <w:t xml:space="preserve">review of </w:t>
      </w:r>
      <w:r>
        <w:rPr>
          <w:rFonts w:ascii="Calibri" w:eastAsia="Calibri" w:hAnsi="Calibri"/>
          <w:sz w:val="22"/>
          <w:szCs w:val="22"/>
        </w:rPr>
        <w:t xml:space="preserve">the </w:t>
      </w:r>
      <w:r w:rsidRPr="00BE0503">
        <w:rPr>
          <w:rFonts w:ascii="Calibri" w:eastAsia="Calibri" w:hAnsi="Calibri"/>
          <w:sz w:val="22"/>
          <w:szCs w:val="22"/>
        </w:rPr>
        <w:t>key documents and undertake limited semi-</w:t>
      </w:r>
      <w:r>
        <w:rPr>
          <w:rFonts w:ascii="Calibri" w:eastAsia="Calibri" w:hAnsi="Calibri"/>
          <w:sz w:val="22"/>
          <w:szCs w:val="22"/>
        </w:rPr>
        <w:t>structured</w:t>
      </w:r>
      <w:r w:rsidRPr="00BE0503">
        <w:rPr>
          <w:rFonts w:ascii="Calibri" w:eastAsia="Calibri" w:hAnsi="Calibri"/>
          <w:sz w:val="22"/>
          <w:szCs w:val="22"/>
        </w:rPr>
        <w:t xml:space="preserve"> interviews and focus group consultations with DFAT</w:t>
      </w:r>
      <w:r>
        <w:rPr>
          <w:rFonts w:ascii="Calibri" w:eastAsia="Calibri" w:hAnsi="Calibri"/>
          <w:sz w:val="22"/>
          <w:szCs w:val="22"/>
        </w:rPr>
        <w:t xml:space="preserve"> (Canberra, Post and Innovation</w:t>
      </w:r>
      <w:r w:rsidRPr="00BE0503">
        <w:rPr>
          <w:rFonts w:ascii="Calibri" w:eastAsia="Calibri" w:hAnsi="Calibri"/>
          <w:sz w:val="22"/>
          <w:szCs w:val="22"/>
        </w:rPr>
        <w:t xml:space="preserve"> Hub), </w:t>
      </w:r>
      <w:r>
        <w:rPr>
          <w:rFonts w:ascii="Calibri" w:eastAsia="Calibri" w:hAnsi="Calibri"/>
          <w:sz w:val="22"/>
          <w:szCs w:val="22"/>
        </w:rPr>
        <w:t xml:space="preserve">GoPNG officers, </w:t>
      </w:r>
      <w:r w:rsidRPr="00BE0503">
        <w:rPr>
          <w:rFonts w:ascii="Calibri" w:eastAsia="Calibri" w:hAnsi="Calibri"/>
          <w:sz w:val="22"/>
          <w:szCs w:val="22"/>
        </w:rPr>
        <w:t>Managing Contractor staff (tbc), the</w:t>
      </w:r>
      <w:r>
        <w:rPr>
          <w:rFonts w:ascii="Calibri" w:eastAsia="Calibri" w:hAnsi="Calibri"/>
          <w:sz w:val="22"/>
          <w:szCs w:val="22"/>
        </w:rPr>
        <w:t xml:space="preserve"> Management Group and selected s</w:t>
      </w:r>
      <w:r w:rsidRPr="00BE0503">
        <w:rPr>
          <w:rFonts w:ascii="Calibri" w:eastAsia="Calibri" w:hAnsi="Calibri"/>
          <w:sz w:val="22"/>
          <w:szCs w:val="22"/>
        </w:rPr>
        <w:t xml:space="preserve">takeholders. </w:t>
      </w:r>
    </w:p>
    <w:p w:rsidR="009F5452" w:rsidRDefault="009F5452" w:rsidP="009F5452">
      <w:pPr>
        <w:spacing w:before="0" w:after="160" w:line="259" w:lineRule="auto"/>
        <w:contextualSpacing/>
        <w:jc w:val="left"/>
        <w:rPr>
          <w:rFonts w:ascii="Calibri" w:eastAsia="Calibri" w:hAnsi="Calibri"/>
          <w:b/>
          <w:sz w:val="22"/>
          <w:szCs w:val="22"/>
        </w:rPr>
      </w:pPr>
    </w:p>
    <w:p w:rsidR="009F5452" w:rsidRDefault="009F5452" w:rsidP="00824139">
      <w:pPr>
        <w:pStyle w:val="Caption"/>
        <w:rPr>
          <w:rFonts w:eastAsia="Calibri"/>
        </w:rPr>
      </w:pPr>
      <w:r w:rsidRPr="00C9210B">
        <w:rPr>
          <w:rFonts w:eastAsia="Calibri"/>
        </w:rPr>
        <w:t>Design Questions</w:t>
      </w:r>
      <w:r>
        <w:rPr>
          <w:rFonts w:eastAsia="Calibri"/>
        </w:rPr>
        <w:t xml:space="preserve"> and Confirmations</w:t>
      </w:r>
    </w:p>
    <w:p w:rsidR="009F5452" w:rsidRPr="00824139" w:rsidRDefault="009F5452" w:rsidP="006D02E0">
      <w:pPr>
        <w:spacing w:before="0" w:after="160" w:line="259" w:lineRule="auto"/>
        <w:contextualSpacing/>
        <w:rPr>
          <w:rFonts w:eastAsia="Calibri"/>
          <w:szCs w:val="24"/>
        </w:rPr>
      </w:pPr>
      <w:r w:rsidRPr="00824139">
        <w:rPr>
          <w:rFonts w:eastAsia="Calibri"/>
          <w:szCs w:val="24"/>
        </w:rPr>
        <w:t xml:space="preserve">These questions will serve the design team to reconfirm key aspects and functions and to identify any repositioning or required change. </w:t>
      </w:r>
    </w:p>
    <w:p w:rsidR="009F5452" w:rsidRDefault="009F5452" w:rsidP="009F5452">
      <w:pPr>
        <w:spacing w:before="0" w:after="160" w:line="259" w:lineRule="auto"/>
        <w:contextualSpacing/>
        <w:jc w:val="left"/>
        <w:rPr>
          <w:rFonts w:ascii="Calibri" w:eastAsia="Calibri" w:hAnsi="Calibri"/>
          <w:b/>
          <w:sz w:val="22"/>
          <w:szCs w:val="22"/>
        </w:rPr>
      </w:pPr>
    </w:p>
    <w:p w:rsidR="009F5452" w:rsidRPr="0070776B" w:rsidRDefault="009F5452" w:rsidP="00824139">
      <w:pPr>
        <w:pStyle w:val="Caption"/>
        <w:rPr>
          <w:rFonts w:eastAsia="Calibri"/>
        </w:rPr>
      </w:pPr>
      <w:r w:rsidRPr="0070776B">
        <w:rPr>
          <w:rFonts w:eastAsia="Calibri"/>
        </w:rPr>
        <w:t xml:space="preserve">Incentive Fund Phase IV country situation </w:t>
      </w:r>
      <w:r>
        <w:rPr>
          <w:rFonts w:eastAsia="Calibri"/>
        </w:rPr>
        <w:t>and development context</w:t>
      </w:r>
    </w:p>
    <w:p w:rsidR="009F5452" w:rsidRPr="00824139" w:rsidRDefault="009F5452" w:rsidP="00A82AAB">
      <w:pPr>
        <w:pStyle w:val="ListParagraph"/>
        <w:numPr>
          <w:ilvl w:val="0"/>
          <w:numId w:val="57"/>
        </w:numPr>
        <w:rPr>
          <w:rFonts w:eastAsia="Calibri"/>
          <w:szCs w:val="24"/>
        </w:rPr>
      </w:pPr>
      <w:r w:rsidRPr="00824139">
        <w:rPr>
          <w:rFonts w:eastAsia="Calibri"/>
          <w:szCs w:val="24"/>
        </w:rPr>
        <w:t>What is the current development situation in PNG and what narrative is DFAT using to describe this context, including the PNG Aid Assessment Recommendations.</w:t>
      </w: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 xml:space="preserve">How did the development context affect efficiency and effectiveness of previous Incentive Fund </w:t>
      </w:r>
      <w:proofErr w:type="gramStart"/>
      <w:r w:rsidRPr="00824139">
        <w:rPr>
          <w:rFonts w:eastAsia="Calibri"/>
          <w:szCs w:val="24"/>
        </w:rPr>
        <w:t>investments,</w:t>
      </w:r>
      <w:proofErr w:type="gramEnd"/>
      <w:r w:rsidRPr="00824139">
        <w:rPr>
          <w:rFonts w:eastAsia="Calibri"/>
          <w:szCs w:val="24"/>
        </w:rPr>
        <w:t xml:space="preserve"> and to what extent did IF outputs and outcomes affect the context?</w:t>
      </w: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 xml:space="preserve">What are the priority lessons to influence future IF (IV) investment areas? </w:t>
      </w: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To what extent can IF (IV) align with the four investment strategic tests and 10 high level strategic targets of Australian Aid?</w:t>
      </w:r>
    </w:p>
    <w:p w:rsidR="009F5452" w:rsidRPr="0070776B" w:rsidRDefault="009F5452" w:rsidP="00824139">
      <w:pPr>
        <w:pStyle w:val="Caption"/>
        <w:rPr>
          <w:rFonts w:eastAsia="Calibri"/>
        </w:rPr>
      </w:pPr>
      <w:r w:rsidRPr="0070776B">
        <w:rPr>
          <w:rFonts w:eastAsia="Calibri"/>
        </w:rPr>
        <w:t>Confirm the Incentive Fund Phase IV Function</w:t>
      </w: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 xml:space="preserve">The ‘incentive’ is a reward to performing organisations, should this change? </w:t>
      </w: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Indicated IF (IV) funding limits are $80m Incentive and $10million Innovation, which is AUD22.5million per year over 4 years. Confirm the time period and funding limits and any flexibility to be expected. Anticipate lower start-up and close down period expenditures.</w:t>
      </w: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 xml:space="preserve">Flexibility v’s Ear-marking: Identify any required fund quarantining or limits for sectors </w:t>
      </w:r>
      <w:r w:rsidRPr="00824139">
        <w:rPr>
          <w:rFonts w:eastAsia="Calibri"/>
          <w:i/>
          <w:szCs w:val="24"/>
        </w:rPr>
        <w:t>e.g.</w:t>
      </w:r>
      <w:r w:rsidRPr="00824139">
        <w:rPr>
          <w:rFonts w:eastAsia="Calibri"/>
          <w:szCs w:val="24"/>
        </w:rPr>
        <w:t xml:space="preserve"> Education (63%), Health (37%), other sectors (?), Innovation (10%), women’s empowerment (80%) and service providers </w:t>
      </w:r>
      <w:r w:rsidRPr="00824139">
        <w:rPr>
          <w:rFonts w:eastAsia="Calibri"/>
          <w:i/>
          <w:szCs w:val="24"/>
        </w:rPr>
        <w:t>e.g.</w:t>
      </w:r>
      <w:r w:rsidRPr="00824139">
        <w:rPr>
          <w:rFonts w:eastAsia="Calibri"/>
          <w:szCs w:val="24"/>
        </w:rPr>
        <w:t xml:space="preserve"> Faith-Based Organisations (75%), private sector engagement (30%), Aid for Trade (20%) and achievement of value for money (85%).</w:t>
      </w: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 xml:space="preserve">To what extent are the Phase III design principles still relevant, and what reinforcement or change, if any, should occur: </w:t>
      </w:r>
    </w:p>
    <w:p w:rsidR="009F5452" w:rsidRPr="00824139" w:rsidRDefault="009F5452" w:rsidP="00A82AAB">
      <w:pPr>
        <w:pStyle w:val="ListParagraph"/>
        <w:numPr>
          <w:ilvl w:val="0"/>
          <w:numId w:val="58"/>
        </w:numPr>
        <w:spacing w:before="0" w:after="160" w:line="259" w:lineRule="auto"/>
        <w:rPr>
          <w:rFonts w:eastAsia="Calibri"/>
          <w:szCs w:val="24"/>
        </w:rPr>
      </w:pPr>
      <w:r w:rsidRPr="00824139">
        <w:rPr>
          <w:rFonts w:eastAsia="Calibri"/>
          <w:szCs w:val="24"/>
        </w:rPr>
        <w:t xml:space="preserve">the incentive is a reward to performing organisations </w:t>
      </w:r>
    </w:p>
    <w:p w:rsidR="009F5452" w:rsidRPr="00824139" w:rsidRDefault="009F5452" w:rsidP="00A82AAB">
      <w:pPr>
        <w:pStyle w:val="ListParagraph"/>
        <w:numPr>
          <w:ilvl w:val="0"/>
          <w:numId w:val="58"/>
        </w:numPr>
        <w:rPr>
          <w:rFonts w:eastAsia="Calibri"/>
          <w:szCs w:val="24"/>
        </w:rPr>
      </w:pPr>
      <w:r w:rsidRPr="00824139">
        <w:rPr>
          <w:rFonts w:eastAsia="Calibri"/>
          <w:szCs w:val="24"/>
        </w:rPr>
        <w:t xml:space="preserve">investments should expand service delivery of well performing organisations </w:t>
      </w:r>
    </w:p>
    <w:p w:rsidR="009F5452" w:rsidRPr="00824139" w:rsidRDefault="009F5452" w:rsidP="00A82AAB">
      <w:pPr>
        <w:pStyle w:val="ListParagraph"/>
        <w:numPr>
          <w:ilvl w:val="0"/>
          <w:numId w:val="58"/>
        </w:numPr>
        <w:spacing w:before="0" w:after="160" w:line="259" w:lineRule="auto"/>
        <w:rPr>
          <w:rFonts w:eastAsia="Calibri"/>
          <w:szCs w:val="24"/>
        </w:rPr>
      </w:pPr>
      <w:r w:rsidRPr="00824139">
        <w:rPr>
          <w:rFonts w:eastAsia="Calibri"/>
          <w:szCs w:val="24"/>
        </w:rPr>
        <w:t xml:space="preserve">IF is a demand driven flexible funding mechanism </w:t>
      </w:r>
    </w:p>
    <w:p w:rsidR="009F5452" w:rsidRPr="00824139" w:rsidRDefault="009F5452" w:rsidP="00A82AAB">
      <w:pPr>
        <w:pStyle w:val="ListParagraph"/>
        <w:numPr>
          <w:ilvl w:val="0"/>
          <w:numId w:val="58"/>
        </w:numPr>
        <w:spacing w:before="0" w:after="160" w:line="259" w:lineRule="auto"/>
        <w:rPr>
          <w:rFonts w:eastAsia="Calibri"/>
          <w:szCs w:val="24"/>
        </w:rPr>
      </w:pPr>
      <w:r w:rsidRPr="00824139">
        <w:rPr>
          <w:rFonts w:eastAsia="Calibri"/>
          <w:szCs w:val="24"/>
        </w:rPr>
        <w:t>funds are not allocated equitably, competitive restricted access is applied</w:t>
      </w:r>
    </w:p>
    <w:p w:rsidR="009F5452" w:rsidRPr="00824139" w:rsidRDefault="009F5452" w:rsidP="00A82AAB">
      <w:pPr>
        <w:pStyle w:val="ListParagraph"/>
        <w:numPr>
          <w:ilvl w:val="0"/>
          <w:numId w:val="58"/>
        </w:numPr>
        <w:rPr>
          <w:rFonts w:eastAsia="Calibri"/>
          <w:szCs w:val="24"/>
        </w:rPr>
      </w:pPr>
      <w:r w:rsidRPr="00824139">
        <w:rPr>
          <w:rFonts w:eastAsia="Calibri"/>
          <w:szCs w:val="24"/>
        </w:rPr>
        <w:t>investments link to specific GoPNG and Australian development programs</w:t>
      </w:r>
    </w:p>
    <w:p w:rsidR="009F5452" w:rsidRPr="00824139" w:rsidRDefault="009F5452" w:rsidP="00A82AAB">
      <w:pPr>
        <w:pStyle w:val="ListParagraph"/>
        <w:numPr>
          <w:ilvl w:val="0"/>
          <w:numId w:val="58"/>
        </w:numPr>
        <w:rPr>
          <w:rFonts w:eastAsia="Calibri"/>
          <w:szCs w:val="24"/>
        </w:rPr>
      </w:pPr>
      <w:r w:rsidRPr="00824139">
        <w:rPr>
          <w:rFonts w:eastAsia="Calibri"/>
          <w:szCs w:val="24"/>
        </w:rPr>
        <w:t xml:space="preserve">designs and M&amp;E standards should reinforce sustainability </w:t>
      </w:r>
    </w:p>
    <w:p w:rsidR="009F5452" w:rsidRPr="00824139" w:rsidRDefault="009F5452" w:rsidP="00A82AAB">
      <w:pPr>
        <w:pStyle w:val="ListParagraph"/>
        <w:numPr>
          <w:ilvl w:val="0"/>
          <w:numId w:val="58"/>
        </w:numPr>
        <w:spacing w:before="0" w:after="160" w:line="259" w:lineRule="auto"/>
        <w:rPr>
          <w:rFonts w:eastAsia="Calibri"/>
          <w:szCs w:val="24"/>
        </w:rPr>
      </w:pPr>
      <w:r w:rsidRPr="00824139">
        <w:rPr>
          <w:rFonts w:eastAsia="Calibri"/>
          <w:szCs w:val="24"/>
        </w:rPr>
        <w:t xml:space="preserve">annual funding limits are approximately 5% of the Australian Aid program </w:t>
      </w:r>
    </w:p>
    <w:p w:rsidR="009F5452" w:rsidRPr="00824139" w:rsidRDefault="009F5452" w:rsidP="00824139">
      <w:pPr>
        <w:pStyle w:val="Caption"/>
        <w:rPr>
          <w:rFonts w:eastAsia="Calibri"/>
        </w:rPr>
      </w:pPr>
      <w:r w:rsidRPr="00824139">
        <w:rPr>
          <w:rFonts w:eastAsia="Calibri"/>
        </w:rPr>
        <w:t>Confirm a description of the Incentive Fund Phase IV (Form)</w:t>
      </w: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 xml:space="preserve">Identify useful case study examples of eligible organisations and activities for all relevant sectors </w:t>
      </w:r>
      <w:r w:rsidRPr="00824139">
        <w:rPr>
          <w:rFonts w:eastAsia="Calibri"/>
          <w:i/>
          <w:szCs w:val="24"/>
        </w:rPr>
        <w:t>e.g.</w:t>
      </w:r>
      <w:r w:rsidRPr="00824139">
        <w:rPr>
          <w:rFonts w:eastAsia="Calibri"/>
          <w:szCs w:val="24"/>
        </w:rPr>
        <w:t xml:space="preserve"> infrastructure, health, education, governance, agriculture, etc.</w:t>
      </w: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Identify any organisations or activities that should not be eligible.</w:t>
      </w:r>
    </w:p>
    <w:p w:rsidR="000F5358" w:rsidRPr="00824139" w:rsidRDefault="009F5452" w:rsidP="00A82AAB">
      <w:pPr>
        <w:pStyle w:val="ListParagraph"/>
        <w:numPr>
          <w:ilvl w:val="0"/>
          <w:numId w:val="57"/>
        </w:numPr>
        <w:spacing w:before="0" w:after="0" w:line="259" w:lineRule="auto"/>
        <w:rPr>
          <w:rFonts w:ascii="Calibri" w:eastAsia="Calibri" w:hAnsi="Calibri"/>
          <w:sz w:val="22"/>
          <w:szCs w:val="22"/>
        </w:rPr>
      </w:pPr>
      <w:r w:rsidRPr="00824139">
        <w:rPr>
          <w:rFonts w:eastAsia="Calibri"/>
          <w:szCs w:val="24"/>
        </w:rPr>
        <w:lastRenderedPageBreak/>
        <w:t>Identify any limits in regard to investing in organisational change, vis-à-vis ensuring efficient project management team performance to deliver expanded performance.</w:t>
      </w:r>
    </w:p>
    <w:p w:rsidR="00824139" w:rsidRDefault="00824139" w:rsidP="009F5452">
      <w:pPr>
        <w:spacing w:before="0" w:after="160" w:line="259" w:lineRule="auto"/>
        <w:contextualSpacing/>
        <w:jc w:val="left"/>
        <w:rPr>
          <w:rFonts w:ascii="Calibri" w:eastAsia="Calibri" w:hAnsi="Calibri"/>
          <w:b/>
          <w:sz w:val="22"/>
          <w:szCs w:val="22"/>
        </w:rPr>
      </w:pPr>
    </w:p>
    <w:p w:rsidR="009F5452" w:rsidRPr="0070776B" w:rsidRDefault="009F5452" w:rsidP="00824139">
      <w:pPr>
        <w:pStyle w:val="Caption"/>
        <w:rPr>
          <w:rFonts w:eastAsia="Calibri"/>
        </w:rPr>
      </w:pPr>
      <w:r w:rsidRPr="0070776B">
        <w:rPr>
          <w:rFonts w:eastAsia="Calibri"/>
        </w:rPr>
        <w:t>Confirm Incentive Fund Phase IV management arrangements (Delivery)</w:t>
      </w:r>
    </w:p>
    <w:p w:rsidR="009F5452" w:rsidRPr="00824139" w:rsidRDefault="009F5452" w:rsidP="00A82AAB">
      <w:pPr>
        <w:pStyle w:val="ListParagraph"/>
        <w:numPr>
          <w:ilvl w:val="0"/>
          <w:numId w:val="57"/>
        </w:numPr>
        <w:rPr>
          <w:rFonts w:eastAsia="Calibri"/>
          <w:szCs w:val="24"/>
        </w:rPr>
      </w:pPr>
      <w:r w:rsidRPr="00824139">
        <w:rPr>
          <w:rFonts w:eastAsia="Calibri"/>
          <w:szCs w:val="24"/>
        </w:rPr>
        <w:t xml:space="preserve">What adjustments, if any, are needed to the four stage application mechanism – could this expand to 6 stages: </w:t>
      </w:r>
    </w:p>
    <w:p w:rsidR="009F5452" w:rsidRPr="00824139" w:rsidRDefault="009F5452" w:rsidP="00A82AAB">
      <w:pPr>
        <w:pStyle w:val="ListParagraph"/>
        <w:numPr>
          <w:ilvl w:val="0"/>
          <w:numId w:val="59"/>
        </w:numPr>
        <w:rPr>
          <w:rFonts w:eastAsia="Calibri"/>
          <w:szCs w:val="24"/>
        </w:rPr>
      </w:pPr>
      <w:r w:rsidRPr="00824139">
        <w:rPr>
          <w:rFonts w:eastAsia="Calibri"/>
          <w:szCs w:val="24"/>
        </w:rPr>
        <w:t>Enquiries (e.g. 1697 received in Phase III) – this is a public diplomacy opportunity for Australian Aid, so how solicited and how filtered?</w:t>
      </w:r>
    </w:p>
    <w:p w:rsidR="009F5452" w:rsidRPr="00824139" w:rsidRDefault="009F5452" w:rsidP="00A82AAB">
      <w:pPr>
        <w:pStyle w:val="ListParagraph"/>
        <w:numPr>
          <w:ilvl w:val="0"/>
          <w:numId w:val="59"/>
        </w:numPr>
        <w:spacing w:before="240"/>
        <w:rPr>
          <w:rFonts w:eastAsia="Calibri"/>
          <w:szCs w:val="24"/>
        </w:rPr>
      </w:pPr>
      <w:r w:rsidRPr="00824139">
        <w:rPr>
          <w:rFonts w:eastAsia="Calibri"/>
          <w:szCs w:val="24"/>
        </w:rPr>
        <w:t>Stage 1 Concept Proposals (Gateway Screening – e.g. 86% received had no audited accounts)</w:t>
      </w:r>
    </w:p>
    <w:p w:rsidR="009F5452" w:rsidRPr="00824139" w:rsidRDefault="009F5452" w:rsidP="00A82AAB">
      <w:pPr>
        <w:pStyle w:val="ListParagraph"/>
        <w:numPr>
          <w:ilvl w:val="0"/>
          <w:numId w:val="59"/>
        </w:numPr>
        <w:rPr>
          <w:rFonts w:eastAsia="Calibri"/>
          <w:szCs w:val="24"/>
        </w:rPr>
      </w:pPr>
      <w:r w:rsidRPr="00824139">
        <w:rPr>
          <w:rFonts w:eastAsia="Calibri"/>
          <w:szCs w:val="24"/>
        </w:rPr>
        <w:t>Stage 2 Development priorities assessed through Concept Proposals – more sector scrutiny?</w:t>
      </w:r>
    </w:p>
    <w:p w:rsidR="009F5452" w:rsidRPr="00824139" w:rsidRDefault="009F5452" w:rsidP="00A82AAB">
      <w:pPr>
        <w:pStyle w:val="ListParagraph"/>
        <w:numPr>
          <w:ilvl w:val="0"/>
          <w:numId w:val="59"/>
        </w:numPr>
        <w:rPr>
          <w:rFonts w:eastAsia="Calibri"/>
          <w:szCs w:val="24"/>
        </w:rPr>
      </w:pPr>
      <w:r w:rsidRPr="00824139">
        <w:rPr>
          <w:rFonts w:eastAsia="Calibri"/>
          <w:szCs w:val="24"/>
        </w:rPr>
        <w:t>Stage 3A Organisational Assessments - useful?</w:t>
      </w:r>
    </w:p>
    <w:p w:rsidR="009F5452" w:rsidRPr="00824139" w:rsidRDefault="009F5452" w:rsidP="00A82AAB">
      <w:pPr>
        <w:pStyle w:val="ListParagraph"/>
        <w:numPr>
          <w:ilvl w:val="0"/>
          <w:numId w:val="59"/>
        </w:numPr>
        <w:rPr>
          <w:rFonts w:eastAsia="Calibri"/>
          <w:szCs w:val="24"/>
        </w:rPr>
      </w:pPr>
      <w:r w:rsidRPr="00824139">
        <w:rPr>
          <w:rFonts w:eastAsia="Calibri"/>
          <w:szCs w:val="24"/>
        </w:rPr>
        <w:t>Stage 3B Detailed Proposals developed with MC support</w:t>
      </w:r>
    </w:p>
    <w:p w:rsidR="009F5452" w:rsidRPr="00824139" w:rsidRDefault="009F5452" w:rsidP="00A82AAB">
      <w:pPr>
        <w:pStyle w:val="ListParagraph"/>
        <w:numPr>
          <w:ilvl w:val="0"/>
          <w:numId w:val="59"/>
        </w:numPr>
        <w:rPr>
          <w:rFonts w:eastAsia="Calibri"/>
          <w:szCs w:val="24"/>
        </w:rPr>
      </w:pPr>
      <w:r w:rsidRPr="00824139">
        <w:rPr>
          <w:rFonts w:eastAsia="Calibri"/>
          <w:szCs w:val="24"/>
        </w:rPr>
        <w:t>Stage 4 IF Agreement approved by Management Group</w:t>
      </w:r>
    </w:p>
    <w:p w:rsidR="009F5452" w:rsidRPr="00824139" w:rsidRDefault="009F5452" w:rsidP="006D02E0">
      <w:pPr>
        <w:pStyle w:val="ListParagraph"/>
        <w:rPr>
          <w:rFonts w:eastAsia="Calibri"/>
          <w:szCs w:val="24"/>
        </w:rPr>
      </w:pP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Does DFAT require a cost ratio between activity costs to deliver outputs: reimbursable programming costs for a competitive grant fund: and management fee?</w:t>
      </w:r>
    </w:p>
    <w:p w:rsidR="009F5452" w:rsidRPr="00824139" w:rsidRDefault="009F5452" w:rsidP="00A82AAB">
      <w:pPr>
        <w:pStyle w:val="ListParagraph"/>
        <w:numPr>
          <w:ilvl w:val="0"/>
          <w:numId w:val="57"/>
        </w:numPr>
        <w:rPr>
          <w:rFonts w:eastAsia="Calibri"/>
          <w:szCs w:val="24"/>
        </w:rPr>
      </w:pPr>
      <w:r w:rsidRPr="00824139">
        <w:rPr>
          <w:rFonts w:eastAsia="Calibri"/>
          <w:szCs w:val="24"/>
        </w:rPr>
        <w:t xml:space="preserve">Identify a preferred time-line for </w:t>
      </w:r>
      <w:r w:rsidR="008B3467" w:rsidRPr="008B3467">
        <w:rPr>
          <w:rFonts w:eastAsia="Calibri"/>
          <w:szCs w:val="24"/>
          <w:lang w:val="en-GB"/>
        </w:rPr>
        <w:t xml:space="preserve">IF (IV) </w:t>
      </w:r>
      <w:r w:rsidRPr="00824139">
        <w:rPr>
          <w:rFonts w:eastAsia="Calibri"/>
          <w:szCs w:val="24"/>
        </w:rPr>
        <w:t>implementation.</w:t>
      </w: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 xml:space="preserve">How satisfactory was the Management Group membership and function, and the sub-Management </w:t>
      </w:r>
      <w:proofErr w:type="gramStart"/>
      <w:r w:rsidRPr="00824139">
        <w:rPr>
          <w:rFonts w:eastAsia="Calibri"/>
          <w:szCs w:val="24"/>
        </w:rPr>
        <w:t>Group.</w:t>
      </w:r>
      <w:proofErr w:type="gramEnd"/>
      <w:r w:rsidRPr="00824139">
        <w:rPr>
          <w:rFonts w:eastAsia="Calibri"/>
          <w:szCs w:val="24"/>
        </w:rPr>
        <w:t xml:space="preserve"> Are there any opportunities for improvement?</w:t>
      </w: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 xml:space="preserve">How satisfactory was the previous implementation team structure and its performance management. Does DFAT want to be prescriptive or flexible in regard to team structure? </w:t>
      </w:r>
    </w:p>
    <w:p w:rsidR="009F5452" w:rsidRPr="0068151A" w:rsidRDefault="009F5452" w:rsidP="00824139">
      <w:pPr>
        <w:pStyle w:val="Caption"/>
        <w:rPr>
          <w:rFonts w:eastAsia="Calibri"/>
        </w:rPr>
      </w:pPr>
      <w:r w:rsidRPr="0068151A">
        <w:rPr>
          <w:rFonts w:eastAsia="Calibri"/>
        </w:rPr>
        <w:t xml:space="preserve">Confirm Monitoring and Evaluation </w:t>
      </w:r>
      <w:r>
        <w:rPr>
          <w:rFonts w:eastAsia="Calibri"/>
        </w:rPr>
        <w:t>systems</w:t>
      </w:r>
    </w:p>
    <w:p w:rsidR="009F5452" w:rsidRPr="00824139" w:rsidRDefault="009F5452" w:rsidP="00A82AAB">
      <w:pPr>
        <w:pStyle w:val="ListParagraph"/>
        <w:numPr>
          <w:ilvl w:val="0"/>
          <w:numId w:val="57"/>
        </w:numPr>
        <w:rPr>
          <w:rFonts w:eastAsia="Calibri"/>
          <w:szCs w:val="24"/>
        </w:rPr>
      </w:pPr>
      <w:r w:rsidRPr="00824139">
        <w:rPr>
          <w:rFonts w:eastAsia="Calibri"/>
          <w:szCs w:val="24"/>
        </w:rPr>
        <w:t>Was DFAT, GoPNG and the Management Group satisfied with:</w:t>
      </w:r>
    </w:p>
    <w:p w:rsidR="009F5452" w:rsidRPr="00824139" w:rsidRDefault="009F5452" w:rsidP="00A82AAB">
      <w:pPr>
        <w:pStyle w:val="ListParagraph"/>
        <w:numPr>
          <w:ilvl w:val="0"/>
          <w:numId w:val="60"/>
        </w:numPr>
        <w:rPr>
          <w:rFonts w:eastAsia="Calibri"/>
          <w:szCs w:val="24"/>
        </w:rPr>
      </w:pPr>
      <w:r w:rsidRPr="00824139">
        <w:rPr>
          <w:rFonts w:eastAsia="Calibri"/>
          <w:szCs w:val="24"/>
        </w:rPr>
        <w:t>Activity level reporting?</w:t>
      </w:r>
    </w:p>
    <w:p w:rsidR="009F5452" w:rsidRPr="00824139" w:rsidRDefault="009F5452" w:rsidP="00A82AAB">
      <w:pPr>
        <w:pStyle w:val="ListParagraph"/>
        <w:numPr>
          <w:ilvl w:val="0"/>
          <w:numId w:val="60"/>
        </w:numPr>
        <w:rPr>
          <w:rFonts w:eastAsia="Calibri"/>
          <w:szCs w:val="24"/>
        </w:rPr>
      </w:pPr>
      <w:r w:rsidRPr="00824139">
        <w:rPr>
          <w:rFonts w:eastAsia="Calibri"/>
          <w:szCs w:val="24"/>
        </w:rPr>
        <w:t>Output level reporting?</w:t>
      </w:r>
    </w:p>
    <w:p w:rsidR="009F5452" w:rsidRPr="00824139" w:rsidRDefault="009F5452" w:rsidP="00A82AAB">
      <w:pPr>
        <w:pStyle w:val="ListParagraph"/>
        <w:numPr>
          <w:ilvl w:val="0"/>
          <w:numId w:val="60"/>
        </w:numPr>
        <w:rPr>
          <w:rFonts w:eastAsia="Calibri"/>
          <w:szCs w:val="24"/>
        </w:rPr>
      </w:pPr>
      <w:r w:rsidRPr="00824139">
        <w:rPr>
          <w:rFonts w:eastAsia="Calibri"/>
          <w:szCs w:val="24"/>
        </w:rPr>
        <w:t>Performance management reporting?</w:t>
      </w:r>
    </w:p>
    <w:p w:rsidR="009F5452" w:rsidRPr="00824139" w:rsidRDefault="009F5452" w:rsidP="00A82AAB">
      <w:pPr>
        <w:pStyle w:val="ListParagraph"/>
        <w:numPr>
          <w:ilvl w:val="0"/>
          <w:numId w:val="60"/>
        </w:numPr>
        <w:rPr>
          <w:rFonts w:eastAsia="Calibri"/>
          <w:szCs w:val="24"/>
        </w:rPr>
      </w:pPr>
      <w:r w:rsidRPr="00824139">
        <w:rPr>
          <w:rFonts w:eastAsia="Calibri"/>
          <w:szCs w:val="24"/>
        </w:rPr>
        <w:t>Reporting on the end of program position?</w:t>
      </w:r>
    </w:p>
    <w:p w:rsidR="009F5452" w:rsidRPr="00824139" w:rsidRDefault="009F5452" w:rsidP="00A82AAB">
      <w:pPr>
        <w:pStyle w:val="ListParagraph"/>
        <w:numPr>
          <w:ilvl w:val="0"/>
          <w:numId w:val="60"/>
        </w:numPr>
        <w:rPr>
          <w:rFonts w:eastAsia="Calibri"/>
          <w:szCs w:val="24"/>
        </w:rPr>
      </w:pPr>
      <w:r w:rsidRPr="00824139">
        <w:rPr>
          <w:rFonts w:eastAsia="Calibri"/>
          <w:szCs w:val="24"/>
        </w:rPr>
        <w:t>Reporting on the conversion of outputs to PNG development outcomes?</w:t>
      </w:r>
    </w:p>
    <w:p w:rsidR="009F5452" w:rsidRPr="00824139" w:rsidRDefault="009F5452" w:rsidP="006D02E0">
      <w:pPr>
        <w:pStyle w:val="ListParagraph"/>
        <w:rPr>
          <w:rFonts w:eastAsia="Calibri"/>
          <w:szCs w:val="24"/>
        </w:rPr>
      </w:pP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Identify examples of IF projects that particularly delivered value for money – why?</w:t>
      </w:r>
    </w:p>
    <w:p w:rsidR="009F5452" w:rsidRPr="0068151A" w:rsidRDefault="009F5452" w:rsidP="00824139">
      <w:pPr>
        <w:pStyle w:val="Caption"/>
        <w:rPr>
          <w:rFonts w:eastAsia="Calibri"/>
        </w:rPr>
      </w:pPr>
      <w:r w:rsidRPr="0068151A">
        <w:rPr>
          <w:rFonts w:eastAsia="Calibri"/>
        </w:rPr>
        <w:t>Confirm Incentive Fund Phase IV Risk and Feasibility (Risk Management)</w:t>
      </w: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What are the practicalities in regard to the use of a prepayment basis of payment using an Unconditional Financial Undertaking?</w:t>
      </w: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What are the acceptable trade-offs between development risks and fiduciary risks?</w:t>
      </w: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What is a sufficient level of funding to maintain year-on-year over four years?</w:t>
      </w:r>
    </w:p>
    <w:p w:rsidR="009F5452" w:rsidRPr="00824139" w:rsidRDefault="009F5452" w:rsidP="00A82AAB">
      <w:pPr>
        <w:pStyle w:val="ListParagraph"/>
        <w:numPr>
          <w:ilvl w:val="0"/>
          <w:numId w:val="57"/>
        </w:numPr>
        <w:rPr>
          <w:rFonts w:eastAsia="Calibri"/>
          <w:szCs w:val="24"/>
        </w:rPr>
      </w:pPr>
      <w:r w:rsidRPr="00824139">
        <w:rPr>
          <w:rFonts w:eastAsia="Calibri"/>
          <w:szCs w:val="24"/>
        </w:rPr>
        <w:t>To what extent do grants have to finalise by the end of the IF (IV) contracted period and what is an acceptable approach towards transferring post IF (IV) outstanding commitments?</w:t>
      </w:r>
    </w:p>
    <w:p w:rsidR="009F5452" w:rsidRPr="00824139" w:rsidRDefault="009F5452" w:rsidP="00A82AAB">
      <w:pPr>
        <w:pStyle w:val="ListParagraph"/>
        <w:numPr>
          <w:ilvl w:val="0"/>
          <w:numId w:val="57"/>
        </w:numPr>
        <w:spacing w:before="0" w:after="160" w:line="259" w:lineRule="auto"/>
        <w:rPr>
          <w:rFonts w:eastAsia="Calibri"/>
          <w:szCs w:val="24"/>
        </w:rPr>
      </w:pPr>
      <w:r w:rsidRPr="00824139">
        <w:rPr>
          <w:rFonts w:eastAsia="Calibri"/>
          <w:szCs w:val="24"/>
        </w:rPr>
        <w:t>How can DFAT ensure sustainability of investments post project and program? This includes identifying mechanisms to manage outstanding commitment, re-work or additional support.</w:t>
      </w:r>
    </w:p>
    <w:p w:rsidR="009F5452" w:rsidRDefault="009F5452" w:rsidP="009F5452">
      <w:pPr>
        <w:spacing w:before="0" w:after="160" w:line="259" w:lineRule="auto"/>
        <w:ind w:left="720"/>
        <w:contextualSpacing/>
        <w:jc w:val="left"/>
        <w:rPr>
          <w:rFonts w:ascii="Calibri" w:eastAsia="Calibri" w:hAnsi="Calibri"/>
          <w:sz w:val="22"/>
          <w:szCs w:val="22"/>
        </w:rPr>
      </w:pPr>
    </w:p>
    <w:p w:rsidR="009F5452" w:rsidRPr="00824139" w:rsidRDefault="009F5452" w:rsidP="009F5452">
      <w:pPr>
        <w:spacing w:before="0" w:after="160" w:line="259" w:lineRule="auto"/>
        <w:ind w:left="720"/>
        <w:contextualSpacing/>
        <w:jc w:val="right"/>
        <w:rPr>
          <w:rFonts w:eastAsia="Calibri"/>
          <w:b/>
          <w:szCs w:val="24"/>
        </w:rPr>
      </w:pPr>
      <w:r w:rsidRPr="00824139">
        <w:rPr>
          <w:rFonts w:eastAsia="Calibri"/>
          <w:b/>
          <w:szCs w:val="24"/>
        </w:rPr>
        <w:t>Keith Tuckwell, 21 September 2014</w:t>
      </w:r>
    </w:p>
    <w:p w:rsidR="009F5452" w:rsidRDefault="009F5452" w:rsidP="009F5452">
      <w:pPr>
        <w:spacing w:before="0" w:after="160" w:line="259" w:lineRule="auto"/>
        <w:contextualSpacing/>
        <w:jc w:val="left"/>
        <w:rPr>
          <w:rFonts w:ascii="Calibri" w:eastAsia="Calibri" w:hAnsi="Calibri"/>
          <w:sz w:val="22"/>
          <w:szCs w:val="22"/>
        </w:rPr>
      </w:pPr>
    </w:p>
    <w:p w:rsidR="006E5EE9" w:rsidRPr="00571F0B" w:rsidRDefault="006E5EE9" w:rsidP="00D8630F">
      <w:pPr>
        <w:spacing w:before="0" w:after="0"/>
        <w:jc w:val="left"/>
        <w:rPr>
          <w:szCs w:val="24"/>
          <w:lang w:val="en-GB"/>
        </w:rPr>
        <w:sectPr w:rsidR="006E5EE9" w:rsidRPr="00571F0B" w:rsidSect="00902169">
          <w:headerReference w:type="default" r:id="rId43"/>
          <w:footerReference w:type="default" r:id="rId44"/>
          <w:pgSz w:w="11909" w:h="16834" w:code="9"/>
          <w:pgMar w:top="851" w:right="1418" w:bottom="851" w:left="1418" w:header="578" w:footer="578" w:gutter="0"/>
          <w:pgNumType w:start="1"/>
          <w:cols w:space="720"/>
        </w:sectPr>
      </w:pPr>
    </w:p>
    <w:p w:rsidR="00B06417" w:rsidRPr="00E507E1" w:rsidRDefault="005D4241" w:rsidP="005D4241">
      <w:pPr>
        <w:spacing w:before="120" w:after="240"/>
        <w:rPr>
          <w:sz w:val="20"/>
          <w:lang w:val="en-GB"/>
        </w:rPr>
      </w:pPr>
      <w:r>
        <w:rPr>
          <w:sz w:val="20"/>
          <w:lang w:val="en-GB"/>
        </w:rPr>
        <w:lastRenderedPageBreak/>
        <w:t>Annex 6 removed</w:t>
      </w:r>
    </w:p>
    <w:sectPr w:rsidR="00B06417" w:rsidRPr="00E507E1" w:rsidSect="007D1DD7">
      <w:headerReference w:type="default" r:id="rId45"/>
      <w:footerReference w:type="default" r:id="rId46"/>
      <w:pgSz w:w="11909" w:h="16834" w:code="9"/>
      <w:pgMar w:top="851" w:right="1418" w:bottom="851" w:left="1418" w:header="578" w:footer="57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54C" w:rsidRDefault="00A1654C">
      <w:r>
        <w:separator/>
      </w:r>
    </w:p>
  </w:endnote>
  <w:endnote w:type="continuationSeparator" w:id="0">
    <w:p w:rsidR="00A1654C" w:rsidRDefault="00A1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Default="00A1654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473D7B" w:rsidRDefault="00A1654C">
    <w:pPr>
      <w:pStyle w:val="Footer"/>
      <w:rPr>
        <w:sz w:val="16"/>
        <w:szCs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473D7B" w:rsidRDefault="00A1654C">
    <w:pPr>
      <w:pStyle w:val="Footer"/>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Default="00A1654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A227E7" w:rsidRDefault="00A1654C" w:rsidP="00A227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Default="00A165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Default="00A165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473D7B" w:rsidRDefault="00A1654C">
    <w:pPr>
      <w:pStyle w:val="Footer"/>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473D7B" w:rsidRDefault="00A1654C">
    <w:pPr>
      <w:pStyle w:val="Footer"/>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473D7B" w:rsidRDefault="00A1654C">
    <w:pPr>
      <w:pStyle w:val="Footer"/>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473D7B" w:rsidRDefault="00A1654C">
    <w:pPr>
      <w:pStyle w:val="Footer"/>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473D7B" w:rsidRDefault="00A1654C">
    <w:pPr>
      <w:pStyle w:val="Footer"/>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473D7B" w:rsidRDefault="00A1654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54C" w:rsidRDefault="00A1654C">
      <w:r>
        <w:separator/>
      </w:r>
    </w:p>
  </w:footnote>
  <w:footnote w:type="continuationSeparator" w:id="0">
    <w:p w:rsidR="00A1654C" w:rsidRDefault="00A1654C">
      <w:r>
        <w:continuationSeparator/>
      </w:r>
    </w:p>
  </w:footnote>
  <w:footnote w:id="1">
    <w:p w:rsidR="00A1654C" w:rsidRPr="00D73E0E" w:rsidRDefault="00A1654C" w:rsidP="00D73E0E">
      <w:pPr>
        <w:pStyle w:val="FootnoteText"/>
        <w:spacing w:before="0" w:after="0"/>
        <w:rPr>
          <w:sz w:val="16"/>
          <w:szCs w:val="16"/>
        </w:rPr>
      </w:pPr>
      <w:r>
        <w:rPr>
          <w:rStyle w:val="FootnoteReference"/>
        </w:rPr>
        <w:footnoteRef/>
      </w:r>
      <w:r>
        <w:t xml:space="preserve"> </w:t>
      </w:r>
      <w:r w:rsidRPr="00D73E0E">
        <w:rPr>
          <w:sz w:val="16"/>
          <w:szCs w:val="16"/>
        </w:rPr>
        <w:t>The 2012 Pacific Regional MDG Tracking Report</w:t>
      </w:r>
    </w:p>
  </w:footnote>
  <w:footnote w:id="2">
    <w:p w:rsidR="00A1654C" w:rsidRPr="00D73E0E" w:rsidRDefault="00A1654C" w:rsidP="00D73E0E">
      <w:pPr>
        <w:pStyle w:val="FootnoteText"/>
        <w:spacing w:before="0" w:after="0"/>
        <w:rPr>
          <w:sz w:val="16"/>
          <w:szCs w:val="16"/>
        </w:rPr>
      </w:pPr>
      <w:r>
        <w:rPr>
          <w:rStyle w:val="FootnoteReference"/>
        </w:rPr>
        <w:footnoteRef/>
      </w:r>
      <w:r>
        <w:t xml:space="preserve"> </w:t>
      </w:r>
      <w:r w:rsidRPr="00D73E0E">
        <w:rPr>
          <w:sz w:val="16"/>
          <w:szCs w:val="16"/>
        </w:rPr>
        <w:t>International Monetary Fund, December 2013, PNG Staff Report for the 2013 Article IV Consultation; UNDP 2013 Human Development Report, the UNDP Gender Inequality Index.</w:t>
      </w:r>
    </w:p>
  </w:footnote>
  <w:footnote w:id="3">
    <w:p w:rsidR="00A1654C" w:rsidRPr="00D73E0E" w:rsidRDefault="00A1654C" w:rsidP="00D73E0E">
      <w:pPr>
        <w:pStyle w:val="FootnoteText"/>
        <w:spacing w:before="0" w:after="0"/>
        <w:rPr>
          <w:sz w:val="16"/>
          <w:szCs w:val="16"/>
        </w:rPr>
      </w:pPr>
      <w:r w:rsidRPr="00D73E0E">
        <w:rPr>
          <w:vertAlign w:val="superscript"/>
        </w:rPr>
        <w:footnoteRef/>
      </w:r>
      <w:r>
        <w:t xml:space="preserve"> </w:t>
      </w:r>
      <w:r w:rsidRPr="00D73E0E">
        <w:rPr>
          <w:sz w:val="16"/>
          <w:szCs w:val="16"/>
        </w:rPr>
        <w:t>World Health Organisation, Life Expectancy Data for PNG</w:t>
      </w:r>
    </w:p>
  </w:footnote>
  <w:footnote w:id="4">
    <w:p w:rsidR="00A1654C" w:rsidRPr="00F94E53" w:rsidRDefault="00A1654C" w:rsidP="00F94E53">
      <w:pPr>
        <w:pStyle w:val="FootnoteText"/>
        <w:spacing w:before="0" w:after="0"/>
        <w:rPr>
          <w:sz w:val="16"/>
          <w:szCs w:val="16"/>
        </w:rPr>
      </w:pPr>
      <w:r>
        <w:rPr>
          <w:rStyle w:val="FootnoteReference"/>
        </w:rPr>
        <w:footnoteRef/>
      </w:r>
      <w:r>
        <w:t xml:space="preserve"> </w:t>
      </w:r>
      <w:r w:rsidRPr="00F94E53">
        <w:rPr>
          <w:sz w:val="16"/>
          <w:szCs w:val="16"/>
        </w:rPr>
        <w:t>UNDP, The 2013 Human Development Report</w:t>
      </w:r>
    </w:p>
  </w:footnote>
  <w:footnote w:id="5">
    <w:p w:rsidR="00A1654C" w:rsidRPr="00832208" w:rsidRDefault="00A1654C" w:rsidP="00832208">
      <w:pPr>
        <w:pStyle w:val="FootnoteText"/>
        <w:spacing w:before="0" w:after="0"/>
        <w:rPr>
          <w:sz w:val="16"/>
          <w:szCs w:val="16"/>
        </w:rPr>
      </w:pPr>
      <w:r>
        <w:rPr>
          <w:rStyle w:val="FootnoteReference"/>
        </w:rPr>
        <w:footnoteRef/>
      </w:r>
      <w:r>
        <w:t xml:space="preserve"> </w:t>
      </w:r>
      <w:r w:rsidRPr="00832208">
        <w:rPr>
          <w:sz w:val="16"/>
          <w:szCs w:val="16"/>
        </w:rPr>
        <w:t>World Bank, UNDP, PNG Government, ADB 2013, Papua New Guinea Country Gender Assessment 2011-12, World Bank, Port Moresby, PNG, p52</w:t>
      </w:r>
    </w:p>
  </w:footnote>
  <w:footnote w:id="6">
    <w:p w:rsidR="00A1654C" w:rsidRPr="00832208" w:rsidRDefault="00A1654C" w:rsidP="00832208">
      <w:pPr>
        <w:pStyle w:val="NormalWeb"/>
        <w:spacing w:before="0" w:beforeAutospacing="0" w:after="0" w:afterAutospacing="0"/>
        <w:ind w:left="720" w:hanging="720"/>
        <w:textAlignment w:val="baseline"/>
        <w:rPr>
          <w:sz w:val="16"/>
          <w:szCs w:val="16"/>
        </w:rPr>
      </w:pPr>
      <w:r w:rsidRPr="00A760D2">
        <w:rPr>
          <w:rStyle w:val="FootnoteReference"/>
          <w:sz w:val="20"/>
          <w:szCs w:val="20"/>
        </w:rPr>
        <w:footnoteRef/>
      </w:r>
      <w:r>
        <w:t xml:space="preserve"> </w:t>
      </w:r>
      <w:r w:rsidRPr="00832208">
        <w:rPr>
          <w:rFonts w:eastAsiaTheme="minorEastAsia"/>
          <w:color w:val="000000" w:themeColor="text1"/>
          <w:sz w:val="16"/>
          <w:szCs w:val="16"/>
        </w:rPr>
        <w:t xml:space="preserve">Armenakis, A., Harris, S. and Field, H. (1999) Making change permanent: a model for institutionalising change interventions. </w:t>
      </w:r>
      <w:proofErr w:type="gramStart"/>
      <w:r w:rsidRPr="00832208">
        <w:rPr>
          <w:rFonts w:eastAsiaTheme="minorEastAsia"/>
          <w:color w:val="000000" w:themeColor="text1"/>
          <w:sz w:val="16"/>
          <w:szCs w:val="16"/>
        </w:rPr>
        <w:t>Research in Institutional Change and Development, Issue 12, pp97 – 128.</w:t>
      </w:r>
      <w:proofErr w:type="gramEnd"/>
      <w:r w:rsidRPr="00832208">
        <w:rPr>
          <w:rFonts w:eastAsiaTheme="minorEastAsia"/>
          <w:color w:val="000000" w:themeColor="text1"/>
          <w:sz w:val="16"/>
          <w:szCs w:val="16"/>
        </w:rPr>
        <w:t xml:space="preserve">  Stamford, CT: JAI Press Inc. USA.</w:t>
      </w:r>
    </w:p>
  </w:footnote>
  <w:footnote w:id="7">
    <w:p w:rsidR="00A1654C" w:rsidRDefault="00A1654C">
      <w:pPr>
        <w:pStyle w:val="FootnoteText"/>
      </w:pPr>
      <w:r>
        <w:rPr>
          <w:rStyle w:val="FootnoteReference"/>
        </w:rPr>
        <w:footnoteRef/>
      </w:r>
      <w:r>
        <w:t xml:space="preserve"> </w:t>
      </w:r>
      <w:r w:rsidRPr="005240EE">
        <w:rPr>
          <w:sz w:val="16"/>
          <w:szCs w:val="16"/>
        </w:rPr>
        <w:t>Incentive Fund Agreements</w:t>
      </w:r>
    </w:p>
  </w:footnote>
  <w:footnote w:id="8">
    <w:p w:rsidR="00A1654C" w:rsidRPr="00A760D2" w:rsidRDefault="00A1654C" w:rsidP="00A760D2">
      <w:pPr>
        <w:pStyle w:val="FootnoteText"/>
        <w:spacing w:before="0" w:after="0"/>
        <w:rPr>
          <w:sz w:val="16"/>
          <w:szCs w:val="16"/>
        </w:rPr>
      </w:pPr>
      <w:r>
        <w:rPr>
          <w:rStyle w:val="FootnoteReference"/>
        </w:rPr>
        <w:footnoteRef/>
      </w:r>
      <w:r>
        <w:t xml:space="preserve"> </w:t>
      </w:r>
      <w:r w:rsidRPr="00A760D2">
        <w:rPr>
          <w:sz w:val="16"/>
          <w:szCs w:val="16"/>
        </w:rPr>
        <w:t>Averill, K., Nunns, H., Sent, W. (2008) Evaluation of the Australia Papua New Guinea Incentive Fund Support</w:t>
      </w:r>
    </w:p>
  </w:footnote>
  <w:footnote w:id="9">
    <w:p w:rsidR="00A1654C" w:rsidRPr="00A760D2" w:rsidRDefault="00A1654C" w:rsidP="00A760D2">
      <w:pPr>
        <w:pStyle w:val="FootnoteText"/>
        <w:spacing w:before="0" w:after="0"/>
        <w:rPr>
          <w:sz w:val="16"/>
          <w:szCs w:val="16"/>
        </w:rPr>
      </w:pPr>
      <w:r>
        <w:rPr>
          <w:rStyle w:val="FootnoteReference"/>
        </w:rPr>
        <w:footnoteRef/>
      </w:r>
      <w:r>
        <w:t xml:space="preserve"> </w:t>
      </w:r>
      <w:r w:rsidRPr="00A760D2">
        <w:rPr>
          <w:sz w:val="16"/>
          <w:szCs w:val="16"/>
        </w:rPr>
        <w:t>Data taken from the Incentive Fund Phase III Activity Completion Report</w:t>
      </w:r>
    </w:p>
  </w:footnote>
  <w:footnote w:id="10">
    <w:p w:rsidR="00A1654C" w:rsidRPr="00A75121" w:rsidRDefault="00A1654C" w:rsidP="002244B6">
      <w:pPr>
        <w:pStyle w:val="FootnoteText"/>
        <w:spacing w:before="0" w:after="0"/>
        <w:rPr>
          <w:sz w:val="16"/>
          <w:szCs w:val="16"/>
        </w:rPr>
      </w:pPr>
      <w:r w:rsidRPr="006B2A57">
        <w:rPr>
          <w:rStyle w:val="FootnoteReference"/>
        </w:rPr>
        <w:footnoteRef/>
      </w:r>
      <w:r w:rsidRPr="006B2A57">
        <w:t xml:space="preserve"> </w:t>
      </w:r>
      <w:r w:rsidRPr="00A75121">
        <w:rPr>
          <w:sz w:val="16"/>
          <w:szCs w:val="16"/>
        </w:rPr>
        <w:t>Figures from Incentive Fund Phase IV concept Paper, August 2014 by Emmanuel V. Federice</w:t>
      </w:r>
      <w:r>
        <w:rPr>
          <w:sz w:val="16"/>
          <w:szCs w:val="16"/>
        </w:rPr>
        <w:t>.</w:t>
      </w:r>
    </w:p>
  </w:footnote>
  <w:footnote w:id="11">
    <w:p w:rsidR="00A1654C" w:rsidRPr="00DC1742" w:rsidRDefault="00A1654C" w:rsidP="00DC1742">
      <w:pPr>
        <w:pStyle w:val="FootnoteText"/>
        <w:spacing w:before="0" w:after="0"/>
        <w:rPr>
          <w:sz w:val="16"/>
          <w:szCs w:val="16"/>
        </w:rPr>
      </w:pPr>
      <w:r>
        <w:rPr>
          <w:rStyle w:val="FootnoteReference"/>
        </w:rPr>
        <w:footnoteRef/>
      </w:r>
      <w:r>
        <w:t xml:space="preserve"> </w:t>
      </w:r>
      <w:r w:rsidRPr="00DC1742">
        <w:rPr>
          <w:sz w:val="16"/>
          <w:szCs w:val="16"/>
        </w:rPr>
        <w:t>Figures from the ACR combine numbers for technical, vocational, maritime, trade and teachers training that could lead to employment</w:t>
      </w:r>
    </w:p>
  </w:footnote>
  <w:footnote w:id="12">
    <w:p w:rsidR="00A1654C" w:rsidRPr="009E1DA4" w:rsidRDefault="00A1654C" w:rsidP="009E1DA4">
      <w:pPr>
        <w:pStyle w:val="FootnoteText"/>
        <w:spacing w:before="0" w:after="0"/>
        <w:rPr>
          <w:sz w:val="16"/>
          <w:szCs w:val="16"/>
        </w:rPr>
      </w:pPr>
      <w:r>
        <w:rPr>
          <w:rStyle w:val="FootnoteReference"/>
        </w:rPr>
        <w:footnoteRef/>
      </w:r>
      <w:r>
        <w:t xml:space="preserve"> </w:t>
      </w:r>
      <w:r w:rsidRPr="009E1DA4">
        <w:rPr>
          <w:sz w:val="16"/>
          <w:szCs w:val="16"/>
        </w:rPr>
        <w:t xml:space="preserve">See: </w:t>
      </w:r>
      <w:hyperlink r:id="rId1" w:history="1">
        <w:r w:rsidRPr="0091709C">
          <w:rPr>
            <w:rStyle w:val="Hyperlink"/>
            <w:sz w:val="16"/>
            <w:szCs w:val="16"/>
          </w:rPr>
          <w:t>http://aid.dfat.gov.au/publications/Pages/dfat-monitoring-evaluation-standards.aspx</w:t>
        </w:r>
      </w:hyperlink>
      <w:r>
        <w:rPr>
          <w:sz w:val="16"/>
          <w:szCs w:val="16"/>
        </w:rPr>
        <w:t xml:space="preserve"> </w:t>
      </w:r>
    </w:p>
  </w:footnote>
  <w:footnote w:id="13">
    <w:p w:rsidR="00A1654C" w:rsidRDefault="00A1654C" w:rsidP="00E93847">
      <w:pPr>
        <w:pStyle w:val="FootnoteText"/>
      </w:pPr>
      <w:r>
        <w:rPr>
          <w:rStyle w:val="FootnoteReference"/>
        </w:rPr>
        <w:footnoteRef/>
      </w:r>
      <w:r>
        <w:t xml:space="preserve"> </w:t>
      </w:r>
      <w:hyperlink r:id="rId2" w:history="1">
        <w:r w:rsidRPr="00763ADE">
          <w:rPr>
            <w:rStyle w:val="Hyperlink"/>
          </w:rPr>
          <w:t>http://aid.dfat.gov.au/Publications/Pages/7618_6876_7414_705_9251.aspx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Default="00A1654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902169" w:rsidRDefault="00A1654C" w:rsidP="00582A5C">
    <w:pPr>
      <w:tabs>
        <w:tab w:val="right" w:pos="8647"/>
      </w:tabs>
      <w:spacing w:before="0" w:after="0"/>
      <w:rPr>
        <w:rFonts w:ascii="Arial" w:hAnsi="Arial" w:cs="Arial"/>
        <w:b/>
        <w:sz w:val="16"/>
        <w:szCs w:val="16"/>
      </w:rPr>
    </w:pPr>
    <w:r w:rsidRPr="00902169">
      <w:rPr>
        <w:rFonts w:ascii="Arial" w:hAnsi="Arial" w:cs="Arial"/>
        <w:sz w:val="16"/>
        <w:szCs w:val="16"/>
      </w:rPr>
      <w:fldChar w:fldCharType="begin"/>
    </w:r>
    <w:r w:rsidRPr="00902169">
      <w:rPr>
        <w:rFonts w:ascii="Arial" w:hAnsi="Arial" w:cs="Arial"/>
        <w:sz w:val="16"/>
        <w:szCs w:val="16"/>
      </w:rPr>
      <w:instrText xml:space="preserve"> TITLE \* MERGEFORMAT </w:instrText>
    </w:r>
    <w:r w:rsidRPr="00902169">
      <w:rPr>
        <w:rFonts w:ascii="Arial" w:hAnsi="Arial" w:cs="Arial"/>
        <w:sz w:val="16"/>
        <w:szCs w:val="16"/>
      </w:rPr>
      <w:fldChar w:fldCharType="end"/>
    </w:r>
  </w:p>
  <w:p w:rsidR="00A1654C" w:rsidRPr="00902169" w:rsidRDefault="00A1654C" w:rsidP="00902169">
    <w:pPr>
      <w:pBdr>
        <w:bottom w:val="single" w:sz="4" w:space="2" w:color="auto"/>
      </w:pBdr>
      <w:tabs>
        <w:tab w:val="right" w:pos="9072"/>
      </w:tabs>
      <w:spacing w:before="0" w:after="120"/>
      <w:rPr>
        <w:rFonts w:ascii="Arial" w:hAnsi="Arial" w:cs="Arial"/>
        <w:sz w:val="16"/>
        <w:szCs w:val="16"/>
      </w:rPr>
    </w:pPr>
    <w:r w:rsidRPr="00902169">
      <w:rPr>
        <w:rFonts w:ascii="Arial" w:hAnsi="Arial" w:cs="Arial"/>
        <w:sz w:val="16"/>
        <w:szCs w:val="16"/>
      </w:rPr>
      <w:fldChar w:fldCharType="begin"/>
    </w:r>
    <w:r w:rsidRPr="00902169">
      <w:rPr>
        <w:rFonts w:ascii="Arial" w:hAnsi="Arial" w:cs="Arial"/>
        <w:sz w:val="16"/>
        <w:szCs w:val="16"/>
      </w:rPr>
      <w:instrText xml:space="preserve"> SUBJECT  \* MERGEFORMAT </w:instrText>
    </w:r>
    <w:r w:rsidRPr="00902169">
      <w:rPr>
        <w:rFonts w:ascii="Arial" w:hAnsi="Arial" w:cs="Arial"/>
        <w:sz w:val="16"/>
        <w:szCs w:val="16"/>
      </w:rPr>
      <w:fldChar w:fldCharType="end"/>
    </w:r>
    <w:r w:rsidRPr="00902169">
      <w:rPr>
        <w:rFonts w:ascii="Arial" w:hAnsi="Arial" w:cs="Arial"/>
        <w:sz w:val="16"/>
        <w:szCs w:val="16"/>
      </w:rPr>
      <w:t xml:space="preserve"> </w:t>
    </w:r>
    <w:r w:rsidRPr="00902169">
      <w:rPr>
        <w:rFonts w:ascii="Arial" w:hAnsi="Arial" w:cs="Arial"/>
        <w:sz w:val="16"/>
        <w:szCs w:val="16"/>
      </w:rPr>
      <w:tab/>
      <w:t>Annex 1-</w:t>
    </w:r>
    <w:r w:rsidRPr="00902169">
      <w:rPr>
        <w:rStyle w:val="PageNumber"/>
        <w:rFonts w:ascii="Arial" w:hAnsi="Arial" w:cs="Arial"/>
        <w:sz w:val="16"/>
        <w:szCs w:val="16"/>
      </w:rPr>
      <w:fldChar w:fldCharType="begin"/>
    </w:r>
    <w:r w:rsidRPr="00902169">
      <w:rPr>
        <w:rStyle w:val="PageNumber"/>
        <w:rFonts w:ascii="Arial" w:hAnsi="Arial" w:cs="Arial"/>
        <w:sz w:val="16"/>
        <w:szCs w:val="16"/>
      </w:rPr>
      <w:instrText xml:space="preserve"> PAGE </w:instrText>
    </w:r>
    <w:r w:rsidRPr="00902169">
      <w:rPr>
        <w:rStyle w:val="PageNumber"/>
        <w:rFonts w:ascii="Arial" w:hAnsi="Arial" w:cs="Arial"/>
        <w:sz w:val="16"/>
        <w:szCs w:val="16"/>
      </w:rPr>
      <w:fldChar w:fldCharType="separate"/>
    </w:r>
    <w:r w:rsidR="006C1E87">
      <w:rPr>
        <w:rStyle w:val="PageNumber"/>
        <w:rFonts w:ascii="Arial" w:hAnsi="Arial" w:cs="Arial"/>
        <w:noProof/>
        <w:sz w:val="16"/>
        <w:szCs w:val="16"/>
      </w:rPr>
      <w:t>54</w:t>
    </w:r>
    <w:r w:rsidRPr="00902169">
      <w:rPr>
        <w:rStyle w:val="PageNumber"/>
        <w:rFonts w:ascii="Arial" w:hAnsi="Arial" w:cs="Arial"/>
        <w:sz w:val="16"/>
        <w:szCs w:val="16"/>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902169" w:rsidRDefault="00A1654C" w:rsidP="00582A5C">
    <w:pPr>
      <w:tabs>
        <w:tab w:val="right" w:pos="8647"/>
      </w:tabs>
      <w:spacing w:before="0" w:after="0"/>
      <w:rPr>
        <w:rFonts w:ascii="Arial" w:hAnsi="Arial" w:cs="Arial"/>
        <w:b/>
        <w:sz w:val="16"/>
        <w:szCs w:val="16"/>
      </w:rPr>
    </w:pPr>
    <w:r w:rsidRPr="00902169">
      <w:rPr>
        <w:rFonts w:ascii="Arial" w:hAnsi="Arial" w:cs="Arial"/>
        <w:sz w:val="16"/>
        <w:szCs w:val="16"/>
      </w:rPr>
      <w:fldChar w:fldCharType="begin"/>
    </w:r>
    <w:r w:rsidRPr="00902169">
      <w:rPr>
        <w:rFonts w:ascii="Arial" w:hAnsi="Arial" w:cs="Arial"/>
        <w:sz w:val="16"/>
        <w:szCs w:val="16"/>
      </w:rPr>
      <w:instrText xml:space="preserve"> TITLE \* MERGEFORMAT </w:instrText>
    </w:r>
    <w:r w:rsidRPr="00902169">
      <w:rPr>
        <w:rFonts w:ascii="Arial" w:hAnsi="Arial" w:cs="Arial"/>
        <w:sz w:val="16"/>
        <w:szCs w:val="16"/>
      </w:rPr>
      <w:fldChar w:fldCharType="end"/>
    </w:r>
  </w:p>
  <w:p w:rsidR="00A1654C" w:rsidRPr="00902169" w:rsidRDefault="00A1654C" w:rsidP="00902169">
    <w:pPr>
      <w:pBdr>
        <w:bottom w:val="single" w:sz="4" w:space="2" w:color="auto"/>
      </w:pBdr>
      <w:tabs>
        <w:tab w:val="right" w:pos="9072"/>
      </w:tabs>
      <w:spacing w:before="0" w:after="120"/>
      <w:rPr>
        <w:rFonts w:ascii="Arial" w:hAnsi="Arial" w:cs="Arial"/>
        <w:sz w:val="16"/>
        <w:szCs w:val="16"/>
      </w:rPr>
    </w:pPr>
    <w:r w:rsidRPr="00902169">
      <w:rPr>
        <w:rFonts w:ascii="Arial" w:hAnsi="Arial" w:cs="Arial"/>
        <w:sz w:val="16"/>
        <w:szCs w:val="16"/>
      </w:rPr>
      <w:fldChar w:fldCharType="begin"/>
    </w:r>
    <w:r w:rsidRPr="00902169">
      <w:rPr>
        <w:rFonts w:ascii="Arial" w:hAnsi="Arial" w:cs="Arial"/>
        <w:sz w:val="16"/>
        <w:szCs w:val="16"/>
      </w:rPr>
      <w:instrText xml:space="preserve"> SUBJECT  \* MERGEFORMAT </w:instrText>
    </w:r>
    <w:r w:rsidRPr="00902169">
      <w:rPr>
        <w:rFonts w:ascii="Arial" w:hAnsi="Arial" w:cs="Arial"/>
        <w:sz w:val="16"/>
        <w:szCs w:val="16"/>
      </w:rPr>
      <w:fldChar w:fldCharType="end"/>
    </w:r>
    <w:r w:rsidRPr="00902169">
      <w:rPr>
        <w:rFonts w:ascii="Arial" w:hAnsi="Arial" w:cs="Arial"/>
        <w:sz w:val="16"/>
        <w:szCs w:val="16"/>
      </w:rPr>
      <w:t xml:space="preserve"> </w:t>
    </w:r>
    <w:r w:rsidRPr="00902169">
      <w:rPr>
        <w:rFonts w:ascii="Arial" w:hAnsi="Arial" w:cs="Arial"/>
        <w:sz w:val="16"/>
        <w:szCs w:val="16"/>
      </w:rPr>
      <w:tab/>
      <w:t>Annex 1-</w:t>
    </w:r>
    <w:r w:rsidRPr="00902169">
      <w:rPr>
        <w:rStyle w:val="PageNumber"/>
        <w:rFonts w:ascii="Arial" w:hAnsi="Arial" w:cs="Arial"/>
        <w:sz w:val="16"/>
        <w:szCs w:val="16"/>
      </w:rPr>
      <w:fldChar w:fldCharType="begin"/>
    </w:r>
    <w:r w:rsidRPr="00902169">
      <w:rPr>
        <w:rStyle w:val="PageNumber"/>
        <w:rFonts w:ascii="Arial" w:hAnsi="Arial" w:cs="Arial"/>
        <w:sz w:val="16"/>
        <w:szCs w:val="16"/>
      </w:rPr>
      <w:instrText xml:space="preserve"> PAGE </w:instrText>
    </w:r>
    <w:r w:rsidRPr="00902169">
      <w:rPr>
        <w:rStyle w:val="PageNumber"/>
        <w:rFonts w:ascii="Arial" w:hAnsi="Arial" w:cs="Arial"/>
        <w:sz w:val="16"/>
        <w:szCs w:val="16"/>
      </w:rPr>
      <w:fldChar w:fldCharType="separate"/>
    </w:r>
    <w:r w:rsidR="006C1E87">
      <w:rPr>
        <w:rStyle w:val="PageNumber"/>
        <w:rFonts w:ascii="Arial" w:hAnsi="Arial" w:cs="Arial"/>
        <w:noProof/>
        <w:sz w:val="16"/>
        <w:szCs w:val="16"/>
      </w:rPr>
      <w:t>1</w:t>
    </w:r>
    <w:r w:rsidRPr="00902169">
      <w:rPr>
        <w:rStyle w:val="PageNumber"/>
        <w:rFonts w:ascii="Arial" w:hAnsi="Arial" w:cs="Arial"/>
        <w:sz w:val="16"/>
        <w:szCs w:val="16"/>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902169" w:rsidRDefault="00A1654C" w:rsidP="00582A5C">
    <w:pPr>
      <w:tabs>
        <w:tab w:val="right" w:pos="8647"/>
      </w:tabs>
      <w:spacing w:before="0" w:after="0"/>
      <w:rPr>
        <w:rFonts w:ascii="Arial" w:hAnsi="Arial" w:cs="Arial"/>
        <w:b/>
        <w:sz w:val="16"/>
        <w:szCs w:val="16"/>
      </w:rPr>
    </w:pPr>
    <w:r w:rsidRPr="00902169">
      <w:rPr>
        <w:rFonts w:ascii="Arial" w:hAnsi="Arial" w:cs="Arial"/>
        <w:sz w:val="16"/>
        <w:szCs w:val="16"/>
      </w:rPr>
      <w:fldChar w:fldCharType="begin"/>
    </w:r>
    <w:r w:rsidRPr="00902169">
      <w:rPr>
        <w:rFonts w:ascii="Arial" w:hAnsi="Arial" w:cs="Arial"/>
        <w:sz w:val="16"/>
        <w:szCs w:val="16"/>
      </w:rPr>
      <w:instrText xml:space="preserve"> TITLE \* MERGEFORMAT </w:instrText>
    </w:r>
    <w:r w:rsidRPr="00902169">
      <w:rPr>
        <w:rFonts w:ascii="Arial" w:hAnsi="Arial" w:cs="Arial"/>
        <w:sz w:val="16"/>
        <w:szCs w:val="16"/>
      </w:rPr>
      <w:fldChar w:fldCharType="end"/>
    </w:r>
  </w:p>
  <w:p w:rsidR="00A1654C" w:rsidRPr="00902169" w:rsidRDefault="00A1654C" w:rsidP="007D1DD7">
    <w:pPr>
      <w:pBdr>
        <w:bottom w:val="single" w:sz="4" w:space="2" w:color="auto"/>
      </w:pBdr>
      <w:tabs>
        <w:tab w:val="right" w:pos="22113"/>
      </w:tabs>
      <w:spacing w:before="0" w:after="120"/>
      <w:rPr>
        <w:rFonts w:ascii="Arial" w:hAnsi="Arial" w:cs="Arial"/>
        <w:sz w:val="16"/>
        <w:szCs w:val="16"/>
      </w:rPr>
    </w:pPr>
    <w:r w:rsidRPr="00902169">
      <w:rPr>
        <w:rFonts w:ascii="Arial" w:hAnsi="Arial" w:cs="Arial"/>
        <w:sz w:val="16"/>
        <w:szCs w:val="16"/>
      </w:rPr>
      <w:fldChar w:fldCharType="begin"/>
    </w:r>
    <w:r w:rsidRPr="00902169">
      <w:rPr>
        <w:rFonts w:ascii="Arial" w:hAnsi="Arial" w:cs="Arial"/>
        <w:sz w:val="16"/>
        <w:szCs w:val="16"/>
      </w:rPr>
      <w:instrText xml:space="preserve"> SUBJECT  \* MERGEFORMAT </w:instrText>
    </w:r>
    <w:r w:rsidRPr="00902169">
      <w:rPr>
        <w:rFonts w:ascii="Arial" w:hAnsi="Arial" w:cs="Arial"/>
        <w:sz w:val="16"/>
        <w:szCs w:val="16"/>
      </w:rPr>
      <w:fldChar w:fldCharType="end"/>
    </w:r>
    <w:r w:rsidRPr="00902169">
      <w:rPr>
        <w:rFonts w:ascii="Arial" w:hAnsi="Arial" w:cs="Arial"/>
        <w:sz w:val="16"/>
        <w:szCs w:val="16"/>
      </w:rPr>
      <w:t xml:space="preserve"> </w:t>
    </w:r>
    <w:r w:rsidRPr="00902169">
      <w:rPr>
        <w:rFonts w:ascii="Arial" w:hAnsi="Arial" w:cs="Arial"/>
        <w:sz w:val="16"/>
        <w:szCs w:val="16"/>
      </w:rPr>
      <w:tab/>
      <w:t xml:space="preserve">Annex </w:t>
    </w:r>
    <w:r>
      <w:rPr>
        <w:rFonts w:ascii="Arial" w:hAnsi="Arial" w:cs="Arial"/>
        <w:sz w:val="16"/>
        <w:szCs w:val="16"/>
      </w:rPr>
      <w:t>2</w:t>
    </w:r>
    <w:r w:rsidRPr="00902169">
      <w:rPr>
        <w:rFonts w:ascii="Arial" w:hAnsi="Arial" w:cs="Arial"/>
        <w:sz w:val="16"/>
        <w:szCs w:val="16"/>
      </w:rPr>
      <w:t>-</w:t>
    </w:r>
    <w:r w:rsidRPr="00902169">
      <w:rPr>
        <w:rStyle w:val="PageNumber"/>
        <w:rFonts w:ascii="Arial" w:hAnsi="Arial" w:cs="Arial"/>
        <w:sz w:val="16"/>
        <w:szCs w:val="16"/>
      </w:rPr>
      <w:fldChar w:fldCharType="begin"/>
    </w:r>
    <w:r w:rsidRPr="00902169">
      <w:rPr>
        <w:rStyle w:val="PageNumber"/>
        <w:rFonts w:ascii="Arial" w:hAnsi="Arial" w:cs="Arial"/>
        <w:sz w:val="16"/>
        <w:szCs w:val="16"/>
      </w:rPr>
      <w:instrText xml:space="preserve"> PAGE </w:instrText>
    </w:r>
    <w:r w:rsidRPr="00902169">
      <w:rPr>
        <w:rStyle w:val="PageNumber"/>
        <w:rFonts w:ascii="Arial" w:hAnsi="Arial" w:cs="Arial"/>
        <w:sz w:val="16"/>
        <w:szCs w:val="16"/>
      </w:rPr>
      <w:fldChar w:fldCharType="separate"/>
    </w:r>
    <w:r w:rsidR="006C1E87">
      <w:rPr>
        <w:rStyle w:val="PageNumber"/>
        <w:rFonts w:ascii="Arial" w:hAnsi="Arial" w:cs="Arial"/>
        <w:noProof/>
        <w:sz w:val="16"/>
        <w:szCs w:val="16"/>
      </w:rPr>
      <w:t>i</w:t>
    </w:r>
    <w:r w:rsidRPr="00902169">
      <w:rPr>
        <w:rStyle w:val="PageNumber"/>
        <w:rFonts w:ascii="Arial" w:hAnsi="Arial" w:cs="Arial"/>
        <w:sz w:val="16"/>
        <w:szCs w:val="16"/>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A822C6" w:rsidRDefault="00A1654C" w:rsidP="00A822C6">
    <w:pPr>
      <w:pStyle w:val="Header"/>
      <w:pBdr>
        <w:bottom w:val="single" w:sz="4" w:space="1" w:color="auto"/>
      </w:pBdr>
      <w:rPr>
        <w:rFonts w:ascii="Arial" w:hAnsi="Arial" w:cs="Arial"/>
        <w:b/>
        <w:sz w:val="16"/>
        <w:szCs w:val="16"/>
      </w:rPr>
    </w:pPr>
    <w:r w:rsidRPr="00A822C6">
      <w:rPr>
        <w:rFonts w:ascii="Arial" w:hAnsi="Arial" w:cs="Arial"/>
        <w:sz w:val="16"/>
        <w:szCs w:val="16"/>
      </w:rPr>
      <w:fldChar w:fldCharType="begin"/>
    </w:r>
    <w:r w:rsidRPr="00A822C6">
      <w:rPr>
        <w:rFonts w:ascii="Arial" w:hAnsi="Arial" w:cs="Arial"/>
        <w:sz w:val="16"/>
        <w:szCs w:val="16"/>
      </w:rPr>
      <w:instrText xml:space="preserve"> TITLE \* MERGEFORMAT </w:instrText>
    </w:r>
    <w:r w:rsidRPr="00A822C6">
      <w:rPr>
        <w:rFonts w:ascii="Arial" w:hAnsi="Arial" w:cs="Arial"/>
        <w:sz w:val="16"/>
        <w:szCs w:val="16"/>
      </w:rPr>
      <w:fldChar w:fldCharType="end"/>
    </w:r>
  </w:p>
  <w:p w:rsidR="00A1654C" w:rsidRPr="00A822C6" w:rsidRDefault="00A1654C" w:rsidP="00A822C6">
    <w:pPr>
      <w:pStyle w:val="Header"/>
      <w:pBdr>
        <w:bottom w:val="single" w:sz="4" w:space="1" w:color="auto"/>
      </w:pBdr>
      <w:rPr>
        <w:rFonts w:ascii="Arial" w:hAnsi="Arial" w:cs="Arial"/>
        <w:sz w:val="16"/>
        <w:szCs w:val="16"/>
      </w:rPr>
    </w:pPr>
    <w:r w:rsidRPr="00A822C6">
      <w:rPr>
        <w:rFonts w:ascii="Arial" w:hAnsi="Arial" w:cs="Arial"/>
        <w:sz w:val="16"/>
        <w:szCs w:val="16"/>
      </w:rPr>
      <w:fldChar w:fldCharType="begin"/>
    </w:r>
    <w:r w:rsidRPr="00A822C6">
      <w:rPr>
        <w:rFonts w:ascii="Arial" w:hAnsi="Arial" w:cs="Arial"/>
        <w:sz w:val="16"/>
        <w:szCs w:val="16"/>
      </w:rPr>
      <w:instrText xml:space="preserve"> SUBJECT  \* MERGEFORMAT </w:instrText>
    </w:r>
    <w:r w:rsidRPr="00A822C6">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r>
    <w:r w:rsidRPr="00A822C6">
      <w:rPr>
        <w:rFonts w:ascii="Arial" w:hAnsi="Arial" w:cs="Arial"/>
        <w:sz w:val="16"/>
        <w:szCs w:val="16"/>
      </w:rPr>
      <w:t>Annex 4-</w:t>
    </w:r>
    <w:r w:rsidRPr="00A822C6">
      <w:rPr>
        <w:rFonts w:ascii="Arial" w:hAnsi="Arial" w:cs="Arial"/>
        <w:sz w:val="16"/>
        <w:szCs w:val="16"/>
      </w:rPr>
      <w:fldChar w:fldCharType="begin"/>
    </w:r>
    <w:r w:rsidRPr="00A822C6">
      <w:rPr>
        <w:rFonts w:ascii="Arial" w:hAnsi="Arial" w:cs="Arial"/>
        <w:sz w:val="16"/>
        <w:szCs w:val="16"/>
      </w:rPr>
      <w:instrText xml:space="preserve"> PAGE </w:instrText>
    </w:r>
    <w:r w:rsidRPr="00A822C6">
      <w:rPr>
        <w:rFonts w:ascii="Arial" w:hAnsi="Arial" w:cs="Arial"/>
        <w:sz w:val="16"/>
        <w:szCs w:val="16"/>
      </w:rPr>
      <w:fldChar w:fldCharType="separate"/>
    </w:r>
    <w:r w:rsidR="006C1E87">
      <w:rPr>
        <w:rFonts w:ascii="Arial" w:hAnsi="Arial" w:cs="Arial"/>
        <w:noProof/>
        <w:sz w:val="16"/>
        <w:szCs w:val="16"/>
      </w:rPr>
      <w:t>2</w:t>
    </w:r>
    <w:r w:rsidRPr="00A822C6">
      <w:rPr>
        <w:rFonts w:ascii="Arial" w:hAnsi="Arial" w:cs="Arial"/>
        <w:sz w:val="16"/>
        <w:szCs w:val="16"/>
      </w:rPr>
      <w:fldChar w:fldCharType="end"/>
    </w:r>
    <w:r>
      <w:rPr>
        <w:rFonts w:ascii="Arial" w:hAnsi="Arial" w:cs="Arial"/>
        <w:sz w:val="16"/>
        <w:szCs w:val="16"/>
      </w:rPr>
      <w:t>5</w:t>
    </w:r>
  </w:p>
  <w:p w:rsidR="00A1654C" w:rsidRPr="000F5358" w:rsidRDefault="00A1654C" w:rsidP="000F535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A822C6" w:rsidRDefault="00A1654C" w:rsidP="00A822C6">
    <w:pPr>
      <w:pStyle w:val="Header"/>
      <w:pBdr>
        <w:bottom w:val="single" w:sz="4" w:space="1" w:color="auto"/>
      </w:pBdr>
      <w:rPr>
        <w:rFonts w:ascii="Arial" w:hAnsi="Arial" w:cs="Arial"/>
        <w:b/>
        <w:sz w:val="16"/>
        <w:szCs w:val="16"/>
      </w:rPr>
    </w:pPr>
    <w:r w:rsidRPr="00A822C6">
      <w:rPr>
        <w:rFonts w:ascii="Arial" w:hAnsi="Arial" w:cs="Arial"/>
        <w:sz w:val="16"/>
        <w:szCs w:val="16"/>
      </w:rPr>
      <w:fldChar w:fldCharType="begin"/>
    </w:r>
    <w:r w:rsidRPr="00A822C6">
      <w:rPr>
        <w:rFonts w:ascii="Arial" w:hAnsi="Arial" w:cs="Arial"/>
        <w:sz w:val="16"/>
        <w:szCs w:val="16"/>
      </w:rPr>
      <w:instrText xml:space="preserve"> TITLE \* MERGEFORMAT </w:instrText>
    </w:r>
    <w:r w:rsidRPr="00A822C6">
      <w:rPr>
        <w:rFonts w:ascii="Arial" w:hAnsi="Arial" w:cs="Arial"/>
        <w:sz w:val="16"/>
        <w:szCs w:val="16"/>
      </w:rPr>
      <w:fldChar w:fldCharType="end"/>
    </w:r>
  </w:p>
  <w:p w:rsidR="00A1654C" w:rsidRPr="00A822C6" w:rsidRDefault="00A1654C" w:rsidP="00A822C6">
    <w:pPr>
      <w:pStyle w:val="Header"/>
      <w:pBdr>
        <w:bottom w:val="single" w:sz="4" w:space="1" w:color="auto"/>
      </w:pBdr>
      <w:rPr>
        <w:rFonts w:ascii="Arial" w:hAnsi="Arial" w:cs="Arial"/>
        <w:sz w:val="16"/>
        <w:szCs w:val="16"/>
      </w:rPr>
    </w:pPr>
    <w:r w:rsidRPr="00A822C6">
      <w:rPr>
        <w:rFonts w:ascii="Arial" w:hAnsi="Arial" w:cs="Arial"/>
        <w:sz w:val="16"/>
        <w:szCs w:val="16"/>
      </w:rPr>
      <w:fldChar w:fldCharType="begin"/>
    </w:r>
    <w:r w:rsidRPr="00A822C6">
      <w:rPr>
        <w:rFonts w:ascii="Arial" w:hAnsi="Arial" w:cs="Arial"/>
        <w:sz w:val="16"/>
        <w:szCs w:val="16"/>
      </w:rPr>
      <w:instrText xml:space="preserve"> SUBJECT  \* MERGEFORMAT </w:instrText>
    </w:r>
    <w:r w:rsidRPr="00A822C6">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r>
    <w:r w:rsidRPr="00A822C6">
      <w:rPr>
        <w:rFonts w:ascii="Arial" w:hAnsi="Arial" w:cs="Arial"/>
        <w:sz w:val="16"/>
        <w:szCs w:val="16"/>
      </w:rPr>
      <w:t>Annex 4-</w:t>
    </w:r>
    <w:r w:rsidRPr="00A822C6">
      <w:rPr>
        <w:rFonts w:ascii="Arial" w:hAnsi="Arial" w:cs="Arial"/>
        <w:sz w:val="16"/>
        <w:szCs w:val="16"/>
      </w:rPr>
      <w:fldChar w:fldCharType="begin"/>
    </w:r>
    <w:r w:rsidRPr="00A822C6">
      <w:rPr>
        <w:rFonts w:ascii="Arial" w:hAnsi="Arial" w:cs="Arial"/>
        <w:sz w:val="16"/>
        <w:szCs w:val="16"/>
      </w:rPr>
      <w:instrText xml:space="preserve"> PAGE </w:instrText>
    </w:r>
    <w:r w:rsidRPr="00A822C6">
      <w:rPr>
        <w:rFonts w:ascii="Arial" w:hAnsi="Arial" w:cs="Arial"/>
        <w:sz w:val="16"/>
        <w:szCs w:val="16"/>
      </w:rPr>
      <w:fldChar w:fldCharType="separate"/>
    </w:r>
    <w:r w:rsidR="006C1E87">
      <w:rPr>
        <w:rFonts w:ascii="Arial" w:hAnsi="Arial" w:cs="Arial"/>
        <w:noProof/>
        <w:sz w:val="16"/>
        <w:szCs w:val="16"/>
      </w:rPr>
      <w:t>1</w:t>
    </w:r>
    <w:r w:rsidRPr="00A822C6">
      <w:rPr>
        <w:rFonts w:ascii="Arial" w:hAnsi="Arial" w:cs="Arial"/>
        <w:sz w:val="16"/>
        <w:szCs w:val="16"/>
      </w:rPr>
      <w:fldChar w:fldCharType="end"/>
    </w:r>
    <w:r>
      <w:rPr>
        <w:rFonts w:ascii="Arial" w:hAnsi="Arial" w:cs="Arial"/>
        <w:sz w:val="16"/>
        <w:szCs w:val="16"/>
      </w:rPr>
      <w:t>5</w:t>
    </w:r>
  </w:p>
  <w:p w:rsidR="00A1654C" w:rsidRPr="000F5358" w:rsidRDefault="00A1654C" w:rsidP="000F535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Default="00A1654C" w:rsidP="00E447A2">
    <w:pPr>
      <w:tabs>
        <w:tab w:val="right" w:pos="8647"/>
      </w:tabs>
      <w:spacing w:before="0" w:after="0"/>
      <w:rPr>
        <w:rFonts w:ascii="Arial" w:hAnsi="Arial"/>
        <w:b/>
        <w:sz w:val="16"/>
      </w:rPr>
    </w:pPr>
    <w:r>
      <w:rPr>
        <w:rFonts w:ascii="Arial" w:hAnsi="Arial"/>
        <w:sz w:val="16"/>
      </w:rPr>
      <w:fldChar w:fldCharType="begin"/>
    </w:r>
    <w:r>
      <w:rPr>
        <w:rFonts w:ascii="Arial" w:hAnsi="Arial"/>
        <w:sz w:val="16"/>
      </w:rPr>
      <w:instrText xml:space="preserve"> TITLE  \* MERGEFORMAT </w:instrText>
    </w:r>
    <w:r>
      <w:rPr>
        <w:rFonts w:ascii="Arial" w:hAnsi="Arial"/>
        <w:sz w:val="16"/>
      </w:rPr>
      <w:fldChar w:fldCharType="end"/>
    </w:r>
  </w:p>
  <w:p w:rsidR="00A1654C" w:rsidRPr="00F25835" w:rsidRDefault="00A1654C" w:rsidP="00902169">
    <w:pPr>
      <w:pBdr>
        <w:bottom w:val="single" w:sz="4" w:space="2" w:color="auto"/>
      </w:pBdr>
      <w:tabs>
        <w:tab w:val="right" w:pos="9072"/>
      </w:tabs>
      <w:spacing w:before="0" w:after="120"/>
      <w:rPr>
        <w:rFonts w:ascii="Arial" w:hAnsi="Arial"/>
        <w:sz w:val="16"/>
      </w:rPr>
    </w:pPr>
    <w:r>
      <w:rPr>
        <w:rFonts w:ascii="Arial" w:hAnsi="Arial"/>
        <w:sz w:val="16"/>
      </w:rPr>
      <w:fldChar w:fldCharType="begin"/>
    </w:r>
    <w:r>
      <w:rPr>
        <w:rFonts w:ascii="Arial" w:hAnsi="Arial"/>
        <w:sz w:val="16"/>
      </w:rPr>
      <w:instrText xml:space="preserve"> SUBJECT  \* MERGEFORMAT </w:instrText>
    </w:r>
    <w:r>
      <w:rPr>
        <w:rFonts w:ascii="Arial" w:hAnsi="Arial"/>
        <w:sz w:val="16"/>
      </w:rPr>
      <w:fldChar w:fldCharType="end"/>
    </w:r>
    <w:r>
      <w:rPr>
        <w:rFonts w:ascii="Arial" w:hAnsi="Arial"/>
        <w:sz w:val="16"/>
      </w:rPr>
      <w:tab/>
      <w:t>Annex 5-</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6C1E87">
      <w:rPr>
        <w:rStyle w:val="PageNumber"/>
        <w:rFonts w:ascii="Arial" w:hAnsi="Arial"/>
        <w:noProof/>
        <w:sz w:val="16"/>
      </w:rPr>
      <w:t>i</w:t>
    </w:r>
    <w:r>
      <w:rPr>
        <w:rStyle w:val="PageNumber"/>
        <w:rFonts w:ascii="Arial" w:hAnsi="Arial"/>
        <w:sz w:val="16"/>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Default="00A1654C" w:rsidP="00A227E7">
    <w:pPr>
      <w:tabs>
        <w:tab w:val="right" w:pos="8647"/>
      </w:tabs>
      <w:spacing w:before="0" w:after="0"/>
      <w:rPr>
        <w:rFonts w:ascii="Arial" w:hAnsi="Arial"/>
        <w:b/>
        <w:sz w:val="16"/>
      </w:rPr>
    </w:pPr>
    <w:r>
      <w:rPr>
        <w:rFonts w:ascii="Arial" w:hAnsi="Arial"/>
        <w:sz w:val="16"/>
      </w:rPr>
      <w:fldChar w:fldCharType="begin"/>
    </w:r>
    <w:r>
      <w:rPr>
        <w:rFonts w:ascii="Arial" w:hAnsi="Arial"/>
        <w:sz w:val="16"/>
      </w:rPr>
      <w:instrText xml:space="preserve"> TITLE  \* MERGEFORMAT </w:instrText>
    </w:r>
    <w:r>
      <w:rPr>
        <w:rFonts w:ascii="Arial" w:hAnsi="Arial"/>
        <w:sz w:val="16"/>
      </w:rPr>
      <w:fldChar w:fldCharType="end"/>
    </w:r>
  </w:p>
  <w:p w:rsidR="00A1654C" w:rsidRPr="00A227E7" w:rsidRDefault="00A1654C" w:rsidP="00902169">
    <w:pPr>
      <w:pBdr>
        <w:bottom w:val="single" w:sz="4" w:space="2" w:color="auto"/>
      </w:pBdr>
      <w:tabs>
        <w:tab w:val="right" w:pos="9072"/>
      </w:tabs>
      <w:spacing w:before="0" w:after="120"/>
      <w:rPr>
        <w:rFonts w:ascii="Arial" w:hAnsi="Arial"/>
        <w:sz w:val="16"/>
      </w:rPr>
    </w:pPr>
    <w:r>
      <w:rPr>
        <w:rFonts w:ascii="Arial" w:hAnsi="Arial"/>
        <w:sz w:val="16"/>
      </w:rPr>
      <w:fldChar w:fldCharType="begin"/>
    </w:r>
    <w:r>
      <w:rPr>
        <w:rFonts w:ascii="Arial" w:hAnsi="Arial"/>
        <w:sz w:val="16"/>
      </w:rPr>
      <w:instrText xml:space="preserve"> SUBJECT  \* MERGEFORMAT </w:instrText>
    </w:r>
    <w:r>
      <w:rPr>
        <w:rFonts w:ascii="Arial" w:hAnsi="Arial"/>
        <w:sz w:val="16"/>
      </w:rPr>
      <w:fldChar w:fldCharType="end"/>
    </w:r>
    <w:r>
      <w:rPr>
        <w:rFonts w:ascii="Arial" w:hAnsi="Arial"/>
        <w:sz w:val="16"/>
      </w:rPr>
      <w:tab/>
      <w:t>Annex 6-</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6C1E87">
      <w:rPr>
        <w:rStyle w:val="PageNumber"/>
        <w:rFonts w:ascii="Arial" w:hAnsi="Arial"/>
        <w:noProof/>
        <w:sz w:val="16"/>
      </w:rPr>
      <w:t>4</w:t>
    </w:r>
    <w:r>
      <w:rPr>
        <w:rStyle w:val="PageNumber"/>
        <w:rFonts w:ascii="Arial" w:hAnsi="Arial"/>
        <w:sz w:val="16"/>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Default="00A1654C" w:rsidP="00A227E7">
    <w:pPr>
      <w:tabs>
        <w:tab w:val="right" w:pos="8647"/>
      </w:tabs>
      <w:spacing w:before="0" w:after="0"/>
      <w:rPr>
        <w:rFonts w:ascii="Arial" w:hAnsi="Arial"/>
        <w:b/>
        <w:sz w:val="16"/>
      </w:rPr>
    </w:pPr>
    <w:r>
      <w:rPr>
        <w:rFonts w:ascii="Arial" w:hAnsi="Arial"/>
        <w:sz w:val="16"/>
      </w:rPr>
      <w:fldChar w:fldCharType="begin"/>
    </w:r>
    <w:r>
      <w:rPr>
        <w:rFonts w:ascii="Arial" w:hAnsi="Arial"/>
        <w:sz w:val="16"/>
      </w:rPr>
      <w:instrText xml:space="preserve"> TITLE  \* MERGEFORMAT </w:instrText>
    </w:r>
    <w:r>
      <w:rPr>
        <w:rFonts w:ascii="Arial" w:hAnsi="Arial"/>
        <w:sz w:val="16"/>
      </w:rPr>
      <w:fldChar w:fldCharType="end"/>
    </w:r>
  </w:p>
  <w:p w:rsidR="00A1654C" w:rsidRPr="00A227E7" w:rsidRDefault="00A1654C" w:rsidP="00902169">
    <w:pPr>
      <w:pBdr>
        <w:bottom w:val="single" w:sz="4" w:space="2" w:color="auto"/>
      </w:pBdr>
      <w:tabs>
        <w:tab w:val="right" w:pos="9072"/>
      </w:tabs>
      <w:spacing w:before="0" w:after="120"/>
      <w:rPr>
        <w:rFonts w:ascii="Arial" w:hAnsi="Arial"/>
        <w:sz w:val="16"/>
      </w:rPr>
    </w:pPr>
    <w:r>
      <w:rPr>
        <w:rFonts w:ascii="Arial" w:hAnsi="Arial"/>
        <w:sz w:val="16"/>
      </w:rPr>
      <w:fldChar w:fldCharType="begin"/>
    </w:r>
    <w:r>
      <w:rPr>
        <w:rFonts w:ascii="Arial" w:hAnsi="Arial"/>
        <w:sz w:val="16"/>
      </w:rPr>
      <w:instrText xml:space="preserve"> SUBJECT  \* MERGEFORMAT </w:instrText>
    </w:r>
    <w:r>
      <w:rPr>
        <w:rFonts w:ascii="Arial" w:hAnsi="Arial"/>
        <w:sz w:val="16"/>
      </w:rPr>
      <w:fldChar w:fldCharType="end"/>
    </w:r>
    <w:r>
      <w:rPr>
        <w:rFonts w:ascii="Arial" w:hAnsi="Arial"/>
        <w:sz w:val="16"/>
      </w:rPr>
      <w:tab/>
      <w:t>Annex 6-</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6C1E87">
      <w:rPr>
        <w:rStyle w:val="PageNumber"/>
        <w:rFonts w:ascii="Arial" w:hAnsi="Arial"/>
        <w:noProof/>
        <w:sz w:val="16"/>
      </w:rPr>
      <w:t>1</w:t>
    </w:r>
    <w:r>
      <w:rPr>
        <w:rStyle w:val="PageNumber"/>
        <w:rFonts w:ascii="Arial" w:hAnsi="Arial"/>
        <w:sz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Default="00A1654C" w:rsidP="00D73430">
    <w:pPr>
      <w:tabs>
        <w:tab w:val="right" w:pos="8647"/>
      </w:tabs>
      <w:spacing w:before="0" w:after="0"/>
      <w:rPr>
        <w:rFonts w:ascii="Arial" w:hAnsi="Arial"/>
        <w:b/>
        <w:sz w:val="16"/>
      </w:rPr>
    </w:pPr>
    <w:r>
      <w:rPr>
        <w:rFonts w:ascii="Arial" w:hAnsi="Arial"/>
        <w:sz w:val="16"/>
      </w:rPr>
      <w:fldChar w:fldCharType="begin"/>
    </w:r>
    <w:r>
      <w:rPr>
        <w:rFonts w:ascii="Arial" w:hAnsi="Arial"/>
        <w:sz w:val="16"/>
      </w:rPr>
      <w:instrText xml:space="preserve"> TITLE \* MERGEFORMAT </w:instrText>
    </w:r>
    <w:r>
      <w:rPr>
        <w:rFonts w:ascii="Arial" w:hAnsi="Arial"/>
        <w:sz w:val="16"/>
      </w:rPr>
      <w:fldChar w:fldCharType="end"/>
    </w:r>
  </w:p>
  <w:p w:rsidR="00A1654C" w:rsidRPr="00D73430" w:rsidRDefault="00A1654C" w:rsidP="00902169">
    <w:pPr>
      <w:pBdr>
        <w:bottom w:val="single" w:sz="4" w:space="2" w:color="auto"/>
      </w:pBdr>
      <w:tabs>
        <w:tab w:val="right" w:pos="9072"/>
      </w:tabs>
      <w:spacing w:before="0" w:after="120"/>
      <w:rPr>
        <w:rFonts w:ascii="Arial" w:hAnsi="Arial"/>
        <w:sz w:val="16"/>
      </w:rPr>
    </w:pPr>
    <w:r>
      <w:rPr>
        <w:rFonts w:ascii="Arial" w:hAnsi="Arial" w:cs="Arial"/>
        <w:sz w:val="16"/>
        <w:szCs w:val="16"/>
      </w:rPr>
      <w:t>Draft Investment Design Document</w:t>
    </w:r>
    <w:r w:rsidRPr="002B3546">
      <w:rPr>
        <w:rFonts w:ascii="Arial" w:hAnsi="Arial" w:cs="Arial"/>
        <w:sz w:val="16"/>
        <w:szCs w:val="16"/>
      </w:rPr>
      <w:t xml:space="preserve"> </w:t>
    </w:r>
    <w:r>
      <w:tab/>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6C1E87">
      <w:rPr>
        <w:rStyle w:val="PageNumber"/>
        <w:rFonts w:ascii="Arial" w:hAnsi="Arial"/>
        <w:noProof/>
        <w:sz w:val="16"/>
      </w:rPr>
      <w:t>ii</w:t>
    </w:r>
    <w:r>
      <w:rPr>
        <w:rStyle w:val="PageNumber"/>
        <w:rFonts w:ascii="Arial" w:hAnsi="Arial"/>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Default="00A165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902169" w:rsidRDefault="00A1654C" w:rsidP="00582A5C">
    <w:pPr>
      <w:tabs>
        <w:tab w:val="right" w:pos="8647"/>
      </w:tabs>
      <w:spacing w:before="0" w:after="0"/>
      <w:rPr>
        <w:rFonts w:ascii="Arial" w:hAnsi="Arial" w:cs="Arial"/>
        <w:b/>
        <w:sz w:val="16"/>
        <w:szCs w:val="16"/>
      </w:rPr>
    </w:pPr>
    <w:r w:rsidRPr="00902169">
      <w:rPr>
        <w:rFonts w:ascii="Arial" w:hAnsi="Arial" w:cs="Arial"/>
        <w:sz w:val="16"/>
        <w:szCs w:val="16"/>
      </w:rPr>
      <w:fldChar w:fldCharType="begin"/>
    </w:r>
    <w:r w:rsidRPr="00902169">
      <w:rPr>
        <w:rFonts w:ascii="Arial" w:hAnsi="Arial" w:cs="Arial"/>
        <w:sz w:val="16"/>
        <w:szCs w:val="16"/>
      </w:rPr>
      <w:instrText xml:space="preserve"> TITLE \* MERGEFORMAT </w:instrText>
    </w:r>
    <w:r w:rsidRPr="00902169">
      <w:rPr>
        <w:rFonts w:ascii="Arial" w:hAnsi="Arial" w:cs="Arial"/>
        <w:sz w:val="16"/>
        <w:szCs w:val="16"/>
      </w:rPr>
      <w:fldChar w:fldCharType="end"/>
    </w:r>
  </w:p>
  <w:p w:rsidR="00A1654C" w:rsidRPr="00902169" w:rsidRDefault="00A1654C" w:rsidP="00902169">
    <w:pPr>
      <w:pBdr>
        <w:bottom w:val="single" w:sz="4" w:space="2" w:color="auto"/>
      </w:pBdr>
      <w:tabs>
        <w:tab w:val="right" w:pos="9072"/>
      </w:tabs>
      <w:spacing w:before="0" w:after="120"/>
      <w:rPr>
        <w:rFonts w:ascii="Arial" w:hAnsi="Arial" w:cs="Arial"/>
        <w:sz w:val="16"/>
        <w:szCs w:val="16"/>
      </w:rPr>
    </w:pPr>
    <w:r>
      <w:rPr>
        <w:rFonts w:ascii="Arial" w:hAnsi="Arial" w:cs="Arial"/>
        <w:sz w:val="16"/>
        <w:szCs w:val="16"/>
      </w:rPr>
      <w:t>Draft Investment Design Document</w:t>
    </w:r>
    <w:r>
      <w:rPr>
        <w:rFonts w:ascii="Arial" w:hAnsi="Arial" w:cs="Arial"/>
        <w:sz w:val="16"/>
        <w:szCs w:val="16"/>
      </w:rPr>
      <w:tab/>
    </w:r>
    <w:r w:rsidRPr="00902169">
      <w:rPr>
        <w:rStyle w:val="PageNumber"/>
        <w:rFonts w:ascii="Arial" w:hAnsi="Arial" w:cs="Arial"/>
        <w:sz w:val="16"/>
        <w:szCs w:val="16"/>
      </w:rPr>
      <w:fldChar w:fldCharType="begin"/>
    </w:r>
    <w:r w:rsidRPr="00902169">
      <w:rPr>
        <w:rStyle w:val="PageNumber"/>
        <w:rFonts w:ascii="Arial" w:hAnsi="Arial" w:cs="Arial"/>
        <w:sz w:val="16"/>
        <w:szCs w:val="16"/>
      </w:rPr>
      <w:instrText xml:space="preserve"> PAGE </w:instrText>
    </w:r>
    <w:r w:rsidRPr="00902169">
      <w:rPr>
        <w:rStyle w:val="PageNumber"/>
        <w:rFonts w:ascii="Arial" w:hAnsi="Arial" w:cs="Arial"/>
        <w:sz w:val="16"/>
        <w:szCs w:val="16"/>
      </w:rPr>
      <w:fldChar w:fldCharType="separate"/>
    </w:r>
    <w:r w:rsidR="006C1E87">
      <w:rPr>
        <w:rStyle w:val="PageNumber"/>
        <w:rFonts w:ascii="Arial" w:hAnsi="Arial" w:cs="Arial"/>
        <w:noProof/>
        <w:sz w:val="16"/>
        <w:szCs w:val="16"/>
      </w:rPr>
      <w:t>xi</w:t>
    </w:r>
    <w:r w:rsidRPr="00902169">
      <w:rPr>
        <w:rStyle w:val="PageNumber"/>
        <w:rFonts w:ascii="Arial" w:hAnsi="Arial" w:cs="Arial"/>
        <w:sz w:val="16"/>
        <w:szCs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31008"/>
      <w:docPartObj>
        <w:docPartGallery w:val="Page Numbers (Top of Page)"/>
        <w:docPartUnique/>
      </w:docPartObj>
    </w:sdtPr>
    <w:sdtEndPr>
      <w:rPr>
        <w:noProof/>
      </w:rPr>
    </w:sdtEndPr>
    <w:sdtContent>
      <w:p w:rsidR="00A1654C" w:rsidRDefault="00A1654C">
        <w:pPr>
          <w:pStyle w:val="Header"/>
          <w:jc w:val="center"/>
        </w:pPr>
        <w:r>
          <w:fldChar w:fldCharType="begin"/>
        </w:r>
        <w:r>
          <w:instrText xml:space="preserve"> PAGE   \* MERGEFORMAT </w:instrText>
        </w:r>
        <w:r>
          <w:fldChar w:fldCharType="separate"/>
        </w:r>
        <w:r w:rsidR="006C1E87">
          <w:rPr>
            <w:noProof/>
          </w:rPr>
          <w:t>18</w:t>
        </w:r>
        <w:r>
          <w:rPr>
            <w:noProof/>
          </w:rPr>
          <w:fldChar w:fldCharType="end"/>
        </w:r>
      </w:p>
    </w:sdtContent>
  </w:sdt>
  <w:p w:rsidR="00A1654C" w:rsidRPr="00902169" w:rsidRDefault="00A1654C" w:rsidP="007228A0">
    <w:pPr>
      <w:pBdr>
        <w:bottom w:val="single" w:sz="4" w:space="2" w:color="auto"/>
      </w:pBdr>
      <w:tabs>
        <w:tab w:val="right" w:pos="15168"/>
      </w:tabs>
      <w:spacing w:before="0" w:after="120"/>
      <w:rPr>
        <w:rFonts w:ascii="Arial" w:hAnsi="Arial" w:cs="Arial"/>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902169" w:rsidRDefault="00A1654C" w:rsidP="00582A5C">
    <w:pPr>
      <w:tabs>
        <w:tab w:val="right" w:pos="8647"/>
      </w:tabs>
      <w:spacing w:before="0" w:after="0"/>
      <w:rPr>
        <w:rFonts w:ascii="Arial" w:hAnsi="Arial" w:cs="Arial"/>
        <w:b/>
        <w:sz w:val="16"/>
        <w:szCs w:val="16"/>
      </w:rPr>
    </w:pPr>
    <w:r w:rsidRPr="00902169">
      <w:rPr>
        <w:rFonts w:ascii="Arial" w:hAnsi="Arial" w:cs="Arial"/>
        <w:sz w:val="16"/>
        <w:szCs w:val="16"/>
      </w:rPr>
      <w:fldChar w:fldCharType="begin"/>
    </w:r>
    <w:r w:rsidRPr="00902169">
      <w:rPr>
        <w:rFonts w:ascii="Arial" w:hAnsi="Arial" w:cs="Arial"/>
        <w:sz w:val="16"/>
        <w:szCs w:val="16"/>
      </w:rPr>
      <w:instrText xml:space="preserve"> TITLE \* MERGEFORMAT </w:instrText>
    </w:r>
    <w:r w:rsidRPr="00902169">
      <w:rPr>
        <w:rFonts w:ascii="Arial" w:hAnsi="Arial" w:cs="Arial"/>
        <w:sz w:val="16"/>
        <w:szCs w:val="16"/>
      </w:rPr>
      <w:fldChar w:fldCharType="end"/>
    </w:r>
  </w:p>
  <w:p w:rsidR="00A1654C" w:rsidRPr="00902169" w:rsidRDefault="00A1654C" w:rsidP="00A521EF">
    <w:pPr>
      <w:pBdr>
        <w:bottom w:val="single" w:sz="4" w:space="2" w:color="auto"/>
      </w:pBdr>
      <w:tabs>
        <w:tab w:val="right" w:pos="9072"/>
      </w:tabs>
      <w:spacing w:before="0" w:after="120"/>
      <w:rPr>
        <w:rFonts w:ascii="Arial" w:hAnsi="Arial" w:cs="Arial"/>
        <w:sz w:val="16"/>
        <w:szCs w:val="16"/>
      </w:rPr>
    </w:pPr>
    <w:r w:rsidRPr="00902169">
      <w:rPr>
        <w:rFonts w:ascii="Arial" w:hAnsi="Arial" w:cs="Arial"/>
        <w:sz w:val="16"/>
        <w:szCs w:val="16"/>
      </w:rPr>
      <w:fldChar w:fldCharType="begin"/>
    </w:r>
    <w:r w:rsidRPr="00902169">
      <w:rPr>
        <w:rFonts w:ascii="Arial" w:hAnsi="Arial" w:cs="Arial"/>
        <w:sz w:val="16"/>
        <w:szCs w:val="16"/>
      </w:rPr>
      <w:instrText xml:space="preserve"> SUBJECT  \* MERGEFORMAT </w:instrText>
    </w:r>
    <w:r w:rsidRPr="00902169">
      <w:rPr>
        <w:rFonts w:ascii="Arial" w:hAnsi="Arial" w:cs="Arial"/>
        <w:sz w:val="16"/>
        <w:szCs w:val="16"/>
      </w:rPr>
      <w:fldChar w:fldCharType="end"/>
    </w:r>
    <w:r>
      <w:rPr>
        <w:rFonts w:ascii="Arial" w:hAnsi="Arial" w:cs="Arial"/>
        <w:sz w:val="16"/>
        <w:szCs w:val="16"/>
      </w:rPr>
      <w:tab/>
    </w:r>
    <w:r w:rsidRPr="00902169">
      <w:rPr>
        <w:rStyle w:val="PageNumber"/>
        <w:rFonts w:ascii="Arial" w:hAnsi="Arial" w:cs="Arial"/>
        <w:sz w:val="16"/>
        <w:szCs w:val="16"/>
      </w:rPr>
      <w:fldChar w:fldCharType="begin"/>
    </w:r>
    <w:r w:rsidRPr="00902169">
      <w:rPr>
        <w:rStyle w:val="PageNumber"/>
        <w:rFonts w:ascii="Arial" w:hAnsi="Arial" w:cs="Arial"/>
        <w:sz w:val="16"/>
        <w:szCs w:val="16"/>
      </w:rPr>
      <w:instrText xml:space="preserve"> PAGE </w:instrText>
    </w:r>
    <w:r w:rsidRPr="00902169">
      <w:rPr>
        <w:rStyle w:val="PageNumber"/>
        <w:rFonts w:ascii="Arial" w:hAnsi="Arial" w:cs="Arial"/>
        <w:sz w:val="16"/>
        <w:szCs w:val="16"/>
      </w:rPr>
      <w:fldChar w:fldCharType="separate"/>
    </w:r>
    <w:r w:rsidR="006C1E87">
      <w:rPr>
        <w:rStyle w:val="PageNumber"/>
        <w:rFonts w:ascii="Arial" w:hAnsi="Arial" w:cs="Arial"/>
        <w:noProof/>
        <w:sz w:val="16"/>
        <w:szCs w:val="16"/>
      </w:rPr>
      <w:t>19</w:t>
    </w:r>
    <w:r w:rsidRPr="00902169">
      <w:rPr>
        <w:rStyle w:val="PageNumber"/>
        <w:rFonts w:ascii="Arial" w:hAnsi="Arial" w:cs="Arial"/>
        <w:sz w:val="16"/>
        <w:szCs w:val="16"/>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448476"/>
      <w:docPartObj>
        <w:docPartGallery w:val="Page Numbers (Top of Page)"/>
        <w:docPartUnique/>
      </w:docPartObj>
    </w:sdtPr>
    <w:sdtEndPr>
      <w:rPr>
        <w:noProof/>
      </w:rPr>
    </w:sdtEndPr>
    <w:sdtContent>
      <w:p w:rsidR="00A1654C" w:rsidRDefault="00A1654C">
        <w:pPr>
          <w:pStyle w:val="Header"/>
          <w:jc w:val="center"/>
        </w:pPr>
        <w:r>
          <w:fldChar w:fldCharType="begin"/>
        </w:r>
        <w:r>
          <w:instrText xml:space="preserve"> PAGE   \* MERGEFORMAT </w:instrText>
        </w:r>
        <w:r>
          <w:fldChar w:fldCharType="separate"/>
        </w:r>
        <w:r w:rsidR="006C1E87">
          <w:rPr>
            <w:noProof/>
          </w:rPr>
          <w:t>42</w:t>
        </w:r>
        <w:r>
          <w:rPr>
            <w:noProof/>
          </w:rPr>
          <w:fldChar w:fldCharType="end"/>
        </w:r>
      </w:p>
    </w:sdtContent>
  </w:sdt>
  <w:p w:rsidR="00A1654C" w:rsidRPr="00902169" w:rsidRDefault="00A1654C" w:rsidP="00A521EF">
    <w:pPr>
      <w:pBdr>
        <w:bottom w:val="single" w:sz="4" w:space="2" w:color="auto"/>
      </w:pBdr>
      <w:tabs>
        <w:tab w:val="right" w:pos="15168"/>
      </w:tabs>
      <w:spacing w:before="0" w:after="120"/>
      <w:rPr>
        <w:rFonts w:ascii="Arial" w:hAnsi="Arial" w:cs="Arial"/>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4C" w:rsidRPr="00902169" w:rsidRDefault="00A1654C" w:rsidP="00582A5C">
    <w:pPr>
      <w:tabs>
        <w:tab w:val="right" w:pos="8647"/>
      </w:tabs>
      <w:spacing w:before="0" w:after="0"/>
      <w:rPr>
        <w:rFonts w:ascii="Arial" w:hAnsi="Arial" w:cs="Arial"/>
        <w:b/>
        <w:sz w:val="16"/>
        <w:szCs w:val="16"/>
      </w:rPr>
    </w:pPr>
    <w:r w:rsidRPr="00902169">
      <w:rPr>
        <w:rFonts w:ascii="Arial" w:hAnsi="Arial" w:cs="Arial"/>
        <w:sz w:val="16"/>
        <w:szCs w:val="16"/>
      </w:rPr>
      <w:fldChar w:fldCharType="begin"/>
    </w:r>
    <w:r w:rsidRPr="00902169">
      <w:rPr>
        <w:rFonts w:ascii="Arial" w:hAnsi="Arial" w:cs="Arial"/>
        <w:sz w:val="16"/>
        <w:szCs w:val="16"/>
      </w:rPr>
      <w:instrText xml:space="preserve"> TITLE \* MERGEFORMAT </w:instrText>
    </w:r>
    <w:r w:rsidRPr="00902169">
      <w:rPr>
        <w:rFonts w:ascii="Arial" w:hAnsi="Arial" w:cs="Arial"/>
        <w:sz w:val="16"/>
        <w:szCs w:val="16"/>
      </w:rPr>
      <w:fldChar w:fldCharType="end"/>
    </w:r>
  </w:p>
  <w:p w:rsidR="00A1654C" w:rsidRPr="00902169" w:rsidRDefault="00A1654C" w:rsidP="00A521EF">
    <w:pPr>
      <w:pBdr>
        <w:bottom w:val="single" w:sz="4" w:space="2" w:color="auto"/>
      </w:pBdr>
      <w:tabs>
        <w:tab w:val="right" w:pos="9072"/>
      </w:tabs>
      <w:spacing w:before="0" w:after="120"/>
      <w:rPr>
        <w:rFonts w:ascii="Arial" w:hAnsi="Arial" w:cs="Arial"/>
        <w:sz w:val="16"/>
        <w:szCs w:val="16"/>
      </w:rPr>
    </w:pPr>
    <w:r w:rsidRPr="00902169">
      <w:rPr>
        <w:rFonts w:ascii="Arial" w:hAnsi="Arial" w:cs="Arial"/>
        <w:sz w:val="16"/>
        <w:szCs w:val="16"/>
      </w:rPr>
      <w:fldChar w:fldCharType="begin"/>
    </w:r>
    <w:r w:rsidRPr="00902169">
      <w:rPr>
        <w:rFonts w:ascii="Arial" w:hAnsi="Arial" w:cs="Arial"/>
        <w:sz w:val="16"/>
        <w:szCs w:val="16"/>
      </w:rPr>
      <w:instrText xml:space="preserve"> SUBJECT  \* MERGEFORMAT </w:instrText>
    </w:r>
    <w:r w:rsidRPr="00902169">
      <w:rPr>
        <w:rFonts w:ascii="Arial" w:hAnsi="Arial" w:cs="Arial"/>
        <w:sz w:val="16"/>
        <w:szCs w:val="16"/>
      </w:rPr>
      <w:fldChar w:fldCharType="end"/>
    </w:r>
    <w:r>
      <w:rPr>
        <w:rFonts w:ascii="Arial" w:hAnsi="Arial" w:cs="Arial"/>
        <w:sz w:val="16"/>
        <w:szCs w:val="16"/>
      </w:rPr>
      <w:tab/>
    </w:r>
    <w:r w:rsidRPr="00902169">
      <w:rPr>
        <w:rStyle w:val="PageNumber"/>
        <w:rFonts w:ascii="Arial" w:hAnsi="Arial" w:cs="Arial"/>
        <w:sz w:val="16"/>
        <w:szCs w:val="16"/>
      </w:rPr>
      <w:fldChar w:fldCharType="begin"/>
    </w:r>
    <w:r w:rsidRPr="00902169">
      <w:rPr>
        <w:rStyle w:val="PageNumber"/>
        <w:rFonts w:ascii="Arial" w:hAnsi="Arial" w:cs="Arial"/>
        <w:sz w:val="16"/>
        <w:szCs w:val="16"/>
      </w:rPr>
      <w:instrText xml:space="preserve"> PAGE </w:instrText>
    </w:r>
    <w:r w:rsidRPr="00902169">
      <w:rPr>
        <w:rStyle w:val="PageNumber"/>
        <w:rFonts w:ascii="Arial" w:hAnsi="Arial" w:cs="Arial"/>
        <w:sz w:val="16"/>
        <w:szCs w:val="16"/>
      </w:rPr>
      <w:fldChar w:fldCharType="separate"/>
    </w:r>
    <w:r w:rsidR="006C1E87">
      <w:rPr>
        <w:rStyle w:val="PageNumber"/>
        <w:rFonts w:ascii="Arial" w:hAnsi="Arial" w:cs="Arial"/>
        <w:noProof/>
        <w:sz w:val="16"/>
        <w:szCs w:val="16"/>
      </w:rPr>
      <w:t>45</w:t>
    </w:r>
    <w:r w:rsidRPr="00902169">
      <w:rPr>
        <w:rStyle w:val="PageNumber"/>
        <w:rFonts w:ascii="Arial" w:hAnsi="Arial" w:cs="Arial"/>
        <w:sz w:val="16"/>
        <w:szCs w:val="16"/>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551054"/>
      <w:docPartObj>
        <w:docPartGallery w:val="Page Numbers (Top of Page)"/>
        <w:docPartUnique/>
      </w:docPartObj>
    </w:sdtPr>
    <w:sdtEndPr>
      <w:rPr>
        <w:noProof/>
      </w:rPr>
    </w:sdtEndPr>
    <w:sdtContent>
      <w:p w:rsidR="00A1654C" w:rsidRDefault="00A1654C">
        <w:pPr>
          <w:pStyle w:val="Header"/>
          <w:jc w:val="center"/>
        </w:pPr>
        <w:r>
          <w:fldChar w:fldCharType="begin"/>
        </w:r>
        <w:r>
          <w:instrText xml:space="preserve"> PAGE   \* MERGEFORMAT </w:instrText>
        </w:r>
        <w:r>
          <w:fldChar w:fldCharType="separate"/>
        </w:r>
        <w:r w:rsidR="006C1E87">
          <w:rPr>
            <w:noProof/>
          </w:rPr>
          <w:t>51</w:t>
        </w:r>
        <w:r>
          <w:rPr>
            <w:noProof/>
          </w:rPr>
          <w:fldChar w:fldCharType="end"/>
        </w:r>
      </w:p>
    </w:sdtContent>
  </w:sdt>
  <w:p w:rsidR="00A1654C" w:rsidRPr="00902169" w:rsidRDefault="00A1654C" w:rsidP="00277117">
    <w:pPr>
      <w:pBdr>
        <w:bottom w:val="single" w:sz="4" w:space="2" w:color="auto"/>
      </w:pBdr>
      <w:tabs>
        <w:tab w:val="right" w:pos="15168"/>
      </w:tabs>
      <w:spacing w:before="0" w:after="120"/>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E28C14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ascii="Arial" w:hAnsi="Arial" w:cs="Arial" w:hint="default"/>
        <w:b/>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DB11B4"/>
    <w:multiLevelType w:val="hybridMultilevel"/>
    <w:tmpl w:val="9C8C4C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2C12FE"/>
    <w:multiLevelType w:val="hybridMultilevel"/>
    <w:tmpl w:val="3DC8A77C"/>
    <w:lvl w:ilvl="0" w:tplc="E63E9966">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D814A6"/>
    <w:multiLevelType w:val="hybridMultilevel"/>
    <w:tmpl w:val="993AB3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508330A"/>
    <w:multiLevelType w:val="hybridMultilevel"/>
    <w:tmpl w:val="8D7AE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6104889"/>
    <w:multiLevelType w:val="singleLevel"/>
    <w:tmpl w:val="C608A640"/>
    <w:lvl w:ilvl="0">
      <w:start w:val="1"/>
      <w:numFmt w:val="bullet"/>
      <w:pStyle w:val="ListBullet"/>
      <w:lvlText w:val=""/>
      <w:lvlJc w:val="left"/>
      <w:pPr>
        <w:tabs>
          <w:tab w:val="num" w:pos="360"/>
        </w:tabs>
        <w:ind w:left="360" w:hanging="360"/>
      </w:pPr>
      <w:rPr>
        <w:rFonts w:ascii="Symbol" w:hAnsi="Symbol" w:hint="default"/>
        <w:b/>
        <w:i w:val="0"/>
        <w:vertAlign w:val="baseline"/>
      </w:rPr>
    </w:lvl>
  </w:abstractNum>
  <w:abstractNum w:abstractNumId="6">
    <w:nsid w:val="06192CEB"/>
    <w:multiLevelType w:val="hybridMultilevel"/>
    <w:tmpl w:val="D2D48472"/>
    <w:lvl w:ilvl="0" w:tplc="0C090001">
      <w:start w:val="1"/>
      <w:numFmt w:val="bullet"/>
      <w:lvlText w:val=""/>
      <w:lvlJc w:val="left"/>
      <w:pPr>
        <w:ind w:left="720" w:hanging="360"/>
      </w:pPr>
      <w:rPr>
        <w:rFonts w:ascii="Symbol" w:hAnsi="Symbol" w:hint="default"/>
      </w:rPr>
    </w:lvl>
    <w:lvl w:ilvl="1" w:tplc="A056A07C">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6EA5E5E"/>
    <w:multiLevelType w:val="hybridMultilevel"/>
    <w:tmpl w:val="210653B2"/>
    <w:lvl w:ilvl="0" w:tplc="0C090001">
      <w:start w:val="1"/>
      <w:numFmt w:val="bullet"/>
      <w:lvlText w:val=""/>
      <w:lvlJc w:val="left"/>
      <w:pPr>
        <w:ind w:left="1440" w:hanging="360"/>
      </w:pPr>
      <w:rPr>
        <w:rFonts w:ascii="Symbol" w:hAnsi="Symbol" w:hint="default"/>
      </w:rPr>
    </w:lvl>
    <w:lvl w:ilvl="1" w:tplc="0C090013">
      <w:start w:val="1"/>
      <w:numFmt w:val="upp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097C0B87"/>
    <w:multiLevelType w:val="hybridMultilevel"/>
    <w:tmpl w:val="EC76EA5E"/>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CBF274F"/>
    <w:multiLevelType w:val="hybridMultilevel"/>
    <w:tmpl w:val="833C2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9F2FF5"/>
    <w:multiLevelType w:val="hybridMultilevel"/>
    <w:tmpl w:val="EBFCC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E214057"/>
    <w:multiLevelType w:val="hybridMultilevel"/>
    <w:tmpl w:val="E1C02764"/>
    <w:lvl w:ilvl="0" w:tplc="0C090001">
      <w:start w:val="1"/>
      <w:numFmt w:val="bullet"/>
      <w:lvlText w:val=""/>
      <w:lvlJc w:val="left"/>
      <w:pPr>
        <w:ind w:left="720" w:hanging="360"/>
      </w:pPr>
      <w:rPr>
        <w:rFonts w:ascii="Symbol" w:hAnsi="Symbol" w:hint="default"/>
      </w:rPr>
    </w:lvl>
    <w:lvl w:ilvl="1" w:tplc="B59EFC6E">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F2B12EC"/>
    <w:multiLevelType w:val="hybridMultilevel"/>
    <w:tmpl w:val="5A804F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F2D7017"/>
    <w:multiLevelType w:val="hybridMultilevel"/>
    <w:tmpl w:val="ED7AE3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10A71E4"/>
    <w:multiLevelType w:val="hybridMultilevel"/>
    <w:tmpl w:val="FBFA6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1202612"/>
    <w:multiLevelType w:val="hybridMultilevel"/>
    <w:tmpl w:val="67386A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497BB8"/>
    <w:multiLevelType w:val="hybridMultilevel"/>
    <w:tmpl w:val="73284A1A"/>
    <w:lvl w:ilvl="0" w:tplc="876CE3D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145A6AAC"/>
    <w:multiLevelType w:val="hybridMultilevel"/>
    <w:tmpl w:val="4036E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4BC2B8B"/>
    <w:multiLevelType w:val="hybridMultilevel"/>
    <w:tmpl w:val="7DB044F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5963EB8"/>
    <w:multiLevelType w:val="hybridMultilevel"/>
    <w:tmpl w:val="9E049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5BB6312"/>
    <w:multiLevelType w:val="hybridMultilevel"/>
    <w:tmpl w:val="E5F4722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7D45BAA"/>
    <w:multiLevelType w:val="hybridMultilevel"/>
    <w:tmpl w:val="BF64D7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185F2857"/>
    <w:multiLevelType w:val="hybridMultilevel"/>
    <w:tmpl w:val="8A46373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19CB44FE"/>
    <w:multiLevelType w:val="hybridMultilevel"/>
    <w:tmpl w:val="FD0EA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A560DA5"/>
    <w:multiLevelType w:val="hybridMultilevel"/>
    <w:tmpl w:val="4D040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D2B25B8"/>
    <w:multiLevelType w:val="hybridMultilevel"/>
    <w:tmpl w:val="576A021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07B38B1"/>
    <w:multiLevelType w:val="hybridMultilevel"/>
    <w:tmpl w:val="217A96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21A56D3B"/>
    <w:multiLevelType w:val="hybridMultilevel"/>
    <w:tmpl w:val="8552451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nsid w:val="23F22235"/>
    <w:multiLevelType w:val="multilevel"/>
    <w:tmpl w:val="A67C5EC2"/>
    <w:lvl w:ilvl="0">
      <w:start w:val="2"/>
      <w:numFmt w:val="decimal"/>
      <w:lvlText w:val="%1."/>
      <w:lvlJc w:val="left"/>
      <w:pPr>
        <w:ind w:left="360" w:hanging="360"/>
      </w:pPr>
      <w:rPr>
        <w:rFonts w:asciiTheme="minorHAnsi" w:hAnsiTheme="minorHAnsi" w:cstheme="minorHAnsi" w:hint="default"/>
        <w:b w:val="0"/>
        <w:sz w:val="24"/>
      </w:rPr>
    </w:lvl>
    <w:lvl w:ilvl="1">
      <w:start w:val="1"/>
      <w:numFmt w:val="decimal"/>
      <w:lvlText w:val="%1.%2."/>
      <w:lvlJc w:val="left"/>
      <w:pPr>
        <w:ind w:left="858" w:hanging="432"/>
      </w:pPr>
      <w:rPr>
        <w:rFonts w:asciiTheme="minorHAnsi" w:hAnsiTheme="minorHAnsi" w:cstheme="minorHAnsi"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5264A5A"/>
    <w:multiLevelType w:val="hybridMultilevel"/>
    <w:tmpl w:val="29F4FDA8"/>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8090001">
      <w:start w:val="1"/>
      <w:numFmt w:val="bullet"/>
      <w:lvlText w:val=""/>
      <w:lvlJc w:val="left"/>
      <w:pPr>
        <w:tabs>
          <w:tab w:val="num" w:pos="2444"/>
        </w:tabs>
        <w:ind w:left="2444" w:hanging="360"/>
      </w:pPr>
      <w:rPr>
        <w:rFonts w:ascii="Symbol" w:hAnsi="Symbol" w:hint="default"/>
        <w:color w:val="auto"/>
        <w:sz w:val="20"/>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nsid w:val="269F503F"/>
    <w:multiLevelType w:val="hybridMultilevel"/>
    <w:tmpl w:val="73C83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6F12B2C"/>
    <w:multiLevelType w:val="hybridMultilevel"/>
    <w:tmpl w:val="DD6CF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7440C8B"/>
    <w:multiLevelType w:val="multilevel"/>
    <w:tmpl w:val="59E651A8"/>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3">
    <w:nsid w:val="277B575F"/>
    <w:multiLevelType w:val="hybridMultilevel"/>
    <w:tmpl w:val="4E6E3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292947CB"/>
    <w:multiLevelType w:val="hybridMultilevel"/>
    <w:tmpl w:val="7DBE445A"/>
    <w:lvl w:ilvl="0" w:tplc="008AE61C">
      <w:start w:val="1"/>
      <w:numFmt w:val="decimal"/>
      <w:lvlText w:val="%1."/>
      <w:lvlJc w:val="left"/>
      <w:pPr>
        <w:tabs>
          <w:tab w:val="num" w:pos="719"/>
        </w:tabs>
        <w:ind w:left="719" w:hanging="705"/>
      </w:pPr>
    </w:lvl>
    <w:lvl w:ilvl="1" w:tplc="04090019">
      <w:start w:val="1"/>
      <w:numFmt w:val="lowerLetter"/>
      <w:lvlText w:val="%2."/>
      <w:lvlJc w:val="left"/>
      <w:pPr>
        <w:tabs>
          <w:tab w:val="num" w:pos="1094"/>
        </w:tabs>
        <w:ind w:left="1094" w:hanging="360"/>
      </w:pPr>
    </w:lvl>
    <w:lvl w:ilvl="2" w:tplc="0409001B">
      <w:start w:val="1"/>
      <w:numFmt w:val="lowerRoman"/>
      <w:lvlText w:val="%3."/>
      <w:lvlJc w:val="right"/>
      <w:pPr>
        <w:tabs>
          <w:tab w:val="num" w:pos="1814"/>
        </w:tabs>
        <w:ind w:left="1814" w:hanging="180"/>
      </w:pPr>
    </w:lvl>
    <w:lvl w:ilvl="3" w:tplc="0409000F">
      <w:start w:val="1"/>
      <w:numFmt w:val="decimal"/>
      <w:lvlText w:val="%4."/>
      <w:lvlJc w:val="left"/>
      <w:pPr>
        <w:tabs>
          <w:tab w:val="num" w:pos="2534"/>
        </w:tabs>
        <w:ind w:left="2534" w:hanging="360"/>
      </w:pPr>
    </w:lvl>
    <w:lvl w:ilvl="4" w:tplc="04090019">
      <w:start w:val="1"/>
      <w:numFmt w:val="lowerLetter"/>
      <w:lvlText w:val="%5."/>
      <w:lvlJc w:val="left"/>
      <w:pPr>
        <w:tabs>
          <w:tab w:val="num" w:pos="3254"/>
        </w:tabs>
        <w:ind w:left="3254" w:hanging="360"/>
      </w:pPr>
    </w:lvl>
    <w:lvl w:ilvl="5" w:tplc="0409001B">
      <w:start w:val="1"/>
      <w:numFmt w:val="lowerRoman"/>
      <w:lvlText w:val="%6."/>
      <w:lvlJc w:val="right"/>
      <w:pPr>
        <w:tabs>
          <w:tab w:val="num" w:pos="3974"/>
        </w:tabs>
        <w:ind w:left="3974" w:hanging="180"/>
      </w:pPr>
    </w:lvl>
    <w:lvl w:ilvl="6" w:tplc="0409000F">
      <w:start w:val="1"/>
      <w:numFmt w:val="decimal"/>
      <w:lvlText w:val="%7."/>
      <w:lvlJc w:val="left"/>
      <w:pPr>
        <w:tabs>
          <w:tab w:val="num" w:pos="4694"/>
        </w:tabs>
        <w:ind w:left="4694" w:hanging="360"/>
      </w:pPr>
    </w:lvl>
    <w:lvl w:ilvl="7" w:tplc="04090019">
      <w:start w:val="1"/>
      <w:numFmt w:val="lowerLetter"/>
      <w:lvlText w:val="%8."/>
      <w:lvlJc w:val="left"/>
      <w:pPr>
        <w:tabs>
          <w:tab w:val="num" w:pos="5414"/>
        </w:tabs>
        <w:ind w:left="5414" w:hanging="360"/>
      </w:pPr>
    </w:lvl>
    <w:lvl w:ilvl="8" w:tplc="0409001B">
      <w:start w:val="1"/>
      <w:numFmt w:val="lowerRoman"/>
      <w:lvlText w:val="%9."/>
      <w:lvlJc w:val="right"/>
      <w:pPr>
        <w:tabs>
          <w:tab w:val="num" w:pos="6134"/>
        </w:tabs>
        <w:ind w:left="6134" w:hanging="180"/>
      </w:pPr>
    </w:lvl>
  </w:abstractNum>
  <w:abstractNum w:abstractNumId="35">
    <w:nsid w:val="2B922E26"/>
    <w:multiLevelType w:val="hybridMultilevel"/>
    <w:tmpl w:val="4C14E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2C81167C"/>
    <w:multiLevelType w:val="hybridMultilevel"/>
    <w:tmpl w:val="A9B62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2C9B60A8"/>
    <w:multiLevelType w:val="hybridMultilevel"/>
    <w:tmpl w:val="BB788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CD22479"/>
    <w:multiLevelType w:val="hybridMultilevel"/>
    <w:tmpl w:val="DD78C89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2DA84903"/>
    <w:multiLevelType w:val="hybridMultilevel"/>
    <w:tmpl w:val="533C7F8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2DA95684"/>
    <w:multiLevelType w:val="hybridMultilevel"/>
    <w:tmpl w:val="7C043E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3154275E"/>
    <w:multiLevelType w:val="hybridMultilevel"/>
    <w:tmpl w:val="FA4CF0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32AC2FBA"/>
    <w:multiLevelType w:val="hybridMultilevel"/>
    <w:tmpl w:val="2514F7C2"/>
    <w:lvl w:ilvl="0" w:tplc="3CC012F8">
      <w:start w:val="1"/>
      <w:numFmt w:val="lowerLetter"/>
      <w:pStyle w:val="List-outline-numbered"/>
      <w:lvlText w:val="%1)"/>
      <w:lvlJc w:val="left"/>
      <w:pPr>
        <w:tabs>
          <w:tab w:val="num" w:pos="-981"/>
        </w:tabs>
        <w:ind w:left="-981" w:hanging="360"/>
      </w:pPr>
      <w:rPr>
        <w:rFonts w:hint="default"/>
        <w:b w:val="0"/>
      </w:rPr>
    </w:lvl>
    <w:lvl w:ilvl="1" w:tplc="08090019">
      <w:start w:val="1"/>
      <w:numFmt w:val="lowerLetter"/>
      <w:lvlText w:val="%2."/>
      <w:lvlJc w:val="left"/>
      <w:pPr>
        <w:tabs>
          <w:tab w:val="num" w:pos="-261"/>
        </w:tabs>
        <w:ind w:left="-261" w:hanging="360"/>
      </w:pPr>
    </w:lvl>
    <w:lvl w:ilvl="2" w:tplc="0809001B">
      <w:start w:val="1"/>
      <w:numFmt w:val="lowerRoman"/>
      <w:lvlText w:val="%3."/>
      <w:lvlJc w:val="right"/>
      <w:pPr>
        <w:tabs>
          <w:tab w:val="num" w:pos="459"/>
        </w:tabs>
        <w:ind w:left="459" w:hanging="180"/>
      </w:pPr>
    </w:lvl>
    <w:lvl w:ilvl="3" w:tplc="0809000F">
      <w:start w:val="1"/>
      <w:numFmt w:val="decimal"/>
      <w:lvlText w:val="%4."/>
      <w:lvlJc w:val="left"/>
      <w:pPr>
        <w:tabs>
          <w:tab w:val="num" w:pos="1179"/>
        </w:tabs>
        <w:ind w:left="1179" w:hanging="360"/>
      </w:pPr>
    </w:lvl>
    <w:lvl w:ilvl="4" w:tplc="08090019">
      <w:start w:val="1"/>
      <w:numFmt w:val="lowerLetter"/>
      <w:lvlText w:val="%5."/>
      <w:lvlJc w:val="left"/>
      <w:pPr>
        <w:tabs>
          <w:tab w:val="num" w:pos="1899"/>
        </w:tabs>
        <w:ind w:left="1899" w:hanging="360"/>
      </w:pPr>
    </w:lvl>
    <w:lvl w:ilvl="5" w:tplc="0809001B" w:tentative="1">
      <w:start w:val="1"/>
      <w:numFmt w:val="lowerRoman"/>
      <w:lvlText w:val="%6."/>
      <w:lvlJc w:val="right"/>
      <w:pPr>
        <w:tabs>
          <w:tab w:val="num" w:pos="2619"/>
        </w:tabs>
        <w:ind w:left="2619" w:hanging="180"/>
      </w:pPr>
    </w:lvl>
    <w:lvl w:ilvl="6" w:tplc="0809000F" w:tentative="1">
      <w:start w:val="1"/>
      <w:numFmt w:val="decimal"/>
      <w:lvlText w:val="%7."/>
      <w:lvlJc w:val="left"/>
      <w:pPr>
        <w:tabs>
          <w:tab w:val="num" w:pos="3339"/>
        </w:tabs>
        <w:ind w:left="3339" w:hanging="360"/>
      </w:pPr>
    </w:lvl>
    <w:lvl w:ilvl="7" w:tplc="08090019" w:tentative="1">
      <w:start w:val="1"/>
      <w:numFmt w:val="lowerLetter"/>
      <w:lvlText w:val="%8."/>
      <w:lvlJc w:val="left"/>
      <w:pPr>
        <w:tabs>
          <w:tab w:val="num" w:pos="4059"/>
        </w:tabs>
        <w:ind w:left="4059" w:hanging="360"/>
      </w:pPr>
    </w:lvl>
    <w:lvl w:ilvl="8" w:tplc="0809001B" w:tentative="1">
      <w:start w:val="1"/>
      <w:numFmt w:val="lowerRoman"/>
      <w:lvlText w:val="%9."/>
      <w:lvlJc w:val="right"/>
      <w:pPr>
        <w:tabs>
          <w:tab w:val="num" w:pos="4779"/>
        </w:tabs>
        <w:ind w:left="4779" w:hanging="180"/>
      </w:pPr>
    </w:lvl>
  </w:abstractNum>
  <w:abstractNum w:abstractNumId="44">
    <w:nsid w:val="347107B4"/>
    <w:multiLevelType w:val="hybridMultilevel"/>
    <w:tmpl w:val="59602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3D133AEC"/>
    <w:multiLevelType w:val="hybridMultilevel"/>
    <w:tmpl w:val="E70A0890"/>
    <w:lvl w:ilvl="0" w:tplc="2C12034C">
      <w:start w:val="1"/>
      <w:numFmt w:val="lowerLetter"/>
      <w:lvlText w:val="(%1)"/>
      <w:lvlJc w:val="left"/>
      <w:pPr>
        <w:ind w:left="1211" w:hanging="360"/>
      </w:pPr>
      <w:rPr>
        <w:b w:val="0"/>
      </w:rPr>
    </w:lvl>
    <w:lvl w:ilvl="1" w:tplc="BAB2B3F4">
      <w:start w:val="1"/>
      <w:numFmt w:val="lowerRoman"/>
      <w:lvlText w:val="(%2)"/>
      <w:lvlJc w:val="right"/>
      <w:pPr>
        <w:ind w:left="2298" w:hanging="360"/>
      </w:pPr>
      <w:rPr>
        <w:b w:val="0"/>
      </w:rPr>
    </w:lvl>
    <w:lvl w:ilvl="2" w:tplc="0C09001B">
      <w:start w:val="1"/>
      <w:numFmt w:val="lowerRoman"/>
      <w:lvlText w:val="%3."/>
      <w:lvlJc w:val="right"/>
      <w:pPr>
        <w:ind w:left="3018" w:hanging="180"/>
      </w:pPr>
    </w:lvl>
    <w:lvl w:ilvl="3" w:tplc="0C09000F">
      <w:start w:val="1"/>
      <w:numFmt w:val="decimal"/>
      <w:lvlText w:val="%4."/>
      <w:lvlJc w:val="left"/>
      <w:pPr>
        <w:ind w:left="3738" w:hanging="360"/>
      </w:pPr>
    </w:lvl>
    <w:lvl w:ilvl="4" w:tplc="0C090019">
      <w:start w:val="1"/>
      <w:numFmt w:val="lowerLetter"/>
      <w:lvlText w:val="%5."/>
      <w:lvlJc w:val="left"/>
      <w:pPr>
        <w:ind w:left="4458" w:hanging="360"/>
      </w:pPr>
    </w:lvl>
    <w:lvl w:ilvl="5" w:tplc="0C09001B">
      <w:start w:val="1"/>
      <w:numFmt w:val="lowerRoman"/>
      <w:lvlText w:val="%6."/>
      <w:lvlJc w:val="right"/>
      <w:pPr>
        <w:ind w:left="5178" w:hanging="180"/>
      </w:pPr>
    </w:lvl>
    <w:lvl w:ilvl="6" w:tplc="0C09000F">
      <w:start w:val="1"/>
      <w:numFmt w:val="decimal"/>
      <w:lvlText w:val="%7."/>
      <w:lvlJc w:val="left"/>
      <w:pPr>
        <w:ind w:left="5898" w:hanging="360"/>
      </w:pPr>
    </w:lvl>
    <w:lvl w:ilvl="7" w:tplc="0C090019">
      <w:start w:val="1"/>
      <w:numFmt w:val="lowerLetter"/>
      <w:lvlText w:val="%8."/>
      <w:lvlJc w:val="left"/>
      <w:pPr>
        <w:ind w:left="6618" w:hanging="360"/>
      </w:pPr>
    </w:lvl>
    <w:lvl w:ilvl="8" w:tplc="0C09001B">
      <w:start w:val="1"/>
      <w:numFmt w:val="lowerRoman"/>
      <w:lvlText w:val="%9."/>
      <w:lvlJc w:val="right"/>
      <w:pPr>
        <w:ind w:left="7338" w:hanging="180"/>
      </w:pPr>
    </w:lvl>
  </w:abstractNum>
  <w:abstractNum w:abstractNumId="46">
    <w:nsid w:val="3D273980"/>
    <w:multiLevelType w:val="hybridMultilevel"/>
    <w:tmpl w:val="678E0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3D4E2328"/>
    <w:multiLevelType w:val="hybridMultilevel"/>
    <w:tmpl w:val="C1F66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E700801"/>
    <w:multiLevelType w:val="hybridMultilevel"/>
    <w:tmpl w:val="73120F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3F3C1D6A"/>
    <w:multiLevelType w:val="hybridMultilevel"/>
    <w:tmpl w:val="34065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3F7A791E"/>
    <w:multiLevelType w:val="singleLevel"/>
    <w:tmpl w:val="ADA64D4C"/>
    <w:lvl w:ilvl="0">
      <w:start w:val="1"/>
      <w:numFmt w:val="bullet"/>
      <w:pStyle w:val="ListBullet2"/>
      <w:lvlText w:val=""/>
      <w:legacy w:legacy="1" w:legacySpace="0" w:legacyIndent="360"/>
      <w:lvlJc w:val="left"/>
      <w:pPr>
        <w:ind w:left="720" w:hanging="360"/>
      </w:pPr>
      <w:rPr>
        <w:rFonts w:ascii="Wingdings" w:hAnsi="Wingdings" w:hint="default"/>
      </w:rPr>
    </w:lvl>
  </w:abstractNum>
  <w:abstractNum w:abstractNumId="51">
    <w:nsid w:val="40984B0C"/>
    <w:multiLevelType w:val="hybridMultilevel"/>
    <w:tmpl w:val="A6A21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28F33A0"/>
    <w:multiLevelType w:val="hybridMultilevel"/>
    <w:tmpl w:val="584E365C"/>
    <w:lvl w:ilvl="0" w:tplc="0C090001">
      <w:start w:val="1"/>
      <w:numFmt w:val="bullet"/>
      <w:lvlText w:val=""/>
      <w:lvlJc w:val="left"/>
      <w:pPr>
        <w:ind w:left="720" w:hanging="360"/>
      </w:pPr>
      <w:rPr>
        <w:rFonts w:ascii="Symbol" w:hAnsi="Symbol" w:hint="default"/>
      </w:rPr>
    </w:lvl>
    <w:lvl w:ilvl="1" w:tplc="C248F1E6">
      <w:start w:val="30"/>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43FD726F"/>
    <w:multiLevelType w:val="hybridMultilevel"/>
    <w:tmpl w:val="4C12A6A4"/>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458D653A"/>
    <w:multiLevelType w:val="hybridMultilevel"/>
    <w:tmpl w:val="593478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nsid w:val="4608758C"/>
    <w:multiLevelType w:val="hybridMultilevel"/>
    <w:tmpl w:val="558C5908"/>
    <w:lvl w:ilvl="0" w:tplc="EFB0F42E">
      <w:start w:val="1"/>
      <w:numFmt w:val="upp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nsid w:val="46E213EA"/>
    <w:multiLevelType w:val="hybridMultilevel"/>
    <w:tmpl w:val="3CFAC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47531147"/>
    <w:multiLevelType w:val="hybridMultilevel"/>
    <w:tmpl w:val="D5B06BB0"/>
    <w:lvl w:ilvl="0" w:tplc="6810A75C">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8">
    <w:nsid w:val="496862D2"/>
    <w:multiLevelType w:val="hybridMultilevel"/>
    <w:tmpl w:val="C2AE1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nsid w:val="49AA34B8"/>
    <w:multiLevelType w:val="hybridMultilevel"/>
    <w:tmpl w:val="95C0720A"/>
    <w:lvl w:ilvl="0" w:tplc="CBC4D7D4">
      <w:start w:val="1"/>
      <w:numFmt w:val="decimal"/>
      <w:lvlText w:val="%1."/>
      <w:lvlJc w:val="left"/>
      <w:pPr>
        <w:tabs>
          <w:tab w:val="num" w:pos="719"/>
        </w:tabs>
        <w:ind w:left="719" w:hanging="705"/>
      </w:pPr>
    </w:lvl>
    <w:lvl w:ilvl="1" w:tplc="04090019">
      <w:start w:val="1"/>
      <w:numFmt w:val="lowerLetter"/>
      <w:lvlText w:val="%2."/>
      <w:lvlJc w:val="left"/>
      <w:pPr>
        <w:tabs>
          <w:tab w:val="num" w:pos="1094"/>
        </w:tabs>
        <w:ind w:left="1094" w:hanging="360"/>
      </w:pPr>
    </w:lvl>
    <w:lvl w:ilvl="2" w:tplc="0409001B">
      <w:start w:val="1"/>
      <w:numFmt w:val="lowerRoman"/>
      <w:lvlText w:val="%3."/>
      <w:lvlJc w:val="right"/>
      <w:pPr>
        <w:tabs>
          <w:tab w:val="num" w:pos="1814"/>
        </w:tabs>
        <w:ind w:left="1814" w:hanging="180"/>
      </w:pPr>
    </w:lvl>
    <w:lvl w:ilvl="3" w:tplc="0409000F">
      <w:start w:val="1"/>
      <w:numFmt w:val="decimal"/>
      <w:lvlText w:val="%4."/>
      <w:lvlJc w:val="left"/>
      <w:pPr>
        <w:tabs>
          <w:tab w:val="num" w:pos="2534"/>
        </w:tabs>
        <w:ind w:left="2534" w:hanging="360"/>
      </w:pPr>
    </w:lvl>
    <w:lvl w:ilvl="4" w:tplc="04090019">
      <w:start w:val="1"/>
      <w:numFmt w:val="lowerLetter"/>
      <w:lvlText w:val="%5."/>
      <w:lvlJc w:val="left"/>
      <w:pPr>
        <w:tabs>
          <w:tab w:val="num" w:pos="3254"/>
        </w:tabs>
        <w:ind w:left="3254" w:hanging="360"/>
      </w:pPr>
    </w:lvl>
    <w:lvl w:ilvl="5" w:tplc="0409001B">
      <w:start w:val="1"/>
      <w:numFmt w:val="lowerRoman"/>
      <w:lvlText w:val="%6."/>
      <w:lvlJc w:val="right"/>
      <w:pPr>
        <w:tabs>
          <w:tab w:val="num" w:pos="3974"/>
        </w:tabs>
        <w:ind w:left="3974" w:hanging="180"/>
      </w:pPr>
    </w:lvl>
    <w:lvl w:ilvl="6" w:tplc="0409000F">
      <w:start w:val="1"/>
      <w:numFmt w:val="decimal"/>
      <w:lvlText w:val="%7."/>
      <w:lvlJc w:val="left"/>
      <w:pPr>
        <w:tabs>
          <w:tab w:val="num" w:pos="4694"/>
        </w:tabs>
        <w:ind w:left="4694" w:hanging="360"/>
      </w:pPr>
    </w:lvl>
    <w:lvl w:ilvl="7" w:tplc="04090019">
      <w:start w:val="1"/>
      <w:numFmt w:val="lowerLetter"/>
      <w:lvlText w:val="%8."/>
      <w:lvlJc w:val="left"/>
      <w:pPr>
        <w:tabs>
          <w:tab w:val="num" w:pos="5414"/>
        </w:tabs>
        <w:ind w:left="5414" w:hanging="360"/>
      </w:pPr>
    </w:lvl>
    <w:lvl w:ilvl="8" w:tplc="0409001B">
      <w:start w:val="1"/>
      <w:numFmt w:val="lowerRoman"/>
      <w:lvlText w:val="%9."/>
      <w:lvlJc w:val="right"/>
      <w:pPr>
        <w:tabs>
          <w:tab w:val="num" w:pos="6134"/>
        </w:tabs>
        <w:ind w:left="6134" w:hanging="180"/>
      </w:pPr>
    </w:lvl>
  </w:abstractNum>
  <w:abstractNum w:abstractNumId="60">
    <w:nsid w:val="4C3D766F"/>
    <w:multiLevelType w:val="hybridMultilevel"/>
    <w:tmpl w:val="A6EEA1D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nsid w:val="4C87114B"/>
    <w:multiLevelType w:val="hybridMultilevel"/>
    <w:tmpl w:val="5CC6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4E525F7B"/>
    <w:multiLevelType w:val="hybridMultilevel"/>
    <w:tmpl w:val="3CE44B18"/>
    <w:lvl w:ilvl="0" w:tplc="DF58E2A4">
      <w:start w:val="1"/>
      <w:numFmt w:val="decimal"/>
      <w:lvlText w:val="%1."/>
      <w:lvlJc w:val="left"/>
      <w:pPr>
        <w:tabs>
          <w:tab w:val="num" w:pos="719"/>
        </w:tabs>
        <w:ind w:left="719" w:hanging="705"/>
      </w:pPr>
    </w:lvl>
    <w:lvl w:ilvl="1" w:tplc="04090019">
      <w:start w:val="1"/>
      <w:numFmt w:val="lowerLetter"/>
      <w:lvlText w:val="%2."/>
      <w:lvlJc w:val="left"/>
      <w:pPr>
        <w:tabs>
          <w:tab w:val="num" w:pos="1094"/>
        </w:tabs>
        <w:ind w:left="1094" w:hanging="360"/>
      </w:pPr>
    </w:lvl>
    <w:lvl w:ilvl="2" w:tplc="0409001B">
      <w:start w:val="1"/>
      <w:numFmt w:val="lowerRoman"/>
      <w:lvlText w:val="%3."/>
      <w:lvlJc w:val="right"/>
      <w:pPr>
        <w:tabs>
          <w:tab w:val="num" w:pos="1814"/>
        </w:tabs>
        <w:ind w:left="1814" w:hanging="180"/>
      </w:pPr>
    </w:lvl>
    <w:lvl w:ilvl="3" w:tplc="0409000F">
      <w:start w:val="1"/>
      <w:numFmt w:val="decimal"/>
      <w:lvlText w:val="%4."/>
      <w:lvlJc w:val="left"/>
      <w:pPr>
        <w:tabs>
          <w:tab w:val="num" w:pos="2534"/>
        </w:tabs>
        <w:ind w:left="2534" w:hanging="360"/>
      </w:pPr>
    </w:lvl>
    <w:lvl w:ilvl="4" w:tplc="04090019">
      <w:start w:val="1"/>
      <w:numFmt w:val="lowerLetter"/>
      <w:lvlText w:val="%5."/>
      <w:lvlJc w:val="left"/>
      <w:pPr>
        <w:tabs>
          <w:tab w:val="num" w:pos="3254"/>
        </w:tabs>
        <w:ind w:left="3254" w:hanging="360"/>
      </w:pPr>
    </w:lvl>
    <w:lvl w:ilvl="5" w:tplc="0409001B">
      <w:start w:val="1"/>
      <w:numFmt w:val="lowerRoman"/>
      <w:lvlText w:val="%6."/>
      <w:lvlJc w:val="right"/>
      <w:pPr>
        <w:tabs>
          <w:tab w:val="num" w:pos="3974"/>
        </w:tabs>
        <w:ind w:left="3974" w:hanging="180"/>
      </w:pPr>
    </w:lvl>
    <w:lvl w:ilvl="6" w:tplc="0409000F">
      <w:start w:val="1"/>
      <w:numFmt w:val="decimal"/>
      <w:lvlText w:val="%7."/>
      <w:lvlJc w:val="left"/>
      <w:pPr>
        <w:tabs>
          <w:tab w:val="num" w:pos="4694"/>
        </w:tabs>
        <w:ind w:left="4694" w:hanging="360"/>
      </w:pPr>
    </w:lvl>
    <w:lvl w:ilvl="7" w:tplc="04090019">
      <w:start w:val="1"/>
      <w:numFmt w:val="lowerLetter"/>
      <w:lvlText w:val="%8."/>
      <w:lvlJc w:val="left"/>
      <w:pPr>
        <w:tabs>
          <w:tab w:val="num" w:pos="5414"/>
        </w:tabs>
        <w:ind w:left="5414" w:hanging="360"/>
      </w:pPr>
    </w:lvl>
    <w:lvl w:ilvl="8" w:tplc="0409001B">
      <w:start w:val="1"/>
      <w:numFmt w:val="lowerRoman"/>
      <w:lvlText w:val="%9."/>
      <w:lvlJc w:val="right"/>
      <w:pPr>
        <w:tabs>
          <w:tab w:val="num" w:pos="6134"/>
        </w:tabs>
        <w:ind w:left="6134" w:hanging="180"/>
      </w:pPr>
    </w:lvl>
  </w:abstractNum>
  <w:abstractNum w:abstractNumId="63">
    <w:nsid w:val="51353724"/>
    <w:multiLevelType w:val="hybridMultilevel"/>
    <w:tmpl w:val="3CF4B0C8"/>
    <w:lvl w:ilvl="0" w:tplc="0C090013">
      <w:start w:val="1"/>
      <w:numFmt w:val="upperRoman"/>
      <w:lvlText w:val="%1."/>
      <w:lvlJc w:val="righ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51821E11"/>
    <w:multiLevelType w:val="hybridMultilevel"/>
    <w:tmpl w:val="375C3A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nsid w:val="52E3072F"/>
    <w:multiLevelType w:val="hybridMultilevel"/>
    <w:tmpl w:val="A9744FD6"/>
    <w:lvl w:ilvl="0" w:tplc="0C090001">
      <w:start w:val="1"/>
      <w:numFmt w:val="bullet"/>
      <w:lvlText w:val=""/>
      <w:lvlJc w:val="left"/>
      <w:pPr>
        <w:ind w:left="720" w:hanging="360"/>
      </w:pPr>
      <w:rPr>
        <w:rFonts w:ascii="Symbol" w:hAnsi="Symbol" w:hint="default"/>
      </w:rPr>
    </w:lvl>
    <w:lvl w:ilvl="1" w:tplc="A056A07C">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54191146"/>
    <w:multiLevelType w:val="hybridMultilevel"/>
    <w:tmpl w:val="92AC76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nsid w:val="5AC467F7"/>
    <w:multiLevelType w:val="hybridMultilevel"/>
    <w:tmpl w:val="8AD8E5C2"/>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nsid w:val="5F883641"/>
    <w:multiLevelType w:val="hybridMultilevel"/>
    <w:tmpl w:val="54EA1962"/>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60C66668"/>
    <w:multiLevelType w:val="hybridMultilevel"/>
    <w:tmpl w:val="03D68D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61634BC8"/>
    <w:multiLevelType w:val="hybridMultilevel"/>
    <w:tmpl w:val="F02A0F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62005F02"/>
    <w:multiLevelType w:val="multilevel"/>
    <w:tmpl w:val="22D6E132"/>
    <w:lvl w:ilvl="0">
      <w:start w:val="1"/>
      <w:numFmt w:val="decimal"/>
      <w:pStyle w:val="Level1"/>
      <w:lvlText w:val="%1."/>
      <w:lvlJc w:val="left"/>
      <w:pPr>
        <w:tabs>
          <w:tab w:val="num" w:pos="720"/>
        </w:tabs>
        <w:ind w:left="720" w:hanging="720"/>
      </w:pPr>
      <w:rPr>
        <w:rFonts w:ascii="Palatino" w:hAnsi="Palatino" w:hint="default"/>
        <w:b w:val="0"/>
        <w:i w:val="0"/>
        <w:sz w:val="22"/>
      </w:rPr>
    </w:lvl>
    <w:lvl w:ilvl="1">
      <w:start w:val="1"/>
      <w:numFmt w:val="decimal"/>
      <w:pStyle w:val="Level11"/>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PlainText"/>
      <w:lvlText w:val="(%5)"/>
      <w:lvlJc w:val="left"/>
      <w:pPr>
        <w:tabs>
          <w:tab w:val="num" w:pos="2880"/>
        </w:tabs>
        <w:ind w:left="2880" w:hanging="720"/>
      </w:pPr>
      <w:rPr>
        <w:rFonts w:ascii="Palatino" w:hAnsi="Palatino" w:hint="default"/>
        <w:b w:val="0"/>
        <w:i w:val="0"/>
        <w:sz w:val="22"/>
      </w:rPr>
    </w:lvl>
    <w:lvl w:ilvl="5">
      <w:start w:val="1"/>
      <w:numFmt w:val="upperRoman"/>
      <w:pStyle w:val="LevelA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2">
    <w:nsid w:val="62AF3172"/>
    <w:multiLevelType w:val="multilevel"/>
    <w:tmpl w:val="25360E2E"/>
    <w:lvl w:ilvl="0">
      <w:start w:val="1"/>
      <w:numFmt w:val="decimal"/>
      <w:lvlText w:val="%1."/>
      <w:lvlJc w:val="left"/>
      <w:pPr>
        <w:ind w:left="360" w:hanging="360"/>
      </w:pPr>
      <w:rPr>
        <w:rFonts w:hint="default"/>
        <w:b w:val="0"/>
        <w:sz w:val="24"/>
      </w:rPr>
    </w:lvl>
    <w:lvl w:ilvl="1">
      <w:start w:val="1"/>
      <w:numFmt w:val="decimal"/>
      <w:lvlText w:val="%1.%2."/>
      <w:lvlJc w:val="left"/>
      <w:pPr>
        <w:ind w:left="858" w:hanging="432"/>
      </w:pPr>
      <w:rPr>
        <w:rFonts w:asciiTheme="minorHAnsi" w:hAnsiTheme="minorHAnsi" w:cstheme="minorHAnsi"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41F342D"/>
    <w:multiLevelType w:val="multilevel"/>
    <w:tmpl w:val="BF9C670A"/>
    <w:lvl w:ilvl="0">
      <w:start w:val="1"/>
      <w:numFmt w:val="decimal"/>
      <w:lvlText w:val="%1."/>
      <w:lvlJc w:val="left"/>
      <w:pPr>
        <w:ind w:left="360" w:hanging="360"/>
      </w:pPr>
      <w:rPr>
        <w:rFonts w:asciiTheme="minorHAnsi" w:hAnsiTheme="minorHAnsi" w:cstheme="minorHAnsi" w:hint="default"/>
        <w:b w:val="0"/>
        <w:sz w:val="24"/>
      </w:rPr>
    </w:lvl>
    <w:lvl w:ilvl="1">
      <w:start w:val="1"/>
      <w:numFmt w:val="decimal"/>
      <w:lvlText w:val="%1.%2."/>
      <w:lvlJc w:val="left"/>
      <w:pPr>
        <w:ind w:left="858" w:hanging="432"/>
      </w:pPr>
      <w:rPr>
        <w:rFonts w:asciiTheme="minorHAnsi" w:hAnsiTheme="minorHAnsi" w:cstheme="minorHAnsi"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5DF707A"/>
    <w:multiLevelType w:val="hybridMultilevel"/>
    <w:tmpl w:val="B0145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69B34ED6"/>
    <w:multiLevelType w:val="hybridMultilevel"/>
    <w:tmpl w:val="7ED6595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6">
    <w:nsid w:val="6A1B4F75"/>
    <w:multiLevelType w:val="multilevel"/>
    <w:tmpl w:val="892CE20C"/>
    <w:lvl w:ilvl="0">
      <w:start w:val="1"/>
      <w:numFmt w:val="decimal"/>
      <w:lvlText w:val="%1."/>
      <w:lvlJc w:val="left"/>
      <w:pPr>
        <w:ind w:left="360" w:hanging="360"/>
      </w:pPr>
      <w:rPr>
        <w:rFonts w:asciiTheme="minorHAnsi" w:hAnsiTheme="minorHAnsi" w:cstheme="minorHAnsi" w:hint="default"/>
        <w:b w:val="0"/>
        <w:sz w:val="24"/>
      </w:rPr>
    </w:lvl>
    <w:lvl w:ilvl="1">
      <w:start w:val="1"/>
      <w:numFmt w:val="decimal"/>
      <w:lvlText w:val="%1.%2."/>
      <w:lvlJc w:val="left"/>
      <w:pPr>
        <w:ind w:left="858" w:hanging="432"/>
      </w:pPr>
      <w:rPr>
        <w:rFonts w:asciiTheme="minorHAnsi" w:hAnsiTheme="minorHAnsi" w:cstheme="minorHAnsi"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6AEC2A6D"/>
    <w:multiLevelType w:val="hybridMultilevel"/>
    <w:tmpl w:val="82A80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6D505740"/>
    <w:multiLevelType w:val="hybridMultilevel"/>
    <w:tmpl w:val="FFB43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6F916DA3"/>
    <w:multiLevelType w:val="hybridMultilevel"/>
    <w:tmpl w:val="BA4EE2B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0">
    <w:nsid w:val="7019441F"/>
    <w:multiLevelType w:val="hybridMultilevel"/>
    <w:tmpl w:val="43BE1C30"/>
    <w:lvl w:ilvl="0" w:tplc="5CC6764A">
      <w:start w:val="1"/>
      <w:numFmt w:val="bullet"/>
      <w:lvlText w:val="-"/>
      <w:lvlJc w:val="left"/>
      <w:pPr>
        <w:ind w:left="720" w:hanging="360"/>
      </w:pPr>
      <w:rPr>
        <w:rFonts w:ascii="Calibri" w:hAnsi="Calibri"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70721CE4"/>
    <w:multiLevelType w:val="hybridMultilevel"/>
    <w:tmpl w:val="0A3E4E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2">
    <w:nsid w:val="70A77CD2"/>
    <w:multiLevelType w:val="hybridMultilevel"/>
    <w:tmpl w:val="CF8CD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712F5A19"/>
    <w:multiLevelType w:val="hybridMultilevel"/>
    <w:tmpl w:val="785A9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nsid w:val="72BD04F0"/>
    <w:multiLevelType w:val="hybridMultilevel"/>
    <w:tmpl w:val="3D0454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5">
    <w:nsid w:val="767832AD"/>
    <w:multiLevelType w:val="hybridMultilevel"/>
    <w:tmpl w:val="BEBE0C4C"/>
    <w:lvl w:ilvl="0" w:tplc="0C090001">
      <w:start w:val="1"/>
      <w:numFmt w:val="bullet"/>
      <w:lvlText w:val=""/>
      <w:lvlJc w:val="left"/>
      <w:pPr>
        <w:ind w:left="720" w:hanging="360"/>
      </w:pPr>
      <w:rPr>
        <w:rFonts w:ascii="Symbol" w:hAnsi="Symbol" w:hint="default"/>
      </w:rPr>
    </w:lvl>
    <w:lvl w:ilvl="1" w:tplc="A056A07C">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76C81623"/>
    <w:multiLevelType w:val="hybridMultilevel"/>
    <w:tmpl w:val="855204B8"/>
    <w:lvl w:ilvl="0" w:tplc="0C090001">
      <w:start w:val="1"/>
      <w:numFmt w:val="bullet"/>
      <w:lvlText w:val=""/>
      <w:lvlJc w:val="left"/>
      <w:pPr>
        <w:ind w:left="720" w:hanging="360"/>
      </w:pPr>
      <w:rPr>
        <w:rFonts w:ascii="Symbol" w:hAnsi="Symbol" w:hint="default"/>
      </w:rPr>
    </w:lvl>
    <w:lvl w:ilvl="1" w:tplc="6E960F8E">
      <w:start w:val="1"/>
      <w:numFmt w:val="upp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nsid w:val="774868B9"/>
    <w:multiLevelType w:val="hybridMultilevel"/>
    <w:tmpl w:val="EE4698EA"/>
    <w:lvl w:ilvl="0" w:tplc="AA6ED5E2">
      <w:start w:val="1"/>
      <w:numFmt w:val="bullet"/>
      <w:pStyle w:val="Table-list-bullet"/>
      <w:lvlText w:val="–"/>
      <w:lvlJc w:val="left"/>
      <w:pPr>
        <w:tabs>
          <w:tab w:val="num" w:pos="227"/>
        </w:tabs>
        <w:ind w:left="227"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77640550"/>
    <w:multiLevelType w:val="hybridMultilevel"/>
    <w:tmpl w:val="102CE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nsid w:val="78BC1533"/>
    <w:multiLevelType w:val="hybridMultilevel"/>
    <w:tmpl w:val="ED08F944"/>
    <w:lvl w:ilvl="0" w:tplc="FD184C8C">
      <w:start w:val="1"/>
      <w:numFmt w:val="lowerLetter"/>
      <w:lvlText w:val="(%1)"/>
      <w:lvlJc w:val="lef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90">
    <w:nsid w:val="78FC2750"/>
    <w:multiLevelType w:val="hybridMultilevel"/>
    <w:tmpl w:val="B2247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7B182796"/>
    <w:multiLevelType w:val="multilevel"/>
    <w:tmpl w:val="513E4784"/>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2">
    <w:nsid w:val="7B55496C"/>
    <w:multiLevelType w:val="multilevel"/>
    <w:tmpl w:val="956A68AC"/>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3">
    <w:nsid w:val="7DEC0B68"/>
    <w:multiLevelType w:val="hybridMultilevel"/>
    <w:tmpl w:val="A0CACC1A"/>
    <w:lvl w:ilvl="0" w:tplc="0C090001">
      <w:start w:val="1"/>
      <w:numFmt w:val="bullet"/>
      <w:lvlText w:val=""/>
      <w:lvlJc w:val="left"/>
      <w:pPr>
        <w:ind w:left="720" w:hanging="360"/>
      </w:pPr>
      <w:rPr>
        <w:rFonts w:ascii="Symbol" w:hAnsi="Symbol" w:hint="default"/>
      </w:rPr>
    </w:lvl>
    <w:lvl w:ilvl="1" w:tplc="9C3AFB0C">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nsid w:val="7F8C78A9"/>
    <w:multiLevelType w:val="hybridMultilevel"/>
    <w:tmpl w:val="979481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50"/>
  </w:num>
  <w:num w:numId="3">
    <w:abstractNumId w:val="32"/>
  </w:num>
  <w:num w:numId="4">
    <w:abstractNumId w:val="29"/>
  </w:num>
  <w:num w:numId="5">
    <w:abstractNumId w:val="71"/>
  </w:num>
  <w:num w:numId="6">
    <w:abstractNumId w:val="91"/>
  </w:num>
  <w:num w:numId="7">
    <w:abstractNumId w:val="87"/>
  </w:num>
  <w:num w:numId="8">
    <w:abstractNumId w:val="57"/>
  </w:num>
  <w:num w:numId="9">
    <w:abstractNumId w:val="43"/>
  </w:num>
  <w:num w:numId="10">
    <w:abstractNumId w:val="41"/>
  </w:num>
  <w:num w:numId="11">
    <w:abstractNumId w:val="82"/>
  </w:num>
  <w:num w:numId="12">
    <w:abstractNumId w:val="30"/>
  </w:num>
  <w:num w:numId="13">
    <w:abstractNumId w:val="1"/>
  </w:num>
  <w:num w:numId="14">
    <w:abstractNumId w:val="2"/>
  </w:num>
  <w:num w:numId="15">
    <w:abstractNumId w:val="33"/>
  </w:num>
  <w:num w:numId="16">
    <w:abstractNumId w:val="86"/>
  </w:num>
  <w:num w:numId="17">
    <w:abstractNumId w:val="66"/>
  </w:num>
  <w:num w:numId="18">
    <w:abstractNumId w:val="10"/>
  </w:num>
  <w:num w:numId="19">
    <w:abstractNumId w:val="78"/>
  </w:num>
  <w:num w:numId="20">
    <w:abstractNumId w:val="4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70"/>
  </w:num>
  <w:num w:numId="24">
    <w:abstractNumId w:val="12"/>
  </w:num>
  <w:num w:numId="25">
    <w:abstractNumId w:val="52"/>
  </w:num>
  <w:num w:numId="26">
    <w:abstractNumId w:val="19"/>
  </w:num>
  <w:num w:numId="27">
    <w:abstractNumId w:val="13"/>
  </w:num>
  <w:num w:numId="28">
    <w:abstractNumId w:val="77"/>
  </w:num>
  <w:num w:numId="29">
    <w:abstractNumId w:val="15"/>
  </w:num>
  <w:num w:numId="30">
    <w:abstractNumId w:val="46"/>
  </w:num>
  <w:num w:numId="31">
    <w:abstractNumId w:val="80"/>
  </w:num>
  <w:num w:numId="32">
    <w:abstractNumId w:val="31"/>
  </w:num>
  <w:num w:numId="33">
    <w:abstractNumId w:val="37"/>
  </w:num>
  <w:num w:numId="34">
    <w:abstractNumId w:val="20"/>
  </w:num>
  <w:num w:numId="35">
    <w:abstractNumId w:val="94"/>
  </w:num>
  <w:num w:numId="36">
    <w:abstractNumId w:val="65"/>
  </w:num>
  <w:num w:numId="37">
    <w:abstractNumId w:val="22"/>
  </w:num>
  <w:num w:numId="38">
    <w:abstractNumId w:val="85"/>
  </w:num>
  <w:num w:numId="39">
    <w:abstractNumId w:val="6"/>
  </w:num>
  <w:num w:numId="40">
    <w:abstractNumId w:val="63"/>
  </w:num>
  <w:num w:numId="41">
    <w:abstractNumId w:val="56"/>
  </w:num>
  <w:num w:numId="42">
    <w:abstractNumId w:val="74"/>
  </w:num>
  <w:num w:numId="43">
    <w:abstractNumId w:val="38"/>
  </w:num>
  <w:num w:numId="44">
    <w:abstractNumId w:val="11"/>
  </w:num>
  <w:num w:numId="45">
    <w:abstractNumId w:val="93"/>
  </w:num>
  <w:num w:numId="46">
    <w:abstractNumId w:val="49"/>
  </w:num>
  <w:num w:numId="47">
    <w:abstractNumId w:val="14"/>
  </w:num>
  <w:num w:numId="48">
    <w:abstractNumId w:val="90"/>
  </w:num>
  <w:num w:numId="49">
    <w:abstractNumId w:val="36"/>
  </w:num>
  <w:num w:numId="50">
    <w:abstractNumId w:val="23"/>
  </w:num>
  <w:num w:numId="51">
    <w:abstractNumId w:val="40"/>
  </w:num>
  <w:num w:numId="52">
    <w:abstractNumId w:val="9"/>
  </w:num>
  <w:num w:numId="53">
    <w:abstractNumId w:val="8"/>
  </w:num>
  <w:num w:numId="54">
    <w:abstractNumId w:val="61"/>
  </w:num>
  <w:num w:numId="55">
    <w:abstractNumId w:val="17"/>
  </w:num>
  <w:num w:numId="56">
    <w:abstractNumId w:val="35"/>
  </w:num>
  <w:num w:numId="57">
    <w:abstractNumId w:val="54"/>
  </w:num>
  <w:num w:numId="58">
    <w:abstractNumId w:val="25"/>
  </w:num>
  <w:num w:numId="59">
    <w:abstractNumId w:val="48"/>
  </w:num>
  <w:num w:numId="60">
    <w:abstractNumId w:val="18"/>
  </w:num>
  <w:num w:numId="61">
    <w:abstractNumId w:val="64"/>
  </w:num>
  <w:num w:numId="62">
    <w:abstractNumId w:val="53"/>
  </w:num>
  <w:num w:numId="63">
    <w:abstractNumId w:val="76"/>
  </w:num>
  <w:num w:numId="64">
    <w:abstractNumId w:val="39"/>
  </w:num>
  <w:num w:numId="65">
    <w:abstractNumId w:val="51"/>
  </w:num>
  <w:num w:numId="66">
    <w:abstractNumId w:val="55"/>
  </w:num>
  <w:num w:numId="67">
    <w:abstractNumId w:val="72"/>
  </w:num>
  <w:num w:numId="68">
    <w:abstractNumId w:val="7"/>
  </w:num>
  <w:num w:numId="69">
    <w:abstractNumId w:val="21"/>
  </w:num>
  <w:num w:numId="70">
    <w:abstractNumId w:val="68"/>
  </w:num>
  <w:num w:numId="71">
    <w:abstractNumId w:val="81"/>
  </w:num>
  <w:num w:numId="72">
    <w:abstractNumId w:val="44"/>
  </w:num>
  <w:num w:numId="73">
    <w:abstractNumId w:val="26"/>
  </w:num>
  <w:num w:numId="74">
    <w:abstractNumId w:val="83"/>
  </w:num>
  <w:num w:numId="75">
    <w:abstractNumId w:val="58"/>
  </w:num>
  <w:num w:numId="76">
    <w:abstractNumId w:val="88"/>
  </w:num>
  <w:num w:numId="77">
    <w:abstractNumId w:val="84"/>
  </w:num>
  <w:num w:numId="78">
    <w:abstractNumId w:val="79"/>
  </w:num>
  <w:num w:numId="79">
    <w:abstractNumId w:val="69"/>
  </w:num>
  <w:num w:numId="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3"/>
  </w:num>
  <w:num w:numId="82">
    <w:abstractNumId w:val="89"/>
  </w:num>
  <w:num w:numId="83">
    <w:abstractNumId w:val="45"/>
  </w:num>
  <w:num w:numId="84">
    <w:abstractNumId w:val="92"/>
  </w:num>
  <w:num w:numId="85">
    <w:abstractNumId w:val="28"/>
  </w:num>
  <w:num w:numId="86">
    <w:abstractNumId w:val="27"/>
  </w:num>
  <w:num w:numId="87">
    <w:abstractNumId w:val="75"/>
  </w:num>
  <w:num w:numId="88">
    <w:abstractNumId w:val="34"/>
  </w:num>
  <w:num w:numId="89">
    <w:abstractNumId w:val="59"/>
  </w:num>
  <w:num w:numId="90">
    <w:abstractNumId w:val="62"/>
  </w:num>
  <w:num w:numId="91">
    <w:abstractNumId w:val="0"/>
  </w:num>
  <w:num w:numId="92">
    <w:abstractNumId w:val="16"/>
  </w:num>
  <w:num w:numId="93">
    <w:abstractNumId w:val="4"/>
  </w:num>
  <w:num w:numId="94">
    <w:abstractNumId w:val="67"/>
  </w:num>
  <w:num w:numId="95">
    <w:abstractNumId w:val="24"/>
  </w:num>
  <w:num w:numId="96">
    <w:abstractNumId w:val="60"/>
  </w:num>
  <w:num w:numId="97">
    <w:abstractNumId w:val="4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activeWritingStyle w:appName="MSWord" w:lang="en-AU" w:vendorID="8" w:dllVersion="513" w:checkStyle="1"/>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D5"/>
    <w:rsid w:val="00001017"/>
    <w:rsid w:val="0000186B"/>
    <w:rsid w:val="00002076"/>
    <w:rsid w:val="000048E7"/>
    <w:rsid w:val="00004C02"/>
    <w:rsid w:val="00004D96"/>
    <w:rsid w:val="00006B05"/>
    <w:rsid w:val="0000736C"/>
    <w:rsid w:val="00010DBE"/>
    <w:rsid w:val="00011251"/>
    <w:rsid w:val="00011F14"/>
    <w:rsid w:val="00011FFA"/>
    <w:rsid w:val="00013706"/>
    <w:rsid w:val="00013B77"/>
    <w:rsid w:val="00014691"/>
    <w:rsid w:val="00015CD3"/>
    <w:rsid w:val="00016393"/>
    <w:rsid w:val="00016647"/>
    <w:rsid w:val="00016742"/>
    <w:rsid w:val="0001696B"/>
    <w:rsid w:val="00017EF2"/>
    <w:rsid w:val="00017EF7"/>
    <w:rsid w:val="00020537"/>
    <w:rsid w:val="000207FC"/>
    <w:rsid w:val="00021262"/>
    <w:rsid w:val="00021BFC"/>
    <w:rsid w:val="00021E07"/>
    <w:rsid w:val="00021E1E"/>
    <w:rsid w:val="00021F59"/>
    <w:rsid w:val="000235E9"/>
    <w:rsid w:val="00023B02"/>
    <w:rsid w:val="00024ED9"/>
    <w:rsid w:val="00025373"/>
    <w:rsid w:val="0002600C"/>
    <w:rsid w:val="00027343"/>
    <w:rsid w:val="00027707"/>
    <w:rsid w:val="00027A16"/>
    <w:rsid w:val="00030063"/>
    <w:rsid w:val="000304F1"/>
    <w:rsid w:val="00031C95"/>
    <w:rsid w:val="000335F3"/>
    <w:rsid w:val="00033655"/>
    <w:rsid w:val="0003578D"/>
    <w:rsid w:val="000366A0"/>
    <w:rsid w:val="00037235"/>
    <w:rsid w:val="00042C2F"/>
    <w:rsid w:val="00044E0F"/>
    <w:rsid w:val="000471AF"/>
    <w:rsid w:val="00047605"/>
    <w:rsid w:val="0004790E"/>
    <w:rsid w:val="00050FB3"/>
    <w:rsid w:val="00051A16"/>
    <w:rsid w:val="00052FDA"/>
    <w:rsid w:val="00053743"/>
    <w:rsid w:val="00053BF1"/>
    <w:rsid w:val="00054924"/>
    <w:rsid w:val="00057743"/>
    <w:rsid w:val="00060370"/>
    <w:rsid w:val="0006095F"/>
    <w:rsid w:val="00061246"/>
    <w:rsid w:val="000612CF"/>
    <w:rsid w:val="000629E5"/>
    <w:rsid w:val="000633DD"/>
    <w:rsid w:val="00063B70"/>
    <w:rsid w:val="00063C4D"/>
    <w:rsid w:val="00064814"/>
    <w:rsid w:val="00065BAD"/>
    <w:rsid w:val="00065F8C"/>
    <w:rsid w:val="00071A4B"/>
    <w:rsid w:val="00071E0A"/>
    <w:rsid w:val="000723DD"/>
    <w:rsid w:val="00073FD6"/>
    <w:rsid w:val="0007449A"/>
    <w:rsid w:val="00075BF8"/>
    <w:rsid w:val="00076192"/>
    <w:rsid w:val="00076357"/>
    <w:rsid w:val="0007642C"/>
    <w:rsid w:val="00077178"/>
    <w:rsid w:val="000774F0"/>
    <w:rsid w:val="0008009C"/>
    <w:rsid w:val="000803C1"/>
    <w:rsid w:val="00080A78"/>
    <w:rsid w:val="00081804"/>
    <w:rsid w:val="00081B9F"/>
    <w:rsid w:val="00082A87"/>
    <w:rsid w:val="00082C8B"/>
    <w:rsid w:val="00083597"/>
    <w:rsid w:val="0008500F"/>
    <w:rsid w:val="00086C72"/>
    <w:rsid w:val="00087550"/>
    <w:rsid w:val="0008761C"/>
    <w:rsid w:val="00087D83"/>
    <w:rsid w:val="0009170E"/>
    <w:rsid w:val="00096C77"/>
    <w:rsid w:val="000A0005"/>
    <w:rsid w:val="000A0470"/>
    <w:rsid w:val="000A1332"/>
    <w:rsid w:val="000A16AF"/>
    <w:rsid w:val="000A1F0D"/>
    <w:rsid w:val="000A3191"/>
    <w:rsid w:val="000A455E"/>
    <w:rsid w:val="000A466B"/>
    <w:rsid w:val="000A4D86"/>
    <w:rsid w:val="000A501F"/>
    <w:rsid w:val="000A51FF"/>
    <w:rsid w:val="000A53D8"/>
    <w:rsid w:val="000A769A"/>
    <w:rsid w:val="000A7929"/>
    <w:rsid w:val="000A7F00"/>
    <w:rsid w:val="000B01BE"/>
    <w:rsid w:val="000B0BE9"/>
    <w:rsid w:val="000B2C52"/>
    <w:rsid w:val="000B348F"/>
    <w:rsid w:val="000B43C9"/>
    <w:rsid w:val="000B453E"/>
    <w:rsid w:val="000B493A"/>
    <w:rsid w:val="000B5BFF"/>
    <w:rsid w:val="000B638D"/>
    <w:rsid w:val="000B6C1B"/>
    <w:rsid w:val="000C0A4E"/>
    <w:rsid w:val="000C0B2C"/>
    <w:rsid w:val="000C0FCD"/>
    <w:rsid w:val="000C125C"/>
    <w:rsid w:val="000C5058"/>
    <w:rsid w:val="000C6AD5"/>
    <w:rsid w:val="000C6BD7"/>
    <w:rsid w:val="000D1F89"/>
    <w:rsid w:val="000D2585"/>
    <w:rsid w:val="000D2A3B"/>
    <w:rsid w:val="000D3EDB"/>
    <w:rsid w:val="000D4BB3"/>
    <w:rsid w:val="000D4CE7"/>
    <w:rsid w:val="000D6059"/>
    <w:rsid w:val="000D636E"/>
    <w:rsid w:val="000D69DF"/>
    <w:rsid w:val="000D6C13"/>
    <w:rsid w:val="000D6D7C"/>
    <w:rsid w:val="000E05E5"/>
    <w:rsid w:val="000E0750"/>
    <w:rsid w:val="000E14D0"/>
    <w:rsid w:val="000E1715"/>
    <w:rsid w:val="000E1C74"/>
    <w:rsid w:val="000E3ABB"/>
    <w:rsid w:val="000E4E4A"/>
    <w:rsid w:val="000E680C"/>
    <w:rsid w:val="000E774F"/>
    <w:rsid w:val="000F1F44"/>
    <w:rsid w:val="000F29CD"/>
    <w:rsid w:val="000F31E5"/>
    <w:rsid w:val="000F52C6"/>
    <w:rsid w:val="000F5358"/>
    <w:rsid w:val="001008D3"/>
    <w:rsid w:val="00100D87"/>
    <w:rsid w:val="001010C2"/>
    <w:rsid w:val="00102E17"/>
    <w:rsid w:val="001032E0"/>
    <w:rsid w:val="0010389A"/>
    <w:rsid w:val="00103B74"/>
    <w:rsid w:val="001040CD"/>
    <w:rsid w:val="001052D2"/>
    <w:rsid w:val="00106CDD"/>
    <w:rsid w:val="00107917"/>
    <w:rsid w:val="00110011"/>
    <w:rsid w:val="001110A0"/>
    <w:rsid w:val="0011175F"/>
    <w:rsid w:val="00112952"/>
    <w:rsid w:val="00112A33"/>
    <w:rsid w:val="00114C4F"/>
    <w:rsid w:val="001152FF"/>
    <w:rsid w:val="00115E5A"/>
    <w:rsid w:val="00115ED9"/>
    <w:rsid w:val="00116855"/>
    <w:rsid w:val="001179C8"/>
    <w:rsid w:val="00120068"/>
    <w:rsid w:val="00120345"/>
    <w:rsid w:val="00120DE0"/>
    <w:rsid w:val="001233F4"/>
    <w:rsid w:val="0012353C"/>
    <w:rsid w:val="00123EF8"/>
    <w:rsid w:val="00123EFE"/>
    <w:rsid w:val="00123FB1"/>
    <w:rsid w:val="001240AA"/>
    <w:rsid w:val="00124668"/>
    <w:rsid w:val="00125403"/>
    <w:rsid w:val="0012578F"/>
    <w:rsid w:val="00125D13"/>
    <w:rsid w:val="00130283"/>
    <w:rsid w:val="0013158B"/>
    <w:rsid w:val="001318E5"/>
    <w:rsid w:val="00131988"/>
    <w:rsid w:val="001320B7"/>
    <w:rsid w:val="00132C9E"/>
    <w:rsid w:val="001336B7"/>
    <w:rsid w:val="00135A85"/>
    <w:rsid w:val="00140246"/>
    <w:rsid w:val="0014142D"/>
    <w:rsid w:val="001415CA"/>
    <w:rsid w:val="00141E96"/>
    <w:rsid w:val="00145C27"/>
    <w:rsid w:val="0014636D"/>
    <w:rsid w:val="00147705"/>
    <w:rsid w:val="00147F36"/>
    <w:rsid w:val="00150656"/>
    <w:rsid w:val="00151C92"/>
    <w:rsid w:val="0015254E"/>
    <w:rsid w:val="00152FC4"/>
    <w:rsid w:val="00153E3E"/>
    <w:rsid w:val="001542F6"/>
    <w:rsid w:val="00154FD5"/>
    <w:rsid w:val="0015513F"/>
    <w:rsid w:val="0015610B"/>
    <w:rsid w:val="001615E5"/>
    <w:rsid w:val="00162A6B"/>
    <w:rsid w:val="001643B8"/>
    <w:rsid w:val="00165598"/>
    <w:rsid w:val="00165D33"/>
    <w:rsid w:val="0016649B"/>
    <w:rsid w:val="001665DF"/>
    <w:rsid w:val="00171CF6"/>
    <w:rsid w:val="00171E5A"/>
    <w:rsid w:val="0017265E"/>
    <w:rsid w:val="00172A3D"/>
    <w:rsid w:val="00172C9A"/>
    <w:rsid w:val="00174DED"/>
    <w:rsid w:val="001751E8"/>
    <w:rsid w:val="00175883"/>
    <w:rsid w:val="00175CB6"/>
    <w:rsid w:val="001774C8"/>
    <w:rsid w:val="00177AEA"/>
    <w:rsid w:val="00177B1D"/>
    <w:rsid w:val="001823E7"/>
    <w:rsid w:val="00182724"/>
    <w:rsid w:val="0018287A"/>
    <w:rsid w:val="00183284"/>
    <w:rsid w:val="00183513"/>
    <w:rsid w:val="00183CF5"/>
    <w:rsid w:val="00183EBA"/>
    <w:rsid w:val="001850A2"/>
    <w:rsid w:val="00185681"/>
    <w:rsid w:val="00185E58"/>
    <w:rsid w:val="00186888"/>
    <w:rsid w:val="00186A4A"/>
    <w:rsid w:val="00186FD7"/>
    <w:rsid w:val="001927A5"/>
    <w:rsid w:val="00195BF4"/>
    <w:rsid w:val="0019608B"/>
    <w:rsid w:val="00196FEC"/>
    <w:rsid w:val="001A07E6"/>
    <w:rsid w:val="001A09B4"/>
    <w:rsid w:val="001A2669"/>
    <w:rsid w:val="001A274F"/>
    <w:rsid w:val="001A27E6"/>
    <w:rsid w:val="001A2C2C"/>
    <w:rsid w:val="001A309E"/>
    <w:rsid w:val="001A6015"/>
    <w:rsid w:val="001A6BA5"/>
    <w:rsid w:val="001B14C3"/>
    <w:rsid w:val="001B17C2"/>
    <w:rsid w:val="001B339A"/>
    <w:rsid w:val="001B387E"/>
    <w:rsid w:val="001B5423"/>
    <w:rsid w:val="001B59F7"/>
    <w:rsid w:val="001B6B5D"/>
    <w:rsid w:val="001B7FD0"/>
    <w:rsid w:val="001C0D56"/>
    <w:rsid w:val="001C1110"/>
    <w:rsid w:val="001C1816"/>
    <w:rsid w:val="001C27E0"/>
    <w:rsid w:val="001C332D"/>
    <w:rsid w:val="001C36A6"/>
    <w:rsid w:val="001C4C20"/>
    <w:rsid w:val="001C5068"/>
    <w:rsid w:val="001C5119"/>
    <w:rsid w:val="001C5182"/>
    <w:rsid w:val="001C5F6D"/>
    <w:rsid w:val="001C7227"/>
    <w:rsid w:val="001D0DE1"/>
    <w:rsid w:val="001D1168"/>
    <w:rsid w:val="001D27A4"/>
    <w:rsid w:val="001D2EF8"/>
    <w:rsid w:val="001D5253"/>
    <w:rsid w:val="001D52E9"/>
    <w:rsid w:val="001D5A19"/>
    <w:rsid w:val="001D70A1"/>
    <w:rsid w:val="001D771A"/>
    <w:rsid w:val="001E0E9D"/>
    <w:rsid w:val="001E1169"/>
    <w:rsid w:val="001E1C9E"/>
    <w:rsid w:val="001E1ED3"/>
    <w:rsid w:val="001E5CCA"/>
    <w:rsid w:val="001E5DAF"/>
    <w:rsid w:val="001E6CC9"/>
    <w:rsid w:val="001E7487"/>
    <w:rsid w:val="001E7DA0"/>
    <w:rsid w:val="001F058F"/>
    <w:rsid w:val="001F0F47"/>
    <w:rsid w:val="001F1BFC"/>
    <w:rsid w:val="001F32BC"/>
    <w:rsid w:val="001F3380"/>
    <w:rsid w:val="001F4C65"/>
    <w:rsid w:val="001F7CBE"/>
    <w:rsid w:val="00200444"/>
    <w:rsid w:val="002015F4"/>
    <w:rsid w:val="00201738"/>
    <w:rsid w:val="00201E3E"/>
    <w:rsid w:val="0020253C"/>
    <w:rsid w:val="002031FD"/>
    <w:rsid w:val="002035D7"/>
    <w:rsid w:val="00205423"/>
    <w:rsid w:val="00205707"/>
    <w:rsid w:val="002059FA"/>
    <w:rsid w:val="00205EBE"/>
    <w:rsid w:val="00206508"/>
    <w:rsid w:val="0020753D"/>
    <w:rsid w:val="002075DC"/>
    <w:rsid w:val="0021010B"/>
    <w:rsid w:val="00210BA6"/>
    <w:rsid w:val="00211CBA"/>
    <w:rsid w:val="00214633"/>
    <w:rsid w:val="002146EB"/>
    <w:rsid w:val="00214BB5"/>
    <w:rsid w:val="00216744"/>
    <w:rsid w:val="00217A7C"/>
    <w:rsid w:val="002200E9"/>
    <w:rsid w:val="00220467"/>
    <w:rsid w:val="00220763"/>
    <w:rsid w:val="00222E9D"/>
    <w:rsid w:val="00223743"/>
    <w:rsid w:val="00223A99"/>
    <w:rsid w:val="00223FEE"/>
    <w:rsid w:val="00224066"/>
    <w:rsid w:val="002244B6"/>
    <w:rsid w:val="002260E4"/>
    <w:rsid w:val="00227A05"/>
    <w:rsid w:val="00227B6E"/>
    <w:rsid w:val="00230791"/>
    <w:rsid w:val="0023150C"/>
    <w:rsid w:val="00231D55"/>
    <w:rsid w:val="00232E17"/>
    <w:rsid w:val="00233627"/>
    <w:rsid w:val="002359A2"/>
    <w:rsid w:val="0024011E"/>
    <w:rsid w:val="00240F0D"/>
    <w:rsid w:val="00241FD6"/>
    <w:rsid w:val="00244225"/>
    <w:rsid w:val="00246108"/>
    <w:rsid w:val="00246878"/>
    <w:rsid w:val="00246F50"/>
    <w:rsid w:val="00252170"/>
    <w:rsid w:val="00252387"/>
    <w:rsid w:val="00252571"/>
    <w:rsid w:val="00252675"/>
    <w:rsid w:val="002526E7"/>
    <w:rsid w:val="00254203"/>
    <w:rsid w:val="00254DA5"/>
    <w:rsid w:val="002550FF"/>
    <w:rsid w:val="0025612D"/>
    <w:rsid w:val="00256168"/>
    <w:rsid w:val="00257613"/>
    <w:rsid w:val="00260C2E"/>
    <w:rsid w:val="00260F75"/>
    <w:rsid w:val="00262C29"/>
    <w:rsid w:val="00262D9A"/>
    <w:rsid w:val="0026394D"/>
    <w:rsid w:val="00264ADE"/>
    <w:rsid w:val="002700C2"/>
    <w:rsid w:val="00270CB2"/>
    <w:rsid w:val="00272123"/>
    <w:rsid w:val="00272323"/>
    <w:rsid w:val="002735D7"/>
    <w:rsid w:val="0027482C"/>
    <w:rsid w:val="00274A0F"/>
    <w:rsid w:val="002750F2"/>
    <w:rsid w:val="00275178"/>
    <w:rsid w:val="00275B1C"/>
    <w:rsid w:val="00275FAC"/>
    <w:rsid w:val="002766A9"/>
    <w:rsid w:val="00276EEA"/>
    <w:rsid w:val="00277117"/>
    <w:rsid w:val="002772FB"/>
    <w:rsid w:val="002779FD"/>
    <w:rsid w:val="002820B7"/>
    <w:rsid w:val="00283427"/>
    <w:rsid w:val="00285BE4"/>
    <w:rsid w:val="002871C5"/>
    <w:rsid w:val="002873A2"/>
    <w:rsid w:val="00291E78"/>
    <w:rsid w:val="00291F95"/>
    <w:rsid w:val="0029232E"/>
    <w:rsid w:val="0029334F"/>
    <w:rsid w:val="00293476"/>
    <w:rsid w:val="0029348A"/>
    <w:rsid w:val="0029496F"/>
    <w:rsid w:val="00294FD3"/>
    <w:rsid w:val="00295599"/>
    <w:rsid w:val="002A0ED5"/>
    <w:rsid w:val="002A3F6E"/>
    <w:rsid w:val="002A4168"/>
    <w:rsid w:val="002A41C2"/>
    <w:rsid w:val="002A569C"/>
    <w:rsid w:val="002A630E"/>
    <w:rsid w:val="002A6473"/>
    <w:rsid w:val="002A7B83"/>
    <w:rsid w:val="002B02D5"/>
    <w:rsid w:val="002B0E9D"/>
    <w:rsid w:val="002B13B5"/>
    <w:rsid w:val="002B14FF"/>
    <w:rsid w:val="002B1F7D"/>
    <w:rsid w:val="002B2627"/>
    <w:rsid w:val="002B2D4A"/>
    <w:rsid w:val="002B31D0"/>
    <w:rsid w:val="002B3546"/>
    <w:rsid w:val="002B6238"/>
    <w:rsid w:val="002B7876"/>
    <w:rsid w:val="002C0505"/>
    <w:rsid w:val="002C12ED"/>
    <w:rsid w:val="002C2EF2"/>
    <w:rsid w:val="002C3628"/>
    <w:rsid w:val="002C6856"/>
    <w:rsid w:val="002C6B4F"/>
    <w:rsid w:val="002C70C7"/>
    <w:rsid w:val="002D18EA"/>
    <w:rsid w:val="002D2115"/>
    <w:rsid w:val="002D27D0"/>
    <w:rsid w:val="002D33C3"/>
    <w:rsid w:val="002D39C5"/>
    <w:rsid w:val="002D401F"/>
    <w:rsid w:val="002D4590"/>
    <w:rsid w:val="002D5559"/>
    <w:rsid w:val="002D68C7"/>
    <w:rsid w:val="002D6AF9"/>
    <w:rsid w:val="002E1386"/>
    <w:rsid w:val="002E1F5C"/>
    <w:rsid w:val="002E3138"/>
    <w:rsid w:val="002E3CFC"/>
    <w:rsid w:val="002E5B79"/>
    <w:rsid w:val="002E67D5"/>
    <w:rsid w:val="002E71A2"/>
    <w:rsid w:val="002E7996"/>
    <w:rsid w:val="002E79CA"/>
    <w:rsid w:val="002E7B45"/>
    <w:rsid w:val="002E7ED4"/>
    <w:rsid w:val="002F26C4"/>
    <w:rsid w:val="002F2A04"/>
    <w:rsid w:val="002F434E"/>
    <w:rsid w:val="002F47CD"/>
    <w:rsid w:val="002F565A"/>
    <w:rsid w:val="002F60CE"/>
    <w:rsid w:val="002F6237"/>
    <w:rsid w:val="002F7037"/>
    <w:rsid w:val="002F70E9"/>
    <w:rsid w:val="002F7E21"/>
    <w:rsid w:val="00300F6A"/>
    <w:rsid w:val="00300F92"/>
    <w:rsid w:val="003039F4"/>
    <w:rsid w:val="00303CAC"/>
    <w:rsid w:val="003042FC"/>
    <w:rsid w:val="0030573C"/>
    <w:rsid w:val="00305E0A"/>
    <w:rsid w:val="003068A3"/>
    <w:rsid w:val="00306FEE"/>
    <w:rsid w:val="00307244"/>
    <w:rsid w:val="003076C2"/>
    <w:rsid w:val="00307AA0"/>
    <w:rsid w:val="00307F4E"/>
    <w:rsid w:val="00310761"/>
    <w:rsid w:val="0031202D"/>
    <w:rsid w:val="00312308"/>
    <w:rsid w:val="00312AF3"/>
    <w:rsid w:val="00312E9E"/>
    <w:rsid w:val="00312ED5"/>
    <w:rsid w:val="003146A3"/>
    <w:rsid w:val="003155FE"/>
    <w:rsid w:val="0031604F"/>
    <w:rsid w:val="0031657A"/>
    <w:rsid w:val="00317027"/>
    <w:rsid w:val="00317F04"/>
    <w:rsid w:val="00320716"/>
    <w:rsid w:val="00321615"/>
    <w:rsid w:val="00322542"/>
    <w:rsid w:val="00322828"/>
    <w:rsid w:val="0032296E"/>
    <w:rsid w:val="00324A4B"/>
    <w:rsid w:val="00326F17"/>
    <w:rsid w:val="00326F52"/>
    <w:rsid w:val="003274D0"/>
    <w:rsid w:val="00327A50"/>
    <w:rsid w:val="00330115"/>
    <w:rsid w:val="00331370"/>
    <w:rsid w:val="0033213B"/>
    <w:rsid w:val="00332315"/>
    <w:rsid w:val="00333837"/>
    <w:rsid w:val="00333950"/>
    <w:rsid w:val="00333CA2"/>
    <w:rsid w:val="003355CE"/>
    <w:rsid w:val="00335F71"/>
    <w:rsid w:val="00336374"/>
    <w:rsid w:val="00336C0C"/>
    <w:rsid w:val="00340679"/>
    <w:rsid w:val="00340CE0"/>
    <w:rsid w:val="00341175"/>
    <w:rsid w:val="00341CEE"/>
    <w:rsid w:val="00341D90"/>
    <w:rsid w:val="00341E40"/>
    <w:rsid w:val="00343332"/>
    <w:rsid w:val="0034365E"/>
    <w:rsid w:val="00344905"/>
    <w:rsid w:val="00344914"/>
    <w:rsid w:val="0034538C"/>
    <w:rsid w:val="00345556"/>
    <w:rsid w:val="00345B50"/>
    <w:rsid w:val="00346637"/>
    <w:rsid w:val="0034677B"/>
    <w:rsid w:val="00347B22"/>
    <w:rsid w:val="00350A70"/>
    <w:rsid w:val="00350AE4"/>
    <w:rsid w:val="0035157B"/>
    <w:rsid w:val="00351D8F"/>
    <w:rsid w:val="003528D1"/>
    <w:rsid w:val="00352CC3"/>
    <w:rsid w:val="003534BA"/>
    <w:rsid w:val="00353523"/>
    <w:rsid w:val="00354354"/>
    <w:rsid w:val="003546BE"/>
    <w:rsid w:val="003549BD"/>
    <w:rsid w:val="00354DF9"/>
    <w:rsid w:val="003554D2"/>
    <w:rsid w:val="003568E3"/>
    <w:rsid w:val="00356ED1"/>
    <w:rsid w:val="00357AF9"/>
    <w:rsid w:val="0036062E"/>
    <w:rsid w:val="003608E6"/>
    <w:rsid w:val="0036169E"/>
    <w:rsid w:val="00362383"/>
    <w:rsid w:val="00362F19"/>
    <w:rsid w:val="00363A5E"/>
    <w:rsid w:val="003669F3"/>
    <w:rsid w:val="003670B6"/>
    <w:rsid w:val="00367182"/>
    <w:rsid w:val="00367BFF"/>
    <w:rsid w:val="00367C07"/>
    <w:rsid w:val="003706FA"/>
    <w:rsid w:val="00371B0F"/>
    <w:rsid w:val="00371E84"/>
    <w:rsid w:val="00373256"/>
    <w:rsid w:val="00373CBB"/>
    <w:rsid w:val="00374613"/>
    <w:rsid w:val="00374BC0"/>
    <w:rsid w:val="00376941"/>
    <w:rsid w:val="00381CD8"/>
    <w:rsid w:val="00382305"/>
    <w:rsid w:val="00385790"/>
    <w:rsid w:val="003859F5"/>
    <w:rsid w:val="00387717"/>
    <w:rsid w:val="00387BC0"/>
    <w:rsid w:val="00390434"/>
    <w:rsid w:val="00390F40"/>
    <w:rsid w:val="00390F42"/>
    <w:rsid w:val="0039204A"/>
    <w:rsid w:val="0039222B"/>
    <w:rsid w:val="00392635"/>
    <w:rsid w:val="00394404"/>
    <w:rsid w:val="0039524D"/>
    <w:rsid w:val="00395436"/>
    <w:rsid w:val="0039572F"/>
    <w:rsid w:val="003962F4"/>
    <w:rsid w:val="00396BF4"/>
    <w:rsid w:val="00397B61"/>
    <w:rsid w:val="003A1C9F"/>
    <w:rsid w:val="003A203A"/>
    <w:rsid w:val="003A367E"/>
    <w:rsid w:val="003A3722"/>
    <w:rsid w:val="003A378D"/>
    <w:rsid w:val="003A4856"/>
    <w:rsid w:val="003A5798"/>
    <w:rsid w:val="003A5E9C"/>
    <w:rsid w:val="003A5FAE"/>
    <w:rsid w:val="003A6101"/>
    <w:rsid w:val="003A7F9F"/>
    <w:rsid w:val="003B1257"/>
    <w:rsid w:val="003B1461"/>
    <w:rsid w:val="003B22A1"/>
    <w:rsid w:val="003B5D8F"/>
    <w:rsid w:val="003C05FA"/>
    <w:rsid w:val="003C14A7"/>
    <w:rsid w:val="003C1FC3"/>
    <w:rsid w:val="003C2F68"/>
    <w:rsid w:val="003C32C7"/>
    <w:rsid w:val="003C3633"/>
    <w:rsid w:val="003C4EB8"/>
    <w:rsid w:val="003C4FBE"/>
    <w:rsid w:val="003C6BB2"/>
    <w:rsid w:val="003D01BE"/>
    <w:rsid w:val="003D057D"/>
    <w:rsid w:val="003D0A5A"/>
    <w:rsid w:val="003D0BE4"/>
    <w:rsid w:val="003D0DD6"/>
    <w:rsid w:val="003D17AC"/>
    <w:rsid w:val="003D217F"/>
    <w:rsid w:val="003D2232"/>
    <w:rsid w:val="003D2811"/>
    <w:rsid w:val="003D3A6E"/>
    <w:rsid w:val="003D3DED"/>
    <w:rsid w:val="003D4035"/>
    <w:rsid w:val="003D4CC6"/>
    <w:rsid w:val="003D699F"/>
    <w:rsid w:val="003D736E"/>
    <w:rsid w:val="003D7A5F"/>
    <w:rsid w:val="003E03F2"/>
    <w:rsid w:val="003E077F"/>
    <w:rsid w:val="003E1BBA"/>
    <w:rsid w:val="003E305C"/>
    <w:rsid w:val="003E4FF0"/>
    <w:rsid w:val="003E5A2C"/>
    <w:rsid w:val="003E6A75"/>
    <w:rsid w:val="003E6D30"/>
    <w:rsid w:val="003E7781"/>
    <w:rsid w:val="003E7CC3"/>
    <w:rsid w:val="003F0701"/>
    <w:rsid w:val="003F1A9F"/>
    <w:rsid w:val="003F40B1"/>
    <w:rsid w:val="003F5625"/>
    <w:rsid w:val="003F5A51"/>
    <w:rsid w:val="003F6C83"/>
    <w:rsid w:val="003F71C7"/>
    <w:rsid w:val="003F784A"/>
    <w:rsid w:val="004003BE"/>
    <w:rsid w:val="00400D10"/>
    <w:rsid w:val="00402281"/>
    <w:rsid w:val="00402332"/>
    <w:rsid w:val="004024F6"/>
    <w:rsid w:val="00403953"/>
    <w:rsid w:val="00404044"/>
    <w:rsid w:val="00405F10"/>
    <w:rsid w:val="00406B22"/>
    <w:rsid w:val="00406F81"/>
    <w:rsid w:val="004109D8"/>
    <w:rsid w:val="004123E2"/>
    <w:rsid w:val="004136CD"/>
    <w:rsid w:val="004153FC"/>
    <w:rsid w:val="00415B1D"/>
    <w:rsid w:val="00420744"/>
    <w:rsid w:val="004212BB"/>
    <w:rsid w:val="00421B9C"/>
    <w:rsid w:val="00422DDC"/>
    <w:rsid w:val="00423A65"/>
    <w:rsid w:val="00425388"/>
    <w:rsid w:val="00427730"/>
    <w:rsid w:val="00430A2C"/>
    <w:rsid w:val="00430D9F"/>
    <w:rsid w:val="004314D6"/>
    <w:rsid w:val="004317DC"/>
    <w:rsid w:val="00432966"/>
    <w:rsid w:val="004350FC"/>
    <w:rsid w:val="0043545C"/>
    <w:rsid w:val="0043576C"/>
    <w:rsid w:val="00435882"/>
    <w:rsid w:val="004367A0"/>
    <w:rsid w:val="00437121"/>
    <w:rsid w:val="00437BA3"/>
    <w:rsid w:val="00440DA5"/>
    <w:rsid w:val="0044174B"/>
    <w:rsid w:val="00442E97"/>
    <w:rsid w:val="0044640D"/>
    <w:rsid w:val="004479A2"/>
    <w:rsid w:val="00451463"/>
    <w:rsid w:val="00452ED4"/>
    <w:rsid w:val="0045528F"/>
    <w:rsid w:val="00455545"/>
    <w:rsid w:val="00456528"/>
    <w:rsid w:val="00460633"/>
    <w:rsid w:val="00463D79"/>
    <w:rsid w:val="00463ED1"/>
    <w:rsid w:val="00464607"/>
    <w:rsid w:val="00467729"/>
    <w:rsid w:val="00470D92"/>
    <w:rsid w:val="004726AE"/>
    <w:rsid w:val="0047297C"/>
    <w:rsid w:val="00473D7B"/>
    <w:rsid w:val="0047536C"/>
    <w:rsid w:val="0047586B"/>
    <w:rsid w:val="004762A4"/>
    <w:rsid w:val="00476F22"/>
    <w:rsid w:val="0047758D"/>
    <w:rsid w:val="004802C8"/>
    <w:rsid w:val="004808A0"/>
    <w:rsid w:val="00481A4C"/>
    <w:rsid w:val="00482032"/>
    <w:rsid w:val="00482B86"/>
    <w:rsid w:val="00484894"/>
    <w:rsid w:val="004850FD"/>
    <w:rsid w:val="0048665E"/>
    <w:rsid w:val="004903AB"/>
    <w:rsid w:val="00490FD3"/>
    <w:rsid w:val="00491218"/>
    <w:rsid w:val="004914D9"/>
    <w:rsid w:val="004929FB"/>
    <w:rsid w:val="00492E19"/>
    <w:rsid w:val="0049439A"/>
    <w:rsid w:val="004959D8"/>
    <w:rsid w:val="00495B88"/>
    <w:rsid w:val="004976EA"/>
    <w:rsid w:val="0049786B"/>
    <w:rsid w:val="004A0582"/>
    <w:rsid w:val="004A0E1F"/>
    <w:rsid w:val="004A13E6"/>
    <w:rsid w:val="004A14F0"/>
    <w:rsid w:val="004A1CE9"/>
    <w:rsid w:val="004A3977"/>
    <w:rsid w:val="004A4E0E"/>
    <w:rsid w:val="004A5C2B"/>
    <w:rsid w:val="004A6715"/>
    <w:rsid w:val="004A6F25"/>
    <w:rsid w:val="004A7125"/>
    <w:rsid w:val="004B0B85"/>
    <w:rsid w:val="004B0F5D"/>
    <w:rsid w:val="004B11F2"/>
    <w:rsid w:val="004B2303"/>
    <w:rsid w:val="004B245B"/>
    <w:rsid w:val="004B300F"/>
    <w:rsid w:val="004B413F"/>
    <w:rsid w:val="004B4CE0"/>
    <w:rsid w:val="004B4D23"/>
    <w:rsid w:val="004B58F1"/>
    <w:rsid w:val="004B6436"/>
    <w:rsid w:val="004B728E"/>
    <w:rsid w:val="004B72A4"/>
    <w:rsid w:val="004B7666"/>
    <w:rsid w:val="004B7756"/>
    <w:rsid w:val="004B7C9A"/>
    <w:rsid w:val="004C0596"/>
    <w:rsid w:val="004C08C3"/>
    <w:rsid w:val="004C0E67"/>
    <w:rsid w:val="004C3894"/>
    <w:rsid w:val="004C39EC"/>
    <w:rsid w:val="004C3FFE"/>
    <w:rsid w:val="004C4D5C"/>
    <w:rsid w:val="004C4E77"/>
    <w:rsid w:val="004C6CD3"/>
    <w:rsid w:val="004C7FB2"/>
    <w:rsid w:val="004D3B0E"/>
    <w:rsid w:val="004D4C35"/>
    <w:rsid w:val="004E08D3"/>
    <w:rsid w:val="004E0A4D"/>
    <w:rsid w:val="004E1C93"/>
    <w:rsid w:val="004E2A07"/>
    <w:rsid w:val="004E3534"/>
    <w:rsid w:val="004E42D7"/>
    <w:rsid w:val="004E4A44"/>
    <w:rsid w:val="004E55C7"/>
    <w:rsid w:val="004F018C"/>
    <w:rsid w:val="004F04FB"/>
    <w:rsid w:val="004F2204"/>
    <w:rsid w:val="004F226C"/>
    <w:rsid w:val="004F2282"/>
    <w:rsid w:val="004F2BC6"/>
    <w:rsid w:val="004F4BB2"/>
    <w:rsid w:val="004F546F"/>
    <w:rsid w:val="004F64C9"/>
    <w:rsid w:val="004F75AD"/>
    <w:rsid w:val="00500669"/>
    <w:rsid w:val="00500D79"/>
    <w:rsid w:val="0050210C"/>
    <w:rsid w:val="00507F59"/>
    <w:rsid w:val="00510BE7"/>
    <w:rsid w:val="00510CFB"/>
    <w:rsid w:val="00511439"/>
    <w:rsid w:val="00512950"/>
    <w:rsid w:val="00512C6E"/>
    <w:rsid w:val="00512F95"/>
    <w:rsid w:val="00513C6B"/>
    <w:rsid w:val="0051479B"/>
    <w:rsid w:val="005150BF"/>
    <w:rsid w:val="00515243"/>
    <w:rsid w:val="0051672B"/>
    <w:rsid w:val="00516A4C"/>
    <w:rsid w:val="00517544"/>
    <w:rsid w:val="00517FBD"/>
    <w:rsid w:val="00520067"/>
    <w:rsid w:val="00520324"/>
    <w:rsid w:val="00521FEB"/>
    <w:rsid w:val="00522240"/>
    <w:rsid w:val="005240EE"/>
    <w:rsid w:val="005247E3"/>
    <w:rsid w:val="005248A4"/>
    <w:rsid w:val="005254FE"/>
    <w:rsid w:val="00526045"/>
    <w:rsid w:val="005262C3"/>
    <w:rsid w:val="0053089F"/>
    <w:rsid w:val="00531023"/>
    <w:rsid w:val="00531DDA"/>
    <w:rsid w:val="00532588"/>
    <w:rsid w:val="00532647"/>
    <w:rsid w:val="00535EDD"/>
    <w:rsid w:val="005360A2"/>
    <w:rsid w:val="00536321"/>
    <w:rsid w:val="00536524"/>
    <w:rsid w:val="0053765A"/>
    <w:rsid w:val="0054055A"/>
    <w:rsid w:val="0054081B"/>
    <w:rsid w:val="00541095"/>
    <w:rsid w:val="00541D7F"/>
    <w:rsid w:val="00542778"/>
    <w:rsid w:val="00543746"/>
    <w:rsid w:val="00544BD6"/>
    <w:rsid w:val="005450B9"/>
    <w:rsid w:val="00546054"/>
    <w:rsid w:val="00546C9A"/>
    <w:rsid w:val="00546D77"/>
    <w:rsid w:val="005515F4"/>
    <w:rsid w:val="0055164C"/>
    <w:rsid w:val="005518FF"/>
    <w:rsid w:val="00552140"/>
    <w:rsid w:val="0055323F"/>
    <w:rsid w:val="00553CDE"/>
    <w:rsid w:val="00554C64"/>
    <w:rsid w:val="00555779"/>
    <w:rsid w:val="00556F30"/>
    <w:rsid w:val="00557D44"/>
    <w:rsid w:val="00557FF5"/>
    <w:rsid w:val="0056006B"/>
    <w:rsid w:val="00561901"/>
    <w:rsid w:val="00561BFE"/>
    <w:rsid w:val="00561FB2"/>
    <w:rsid w:val="00562795"/>
    <w:rsid w:val="005630C5"/>
    <w:rsid w:val="0056351E"/>
    <w:rsid w:val="0056370E"/>
    <w:rsid w:val="00563D57"/>
    <w:rsid w:val="00564C5C"/>
    <w:rsid w:val="00570B34"/>
    <w:rsid w:val="0057170C"/>
    <w:rsid w:val="00571CC1"/>
    <w:rsid w:val="00571F0B"/>
    <w:rsid w:val="00571F0F"/>
    <w:rsid w:val="00573F82"/>
    <w:rsid w:val="00577186"/>
    <w:rsid w:val="005812C9"/>
    <w:rsid w:val="005827DD"/>
    <w:rsid w:val="00582A5C"/>
    <w:rsid w:val="0058311F"/>
    <w:rsid w:val="00586F06"/>
    <w:rsid w:val="00590CE1"/>
    <w:rsid w:val="00590F7C"/>
    <w:rsid w:val="00593147"/>
    <w:rsid w:val="00593D1B"/>
    <w:rsid w:val="005943A6"/>
    <w:rsid w:val="0059444F"/>
    <w:rsid w:val="00594915"/>
    <w:rsid w:val="00595AF1"/>
    <w:rsid w:val="005974E5"/>
    <w:rsid w:val="005A01CA"/>
    <w:rsid w:val="005A171C"/>
    <w:rsid w:val="005A1C7E"/>
    <w:rsid w:val="005A1D69"/>
    <w:rsid w:val="005A35A3"/>
    <w:rsid w:val="005A421E"/>
    <w:rsid w:val="005A4DEB"/>
    <w:rsid w:val="005A631A"/>
    <w:rsid w:val="005A65E4"/>
    <w:rsid w:val="005A76B3"/>
    <w:rsid w:val="005B0572"/>
    <w:rsid w:val="005B0795"/>
    <w:rsid w:val="005B0E76"/>
    <w:rsid w:val="005B380E"/>
    <w:rsid w:val="005B46B3"/>
    <w:rsid w:val="005B655A"/>
    <w:rsid w:val="005B7227"/>
    <w:rsid w:val="005B729C"/>
    <w:rsid w:val="005B7FB4"/>
    <w:rsid w:val="005C0266"/>
    <w:rsid w:val="005C0E2A"/>
    <w:rsid w:val="005C1CB8"/>
    <w:rsid w:val="005C23D0"/>
    <w:rsid w:val="005C550E"/>
    <w:rsid w:val="005C68CA"/>
    <w:rsid w:val="005C6E51"/>
    <w:rsid w:val="005D17C0"/>
    <w:rsid w:val="005D1AB4"/>
    <w:rsid w:val="005D3B0B"/>
    <w:rsid w:val="005D4205"/>
    <w:rsid w:val="005D4241"/>
    <w:rsid w:val="005D4F76"/>
    <w:rsid w:val="005D50A8"/>
    <w:rsid w:val="005D67D0"/>
    <w:rsid w:val="005D6BD5"/>
    <w:rsid w:val="005D6E0C"/>
    <w:rsid w:val="005D74EC"/>
    <w:rsid w:val="005E062C"/>
    <w:rsid w:val="005E136E"/>
    <w:rsid w:val="005E1CE0"/>
    <w:rsid w:val="005E227D"/>
    <w:rsid w:val="005E2568"/>
    <w:rsid w:val="005E2CCE"/>
    <w:rsid w:val="005E4DBA"/>
    <w:rsid w:val="005E58EF"/>
    <w:rsid w:val="005E644E"/>
    <w:rsid w:val="005E7470"/>
    <w:rsid w:val="005E7B25"/>
    <w:rsid w:val="005F06AF"/>
    <w:rsid w:val="005F1070"/>
    <w:rsid w:val="005F1AB7"/>
    <w:rsid w:val="005F1CEA"/>
    <w:rsid w:val="005F2AA9"/>
    <w:rsid w:val="005F51E9"/>
    <w:rsid w:val="005F7DE6"/>
    <w:rsid w:val="005F7FA7"/>
    <w:rsid w:val="00600409"/>
    <w:rsid w:val="00602990"/>
    <w:rsid w:val="006033B5"/>
    <w:rsid w:val="00603D97"/>
    <w:rsid w:val="00604ACB"/>
    <w:rsid w:val="00607B20"/>
    <w:rsid w:val="00607E2E"/>
    <w:rsid w:val="00610424"/>
    <w:rsid w:val="00610B0D"/>
    <w:rsid w:val="006110C2"/>
    <w:rsid w:val="006111E5"/>
    <w:rsid w:val="006113F0"/>
    <w:rsid w:val="00611982"/>
    <w:rsid w:val="006141E6"/>
    <w:rsid w:val="00614603"/>
    <w:rsid w:val="006147C4"/>
    <w:rsid w:val="006147C5"/>
    <w:rsid w:val="00614930"/>
    <w:rsid w:val="006163D1"/>
    <w:rsid w:val="0062086E"/>
    <w:rsid w:val="00622626"/>
    <w:rsid w:val="00623295"/>
    <w:rsid w:val="00624A93"/>
    <w:rsid w:val="00625A6C"/>
    <w:rsid w:val="00627A8A"/>
    <w:rsid w:val="00632A42"/>
    <w:rsid w:val="006337FE"/>
    <w:rsid w:val="00635C8A"/>
    <w:rsid w:val="00635F0C"/>
    <w:rsid w:val="00637101"/>
    <w:rsid w:val="00640581"/>
    <w:rsid w:val="006414B0"/>
    <w:rsid w:val="006419CA"/>
    <w:rsid w:val="00642568"/>
    <w:rsid w:val="006431C0"/>
    <w:rsid w:val="00645038"/>
    <w:rsid w:val="0064633C"/>
    <w:rsid w:val="00646CCC"/>
    <w:rsid w:val="00646DF1"/>
    <w:rsid w:val="00650AD5"/>
    <w:rsid w:val="006523DE"/>
    <w:rsid w:val="00653306"/>
    <w:rsid w:val="00653649"/>
    <w:rsid w:val="0065417C"/>
    <w:rsid w:val="0065419E"/>
    <w:rsid w:val="0065448C"/>
    <w:rsid w:val="006544EC"/>
    <w:rsid w:val="00655413"/>
    <w:rsid w:val="00656999"/>
    <w:rsid w:val="0066039D"/>
    <w:rsid w:val="00663159"/>
    <w:rsid w:val="00663D0F"/>
    <w:rsid w:val="00664B96"/>
    <w:rsid w:val="006654F9"/>
    <w:rsid w:val="006662CC"/>
    <w:rsid w:val="00670DF1"/>
    <w:rsid w:val="00671202"/>
    <w:rsid w:val="00671319"/>
    <w:rsid w:val="00672685"/>
    <w:rsid w:val="00672BE3"/>
    <w:rsid w:val="006736A3"/>
    <w:rsid w:val="00674371"/>
    <w:rsid w:val="00675083"/>
    <w:rsid w:val="00676EBD"/>
    <w:rsid w:val="006771F4"/>
    <w:rsid w:val="006773B4"/>
    <w:rsid w:val="006777CA"/>
    <w:rsid w:val="006819B0"/>
    <w:rsid w:val="00681A24"/>
    <w:rsid w:val="00681BB0"/>
    <w:rsid w:val="00681D4C"/>
    <w:rsid w:val="00682FA4"/>
    <w:rsid w:val="00683175"/>
    <w:rsid w:val="00683462"/>
    <w:rsid w:val="006859FA"/>
    <w:rsid w:val="0068768A"/>
    <w:rsid w:val="00687DB3"/>
    <w:rsid w:val="006902A0"/>
    <w:rsid w:val="0069056C"/>
    <w:rsid w:val="00691C55"/>
    <w:rsid w:val="00692115"/>
    <w:rsid w:val="006922E8"/>
    <w:rsid w:val="0069306A"/>
    <w:rsid w:val="00694294"/>
    <w:rsid w:val="00694614"/>
    <w:rsid w:val="0069625F"/>
    <w:rsid w:val="006A003D"/>
    <w:rsid w:val="006A0856"/>
    <w:rsid w:val="006A35A0"/>
    <w:rsid w:val="006A40E9"/>
    <w:rsid w:val="006A438C"/>
    <w:rsid w:val="006A5379"/>
    <w:rsid w:val="006A59B6"/>
    <w:rsid w:val="006A5E3A"/>
    <w:rsid w:val="006B151E"/>
    <w:rsid w:val="006B1A64"/>
    <w:rsid w:val="006B2A57"/>
    <w:rsid w:val="006B3178"/>
    <w:rsid w:val="006B38B2"/>
    <w:rsid w:val="006B4C64"/>
    <w:rsid w:val="006B5761"/>
    <w:rsid w:val="006C08DE"/>
    <w:rsid w:val="006C1337"/>
    <w:rsid w:val="006C1442"/>
    <w:rsid w:val="006C1E87"/>
    <w:rsid w:val="006C270B"/>
    <w:rsid w:val="006C2C59"/>
    <w:rsid w:val="006C3756"/>
    <w:rsid w:val="006C3B46"/>
    <w:rsid w:val="006C4AD8"/>
    <w:rsid w:val="006C57BA"/>
    <w:rsid w:val="006C79FA"/>
    <w:rsid w:val="006C7E17"/>
    <w:rsid w:val="006D001E"/>
    <w:rsid w:val="006D02E0"/>
    <w:rsid w:val="006D18AB"/>
    <w:rsid w:val="006D18C1"/>
    <w:rsid w:val="006D1C59"/>
    <w:rsid w:val="006D39B6"/>
    <w:rsid w:val="006D43EE"/>
    <w:rsid w:val="006D4F38"/>
    <w:rsid w:val="006D66AF"/>
    <w:rsid w:val="006D7514"/>
    <w:rsid w:val="006D7EE7"/>
    <w:rsid w:val="006D7F4D"/>
    <w:rsid w:val="006D7F51"/>
    <w:rsid w:val="006E184F"/>
    <w:rsid w:val="006E1A5E"/>
    <w:rsid w:val="006E20AE"/>
    <w:rsid w:val="006E2FBE"/>
    <w:rsid w:val="006E4EF6"/>
    <w:rsid w:val="006E5A5F"/>
    <w:rsid w:val="006E5EE9"/>
    <w:rsid w:val="006E616A"/>
    <w:rsid w:val="006E7445"/>
    <w:rsid w:val="006F15EF"/>
    <w:rsid w:val="006F3F66"/>
    <w:rsid w:val="006F477B"/>
    <w:rsid w:val="006F59B1"/>
    <w:rsid w:val="006F5F56"/>
    <w:rsid w:val="006F60C5"/>
    <w:rsid w:val="006F7CA7"/>
    <w:rsid w:val="00700024"/>
    <w:rsid w:val="0070109D"/>
    <w:rsid w:val="00702524"/>
    <w:rsid w:val="0070258C"/>
    <w:rsid w:val="00703AD2"/>
    <w:rsid w:val="0070411F"/>
    <w:rsid w:val="00704608"/>
    <w:rsid w:val="0070468F"/>
    <w:rsid w:val="00704ED9"/>
    <w:rsid w:val="00705A88"/>
    <w:rsid w:val="00705AD4"/>
    <w:rsid w:val="007065F4"/>
    <w:rsid w:val="00706C92"/>
    <w:rsid w:val="00710010"/>
    <w:rsid w:val="0071017D"/>
    <w:rsid w:val="00710BBD"/>
    <w:rsid w:val="00711220"/>
    <w:rsid w:val="007113A8"/>
    <w:rsid w:val="00711CFA"/>
    <w:rsid w:val="0071245F"/>
    <w:rsid w:val="00712FF5"/>
    <w:rsid w:val="00714508"/>
    <w:rsid w:val="00717AF3"/>
    <w:rsid w:val="00717CF4"/>
    <w:rsid w:val="00720060"/>
    <w:rsid w:val="0072014A"/>
    <w:rsid w:val="00721325"/>
    <w:rsid w:val="007224E3"/>
    <w:rsid w:val="00722517"/>
    <w:rsid w:val="00722825"/>
    <w:rsid w:val="007228A0"/>
    <w:rsid w:val="00722AAD"/>
    <w:rsid w:val="00724D52"/>
    <w:rsid w:val="00727F84"/>
    <w:rsid w:val="00730494"/>
    <w:rsid w:val="00730D0B"/>
    <w:rsid w:val="00732141"/>
    <w:rsid w:val="007326F0"/>
    <w:rsid w:val="007327C5"/>
    <w:rsid w:val="007327ED"/>
    <w:rsid w:val="00733394"/>
    <w:rsid w:val="007336E8"/>
    <w:rsid w:val="00734191"/>
    <w:rsid w:val="00734EC9"/>
    <w:rsid w:val="00735412"/>
    <w:rsid w:val="007357B7"/>
    <w:rsid w:val="00737463"/>
    <w:rsid w:val="0074025D"/>
    <w:rsid w:val="00741D2C"/>
    <w:rsid w:val="00743662"/>
    <w:rsid w:val="00743771"/>
    <w:rsid w:val="007439F9"/>
    <w:rsid w:val="00743F58"/>
    <w:rsid w:val="0074494B"/>
    <w:rsid w:val="00744AB6"/>
    <w:rsid w:val="00744EDB"/>
    <w:rsid w:val="007458D4"/>
    <w:rsid w:val="00746527"/>
    <w:rsid w:val="00747186"/>
    <w:rsid w:val="0074748E"/>
    <w:rsid w:val="00747993"/>
    <w:rsid w:val="0075276A"/>
    <w:rsid w:val="00753015"/>
    <w:rsid w:val="00753230"/>
    <w:rsid w:val="007545B2"/>
    <w:rsid w:val="00756DCA"/>
    <w:rsid w:val="00760718"/>
    <w:rsid w:val="00763998"/>
    <w:rsid w:val="00763B1D"/>
    <w:rsid w:val="00763E46"/>
    <w:rsid w:val="007648C4"/>
    <w:rsid w:val="00765648"/>
    <w:rsid w:val="00766513"/>
    <w:rsid w:val="0076792D"/>
    <w:rsid w:val="0077078D"/>
    <w:rsid w:val="0077126A"/>
    <w:rsid w:val="007725EF"/>
    <w:rsid w:val="007805E0"/>
    <w:rsid w:val="007819EF"/>
    <w:rsid w:val="00783FF4"/>
    <w:rsid w:val="007842F6"/>
    <w:rsid w:val="00784CEF"/>
    <w:rsid w:val="0078537A"/>
    <w:rsid w:val="00790388"/>
    <w:rsid w:val="007904DC"/>
    <w:rsid w:val="007908E0"/>
    <w:rsid w:val="00792A8F"/>
    <w:rsid w:val="0079483D"/>
    <w:rsid w:val="00795EDC"/>
    <w:rsid w:val="007964AE"/>
    <w:rsid w:val="00797124"/>
    <w:rsid w:val="007971A1"/>
    <w:rsid w:val="0079742D"/>
    <w:rsid w:val="007A00D2"/>
    <w:rsid w:val="007A1189"/>
    <w:rsid w:val="007A3FBB"/>
    <w:rsid w:val="007A484D"/>
    <w:rsid w:val="007A4A98"/>
    <w:rsid w:val="007A4F8B"/>
    <w:rsid w:val="007A6262"/>
    <w:rsid w:val="007A6948"/>
    <w:rsid w:val="007B009A"/>
    <w:rsid w:val="007B029C"/>
    <w:rsid w:val="007B04D6"/>
    <w:rsid w:val="007B079B"/>
    <w:rsid w:val="007B08B3"/>
    <w:rsid w:val="007B1F2A"/>
    <w:rsid w:val="007B2FC7"/>
    <w:rsid w:val="007B3154"/>
    <w:rsid w:val="007B3B61"/>
    <w:rsid w:val="007B3B70"/>
    <w:rsid w:val="007B3BEF"/>
    <w:rsid w:val="007B4D83"/>
    <w:rsid w:val="007B5367"/>
    <w:rsid w:val="007B614F"/>
    <w:rsid w:val="007C10A8"/>
    <w:rsid w:val="007C2499"/>
    <w:rsid w:val="007C618D"/>
    <w:rsid w:val="007C6656"/>
    <w:rsid w:val="007C6B50"/>
    <w:rsid w:val="007D0021"/>
    <w:rsid w:val="007D0E75"/>
    <w:rsid w:val="007D14BC"/>
    <w:rsid w:val="007D1DD7"/>
    <w:rsid w:val="007D1FE0"/>
    <w:rsid w:val="007D28E0"/>
    <w:rsid w:val="007D347F"/>
    <w:rsid w:val="007D4C28"/>
    <w:rsid w:val="007D5B9B"/>
    <w:rsid w:val="007D65C2"/>
    <w:rsid w:val="007D6AC7"/>
    <w:rsid w:val="007E1E28"/>
    <w:rsid w:val="007E31C7"/>
    <w:rsid w:val="007E3A00"/>
    <w:rsid w:val="007E440F"/>
    <w:rsid w:val="007E74EA"/>
    <w:rsid w:val="007E7865"/>
    <w:rsid w:val="007F0723"/>
    <w:rsid w:val="007F086F"/>
    <w:rsid w:val="007F11F1"/>
    <w:rsid w:val="007F14A0"/>
    <w:rsid w:val="007F15D7"/>
    <w:rsid w:val="007F15FD"/>
    <w:rsid w:val="007F3BB7"/>
    <w:rsid w:val="007F482B"/>
    <w:rsid w:val="007F5039"/>
    <w:rsid w:val="007F548D"/>
    <w:rsid w:val="007F698D"/>
    <w:rsid w:val="007F7B17"/>
    <w:rsid w:val="008004DF"/>
    <w:rsid w:val="00800827"/>
    <w:rsid w:val="00800E0D"/>
    <w:rsid w:val="00801215"/>
    <w:rsid w:val="008020E8"/>
    <w:rsid w:val="00802A16"/>
    <w:rsid w:val="00802E6B"/>
    <w:rsid w:val="00804C6D"/>
    <w:rsid w:val="008056A6"/>
    <w:rsid w:val="00807A16"/>
    <w:rsid w:val="00807B54"/>
    <w:rsid w:val="008125A4"/>
    <w:rsid w:val="00813A78"/>
    <w:rsid w:val="00813BA0"/>
    <w:rsid w:val="00814E44"/>
    <w:rsid w:val="00815E8E"/>
    <w:rsid w:val="008161EF"/>
    <w:rsid w:val="00817ACC"/>
    <w:rsid w:val="00817AEE"/>
    <w:rsid w:val="008204CC"/>
    <w:rsid w:val="00820D7E"/>
    <w:rsid w:val="00821087"/>
    <w:rsid w:val="008223CC"/>
    <w:rsid w:val="00823661"/>
    <w:rsid w:val="00823A84"/>
    <w:rsid w:val="00824139"/>
    <w:rsid w:val="00824444"/>
    <w:rsid w:val="00824579"/>
    <w:rsid w:val="0082531B"/>
    <w:rsid w:val="00825C34"/>
    <w:rsid w:val="00826210"/>
    <w:rsid w:val="00826245"/>
    <w:rsid w:val="00827A76"/>
    <w:rsid w:val="00827AFD"/>
    <w:rsid w:val="00830067"/>
    <w:rsid w:val="0083042F"/>
    <w:rsid w:val="008311D4"/>
    <w:rsid w:val="00831314"/>
    <w:rsid w:val="00832208"/>
    <w:rsid w:val="0083230A"/>
    <w:rsid w:val="00833C00"/>
    <w:rsid w:val="00834C34"/>
    <w:rsid w:val="00835BA3"/>
    <w:rsid w:val="0083661A"/>
    <w:rsid w:val="008370FC"/>
    <w:rsid w:val="00837176"/>
    <w:rsid w:val="00837ECF"/>
    <w:rsid w:val="00840CF7"/>
    <w:rsid w:val="008417F8"/>
    <w:rsid w:val="00841E29"/>
    <w:rsid w:val="008438AE"/>
    <w:rsid w:val="00843B31"/>
    <w:rsid w:val="00843F8A"/>
    <w:rsid w:val="00844E0F"/>
    <w:rsid w:val="00847321"/>
    <w:rsid w:val="008503E2"/>
    <w:rsid w:val="00851DB8"/>
    <w:rsid w:val="00854A06"/>
    <w:rsid w:val="008558C7"/>
    <w:rsid w:val="00855DEF"/>
    <w:rsid w:val="0085624C"/>
    <w:rsid w:val="00856438"/>
    <w:rsid w:val="00856E6A"/>
    <w:rsid w:val="008570E6"/>
    <w:rsid w:val="00857564"/>
    <w:rsid w:val="0085760D"/>
    <w:rsid w:val="00857ED5"/>
    <w:rsid w:val="00861F02"/>
    <w:rsid w:val="00863E17"/>
    <w:rsid w:val="00864B35"/>
    <w:rsid w:val="008654F1"/>
    <w:rsid w:val="008665FF"/>
    <w:rsid w:val="00870278"/>
    <w:rsid w:val="0087061C"/>
    <w:rsid w:val="00871F55"/>
    <w:rsid w:val="0087295E"/>
    <w:rsid w:val="00875D30"/>
    <w:rsid w:val="00876BB6"/>
    <w:rsid w:val="00877C20"/>
    <w:rsid w:val="00883FE9"/>
    <w:rsid w:val="00886417"/>
    <w:rsid w:val="00890227"/>
    <w:rsid w:val="00890D83"/>
    <w:rsid w:val="00891D61"/>
    <w:rsid w:val="008922BB"/>
    <w:rsid w:val="00892C7E"/>
    <w:rsid w:val="00892CCB"/>
    <w:rsid w:val="00894A39"/>
    <w:rsid w:val="00895ABD"/>
    <w:rsid w:val="00897079"/>
    <w:rsid w:val="008A06CA"/>
    <w:rsid w:val="008A0D55"/>
    <w:rsid w:val="008A1F32"/>
    <w:rsid w:val="008A3C69"/>
    <w:rsid w:val="008A4E2F"/>
    <w:rsid w:val="008A51DB"/>
    <w:rsid w:val="008A583F"/>
    <w:rsid w:val="008A5911"/>
    <w:rsid w:val="008A607D"/>
    <w:rsid w:val="008A6184"/>
    <w:rsid w:val="008A7497"/>
    <w:rsid w:val="008A7813"/>
    <w:rsid w:val="008A7A3D"/>
    <w:rsid w:val="008A7B64"/>
    <w:rsid w:val="008B0478"/>
    <w:rsid w:val="008B0817"/>
    <w:rsid w:val="008B0897"/>
    <w:rsid w:val="008B0CE4"/>
    <w:rsid w:val="008B1DD5"/>
    <w:rsid w:val="008B22A1"/>
    <w:rsid w:val="008B2B31"/>
    <w:rsid w:val="008B3467"/>
    <w:rsid w:val="008B5184"/>
    <w:rsid w:val="008B5266"/>
    <w:rsid w:val="008B5BF0"/>
    <w:rsid w:val="008B5F0A"/>
    <w:rsid w:val="008B6630"/>
    <w:rsid w:val="008C0999"/>
    <w:rsid w:val="008C4330"/>
    <w:rsid w:val="008C4B2D"/>
    <w:rsid w:val="008C4CAA"/>
    <w:rsid w:val="008C5D18"/>
    <w:rsid w:val="008C6A59"/>
    <w:rsid w:val="008C7B70"/>
    <w:rsid w:val="008D06CA"/>
    <w:rsid w:val="008D0CA0"/>
    <w:rsid w:val="008D0D83"/>
    <w:rsid w:val="008D12D2"/>
    <w:rsid w:val="008D4285"/>
    <w:rsid w:val="008D4EA2"/>
    <w:rsid w:val="008D5155"/>
    <w:rsid w:val="008D54A2"/>
    <w:rsid w:val="008D7EAD"/>
    <w:rsid w:val="008E02A0"/>
    <w:rsid w:val="008E0A80"/>
    <w:rsid w:val="008E1E59"/>
    <w:rsid w:val="008E2B37"/>
    <w:rsid w:val="008E4497"/>
    <w:rsid w:val="008E47C2"/>
    <w:rsid w:val="008E5D61"/>
    <w:rsid w:val="008E5EE4"/>
    <w:rsid w:val="008E64F1"/>
    <w:rsid w:val="008E6A33"/>
    <w:rsid w:val="008E6A97"/>
    <w:rsid w:val="008E7922"/>
    <w:rsid w:val="008F0029"/>
    <w:rsid w:val="008F017F"/>
    <w:rsid w:val="008F03C0"/>
    <w:rsid w:val="008F0C3F"/>
    <w:rsid w:val="008F0F11"/>
    <w:rsid w:val="008F1E61"/>
    <w:rsid w:val="008F303A"/>
    <w:rsid w:val="008F5778"/>
    <w:rsid w:val="008F70FB"/>
    <w:rsid w:val="008F737A"/>
    <w:rsid w:val="008F79EE"/>
    <w:rsid w:val="008F7CE3"/>
    <w:rsid w:val="008F7E69"/>
    <w:rsid w:val="009019CE"/>
    <w:rsid w:val="00902169"/>
    <w:rsid w:val="0090338D"/>
    <w:rsid w:val="00903424"/>
    <w:rsid w:val="00903474"/>
    <w:rsid w:val="00903B0C"/>
    <w:rsid w:val="00904335"/>
    <w:rsid w:val="00904563"/>
    <w:rsid w:val="00904EA8"/>
    <w:rsid w:val="009059BA"/>
    <w:rsid w:val="0090691C"/>
    <w:rsid w:val="0090727D"/>
    <w:rsid w:val="00910A37"/>
    <w:rsid w:val="00910CCA"/>
    <w:rsid w:val="00910D65"/>
    <w:rsid w:val="00912E6C"/>
    <w:rsid w:val="009131EE"/>
    <w:rsid w:val="00915CC0"/>
    <w:rsid w:val="00915F7E"/>
    <w:rsid w:val="00916123"/>
    <w:rsid w:val="0091710F"/>
    <w:rsid w:val="0091726B"/>
    <w:rsid w:val="009172C7"/>
    <w:rsid w:val="009201C8"/>
    <w:rsid w:val="0092058E"/>
    <w:rsid w:val="00923047"/>
    <w:rsid w:val="0092438B"/>
    <w:rsid w:val="00924C18"/>
    <w:rsid w:val="00925574"/>
    <w:rsid w:val="009260EF"/>
    <w:rsid w:val="00926DD9"/>
    <w:rsid w:val="00927911"/>
    <w:rsid w:val="009333BD"/>
    <w:rsid w:val="0093389D"/>
    <w:rsid w:val="00933E91"/>
    <w:rsid w:val="00933F61"/>
    <w:rsid w:val="009345A7"/>
    <w:rsid w:val="0093670B"/>
    <w:rsid w:val="00936ABD"/>
    <w:rsid w:val="00936B8E"/>
    <w:rsid w:val="00936DE0"/>
    <w:rsid w:val="00936F47"/>
    <w:rsid w:val="00936FDA"/>
    <w:rsid w:val="00941395"/>
    <w:rsid w:val="00941A7A"/>
    <w:rsid w:val="009436D1"/>
    <w:rsid w:val="00944198"/>
    <w:rsid w:val="0094495C"/>
    <w:rsid w:val="009449AE"/>
    <w:rsid w:val="00944B7A"/>
    <w:rsid w:val="00945011"/>
    <w:rsid w:val="0094620E"/>
    <w:rsid w:val="0094629A"/>
    <w:rsid w:val="0094638E"/>
    <w:rsid w:val="009463A0"/>
    <w:rsid w:val="00950255"/>
    <w:rsid w:val="009516B9"/>
    <w:rsid w:val="00952984"/>
    <w:rsid w:val="00952FC1"/>
    <w:rsid w:val="0095356B"/>
    <w:rsid w:val="009548B7"/>
    <w:rsid w:val="009559A8"/>
    <w:rsid w:val="009570AE"/>
    <w:rsid w:val="00957CCA"/>
    <w:rsid w:val="009609D0"/>
    <w:rsid w:val="009620B9"/>
    <w:rsid w:val="00964494"/>
    <w:rsid w:val="00965798"/>
    <w:rsid w:val="009665DB"/>
    <w:rsid w:val="00966746"/>
    <w:rsid w:val="00966F2B"/>
    <w:rsid w:val="00966FC9"/>
    <w:rsid w:val="00967CCC"/>
    <w:rsid w:val="00967DC8"/>
    <w:rsid w:val="009701DD"/>
    <w:rsid w:val="00970422"/>
    <w:rsid w:val="00970997"/>
    <w:rsid w:val="00970CD4"/>
    <w:rsid w:val="00971735"/>
    <w:rsid w:val="00972716"/>
    <w:rsid w:val="00973CD3"/>
    <w:rsid w:val="00974030"/>
    <w:rsid w:val="00974578"/>
    <w:rsid w:val="0097515B"/>
    <w:rsid w:val="00975E1F"/>
    <w:rsid w:val="00980861"/>
    <w:rsid w:val="00980A7F"/>
    <w:rsid w:val="00981B0E"/>
    <w:rsid w:val="0098230B"/>
    <w:rsid w:val="009835CF"/>
    <w:rsid w:val="00984632"/>
    <w:rsid w:val="00984977"/>
    <w:rsid w:val="00984EEB"/>
    <w:rsid w:val="00985834"/>
    <w:rsid w:val="009858F5"/>
    <w:rsid w:val="00986340"/>
    <w:rsid w:val="00986A3F"/>
    <w:rsid w:val="0098741C"/>
    <w:rsid w:val="0099002E"/>
    <w:rsid w:val="0099016E"/>
    <w:rsid w:val="00991603"/>
    <w:rsid w:val="00992EF2"/>
    <w:rsid w:val="00993FD8"/>
    <w:rsid w:val="0099475C"/>
    <w:rsid w:val="009949EC"/>
    <w:rsid w:val="00994D0B"/>
    <w:rsid w:val="009955E1"/>
    <w:rsid w:val="0099688D"/>
    <w:rsid w:val="00997056"/>
    <w:rsid w:val="009A2402"/>
    <w:rsid w:val="009A30DD"/>
    <w:rsid w:val="009A35A6"/>
    <w:rsid w:val="009A4567"/>
    <w:rsid w:val="009A45FC"/>
    <w:rsid w:val="009A4EA7"/>
    <w:rsid w:val="009A5D4E"/>
    <w:rsid w:val="009A66E9"/>
    <w:rsid w:val="009A6CC1"/>
    <w:rsid w:val="009B1AA6"/>
    <w:rsid w:val="009B1F76"/>
    <w:rsid w:val="009B3706"/>
    <w:rsid w:val="009B415B"/>
    <w:rsid w:val="009B4F75"/>
    <w:rsid w:val="009B52F6"/>
    <w:rsid w:val="009C3613"/>
    <w:rsid w:val="009C4A0D"/>
    <w:rsid w:val="009C6EAE"/>
    <w:rsid w:val="009C7374"/>
    <w:rsid w:val="009C750B"/>
    <w:rsid w:val="009C7DBE"/>
    <w:rsid w:val="009D0167"/>
    <w:rsid w:val="009D1D6B"/>
    <w:rsid w:val="009D23A5"/>
    <w:rsid w:val="009D2C23"/>
    <w:rsid w:val="009D3E37"/>
    <w:rsid w:val="009D3E68"/>
    <w:rsid w:val="009D4724"/>
    <w:rsid w:val="009D4DF5"/>
    <w:rsid w:val="009D4F23"/>
    <w:rsid w:val="009D5734"/>
    <w:rsid w:val="009D5B31"/>
    <w:rsid w:val="009D78CF"/>
    <w:rsid w:val="009D7B78"/>
    <w:rsid w:val="009E0578"/>
    <w:rsid w:val="009E0F0B"/>
    <w:rsid w:val="009E1713"/>
    <w:rsid w:val="009E1DA4"/>
    <w:rsid w:val="009E1E17"/>
    <w:rsid w:val="009E2C80"/>
    <w:rsid w:val="009E3624"/>
    <w:rsid w:val="009E3AE3"/>
    <w:rsid w:val="009E44A2"/>
    <w:rsid w:val="009E456A"/>
    <w:rsid w:val="009E6195"/>
    <w:rsid w:val="009E6CC6"/>
    <w:rsid w:val="009E7E2F"/>
    <w:rsid w:val="009F00B4"/>
    <w:rsid w:val="009F14D7"/>
    <w:rsid w:val="009F154C"/>
    <w:rsid w:val="009F182F"/>
    <w:rsid w:val="009F43A6"/>
    <w:rsid w:val="009F5452"/>
    <w:rsid w:val="009F635E"/>
    <w:rsid w:val="009F6A15"/>
    <w:rsid w:val="00A00BAC"/>
    <w:rsid w:val="00A01421"/>
    <w:rsid w:val="00A0260E"/>
    <w:rsid w:val="00A02AAD"/>
    <w:rsid w:val="00A03865"/>
    <w:rsid w:val="00A05F39"/>
    <w:rsid w:val="00A06024"/>
    <w:rsid w:val="00A07BEA"/>
    <w:rsid w:val="00A10317"/>
    <w:rsid w:val="00A10418"/>
    <w:rsid w:val="00A14D9B"/>
    <w:rsid w:val="00A1654C"/>
    <w:rsid w:val="00A16E12"/>
    <w:rsid w:val="00A17D83"/>
    <w:rsid w:val="00A17F5A"/>
    <w:rsid w:val="00A20503"/>
    <w:rsid w:val="00A2058E"/>
    <w:rsid w:val="00A21057"/>
    <w:rsid w:val="00A227E7"/>
    <w:rsid w:val="00A22C87"/>
    <w:rsid w:val="00A26597"/>
    <w:rsid w:val="00A275B8"/>
    <w:rsid w:val="00A300DE"/>
    <w:rsid w:val="00A301B1"/>
    <w:rsid w:val="00A30462"/>
    <w:rsid w:val="00A30B78"/>
    <w:rsid w:val="00A35672"/>
    <w:rsid w:val="00A3631F"/>
    <w:rsid w:val="00A36A14"/>
    <w:rsid w:val="00A376C5"/>
    <w:rsid w:val="00A4084C"/>
    <w:rsid w:val="00A410D5"/>
    <w:rsid w:val="00A42010"/>
    <w:rsid w:val="00A42279"/>
    <w:rsid w:val="00A42C18"/>
    <w:rsid w:val="00A435C5"/>
    <w:rsid w:val="00A44DCA"/>
    <w:rsid w:val="00A45726"/>
    <w:rsid w:val="00A45FC3"/>
    <w:rsid w:val="00A46067"/>
    <w:rsid w:val="00A47825"/>
    <w:rsid w:val="00A47A57"/>
    <w:rsid w:val="00A47AD7"/>
    <w:rsid w:val="00A501E3"/>
    <w:rsid w:val="00A521EF"/>
    <w:rsid w:val="00A525E4"/>
    <w:rsid w:val="00A54CF1"/>
    <w:rsid w:val="00A54E7C"/>
    <w:rsid w:val="00A55D37"/>
    <w:rsid w:val="00A56C3A"/>
    <w:rsid w:val="00A577EE"/>
    <w:rsid w:val="00A6082D"/>
    <w:rsid w:val="00A60C79"/>
    <w:rsid w:val="00A62D0B"/>
    <w:rsid w:val="00A64616"/>
    <w:rsid w:val="00A64717"/>
    <w:rsid w:val="00A64E3E"/>
    <w:rsid w:val="00A65A55"/>
    <w:rsid w:val="00A65B46"/>
    <w:rsid w:val="00A65E35"/>
    <w:rsid w:val="00A66866"/>
    <w:rsid w:val="00A66FC4"/>
    <w:rsid w:val="00A7141E"/>
    <w:rsid w:val="00A71B3E"/>
    <w:rsid w:val="00A72CD2"/>
    <w:rsid w:val="00A7311F"/>
    <w:rsid w:val="00A74DC0"/>
    <w:rsid w:val="00A75121"/>
    <w:rsid w:val="00A75447"/>
    <w:rsid w:val="00A760D2"/>
    <w:rsid w:val="00A76871"/>
    <w:rsid w:val="00A7781F"/>
    <w:rsid w:val="00A77C6B"/>
    <w:rsid w:val="00A80FF8"/>
    <w:rsid w:val="00A81D9F"/>
    <w:rsid w:val="00A822C6"/>
    <w:rsid w:val="00A82330"/>
    <w:rsid w:val="00A82AAB"/>
    <w:rsid w:val="00A833E4"/>
    <w:rsid w:val="00A8366D"/>
    <w:rsid w:val="00A83EA7"/>
    <w:rsid w:val="00A851A0"/>
    <w:rsid w:val="00A855DF"/>
    <w:rsid w:val="00A85FA1"/>
    <w:rsid w:val="00A8762C"/>
    <w:rsid w:val="00A87B36"/>
    <w:rsid w:val="00A91EDD"/>
    <w:rsid w:val="00A92ABD"/>
    <w:rsid w:val="00A93D07"/>
    <w:rsid w:val="00A95758"/>
    <w:rsid w:val="00A95AC3"/>
    <w:rsid w:val="00A96A8F"/>
    <w:rsid w:val="00A97047"/>
    <w:rsid w:val="00A97CFB"/>
    <w:rsid w:val="00A97E90"/>
    <w:rsid w:val="00A97EF6"/>
    <w:rsid w:val="00AA27B1"/>
    <w:rsid w:val="00AA3EF1"/>
    <w:rsid w:val="00AA48BE"/>
    <w:rsid w:val="00AA674E"/>
    <w:rsid w:val="00AA6951"/>
    <w:rsid w:val="00AA730A"/>
    <w:rsid w:val="00AA7C72"/>
    <w:rsid w:val="00AA7DBF"/>
    <w:rsid w:val="00AB10F5"/>
    <w:rsid w:val="00AB110B"/>
    <w:rsid w:val="00AB111E"/>
    <w:rsid w:val="00AB2404"/>
    <w:rsid w:val="00AB3525"/>
    <w:rsid w:val="00AB6DF5"/>
    <w:rsid w:val="00AB77AB"/>
    <w:rsid w:val="00AC13AC"/>
    <w:rsid w:val="00AC1A0A"/>
    <w:rsid w:val="00AC218D"/>
    <w:rsid w:val="00AC3264"/>
    <w:rsid w:val="00AC3F0C"/>
    <w:rsid w:val="00AC4603"/>
    <w:rsid w:val="00AC49EB"/>
    <w:rsid w:val="00AC576E"/>
    <w:rsid w:val="00AC5AF9"/>
    <w:rsid w:val="00AC666E"/>
    <w:rsid w:val="00AC6EEC"/>
    <w:rsid w:val="00AC7FE6"/>
    <w:rsid w:val="00AD1B65"/>
    <w:rsid w:val="00AD2929"/>
    <w:rsid w:val="00AD4FED"/>
    <w:rsid w:val="00AD6400"/>
    <w:rsid w:val="00AD66EA"/>
    <w:rsid w:val="00AD747E"/>
    <w:rsid w:val="00AD7F83"/>
    <w:rsid w:val="00AE0286"/>
    <w:rsid w:val="00AE333D"/>
    <w:rsid w:val="00AE41D3"/>
    <w:rsid w:val="00AE46C4"/>
    <w:rsid w:val="00AE497D"/>
    <w:rsid w:val="00AE4C2F"/>
    <w:rsid w:val="00AE4C9A"/>
    <w:rsid w:val="00AE5469"/>
    <w:rsid w:val="00AE58FA"/>
    <w:rsid w:val="00AE7F8E"/>
    <w:rsid w:val="00AF0BFC"/>
    <w:rsid w:val="00AF21BB"/>
    <w:rsid w:val="00AF243A"/>
    <w:rsid w:val="00AF338C"/>
    <w:rsid w:val="00AF527F"/>
    <w:rsid w:val="00AF739C"/>
    <w:rsid w:val="00AF79FB"/>
    <w:rsid w:val="00B02274"/>
    <w:rsid w:val="00B02379"/>
    <w:rsid w:val="00B03A91"/>
    <w:rsid w:val="00B0471C"/>
    <w:rsid w:val="00B04FB3"/>
    <w:rsid w:val="00B05E31"/>
    <w:rsid w:val="00B06417"/>
    <w:rsid w:val="00B06B23"/>
    <w:rsid w:val="00B07307"/>
    <w:rsid w:val="00B079B3"/>
    <w:rsid w:val="00B07E61"/>
    <w:rsid w:val="00B1001A"/>
    <w:rsid w:val="00B10405"/>
    <w:rsid w:val="00B11410"/>
    <w:rsid w:val="00B119C2"/>
    <w:rsid w:val="00B12D21"/>
    <w:rsid w:val="00B1382C"/>
    <w:rsid w:val="00B13DD4"/>
    <w:rsid w:val="00B14972"/>
    <w:rsid w:val="00B15B97"/>
    <w:rsid w:val="00B15DE7"/>
    <w:rsid w:val="00B1690B"/>
    <w:rsid w:val="00B169B8"/>
    <w:rsid w:val="00B20F76"/>
    <w:rsid w:val="00B216ED"/>
    <w:rsid w:val="00B21E48"/>
    <w:rsid w:val="00B23185"/>
    <w:rsid w:val="00B2338D"/>
    <w:rsid w:val="00B23A31"/>
    <w:rsid w:val="00B2403E"/>
    <w:rsid w:val="00B252BA"/>
    <w:rsid w:val="00B25D68"/>
    <w:rsid w:val="00B25FEE"/>
    <w:rsid w:val="00B2642D"/>
    <w:rsid w:val="00B26714"/>
    <w:rsid w:val="00B27BC6"/>
    <w:rsid w:val="00B301E0"/>
    <w:rsid w:val="00B30D07"/>
    <w:rsid w:val="00B30FD7"/>
    <w:rsid w:val="00B32E2B"/>
    <w:rsid w:val="00B33865"/>
    <w:rsid w:val="00B34042"/>
    <w:rsid w:val="00B35E8B"/>
    <w:rsid w:val="00B363F9"/>
    <w:rsid w:val="00B36CEA"/>
    <w:rsid w:val="00B3785E"/>
    <w:rsid w:val="00B40A15"/>
    <w:rsid w:val="00B40B6F"/>
    <w:rsid w:val="00B40EA8"/>
    <w:rsid w:val="00B41817"/>
    <w:rsid w:val="00B427DA"/>
    <w:rsid w:val="00B432B4"/>
    <w:rsid w:val="00B435F6"/>
    <w:rsid w:val="00B44502"/>
    <w:rsid w:val="00B44D21"/>
    <w:rsid w:val="00B44EE5"/>
    <w:rsid w:val="00B450B0"/>
    <w:rsid w:val="00B4581F"/>
    <w:rsid w:val="00B45A6A"/>
    <w:rsid w:val="00B4616D"/>
    <w:rsid w:val="00B4678E"/>
    <w:rsid w:val="00B46BFF"/>
    <w:rsid w:val="00B46D92"/>
    <w:rsid w:val="00B47122"/>
    <w:rsid w:val="00B4753C"/>
    <w:rsid w:val="00B47582"/>
    <w:rsid w:val="00B4766F"/>
    <w:rsid w:val="00B47843"/>
    <w:rsid w:val="00B508AC"/>
    <w:rsid w:val="00B5152B"/>
    <w:rsid w:val="00B51814"/>
    <w:rsid w:val="00B51C41"/>
    <w:rsid w:val="00B52227"/>
    <w:rsid w:val="00B548D2"/>
    <w:rsid w:val="00B54C15"/>
    <w:rsid w:val="00B57514"/>
    <w:rsid w:val="00B57C33"/>
    <w:rsid w:val="00B60379"/>
    <w:rsid w:val="00B624B6"/>
    <w:rsid w:val="00B63161"/>
    <w:rsid w:val="00B63F1B"/>
    <w:rsid w:val="00B640BC"/>
    <w:rsid w:val="00B64602"/>
    <w:rsid w:val="00B65AC2"/>
    <w:rsid w:val="00B67B61"/>
    <w:rsid w:val="00B708ED"/>
    <w:rsid w:val="00B70929"/>
    <w:rsid w:val="00B71490"/>
    <w:rsid w:val="00B729A2"/>
    <w:rsid w:val="00B752F4"/>
    <w:rsid w:val="00B769D4"/>
    <w:rsid w:val="00B80376"/>
    <w:rsid w:val="00B81BA6"/>
    <w:rsid w:val="00B84D72"/>
    <w:rsid w:val="00B87BF0"/>
    <w:rsid w:val="00B90141"/>
    <w:rsid w:val="00B90C58"/>
    <w:rsid w:val="00B911C9"/>
    <w:rsid w:val="00B91216"/>
    <w:rsid w:val="00B9341E"/>
    <w:rsid w:val="00B934EF"/>
    <w:rsid w:val="00B94EF1"/>
    <w:rsid w:val="00B970FD"/>
    <w:rsid w:val="00B97782"/>
    <w:rsid w:val="00B978A0"/>
    <w:rsid w:val="00BA0E56"/>
    <w:rsid w:val="00BA19F3"/>
    <w:rsid w:val="00BA314D"/>
    <w:rsid w:val="00BA3210"/>
    <w:rsid w:val="00BA3995"/>
    <w:rsid w:val="00BA3A68"/>
    <w:rsid w:val="00BA43E2"/>
    <w:rsid w:val="00BA486D"/>
    <w:rsid w:val="00BA4963"/>
    <w:rsid w:val="00BA5053"/>
    <w:rsid w:val="00BA50DC"/>
    <w:rsid w:val="00BA7C44"/>
    <w:rsid w:val="00BB0D9D"/>
    <w:rsid w:val="00BB176E"/>
    <w:rsid w:val="00BB3135"/>
    <w:rsid w:val="00BB4ED7"/>
    <w:rsid w:val="00BB6971"/>
    <w:rsid w:val="00BB7704"/>
    <w:rsid w:val="00BC0770"/>
    <w:rsid w:val="00BC44F0"/>
    <w:rsid w:val="00BC46ED"/>
    <w:rsid w:val="00BC530D"/>
    <w:rsid w:val="00BC646A"/>
    <w:rsid w:val="00BC6E10"/>
    <w:rsid w:val="00BC7D3C"/>
    <w:rsid w:val="00BD2DAD"/>
    <w:rsid w:val="00BD342E"/>
    <w:rsid w:val="00BD3BA6"/>
    <w:rsid w:val="00BD4291"/>
    <w:rsid w:val="00BD4D44"/>
    <w:rsid w:val="00BE120C"/>
    <w:rsid w:val="00BE142B"/>
    <w:rsid w:val="00BE1D91"/>
    <w:rsid w:val="00BE31F4"/>
    <w:rsid w:val="00BE3DEC"/>
    <w:rsid w:val="00BE3FA6"/>
    <w:rsid w:val="00BE4A63"/>
    <w:rsid w:val="00BE4DFF"/>
    <w:rsid w:val="00BE4EF2"/>
    <w:rsid w:val="00BE59E5"/>
    <w:rsid w:val="00BE6718"/>
    <w:rsid w:val="00BE718A"/>
    <w:rsid w:val="00BE7C9E"/>
    <w:rsid w:val="00BF095A"/>
    <w:rsid w:val="00BF0A84"/>
    <w:rsid w:val="00BF1B15"/>
    <w:rsid w:val="00BF209F"/>
    <w:rsid w:val="00BF254C"/>
    <w:rsid w:val="00BF288E"/>
    <w:rsid w:val="00BF3C4B"/>
    <w:rsid w:val="00BF3ECF"/>
    <w:rsid w:val="00BF49BD"/>
    <w:rsid w:val="00BF643C"/>
    <w:rsid w:val="00BF647F"/>
    <w:rsid w:val="00C015A5"/>
    <w:rsid w:val="00C0198F"/>
    <w:rsid w:val="00C0218D"/>
    <w:rsid w:val="00C025DC"/>
    <w:rsid w:val="00C04241"/>
    <w:rsid w:val="00C04EA4"/>
    <w:rsid w:val="00C05D33"/>
    <w:rsid w:val="00C06AA2"/>
    <w:rsid w:val="00C070EE"/>
    <w:rsid w:val="00C07AED"/>
    <w:rsid w:val="00C10BF9"/>
    <w:rsid w:val="00C12C22"/>
    <w:rsid w:val="00C13C18"/>
    <w:rsid w:val="00C15B51"/>
    <w:rsid w:val="00C167D0"/>
    <w:rsid w:val="00C16CC2"/>
    <w:rsid w:val="00C20166"/>
    <w:rsid w:val="00C210AF"/>
    <w:rsid w:val="00C24888"/>
    <w:rsid w:val="00C24D0C"/>
    <w:rsid w:val="00C25359"/>
    <w:rsid w:val="00C26CDD"/>
    <w:rsid w:val="00C26DE8"/>
    <w:rsid w:val="00C27816"/>
    <w:rsid w:val="00C27EB5"/>
    <w:rsid w:val="00C302BE"/>
    <w:rsid w:val="00C30390"/>
    <w:rsid w:val="00C304A7"/>
    <w:rsid w:val="00C30F7F"/>
    <w:rsid w:val="00C3107B"/>
    <w:rsid w:val="00C31BEA"/>
    <w:rsid w:val="00C32777"/>
    <w:rsid w:val="00C32FF0"/>
    <w:rsid w:val="00C335DB"/>
    <w:rsid w:val="00C34526"/>
    <w:rsid w:val="00C36E51"/>
    <w:rsid w:val="00C37C5C"/>
    <w:rsid w:val="00C40244"/>
    <w:rsid w:val="00C42518"/>
    <w:rsid w:val="00C42E47"/>
    <w:rsid w:val="00C440A4"/>
    <w:rsid w:val="00C44854"/>
    <w:rsid w:val="00C45163"/>
    <w:rsid w:val="00C462AB"/>
    <w:rsid w:val="00C4657B"/>
    <w:rsid w:val="00C477B6"/>
    <w:rsid w:val="00C50B66"/>
    <w:rsid w:val="00C51550"/>
    <w:rsid w:val="00C516BC"/>
    <w:rsid w:val="00C529FE"/>
    <w:rsid w:val="00C53862"/>
    <w:rsid w:val="00C540D1"/>
    <w:rsid w:val="00C547DC"/>
    <w:rsid w:val="00C551A0"/>
    <w:rsid w:val="00C55490"/>
    <w:rsid w:val="00C55BAE"/>
    <w:rsid w:val="00C55E88"/>
    <w:rsid w:val="00C5636F"/>
    <w:rsid w:val="00C565AB"/>
    <w:rsid w:val="00C64A1C"/>
    <w:rsid w:val="00C65C50"/>
    <w:rsid w:val="00C66390"/>
    <w:rsid w:val="00C663F3"/>
    <w:rsid w:val="00C66CA2"/>
    <w:rsid w:val="00C671D4"/>
    <w:rsid w:val="00C6727C"/>
    <w:rsid w:val="00C67426"/>
    <w:rsid w:val="00C674C0"/>
    <w:rsid w:val="00C70869"/>
    <w:rsid w:val="00C709A9"/>
    <w:rsid w:val="00C71332"/>
    <w:rsid w:val="00C71CC8"/>
    <w:rsid w:val="00C73B53"/>
    <w:rsid w:val="00C75301"/>
    <w:rsid w:val="00C75E93"/>
    <w:rsid w:val="00C778BC"/>
    <w:rsid w:val="00C80D7D"/>
    <w:rsid w:val="00C83250"/>
    <w:rsid w:val="00C833F4"/>
    <w:rsid w:val="00C83B13"/>
    <w:rsid w:val="00C83CB6"/>
    <w:rsid w:val="00C85336"/>
    <w:rsid w:val="00C85812"/>
    <w:rsid w:val="00C85902"/>
    <w:rsid w:val="00C86DB3"/>
    <w:rsid w:val="00C86E6B"/>
    <w:rsid w:val="00C905BA"/>
    <w:rsid w:val="00C91D63"/>
    <w:rsid w:val="00C91E10"/>
    <w:rsid w:val="00C92F6D"/>
    <w:rsid w:val="00C95327"/>
    <w:rsid w:val="00C9564F"/>
    <w:rsid w:val="00C958CB"/>
    <w:rsid w:val="00C9633A"/>
    <w:rsid w:val="00C96649"/>
    <w:rsid w:val="00CA0459"/>
    <w:rsid w:val="00CA0546"/>
    <w:rsid w:val="00CA0A5B"/>
    <w:rsid w:val="00CA0CDF"/>
    <w:rsid w:val="00CA1995"/>
    <w:rsid w:val="00CA1FB6"/>
    <w:rsid w:val="00CA2734"/>
    <w:rsid w:val="00CA27A1"/>
    <w:rsid w:val="00CA28CA"/>
    <w:rsid w:val="00CA5061"/>
    <w:rsid w:val="00CA5EE9"/>
    <w:rsid w:val="00CA6C3F"/>
    <w:rsid w:val="00CA7123"/>
    <w:rsid w:val="00CA791D"/>
    <w:rsid w:val="00CA7E17"/>
    <w:rsid w:val="00CB157C"/>
    <w:rsid w:val="00CB2CE2"/>
    <w:rsid w:val="00CB2D30"/>
    <w:rsid w:val="00CB328F"/>
    <w:rsid w:val="00CB42BF"/>
    <w:rsid w:val="00CB4417"/>
    <w:rsid w:val="00CB533B"/>
    <w:rsid w:val="00CB5EDE"/>
    <w:rsid w:val="00CB6BE3"/>
    <w:rsid w:val="00CB7183"/>
    <w:rsid w:val="00CC07DC"/>
    <w:rsid w:val="00CC0846"/>
    <w:rsid w:val="00CC0C5A"/>
    <w:rsid w:val="00CC0FD7"/>
    <w:rsid w:val="00CC104A"/>
    <w:rsid w:val="00CC10AF"/>
    <w:rsid w:val="00CC15F6"/>
    <w:rsid w:val="00CC1E7D"/>
    <w:rsid w:val="00CC2312"/>
    <w:rsid w:val="00CC2F8D"/>
    <w:rsid w:val="00CC315B"/>
    <w:rsid w:val="00CC3A62"/>
    <w:rsid w:val="00CC5037"/>
    <w:rsid w:val="00CC556B"/>
    <w:rsid w:val="00CC65CF"/>
    <w:rsid w:val="00CD0CC8"/>
    <w:rsid w:val="00CD0DBD"/>
    <w:rsid w:val="00CD1200"/>
    <w:rsid w:val="00CD13E6"/>
    <w:rsid w:val="00CD296D"/>
    <w:rsid w:val="00CD33CB"/>
    <w:rsid w:val="00CD51AB"/>
    <w:rsid w:val="00CD6493"/>
    <w:rsid w:val="00CD6B8D"/>
    <w:rsid w:val="00CD7A27"/>
    <w:rsid w:val="00CE049E"/>
    <w:rsid w:val="00CE06B1"/>
    <w:rsid w:val="00CE0D83"/>
    <w:rsid w:val="00CE2857"/>
    <w:rsid w:val="00CE2C9C"/>
    <w:rsid w:val="00CE3C96"/>
    <w:rsid w:val="00CE407C"/>
    <w:rsid w:val="00CE4665"/>
    <w:rsid w:val="00CE5B8C"/>
    <w:rsid w:val="00CE6277"/>
    <w:rsid w:val="00CE741A"/>
    <w:rsid w:val="00CF0AA0"/>
    <w:rsid w:val="00CF2058"/>
    <w:rsid w:val="00CF2A6B"/>
    <w:rsid w:val="00CF2FBF"/>
    <w:rsid w:val="00CF33FB"/>
    <w:rsid w:val="00CF3456"/>
    <w:rsid w:val="00CF43B8"/>
    <w:rsid w:val="00CF4EEB"/>
    <w:rsid w:val="00CF4FB0"/>
    <w:rsid w:val="00CF6535"/>
    <w:rsid w:val="00CF6B7B"/>
    <w:rsid w:val="00CF7AF9"/>
    <w:rsid w:val="00D000B1"/>
    <w:rsid w:val="00D009C2"/>
    <w:rsid w:val="00D01AFD"/>
    <w:rsid w:val="00D01C6F"/>
    <w:rsid w:val="00D0288E"/>
    <w:rsid w:val="00D03289"/>
    <w:rsid w:val="00D04502"/>
    <w:rsid w:val="00D05B63"/>
    <w:rsid w:val="00D061C6"/>
    <w:rsid w:val="00D0663D"/>
    <w:rsid w:val="00D06647"/>
    <w:rsid w:val="00D10621"/>
    <w:rsid w:val="00D10C26"/>
    <w:rsid w:val="00D1140D"/>
    <w:rsid w:val="00D11F4F"/>
    <w:rsid w:val="00D12A5F"/>
    <w:rsid w:val="00D13E5D"/>
    <w:rsid w:val="00D145EE"/>
    <w:rsid w:val="00D146FF"/>
    <w:rsid w:val="00D14959"/>
    <w:rsid w:val="00D1776A"/>
    <w:rsid w:val="00D17896"/>
    <w:rsid w:val="00D17D4B"/>
    <w:rsid w:val="00D2279C"/>
    <w:rsid w:val="00D229D1"/>
    <w:rsid w:val="00D22B3A"/>
    <w:rsid w:val="00D23EA9"/>
    <w:rsid w:val="00D245C8"/>
    <w:rsid w:val="00D245D1"/>
    <w:rsid w:val="00D24786"/>
    <w:rsid w:val="00D250E4"/>
    <w:rsid w:val="00D25117"/>
    <w:rsid w:val="00D265C7"/>
    <w:rsid w:val="00D27C9B"/>
    <w:rsid w:val="00D3025A"/>
    <w:rsid w:val="00D30375"/>
    <w:rsid w:val="00D334B7"/>
    <w:rsid w:val="00D334F2"/>
    <w:rsid w:val="00D3399E"/>
    <w:rsid w:val="00D34497"/>
    <w:rsid w:val="00D3588D"/>
    <w:rsid w:val="00D3593A"/>
    <w:rsid w:val="00D36D8B"/>
    <w:rsid w:val="00D37124"/>
    <w:rsid w:val="00D37833"/>
    <w:rsid w:val="00D402E3"/>
    <w:rsid w:val="00D41E5D"/>
    <w:rsid w:val="00D4208F"/>
    <w:rsid w:val="00D42771"/>
    <w:rsid w:val="00D442C3"/>
    <w:rsid w:val="00D44855"/>
    <w:rsid w:val="00D44AF3"/>
    <w:rsid w:val="00D45D01"/>
    <w:rsid w:val="00D45D24"/>
    <w:rsid w:val="00D45E43"/>
    <w:rsid w:val="00D4632B"/>
    <w:rsid w:val="00D46525"/>
    <w:rsid w:val="00D47FC0"/>
    <w:rsid w:val="00D50124"/>
    <w:rsid w:val="00D51537"/>
    <w:rsid w:val="00D5692C"/>
    <w:rsid w:val="00D60438"/>
    <w:rsid w:val="00D61C79"/>
    <w:rsid w:val="00D62264"/>
    <w:rsid w:val="00D655D5"/>
    <w:rsid w:val="00D66163"/>
    <w:rsid w:val="00D66991"/>
    <w:rsid w:val="00D70A02"/>
    <w:rsid w:val="00D711A5"/>
    <w:rsid w:val="00D71658"/>
    <w:rsid w:val="00D72460"/>
    <w:rsid w:val="00D72762"/>
    <w:rsid w:val="00D73430"/>
    <w:rsid w:val="00D73E0E"/>
    <w:rsid w:val="00D73F29"/>
    <w:rsid w:val="00D76B36"/>
    <w:rsid w:val="00D76BF1"/>
    <w:rsid w:val="00D7731F"/>
    <w:rsid w:val="00D77630"/>
    <w:rsid w:val="00D77FB1"/>
    <w:rsid w:val="00D80818"/>
    <w:rsid w:val="00D80969"/>
    <w:rsid w:val="00D816AF"/>
    <w:rsid w:val="00D84235"/>
    <w:rsid w:val="00D8630F"/>
    <w:rsid w:val="00D87DD1"/>
    <w:rsid w:val="00D92C24"/>
    <w:rsid w:val="00D94949"/>
    <w:rsid w:val="00D96292"/>
    <w:rsid w:val="00D97D69"/>
    <w:rsid w:val="00DA1A47"/>
    <w:rsid w:val="00DA1C72"/>
    <w:rsid w:val="00DA1EBD"/>
    <w:rsid w:val="00DA3C5A"/>
    <w:rsid w:val="00DA45A1"/>
    <w:rsid w:val="00DA4D6B"/>
    <w:rsid w:val="00DA6A44"/>
    <w:rsid w:val="00DA718F"/>
    <w:rsid w:val="00DB01B5"/>
    <w:rsid w:val="00DB023F"/>
    <w:rsid w:val="00DB0B1D"/>
    <w:rsid w:val="00DB0ECD"/>
    <w:rsid w:val="00DB1B70"/>
    <w:rsid w:val="00DB2442"/>
    <w:rsid w:val="00DB2BCA"/>
    <w:rsid w:val="00DB560D"/>
    <w:rsid w:val="00DB6CC5"/>
    <w:rsid w:val="00DB73DE"/>
    <w:rsid w:val="00DC0CBC"/>
    <w:rsid w:val="00DC1676"/>
    <w:rsid w:val="00DC1742"/>
    <w:rsid w:val="00DC26AB"/>
    <w:rsid w:val="00DC3096"/>
    <w:rsid w:val="00DC34EA"/>
    <w:rsid w:val="00DC435F"/>
    <w:rsid w:val="00DC4894"/>
    <w:rsid w:val="00DC6088"/>
    <w:rsid w:val="00DC6454"/>
    <w:rsid w:val="00DC7871"/>
    <w:rsid w:val="00DC7AC1"/>
    <w:rsid w:val="00DD1242"/>
    <w:rsid w:val="00DD1CC9"/>
    <w:rsid w:val="00DD2483"/>
    <w:rsid w:val="00DD62F3"/>
    <w:rsid w:val="00DD6662"/>
    <w:rsid w:val="00DD6F3D"/>
    <w:rsid w:val="00DE0A06"/>
    <w:rsid w:val="00DE0B60"/>
    <w:rsid w:val="00DE194B"/>
    <w:rsid w:val="00DE19C0"/>
    <w:rsid w:val="00DE2B90"/>
    <w:rsid w:val="00DE35C5"/>
    <w:rsid w:val="00DE5DD2"/>
    <w:rsid w:val="00DE6A35"/>
    <w:rsid w:val="00DE73D0"/>
    <w:rsid w:val="00DF0013"/>
    <w:rsid w:val="00DF04A8"/>
    <w:rsid w:val="00DF1E49"/>
    <w:rsid w:val="00DF3303"/>
    <w:rsid w:val="00DF49EA"/>
    <w:rsid w:val="00DF58F5"/>
    <w:rsid w:val="00DF7C04"/>
    <w:rsid w:val="00E0142A"/>
    <w:rsid w:val="00E01E31"/>
    <w:rsid w:val="00E04126"/>
    <w:rsid w:val="00E04A3E"/>
    <w:rsid w:val="00E050E8"/>
    <w:rsid w:val="00E067FD"/>
    <w:rsid w:val="00E06BA0"/>
    <w:rsid w:val="00E077D4"/>
    <w:rsid w:val="00E0786D"/>
    <w:rsid w:val="00E07EFF"/>
    <w:rsid w:val="00E11A18"/>
    <w:rsid w:val="00E121C0"/>
    <w:rsid w:val="00E12A40"/>
    <w:rsid w:val="00E131D9"/>
    <w:rsid w:val="00E13EE3"/>
    <w:rsid w:val="00E1490C"/>
    <w:rsid w:val="00E15C4F"/>
    <w:rsid w:val="00E17AB6"/>
    <w:rsid w:val="00E17B78"/>
    <w:rsid w:val="00E17CA3"/>
    <w:rsid w:val="00E2018F"/>
    <w:rsid w:val="00E20B44"/>
    <w:rsid w:val="00E22ABF"/>
    <w:rsid w:val="00E25C4E"/>
    <w:rsid w:val="00E26257"/>
    <w:rsid w:val="00E264C2"/>
    <w:rsid w:val="00E26FAE"/>
    <w:rsid w:val="00E31185"/>
    <w:rsid w:val="00E31BDD"/>
    <w:rsid w:val="00E31DBD"/>
    <w:rsid w:val="00E31F66"/>
    <w:rsid w:val="00E33527"/>
    <w:rsid w:val="00E35DC8"/>
    <w:rsid w:val="00E375F6"/>
    <w:rsid w:val="00E40258"/>
    <w:rsid w:val="00E4220C"/>
    <w:rsid w:val="00E42A79"/>
    <w:rsid w:val="00E43905"/>
    <w:rsid w:val="00E43FCB"/>
    <w:rsid w:val="00E444DC"/>
    <w:rsid w:val="00E447A2"/>
    <w:rsid w:val="00E453D7"/>
    <w:rsid w:val="00E4566B"/>
    <w:rsid w:val="00E4755E"/>
    <w:rsid w:val="00E4778A"/>
    <w:rsid w:val="00E50742"/>
    <w:rsid w:val="00E507E1"/>
    <w:rsid w:val="00E51F04"/>
    <w:rsid w:val="00E52E98"/>
    <w:rsid w:val="00E533A0"/>
    <w:rsid w:val="00E53CA6"/>
    <w:rsid w:val="00E5486B"/>
    <w:rsid w:val="00E5590A"/>
    <w:rsid w:val="00E56CD0"/>
    <w:rsid w:val="00E573CD"/>
    <w:rsid w:val="00E600BE"/>
    <w:rsid w:val="00E6139F"/>
    <w:rsid w:val="00E61455"/>
    <w:rsid w:val="00E61AAA"/>
    <w:rsid w:val="00E61F5C"/>
    <w:rsid w:val="00E620F8"/>
    <w:rsid w:val="00E622C0"/>
    <w:rsid w:val="00E62339"/>
    <w:rsid w:val="00E633B2"/>
    <w:rsid w:val="00E637D5"/>
    <w:rsid w:val="00E65D23"/>
    <w:rsid w:val="00E66CDD"/>
    <w:rsid w:val="00E738AE"/>
    <w:rsid w:val="00E747A3"/>
    <w:rsid w:val="00E74B6C"/>
    <w:rsid w:val="00E766F3"/>
    <w:rsid w:val="00E7737D"/>
    <w:rsid w:val="00E8138B"/>
    <w:rsid w:val="00E82545"/>
    <w:rsid w:val="00E834FC"/>
    <w:rsid w:val="00E839BA"/>
    <w:rsid w:val="00E839EA"/>
    <w:rsid w:val="00E83E14"/>
    <w:rsid w:val="00E85E79"/>
    <w:rsid w:val="00E86841"/>
    <w:rsid w:val="00E8776B"/>
    <w:rsid w:val="00E90323"/>
    <w:rsid w:val="00E90DC2"/>
    <w:rsid w:val="00E93000"/>
    <w:rsid w:val="00E93038"/>
    <w:rsid w:val="00E9372A"/>
    <w:rsid w:val="00E93847"/>
    <w:rsid w:val="00E94300"/>
    <w:rsid w:val="00E95B2D"/>
    <w:rsid w:val="00E96FF3"/>
    <w:rsid w:val="00E9758F"/>
    <w:rsid w:val="00EA053D"/>
    <w:rsid w:val="00EA178C"/>
    <w:rsid w:val="00EA17DD"/>
    <w:rsid w:val="00EA2DC3"/>
    <w:rsid w:val="00EA58DF"/>
    <w:rsid w:val="00EA6D8D"/>
    <w:rsid w:val="00EA7321"/>
    <w:rsid w:val="00EB05FA"/>
    <w:rsid w:val="00EB2FE8"/>
    <w:rsid w:val="00EB4BF4"/>
    <w:rsid w:val="00EB4CB7"/>
    <w:rsid w:val="00EB4EA6"/>
    <w:rsid w:val="00EB5050"/>
    <w:rsid w:val="00EB5D54"/>
    <w:rsid w:val="00EB5D65"/>
    <w:rsid w:val="00EB62FB"/>
    <w:rsid w:val="00EB67B8"/>
    <w:rsid w:val="00EB6824"/>
    <w:rsid w:val="00EB7043"/>
    <w:rsid w:val="00EB7820"/>
    <w:rsid w:val="00EC2B97"/>
    <w:rsid w:val="00EC398D"/>
    <w:rsid w:val="00EC715B"/>
    <w:rsid w:val="00EC756F"/>
    <w:rsid w:val="00EC7E1E"/>
    <w:rsid w:val="00EC7FDD"/>
    <w:rsid w:val="00ED0635"/>
    <w:rsid w:val="00ED112E"/>
    <w:rsid w:val="00ED2247"/>
    <w:rsid w:val="00ED28E6"/>
    <w:rsid w:val="00ED5DE1"/>
    <w:rsid w:val="00ED5F2A"/>
    <w:rsid w:val="00ED6246"/>
    <w:rsid w:val="00ED6EC6"/>
    <w:rsid w:val="00EE0DD5"/>
    <w:rsid w:val="00EE15B9"/>
    <w:rsid w:val="00EE2047"/>
    <w:rsid w:val="00EE211C"/>
    <w:rsid w:val="00EE3340"/>
    <w:rsid w:val="00EE3736"/>
    <w:rsid w:val="00EE47AA"/>
    <w:rsid w:val="00EE49FD"/>
    <w:rsid w:val="00EE4FA2"/>
    <w:rsid w:val="00EE50D5"/>
    <w:rsid w:val="00EE525D"/>
    <w:rsid w:val="00EE5656"/>
    <w:rsid w:val="00EE5C6B"/>
    <w:rsid w:val="00EE5E44"/>
    <w:rsid w:val="00EE66F3"/>
    <w:rsid w:val="00EE7402"/>
    <w:rsid w:val="00EE7DE9"/>
    <w:rsid w:val="00EF246D"/>
    <w:rsid w:val="00EF25F3"/>
    <w:rsid w:val="00EF2E7D"/>
    <w:rsid w:val="00EF4D41"/>
    <w:rsid w:val="00EF5855"/>
    <w:rsid w:val="00EF586B"/>
    <w:rsid w:val="00EF5B8F"/>
    <w:rsid w:val="00EF64CC"/>
    <w:rsid w:val="00F021AD"/>
    <w:rsid w:val="00F02EB5"/>
    <w:rsid w:val="00F05025"/>
    <w:rsid w:val="00F0588C"/>
    <w:rsid w:val="00F0698E"/>
    <w:rsid w:val="00F06A20"/>
    <w:rsid w:val="00F077ED"/>
    <w:rsid w:val="00F11F71"/>
    <w:rsid w:val="00F12A86"/>
    <w:rsid w:val="00F12C6E"/>
    <w:rsid w:val="00F13004"/>
    <w:rsid w:val="00F147C6"/>
    <w:rsid w:val="00F14F5D"/>
    <w:rsid w:val="00F16857"/>
    <w:rsid w:val="00F170FD"/>
    <w:rsid w:val="00F17161"/>
    <w:rsid w:val="00F20D56"/>
    <w:rsid w:val="00F216C6"/>
    <w:rsid w:val="00F2184F"/>
    <w:rsid w:val="00F24E64"/>
    <w:rsid w:val="00F268D4"/>
    <w:rsid w:val="00F30F1E"/>
    <w:rsid w:val="00F31486"/>
    <w:rsid w:val="00F31571"/>
    <w:rsid w:val="00F32630"/>
    <w:rsid w:val="00F32792"/>
    <w:rsid w:val="00F32C27"/>
    <w:rsid w:val="00F33FF9"/>
    <w:rsid w:val="00F3424C"/>
    <w:rsid w:val="00F36086"/>
    <w:rsid w:val="00F3726B"/>
    <w:rsid w:val="00F374D0"/>
    <w:rsid w:val="00F40840"/>
    <w:rsid w:val="00F4161C"/>
    <w:rsid w:val="00F42DD9"/>
    <w:rsid w:val="00F439BC"/>
    <w:rsid w:val="00F44EF3"/>
    <w:rsid w:val="00F46592"/>
    <w:rsid w:val="00F467FD"/>
    <w:rsid w:val="00F4698B"/>
    <w:rsid w:val="00F47347"/>
    <w:rsid w:val="00F5193E"/>
    <w:rsid w:val="00F5364B"/>
    <w:rsid w:val="00F53902"/>
    <w:rsid w:val="00F54227"/>
    <w:rsid w:val="00F55DE0"/>
    <w:rsid w:val="00F55EE9"/>
    <w:rsid w:val="00F5746C"/>
    <w:rsid w:val="00F577A1"/>
    <w:rsid w:val="00F57A23"/>
    <w:rsid w:val="00F6025A"/>
    <w:rsid w:val="00F603F6"/>
    <w:rsid w:val="00F609FF"/>
    <w:rsid w:val="00F61C80"/>
    <w:rsid w:val="00F62678"/>
    <w:rsid w:val="00F62A87"/>
    <w:rsid w:val="00F62C13"/>
    <w:rsid w:val="00F63B73"/>
    <w:rsid w:val="00F63D92"/>
    <w:rsid w:val="00F643D9"/>
    <w:rsid w:val="00F65D63"/>
    <w:rsid w:val="00F66980"/>
    <w:rsid w:val="00F67498"/>
    <w:rsid w:val="00F67976"/>
    <w:rsid w:val="00F7116A"/>
    <w:rsid w:val="00F71199"/>
    <w:rsid w:val="00F7171F"/>
    <w:rsid w:val="00F71C27"/>
    <w:rsid w:val="00F73612"/>
    <w:rsid w:val="00F736F2"/>
    <w:rsid w:val="00F76032"/>
    <w:rsid w:val="00F7641B"/>
    <w:rsid w:val="00F76FCE"/>
    <w:rsid w:val="00F80737"/>
    <w:rsid w:val="00F8075F"/>
    <w:rsid w:val="00F80F74"/>
    <w:rsid w:val="00F81673"/>
    <w:rsid w:val="00F81BE5"/>
    <w:rsid w:val="00F81FD6"/>
    <w:rsid w:val="00F82592"/>
    <w:rsid w:val="00F82B0A"/>
    <w:rsid w:val="00F82BD0"/>
    <w:rsid w:val="00F8393B"/>
    <w:rsid w:val="00F8548D"/>
    <w:rsid w:val="00F859C6"/>
    <w:rsid w:val="00F87042"/>
    <w:rsid w:val="00F87E2F"/>
    <w:rsid w:val="00F9085C"/>
    <w:rsid w:val="00F9132A"/>
    <w:rsid w:val="00F917D3"/>
    <w:rsid w:val="00F91E49"/>
    <w:rsid w:val="00F924CF"/>
    <w:rsid w:val="00F92F06"/>
    <w:rsid w:val="00F93853"/>
    <w:rsid w:val="00F93CE9"/>
    <w:rsid w:val="00F940E5"/>
    <w:rsid w:val="00F9469E"/>
    <w:rsid w:val="00F94E53"/>
    <w:rsid w:val="00F950E0"/>
    <w:rsid w:val="00F950F2"/>
    <w:rsid w:val="00F95155"/>
    <w:rsid w:val="00F9617F"/>
    <w:rsid w:val="00F96399"/>
    <w:rsid w:val="00F9792B"/>
    <w:rsid w:val="00FA282C"/>
    <w:rsid w:val="00FA37DB"/>
    <w:rsid w:val="00FA488C"/>
    <w:rsid w:val="00FA52E7"/>
    <w:rsid w:val="00FA6952"/>
    <w:rsid w:val="00FA72AF"/>
    <w:rsid w:val="00FA76BE"/>
    <w:rsid w:val="00FA776E"/>
    <w:rsid w:val="00FB1481"/>
    <w:rsid w:val="00FB20C5"/>
    <w:rsid w:val="00FB2DE3"/>
    <w:rsid w:val="00FB335C"/>
    <w:rsid w:val="00FB50C3"/>
    <w:rsid w:val="00FB5889"/>
    <w:rsid w:val="00FB63C7"/>
    <w:rsid w:val="00FB6AA0"/>
    <w:rsid w:val="00FB6F60"/>
    <w:rsid w:val="00FB717B"/>
    <w:rsid w:val="00FB7FD6"/>
    <w:rsid w:val="00FC1E5E"/>
    <w:rsid w:val="00FC2AA0"/>
    <w:rsid w:val="00FC2E44"/>
    <w:rsid w:val="00FC3D98"/>
    <w:rsid w:val="00FC5148"/>
    <w:rsid w:val="00FC557C"/>
    <w:rsid w:val="00FC5924"/>
    <w:rsid w:val="00FC6E54"/>
    <w:rsid w:val="00FD023D"/>
    <w:rsid w:val="00FD03F5"/>
    <w:rsid w:val="00FD129B"/>
    <w:rsid w:val="00FD22D2"/>
    <w:rsid w:val="00FD2B6B"/>
    <w:rsid w:val="00FD383D"/>
    <w:rsid w:val="00FD4833"/>
    <w:rsid w:val="00FD4B5D"/>
    <w:rsid w:val="00FD4EAB"/>
    <w:rsid w:val="00FD4F5E"/>
    <w:rsid w:val="00FD586B"/>
    <w:rsid w:val="00FD5B97"/>
    <w:rsid w:val="00FD6F95"/>
    <w:rsid w:val="00FD7A02"/>
    <w:rsid w:val="00FE0AD4"/>
    <w:rsid w:val="00FE0F23"/>
    <w:rsid w:val="00FE1F0C"/>
    <w:rsid w:val="00FE2B4B"/>
    <w:rsid w:val="00FE49E1"/>
    <w:rsid w:val="00FE4BDF"/>
    <w:rsid w:val="00FE55F7"/>
    <w:rsid w:val="00FE5F77"/>
    <w:rsid w:val="00FF01D4"/>
    <w:rsid w:val="00FF088E"/>
    <w:rsid w:val="00FF157C"/>
    <w:rsid w:val="00FF3EDB"/>
    <w:rsid w:val="00FF417A"/>
    <w:rsid w:val="00FF45F7"/>
    <w:rsid w:val="00FF5B6C"/>
    <w:rsid w:val="00FF7C2E"/>
    <w:rsid w:val="00FF7C64"/>
    <w:rsid w:val="00FF7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BDD"/>
    <w:pPr>
      <w:spacing w:before="40" w:after="40"/>
      <w:jc w:val="both"/>
    </w:pPr>
    <w:rPr>
      <w:sz w:val="24"/>
      <w:lang w:eastAsia="en-US"/>
    </w:rPr>
  </w:style>
  <w:style w:type="paragraph" w:styleId="Heading1">
    <w:name w:val="heading 1"/>
    <w:basedOn w:val="Normal"/>
    <w:next w:val="Normal"/>
    <w:qFormat/>
    <w:pPr>
      <w:keepNext/>
      <w:pageBreakBefore/>
      <w:numPr>
        <w:numId w:val="91"/>
      </w:numPr>
      <w:spacing w:before="240" w:after="240"/>
      <w:jc w:val="left"/>
      <w:outlineLvl w:val="0"/>
    </w:pPr>
    <w:rPr>
      <w:rFonts w:ascii="Arial" w:hAnsi="Arial"/>
      <w:b/>
      <w:sz w:val="36"/>
    </w:rPr>
  </w:style>
  <w:style w:type="paragraph" w:styleId="Heading2">
    <w:name w:val="heading 2"/>
    <w:aliases w:val="D&amp;M Heading 2"/>
    <w:basedOn w:val="Normal"/>
    <w:next w:val="Normal"/>
    <w:link w:val="Heading2Char"/>
    <w:qFormat/>
    <w:pPr>
      <w:keepNext/>
      <w:numPr>
        <w:ilvl w:val="1"/>
        <w:numId w:val="91"/>
      </w:numPr>
      <w:tabs>
        <w:tab w:val="left" w:pos="709"/>
      </w:tabs>
      <w:spacing w:before="120" w:after="60"/>
      <w:jc w:val="left"/>
      <w:outlineLvl w:val="1"/>
    </w:pPr>
    <w:rPr>
      <w:rFonts w:ascii="Arial" w:hAnsi="Arial"/>
      <w:b/>
      <w:sz w:val="28"/>
    </w:rPr>
  </w:style>
  <w:style w:type="paragraph" w:styleId="Heading3">
    <w:name w:val="heading 3"/>
    <w:basedOn w:val="Normal"/>
    <w:next w:val="Normal"/>
    <w:link w:val="Heading3Char"/>
    <w:qFormat/>
    <w:pPr>
      <w:keepNext/>
      <w:numPr>
        <w:ilvl w:val="2"/>
        <w:numId w:val="91"/>
      </w:numPr>
      <w:spacing w:before="120" w:after="60"/>
      <w:jc w:val="left"/>
      <w:outlineLvl w:val="2"/>
    </w:pPr>
    <w:rPr>
      <w:rFonts w:ascii="Arial" w:hAnsi="Arial"/>
      <w:b/>
    </w:rPr>
  </w:style>
  <w:style w:type="paragraph" w:styleId="Heading4">
    <w:name w:val="heading 4"/>
    <w:basedOn w:val="Normal"/>
    <w:next w:val="Normal"/>
    <w:autoRedefine/>
    <w:qFormat/>
    <w:pPr>
      <w:keepNext/>
      <w:numPr>
        <w:ilvl w:val="3"/>
        <w:numId w:val="91"/>
      </w:numPr>
      <w:spacing w:after="120"/>
      <w:jc w:val="left"/>
      <w:outlineLvl w:val="3"/>
    </w:pPr>
    <w:rPr>
      <w:b/>
    </w:rPr>
  </w:style>
  <w:style w:type="paragraph" w:styleId="Heading5">
    <w:name w:val="heading 5"/>
    <w:basedOn w:val="Normal"/>
    <w:next w:val="Normal"/>
    <w:qFormat/>
    <w:pPr>
      <w:keepNext/>
      <w:numPr>
        <w:ilvl w:val="4"/>
        <w:numId w:val="91"/>
      </w:numPr>
      <w:spacing w:after="240"/>
      <w:jc w:val="left"/>
      <w:outlineLvl w:val="4"/>
    </w:pPr>
    <w:rPr>
      <w:b/>
    </w:rPr>
  </w:style>
  <w:style w:type="paragraph" w:styleId="Heading6">
    <w:name w:val="heading 6"/>
    <w:basedOn w:val="Normal"/>
    <w:next w:val="Normal"/>
    <w:qFormat/>
    <w:pPr>
      <w:keepNext/>
      <w:numPr>
        <w:ilvl w:val="5"/>
        <w:numId w:val="91"/>
      </w:numPr>
      <w:spacing w:after="240"/>
      <w:jc w:val="left"/>
      <w:outlineLvl w:val="5"/>
    </w:pPr>
    <w:rPr>
      <w:b/>
    </w:rPr>
  </w:style>
  <w:style w:type="paragraph" w:styleId="Heading7">
    <w:name w:val="heading 7"/>
    <w:basedOn w:val="Normal"/>
    <w:next w:val="Normal"/>
    <w:qFormat/>
    <w:pPr>
      <w:keepNext/>
      <w:numPr>
        <w:ilvl w:val="6"/>
        <w:numId w:val="91"/>
      </w:numPr>
      <w:spacing w:after="240"/>
      <w:jc w:val="left"/>
      <w:outlineLvl w:val="6"/>
    </w:pPr>
    <w:rPr>
      <w:b/>
    </w:rPr>
  </w:style>
  <w:style w:type="paragraph" w:styleId="Heading8">
    <w:name w:val="heading 8"/>
    <w:basedOn w:val="Normal"/>
    <w:next w:val="Normal"/>
    <w:qFormat/>
    <w:pPr>
      <w:keepNext/>
      <w:numPr>
        <w:ilvl w:val="7"/>
        <w:numId w:val="91"/>
      </w:numPr>
      <w:spacing w:after="240"/>
      <w:jc w:val="left"/>
      <w:outlineLvl w:val="7"/>
    </w:pPr>
    <w:rPr>
      <w:b/>
    </w:rPr>
  </w:style>
  <w:style w:type="paragraph" w:styleId="Heading9">
    <w:name w:val="heading 9"/>
    <w:basedOn w:val="Normal"/>
    <w:next w:val="Normal"/>
    <w:qFormat/>
    <w:pPr>
      <w:keepNext/>
      <w:numPr>
        <w:ilvl w:val="8"/>
        <w:numId w:val="91"/>
      </w:numPr>
      <w:spacing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F12C6E"/>
    <w:pPr>
      <w:tabs>
        <w:tab w:val="right" w:pos="9072"/>
      </w:tabs>
      <w:spacing w:before="240" w:after="60"/>
      <w:ind w:left="432" w:hanging="432"/>
      <w:jc w:val="left"/>
    </w:pPr>
    <w:rPr>
      <w:rFonts w:ascii="Arial" w:hAnsi="Arial"/>
      <w:b/>
      <w:noProof/>
    </w:rPr>
  </w:style>
  <w:style w:type="paragraph" w:styleId="TOC2">
    <w:name w:val="toc 2"/>
    <w:basedOn w:val="Normal"/>
    <w:next w:val="Normal"/>
    <w:uiPriority w:val="39"/>
    <w:rsid w:val="00F12C6E"/>
    <w:pPr>
      <w:tabs>
        <w:tab w:val="left" w:pos="992"/>
        <w:tab w:val="right" w:leader="dot" w:pos="9072"/>
      </w:tabs>
      <w:ind w:left="992" w:hanging="561"/>
      <w:jc w:val="left"/>
    </w:pPr>
    <w:rPr>
      <w:rFonts w:ascii="Arial" w:hAnsi="Arial"/>
      <w:noProof/>
    </w:rPr>
  </w:style>
  <w:style w:type="paragraph" w:styleId="TOC3">
    <w:name w:val="toc 3"/>
    <w:basedOn w:val="Normal"/>
    <w:next w:val="Normal"/>
    <w:semiHidden/>
    <w:pPr>
      <w:tabs>
        <w:tab w:val="right" w:leader="dot" w:pos="8647"/>
      </w:tabs>
      <w:ind w:left="1440" w:hanging="576"/>
      <w:jc w:val="left"/>
    </w:pPr>
    <w:rPr>
      <w:rFonts w:ascii="Arial" w:hAnsi="Arial"/>
    </w:rPr>
  </w:style>
  <w:style w:type="character" w:styleId="PageNumber">
    <w:name w:val="page number"/>
    <w:basedOn w:val="DefaultParagraphFont"/>
  </w:style>
  <w:style w:type="paragraph" w:styleId="TOC4">
    <w:name w:val="toc 4"/>
    <w:basedOn w:val="Normal"/>
    <w:next w:val="Normal"/>
    <w:semiHidden/>
    <w:pPr>
      <w:tabs>
        <w:tab w:val="right" w:leader="dot" w:pos="9029"/>
      </w:tabs>
      <w:ind w:left="1728" w:hanging="432"/>
      <w:jc w:val="left"/>
    </w:pPr>
  </w:style>
  <w:style w:type="paragraph" w:styleId="TableofFigures">
    <w:name w:val="table of figures"/>
    <w:basedOn w:val="TOC1"/>
    <w:next w:val="Normal"/>
    <w:uiPriority w:val="99"/>
    <w:rsid w:val="00F12C6E"/>
    <w:pPr>
      <w:tabs>
        <w:tab w:val="right" w:leader="dot" w:pos="9072"/>
      </w:tabs>
      <w:ind w:left="1440" w:hanging="1440"/>
    </w:pPr>
    <w:rPr>
      <w:b w:val="0"/>
    </w:rPr>
  </w:style>
  <w:style w:type="paragraph" w:styleId="ListBullet">
    <w:name w:val="List Bullet"/>
    <w:aliases w:val="List Bullet Char1,List Bullet Char Char,List Bullet Char2 Char Char,List Bullet Char Char1 Char Char,list letter Char Char Char1 Char Char,list letter Char1 Char1 Char Char,List Bullet Char Char Char Char Char,list letter Char,list letter"/>
    <w:basedOn w:val="Normal"/>
    <w:next w:val="Normal"/>
    <w:link w:val="ListBulletChar"/>
    <w:pPr>
      <w:numPr>
        <w:numId w:val="1"/>
      </w:numPr>
    </w:pPr>
  </w:style>
  <w:style w:type="paragraph" w:styleId="ListBullet2">
    <w:name w:val="List Bullet 2"/>
    <w:basedOn w:val="Normal"/>
    <w:next w:val="Normal"/>
    <w:autoRedefine/>
    <w:pPr>
      <w:numPr>
        <w:numId w:val="2"/>
      </w:numPr>
      <w:spacing w:after="80"/>
    </w:pPr>
  </w:style>
  <w:style w:type="character" w:styleId="EndnoteReference">
    <w:name w:val="endnote reference"/>
    <w:basedOn w:val="DefaultParagraphFont"/>
    <w:semiHidden/>
    <w:rPr>
      <w:vertAlign w:val="superscript"/>
    </w:rPr>
  </w:style>
  <w:style w:type="paragraph" w:customStyle="1" w:styleId="Title-FIGURE">
    <w:name w:val="Title - FIGURE"/>
    <w:basedOn w:val="Normal"/>
    <w:next w:val="Normal"/>
    <w:pPr>
      <w:keepNext/>
      <w:spacing w:after="240"/>
      <w:jc w:val="left"/>
    </w:pPr>
    <w:rPr>
      <w:b/>
    </w:rPr>
  </w:style>
  <w:style w:type="paragraph" w:styleId="Header">
    <w:name w:val="header"/>
    <w:basedOn w:val="Normal"/>
    <w:link w:val="HeaderChar"/>
    <w:uiPriority w:val="99"/>
    <w:pPr>
      <w:tabs>
        <w:tab w:val="right" w:pos="9029"/>
      </w:tabs>
    </w:pPr>
  </w:style>
  <w:style w:type="paragraph" w:styleId="Footer">
    <w:name w:val="footer"/>
    <w:basedOn w:val="Normal"/>
    <w:link w:val="FooterChar"/>
    <w:uiPriority w:val="99"/>
    <w:pPr>
      <w:tabs>
        <w:tab w:val="left" w:pos="576"/>
        <w:tab w:val="right" w:pos="9029"/>
      </w:tabs>
    </w:pPr>
  </w:style>
  <w:style w:type="character" w:styleId="FootnoteReference">
    <w:name w:val="footnote reference"/>
    <w:aliases w:val="ftref"/>
    <w:basedOn w:val="DefaultParagraphFont"/>
    <w:semiHidden/>
    <w:rPr>
      <w:vertAlign w:val="superscript"/>
    </w:rPr>
  </w:style>
  <w:style w:type="paragraph" w:styleId="FootnoteText">
    <w:name w:val="footnote text"/>
    <w:aliases w:val="Footnote Text Char, Char Char, Char,ft,single space,footnote text,fn,Footnote Text Char Char Char Char"/>
    <w:basedOn w:val="Normal"/>
    <w:link w:val="FootnoteTextChar1"/>
    <w:semiHidden/>
    <w:pPr>
      <w:spacing w:after="120"/>
      <w:ind w:left="720" w:hanging="720"/>
    </w:pPr>
    <w:rPr>
      <w:sz w:val="20"/>
    </w:rPr>
  </w:style>
  <w:style w:type="paragraph" w:styleId="BodyText2">
    <w:name w:val="Body Text 2"/>
    <w:basedOn w:val="Normal"/>
    <w:pPr>
      <w:jc w:val="center"/>
    </w:pPr>
    <w:rPr>
      <w:rFonts w:ascii="Tahoma" w:hAnsi="Tahoma"/>
      <w:b/>
      <w:i/>
      <w:vanish/>
      <w:color w:val="FF0000"/>
    </w:rPr>
  </w:style>
  <w:style w:type="paragraph" w:styleId="Title">
    <w:name w:val="Title"/>
    <w:basedOn w:val="Normal"/>
    <w:qFormat/>
    <w:pPr>
      <w:spacing w:before="0" w:after="0"/>
      <w:jc w:val="center"/>
    </w:pPr>
    <w:rPr>
      <w:b/>
      <w:color w:val="000080"/>
      <w:lang w:val="en-US"/>
    </w:rPr>
  </w:style>
  <w:style w:type="paragraph" w:styleId="BodyTextIndent">
    <w:name w:val="Body Text Indent"/>
    <w:basedOn w:val="Normal"/>
    <w:pPr>
      <w:spacing w:before="0" w:after="0"/>
      <w:ind w:left="720"/>
    </w:pPr>
    <w:rPr>
      <w:color w:val="FF00FF"/>
      <w:lang w:val="en-US"/>
    </w:rPr>
  </w:style>
  <w:style w:type="paragraph" w:styleId="BodyTextIndent2">
    <w:name w:val="Body Text Indent 2"/>
    <w:basedOn w:val="Normal"/>
    <w:link w:val="BodyTextIndent2Char"/>
    <w:pPr>
      <w:ind w:left="3828"/>
      <w:jc w:val="right"/>
    </w:pPr>
    <w:rPr>
      <w:rFonts w:ascii="Arial" w:hAnsi="Arial"/>
      <w:b/>
      <w:sz w:val="44"/>
    </w:rPr>
  </w:style>
  <w:style w:type="paragraph" w:styleId="Caption">
    <w:name w:val="caption"/>
    <w:basedOn w:val="Normal"/>
    <w:next w:val="Normal"/>
    <w:qFormat/>
    <w:pPr>
      <w:spacing w:before="120" w:after="120"/>
      <w:jc w:val="left"/>
    </w:pPr>
    <w:rPr>
      <w:rFonts w:ascii="Arial" w:hAnsi="Arial"/>
      <w:b/>
    </w:rPr>
  </w:style>
  <w:style w:type="paragraph" w:customStyle="1" w:styleId="Title-TABLE">
    <w:name w:val="Title - TABLE"/>
    <w:basedOn w:val="Normal"/>
    <w:next w:val="Normal"/>
    <w:pPr>
      <w:keepNext/>
      <w:spacing w:after="240"/>
      <w:jc w:val="center"/>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aliases w:val="(Alt+1),BodyText,body,text,Body,bt"/>
    <w:basedOn w:val="Normal"/>
    <w:link w:val="BodyTextChar"/>
    <w:pPr>
      <w:spacing w:after="240"/>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pPr>
      <w:spacing w:line="300" w:lineRule="auto"/>
    </w:pPr>
    <w:rPr>
      <w:sz w:val="22"/>
      <w:lang w:val="en-US"/>
    </w:rPr>
  </w:style>
  <w:style w:type="character" w:styleId="Hyperlink">
    <w:name w:val="Hyperlink"/>
    <w:basedOn w:val="DefaultParagraphFont"/>
    <w:uiPriority w:val="99"/>
    <w:rPr>
      <w:color w:val="0000FF"/>
      <w:u w:val="single"/>
    </w:rPr>
  </w:style>
  <w:style w:type="paragraph" w:customStyle="1" w:styleId="CoverMasthead">
    <w:name w:val="Cover Masthead"/>
    <w:basedOn w:val="BodyText"/>
    <w:pPr>
      <w:spacing w:before="100" w:after="100"/>
      <w:jc w:val="left"/>
    </w:pPr>
    <w:rPr>
      <w:rFonts w:ascii="Arial Black" w:hAnsi="Arial Black"/>
      <w:caps/>
      <w:spacing w:val="80"/>
      <w:sz w:val="28"/>
    </w:rPr>
  </w:style>
  <w:style w:type="paragraph" w:customStyle="1" w:styleId="CoverTitle">
    <w:name w:val="Cover Title"/>
    <w:basedOn w:val="BodyText"/>
    <w:pPr>
      <w:spacing w:before="100" w:after="0"/>
      <w:jc w:val="left"/>
    </w:pPr>
    <w:rPr>
      <w:rFonts w:ascii="Arial" w:hAnsi="Arial"/>
      <w:sz w:val="36"/>
    </w:rPr>
  </w:style>
  <w:style w:type="paragraph" w:customStyle="1" w:styleId="CoverCompany">
    <w:name w:val="Cover Company"/>
    <w:basedOn w:val="BodyText"/>
    <w:pPr>
      <w:spacing w:before="100" w:after="100"/>
      <w:jc w:val="left"/>
    </w:pPr>
    <w:rPr>
      <w:rFonts w:ascii="Arial" w:hAnsi="Arial"/>
      <w:b/>
      <w:sz w:val="28"/>
    </w:rPr>
  </w:style>
  <w:style w:type="paragraph" w:customStyle="1" w:styleId="CoverAddress">
    <w:name w:val="Cover Address"/>
    <w:basedOn w:val="BodyText"/>
    <w:pPr>
      <w:spacing w:before="0" w:after="0"/>
      <w:jc w:val="left"/>
    </w:pPr>
    <w:rPr>
      <w:rFonts w:ascii="Arial" w:hAnsi="Arial"/>
      <w:sz w:val="18"/>
    </w:rPr>
  </w:style>
  <w:style w:type="paragraph" w:customStyle="1" w:styleId="CoverDoc">
    <w:name w:val="Cover Doc"/>
    <w:basedOn w:val="BodyText"/>
    <w:pPr>
      <w:spacing w:before="100" w:after="100"/>
      <w:jc w:val="left"/>
    </w:pPr>
    <w:rPr>
      <w:rFonts w:ascii="Arial" w:hAnsi="Arial"/>
      <w:caps/>
      <w:sz w:val="18"/>
    </w:rPr>
  </w:style>
  <w:style w:type="paragraph" w:customStyle="1" w:styleId="KLNormal">
    <w:name w:val="KL Normal"/>
    <w:basedOn w:val="Normal"/>
  </w:style>
  <w:style w:type="paragraph" w:customStyle="1" w:styleId="TOCHeading">
    <w:name w:val="TOCHeading"/>
    <w:basedOn w:val="Normal"/>
    <w:pPr>
      <w:spacing w:before="0" w:after="0" w:line="288" w:lineRule="auto"/>
      <w:jc w:val="left"/>
    </w:pPr>
    <w:rPr>
      <w:rFonts w:ascii="Arial Black" w:hAnsi="Arial Black"/>
      <w:sz w:val="32"/>
      <w:szCs w:val="24"/>
    </w:rPr>
  </w:style>
  <w:style w:type="paragraph" w:customStyle="1" w:styleId="Tabletext">
    <w:name w:val="Table text"/>
    <w:basedOn w:val="BodyText"/>
    <w:pPr>
      <w:keepNext/>
      <w:spacing w:before="0" w:after="0"/>
      <w:jc w:val="left"/>
    </w:pPr>
    <w:rPr>
      <w:sz w:val="20"/>
      <w:lang w:val="en-GB"/>
    </w:rPr>
  </w:style>
  <w:style w:type="paragraph" w:styleId="BodyText3">
    <w:name w:val="Body Text 3"/>
    <w:basedOn w:val="Normal"/>
    <w:pPr>
      <w:spacing w:before="240"/>
    </w:pPr>
    <w:rPr>
      <w:color w:val="000000"/>
      <w:sz w:val="18"/>
    </w:rPr>
  </w:style>
  <w:style w:type="paragraph" w:customStyle="1" w:styleId="CharCharCharCharCharCharCharCharCharCharCharCharCharCharCharCharChar">
    <w:name w:val="Char Char Char (文字) (文字) Char Char Char Char (文字) (文字) Char Char Char (文字) (文字) Char Char Char Char Char Char Char"/>
    <w:basedOn w:val="Normal"/>
    <w:rsid w:val="00676EBD"/>
    <w:pPr>
      <w:spacing w:before="0" w:after="160" w:line="240" w:lineRule="exact"/>
      <w:jc w:val="left"/>
    </w:pPr>
    <w:rPr>
      <w:rFonts w:ascii="Arial" w:hAnsi="Arial" w:cs="Arial"/>
      <w:sz w:val="20"/>
      <w:lang w:val="en-US"/>
    </w:rPr>
  </w:style>
  <w:style w:type="paragraph" w:styleId="NoSpacing">
    <w:name w:val="No Spacing"/>
    <w:qFormat/>
    <w:rsid w:val="00676EBD"/>
    <w:rPr>
      <w:rFonts w:ascii="Calibri" w:eastAsia="Calibri" w:hAnsi="Calibri"/>
      <w:sz w:val="22"/>
      <w:szCs w:val="22"/>
      <w:lang w:eastAsia="en-US"/>
    </w:rPr>
  </w:style>
  <w:style w:type="paragraph" w:customStyle="1" w:styleId="ListParagraph1">
    <w:name w:val="List Paragraph1"/>
    <w:aliases w:val="AusAID List Paragraph"/>
    <w:basedOn w:val="Normal"/>
    <w:qFormat/>
    <w:rsid w:val="00676EBD"/>
    <w:pPr>
      <w:spacing w:before="600" w:after="80"/>
      <w:ind w:left="720"/>
      <w:contextualSpacing/>
      <w:jc w:val="left"/>
    </w:pPr>
    <w:rPr>
      <w:rFonts w:ascii="Calibri" w:eastAsia="Calibri" w:hAnsi="Calibri"/>
      <w:sz w:val="22"/>
      <w:szCs w:val="22"/>
    </w:rPr>
  </w:style>
  <w:style w:type="character" w:customStyle="1" w:styleId="FootnoteTextChar1">
    <w:name w:val="Footnote Text Char1"/>
    <w:aliases w:val="Footnote Text Char Char, Char Char Char, Char Char1,ft Char,single space Char,footnote text Char,fn Char,Footnote Text Char Char Char Char Char"/>
    <w:basedOn w:val="DefaultParagraphFont"/>
    <w:link w:val="FootnoteText"/>
    <w:semiHidden/>
    <w:rsid w:val="00676EBD"/>
    <w:rPr>
      <w:lang w:val="en-AU" w:eastAsia="en-US" w:bidi="ar-SA"/>
    </w:rPr>
  </w:style>
  <w:style w:type="paragraph" w:customStyle="1" w:styleId="Bullet">
    <w:name w:val="Bullet"/>
    <w:basedOn w:val="Normal"/>
    <w:rsid w:val="00676EBD"/>
    <w:pPr>
      <w:numPr>
        <w:numId w:val="3"/>
      </w:numPr>
      <w:spacing w:before="0" w:after="240" w:line="320" w:lineRule="exact"/>
      <w:jc w:val="left"/>
    </w:pPr>
    <w:rPr>
      <w:rFonts w:ascii="Palatino" w:hAnsi="Palatino"/>
      <w:color w:val="000000"/>
      <w:sz w:val="22"/>
      <w:szCs w:val="22"/>
      <w:lang w:eastAsia="en-AU"/>
    </w:rPr>
  </w:style>
  <w:style w:type="paragraph" w:customStyle="1" w:styleId="Dash">
    <w:name w:val="Dash"/>
    <w:basedOn w:val="Normal"/>
    <w:rsid w:val="00676EBD"/>
    <w:pPr>
      <w:numPr>
        <w:ilvl w:val="1"/>
        <w:numId w:val="3"/>
      </w:numPr>
      <w:spacing w:before="0" w:after="240" w:line="320" w:lineRule="exact"/>
      <w:jc w:val="left"/>
    </w:pPr>
    <w:rPr>
      <w:rFonts w:ascii="Palatino" w:hAnsi="Palatino"/>
      <w:color w:val="000000"/>
      <w:sz w:val="22"/>
      <w:szCs w:val="22"/>
      <w:lang w:eastAsia="en-AU"/>
    </w:rPr>
  </w:style>
  <w:style w:type="paragraph" w:customStyle="1" w:styleId="DoubleDot">
    <w:name w:val="Double Dot"/>
    <w:basedOn w:val="Normal"/>
    <w:rsid w:val="00676EBD"/>
    <w:pPr>
      <w:numPr>
        <w:ilvl w:val="2"/>
        <w:numId w:val="3"/>
      </w:numPr>
      <w:spacing w:before="0" w:after="240" w:line="320" w:lineRule="exact"/>
      <w:jc w:val="left"/>
    </w:pPr>
    <w:rPr>
      <w:rFonts w:ascii="Palatino" w:hAnsi="Palatino"/>
      <w:color w:val="000000"/>
      <w:sz w:val="22"/>
      <w:szCs w:val="22"/>
      <w:lang w:eastAsia="en-AU"/>
    </w:rPr>
  </w:style>
  <w:style w:type="table" w:styleId="TableGrid">
    <w:name w:val="Table Grid"/>
    <w:aliases w:val="DPS Table Grid"/>
    <w:basedOn w:val="TableNormal"/>
    <w:rsid w:val="00150656"/>
    <w:pPr>
      <w:spacing w:before="40" w:after="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link w:val="List-bullet-1Char"/>
    <w:rsid w:val="00150656"/>
    <w:pPr>
      <w:numPr>
        <w:numId w:val="4"/>
      </w:numPr>
      <w:spacing w:before="120" w:after="0"/>
      <w:jc w:val="left"/>
    </w:pPr>
    <w:rPr>
      <w:rFonts w:ascii="Arial" w:hAnsi="Arial" w:cs="Arial"/>
      <w:sz w:val="20"/>
      <w:szCs w:val="22"/>
    </w:rPr>
  </w:style>
  <w:style w:type="character" w:customStyle="1" w:styleId="ListBulletChar">
    <w:name w:val="List Bullet Char"/>
    <w:aliases w:val="List Bullet Char1 Char,List Bullet Char Char Char,List Bullet Char2 Char Char Char,List Bullet Char Char1 Char Char Char,list letter Char Char Char1 Char Char Char,list letter Char1 Char1 Char Char Char,list letter Char Char2"/>
    <w:basedOn w:val="DefaultParagraphFont"/>
    <w:link w:val="ListBullet"/>
    <w:rsid w:val="001E5DAF"/>
    <w:rPr>
      <w:sz w:val="24"/>
      <w:lang w:eastAsia="en-US"/>
    </w:rPr>
  </w:style>
  <w:style w:type="character" w:customStyle="1" w:styleId="listletterChar2Char">
    <w:name w:val="list letter Char2 Char"/>
    <w:basedOn w:val="DefaultParagraphFont"/>
    <w:rsid w:val="00520324"/>
    <w:rPr>
      <w:sz w:val="24"/>
      <w:lang w:val="en-AU" w:eastAsia="en-US" w:bidi="ar-SA"/>
    </w:rPr>
  </w:style>
  <w:style w:type="paragraph" w:customStyle="1" w:styleId="Default">
    <w:name w:val="Default"/>
    <w:rsid w:val="00541D7F"/>
    <w:pPr>
      <w:autoSpaceDE w:val="0"/>
      <w:autoSpaceDN w:val="0"/>
      <w:adjustRightInd w:val="0"/>
    </w:pPr>
    <w:rPr>
      <w:color w:val="000000"/>
      <w:sz w:val="24"/>
      <w:szCs w:val="24"/>
      <w:lang w:val="en-GB" w:eastAsia="en-GB"/>
    </w:rPr>
  </w:style>
  <w:style w:type="character" w:customStyle="1" w:styleId="Heading3Char">
    <w:name w:val="Heading 3 Char"/>
    <w:basedOn w:val="DefaultParagraphFont"/>
    <w:link w:val="Heading3"/>
    <w:rsid w:val="008B22A1"/>
    <w:rPr>
      <w:rFonts w:ascii="Arial" w:hAnsi="Arial"/>
      <w:b/>
      <w:sz w:val="24"/>
      <w:lang w:eastAsia="en-US"/>
    </w:rPr>
  </w:style>
  <w:style w:type="character" w:customStyle="1" w:styleId="CharChar2">
    <w:name w:val="Char Char2"/>
    <w:basedOn w:val="DefaultParagraphFont"/>
    <w:semiHidden/>
    <w:rsid w:val="00D000B1"/>
    <w:rPr>
      <w:rFonts w:ascii="Calibri" w:eastAsia="Calibri" w:hAnsi="Calibri"/>
      <w:lang w:val="en-AU" w:eastAsia="en-US" w:bidi="ar-SA"/>
    </w:rPr>
  </w:style>
  <w:style w:type="character" w:styleId="CommentReference">
    <w:name w:val="annotation reference"/>
    <w:basedOn w:val="DefaultParagraphFont"/>
    <w:semiHidden/>
    <w:rsid w:val="00CE049E"/>
    <w:rPr>
      <w:sz w:val="16"/>
      <w:szCs w:val="16"/>
    </w:rPr>
  </w:style>
  <w:style w:type="paragraph" w:styleId="CommentText">
    <w:name w:val="annotation text"/>
    <w:basedOn w:val="Normal"/>
    <w:semiHidden/>
    <w:rsid w:val="00CE049E"/>
    <w:rPr>
      <w:sz w:val="20"/>
    </w:rPr>
  </w:style>
  <w:style w:type="paragraph" w:styleId="CommentSubject">
    <w:name w:val="annotation subject"/>
    <w:basedOn w:val="CommentText"/>
    <w:next w:val="CommentText"/>
    <w:semiHidden/>
    <w:rsid w:val="00CE049E"/>
    <w:rPr>
      <w:b/>
      <w:bCs/>
    </w:rPr>
  </w:style>
  <w:style w:type="paragraph" w:styleId="BalloonText">
    <w:name w:val="Balloon Text"/>
    <w:basedOn w:val="Normal"/>
    <w:semiHidden/>
    <w:rsid w:val="00CE049E"/>
    <w:rPr>
      <w:rFonts w:ascii="Tahoma" w:hAnsi="Tahoma" w:cs="Tahoma"/>
      <w:sz w:val="16"/>
      <w:szCs w:val="16"/>
    </w:rPr>
  </w:style>
  <w:style w:type="character" w:customStyle="1" w:styleId="CharChar10">
    <w:name w:val="Char Char10"/>
    <w:basedOn w:val="DefaultParagraphFont"/>
    <w:rsid w:val="00A54CF1"/>
    <w:rPr>
      <w:rFonts w:ascii="Arial" w:eastAsia="Times New Roman" w:hAnsi="Arial" w:cs="Times New Roman"/>
      <w:b/>
      <w:sz w:val="24"/>
      <w:szCs w:val="20"/>
      <w:lang w:val="en-AU"/>
    </w:rPr>
  </w:style>
  <w:style w:type="paragraph" w:customStyle="1" w:styleId="CharCharCharCharCharCharCharCharCharChar">
    <w:name w:val="Char Char Char (文字) (文字) Char Char Char Char (文字) (文字) Char Char Char (文字) (文字)"/>
    <w:basedOn w:val="Normal"/>
    <w:rsid w:val="00E5590A"/>
    <w:pPr>
      <w:spacing w:before="0" w:after="160" w:line="240" w:lineRule="exact"/>
      <w:jc w:val="left"/>
    </w:pPr>
    <w:rPr>
      <w:rFonts w:ascii="Arial" w:hAnsi="Arial" w:cs="Arial"/>
      <w:sz w:val="20"/>
      <w:lang w:val="en-US"/>
    </w:rPr>
  </w:style>
  <w:style w:type="paragraph" w:customStyle="1" w:styleId="CharCharCharCharCharCharCharCharCharCharCharCharChar">
    <w:name w:val="Char Char Char (文字) (文字) Char Char Char Char (文字) (文字) Char Char Char (文字) (文字) Char Char Char"/>
    <w:basedOn w:val="Normal"/>
    <w:rsid w:val="00333837"/>
    <w:pPr>
      <w:spacing w:before="0" w:after="160" w:line="240" w:lineRule="exact"/>
      <w:jc w:val="left"/>
    </w:pPr>
    <w:rPr>
      <w:rFonts w:ascii="Arial" w:hAnsi="Arial" w:cs="Arial"/>
      <w:sz w:val="20"/>
      <w:lang w:val="en-US"/>
    </w:rPr>
  </w:style>
  <w:style w:type="character" w:customStyle="1" w:styleId="PaulBridgman">
    <w:name w:val="Paul_Bridgman"/>
    <w:basedOn w:val="DefaultParagraphFont"/>
    <w:semiHidden/>
    <w:rsid w:val="00875D30"/>
    <w:rPr>
      <w:rFonts w:ascii="Arial" w:hAnsi="Arial" w:cs="Arial"/>
      <w:color w:val="auto"/>
      <w:sz w:val="20"/>
      <w:szCs w:val="20"/>
    </w:rPr>
  </w:style>
  <w:style w:type="paragraph" w:customStyle="1" w:styleId="CharCharCharCharCharCharCharCharCharCharChar">
    <w:name w:val="Char Char Char (文字) (文字) Char Char Char Char (文字) (文字) Char Char Char (文字) (文字) Char"/>
    <w:basedOn w:val="Normal"/>
    <w:rsid w:val="005F1070"/>
    <w:pPr>
      <w:spacing w:before="0" w:after="160" w:line="240" w:lineRule="exact"/>
      <w:jc w:val="left"/>
    </w:pPr>
    <w:rPr>
      <w:rFonts w:ascii="Arial" w:hAnsi="Arial" w:cs="Arial"/>
      <w:sz w:val="20"/>
      <w:lang w:val="en-US"/>
    </w:rPr>
  </w:style>
  <w:style w:type="paragraph" w:customStyle="1" w:styleId="CONLevel1">
    <w:name w:val=".CON  Level   1."/>
    <w:basedOn w:val="Normal"/>
    <w:next w:val="Normal"/>
    <w:rsid w:val="00B25D68"/>
    <w:pPr>
      <w:keepNext/>
      <w:numPr>
        <w:numId w:val="6"/>
      </w:numPr>
      <w:spacing w:before="240" w:after="0"/>
      <w:jc w:val="left"/>
      <w:outlineLvl w:val="1"/>
    </w:pPr>
    <w:rPr>
      <w:b/>
      <w:szCs w:val="22"/>
    </w:rPr>
  </w:style>
  <w:style w:type="paragraph" w:customStyle="1" w:styleId="CONLevel11">
    <w:name w:val=".CON  Level   1.1"/>
    <w:basedOn w:val="Normal"/>
    <w:next w:val="Normal"/>
    <w:link w:val="CONLevel11Char"/>
    <w:rsid w:val="00B25D68"/>
    <w:pPr>
      <w:numPr>
        <w:ilvl w:val="1"/>
        <w:numId w:val="6"/>
      </w:numPr>
      <w:spacing w:before="240" w:after="0"/>
      <w:jc w:val="left"/>
      <w:outlineLvl w:val="2"/>
    </w:pPr>
    <w:rPr>
      <w:szCs w:val="22"/>
    </w:rPr>
  </w:style>
  <w:style w:type="paragraph" w:customStyle="1" w:styleId="CONLevela">
    <w:name w:val=".CON  Level  (a)"/>
    <w:basedOn w:val="Normal"/>
    <w:next w:val="Normal"/>
    <w:rsid w:val="00B25D68"/>
    <w:pPr>
      <w:numPr>
        <w:ilvl w:val="2"/>
        <w:numId w:val="6"/>
      </w:numPr>
      <w:spacing w:before="240" w:after="0"/>
      <w:jc w:val="left"/>
      <w:outlineLvl w:val="3"/>
    </w:pPr>
    <w:rPr>
      <w:szCs w:val="22"/>
    </w:rPr>
  </w:style>
  <w:style w:type="paragraph" w:customStyle="1" w:styleId="CONLeveli">
    <w:name w:val=".CON  Level  (i)"/>
    <w:basedOn w:val="Normal"/>
    <w:next w:val="Normal"/>
    <w:rsid w:val="00B25D68"/>
    <w:pPr>
      <w:numPr>
        <w:ilvl w:val="3"/>
        <w:numId w:val="6"/>
      </w:numPr>
      <w:spacing w:before="240" w:after="0"/>
      <w:jc w:val="left"/>
      <w:outlineLvl w:val="4"/>
    </w:pPr>
    <w:rPr>
      <w:szCs w:val="22"/>
    </w:rPr>
  </w:style>
  <w:style w:type="paragraph" w:customStyle="1" w:styleId="CONLevelA0">
    <w:name w:val=".CON  Level (A)"/>
    <w:basedOn w:val="Normal"/>
    <w:next w:val="Normal"/>
    <w:rsid w:val="00B25D68"/>
    <w:pPr>
      <w:numPr>
        <w:ilvl w:val="4"/>
        <w:numId w:val="6"/>
      </w:numPr>
      <w:spacing w:before="240" w:after="0"/>
      <w:jc w:val="left"/>
      <w:outlineLvl w:val="5"/>
    </w:pPr>
    <w:rPr>
      <w:szCs w:val="22"/>
    </w:rPr>
  </w:style>
  <w:style w:type="paragraph" w:customStyle="1" w:styleId="CONLevelI0">
    <w:name w:val=".CON  Level (I)"/>
    <w:basedOn w:val="Normal"/>
    <w:next w:val="Normal"/>
    <w:rsid w:val="00B25D68"/>
    <w:pPr>
      <w:numPr>
        <w:ilvl w:val="5"/>
        <w:numId w:val="6"/>
      </w:numPr>
      <w:spacing w:before="240" w:after="0"/>
      <w:jc w:val="left"/>
      <w:outlineLvl w:val="6"/>
    </w:pPr>
    <w:rPr>
      <w:szCs w:val="22"/>
    </w:rPr>
  </w:style>
  <w:style w:type="paragraph" w:customStyle="1" w:styleId="Level1">
    <w:name w:val="Level 1."/>
    <w:basedOn w:val="Normal"/>
    <w:rsid w:val="00B25D68"/>
    <w:pPr>
      <w:numPr>
        <w:numId w:val="5"/>
      </w:numPr>
      <w:spacing w:before="240" w:after="0"/>
      <w:jc w:val="left"/>
    </w:pPr>
    <w:rPr>
      <w:szCs w:val="22"/>
    </w:rPr>
  </w:style>
  <w:style w:type="paragraph" w:customStyle="1" w:styleId="Level11">
    <w:name w:val="Level 1.1"/>
    <w:basedOn w:val="Normal"/>
    <w:rsid w:val="00B25D68"/>
    <w:pPr>
      <w:numPr>
        <w:ilvl w:val="1"/>
        <w:numId w:val="5"/>
      </w:numPr>
      <w:spacing w:before="240" w:after="0"/>
      <w:jc w:val="left"/>
    </w:pPr>
    <w:rPr>
      <w:szCs w:val="22"/>
    </w:rPr>
  </w:style>
  <w:style w:type="paragraph" w:customStyle="1" w:styleId="Levela">
    <w:name w:val="Level (a)"/>
    <w:basedOn w:val="Normal"/>
    <w:rsid w:val="00B25D68"/>
    <w:pPr>
      <w:numPr>
        <w:ilvl w:val="2"/>
        <w:numId w:val="5"/>
      </w:numPr>
      <w:spacing w:before="240" w:after="0"/>
      <w:jc w:val="left"/>
    </w:pPr>
    <w:rPr>
      <w:szCs w:val="22"/>
    </w:rPr>
  </w:style>
  <w:style w:type="paragraph" w:customStyle="1" w:styleId="Leveli">
    <w:name w:val="Level (i)"/>
    <w:basedOn w:val="Normal"/>
    <w:rsid w:val="00B25D68"/>
    <w:pPr>
      <w:numPr>
        <w:ilvl w:val="3"/>
        <w:numId w:val="5"/>
      </w:numPr>
      <w:spacing w:before="240" w:after="0"/>
      <w:jc w:val="left"/>
    </w:pPr>
    <w:rPr>
      <w:szCs w:val="22"/>
    </w:rPr>
  </w:style>
  <w:style w:type="paragraph" w:styleId="PlainText">
    <w:name w:val="Plain Text"/>
    <w:basedOn w:val="Normal"/>
    <w:rsid w:val="00B25D68"/>
    <w:pPr>
      <w:numPr>
        <w:ilvl w:val="4"/>
        <w:numId w:val="5"/>
      </w:numPr>
      <w:spacing w:before="240" w:after="0"/>
      <w:jc w:val="left"/>
    </w:pPr>
    <w:rPr>
      <w:rFonts w:ascii="Courier New" w:hAnsi="Courier New" w:cs="Courier New"/>
      <w:sz w:val="20"/>
    </w:rPr>
  </w:style>
  <w:style w:type="paragraph" w:customStyle="1" w:styleId="LevelA0">
    <w:name w:val="Level(A)"/>
    <w:basedOn w:val="Normal"/>
    <w:rsid w:val="00B25D68"/>
    <w:pPr>
      <w:numPr>
        <w:ilvl w:val="5"/>
        <w:numId w:val="5"/>
      </w:numPr>
      <w:spacing w:before="240" w:after="0"/>
      <w:jc w:val="left"/>
    </w:pPr>
    <w:rPr>
      <w:szCs w:val="22"/>
    </w:rPr>
  </w:style>
  <w:style w:type="character" w:customStyle="1" w:styleId="CONLevel11Char">
    <w:name w:val=".CON  Level   1.1 Char"/>
    <w:basedOn w:val="DefaultParagraphFont"/>
    <w:link w:val="CONLevel11"/>
    <w:rsid w:val="00B25D68"/>
    <w:rPr>
      <w:sz w:val="24"/>
      <w:szCs w:val="22"/>
      <w:lang w:eastAsia="en-US"/>
    </w:rPr>
  </w:style>
  <w:style w:type="table" w:customStyle="1" w:styleId="Tablewithnoheader">
    <w:name w:val="Table with no header"/>
    <w:basedOn w:val="TableNormal"/>
    <w:rsid w:val="00B25D68"/>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tblStylePr w:type="firstRow">
      <w:rPr>
        <w:sz w:val="20"/>
      </w:rPr>
    </w:tblStylePr>
  </w:style>
  <w:style w:type="character" w:customStyle="1" w:styleId="List-bullet-1Char">
    <w:name w:val="List-bullet-1 Char"/>
    <w:basedOn w:val="DefaultParagraphFont"/>
    <w:link w:val="List-bullet-1"/>
    <w:rsid w:val="00B25D68"/>
    <w:rPr>
      <w:rFonts w:ascii="Arial" w:hAnsi="Arial" w:cs="Arial"/>
      <w:szCs w:val="22"/>
      <w:lang w:eastAsia="en-US"/>
    </w:rPr>
  </w:style>
  <w:style w:type="paragraph" w:customStyle="1" w:styleId="Table-list-bullet">
    <w:name w:val="Table-list-bullet"/>
    <w:basedOn w:val="Normal"/>
    <w:rsid w:val="00B25D68"/>
    <w:pPr>
      <w:numPr>
        <w:numId w:val="7"/>
      </w:numPr>
      <w:spacing w:before="60" w:after="0"/>
      <w:jc w:val="left"/>
    </w:pPr>
    <w:rPr>
      <w:rFonts w:ascii="Arial" w:hAnsi="Arial"/>
      <w:sz w:val="20"/>
      <w:szCs w:val="24"/>
    </w:rPr>
  </w:style>
  <w:style w:type="paragraph" w:customStyle="1" w:styleId="List-bullet-2">
    <w:name w:val="List-bullet-2"/>
    <w:basedOn w:val="Normal"/>
    <w:link w:val="List-bullet-2Char"/>
    <w:rsid w:val="00B25D68"/>
    <w:pPr>
      <w:numPr>
        <w:numId w:val="8"/>
      </w:numPr>
      <w:spacing w:before="80" w:after="0"/>
      <w:jc w:val="left"/>
    </w:pPr>
    <w:rPr>
      <w:rFonts w:ascii="Arial" w:hAnsi="Arial" w:cs="Arial"/>
      <w:sz w:val="20"/>
      <w:szCs w:val="22"/>
      <w:lang w:val="en-US"/>
    </w:rPr>
  </w:style>
  <w:style w:type="character" w:customStyle="1" w:styleId="List-bullet-2Char">
    <w:name w:val="List-bullet-2 Char"/>
    <w:basedOn w:val="DefaultParagraphFont"/>
    <w:link w:val="List-bullet-2"/>
    <w:rsid w:val="00B25D68"/>
    <w:rPr>
      <w:rFonts w:ascii="Arial" w:hAnsi="Arial" w:cs="Arial"/>
      <w:szCs w:val="22"/>
      <w:lang w:val="en-US" w:eastAsia="en-US"/>
    </w:rPr>
  </w:style>
  <w:style w:type="character" w:customStyle="1" w:styleId="listletterCharChar">
    <w:name w:val="list letter Char Char"/>
    <w:aliases w:val="list letter Char Char1"/>
    <w:basedOn w:val="DefaultParagraphFont"/>
    <w:rsid w:val="00516A4C"/>
    <w:rPr>
      <w:sz w:val="24"/>
      <w:lang w:val="en-AU" w:eastAsia="en-US" w:bidi="ar-SA"/>
    </w:rPr>
  </w:style>
  <w:style w:type="paragraph" w:customStyle="1" w:styleId="List-outline-numbered">
    <w:name w:val="List-outline-numbered"/>
    <w:basedOn w:val="Normal"/>
    <w:rsid w:val="00196FEC"/>
    <w:pPr>
      <w:numPr>
        <w:numId w:val="9"/>
      </w:numPr>
      <w:spacing w:before="0" w:after="0"/>
      <w:jc w:val="left"/>
    </w:pPr>
    <w:rPr>
      <w:szCs w:val="24"/>
    </w:rPr>
  </w:style>
  <w:style w:type="paragraph" w:customStyle="1" w:styleId="Table-normal-text">
    <w:name w:val="Table-normal-text"/>
    <w:basedOn w:val="Normal"/>
    <w:rsid w:val="00E82545"/>
    <w:pPr>
      <w:spacing w:before="60" w:after="0"/>
      <w:jc w:val="left"/>
    </w:pPr>
    <w:rPr>
      <w:rFonts w:ascii="Arial" w:hAnsi="Arial"/>
      <w:sz w:val="20"/>
      <w:szCs w:val="24"/>
    </w:rPr>
  </w:style>
  <w:style w:type="table" w:customStyle="1" w:styleId="Tablewithheader">
    <w:name w:val="Table with header"/>
    <w:basedOn w:val="Tablewithnoheader"/>
    <w:rsid w:val="00E82545"/>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customStyle="1" w:styleId="List-number-2">
    <w:name w:val="List-number-2"/>
    <w:basedOn w:val="Normal"/>
    <w:rsid w:val="00825C34"/>
    <w:pPr>
      <w:numPr>
        <w:ilvl w:val="1"/>
        <w:numId w:val="10"/>
      </w:numPr>
      <w:spacing w:before="120" w:after="120"/>
      <w:jc w:val="left"/>
    </w:pPr>
    <w:rPr>
      <w:rFonts w:ascii="Arial" w:hAnsi="Arial"/>
      <w:sz w:val="20"/>
      <w:szCs w:val="24"/>
    </w:rPr>
  </w:style>
  <w:style w:type="paragraph" w:customStyle="1" w:styleId="List-number-1">
    <w:name w:val="List-number-1"/>
    <w:basedOn w:val="Normal"/>
    <w:link w:val="List-number-1Char"/>
    <w:rsid w:val="00825C34"/>
    <w:pPr>
      <w:numPr>
        <w:numId w:val="10"/>
      </w:numPr>
      <w:spacing w:before="120" w:after="120"/>
      <w:jc w:val="left"/>
    </w:pPr>
    <w:rPr>
      <w:rFonts w:ascii="Arial" w:hAnsi="Arial"/>
      <w:sz w:val="20"/>
      <w:szCs w:val="24"/>
    </w:rPr>
  </w:style>
  <w:style w:type="character" w:customStyle="1" w:styleId="FootnoteTextCharCharCharCharCharChar">
    <w:name w:val="Footnote Text Char Char Char Char Char Char"/>
    <w:basedOn w:val="DefaultParagraphFont"/>
    <w:rsid w:val="00C95327"/>
    <w:rPr>
      <w:szCs w:val="24"/>
      <w:lang w:val="en-AU" w:eastAsia="en-US" w:bidi="ar-SA"/>
    </w:rPr>
  </w:style>
  <w:style w:type="character" w:customStyle="1" w:styleId="ParagraphNo">
    <w:name w:val="Paragraph No"/>
    <w:basedOn w:val="DefaultParagraphFont"/>
    <w:rsid w:val="004F04FB"/>
    <w:rPr>
      <w:rFonts w:cs="Times New Roman"/>
      <w:color w:val="000080"/>
    </w:rPr>
  </w:style>
  <w:style w:type="paragraph" w:customStyle="1" w:styleId="HeadNote">
    <w:name w:val="Head Note"/>
    <w:basedOn w:val="Normal"/>
    <w:rsid w:val="00BA3995"/>
    <w:pPr>
      <w:keepNext/>
      <w:overflowPunct w:val="0"/>
      <w:autoSpaceDE w:val="0"/>
      <w:autoSpaceDN w:val="0"/>
      <w:adjustRightInd w:val="0"/>
      <w:spacing w:before="480" w:after="240"/>
      <w:textAlignment w:val="baseline"/>
    </w:pPr>
    <w:rPr>
      <w:rFonts w:ascii="NewCenturySchlbk" w:eastAsia="Calibri" w:hAnsi="NewCenturySchlbk" w:cs="NewCenturySchlbk"/>
      <w:b/>
      <w:bCs/>
      <w:sz w:val="26"/>
      <w:szCs w:val="26"/>
    </w:rPr>
  </w:style>
  <w:style w:type="paragraph" w:customStyle="1" w:styleId="QualifyingText">
    <w:name w:val="Qualifying Text"/>
    <w:basedOn w:val="Normal"/>
    <w:rsid w:val="00BA3995"/>
    <w:pPr>
      <w:tabs>
        <w:tab w:val="left" w:pos="720"/>
        <w:tab w:val="left" w:pos="1166"/>
      </w:tabs>
      <w:overflowPunct w:val="0"/>
      <w:autoSpaceDE w:val="0"/>
      <w:autoSpaceDN w:val="0"/>
      <w:adjustRightInd w:val="0"/>
      <w:spacing w:before="0" w:after="240"/>
      <w:textAlignment w:val="baseline"/>
    </w:pPr>
    <w:rPr>
      <w:rFonts w:ascii="NewCenturySchlbk" w:eastAsia="Calibri" w:hAnsi="NewCenturySchlbk" w:cs="NewCenturySchlbk"/>
      <w:sz w:val="26"/>
      <w:szCs w:val="26"/>
    </w:rPr>
  </w:style>
  <w:style w:type="character" w:customStyle="1" w:styleId="SectionNo">
    <w:name w:val="Section No"/>
    <w:basedOn w:val="DefaultParagraphFont"/>
    <w:rsid w:val="00BA3995"/>
    <w:rPr>
      <w:rFonts w:cs="Times New Roman"/>
      <w:color w:val="000080"/>
    </w:rPr>
  </w:style>
  <w:style w:type="character" w:customStyle="1" w:styleId="SubSectionNo">
    <w:name w:val="Sub Section No"/>
    <w:basedOn w:val="DefaultParagraphFont"/>
    <w:rsid w:val="00BA3995"/>
    <w:rPr>
      <w:rFonts w:cs="Times New Roman"/>
      <w:b/>
      <w:bCs/>
      <w:color w:val="000080"/>
    </w:rPr>
  </w:style>
  <w:style w:type="paragraph" w:customStyle="1" w:styleId="SubSection">
    <w:name w:val="Sub Section"/>
    <w:basedOn w:val="Normal"/>
    <w:rsid w:val="00BA3995"/>
    <w:pPr>
      <w:tabs>
        <w:tab w:val="left" w:pos="1170"/>
      </w:tabs>
      <w:overflowPunct w:val="0"/>
      <w:autoSpaceDE w:val="0"/>
      <w:autoSpaceDN w:val="0"/>
      <w:adjustRightInd w:val="0"/>
      <w:spacing w:before="0" w:after="240"/>
      <w:ind w:firstLine="720"/>
      <w:textAlignment w:val="baseline"/>
    </w:pPr>
    <w:rPr>
      <w:rFonts w:ascii="NewCenturySchlbk" w:eastAsia="Calibri" w:hAnsi="NewCenturySchlbk" w:cs="NewCenturySchlbk"/>
      <w:sz w:val="26"/>
      <w:szCs w:val="26"/>
    </w:rPr>
  </w:style>
  <w:style w:type="character" w:customStyle="1" w:styleId="List-number-1Char">
    <w:name w:val="List-number-1 Char"/>
    <w:link w:val="List-number-1"/>
    <w:rsid w:val="00C32777"/>
    <w:rPr>
      <w:rFonts w:ascii="Arial" w:hAnsi="Arial"/>
      <w:szCs w:val="24"/>
      <w:lang w:eastAsia="en-US"/>
    </w:rPr>
  </w:style>
  <w:style w:type="character" w:customStyle="1" w:styleId="Heading2Char">
    <w:name w:val="Heading 2 Char"/>
    <w:aliases w:val="D&amp;M Heading 2 Char"/>
    <w:basedOn w:val="DefaultParagraphFont"/>
    <w:link w:val="Heading2"/>
    <w:rsid w:val="007F548D"/>
    <w:rPr>
      <w:rFonts w:ascii="Arial" w:hAnsi="Arial"/>
      <w:b/>
      <w:sz w:val="28"/>
      <w:lang w:eastAsia="en-US"/>
    </w:rPr>
  </w:style>
  <w:style w:type="paragraph" w:styleId="ListParagraph">
    <w:name w:val="List Paragraph"/>
    <w:basedOn w:val="Normal"/>
    <w:link w:val="ListParagraphChar"/>
    <w:uiPriority w:val="99"/>
    <w:qFormat/>
    <w:rsid w:val="00C32FF0"/>
    <w:pPr>
      <w:ind w:left="720"/>
      <w:contextualSpacing/>
    </w:pPr>
  </w:style>
  <w:style w:type="paragraph" w:styleId="NormalWeb">
    <w:name w:val="Normal (Web)"/>
    <w:basedOn w:val="Normal"/>
    <w:uiPriority w:val="99"/>
    <w:unhideWhenUsed/>
    <w:rsid w:val="00912E6C"/>
    <w:pPr>
      <w:spacing w:before="100" w:beforeAutospacing="1" w:after="100" w:afterAutospacing="1"/>
      <w:jc w:val="left"/>
    </w:pPr>
    <w:rPr>
      <w:szCs w:val="24"/>
      <w:lang w:eastAsia="en-AU"/>
    </w:rPr>
  </w:style>
  <w:style w:type="paragraph" w:styleId="TOCHeading0">
    <w:name w:val="TOC Heading"/>
    <w:basedOn w:val="Heading1"/>
    <w:next w:val="Normal"/>
    <w:uiPriority w:val="39"/>
    <w:unhideWhenUsed/>
    <w:qFormat/>
    <w:rsid w:val="009E3624"/>
    <w:pPr>
      <w:keepLines/>
      <w:pageBreakBefore w:val="0"/>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table" w:customStyle="1" w:styleId="TableGrid1">
    <w:name w:val="Table Grid1"/>
    <w:basedOn w:val="TableNormal"/>
    <w:next w:val="TableGrid"/>
    <w:uiPriority w:val="39"/>
    <w:rsid w:val="0007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B2DE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odyTextChar">
    <w:name w:val="Body Text Char"/>
    <w:aliases w:val="(Alt+1) Char,BodyText Char,body Char,text Char,Body Char,bt Char"/>
    <w:basedOn w:val="DefaultParagraphFont"/>
    <w:link w:val="BodyText"/>
    <w:rsid w:val="000A51FF"/>
    <w:rPr>
      <w:sz w:val="24"/>
      <w:lang w:eastAsia="en-US"/>
    </w:rPr>
  </w:style>
  <w:style w:type="character" w:customStyle="1" w:styleId="BodyTextIndent2Char">
    <w:name w:val="Body Text Indent 2 Char"/>
    <w:basedOn w:val="DefaultParagraphFont"/>
    <w:link w:val="BodyTextIndent2"/>
    <w:rsid w:val="002F434E"/>
    <w:rPr>
      <w:rFonts w:ascii="Arial" w:hAnsi="Arial"/>
      <w:b/>
      <w:sz w:val="44"/>
      <w:lang w:eastAsia="en-US"/>
    </w:rPr>
  </w:style>
  <w:style w:type="paragraph" w:customStyle="1" w:styleId="Indent2">
    <w:name w:val="Indent 2"/>
    <w:basedOn w:val="Normal"/>
    <w:link w:val="Indent2Char"/>
    <w:rsid w:val="00C335DB"/>
    <w:pPr>
      <w:spacing w:before="0" w:after="240" w:line="276" w:lineRule="auto"/>
      <w:ind w:left="737"/>
      <w:jc w:val="left"/>
    </w:pPr>
    <w:rPr>
      <w:rFonts w:asciiTheme="minorHAnsi" w:eastAsiaTheme="minorEastAsia" w:hAnsiTheme="minorHAnsi" w:cstheme="minorBidi"/>
      <w:sz w:val="22"/>
      <w:szCs w:val="22"/>
      <w:lang w:eastAsia="en-AU"/>
    </w:rPr>
  </w:style>
  <w:style w:type="character" w:customStyle="1" w:styleId="Indent2Char">
    <w:name w:val="Indent 2 Char"/>
    <w:basedOn w:val="DefaultParagraphFont"/>
    <w:link w:val="Indent2"/>
    <w:locked/>
    <w:rsid w:val="00C335DB"/>
    <w:rPr>
      <w:rFonts w:asciiTheme="minorHAnsi" w:eastAsiaTheme="minorEastAsia" w:hAnsiTheme="minorHAnsi" w:cstheme="minorBidi"/>
      <w:sz w:val="22"/>
      <w:szCs w:val="22"/>
    </w:rPr>
  </w:style>
  <w:style w:type="character" w:customStyle="1" w:styleId="ListParagraphChar">
    <w:name w:val="List Paragraph Char"/>
    <w:basedOn w:val="DefaultParagraphFont"/>
    <w:link w:val="ListParagraph"/>
    <w:uiPriority w:val="99"/>
    <w:locked/>
    <w:rsid w:val="00C335DB"/>
    <w:rPr>
      <w:sz w:val="24"/>
      <w:lang w:eastAsia="en-US"/>
    </w:rPr>
  </w:style>
  <w:style w:type="paragraph" w:customStyle="1" w:styleId="CONLevel11textonly">
    <w:name w:val=".CON Level   1.1 (text only)"/>
    <w:basedOn w:val="Normal"/>
    <w:uiPriority w:val="99"/>
    <w:rsid w:val="00C335DB"/>
    <w:pPr>
      <w:spacing w:before="240" w:after="0"/>
      <w:ind w:left="720"/>
      <w:jc w:val="left"/>
    </w:pPr>
    <w:rPr>
      <w:szCs w:val="22"/>
    </w:rPr>
  </w:style>
  <w:style w:type="paragraph" w:customStyle="1" w:styleId="body2">
    <w:name w:val="body2"/>
    <w:basedOn w:val="Normal"/>
    <w:rsid w:val="00C335DB"/>
    <w:pPr>
      <w:autoSpaceDE w:val="0"/>
      <w:autoSpaceDN w:val="0"/>
      <w:adjustRightInd w:val="0"/>
      <w:spacing w:before="0" w:after="220"/>
      <w:ind w:left="850"/>
      <w:jc w:val="left"/>
    </w:pPr>
    <w:rPr>
      <w:rFonts w:ascii="Arial" w:hAnsi="Arial" w:cs="Arial"/>
      <w:sz w:val="22"/>
      <w:szCs w:val="22"/>
      <w:lang w:val="en-US" w:eastAsia="en-AU"/>
    </w:rPr>
  </w:style>
  <w:style w:type="character" w:customStyle="1" w:styleId="FooterChar">
    <w:name w:val="Footer Char"/>
    <w:basedOn w:val="DefaultParagraphFont"/>
    <w:link w:val="Footer"/>
    <w:uiPriority w:val="99"/>
    <w:rsid w:val="00C335DB"/>
    <w:rPr>
      <w:sz w:val="24"/>
      <w:lang w:eastAsia="en-US"/>
    </w:rPr>
  </w:style>
  <w:style w:type="paragraph" w:customStyle="1" w:styleId="CharChar9">
    <w:name w:val="Char Char9"/>
    <w:basedOn w:val="Normal"/>
    <w:rsid w:val="00C335DB"/>
    <w:pPr>
      <w:tabs>
        <w:tab w:val="num" w:pos="720"/>
      </w:tabs>
      <w:spacing w:before="240" w:after="0"/>
      <w:ind w:left="720" w:hanging="720"/>
      <w:jc w:val="left"/>
    </w:pPr>
    <w:rPr>
      <w:szCs w:val="22"/>
    </w:rPr>
  </w:style>
  <w:style w:type="character" w:customStyle="1" w:styleId="HeaderChar">
    <w:name w:val="Header Char"/>
    <w:basedOn w:val="DefaultParagraphFont"/>
    <w:link w:val="Header"/>
    <w:uiPriority w:val="99"/>
    <w:rsid w:val="00F924CF"/>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BDD"/>
    <w:pPr>
      <w:spacing w:before="40" w:after="40"/>
      <w:jc w:val="both"/>
    </w:pPr>
    <w:rPr>
      <w:sz w:val="24"/>
      <w:lang w:eastAsia="en-US"/>
    </w:rPr>
  </w:style>
  <w:style w:type="paragraph" w:styleId="Heading1">
    <w:name w:val="heading 1"/>
    <w:basedOn w:val="Normal"/>
    <w:next w:val="Normal"/>
    <w:qFormat/>
    <w:pPr>
      <w:keepNext/>
      <w:pageBreakBefore/>
      <w:numPr>
        <w:numId w:val="91"/>
      </w:numPr>
      <w:spacing w:before="240" w:after="240"/>
      <w:jc w:val="left"/>
      <w:outlineLvl w:val="0"/>
    </w:pPr>
    <w:rPr>
      <w:rFonts w:ascii="Arial" w:hAnsi="Arial"/>
      <w:b/>
      <w:sz w:val="36"/>
    </w:rPr>
  </w:style>
  <w:style w:type="paragraph" w:styleId="Heading2">
    <w:name w:val="heading 2"/>
    <w:aliases w:val="D&amp;M Heading 2"/>
    <w:basedOn w:val="Normal"/>
    <w:next w:val="Normal"/>
    <w:link w:val="Heading2Char"/>
    <w:qFormat/>
    <w:pPr>
      <w:keepNext/>
      <w:numPr>
        <w:ilvl w:val="1"/>
        <w:numId w:val="91"/>
      </w:numPr>
      <w:tabs>
        <w:tab w:val="left" w:pos="709"/>
      </w:tabs>
      <w:spacing w:before="120" w:after="60"/>
      <w:jc w:val="left"/>
      <w:outlineLvl w:val="1"/>
    </w:pPr>
    <w:rPr>
      <w:rFonts w:ascii="Arial" w:hAnsi="Arial"/>
      <w:b/>
      <w:sz w:val="28"/>
    </w:rPr>
  </w:style>
  <w:style w:type="paragraph" w:styleId="Heading3">
    <w:name w:val="heading 3"/>
    <w:basedOn w:val="Normal"/>
    <w:next w:val="Normal"/>
    <w:link w:val="Heading3Char"/>
    <w:qFormat/>
    <w:pPr>
      <w:keepNext/>
      <w:numPr>
        <w:ilvl w:val="2"/>
        <w:numId w:val="91"/>
      </w:numPr>
      <w:spacing w:before="120" w:after="60"/>
      <w:jc w:val="left"/>
      <w:outlineLvl w:val="2"/>
    </w:pPr>
    <w:rPr>
      <w:rFonts w:ascii="Arial" w:hAnsi="Arial"/>
      <w:b/>
    </w:rPr>
  </w:style>
  <w:style w:type="paragraph" w:styleId="Heading4">
    <w:name w:val="heading 4"/>
    <w:basedOn w:val="Normal"/>
    <w:next w:val="Normal"/>
    <w:autoRedefine/>
    <w:qFormat/>
    <w:pPr>
      <w:keepNext/>
      <w:numPr>
        <w:ilvl w:val="3"/>
        <w:numId w:val="91"/>
      </w:numPr>
      <w:spacing w:after="120"/>
      <w:jc w:val="left"/>
      <w:outlineLvl w:val="3"/>
    </w:pPr>
    <w:rPr>
      <w:b/>
    </w:rPr>
  </w:style>
  <w:style w:type="paragraph" w:styleId="Heading5">
    <w:name w:val="heading 5"/>
    <w:basedOn w:val="Normal"/>
    <w:next w:val="Normal"/>
    <w:qFormat/>
    <w:pPr>
      <w:keepNext/>
      <w:numPr>
        <w:ilvl w:val="4"/>
        <w:numId w:val="91"/>
      </w:numPr>
      <w:spacing w:after="240"/>
      <w:jc w:val="left"/>
      <w:outlineLvl w:val="4"/>
    </w:pPr>
    <w:rPr>
      <w:b/>
    </w:rPr>
  </w:style>
  <w:style w:type="paragraph" w:styleId="Heading6">
    <w:name w:val="heading 6"/>
    <w:basedOn w:val="Normal"/>
    <w:next w:val="Normal"/>
    <w:qFormat/>
    <w:pPr>
      <w:keepNext/>
      <w:numPr>
        <w:ilvl w:val="5"/>
        <w:numId w:val="91"/>
      </w:numPr>
      <w:spacing w:after="240"/>
      <w:jc w:val="left"/>
      <w:outlineLvl w:val="5"/>
    </w:pPr>
    <w:rPr>
      <w:b/>
    </w:rPr>
  </w:style>
  <w:style w:type="paragraph" w:styleId="Heading7">
    <w:name w:val="heading 7"/>
    <w:basedOn w:val="Normal"/>
    <w:next w:val="Normal"/>
    <w:qFormat/>
    <w:pPr>
      <w:keepNext/>
      <w:numPr>
        <w:ilvl w:val="6"/>
        <w:numId w:val="91"/>
      </w:numPr>
      <w:spacing w:after="240"/>
      <w:jc w:val="left"/>
      <w:outlineLvl w:val="6"/>
    </w:pPr>
    <w:rPr>
      <w:b/>
    </w:rPr>
  </w:style>
  <w:style w:type="paragraph" w:styleId="Heading8">
    <w:name w:val="heading 8"/>
    <w:basedOn w:val="Normal"/>
    <w:next w:val="Normal"/>
    <w:qFormat/>
    <w:pPr>
      <w:keepNext/>
      <w:numPr>
        <w:ilvl w:val="7"/>
        <w:numId w:val="91"/>
      </w:numPr>
      <w:spacing w:after="240"/>
      <w:jc w:val="left"/>
      <w:outlineLvl w:val="7"/>
    </w:pPr>
    <w:rPr>
      <w:b/>
    </w:rPr>
  </w:style>
  <w:style w:type="paragraph" w:styleId="Heading9">
    <w:name w:val="heading 9"/>
    <w:basedOn w:val="Normal"/>
    <w:next w:val="Normal"/>
    <w:qFormat/>
    <w:pPr>
      <w:keepNext/>
      <w:numPr>
        <w:ilvl w:val="8"/>
        <w:numId w:val="91"/>
      </w:numPr>
      <w:spacing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F12C6E"/>
    <w:pPr>
      <w:tabs>
        <w:tab w:val="right" w:pos="9072"/>
      </w:tabs>
      <w:spacing w:before="240" w:after="60"/>
      <w:ind w:left="432" w:hanging="432"/>
      <w:jc w:val="left"/>
    </w:pPr>
    <w:rPr>
      <w:rFonts w:ascii="Arial" w:hAnsi="Arial"/>
      <w:b/>
      <w:noProof/>
    </w:rPr>
  </w:style>
  <w:style w:type="paragraph" w:styleId="TOC2">
    <w:name w:val="toc 2"/>
    <w:basedOn w:val="Normal"/>
    <w:next w:val="Normal"/>
    <w:uiPriority w:val="39"/>
    <w:rsid w:val="00F12C6E"/>
    <w:pPr>
      <w:tabs>
        <w:tab w:val="left" w:pos="992"/>
        <w:tab w:val="right" w:leader="dot" w:pos="9072"/>
      </w:tabs>
      <w:ind w:left="992" w:hanging="561"/>
      <w:jc w:val="left"/>
    </w:pPr>
    <w:rPr>
      <w:rFonts w:ascii="Arial" w:hAnsi="Arial"/>
      <w:noProof/>
    </w:rPr>
  </w:style>
  <w:style w:type="paragraph" w:styleId="TOC3">
    <w:name w:val="toc 3"/>
    <w:basedOn w:val="Normal"/>
    <w:next w:val="Normal"/>
    <w:semiHidden/>
    <w:pPr>
      <w:tabs>
        <w:tab w:val="right" w:leader="dot" w:pos="8647"/>
      </w:tabs>
      <w:ind w:left="1440" w:hanging="576"/>
      <w:jc w:val="left"/>
    </w:pPr>
    <w:rPr>
      <w:rFonts w:ascii="Arial" w:hAnsi="Arial"/>
    </w:rPr>
  </w:style>
  <w:style w:type="character" w:styleId="PageNumber">
    <w:name w:val="page number"/>
    <w:basedOn w:val="DefaultParagraphFont"/>
  </w:style>
  <w:style w:type="paragraph" w:styleId="TOC4">
    <w:name w:val="toc 4"/>
    <w:basedOn w:val="Normal"/>
    <w:next w:val="Normal"/>
    <w:semiHidden/>
    <w:pPr>
      <w:tabs>
        <w:tab w:val="right" w:leader="dot" w:pos="9029"/>
      </w:tabs>
      <w:ind w:left="1728" w:hanging="432"/>
      <w:jc w:val="left"/>
    </w:pPr>
  </w:style>
  <w:style w:type="paragraph" w:styleId="TableofFigures">
    <w:name w:val="table of figures"/>
    <w:basedOn w:val="TOC1"/>
    <w:next w:val="Normal"/>
    <w:uiPriority w:val="99"/>
    <w:rsid w:val="00F12C6E"/>
    <w:pPr>
      <w:tabs>
        <w:tab w:val="right" w:leader="dot" w:pos="9072"/>
      </w:tabs>
      <w:ind w:left="1440" w:hanging="1440"/>
    </w:pPr>
    <w:rPr>
      <w:b w:val="0"/>
    </w:rPr>
  </w:style>
  <w:style w:type="paragraph" w:styleId="ListBullet">
    <w:name w:val="List Bullet"/>
    <w:aliases w:val="List Bullet Char1,List Bullet Char Char,List Bullet Char2 Char Char,List Bullet Char Char1 Char Char,list letter Char Char Char1 Char Char,list letter Char1 Char1 Char Char,List Bullet Char Char Char Char Char,list letter Char,list letter"/>
    <w:basedOn w:val="Normal"/>
    <w:next w:val="Normal"/>
    <w:link w:val="ListBulletChar"/>
    <w:pPr>
      <w:numPr>
        <w:numId w:val="1"/>
      </w:numPr>
    </w:pPr>
  </w:style>
  <w:style w:type="paragraph" w:styleId="ListBullet2">
    <w:name w:val="List Bullet 2"/>
    <w:basedOn w:val="Normal"/>
    <w:next w:val="Normal"/>
    <w:autoRedefine/>
    <w:pPr>
      <w:numPr>
        <w:numId w:val="2"/>
      </w:numPr>
      <w:spacing w:after="80"/>
    </w:pPr>
  </w:style>
  <w:style w:type="character" w:styleId="EndnoteReference">
    <w:name w:val="endnote reference"/>
    <w:basedOn w:val="DefaultParagraphFont"/>
    <w:semiHidden/>
    <w:rPr>
      <w:vertAlign w:val="superscript"/>
    </w:rPr>
  </w:style>
  <w:style w:type="paragraph" w:customStyle="1" w:styleId="Title-FIGURE">
    <w:name w:val="Title - FIGURE"/>
    <w:basedOn w:val="Normal"/>
    <w:next w:val="Normal"/>
    <w:pPr>
      <w:keepNext/>
      <w:spacing w:after="240"/>
      <w:jc w:val="left"/>
    </w:pPr>
    <w:rPr>
      <w:b/>
    </w:rPr>
  </w:style>
  <w:style w:type="paragraph" w:styleId="Header">
    <w:name w:val="header"/>
    <w:basedOn w:val="Normal"/>
    <w:link w:val="HeaderChar"/>
    <w:uiPriority w:val="99"/>
    <w:pPr>
      <w:tabs>
        <w:tab w:val="right" w:pos="9029"/>
      </w:tabs>
    </w:pPr>
  </w:style>
  <w:style w:type="paragraph" w:styleId="Footer">
    <w:name w:val="footer"/>
    <w:basedOn w:val="Normal"/>
    <w:link w:val="FooterChar"/>
    <w:uiPriority w:val="99"/>
    <w:pPr>
      <w:tabs>
        <w:tab w:val="left" w:pos="576"/>
        <w:tab w:val="right" w:pos="9029"/>
      </w:tabs>
    </w:pPr>
  </w:style>
  <w:style w:type="character" w:styleId="FootnoteReference">
    <w:name w:val="footnote reference"/>
    <w:aliases w:val="ftref"/>
    <w:basedOn w:val="DefaultParagraphFont"/>
    <w:semiHidden/>
    <w:rPr>
      <w:vertAlign w:val="superscript"/>
    </w:rPr>
  </w:style>
  <w:style w:type="paragraph" w:styleId="FootnoteText">
    <w:name w:val="footnote text"/>
    <w:aliases w:val="Footnote Text Char, Char Char, Char,ft,single space,footnote text,fn,Footnote Text Char Char Char Char"/>
    <w:basedOn w:val="Normal"/>
    <w:link w:val="FootnoteTextChar1"/>
    <w:semiHidden/>
    <w:pPr>
      <w:spacing w:after="120"/>
      <w:ind w:left="720" w:hanging="720"/>
    </w:pPr>
    <w:rPr>
      <w:sz w:val="20"/>
    </w:rPr>
  </w:style>
  <w:style w:type="paragraph" w:styleId="BodyText2">
    <w:name w:val="Body Text 2"/>
    <w:basedOn w:val="Normal"/>
    <w:pPr>
      <w:jc w:val="center"/>
    </w:pPr>
    <w:rPr>
      <w:rFonts w:ascii="Tahoma" w:hAnsi="Tahoma"/>
      <w:b/>
      <w:i/>
      <w:vanish/>
      <w:color w:val="FF0000"/>
    </w:rPr>
  </w:style>
  <w:style w:type="paragraph" w:styleId="Title">
    <w:name w:val="Title"/>
    <w:basedOn w:val="Normal"/>
    <w:qFormat/>
    <w:pPr>
      <w:spacing w:before="0" w:after="0"/>
      <w:jc w:val="center"/>
    </w:pPr>
    <w:rPr>
      <w:b/>
      <w:color w:val="000080"/>
      <w:lang w:val="en-US"/>
    </w:rPr>
  </w:style>
  <w:style w:type="paragraph" w:styleId="BodyTextIndent">
    <w:name w:val="Body Text Indent"/>
    <w:basedOn w:val="Normal"/>
    <w:pPr>
      <w:spacing w:before="0" w:after="0"/>
      <w:ind w:left="720"/>
    </w:pPr>
    <w:rPr>
      <w:color w:val="FF00FF"/>
      <w:lang w:val="en-US"/>
    </w:rPr>
  </w:style>
  <w:style w:type="paragraph" w:styleId="BodyTextIndent2">
    <w:name w:val="Body Text Indent 2"/>
    <w:basedOn w:val="Normal"/>
    <w:link w:val="BodyTextIndent2Char"/>
    <w:pPr>
      <w:ind w:left="3828"/>
      <w:jc w:val="right"/>
    </w:pPr>
    <w:rPr>
      <w:rFonts w:ascii="Arial" w:hAnsi="Arial"/>
      <w:b/>
      <w:sz w:val="44"/>
    </w:rPr>
  </w:style>
  <w:style w:type="paragraph" w:styleId="Caption">
    <w:name w:val="caption"/>
    <w:basedOn w:val="Normal"/>
    <w:next w:val="Normal"/>
    <w:qFormat/>
    <w:pPr>
      <w:spacing w:before="120" w:after="120"/>
      <w:jc w:val="left"/>
    </w:pPr>
    <w:rPr>
      <w:rFonts w:ascii="Arial" w:hAnsi="Arial"/>
      <w:b/>
    </w:rPr>
  </w:style>
  <w:style w:type="paragraph" w:customStyle="1" w:styleId="Title-TABLE">
    <w:name w:val="Title - TABLE"/>
    <w:basedOn w:val="Normal"/>
    <w:next w:val="Normal"/>
    <w:pPr>
      <w:keepNext/>
      <w:spacing w:after="240"/>
      <w:jc w:val="center"/>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aliases w:val="(Alt+1),BodyText,body,text,Body,bt"/>
    <w:basedOn w:val="Normal"/>
    <w:link w:val="BodyTextChar"/>
    <w:pPr>
      <w:spacing w:after="240"/>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pPr>
      <w:spacing w:line="300" w:lineRule="auto"/>
    </w:pPr>
    <w:rPr>
      <w:sz w:val="22"/>
      <w:lang w:val="en-US"/>
    </w:rPr>
  </w:style>
  <w:style w:type="character" w:styleId="Hyperlink">
    <w:name w:val="Hyperlink"/>
    <w:basedOn w:val="DefaultParagraphFont"/>
    <w:uiPriority w:val="99"/>
    <w:rPr>
      <w:color w:val="0000FF"/>
      <w:u w:val="single"/>
    </w:rPr>
  </w:style>
  <w:style w:type="paragraph" w:customStyle="1" w:styleId="CoverMasthead">
    <w:name w:val="Cover Masthead"/>
    <w:basedOn w:val="BodyText"/>
    <w:pPr>
      <w:spacing w:before="100" w:after="100"/>
      <w:jc w:val="left"/>
    </w:pPr>
    <w:rPr>
      <w:rFonts w:ascii="Arial Black" w:hAnsi="Arial Black"/>
      <w:caps/>
      <w:spacing w:val="80"/>
      <w:sz w:val="28"/>
    </w:rPr>
  </w:style>
  <w:style w:type="paragraph" w:customStyle="1" w:styleId="CoverTitle">
    <w:name w:val="Cover Title"/>
    <w:basedOn w:val="BodyText"/>
    <w:pPr>
      <w:spacing w:before="100" w:after="0"/>
      <w:jc w:val="left"/>
    </w:pPr>
    <w:rPr>
      <w:rFonts w:ascii="Arial" w:hAnsi="Arial"/>
      <w:sz w:val="36"/>
    </w:rPr>
  </w:style>
  <w:style w:type="paragraph" w:customStyle="1" w:styleId="CoverCompany">
    <w:name w:val="Cover Company"/>
    <w:basedOn w:val="BodyText"/>
    <w:pPr>
      <w:spacing w:before="100" w:after="100"/>
      <w:jc w:val="left"/>
    </w:pPr>
    <w:rPr>
      <w:rFonts w:ascii="Arial" w:hAnsi="Arial"/>
      <w:b/>
      <w:sz w:val="28"/>
    </w:rPr>
  </w:style>
  <w:style w:type="paragraph" w:customStyle="1" w:styleId="CoverAddress">
    <w:name w:val="Cover Address"/>
    <w:basedOn w:val="BodyText"/>
    <w:pPr>
      <w:spacing w:before="0" w:after="0"/>
      <w:jc w:val="left"/>
    </w:pPr>
    <w:rPr>
      <w:rFonts w:ascii="Arial" w:hAnsi="Arial"/>
      <w:sz w:val="18"/>
    </w:rPr>
  </w:style>
  <w:style w:type="paragraph" w:customStyle="1" w:styleId="CoverDoc">
    <w:name w:val="Cover Doc"/>
    <w:basedOn w:val="BodyText"/>
    <w:pPr>
      <w:spacing w:before="100" w:after="100"/>
      <w:jc w:val="left"/>
    </w:pPr>
    <w:rPr>
      <w:rFonts w:ascii="Arial" w:hAnsi="Arial"/>
      <w:caps/>
      <w:sz w:val="18"/>
    </w:rPr>
  </w:style>
  <w:style w:type="paragraph" w:customStyle="1" w:styleId="KLNormal">
    <w:name w:val="KL Normal"/>
    <w:basedOn w:val="Normal"/>
  </w:style>
  <w:style w:type="paragraph" w:customStyle="1" w:styleId="TOCHeading">
    <w:name w:val="TOCHeading"/>
    <w:basedOn w:val="Normal"/>
    <w:pPr>
      <w:spacing w:before="0" w:after="0" w:line="288" w:lineRule="auto"/>
      <w:jc w:val="left"/>
    </w:pPr>
    <w:rPr>
      <w:rFonts w:ascii="Arial Black" w:hAnsi="Arial Black"/>
      <w:sz w:val="32"/>
      <w:szCs w:val="24"/>
    </w:rPr>
  </w:style>
  <w:style w:type="paragraph" w:customStyle="1" w:styleId="Tabletext">
    <w:name w:val="Table text"/>
    <w:basedOn w:val="BodyText"/>
    <w:pPr>
      <w:keepNext/>
      <w:spacing w:before="0" w:after="0"/>
      <w:jc w:val="left"/>
    </w:pPr>
    <w:rPr>
      <w:sz w:val="20"/>
      <w:lang w:val="en-GB"/>
    </w:rPr>
  </w:style>
  <w:style w:type="paragraph" w:styleId="BodyText3">
    <w:name w:val="Body Text 3"/>
    <w:basedOn w:val="Normal"/>
    <w:pPr>
      <w:spacing w:before="240"/>
    </w:pPr>
    <w:rPr>
      <w:color w:val="000000"/>
      <w:sz w:val="18"/>
    </w:rPr>
  </w:style>
  <w:style w:type="paragraph" w:customStyle="1" w:styleId="CharCharCharCharCharCharCharCharCharCharCharCharCharCharCharCharChar">
    <w:name w:val="Char Char Char (文字) (文字) Char Char Char Char (文字) (文字) Char Char Char (文字) (文字) Char Char Char Char Char Char Char"/>
    <w:basedOn w:val="Normal"/>
    <w:rsid w:val="00676EBD"/>
    <w:pPr>
      <w:spacing w:before="0" w:after="160" w:line="240" w:lineRule="exact"/>
      <w:jc w:val="left"/>
    </w:pPr>
    <w:rPr>
      <w:rFonts w:ascii="Arial" w:hAnsi="Arial" w:cs="Arial"/>
      <w:sz w:val="20"/>
      <w:lang w:val="en-US"/>
    </w:rPr>
  </w:style>
  <w:style w:type="paragraph" w:styleId="NoSpacing">
    <w:name w:val="No Spacing"/>
    <w:qFormat/>
    <w:rsid w:val="00676EBD"/>
    <w:rPr>
      <w:rFonts w:ascii="Calibri" w:eastAsia="Calibri" w:hAnsi="Calibri"/>
      <w:sz w:val="22"/>
      <w:szCs w:val="22"/>
      <w:lang w:eastAsia="en-US"/>
    </w:rPr>
  </w:style>
  <w:style w:type="paragraph" w:customStyle="1" w:styleId="ListParagraph1">
    <w:name w:val="List Paragraph1"/>
    <w:aliases w:val="AusAID List Paragraph"/>
    <w:basedOn w:val="Normal"/>
    <w:qFormat/>
    <w:rsid w:val="00676EBD"/>
    <w:pPr>
      <w:spacing w:before="600" w:after="80"/>
      <w:ind w:left="720"/>
      <w:contextualSpacing/>
      <w:jc w:val="left"/>
    </w:pPr>
    <w:rPr>
      <w:rFonts w:ascii="Calibri" w:eastAsia="Calibri" w:hAnsi="Calibri"/>
      <w:sz w:val="22"/>
      <w:szCs w:val="22"/>
    </w:rPr>
  </w:style>
  <w:style w:type="character" w:customStyle="1" w:styleId="FootnoteTextChar1">
    <w:name w:val="Footnote Text Char1"/>
    <w:aliases w:val="Footnote Text Char Char, Char Char Char, Char Char1,ft Char,single space Char,footnote text Char,fn Char,Footnote Text Char Char Char Char Char"/>
    <w:basedOn w:val="DefaultParagraphFont"/>
    <w:link w:val="FootnoteText"/>
    <w:semiHidden/>
    <w:rsid w:val="00676EBD"/>
    <w:rPr>
      <w:lang w:val="en-AU" w:eastAsia="en-US" w:bidi="ar-SA"/>
    </w:rPr>
  </w:style>
  <w:style w:type="paragraph" w:customStyle="1" w:styleId="Bullet">
    <w:name w:val="Bullet"/>
    <w:basedOn w:val="Normal"/>
    <w:rsid w:val="00676EBD"/>
    <w:pPr>
      <w:numPr>
        <w:numId w:val="3"/>
      </w:numPr>
      <w:spacing w:before="0" w:after="240" w:line="320" w:lineRule="exact"/>
      <w:jc w:val="left"/>
    </w:pPr>
    <w:rPr>
      <w:rFonts w:ascii="Palatino" w:hAnsi="Palatino"/>
      <w:color w:val="000000"/>
      <w:sz w:val="22"/>
      <w:szCs w:val="22"/>
      <w:lang w:eastAsia="en-AU"/>
    </w:rPr>
  </w:style>
  <w:style w:type="paragraph" w:customStyle="1" w:styleId="Dash">
    <w:name w:val="Dash"/>
    <w:basedOn w:val="Normal"/>
    <w:rsid w:val="00676EBD"/>
    <w:pPr>
      <w:numPr>
        <w:ilvl w:val="1"/>
        <w:numId w:val="3"/>
      </w:numPr>
      <w:spacing w:before="0" w:after="240" w:line="320" w:lineRule="exact"/>
      <w:jc w:val="left"/>
    </w:pPr>
    <w:rPr>
      <w:rFonts w:ascii="Palatino" w:hAnsi="Palatino"/>
      <w:color w:val="000000"/>
      <w:sz w:val="22"/>
      <w:szCs w:val="22"/>
      <w:lang w:eastAsia="en-AU"/>
    </w:rPr>
  </w:style>
  <w:style w:type="paragraph" w:customStyle="1" w:styleId="DoubleDot">
    <w:name w:val="Double Dot"/>
    <w:basedOn w:val="Normal"/>
    <w:rsid w:val="00676EBD"/>
    <w:pPr>
      <w:numPr>
        <w:ilvl w:val="2"/>
        <w:numId w:val="3"/>
      </w:numPr>
      <w:spacing w:before="0" w:after="240" w:line="320" w:lineRule="exact"/>
      <w:jc w:val="left"/>
    </w:pPr>
    <w:rPr>
      <w:rFonts w:ascii="Palatino" w:hAnsi="Palatino"/>
      <w:color w:val="000000"/>
      <w:sz w:val="22"/>
      <w:szCs w:val="22"/>
      <w:lang w:eastAsia="en-AU"/>
    </w:rPr>
  </w:style>
  <w:style w:type="table" w:styleId="TableGrid">
    <w:name w:val="Table Grid"/>
    <w:aliases w:val="DPS Table Grid"/>
    <w:basedOn w:val="TableNormal"/>
    <w:rsid w:val="00150656"/>
    <w:pPr>
      <w:spacing w:before="40" w:after="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link w:val="List-bullet-1Char"/>
    <w:rsid w:val="00150656"/>
    <w:pPr>
      <w:numPr>
        <w:numId w:val="4"/>
      </w:numPr>
      <w:spacing w:before="120" w:after="0"/>
      <w:jc w:val="left"/>
    </w:pPr>
    <w:rPr>
      <w:rFonts w:ascii="Arial" w:hAnsi="Arial" w:cs="Arial"/>
      <w:sz w:val="20"/>
      <w:szCs w:val="22"/>
    </w:rPr>
  </w:style>
  <w:style w:type="character" w:customStyle="1" w:styleId="ListBulletChar">
    <w:name w:val="List Bullet Char"/>
    <w:aliases w:val="List Bullet Char1 Char,List Bullet Char Char Char,List Bullet Char2 Char Char Char,List Bullet Char Char1 Char Char Char,list letter Char Char Char1 Char Char Char,list letter Char1 Char1 Char Char Char,list letter Char Char2"/>
    <w:basedOn w:val="DefaultParagraphFont"/>
    <w:link w:val="ListBullet"/>
    <w:rsid w:val="001E5DAF"/>
    <w:rPr>
      <w:sz w:val="24"/>
      <w:lang w:eastAsia="en-US"/>
    </w:rPr>
  </w:style>
  <w:style w:type="character" w:customStyle="1" w:styleId="listletterChar2Char">
    <w:name w:val="list letter Char2 Char"/>
    <w:basedOn w:val="DefaultParagraphFont"/>
    <w:rsid w:val="00520324"/>
    <w:rPr>
      <w:sz w:val="24"/>
      <w:lang w:val="en-AU" w:eastAsia="en-US" w:bidi="ar-SA"/>
    </w:rPr>
  </w:style>
  <w:style w:type="paragraph" w:customStyle="1" w:styleId="Default">
    <w:name w:val="Default"/>
    <w:rsid w:val="00541D7F"/>
    <w:pPr>
      <w:autoSpaceDE w:val="0"/>
      <w:autoSpaceDN w:val="0"/>
      <w:adjustRightInd w:val="0"/>
    </w:pPr>
    <w:rPr>
      <w:color w:val="000000"/>
      <w:sz w:val="24"/>
      <w:szCs w:val="24"/>
      <w:lang w:val="en-GB" w:eastAsia="en-GB"/>
    </w:rPr>
  </w:style>
  <w:style w:type="character" w:customStyle="1" w:styleId="Heading3Char">
    <w:name w:val="Heading 3 Char"/>
    <w:basedOn w:val="DefaultParagraphFont"/>
    <w:link w:val="Heading3"/>
    <w:rsid w:val="008B22A1"/>
    <w:rPr>
      <w:rFonts w:ascii="Arial" w:hAnsi="Arial"/>
      <w:b/>
      <w:sz w:val="24"/>
      <w:lang w:eastAsia="en-US"/>
    </w:rPr>
  </w:style>
  <w:style w:type="character" w:customStyle="1" w:styleId="CharChar2">
    <w:name w:val="Char Char2"/>
    <w:basedOn w:val="DefaultParagraphFont"/>
    <w:semiHidden/>
    <w:rsid w:val="00D000B1"/>
    <w:rPr>
      <w:rFonts w:ascii="Calibri" w:eastAsia="Calibri" w:hAnsi="Calibri"/>
      <w:lang w:val="en-AU" w:eastAsia="en-US" w:bidi="ar-SA"/>
    </w:rPr>
  </w:style>
  <w:style w:type="character" w:styleId="CommentReference">
    <w:name w:val="annotation reference"/>
    <w:basedOn w:val="DefaultParagraphFont"/>
    <w:semiHidden/>
    <w:rsid w:val="00CE049E"/>
    <w:rPr>
      <w:sz w:val="16"/>
      <w:szCs w:val="16"/>
    </w:rPr>
  </w:style>
  <w:style w:type="paragraph" w:styleId="CommentText">
    <w:name w:val="annotation text"/>
    <w:basedOn w:val="Normal"/>
    <w:semiHidden/>
    <w:rsid w:val="00CE049E"/>
    <w:rPr>
      <w:sz w:val="20"/>
    </w:rPr>
  </w:style>
  <w:style w:type="paragraph" w:styleId="CommentSubject">
    <w:name w:val="annotation subject"/>
    <w:basedOn w:val="CommentText"/>
    <w:next w:val="CommentText"/>
    <w:semiHidden/>
    <w:rsid w:val="00CE049E"/>
    <w:rPr>
      <w:b/>
      <w:bCs/>
    </w:rPr>
  </w:style>
  <w:style w:type="paragraph" w:styleId="BalloonText">
    <w:name w:val="Balloon Text"/>
    <w:basedOn w:val="Normal"/>
    <w:semiHidden/>
    <w:rsid w:val="00CE049E"/>
    <w:rPr>
      <w:rFonts w:ascii="Tahoma" w:hAnsi="Tahoma" w:cs="Tahoma"/>
      <w:sz w:val="16"/>
      <w:szCs w:val="16"/>
    </w:rPr>
  </w:style>
  <w:style w:type="character" w:customStyle="1" w:styleId="CharChar10">
    <w:name w:val="Char Char10"/>
    <w:basedOn w:val="DefaultParagraphFont"/>
    <w:rsid w:val="00A54CF1"/>
    <w:rPr>
      <w:rFonts w:ascii="Arial" w:eastAsia="Times New Roman" w:hAnsi="Arial" w:cs="Times New Roman"/>
      <w:b/>
      <w:sz w:val="24"/>
      <w:szCs w:val="20"/>
      <w:lang w:val="en-AU"/>
    </w:rPr>
  </w:style>
  <w:style w:type="paragraph" w:customStyle="1" w:styleId="CharCharCharCharCharCharCharCharCharChar">
    <w:name w:val="Char Char Char (文字) (文字) Char Char Char Char (文字) (文字) Char Char Char (文字) (文字)"/>
    <w:basedOn w:val="Normal"/>
    <w:rsid w:val="00E5590A"/>
    <w:pPr>
      <w:spacing w:before="0" w:after="160" w:line="240" w:lineRule="exact"/>
      <w:jc w:val="left"/>
    </w:pPr>
    <w:rPr>
      <w:rFonts w:ascii="Arial" w:hAnsi="Arial" w:cs="Arial"/>
      <w:sz w:val="20"/>
      <w:lang w:val="en-US"/>
    </w:rPr>
  </w:style>
  <w:style w:type="paragraph" w:customStyle="1" w:styleId="CharCharCharCharCharCharCharCharCharCharCharCharChar">
    <w:name w:val="Char Char Char (文字) (文字) Char Char Char Char (文字) (文字) Char Char Char (文字) (文字) Char Char Char"/>
    <w:basedOn w:val="Normal"/>
    <w:rsid w:val="00333837"/>
    <w:pPr>
      <w:spacing w:before="0" w:after="160" w:line="240" w:lineRule="exact"/>
      <w:jc w:val="left"/>
    </w:pPr>
    <w:rPr>
      <w:rFonts w:ascii="Arial" w:hAnsi="Arial" w:cs="Arial"/>
      <w:sz w:val="20"/>
      <w:lang w:val="en-US"/>
    </w:rPr>
  </w:style>
  <w:style w:type="character" w:customStyle="1" w:styleId="PaulBridgman">
    <w:name w:val="Paul_Bridgman"/>
    <w:basedOn w:val="DefaultParagraphFont"/>
    <w:semiHidden/>
    <w:rsid w:val="00875D30"/>
    <w:rPr>
      <w:rFonts w:ascii="Arial" w:hAnsi="Arial" w:cs="Arial"/>
      <w:color w:val="auto"/>
      <w:sz w:val="20"/>
      <w:szCs w:val="20"/>
    </w:rPr>
  </w:style>
  <w:style w:type="paragraph" w:customStyle="1" w:styleId="CharCharCharCharCharCharCharCharCharCharChar">
    <w:name w:val="Char Char Char (文字) (文字) Char Char Char Char (文字) (文字) Char Char Char (文字) (文字) Char"/>
    <w:basedOn w:val="Normal"/>
    <w:rsid w:val="005F1070"/>
    <w:pPr>
      <w:spacing w:before="0" w:after="160" w:line="240" w:lineRule="exact"/>
      <w:jc w:val="left"/>
    </w:pPr>
    <w:rPr>
      <w:rFonts w:ascii="Arial" w:hAnsi="Arial" w:cs="Arial"/>
      <w:sz w:val="20"/>
      <w:lang w:val="en-US"/>
    </w:rPr>
  </w:style>
  <w:style w:type="paragraph" w:customStyle="1" w:styleId="CONLevel1">
    <w:name w:val=".CON  Level   1."/>
    <w:basedOn w:val="Normal"/>
    <w:next w:val="Normal"/>
    <w:rsid w:val="00B25D68"/>
    <w:pPr>
      <w:keepNext/>
      <w:numPr>
        <w:numId w:val="6"/>
      </w:numPr>
      <w:spacing w:before="240" w:after="0"/>
      <w:jc w:val="left"/>
      <w:outlineLvl w:val="1"/>
    </w:pPr>
    <w:rPr>
      <w:b/>
      <w:szCs w:val="22"/>
    </w:rPr>
  </w:style>
  <w:style w:type="paragraph" w:customStyle="1" w:styleId="CONLevel11">
    <w:name w:val=".CON  Level   1.1"/>
    <w:basedOn w:val="Normal"/>
    <w:next w:val="Normal"/>
    <w:link w:val="CONLevel11Char"/>
    <w:rsid w:val="00B25D68"/>
    <w:pPr>
      <w:numPr>
        <w:ilvl w:val="1"/>
        <w:numId w:val="6"/>
      </w:numPr>
      <w:spacing w:before="240" w:after="0"/>
      <w:jc w:val="left"/>
      <w:outlineLvl w:val="2"/>
    </w:pPr>
    <w:rPr>
      <w:szCs w:val="22"/>
    </w:rPr>
  </w:style>
  <w:style w:type="paragraph" w:customStyle="1" w:styleId="CONLevela">
    <w:name w:val=".CON  Level  (a)"/>
    <w:basedOn w:val="Normal"/>
    <w:next w:val="Normal"/>
    <w:rsid w:val="00B25D68"/>
    <w:pPr>
      <w:numPr>
        <w:ilvl w:val="2"/>
        <w:numId w:val="6"/>
      </w:numPr>
      <w:spacing w:before="240" w:after="0"/>
      <w:jc w:val="left"/>
      <w:outlineLvl w:val="3"/>
    </w:pPr>
    <w:rPr>
      <w:szCs w:val="22"/>
    </w:rPr>
  </w:style>
  <w:style w:type="paragraph" w:customStyle="1" w:styleId="CONLeveli">
    <w:name w:val=".CON  Level  (i)"/>
    <w:basedOn w:val="Normal"/>
    <w:next w:val="Normal"/>
    <w:rsid w:val="00B25D68"/>
    <w:pPr>
      <w:numPr>
        <w:ilvl w:val="3"/>
        <w:numId w:val="6"/>
      </w:numPr>
      <w:spacing w:before="240" w:after="0"/>
      <w:jc w:val="left"/>
      <w:outlineLvl w:val="4"/>
    </w:pPr>
    <w:rPr>
      <w:szCs w:val="22"/>
    </w:rPr>
  </w:style>
  <w:style w:type="paragraph" w:customStyle="1" w:styleId="CONLevelA0">
    <w:name w:val=".CON  Level (A)"/>
    <w:basedOn w:val="Normal"/>
    <w:next w:val="Normal"/>
    <w:rsid w:val="00B25D68"/>
    <w:pPr>
      <w:numPr>
        <w:ilvl w:val="4"/>
        <w:numId w:val="6"/>
      </w:numPr>
      <w:spacing w:before="240" w:after="0"/>
      <w:jc w:val="left"/>
      <w:outlineLvl w:val="5"/>
    </w:pPr>
    <w:rPr>
      <w:szCs w:val="22"/>
    </w:rPr>
  </w:style>
  <w:style w:type="paragraph" w:customStyle="1" w:styleId="CONLevelI0">
    <w:name w:val=".CON  Level (I)"/>
    <w:basedOn w:val="Normal"/>
    <w:next w:val="Normal"/>
    <w:rsid w:val="00B25D68"/>
    <w:pPr>
      <w:numPr>
        <w:ilvl w:val="5"/>
        <w:numId w:val="6"/>
      </w:numPr>
      <w:spacing w:before="240" w:after="0"/>
      <w:jc w:val="left"/>
      <w:outlineLvl w:val="6"/>
    </w:pPr>
    <w:rPr>
      <w:szCs w:val="22"/>
    </w:rPr>
  </w:style>
  <w:style w:type="paragraph" w:customStyle="1" w:styleId="Level1">
    <w:name w:val="Level 1."/>
    <w:basedOn w:val="Normal"/>
    <w:rsid w:val="00B25D68"/>
    <w:pPr>
      <w:numPr>
        <w:numId w:val="5"/>
      </w:numPr>
      <w:spacing w:before="240" w:after="0"/>
      <w:jc w:val="left"/>
    </w:pPr>
    <w:rPr>
      <w:szCs w:val="22"/>
    </w:rPr>
  </w:style>
  <w:style w:type="paragraph" w:customStyle="1" w:styleId="Level11">
    <w:name w:val="Level 1.1"/>
    <w:basedOn w:val="Normal"/>
    <w:rsid w:val="00B25D68"/>
    <w:pPr>
      <w:numPr>
        <w:ilvl w:val="1"/>
        <w:numId w:val="5"/>
      </w:numPr>
      <w:spacing w:before="240" w:after="0"/>
      <w:jc w:val="left"/>
    </w:pPr>
    <w:rPr>
      <w:szCs w:val="22"/>
    </w:rPr>
  </w:style>
  <w:style w:type="paragraph" w:customStyle="1" w:styleId="Levela">
    <w:name w:val="Level (a)"/>
    <w:basedOn w:val="Normal"/>
    <w:rsid w:val="00B25D68"/>
    <w:pPr>
      <w:numPr>
        <w:ilvl w:val="2"/>
        <w:numId w:val="5"/>
      </w:numPr>
      <w:spacing w:before="240" w:after="0"/>
      <w:jc w:val="left"/>
    </w:pPr>
    <w:rPr>
      <w:szCs w:val="22"/>
    </w:rPr>
  </w:style>
  <w:style w:type="paragraph" w:customStyle="1" w:styleId="Leveli">
    <w:name w:val="Level (i)"/>
    <w:basedOn w:val="Normal"/>
    <w:rsid w:val="00B25D68"/>
    <w:pPr>
      <w:numPr>
        <w:ilvl w:val="3"/>
        <w:numId w:val="5"/>
      </w:numPr>
      <w:spacing w:before="240" w:after="0"/>
      <w:jc w:val="left"/>
    </w:pPr>
    <w:rPr>
      <w:szCs w:val="22"/>
    </w:rPr>
  </w:style>
  <w:style w:type="paragraph" w:styleId="PlainText">
    <w:name w:val="Plain Text"/>
    <w:basedOn w:val="Normal"/>
    <w:rsid w:val="00B25D68"/>
    <w:pPr>
      <w:numPr>
        <w:ilvl w:val="4"/>
        <w:numId w:val="5"/>
      </w:numPr>
      <w:spacing w:before="240" w:after="0"/>
      <w:jc w:val="left"/>
    </w:pPr>
    <w:rPr>
      <w:rFonts w:ascii="Courier New" w:hAnsi="Courier New" w:cs="Courier New"/>
      <w:sz w:val="20"/>
    </w:rPr>
  </w:style>
  <w:style w:type="paragraph" w:customStyle="1" w:styleId="LevelA0">
    <w:name w:val="Level(A)"/>
    <w:basedOn w:val="Normal"/>
    <w:rsid w:val="00B25D68"/>
    <w:pPr>
      <w:numPr>
        <w:ilvl w:val="5"/>
        <w:numId w:val="5"/>
      </w:numPr>
      <w:spacing w:before="240" w:after="0"/>
      <w:jc w:val="left"/>
    </w:pPr>
    <w:rPr>
      <w:szCs w:val="22"/>
    </w:rPr>
  </w:style>
  <w:style w:type="character" w:customStyle="1" w:styleId="CONLevel11Char">
    <w:name w:val=".CON  Level   1.1 Char"/>
    <w:basedOn w:val="DefaultParagraphFont"/>
    <w:link w:val="CONLevel11"/>
    <w:rsid w:val="00B25D68"/>
    <w:rPr>
      <w:sz w:val="24"/>
      <w:szCs w:val="22"/>
      <w:lang w:eastAsia="en-US"/>
    </w:rPr>
  </w:style>
  <w:style w:type="table" w:customStyle="1" w:styleId="Tablewithnoheader">
    <w:name w:val="Table with no header"/>
    <w:basedOn w:val="TableNormal"/>
    <w:rsid w:val="00B25D68"/>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tblStylePr w:type="firstRow">
      <w:rPr>
        <w:sz w:val="20"/>
      </w:rPr>
    </w:tblStylePr>
  </w:style>
  <w:style w:type="character" w:customStyle="1" w:styleId="List-bullet-1Char">
    <w:name w:val="List-bullet-1 Char"/>
    <w:basedOn w:val="DefaultParagraphFont"/>
    <w:link w:val="List-bullet-1"/>
    <w:rsid w:val="00B25D68"/>
    <w:rPr>
      <w:rFonts w:ascii="Arial" w:hAnsi="Arial" w:cs="Arial"/>
      <w:szCs w:val="22"/>
      <w:lang w:eastAsia="en-US"/>
    </w:rPr>
  </w:style>
  <w:style w:type="paragraph" w:customStyle="1" w:styleId="Table-list-bullet">
    <w:name w:val="Table-list-bullet"/>
    <w:basedOn w:val="Normal"/>
    <w:rsid w:val="00B25D68"/>
    <w:pPr>
      <w:numPr>
        <w:numId w:val="7"/>
      </w:numPr>
      <w:spacing w:before="60" w:after="0"/>
      <w:jc w:val="left"/>
    </w:pPr>
    <w:rPr>
      <w:rFonts w:ascii="Arial" w:hAnsi="Arial"/>
      <w:sz w:val="20"/>
      <w:szCs w:val="24"/>
    </w:rPr>
  </w:style>
  <w:style w:type="paragraph" w:customStyle="1" w:styleId="List-bullet-2">
    <w:name w:val="List-bullet-2"/>
    <w:basedOn w:val="Normal"/>
    <w:link w:val="List-bullet-2Char"/>
    <w:rsid w:val="00B25D68"/>
    <w:pPr>
      <w:numPr>
        <w:numId w:val="8"/>
      </w:numPr>
      <w:spacing w:before="80" w:after="0"/>
      <w:jc w:val="left"/>
    </w:pPr>
    <w:rPr>
      <w:rFonts w:ascii="Arial" w:hAnsi="Arial" w:cs="Arial"/>
      <w:sz w:val="20"/>
      <w:szCs w:val="22"/>
      <w:lang w:val="en-US"/>
    </w:rPr>
  </w:style>
  <w:style w:type="character" w:customStyle="1" w:styleId="List-bullet-2Char">
    <w:name w:val="List-bullet-2 Char"/>
    <w:basedOn w:val="DefaultParagraphFont"/>
    <w:link w:val="List-bullet-2"/>
    <w:rsid w:val="00B25D68"/>
    <w:rPr>
      <w:rFonts w:ascii="Arial" w:hAnsi="Arial" w:cs="Arial"/>
      <w:szCs w:val="22"/>
      <w:lang w:val="en-US" w:eastAsia="en-US"/>
    </w:rPr>
  </w:style>
  <w:style w:type="character" w:customStyle="1" w:styleId="listletterCharChar">
    <w:name w:val="list letter Char Char"/>
    <w:aliases w:val="list letter Char Char1"/>
    <w:basedOn w:val="DefaultParagraphFont"/>
    <w:rsid w:val="00516A4C"/>
    <w:rPr>
      <w:sz w:val="24"/>
      <w:lang w:val="en-AU" w:eastAsia="en-US" w:bidi="ar-SA"/>
    </w:rPr>
  </w:style>
  <w:style w:type="paragraph" w:customStyle="1" w:styleId="List-outline-numbered">
    <w:name w:val="List-outline-numbered"/>
    <w:basedOn w:val="Normal"/>
    <w:rsid w:val="00196FEC"/>
    <w:pPr>
      <w:numPr>
        <w:numId w:val="9"/>
      </w:numPr>
      <w:spacing w:before="0" w:after="0"/>
      <w:jc w:val="left"/>
    </w:pPr>
    <w:rPr>
      <w:szCs w:val="24"/>
    </w:rPr>
  </w:style>
  <w:style w:type="paragraph" w:customStyle="1" w:styleId="Table-normal-text">
    <w:name w:val="Table-normal-text"/>
    <w:basedOn w:val="Normal"/>
    <w:rsid w:val="00E82545"/>
    <w:pPr>
      <w:spacing w:before="60" w:after="0"/>
      <w:jc w:val="left"/>
    </w:pPr>
    <w:rPr>
      <w:rFonts w:ascii="Arial" w:hAnsi="Arial"/>
      <w:sz w:val="20"/>
      <w:szCs w:val="24"/>
    </w:rPr>
  </w:style>
  <w:style w:type="table" w:customStyle="1" w:styleId="Tablewithheader">
    <w:name w:val="Table with header"/>
    <w:basedOn w:val="Tablewithnoheader"/>
    <w:rsid w:val="00E82545"/>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customStyle="1" w:styleId="List-number-2">
    <w:name w:val="List-number-2"/>
    <w:basedOn w:val="Normal"/>
    <w:rsid w:val="00825C34"/>
    <w:pPr>
      <w:numPr>
        <w:ilvl w:val="1"/>
        <w:numId w:val="10"/>
      </w:numPr>
      <w:spacing w:before="120" w:after="120"/>
      <w:jc w:val="left"/>
    </w:pPr>
    <w:rPr>
      <w:rFonts w:ascii="Arial" w:hAnsi="Arial"/>
      <w:sz w:val="20"/>
      <w:szCs w:val="24"/>
    </w:rPr>
  </w:style>
  <w:style w:type="paragraph" w:customStyle="1" w:styleId="List-number-1">
    <w:name w:val="List-number-1"/>
    <w:basedOn w:val="Normal"/>
    <w:link w:val="List-number-1Char"/>
    <w:rsid w:val="00825C34"/>
    <w:pPr>
      <w:numPr>
        <w:numId w:val="10"/>
      </w:numPr>
      <w:spacing w:before="120" w:after="120"/>
      <w:jc w:val="left"/>
    </w:pPr>
    <w:rPr>
      <w:rFonts w:ascii="Arial" w:hAnsi="Arial"/>
      <w:sz w:val="20"/>
      <w:szCs w:val="24"/>
    </w:rPr>
  </w:style>
  <w:style w:type="character" w:customStyle="1" w:styleId="FootnoteTextCharCharCharCharCharChar">
    <w:name w:val="Footnote Text Char Char Char Char Char Char"/>
    <w:basedOn w:val="DefaultParagraphFont"/>
    <w:rsid w:val="00C95327"/>
    <w:rPr>
      <w:szCs w:val="24"/>
      <w:lang w:val="en-AU" w:eastAsia="en-US" w:bidi="ar-SA"/>
    </w:rPr>
  </w:style>
  <w:style w:type="character" w:customStyle="1" w:styleId="ParagraphNo">
    <w:name w:val="Paragraph No"/>
    <w:basedOn w:val="DefaultParagraphFont"/>
    <w:rsid w:val="004F04FB"/>
    <w:rPr>
      <w:rFonts w:cs="Times New Roman"/>
      <w:color w:val="000080"/>
    </w:rPr>
  </w:style>
  <w:style w:type="paragraph" w:customStyle="1" w:styleId="HeadNote">
    <w:name w:val="Head Note"/>
    <w:basedOn w:val="Normal"/>
    <w:rsid w:val="00BA3995"/>
    <w:pPr>
      <w:keepNext/>
      <w:overflowPunct w:val="0"/>
      <w:autoSpaceDE w:val="0"/>
      <w:autoSpaceDN w:val="0"/>
      <w:adjustRightInd w:val="0"/>
      <w:spacing w:before="480" w:after="240"/>
      <w:textAlignment w:val="baseline"/>
    </w:pPr>
    <w:rPr>
      <w:rFonts w:ascii="NewCenturySchlbk" w:eastAsia="Calibri" w:hAnsi="NewCenturySchlbk" w:cs="NewCenturySchlbk"/>
      <w:b/>
      <w:bCs/>
      <w:sz w:val="26"/>
      <w:szCs w:val="26"/>
    </w:rPr>
  </w:style>
  <w:style w:type="paragraph" w:customStyle="1" w:styleId="QualifyingText">
    <w:name w:val="Qualifying Text"/>
    <w:basedOn w:val="Normal"/>
    <w:rsid w:val="00BA3995"/>
    <w:pPr>
      <w:tabs>
        <w:tab w:val="left" w:pos="720"/>
        <w:tab w:val="left" w:pos="1166"/>
      </w:tabs>
      <w:overflowPunct w:val="0"/>
      <w:autoSpaceDE w:val="0"/>
      <w:autoSpaceDN w:val="0"/>
      <w:adjustRightInd w:val="0"/>
      <w:spacing w:before="0" w:after="240"/>
      <w:textAlignment w:val="baseline"/>
    </w:pPr>
    <w:rPr>
      <w:rFonts w:ascii="NewCenturySchlbk" w:eastAsia="Calibri" w:hAnsi="NewCenturySchlbk" w:cs="NewCenturySchlbk"/>
      <w:sz w:val="26"/>
      <w:szCs w:val="26"/>
    </w:rPr>
  </w:style>
  <w:style w:type="character" w:customStyle="1" w:styleId="SectionNo">
    <w:name w:val="Section No"/>
    <w:basedOn w:val="DefaultParagraphFont"/>
    <w:rsid w:val="00BA3995"/>
    <w:rPr>
      <w:rFonts w:cs="Times New Roman"/>
      <w:color w:val="000080"/>
    </w:rPr>
  </w:style>
  <w:style w:type="character" w:customStyle="1" w:styleId="SubSectionNo">
    <w:name w:val="Sub Section No"/>
    <w:basedOn w:val="DefaultParagraphFont"/>
    <w:rsid w:val="00BA3995"/>
    <w:rPr>
      <w:rFonts w:cs="Times New Roman"/>
      <w:b/>
      <w:bCs/>
      <w:color w:val="000080"/>
    </w:rPr>
  </w:style>
  <w:style w:type="paragraph" w:customStyle="1" w:styleId="SubSection">
    <w:name w:val="Sub Section"/>
    <w:basedOn w:val="Normal"/>
    <w:rsid w:val="00BA3995"/>
    <w:pPr>
      <w:tabs>
        <w:tab w:val="left" w:pos="1170"/>
      </w:tabs>
      <w:overflowPunct w:val="0"/>
      <w:autoSpaceDE w:val="0"/>
      <w:autoSpaceDN w:val="0"/>
      <w:adjustRightInd w:val="0"/>
      <w:spacing w:before="0" w:after="240"/>
      <w:ind w:firstLine="720"/>
      <w:textAlignment w:val="baseline"/>
    </w:pPr>
    <w:rPr>
      <w:rFonts w:ascii="NewCenturySchlbk" w:eastAsia="Calibri" w:hAnsi="NewCenturySchlbk" w:cs="NewCenturySchlbk"/>
      <w:sz w:val="26"/>
      <w:szCs w:val="26"/>
    </w:rPr>
  </w:style>
  <w:style w:type="character" w:customStyle="1" w:styleId="List-number-1Char">
    <w:name w:val="List-number-1 Char"/>
    <w:link w:val="List-number-1"/>
    <w:rsid w:val="00C32777"/>
    <w:rPr>
      <w:rFonts w:ascii="Arial" w:hAnsi="Arial"/>
      <w:szCs w:val="24"/>
      <w:lang w:eastAsia="en-US"/>
    </w:rPr>
  </w:style>
  <w:style w:type="character" w:customStyle="1" w:styleId="Heading2Char">
    <w:name w:val="Heading 2 Char"/>
    <w:aliases w:val="D&amp;M Heading 2 Char"/>
    <w:basedOn w:val="DefaultParagraphFont"/>
    <w:link w:val="Heading2"/>
    <w:rsid w:val="007F548D"/>
    <w:rPr>
      <w:rFonts w:ascii="Arial" w:hAnsi="Arial"/>
      <w:b/>
      <w:sz w:val="28"/>
      <w:lang w:eastAsia="en-US"/>
    </w:rPr>
  </w:style>
  <w:style w:type="paragraph" w:styleId="ListParagraph">
    <w:name w:val="List Paragraph"/>
    <w:basedOn w:val="Normal"/>
    <w:link w:val="ListParagraphChar"/>
    <w:uiPriority w:val="99"/>
    <w:qFormat/>
    <w:rsid w:val="00C32FF0"/>
    <w:pPr>
      <w:ind w:left="720"/>
      <w:contextualSpacing/>
    </w:pPr>
  </w:style>
  <w:style w:type="paragraph" w:styleId="NormalWeb">
    <w:name w:val="Normal (Web)"/>
    <w:basedOn w:val="Normal"/>
    <w:uiPriority w:val="99"/>
    <w:unhideWhenUsed/>
    <w:rsid w:val="00912E6C"/>
    <w:pPr>
      <w:spacing w:before="100" w:beforeAutospacing="1" w:after="100" w:afterAutospacing="1"/>
      <w:jc w:val="left"/>
    </w:pPr>
    <w:rPr>
      <w:szCs w:val="24"/>
      <w:lang w:eastAsia="en-AU"/>
    </w:rPr>
  </w:style>
  <w:style w:type="paragraph" w:styleId="TOCHeading0">
    <w:name w:val="TOC Heading"/>
    <w:basedOn w:val="Heading1"/>
    <w:next w:val="Normal"/>
    <w:uiPriority w:val="39"/>
    <w:unhideWhenUsed/>
    <w:qFormat/>
    <w:rsid w:val="009E3624"/>
    <w:pPr>
      <w:keepLines/>
      <w:pageBreakBefore w:val="0"/>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table" w:customStyle="1" w:styleId="TableGrid1">
    <w:name w:val="Table Grid1"/>
    <w:basedOn w:val="TableNormal"/>
    <w:next w:val="TableGrid"/>
    <w:uiPriority w:val="39"/>
    <w:rsid w:val="0007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B2DE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odyTextChar">
    <w:name w:val="Body Text Char"/>
    <w:aliases w:val="(Alt+1) Char,BodyText Char,body Char,text Char,Body Char,bt Char"/>
    <w:basedOn w:val="DefaultParagraphFont"/>
    <w:link w:val="BodyText"/>
    <w:rsid w:val="000A51FF"/>
    <w:rPr>
      <w:sz w:val="24"/>
      <w:lang w:eastAsia="en-US"/>
    </w:rPr>
  </w:style>
  <w:style w:type="character" w:customStyle="1" w:styleId="BodyTextIndent2Char">
    <w:name w:val="Body Text Indent 2 Char"/>
    <w:basedOn w:val="DefaultParagraphFont"/>
    <w:link w:val="BodyTextIndent2"/>
    <w:rsid w:val="002F434E"/>
    <w:rPr>
      <w:rFonts w:ascii="Arial" w:hAnsi="Arial"/>
      <w:b/>
      <w:sz w:val="44"/>
      <w:lang w:eastAsia="en-US"/>
    </w:rPr>
  </w:style>
  <w:style w:type="paragraph" w:customStyle="1" w:styleId="Indent2">
    <w:name w:val="Indent 2"/>
    <w:basedOn w:val="Normal"/>
    <w:link w:val="Indent2Char"/>
    <w:rsid w:val="00C335DB"/>
    <w:pPr>
      <w:spacing w:before="0" w:after="240" w:line="276" w:lineRule="auto"/>
      <w:ind w:left="737"/>
      <w:jc w:val="left"/>
    </w:pPr>
    <w:rPr>
      <w:rFonts w:asciiTheme="minorHAnsi" w:eastAsiaTheme="minorEastAsia" w:hAnsiTheme="minorHAnsi" w:cstheme="minorBidi"/>
      <w:sz w:val="22"/>
      <w:szCs w:val="22"/>
      <w:lang w:eastAsia="en-AU"/>
    </w:rPr>
  </w:style>
  <w:style w:type="character" w:customStyle="1" w:styleId="Indent2Char">
    <w:name w:val="Indent 2 Char"/>
    <w:basedOn w:val="DefaultParagraphFont"/>
    <w:link w:val="Indent2"/>
    <w:locked/>
    <w:rsid w:val="00C335DB"/>
    <w:rPr>
      <w:rFonts w:asciiTheme="minorHAnsi" w:eastAsiaTheme="minorEastAsia" w:hAnsiTheme="minorHAnsi" w:cstheme="minorBidi"/>
      <w:sz w:val="22"/>
      <w:szCs w:val="22"/>
    </w:rPr>
  </w:style>
  <w:style w:type="character" w:customStyle="1" w:styleId="ListParagraphChar">
    <w:name w:val="List Paragraph Char"/>
    <w:basedOn w:val="DefaultParagraphFont"/>
    <w:link w:val="ListParagraph"/>
    <w:uiPriority w:val="99"/>
    <w:locked/>
    <w:rsid w:val="00C335DB"/>
    <w:rPr>
      <w:sz w:val="24"/>
      <w:lang w:eastAsia="en-US"/>
    </w:rPr>
  </w:style>
  <w:style w:type="paragraph" w:customStyle="1" w:styleId="CONLevel11textonly">
    <w:name w:val=".CON Level   1.1 (text only)"/>
    <w:basedOn w:val="Normal"/>
    <w:uiPriority w:val="99"/>
    <w:rsid w:val="00C335DB"/>
    <w:pPr>
      <w:spacing w:before="240" w:after="0"/>
      <w:ind w:left="720"/>
      <w:jc w:val="left"/>
    </w:pPr>
    <w:rPr>
      <w:szCs w:val="22"/>
    </w:rPr>
  </w:style>
  <w:style w:type="paragraph" w:customStyle="1" w:styleId="body2">
    <w:name w:val="body2"/>
    <w:basedOn w:val="Normal"/>
    <w:rsid w:val="00C335DB"/>
    <w:pPr>
      <w:autoSpaceDE w:val="0"/>
      <w:autoSpaceDN w:val="0"/>
      <w:adjustRightInd w:val="0"/>
      <w:spacing w:before="0" w:after="220"/>
      <w:ind w:left="850"/>
      <w:jc w:val="left"/>
    </w:pPr>
    <w:rPr>
      <w:rFonts w:ascii="Arial" w:hAnsi="Arial" w:cs="Arial"/>
      <w:sz w:val="22"/>
      <w:szCs w:val="22"/>
      <w:lang w:val="en-US" w:eastAsia="en-AU"/>
    </w:rPr>
  </w:style>
  <w:style w:type="character" w:customStyle="1" w:styleId="FooterChar">
    <w:name w:val="Footer Char"/>
    <w:basedOn w:val="DefaultParagraphFont"/>
    <w:link w:val="Footer"/>
    <w:uiPriority w:val="99"/>
    <w:rsid w:val="00C335DB"/>
    <w:rPr>
      <w:sz w:val="24"/>
      <w:lang w:eastAsia="en-US"/>
    </w:rPr>
  </w:style>
  <w:style w:type="paragraph" w:customStyle="1" w:styleId="CharChar9">
    <w:name w:val="Char Char9"/>
    <w:basedOn w:val="Normal"/>
    <w:rsid w:val="00C335DB"/>
    <w:pPr>
      <w:tabs>
        <w:tab w:val="num" w:pos="720"/>
      </w:tabs>
      <w:spacing w:before="240" w:after="0"/>
      <w:ind w:left="720" w:hanging="720"/>
      <w:jc w:val="left"/>
    </w:pPr>
    <w:rPr>
      <w:szCs w:val="22"/>
    </w:rPr>
  </w:style>
  <w:style w:type="character" w:customStyle="1" w:styleId="HeaderChar">
    <w:name w:val="Header Char"/>
    <w:basedOn w:val="DefaultParagraphFont"/>
    <w:link w:val="Header"/>
    <w:uiPriority w:val="99"/>
    <w:rsid w:val="00F924C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78084">
      <w:bodyDiv w:val="1"/>
      <w:marLeft w:val="0"/>
      <w:marRight w:val="0"/>
      <w:marTop w:val="0"/>
      <w:marBottom w:val="0"/>
      <w:divBdr>
        <w:top w:val="none" w:sz="0" w:space="0" w:color="auto"/>
        <w:left w:val="none" w:sz="0" w:space="0" w:color="auto"/>
        <w:bottom w:val="none" w:sz="0" w:space="0" w:color="auto"/>
        <w:right w:val="none" w:sz="0" w:space="0" w:color="auto"/>
      </w:divBdr>
    </w:div>
    <w:div w:id="362947803">
      <w:bodyDiv w:val="1"/>
      <w:marLeft w:val="960"/>
      <w:marRight w:val="0"/>
      <w:marTop w:val="0"/>
      <w:marBottom w:val="0"/>
      <w:divBdr>
        <w:top w:val="none" w:sz="0" w:space="0" w:color="auto"/>
        <w:left w:val="none" w:sz="0" w:space="0" w:color="auto"/>
        <w:bottom w:val="none" w:sz="0" w:space="0" w:color="auto"/>
        <w:right w:val="none" w:sz="0" w:space="0" w:color="auto"/>
      </w:divBdr>
      <w:divsChild>
        <w:div w:id="63259516">
          <w:marLeft w:val="0"/>
          <w:marRight w:val="0"/>
          <w:marTop w:val="0"/>
          <w:marBottom w:val="0"/>
          <w:divBdr>
            <w:top w:val="none" w:sz="0" w:space="0" w:color="auto"/>
            <w:left w:val="none" w:sz="0" w:space="0" w:color="auto"/>
            <w:bottom w:val="none" w:sz="0" w:space="0" w:color="auto"/>
            <w:right w:val="none" w:sz="0" w:space="0" w:color="auto"/>
          </w:divBdr>
        </w:div>
      </w:divsChild>
    </w:div>
    <w:div w:id="375543156">
      <w:bodyDiv w:val="1"/>
      <w:marLeft w:val="0"/>
      <w:marRight w:val="0"/>
      <w:marTop w:val="0"/>
      <w:marBottom w:val="0"/>
      <w:divBdr>
        <w:top w:val="none" w:sz="0" w:space="0" w:color="auto"/>
        <w:left w:val="none" w:sz="0" w:space="0" w:color="auto"/>
        <w:bottom w:val="none" w:sz="0" w:space="0" w:color="auto"/>
        <w:right w:val="none" w:sz="0" w:space="0" w:color="auto"/>
      </w:divBdr>
    </w:div>
    <w:div w:id="488520024">
      <w:bodyDiv w:val="1"/>
      <w:marLeft w:val="0"/>
      <w:marRight w:val="0"/>
      <w:marTop w:val="0"/>
      <w:marBottom w:val="0"/>
      <w:divBdr>
        <w:top w:val="none" w:sz="0" w:space="0" w:color="auto"/>
        <w:left w:val="none" w:sz="0" w:space="0" w:color="auto"/>
        <w:bottom w:val="none" w:sz="0" w:space="0" w:color="auto"/>
        <w:right w:val="none" w:sz="0" w:space="0" w:color="auto"/>
      </w:divBdr>
    </w:div>
    <w:div w:id="604074589">
      <w:bodyDiv w:val="1"/>
      <w:marLeft w:val="0"/>
      <w:marRight w:val="0"/>
      <w:marTop w:val="0"/>
      <w:marBottom w:val="0"/>
      <w:divBdr>
        <w:top w:val="none" w:sz="0" w:space="0" w:color="auto"/>
        <w:left w:val="none" w:sz="0" w:space="0" w:color="auto"/>
        <w:bottom w:val="none" w:sz="0" w:space="0" w:color="auto"/>
        <w:right w:val="none" w:sz="0" w:space="0" w:color="auto"/>
      </w:divBdr>
    </w:div>
    <w:div w:id="644773992">
      <w:bodyDiv w:val="1"/>
      <w:marLeft w:val="960"/>
      <w:marRight w:val="0"/>
      <w:marTop w:val="0"/>
      <w:marBottom w:val="0"/>
      <w:divBdr>
        <w:top w:val="none" w:sz="0" w:space="0" w:color="auto"/>
        <w:left w:val="none" w:sz="0" w:space="0" w:color="auto"/>
        <w:bottom w:val="none" w:sz="0" w:space="0" w:color="auto"/>
        <w:right w:val="none" w:sz="0" w:space="0" w:color="auto"/>
      </w:divBdr>
      <w:divsChild>
        <w:div w:id="1170290806">
          <w:marLeft w:val="0"/>
          <w:marRight w:val="0"/>
          <w:marTop w:val="0"/>
          <w:marBottom w:val="0"/>
          <w:divBdr>
            <w:top w:val="none" w:sz="0" w:space="0" w:color="auto"/>
            <w:left w:val="none" w:sz="0" w:space="0" w:color="auto"/>
            <w:bottom w:val="none" w:sz="0" w:space="0" w:color="auto"/>
            <w:right w:val="none" w:sz="0" w:space="0" w:color="auto"/>
          </w:divBdr>
        </w:div>
      </w:divsChild>
    </w:div>
    <w:div w:id="979116252">
      <w:bodyDiv w:val="1"/>
      <w:marLeft w:val="960"/>
      <w:marRight w:val="0"/>
      <w:marTop w:val="0"/>
      <w:marBottom w:val="0"/>
      <w:divBdr>
        <w:top w:val="none" w:sz="0" w:space="0" w:color="auto"/>
        <w:left w:val="none" w:sz="0" w:space="0" w:color="auto"/>
        <w:bottom w:val="none" w:sz="0" w:space="0" w:color="auto"/>
        <w:right w:val="none" w:sz="0" w:space="0" w:color="auto"/>
      </w:divBdr>
      <w:divsChild>
        <w:div w:id="1446193210">
          <w:marLeft w:val="0"/>
          <w:marRight w:val="0"/>
          <w:marTop w:val="0"/>
          <w:marBottom w:val="0"/>
          <w:divBdr>
            <w:top w:val="none" w:sz="0" w:space="0" w:color="auto"/>
            <w:left w:val="none" w:sz="0" w:space="0" w:color="auto"/>
            <w:bottom w:val="none" w:sz="0" w:space="0" w:color="auto"/>
            <w:right w:val="none" w:sz="0" w:space="0" w:color="auto"/>
          </w:divBdr>
        </w:div>
      </w:divsChild>
    </w:div>
    <w:div w:id="1160734845">
      <w:bodyDiv w:val="1"/>
      <w:marLeft w:val="0"/>
      <w:marRight w:val="0"/>
      <w:marTop w:val="0"/>
      <w:marBottom w:val="0"/>
      <w:divBdr>
        <w:top w:val="none" w:sz="0" w:space="0" w:color="auto"/>
        <w:left w:val="none" w:sz="0" w:space="0" w:color="auto"/>
        <w:bottom w:val="none" w:sz="0" w:space="0" w:color="auto"/>
        <w:right w:val="none" w:sz="0" w:space="0" w:color="auto"/>
      </w:divBdr>
    </w:div>
    <w:div w:id="1735085140">
      <w:bodyDiv w:val="1"/>
      <w:marLeft w:val="0"/>
      <w:marRight w:val="0"/>
      <w:marTop w:val="0"/>
      <w:marBottom w:val="0"/>
      <w:divBdr>
        <w:top w:val="none" w:sz="0" w:space="0" w:color="auto"/>
        <w:left w:val="none" w:sz="0" w:space="0" w:color="auto"/>
        <w:bottom w:val="none" w:sz="0" w:space="0" w:color="auto"/>
        <w:right w:val="none" w:sz="0" w:space="0" w:color="auto"/>
      </w:divBdr>
    </w:div>
    <w:div w:id="2133937460">
      <w:bodyDiv w:val="1"/>
      <w:marLeft w:val="960"/>
      <w:marRight w:val="0"/>
      <w:marTop w:val="0"/>
      <w:marBottom w:val="0"/>
      <w:divBdr>
        <w:top w:val="none" w:sz="0" w:space="0" w:color="auto"/>
        <w:left w:val="none" w:sz="0" w:space="0" w:color="auto"/>
        <w:bottom w:val="none" w:sz="0" w:space="0" w:color="auto"/>
        <w:right w:val="none" w:sz="0" w:space="0" w:color="auto"/>
      </w:divBdr>
      <w:divsChild>
        <w:div w:id="1606116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oleObject" Target="embeddings/oleObject2.bin"/><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image" Target="media/image4.tmp"/><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1.emf"/><Relationship Id="rId29" Type="http://schemas.openxmlformats.org/officeDocument/2006/relationships/footer" Target="footer6.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footer" Target="footer11.xml"/><Relationship Id="rId45"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chart" Target="charts/chart1.xml"/><Relationship Id="rId31" Type="http://schemas.openxmlformats.org/officeDocument/2006/relationships/footer" Target="footer7.xml"/><Relationship Id="rId44"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oter" Target="footer9.xml"/><Relationship Id="rId43" Type="http://schemas.openxmlformats.org/officeDocument/2006/relationships/header" Target="header16.xml"/><Relationship Id="rId4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image" Target="media/image3.emf"/><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footer" Target="footer13.xml"/><Relationship Id="rId20" Type="http://schemas.openxmlformats.org/officeDocument/2006/relationships/chart" Target="charts/chart2.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aid.dfat.gov.au/Publications/Pages/7618_6876_7414_705_9251.aspx" TargetMode="External"/><Relationship Id="rId1" Type="http://schemas.openxmlformats.org/officeDocument/2006/relationships/hyperlink" Target="http://aid.dfat.gov.au/publications/Pages/dfat-monitoring-evaluation-standards.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10423279495408"/>
          <c:y val="0.11342592592592593"/>
          <c:w val="0.80966978236851794"/>
          <c:h val="0.77314814814814814"/>
        </c:manualLayout>
      </c:layout>
      <c:pie3DChart>
        <c:varyColors val="1"/>
        <c:ser>
          <c:idx val="0"/>
          <c:order val="0"/>
          <c:explosion val="7"/>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3.3333333333333333E-2"/>
                  <c:y val="-8.3333333333333356E-2"/>
                </c:manualLayout>
              </c:layout>
              <c:spPr>
                <a:solidFill>
                  <a:schemeClr val="tx1"/>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pattFill prst="pct5">
                        <a:fgClr>
                          <a:schemeClr val="accent1"/>
                        </a:fgClr>
                        <a:bgClr>
                          <a:schemeClr val="bg1"/>
                        </a:bgClr>
                      </a:patt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8333333333333334E-2"/>
                  <c:y val="-0.13425925925925927"/>
                </c:manualLayout>
              </c:layout>
              <c:spPr>
                <a:solidFill>
                  <a:schemeClr val="tx1"/>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pattFill prst="pct5">
                        <a:fgClr>
                          <a:schemeClr val="accent1"/>
                        </a:fgClr>
                        <a:bgClr>
                          <a:schemeClr val="bg1"/>
                        </a:bgClr>
                      </a:patt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6.6666666666666638E-2"/>
                  <c:y val="-1.3888888888888888E-2"/>
                </c:manualLayout>
              </c:layout>
              <c:spPr>
                <a:solidFill>
                  <a:schemeClr val="tx1"/>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pattFill prst="pct5">
                        <a:fgClr>
                          <a:schemeClr val="accent1"/>
                        </a:fgClr>
                        <a:bgClr>
                          <a:schemeClr val="bg1"/>
                        </a:bgClr>
                      </a:patt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8.3333333333333332E-3"/>
                  <c:y val="-0.1388888888888889"/>
                </c:manualLayout>
              </c:layout>
              <c:spPr>
                <a:solidFill>
                  <a:schemeClr val="tx1"/>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pattFill prst="pct5">
                        <a:fgClr>
                          <a:schemeClr val="accent1"/>
                        </a:fgClr>
                        <a:bgClr>
                          <a:schemeClr val="bg1"/>
                        </a:bgClr>
                      </a:patt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Lst>
            </c:dLbl>
            <c:dLbl>
              <c:idx val="4"/>
              <c:spPr>
                <a:solidFill>
                  <a:schemeClr val="tx1"/>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pattFill prst="pct5">
                        <a:fgClr>
                          <a:schemeClr val="accent1"/>
                        </a:fgClr>
                        <a:bgClr>
                          <a:schemeClr val="bg1"/>
                        </a:bgClr>
                      </a:pattFill>
                      <a:latin typeface="+mn-lt"/>
                      <a:ea typeface="+mn-ea"/>
                      <a:cs typeface="+mn-cs"/>
                    </a:defRPr>
                  </a:pPr>
                  <a:endParaRPr lang="en-US"/>
                </a:p>
              </c:txPr>
              <c:dLblPos val="outEnd"/>
              <c:showLegendKey val="0"/>
              <c:showVal val="1"/>
              <c:showCatName val="1"/>
              <c:showSerName val="0"/>
              <c:showPercent val="0"/>
              <c:showBubbleSize val="0"/>
            </c:dLbl>
            <c:dLbl>
              <c:idx val="5"/>
              <c:layout>
                <c:manualLayout>
                  <c:x val="-0.12500000000000003"/>
                  <c:y val="-0.125"/>
                </c:manualLayout>
              </c:layout>
              <c:spPr>
                <a:solidFill>
                  <a:schemeClr val="tx1"/>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pattFill prst="pct5">
                        <a:fgClr>
                          <a:schemeClr val="accent1"/>
                        </a:fgClr>
                        <a:bgClr>
                          <a:schemeClr val="bg1"/>
                        </a:bgClr>
                      </a:patt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Lst>
            </c:dLbl>
            <c:dLbl>
              <c:idx val="6"/>
              <c:layout>
                <c:manualLayout>
                  <c:x val="-4.1666666666666664E-2"/>
                  <c:y val="-9.2592592592592601E-2"/>
                </c:manualLayout>
              </c:layout>
              <c:spPr>
                <a:solidFill>
                  <a:schemeClr val="tx1"/>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pattFill prst="pct5">
                        <a:fgClr>
                          <a:schemeClr val="accent1"/>
                        </a:fgClr>
                        <a:bgClr>
                          <a:schemeClr val="bg1"/>
                        </a:bgClr>
                      </a:patt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Lst>
            </c:dLbl>
            <c:dLbl>
              <c:idx val="7"/>
              <c:layout>
                <c:manualLayout>
                  <c:x val="7.2222222222222215E-2"/>
                  <c:y val="-3.7037037037037035E-2"/>
                </c:manualLayout>
              </c:layout>
              <c:spPr>
                <a:solidFill>
                  <a:schemeClr val="tx1"/>
                </a:solid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pattFill prst="pct5">
                        <a:fgClr>
                          <a:schemeClr val="accent1"/>
                        </a:fgClr>
                        <a:bgClr>
                          <a:schemeClr val="bg1"/>
                        </a:bgClr>
                      </a:patt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13068044619422575"/>
                      <c:h val="6.1134441528142312E-2"/>
                    </c:manualLayout>
                  </c15:layout>
                </c:ext>
              </c:extLst>
            </c:dLbl>
            <c:spPr>
              <a:solidFill>
                <a:schemeClr val="tx1"/>
              </a:solidFill>
            </c:spPr>
            <c:txPr>
              <a:bodyPr rot="0" spcFirstLastPara="1" vertOverflow="ellipsis" vert="horz" wrap="square" lIns="38100" tIns="19050" rIns="38100" bIns="19050" anchor="ctr" anchorCtr="1">
                <a:spAutoFit/>
              </a:bodyPr>
              <a:lstStyle/>
              <a:p>
                <a:pPr>
                  <a:defRPr sz="1000" b="1" i="0" u="none" strike="noStrike" kern="1200" spc="0" baseline="0">
                    <a:pattFill prst="pct5">
                      <a:fgClr>
                        <a:schemeClr val="accent1"/>
                      </a:fgClr>
                      <a:bgClr>
                        <a:schemeClr val="bg1"/>
                      </a:bgClr>
                    </a:patt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95000"/>
                      <a:lumOff val="5000"/>
                    </a:schemeClr>
                  </a:solidFill>
                  <a:round/>
                </a:ln>
                <a:effectLst/>
              </c:spPr>
            </c:leaderLines>
            <c:extLst>
              <c:ext xmlns:c15="http://schemas.microsoft.com/office/drawing/2012/chart" uri="{CE6537A1-D6FC-4f65-9D91-7224C49458BB}"/>
            </c:extLst>
          </c:dLbls>
          <c:cat>
            <c:strRef>
              <c:f>Sheet1!$B$4:$B$11</c:f>
              <c:strCache>
                <c:ptCount val="8"/>
                <c:pt idx="0">
                  <c:v>Health</c:v>
                </c:pt>
                <c:pt idx="1">
                  <c:v>Education</c:v>
                </c:pt>
                <c:pt idx="2">
                  <c:v>Vocational Training</c:v>
                </c:pt>
                <c:pt idx="3">
                  <c:v>Ag. Economic Development</c:v>
                </c:pt>
                <c:pt idx="4">
                  <c:v>National Research</c:v>
                </c:pt>
                <c:pt idx="5">
                  <c:v>WASH</c:v>
                </c:pt>
                <c:pt idx="6">
                  <c:v>Roads</c:v>
                </c:pt>
                <c:pt idx="7">
                  <c:v>L&amp;J </c:v>
                </c:pt>
              </c:strCache>
            </c:strRef>
          </c:cat>
          <c:val>
            <c:numRef>
              <c:f>Sheet1!$C$4:$C$11</c:f>
              <c:numCache>
                <c:formatCode>0%</c:formatCode>
                <c:ptCount val="8"/>
                <c:pt idx="0">
                  <c:v>0.23076923076923078</c:v>
                </c:pt>
                <c:pt idx="1">
                  <c:v>0.33333333333333331</c:v>
                </c:pt>
                <c:pt idx="2">
                  <c:v>0.10256410256410256</c:v>
                </c:pt>
                <c:pt idx="3">
                  <c:v>0.10256410256410256</c:v>
                </c:pt>
                <c:pt idx="4">
                  <c:v>0.10256410256410256</c:v>
                </c:pt>
                <c:pt idx="5">
                  <c:v>5.128205128205128E-2</c:v>
                </c:pt>
                <c:pt idx="6">
                  <c:v>5.128205128205128E-2</c:v>
                </c:pt>
                <c:pt idx="7">
                  <c:v>2.564102564102564E-2</c:v>
                </c:pt>
              </c:numCache>
            </c:numRef>
          </c:val>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7"/>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0.17777777777777778"/>
                  <c:y val="7.8703703703703623E-2"/>
                </c:manualLayout>
              </c:layout>
              <c:spPr>
                <a:solidFill>
                  <a:schemeClr val="tx1"/>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pattFill prst="pct5">
                        <a:fgClr>
                          <a:schemeClr val="accent1"/>
                        </a:fgClr>
                        <a:bgClr>
                          <a:schemeClr val="bg1"/>
                        </a:bgClr>
                      </a:patt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8888888888888888"/>
                  <c:y val="-0.1388888888888889"/>
                </c:manualLayout>
              </c:layout>
              <c:spPr>
                <a:solidFill>
                  <a:schemeClr val="tx1"/>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pattFill prst="pct5">
                        <a:fgClr>
                          <a:schemeClr val="accent1"/>
                        </a:fgClr>
                        <a:bgClr>
                          <a:schemeClr val="bg1"/>
                        </a:bgClr>
                      </a:patt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solidFill>
                <a:schemeClr val="tx1"/>
              </a:solidFill>
            </c:spPr>
            <c:txPr>
              <a:bodyPr rot="0" spcFirstLastPara="1" vertOverflow="ellipsis" vert="horz" wrap="square" lIns="38100" tIns="19050" rIns="38100" bIns="19050" anchor="ctr" anchorCtr="1">
                <a:spAutoFit/>
              </a:bodyPr>
              <a:lstStyle/>
              <a:p>
                <a:pPr>
                  <a:defRPr sz="1000" b="1" i="0" u="none" strike="noStrike" kern="1200" spc="0" baseline="0">
                    <a:pattFill prst="pct5">
                      <a:fgClr>
                        <a:schemeClr val="accent1"/>
                      </a:fgClr>
                      <a:bgClr>
                        <a:schemeClr val="bg1"/>
                      </a:bgClr>
                    </a:patt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Sheet1!$B$20:$B$21</c:f>
              <c:strCache>
                <c:ptCount val="2"/>
                <c:pt idx="0">
                  <c:v>Health</c:v>
                </c:pt>
                <c:pt idx="1">
                  <c:v>Education </c:v>
                </c:pt>
              </c:strCache>
            </c:strRef>
          </c:cat>
          <c:val>
            <c:numRef>
              <c:f>Sheet1!$C$20:$C$21</c:f>
              <c:numCache>
                <c:formatCode>0%</c:formatCode>
                <c:ptCount val="2"/>
                <c:pt idx="0">
                  <c:v>0.37</c:v>
                </c:pt>
                <c:pt idx="1">
                  <c:v>0.63</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57DA4-5C1C-4EC3-A5F6-9A73F8150196}"/>
</file>

<file path=customXml/itemProps2.xml><?xml version="1.0" encoding="utf-8"?>
<ds:datastoreItem xmlns:ds="http://schemas.openxmlformats.org/officeDocument/2006/customXml" ds:itemID="{3E7164EA-FF77-4BCB-AB73-FFFBB46829F0}"/>
</file>

<file path=customXml/itemProps3.xml><?xml version="1.0" encoding="utf-8"?>
<ds:datastoreItem xmlns:ds="http://schemas.openxmlformats.org/officeDocument/2006/customXml" ds:itemID="{0AB8D67A-2D55-4BA0-86DD-8D8467B9A97A}"/>
</file>

<file path=customXml/itemProps4.xml><?xml version="1.0" encoding="utf-8"?>
<ds:datastoreItem xmlns:ds="http://schemas.openxmlformats.org/officeDocument/2006/customXml" ds:itemID="{362FD430-75B1-4F26-80AC-FE100771709E}"/>
</file>

<file path=docProps/app.xml><?xml version="1.0" encoding="utf-8"?>
<Properties xmlns="http://schemas.openxmlformats.org/officeDocument/2006/extended-properties" xmlns:vt="http://schemas.openxmlformats.org/officeDocument/2006/docPropsVTypes">
  <Template>E82670B4.dotm</Template>
  <TotalTime>0</TotalTime>
  <Pages>78</Pages>
  <Words>30649</Words>
  <Characters>172861</Characters>
  <Application>Microsoft Office Word</Application>
  <DocSecurity>0</DocSecurity>
  <Lines>4216</Lines>
  <Paragraphs>1785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201725</CharactersWithSpaces>
  <SharedDoc>false</SharedDoc>
  <HLinks>
    <vt:vector size="30" baseType="variant">
      <vt:variant>
        <vt:i4>1048627</vt:i4>
      </vt:variant>
      <vt:variant>
        <vt:i4>107</vt:i4>
      </vt:variant>
      <vt:variant>
        <vt:i4>0</vt:i4>
      </vt:variant>
      <vt:variant>
        <vt:i4>5</vt:i4>
      </vt:variant>
      <vt:variant>
        <vt:lpwstr/>
      </vt:variant>
      <vt:variant>
        <vt:lpwstr>_Toc253314359</vt:lpwstr>
      </vt:variant>
      <vt:variant>
        <vt:i4>1048627</vt:i4>
      </vt:variant>
      <vt:variant>
        <vt:i4>98</vt:i4>
      </vt:variant>
      <vt:variant>
        <vt:i4>0</vt:i4>
      </vt:variant>
      <vt:variant>
        <vt:i4>5</vt:i4>
      </vt:variant>
      <vt:variant>
        <vt:lpwstr/>
      </vt:variant>
      <vt:variant>
        <vt:lpwstr>_Toc253314358</vt:lpwstr>
      </vt:variant>
      <vt:variant>
        <vt:i4>1048627</vt:i4>
      </vt:variant>
      <vt:variant>
        <vt:i4>92</vt:i4>
      </vt:variant>
      <vt:variant>
        <vt:i4>0</vt:i4>
      </vt:variant>
      <vt:variant>
        <vt:i4>5</vt:i4>
      </vt:variant>
      <vt:variant>
        <vt:lpwstr/>
      </vt:variant>
      <vt:variant>
        <vt:lpwstr>_Toc253314357</vt:lpwstr>
      </vt:variant>
      <vt:variant>
        <vt:i4>1048627</vt:i4>
      </vt:variant>
      <vt:variant>
        <vt:i4>86</vt:i4>
      </vt:variant>
      <vt:variant>
        <vt:i4>0</vt:i4>
      </vt:variant>
      <vt:variant>
        <vt:i4>5</vt:i4>
      </vt:variant>
      <vt:variant>
        <vt:lpwstr/>
      </vt:variant>
      <vt:variant>
        <vt:lpwstr>_Toc253314356</vt:lpwstr>
      </vt:variant>
      <vt:variant>
        <vt:i4>1048627</vt:i4>
      </vt:variant>
      <vt:variant>
        <vt:i4>80</vt:i4>
      </vt:variant>
      <vt:variant>
        <vt:i4>0</vt:i4>
      </vt:variant>
      <vt:variant>
        <vt:i4>5</vt:i4>
      </vt:variant>
      <vt:variant>
        <vt:lpwstr/>
      </vt:variant>
      <vt:variant>
        <vt:lpwstr>_Toc253314355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2015-11-05T05:35:00Z</dcterms:created>
  <dcterms:modified xsi:type="dcterms:W3CDTF">2015-11-05T05:36:00Z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988000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