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30" w:rsidRDefault="000E673E" w:rsidP="002B0F30">
      <w:pPr>
        <w:pStyle w:val="Title"/>
        <w:ind w:left="2694" w:right="-624"/>
        <w:rPr>
          <w:noProof/>
          <w:color w:val="FFFFFF"/>
          <w:spacing w:val="0"/>
          <w:sz w:val="50"/>
          <w:szCs w:val="50"/>
          <w:lang w:val="en-US" w:eastAsia="en-US"/>
        </w:rPr>
      </w:pPr>
      <w:bookmarkStart w:id="0" w:name="_Toc373853205"/>
      <w:bookmarkStart w:id="1" w:name="_GoBack"/>
      <w:bookmarkEnd w:id="1"/>
      <w:r>
        <w:rPr>
          <w:noProof/>
          <w:color w:val="FFFFFF"/>
          <w:spacing w:val="0"/>
          <w:sz w:val="50"/>
          <w:szCs w:val="50"/>
          <w:lang w:val="en-US" w:eastAsia="en-US"/>
        </w:rPr>
        <w:t>.</w:t>
      </w:r>
    </w:p>
    <w:p w:rsidR="000E673E" w:rsidRPr="000E673E" w:rsidRDefault="000E673E" w:rsidP="000E673E">
      <w:pPr>
        <w:rPr>
          <w:lang w:val="en-US" w:eastAsia="en-US"/>
        </w:rPr>
      </w:pPr>
    </w:p>
    <w:p w:rsidR="002B0F30" w:rsidRDefault="002B0F30" w:rsidP="002B0F30">
      <w:pPr>
        <w:pStyle w:val="Title"/>
        <w:ind w:left="2694" w:right="-624"/>
        <w:rPr>
          <w:noProof/>
          <w:color w:val="FFFFFF"/>
          <w:spacing w:val="0"/>
          <w:sz w:val="50"/>
          <w:szCs w:val="50"/>
          <w:lang w:val="en-US" w:eastAsia="en-US"/>
        </w:rPr>
      </w:pPr>
    </w:p>
    <w:p w:rsidR="002B0F30" w:rsidRDefault="002B0F30" w:rsidP="002B0F30">
      <w:pPr>
        <w:pStyle w:val="Title"/>
        <w:ind w:left="2694" w:right="-624"/>
        <w:rPr>
          <w:noProof/>
          <w:color w:val="FFFFFF"/>
          <w:spacing w:val="0"/>
          <w:sz w:val="50"/>
          <w:szCs w:val="50"/>
          <w:lang w:val="en-US" w:eastAsia="en-US"/>
        </w:rPr>
      </w:pPr>
    </w:p>
    <w:p w:rsidR="002B0F30" w:rsidRDefault="002B0F30" w:rsidP="002B0F30">
      <w:pPr>
        <w:pStyle w:val="Title"/>
        <w:ind w:left="2694" w:right="-624"/>
        <w:rPr>
          <w:noProof/>
          <w:color w:val="FFFFFF"/>
          <w:spacing w:val="0"/>
          <w:sz w:val="50"/>
          <w:szCs w:val="50"/>
          <w:lang w:val="en-US" w:eastAsia="en-US"/>
        </w:rPr>
      </w:pPr>
    </w:p>
    <w:p w:rsidR="002B0F30" w:rsidRDefault="002B0F30" w:rsidP="002B0F30">
      <w:pPr>
        <w:pStyle w:val="Title"/>
        <w:ind w:left="2694" w:right="-624"/>
        <w:rPr>
          <w:noProof/>
          <w:color w:val="FFFFFF"/>
          <w:spacing w:val="0"/>
          <w:sz w:val="50"/>
          <w:szCs w:val="50"/>
          <w:lang w:val="en-US" w:eastAsia="en-US"/>
        </w:rPr>
      </w:pPr>
    </w:p>
    <w:p w:rsidR="002B0F30" w:rsidRDefault="002B0F30" w:rsidP="002B0F30">
      <w:pPr>
        <w:pStyle w:val="Title"/>
        <w:ind w:left="2694" w:right="-624"/>
        <w:rPr>
          <w:noProof/>
          <w:color w:val="FFFFFF"/>
          <w:spacing w:val="0"/>
          <w:sz w:val="50"/>
          <w:szCs w:val="50"/>
          <w:lang w:val="en-US" w:eastAsia="en-US"/>
        </w:rPr>
      </w:pPr>
    </w:p>
    <w:p w:rsidR="002B0F30" w:rsidRDefault="002B0F30" w:rsidP="002B0F30">
      <w:pPr>
        <w:pStyle w:val="Title"/>
        <w:ind w:left="2694" w:right="-624"/>
        <w:rPr>
          <w:noProof/>
          <w:color w:val="FFFFFF"/>
          <w:spacing w:val="0"/>
          <w:sz w:val="50"/>
          <w:szCs w:val="50"/>
          <w:lang w:val="en-US" w:eastAsia="en-US"/>
        </w:rPr>
      </w:pPr>
    </w:p>
    <w:p w:rsidR="002B0F30" w:rsidRDefault="002B0F30" w:rsidP="002B0F30">
      <w:pPr>
        <w:pStyle w:val="Title"/>
        <w:ind w:left="2694" w:right="-624"/>
        <w:rPr>
          <w:noProof/>
          <w:color w:val="FFFFFF"/>
          <w:spacing w:val="0"/>
          <w:sz w:val="50"/>
          <w:szCs w:val="50"/>
          <w:lang w:val="en-US" w:eastAsia="en-US"/>
        </w:rPr>
      </w:pPr>
    </w:p>
    <w:p w:rsidR="002B0F30" w:rsidRDefault="002B0F30" w:rsidP="002B0F30">
      <w:pPr>
        <w:pStyle w:val="Title"/>
        <w:ind w:left="2694" w:right="-624"/>
        <w:rPr>
          <w:noProof/>
          <w:color w:val="FFFFFF"/>
          <w:spacing w:val="0"/>
          <w:sz w:val="50"/>
          <w:szCs w:val="50"/>
          <w:lang w:val="en-US" w:eastAsia="en-US"/>
        </w:rPr>
      </w:pPr>
    </w:p>
    <w:p w:rsidR="002B0F30" w:rsidRDefault="002B0F30" w:rsidP="002B0F30">
      <w:pPr>
        <w:pStyle w:val="Title"/>
        <w:ind w:left="2694" w:right="-624"/>
        <w:rPr>
          <w:noProof/>
          <w:color w:val="FFFFFF"/>
          <w:spacing w:val="0"/>
          <w:sz w:val="50"/>
          <w:szCs w:val="50"/>
          <w:lang w:val="en-US" w:eastAsia="en-US"/>
        </w:rPr>
      </w:pPr>
    </w:p>
    <w:p w:rsidR="002B0F30" w:rsidRDefault="002B0F30" w:rsidP="002B0F30">
      <w:pPr>
        <w:pStyle w:val="Title"/>
        <w:ind w:left="2694" w:right="-624"/>
        <w:rPr>
          <w:noProof/>
          <w:color w:val="FFFFFF"/>
          <w:spacing w:val="0"/>
          <w:sz w:val="50"/>
          <w:szCs w:val="50"/>
          <w:lang w:val="en-US" w:eastAsia="en-US"/>
        </w:rPr>
      </w:pPr>
    </w:p>
    <w:p w:rsidR="002B0F30" w:rsidRPr="001227C3" w:rsidRDefault="00DD5A9A" w:rsidP="002B0F30">
      <w:pPr>
        <w:pStyle w:val="Title"/>
        <w:ind w:left="2694" w:right="-624"/>
        <w:rPr>
          <w:noProof/>
          <w:color w:val="FFFFFF"/>
          <w:spacing w:val="0"/>
          <w:sz w:val="50"/>
          <w:szCs w:val="50"/>
          <w:lang w:val="en-US" w:eastAsia="en-US"/>
        </w:rPr>
      </w:pPr>
      <w:r>
        <w:rPr>
          <w:noProof/>
          <w:color w:val="FFFFFF"/>
          <w:spacing w:val="0"/>
          <w:sz w:val="50"/>
          <w:szCs w:val="50"/>
          <w:lang w:val="en-US" w:eastAsia="en-US"/>
        </w:rPr>
        <w:t>A</w:t>
      </w:r>
      <w:r w:rsidR="00337F24">
        <w:rPr>
          <w:noProof/>
          <w:color w:val="FFFFFF"/>
          <w:spacing w:val="0"/>
          <w:sz w:val="50"/>
          <w:szCs w:val="50"/>
          <w:lang w:val="en-US" w:eastAsia="en-US"/>
        </w:rPr>
        <w:t>id</w:t>
      </w:r>
      <w:r w:rsidR="002B0F30" w:rsidRPr="001227C3">
        <w:rPr>
          <w:noProof/>
          <w:color w:val="FFFFFF"/>
          <w:spacing w:val="0"/>
          <w:sz w:val="50"/>
          <w:szCs w:val="50"/>
          <w:lang w:val="en-US" w:eastAsia="en-US"/>
        </w:rPr>
        <w:t xml:space="preserve"> Program Performance Report 2013-14 </w:t>
      </w:r>
      <w:r w:rsidR="002B0F30" w:rsidRPr="001227C3">
        <w:rPr>
          <w:noProof/>
          <w:color w:val="FFFFFF"/>
          <w:spacing w:val="0"/>
          <w:sz w:val="50"/>
          <w:szCs w:val="50"/>
        </w:rPr>
        <w:drawing>
          <wp:anchor distT="0" distB="0" distL="114300" distR="114300" simplePos="0" relativeHeight="251673600" behindDoc="1" locked="1" layoutInCell="1" allowOverlap="1" wp14:anchorId="747980EB" wp14:editId="7453A6B6">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0F30" w:rsidRDefault="002B0F30" w:rsidP="002B0F30">
      <w:pPr>
        <w:pStyle w:val="Subtitle"/>
        <w:ind w:left="2694" w:right="-624"/>
        <w:rPr>
          <w:noProof/>
          <w:color w:val="FFFFFF"/>
          <w:spacing w:val="0"/>
          <w:sz w:val="32"/>
          <w:szCs w:val="32"/>
          <w:lang w:val="en-US" w:eastAsia="en-US"/>
        </w:rPr>
      </w:pPr>
      <w:r>
        <w:rPr>
          <w:noProof/>
          <w:color w:val="FFFFFF"/>
          <w:spacing w:val="0"/>
          <w:sz w:val="32"/>
          <w:szCs w:val="32"/>
          <w:lang w:val="en-US" w:eastAsia="en-US"/>
        </w:rPr>
        <w:t>Papua New Guinea</w:t>
      </w:r>
    </w:p>
    <w:p w:rsidR="00333D09" w:rsidRPr="00333D09" w:rsidRDefault="00333D09" w:rsidP="00333D09">
      <w:pPr>
        <w:rPr>
          <w:lang w:val="en-US" w:eastAsia="en-US"/>
        </w:rPr>
      </w:pPr>
      <w:r>
        <w:rPr>
          <w:lang w:val="en-US" w:eastAsia="en-US"/>
        </w:rPr>
        <w:tab/>
      </w:r>
    </w:p>
    <w:p w:rsidR="002B0F30" w:rsidRDefault="002B0F30" w:rsidP="002B0F30">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2B0F30" w:rsidRDefault="002B0F30">
      <w:pPr>
        <w:spacing w:after="200" w:line="276" w:lineRule="auto"/>
        <w:rPr>
          <w:b/>
          <w:sz w:val="28"/>
        </w:rPr>
      </w:pPr>
      <w:r w:rsidRPr="002B0F30">
        <w:rPr>
          <w:noProof/>
          <w:color w:val="FFFFFF"/>
          <w:sz w:val="50"/>
          <w:szCs w:val="50"/>
        </w:rPr>
        <w:drawing>
          <wp:anchor distT="0" distB="0" distL="114300" distR="114300" simplePos="0" relativeHeight="251671552" behindDoc="1" locked="1" layoutInCell="1" allowOverlap="1" wp14:anchorId="482F9152" wp14:editId="63E6E4B5">
            <wp:simplePos x="0" y="0"/>
            <wp:positionH relativeFrom="page">
              <wp:posOffset>152400</wp:posOffset>
            </wp:positionH>
            <wp:positionV relativeFrom="page">
              <wp:posOffset>152400</wp:posOffset>
            </wp:positionV>
            <wp:extent cx="7558405" cy="10691495"/>
            <wp:effectExtent l="0" t="0" r="4445" b="0"/>
            <wp:wrapNone/>
            <wp:docPr id="3" name="Picture 3"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rPr>
        <w:br w:type="page"/>
      </w:r>
    </w:p>
    <w:p w:rsidR="00257C4A" w:rsidRDefault="00257C4A" w:rsidP="00770A18">
      <w:pPr>
        <w:pStyle w:val="Heading2"/>
        <w:jc w:val="both"/>
        <w:rPr>
          <w:rFonts w:asciiTheme="minorHAnsi" w:hAnsiTheme="minorHAnsi" w:cstheme="minorHAnsi"/>
          <w:b/>
          <w:szCs w:val="24"/>
        </w:rPr>
      </w:pPr>
      <w:r>
        <w:rPr>
          <w:rFonts w:asciiTheme="minorHAnsi" w:hAnsiTheme="minorHAnsi" w:cstheme="minorHAnsi"/>
          <w:b/>
          <w:szCs w:val="24"/>
        </w:rPr>
        <w:lastRenderedPageBreak/>
        <w:t>Purpose</w:t>
      </w:r>
    </w:p>
    <w:p w:rsidR="00257C4A" w:rsidRPr="00703589" w:rsidRDefault="00257C4A" w:rsidP="00257C4A">
      <w:pPr>
        <w:pStyle w:val="BodyText"/>
        <w:rPr>
          <w:rFonts w:asciiTheme="minorHAnsi" w:hAnsiTheme="minorHAnsi" w:cstheme="minorHAnsi"/>
          <w:sz w:val="22"/>
          <w:szCs w:val="22"/>
        </w:rPr>
      </w:pPr>
      <w:r w:rsidRPr="00894779">
        <w:rPr>
          <w:rFonts w:asciiTheme="minorHAnsi" w:hAnsiTheme="minorHAnsi" w:cstheme="minorHAnsi"/>
          <w:sz w:val="22"/>
          <w:szCs w:val="22"/>
        </w:rPr>
        <w:t>This annual report (APPR) provides an overview of the performance of Australia’s bilateral aid program in Papua New Guinea (PNG) for the financial year 2013-14. The APPR for the Pacific Regional aid program details the performance of some additional region-wide activities that support PNG.</w:t>
      </w:r>
    </w:p>
    <w:p w:rsidR="002B0F30" w:rsidRPr="00D86B6F" w:rsidRDefault="002B0F30" w:rsidP="00770A18">
      <w:pPr>
        <w:pStyle w:val="Heading2"/>
        <w:jc w:val="both"/>
        <w:rPr>
          <w:rStyle w:val="BodyTextChar"/>
          <w:rFonts w:asciiTheme="minorHAnsi" w:hAnsiTheme="minorHAnsi" w:cstheme="minorHAnsi"/>
          <w:color w:val="auto"/>
          <w:sz w:val="24"/>
        </w:rPr>
      </w:pPr>
      <w:r w:rsidRPr="00D86B6F">
        <w:rPr>
          <w:rFonts w:asciiTheme="minorHAnsi" w:hAnsiTheme="minorHAnsi" w:cstheme="minorHAnsi"/>
          <w:b/>
          <w:szCs w:val="24"/>
        </w:rPr>
        <w:t>Key Messages</w:t>
      </w:r>
      <w:bookmarkEnd w:id="0"/>
      <w:r w:rsidRPr="00D86B6F">
        <w:rPr>
          <w:rFonts w:asciiTheme="minorHAnsi" w:hAnsiTheme="minorHAnsi" w:cstheme="minorHAnsi"/>
          <w:szCs w:val="24"/>
        </w:rPr>
        <w:tab/>
      </w:r>
    </w:p>
    <w:p w:rsidR="005C0879" w:rsidRPr="00894779" w:rsidRDefault="00D75B69" w:rsidP="005C0879">
      <w:pPr>
        <w:pStyle w:val="BodyText"/>
        <w:rPr>
          <w:rFonts w:asciiTheme="minorHAnsi" w:hAnsiTheme="minorHAnsi" w:cstheme="minorHAnsi"/>
          <w:sz w:val="22"/>
          <w:szCs w:val="22"/>
        </w:rPr>
      </w:pPr>
      <w:r w:rsidRPr="00894779">
        <w:rPr>
          <w:rFonts w:asciiTheme="minorHAnsi" w:hAnsiTheme="minorHAnsi" w:cstheme="minorHAnsi"/>
          <w:sz w:val="22"/>
          <w:szCs w:val="22"/>
        </w:rPr>
        <w:t>PNG is Australia’s nearest neighbour and a close regional partner</w:t>
      </w:r>
      <w:r w:rsidR="00DB4511" w:rsidRPr="00894779">
        <w:rPr>
          <w:rFonts w:asciiTheme="minorHAnsi" w:hAnsiTheme="minorHAnsi" w:cstheme="minorHAnsi"/>
          <w:sz w:val="22"/>
          <w:szCs w:val="22"/>
        </w:rPr>
        <w:t xml:space="preserve">, with Australia </w:t>
      </w:r>
      <w:r w:rsidR="003F1DA2" w:rsidRPr="00894779">
        <w:rPr>
          <w:rFonts w:asciiTheme="minorHAnsi" w:hAnsiTheme="minorHAnsi" w:cstheme="minorHAnsi"/>
          <w:sz w:val="22"/>
          <w:szCs w:val="22"/>
        </w:rPr>
        <w:t>its</w:t>
      </w:r>
      <w:r w:rsidR="00DB4511" w:rsidRPr="00894779">
        <w:rPr>
          <w:rFonts w:asciiTheme="minorHAnsi" w:hAnsiTheme="minorHAnsi" w:cstheme="minorHAnsi"/>
          <w:sz w:val="22"/>
          <w:szCs w:val="22"/>
        </w:rPr>
        <w:t xml:space="preserve"> </w:t>
      </w:r>
      <w:r w:rsidR="00DD40C7" w:rsidRPr="00894779">
        <w:rPr>
          <w:rFonts w:asciiTheme="minorHAnsi" w:hAnsiTheme="minorHAnsi" w:cstheme="minorHAnsi"/>
          <w:sz w:val="22"/>
          <w:szCs w:val="22"/>
        </w:rPr>
        <w:t>largest</w:t>
      </w:r>
      <w:r w:rsidR="00DB4511" w:rsidRPr="00894779">
        <w:rPr>
          <w:rFonts w:asciiTheme="minorHAnsi" w:hAnsiTheme="minorHAnsi" w:cstheme="minorHAnsi"/>
          <w:sz w:val="22"/>
          <w:szCs w:val="22"/>
        </w:rPr>
        <w:t xml:space="preserve"> donor. </w:t>
      </w:r>
      <w:r w:rsidRPr="00894779">
        <w:rPr>
          <w:rFonts w:asciiTheme="minorHAnsi" w:hAnsiTheme="minorHAnsi" w:cstheme="minorHAnsi"/>
          <w:sz w:val="22"/>
          <w:szCs w:val="22"/>
        </w:rPr>
        <w:t xml:space="preserve">Australia’s aid expenditure in 2013-14 ($519.4 million) continued to support reforms and service delivery in PNG across the four key sectors of health and HIV, education, transport and law and justice, as well as support to governance - as agreed under the current </w:t>
      </w:r>
      <w:r w:rsidR="008769F8" w:rsidRPr="00894779">
        <w:rPr>
          <w:rFonts w:asciiTheme="minorHAnsi" w:hAnsiTheme="minorHAnsi" w:cstheme="minorHAnsi"/>
          <w:sz w:val="22"/>
          <w:szCs w:val="22"/>
        </w:rPr>
        <w:t>PNG-Australia</w:t>
      </w:r>
      <w:r w:rsidRPr="00894779">
        <w:rPr>
          <w:rFonts w:asciiTheme="minorHAnsi" w:hAnsiTheme="minorHAnsi" w:cstheme="minorHAnsi"/>
          <w:sz w:val="22"/>
          <w:szCs w:val="22"/>
        </w:rPr>
        <w:t xml:space="preserve"> Partnership for Development (P4D). Priority was also given to the start-up of commitments under the $420 million </w:t>
      </w:r>
      <w:r w:rsidRPr="00894779">
        <w:rPr>
          <w:rFonts w:asciiTheme="minorHAnsi" w:hAnsiTheme="minorHAnsi" w:cstheme="minorHAnsi"/>
          <w:i/>
          <w:sz w:val="22"/>
          <w:szCs w:val="22"/>
        </w:rPr>
        <w:t>PNG-Australia Joint Understanding on Further Bilateral Cooperation on Health, Education and Law and Order (JU),</w:t>
      </w:r>
      <w:r w:rsidRPr="00894779">
        <w:rPr>
          <w:rFonts w:asciiTheme="minorHAnsi" w:hAnsiTheme="minorHAnsi" w:cstheme="minorHAnsi"/>
          <w:sz w:val="22"/>
          <w:szCs w:val="22"/>
        </w:rPr>
        <w:t xml:space="preserve"> which was signed by Prime Minister O’Neill and former Prime Minister Rudd in July 2013 and reaffirmed by the new Australian Government in December 2013. </w:t>
      </w:r>
    </w:p>
    <w:p w:rsidR="009075E3" w:rsidRPr="005C0879" w:rsidRDefault="007F3919" w:rsidP="005C0879">
      <w:pPr>
        <w:pStyle w:val="BodyText"/>
        <w:rPr>
          <w:rFonts w:asciiTheme="minorHAnsi" w:hAnsiTheme="minorHAnsi" w:cstheme="minorHAnsi"/>
          <w:sz w:val="22"/>
          <w:szCs w:val="22"/>
        </w:rPr>
      </w:pPr>
      <w:r w:rsidRPr="00894779">
        <w:rPr>
          <w:rFonts w:asciiTheme="minorHAnsi" w:hAnsiTheme="minorHAnsi" w:cstheme="minorHAnsi"/>
          <w:sz w:val="22"/>
          <w:szCs w:val="22"/>
        </w:rPr>
        <w:t xml:space="preserve">The JU </w:t>
      </w:r>
      <w:r w:rsidR="004C1B2A" w:rsidRPr="00894779">
        <w:rPr>
          <w:rFonts w:asciiTheme="minorHAnsi" w:hAnsiTheme="minorHAnsi" w:cstheme="minorHAnsi"/>
          <w:sz w:val="22"/>
          <w:szCs w:val="22"/>
        </w:rPr>
        <w:t xml:space="preserve">included several large investments </w:t>
      </w:r>
      <w:r w:rsidRPr="00894779">
        <w:rPr>
          <w:rFonts w:asciiTheme="minorHAnsi" w:hAnsiTheme="minorHAnsi" w:cstheme="minorHAnsi"/>
          <w:sz w:val="22"/>
          <w:szCs w:val="22"/>
        </w:rPr>
        <w:t xml:space="preserve">in these priority sectors. </w:t>
      </w:r>
      <w:r w:rsidR="004C1B2A" w:rsidRPr="00894779">
        <w:rPr>
          <w:rFonts w:asciiTheme="minorHAnsi" w:hAnsiTheme="minorHAnsi" w:cstheme="minorHAnsi"/>
          <w:sz w:val="22"/>
          <w:szCs w:val="22"/>
        </w:rPr>
        <w:t>Much of this additional funding will support major infrastructure projects, including the reconstruction of the Lae ANGAU Hospital</w:t>
      </w:r>
      <w:r w:rsidR="009075E3" w:rsidRPr="00894779">
        <w:rPr>
          <w:rFonts w:asciiTheme="minorHAnsi" w:hAnsiTheme="minorHAnsi" w:cstheme="minorHAnsi"/>
          <w:sz w:val="22"/>
          <w:szCs w:val="22"/>
        </w:rPr>
        <w:t xml:space="preserve"> and improvements to infrastructure at the University of Papua New Guinea. The JU will also facilitate the scoping and design of an improved Ramu Highway and the Magisterial Court complex in Port Moresby. Through the JU, 50 Australian Federal Police advisors have been deployed in Port Moresby and Lae to support the Royal PNG Constabulary (RPNGC).</w:t>
      </w:r>
    </w:p>
    <w:p w:rsidR="00B50CD6" w:rsidRPr="005C0879" w:rsidRDefault="00B50CD6" w:rsidP="005C0879">
      <w:pPr>
        <w:pStyle w:val="BodyText"/>
        <w:rPr>
          <w:rFonts w:asciiTheme="minorHAnsi" w:hAnsiTheme="minorHAnsi" w:cstheme="minorHAnsi"/>
          <w:sz w:val="22"/>
          <w:szCs w:val="22"/>
        </w:rPr>
      </w:pPr>
      <w:r w:rsidRPr="005C0879">
        <w:rPr>
          <w:rFonts w:asciiTheme="minorHAnsi" w:hAnsiTheme="minorHAnsi" w:cstheme="minorHAnsi"/>
          <w:sz w:val="22"/>
          <w:szCs w:val="22"/>
        </w:rPr>
        <w:t>The results for Australia’s aid program to PNG in 2013-14 varied between sectors. Good progress was made towards outcomes in health and HIV</w:t>
      </w:r>
      <w:r w:rsidR="003F1DA2" w:rsidRPr="005C0879">
        <w:rPr>
          <w:rFonts w:asciiTheme="minorHAnsi" w:hAnsiTheme="minorHAnsi" w:cstheme="minorHAnsi"/>
          <w:sz w:val="22"/>
          <w:szCs w:val="22"/>
        </w:rPr>
        <w:t>,</w:t>
      </w:r>
      <w:r w:rsidRPr="005C0879">
        <w:rPr>
          <w:rFonts w:asciiTheme="minorHAnsi" w:hAnsiTheme="minorHAnsi" w:cstheme="minorHAnsi"/>
          <w:sz w:val="22"/>
          <w:szCs w:val="22"/>
        </w:rPr>
        <w:t xml:space="preserve"> and transport infrastructure investments achieved their targets for road rehabilitation. Modest gains were made from education and law and justice investments. The challenging political and security environment in PNG limited the achievement of outcomes for Australian-supported activities in the governance sector while deep-rooted socio-economic issues affected progress on programs designed to advance gender equality and women’s empowerment. </w:t>
      </w:r>
    </w:p>
    <w:p w:rsidR="003925A0" w:rsidRPr="005C0879" w:rsidRDefault="003925A0" w:rsidP="005C0879">
      <w:pPr>
        <w:pStyle w:val="BodyText"/>
        <w:rPr>
          <w:rFonts w:asciiTheme="minorHAnsi" w:hAnsiTheme="minorHAnsi" w:cstheme="minorHAnsi"/>
          <w:sz w:val="22"/>
          <w:szCs w:val="22"/>
        </w:rPr>
      </w:pPr>
      <w:r w:rsidRPr="005C0879">
        <w:rPr>
          <w:rFonts w:asciiTheme="minorHAnsi" w:hAnsiTheme="minorHAnsi" w:cstheme="minorHAnsi"/>
          <w:sz w:val="22"/>
          <w:szCs w:val="22"/>
        </w:rPr>
        <w:t xml:space="preserve">An assessment of the PNG aid program </w:t>
      </w:r>
      <w:r w:rsidR="004C1B2A" w:rsidRPr="005C0879">
        <w:rPr>
          <w:rFonts w:asciiTheme="minorHAnsi" w:hAnsiTheme="minorHAnsi" w:cstheme="minorHAnsi"/>
          <w:sz w:val="22"/>
          <w:szCs w:val="22"/>
        </w:rPr>
        <w:t>undertaken in early 2014</w:t>
      </w:r>
      <w:r w:rsidR="007F3919" w:rsidRPr="005C0879">
        <w:rPr>
          <w:rFonts w:asciiTheme="minorHAnsi" w:hAnsiTheme="minorHAnsi" w:cstheme="minorHAnsi"/>
          <w:sz w:val="22"/>
          <w:szCs w:val="22"/>
        </w:rPr>
        <w:t xml:space="preserve"> </w:t>
      </w:r>
      <w:r w:rsidR="00257C4A" w:rsidRPr="005C0879">
        <w:rPr>
          <w:rFonts w:asciiTheme="minorHAnsi" w:hAnsiTheme="minorHAnsi" w:cstheme="minorHAnsi"/>
          <w:sz w:val="22"/>
          <w:szCs w:val="22"/>
        </w:rPr>
        <w:t>by the Australian Government</w:t>
      </w:r>
      <w:r w:rsidR="00B50CD6" w:rsidRPr="005C0879">
        <w:rPr>
          <w:rFonts w:asciiTheme="minorHAnsi" w:hAnsiTheme="minorHAnsi" w:cstheme="minorHAnsi"/>
          <w:sz w:val="22"/>
          <w:szCs w:val="22"/>
        </w:rPr>
        <w:t xml:space="preserve"> </w:t>
      </w:r>
      <w:r w:rsidRPr="005C0879">
        <w:rPr>
          <w:rFonts w:asciiTheme="minorHAnsi" w:hAnsiTheme="minorHAnsi" w:cstheme="minorHAnsi"/>
          <w:sz w:val="22"/>
          <w:szCs w:val="22"/>
        </w:rPr>
        <w:t>considered ways in which Australia’s aid program could more closely align wit</w:t>
      </w:r>
      <w:r w:rsidR="00060FB3" w:rsidRPr="005C0879">
        <w:rPr>
          <w:rFonts w:asciiTheme="minorHAnsi" w:hAnsiTheme="minorHAnsi" w:cstheme="minorHAnsi"/>
          <w:sz w:val="22"/>
          <w:szCs w:val="22"/>
        </w:rPr>
        <w:t>h both Government</w:t>
      </w:r>
      <w:r w:rsidRPr="005C0879">
        <w:rPr>
          <w:rFonts w:asciiTheme="minorHAnsi" w:hAnsiTheme="minorHAnsi" w:cstheme="minorHAnsi"/>
          <w:sz w:val="22"/>
          <w:szCs w:val="22"/>
        </w:rPr>
        <w:t>s</w:t>
      </w:r>
      <w:r w:rsidR="00060FB3" w:rsidRPr="005C0879">
        <w:rPr>
          <w:rFonts w:asciiTheme="minorHAnsi" w:hAnsiTheme="minorHAnsi" w:cstheme="minorHAnsi"/>
          <w:sz w:val="22"/>
          <w:szCs w:val="22"/>
        </w:rPr>
        <w:t>’</w:t>
      </w:r>
      <w:r w:rsidRPr="005C0879">
        <w:rPr>
          <w:rFonts w:asciiTheme="minorHAnsi" w:hAnsiTheme="minorHAnsi" w:cstheme="minorHAnsi"/>
          <w:sz w:val="22"/>
          <w:szCs w:val="22"/>
        </w:rPr>
        <w:t xml:space="preserve"> priorities</w:t>
      </w:r>
      <w:r w:rsidR="007F3919" w:rsidRPr="005C0879">
        <w:rPr>
          <w:rFonts w:asciiTheme="minorHAnsi" w:hAnsiTheme="minorHAnsi" w:cstheme="minorHAnsi"/>
          <w:sz w:val="22"/>
          <w:szCs w:val="22"/>
        </w:rPr>
        <w:t xml:space="preserve">. This included </w:t>
      </w:r>
      <w:r w:rsidR="00B50CD6" w:rsidRPr="005C0879">
        <w:rPr>
          <w:rFonts w:asciiTheme="minorHAnsi" w:hAnsiTheme="minorHAnsi" w:cstheme="minorHAnsi"/>
          <w:sz w:val="22"/>
          <w:szCs w:val="22"/>
        </w:rPr>
        <w:t>options</w:t>
      </w:r>
      <w:r w:rsidRPr="005C0879">
        <w:rPr>
          <w:rFonts w:asciiTheme="minorHAnsi" w:hAnsiTheme="minorHAnsi" w:cstheme="minorHAnsi"/>
          <w:sz w:val="22"/>
          <w:szCs w:val="22"/>
        </w:rPr>
        <w:t xml:space="preserve"> to </w:t>
      </w:r>
      <w:r w:rsidR="007F3919" w:rsidRPr="005C0879">
        <w:rPr>
          <w:rFonts w:asciiTheme="minorHAnsi" w:hAnsiTheme="minorHAnsi" w:cstheme="minorHAnsi"/>
          <w:sz w:val="22"/>
          <w:szCs w:val="22"/>
        </w:rPr>
        <w:t xml:space="preserve">better </w:t>
      </w:r>
      <w:r w:rsidRPr="005C0879">
        <w:rPr>
          <w:rFonts w:asciiTheme="minorHAnsi" w:hAnsiTheme="minorHAnsi" w:cstheme="minorHAnsi"/>
          <w:sz w:val="22"/>
          <w:szCs w:val="22"/>
        </w:rPr>
        <w:t xml:space="preserve">address key constraints to economic growth and equitable development in PNG. The recommendations of this aid </w:t>
      </w:r>
      <w:r w:rsidR="00B50CD6" w:rsidRPr="005C0879">
        <w:rPr>
          <w:rFonts w:asciiTheme="minorHAnsi" w:hAnsiTheme="minorHAnsi" w:cstheme="minorHAnsi"/>
          <w:sz w:val="22"/>
          <w:szCs w:val="22"/>
        </w:rPr>
        <w:t xml:space="preserve">assessment – which have been agreed by the Australian and PNG Governments - together with Australia’s new </w:t>
      </w:r>
      <w:r w:rsidR="00B50CD6" w:rsidRPr="005C0879">
        <w:rPr>
          <w:rFonts w:asciiTheme="minorHAnsi" w:eastAsiaTheme="minorHAnsi" w:hAnsiTheme="minorHAnsi" w:cstheme="minorHAnsi"/>
          <w:color w:val="262626"/>
          <w:sz w:val="22"/>
          <w:szCs w:val="22"/>
          <w:lang w:val="en-US" w:eastAsia="en-US"/>
        </w:rPr>
        <w:t>development policy, ‘</w:t>
      </w:r>
      <w:r w:rsidR="00B50CD6" w:rsidRPr="005C0879">
        <w:rPr>
          <w:rFonts w:asciiTheme="minorHAnsi" w:eastAsiaTheme="minorHAnsi" w:hAnsiTheme="minorHAnsi" w:cstheme="minorHAnsi"/>
          <w:i/>
          <w:iCs/>
          <w:color w:val="262626"/>
          <w:sz w:val="22"/>
          <w:szCs w:val="22"/>
          <w:lang w:val="en-US" w:eastAsia="en-US"/>
        </w:rPr>
        <w:t>Australian aid: promoting prosperity, reducing poverty, enhancing stability’,</w:t>
      </w:r>
      <w:r w:rsidR="00B50CD6" w:rsidRPr="005C0879">
        <w:rPr>
          <w:rFonts w:asciiTheme="minorHAnsi" w:hAnsiTheme="minorHAnsi" w:cstheme="minorHAnsi"/>
          <w:sz w:val="22"/>
          <w:szCs w:val="22"/>
        </w:rPr>
        <w:t xml:space="preserve"> will inform the direction of Australia’s aid program from 2014-15.</w:t>
      </w:r>
    </w:p>
    <w:p w:rsidR="00B50CD6" w:rsidRPr="005C0879" w:rsidRDefault="00B50CD6" w:rsidP="005C0879">
      <w:pPr>
        <w:pStyle w:val="BodyText"/>
        <w:rPr>
          <w:rFonts w:asciiTheme="minorHAnsi" w:hAnsiTheme="minorHAnsi" w:cstheme="minorHAnsi"/>
          <w:sz w:val="22"/>
          <w:szCs w:val="22"/>
        </w:rPr>
      </w:pPr>
      <w:r w:rsidRPr="005C0879">
        <w:rPr>
          <w:rFonts w:asciiTheme="minorHAnsi" w:hAnsiTheme="minorHAnsi" w:cstheme="minorHAnsi"/>
          <w:sz w:val="22"/>
          <w:szCs w:val="22"/>
        </w:rPr>
        <w:t xml:space="preserve">An Australian Aid Investment Plan for PNG and a new aid partnership arrangement between PNG and Australia will be finalised by mid-2015. The partnership arrangement, which will supersede the </w:t>
      </w:r>
      <w:r w:rsidR="008769F8" w:rsidRPr="005C0879">
        <w:rPr>
          <w:rFonts w:asciiTheme="minorHAnsi" w:hAnsiTheme="minorHAnsi" w:cstheme="minorHAnsi"/>
          <w:sz w:val="22"/>
          <w:szCs w:val="22"/>
        </w:rPr>
        <w:t>PNG-</w:t>
      </w:r>
      <w:r w:rsidRPr="005C0879">
        <w:rPr>
          <w:rFonts w:asciiTheme="minorHAnsi" w:hAnsiTheme="minorHAnsi" w:cstheme="minorHAnsi"/>
          <w:sz w:val="22"/>
          <w:szCs w:val="22"/>
        </w:rPr>
        <w:t xml:space="preserve">Australia Partnership for Development, will include agreed performance benchmarks and mutual obligations for both governments. It will also highlight opportunities to work in innovative ways with the private sector to promote economic growth and human development. </w:t>
      </w:r>
    </w:p>
    <w:p w:rsidR="00B50CD6" w:rsidRPr="005C0879" w:rsidRDefault="00B50CD6" w:rsidP="005C0879">
      <w:pPr>
        <w:pStyle w:val="BodyText"/>
        <w:rPr>
          <w:rFonts w:asciiTheme="minorHAnsi" w:hAnsiTheme="minorHAnsi" w:cstheme="minorHAnsi"/>
          <w:sz w:val="22"/>
          <w:szCs w:val="22"/>
        </w:rPr>
      </w:pPr>
      <w:r w:rsidRPr="005C0879">
        <w:rPr>
          <w:rFonts w:asciiTheme="minorHAnsi" w:hAnsiTheme="minorHAnsi" w:cstheme="minorHAnsi"/>
          <w:sz w:val="22"/>
          <w:szCs w:val="22"/>
        </w:rPr>
        <w:t xml:space="preserve">The monitoring and evaluation of Australia’s aid investments in PNG is being strengthened through a number of initiatives. This includes the development of improved, whole-of-government performance frameworks for law and justice investments and for the Strongim Gavman Program; a monitoring framework for Bougainville activities; and a program of training to build staff capabilities in monitoring and evaluation. Australia, through its in-country program management teams and </w:t>
      </w:r>
      <w:r w:rsidRPr="005C0879">
        <w:rPr>
          <w:rFonts w:asciiTheme="minorHAnsi" w:hAnsiTheme="minorHAnsi" w:cstheme="minorHAnsi"/>
          <w:sz w:val="22"/>
          <w:szCs w:val="22"/>
        </w:rPr>
        <w:lastRenderedPageBreak/>
        <w:t>contributing Australian Government agencies, will continue to improve cohesion within and between sectoral investments. Further opportunities to promote and effectively monitor cross-sectoral priorities such as gender equality, disability inclusive development and disaster resilience, will also be identified.</w:t>
      </w:r>
    </w:p>
    <w:p w:rsidR="00AE18FA" w:rsidRPr="005C0879" w:rsidRDefault="00C461C1" w:rsidP="005C0879">
      <w:pPr>
        <w:pStyle w:val="BodyText"/>
        <w:rPr>
          <w:rFonts w:asciiTheme="minorHAnsi" w:hAnsiTheme="minorHAnsi" w:cstheme="minorHAnsi"/>
          <w:sz w:val="22"/>
          <w:szCs w:val="22"/>
        </w:rPr>
      </w:pPr>
      <w:r w:rsidRPr="005C0879">
        <w:rPr>
          <w:rFonts w:asciiTheme="minorHAnsi" w:hAnsiTheme="minorHAnsi" w:cstheme="minorHAnsi"/>
          <w:sz w:val="22"/>
          <w:szCs w:val="22"/>
        </w:rPr>
        <w:t xml:space="preserve">The management of risks facing Australia’s aid program in PNG will continue to require close attention by the Australian Government, including those relating to insecurity, weak governance and corruption. Fiduciary and security risk assessments will be conducted on a regular basis to inform program decisions. Mutual obligations between both governments in the new </w:t>
      </w:r>
      <w:r w:rsidR="00D511ED" w:rsidRPr="005C0879">
        <w:rPr>
          <w:rFonts w:asciiTheme="minorHAnsi" w:hAnsiTheme="minorHAnsi" w:cstheme="minorHAnsi"/>
          <w:sz w:val="22"/>
          <w:szCs w:val="22"/>
        </w:rPr>
        <w:t>arrangement</w:t>
      </w:r>
      <w:r w:rsidRPr="005C0879">
        <w:rPr>
          <w:rFonts w:asciiTheme="minorHAnsi" w:hAnsiTheme="minorHAnsi" w:cstheme="minorHAnsi"/>
          <w:sz w:val="22"/>
          <w:szCs w:val="22"/>
        </w:rPr>
        <w:t xml:space="preserve"> will </w:t>
      </w:r>
      <w:r w:rsidR="0058265A" w:rsidRPr="005C0879">
        <w:rPr>
          <w:rFonts w:asciiTheme="minorHAnsi" w:hAnsiTheme="minorHAnsi" w:cstheme="minorHAnsi"/>
          <w:sz w:val="22"/>
          <w:szCs w:val="22"/>
        </w:rPr>
        <w:t>emphasise good gover</w:t>
      </w:r>
      <w:r w:rsidR="00A35F2E">
        <w:rPr>
          <w:rFonts w:asciiTheme="minorHAnsi" w:hAnsiTheme="minorHAnsi" w:cstheme="minorHAnsi"/>
          <w:sz w:val="22"/>
          <w:szCs w:val="22"/>
        </w:rPr>
        <w:t>nance, transparency, and equity</w:t>
      </w:r>
      <w:r w:rsidR="0058265A" w:rsidRPr="005C0879">
        <w:rPr>
          <w:rFonts w:asciiTheme="minorHAnsi" w:hAnsiTheme="minorHAnsi" w:cstheme="minorHAnsi"/>
          <w:sz w:val="22"/>
          <w:szCs w:val="22"/>
        </w:rPr>
        <w:t xml:space="preserve"> in PNG. The reduction in DFAT staff numbers, particularly at the Australian High Commission in Port Moresby – at a time of budget increases - will also require changed practices around monitoring and risk management. </w:t>
      </w:r>
      <w:r w:rsidR="00FE402A">
        <w:rPr>
          <w:rFonts w:asciiTheme="minorHAnsi" w:hAnsiTheme="minorHAnsi" w:cstheme="minorHAnsi"/>
          <w:sz w:val="22"/>
          <w:szCs w:val="22"/>
        </w:rPr>
        <w:t xml:space="preserve">This is expected to include a more effective and innovative approach to the delivery of Australia’s governance activities in PNG. </w:t>
      </w:r>
    </w:p>
    <w:p w:rsidR="00DA6340" w:rsidRPr="00AE18FA" w:rsidRDefault="00B50CD6" w:rsidP="00AE18FA">
      <w:pPr>
        <w:pStyle w:val="Heading2"/>
        <w:rPr>
          <w:b/>
        </w:rPr>
      </w:pPr>
      <w:r w:rsidRPr="00726642">
        <w:rPr>
          <w:rFonts w:asciiTheme="minorHAnsi" w:hAnsiTheme="minorHAnsi" w:cstheme="minorHAnsi"/>
          <w:b/>
        </w:rPr>
        <w:t>Context</w:t>
      </w:r>
      <w:r w:rsidRPr="00AE18FA">
        <w:rPr>
          <w:b/>
        </w:rPr>
        <w:t xml:space="preserve"> </w:t>
      </w:r>
    </w:p>
    <w:p w:rsidR="005C0879" w:rsidRPr="005C0879" w:rsidRDefault="00B50CD6" w:rsidP="005C0879">
      <w:pPr>
        <w:pStyle w:val="BodyText"/>
        <w:rPr>
          <w:rFonts w:asciiTheme="minorHAnsi" w:hAnsiTheme="minorHAnsi" w:cstheme="minorHAnsi"/>
          <w:sz w:val="22"/>
          <w:szCs w:val="22"/>
        </w:rPr>
      </w:pPr>
      <w:r w:rsidRPr="005C0879">
        <w:rPr>
          <w:rFonts w:asciiTheme="minorHAnsi" w:hAnsiTheme="minorHAnsi" w:cstheme="minorHAnsi"/>
          <w:sz w:val="22"/>
          <w:szCs w:val="22"/>
        </w:rPr>
        <w:t>PNG</w:t>
      </w:r>
      <w:r w:rsidR="00EC03C0" w:rsidRPr="005C0879">
        <w:rPr>
          <w:rFonts w:asciiTheme="minorHAnsi" w:hAnsiTheme="minorHAnsi" w:cstheme="minorHAnsi"/>
          <w:sz w:val="22"/>
          <w:szCs w:val="22"/>
        </w:rPr>
        <w:t xml:space="preserve"> has experienced over a decade of comparatively robust economic growth, with expanding formal employment opportunities and strong growth in government expenditure and revenues.  This economic performance has been driven by high international prices for PNG’s exports (including for agriculture), conservative fiscal policies and, more recently, construction activity related to the LNG project. </w:t>
      </w:r>
      <w:r w:rsidRPr="005C0879">
        <w:rPr>
          <w:rFonts w:asciiTheme="minorHAnsi" w:hAnsiTheme="minorHAnsi" w:cstheme="minorHAnsi"/>
          <w:sz w:val="22"/>
          <w:szCs w:val="22"/>
        </w:rPr>
        <w:t xml:space="preserve">However, economic growth slowed in 2013 (albeit to a still respectable headline figure of 5.1 per cent) due to weaker commodity prices, unfavourable weather conditions particularly affecting mining outputs and agriculture exports, and the winding down of construction activity associated with the PNG LNG project. </w:t>
      </w:r>
    </w:p>
    <w:p w:rsidR="0066744F" w:rsidRPr="005C0879" w:rsidRDefault="0066744F" w:rsidP="005C0879">
      <w:pPr>
        <w:pStyle w:val="BodyText"/>
        <w:rPr>
          <w:rFonts w:asciiTheme="minorHAnsi" w:hAnsiTheme="minorHAnsi" w:cstheme="minorHAnsi"/>
          <w:b/>
          <w:sz w:val="22"/>
          <w:szCs w:val="22"/>
        </w:rPr>
      </w:pPr>
      <w:r w:rsidRPr="005C0879">
        <w:rPr>
          <w:rFonts w:asciiTheme="minorHAnsi" w:hAnsiTheme="minorHAnsi" w:cstheme="minorHAnsi"/>
          <w:sz w:val="22"/>
          <w:szCs w:val="22"/>
        </w:rPr>
        <w:t xml:space="preserve">PNG’s economic growth </w:t>
      </w:r>
      <w:r w:rsidR="005C0879">
        <w:rPr>
          <w:rFonts w:asciiTheme="minorHAnsi" w:hAnsiTheme="minorHAnsi" w:cstheme="minorHAnsi"/>
          <w:sz w:val="22"/>
          <w:szCs w:val="22"/>
        </w:rPr>
        <w:t>in</w:t>
      </w:r>
      <w:r w:rsidRPr="005C0879">
        <w:rPr>
          <w:rFonts w:asciiTheme="minorHAnsi" w:hAnsiTheme="minorHAnsi" w:cstheme="minorHAnsi"/>
          <w:sz w:val="22"/>
          <w:szCs w:val="22"/>
        </w:rPr>
        <w:t xml:space="preserve"> 2014 is forecast to be 5.4 per cent.  In 2015, GDP growth is forecast to exceed 20 per cent. This large, one-off spike in economic growth is due to exports from the PNG LNG Project. Non-mining GDP growth is projected to be a more moderate 4.3 per cent.</w:t>
      </w:r>
    </w:p>
    <w:p w:rsidR="0066744F" w:rsidRPr="005C0879" w:rsidRDefault="0066744F" w:rsidP="005C0879">
      <w:pPr>
        <w:pStyle w:val="BodyText"/>
        <w:rPr>
          <w:rFonts w:asciiTheme="minorHAnsi" w:hAnsiTheme="minorHAnsi" w:cstheme="minorHAnsi"/>
          <w:sz w:val="22"/>
          <w:szCs w:val="22"/>
        </w:rPr>
      </w:pPr>
      <w:r w:rsidRPr="005C0879">
        <w:rPr>
          <w:rFonts w:asciiTheme="minorHAnsi" w:hAnsiTheme="minorHAnsi" w:cstheme="minorHAnsi"/>
          <w:sz w:val="22"/>
          <w:szCs w:val="22"/>
        </w:rPr>
        <w:t>Unfortunately, despite sustained economic growth, the majority of the population has realised few tangible improvements to their quality of life. Over two million people in PNG remain poor and/or face hardship.</w:t>
      </w:r>
      <w:r w:rsidRPr="005C0879">
        <w:rPr>
          <w:rFonts w:asciiTheme="minorHAnsi" w:hAnsiTheme="minorHAnsi" w:cstheme="minorHAnsi"/>
          <w:sz w:val="22"/>
          <w:szCs w:val="22"/>
          <w:vertAlign w:val="superscript"/>
        </w:rPr>
        <w:footnoteReference w:id="1"/>
      </w:r>
      <w:r w:rsidRPr="005C0879">
        <w:rPr>
          <w:rFonts w:asciiTheme="minorHAnsi" w:hAnsiTheme="minorHAnsi" w:cstheme="minorHAnsi"/>
          <w:sz w:val="22"/>
          <w:szCs w:val="22"/>
        </w:rPr>
        <w:t xml:space="preserve"> With around 80 to 85 per cent of Papua New Guineans residing in traditional rural communities, the majority secure their livelihoods from subsistence gardens and small</w:t>
      </w:r>
      <w:r w:rsidRPr="005C0879">
        <w:rPr>
          <w:rFonts w:asciiTheme="minorHAnsi" w:hAnsiTheme="minorHAnsi" w:cstheme="minorHAnsi"/>
          <w:sz w:val="22"/>
          <w:szCs w:val="22"/>
        </w:rPr>
        <w:noBreakHyphen/>
        <w:t>scale cash cropping. A significant percentage of the population lacks access to health, education, water and sanitation,</w:t>
      </w:r>
      <w:r w:rsidR="00174A93">
        <w:rPr>
          <w:rFonts w:asciiTheme="minorHAnsi" w:hAnsiTheme="minorHAnsi" w:cstheme="minorHAnsi"/>
          <w:sz w:val="22"/>
          <w:szCs w:val="22"/>
        </w:rPr>
        <w:t xml:space="preserve"> and basic financial services. </w:t>
      </w:r>
    </w:p>
    <w:p w:rsidR="002D045F" w:rsidRPr="005C0879" w:rsidRDefault="0066744F" w:rsidP="005C0879">
      <w:pPr>
        <w:pStyle w:val="BodyText"/>
        <w:rPr>
          <w:rFonts w:asciiTheme="minorHAnsi" w:hAnsiTheme="minorHAnsi" w:cstheme="minorHAnsi"/>
          <w:sz w:val="22"/>
          <w:szCs w:val="22"/>
        </w:rPr>
      </w:pPr>
      <w:r w:rsidRPr="005C0879">
        <w:t xml:space="preserve">In </w:t>
      </w:r>
      <w:r w:rsidRPr="005C0879">
        <w:rPr>
          <w:rFonts w:asciiTheme="minorHAnsi" w:hAnsiTheme="minorHAnsi" w:cstheme="minorHAnsi"/>
          <w:sz w:val="22"/>
          <w:szCs w:val="22"/>
        </w:rPr>
        <w:t>2013, PNG was ranked 157 out of 187 countries in the Human Development Index.  It remains off track against all of the Millennium Development Goals and its health and education indicators lag behind the rest of the Pacific.</w:t>
      </w:r>
      <w:r w:rsidRPr="00A35F2E">
        <w:rPr>
          <w:rFonts w:asciiTheme="minorHAnsi" w:hAnsiTheme="minorHAnsi" w:cstheme="minorHAnsi"/>
          <w:sz w:val="20"/>
          <w:szCs w:val="20"/>
          <w:vertAlign w:val="superscript"/>
        </w:rPr>
        <w:footnoteReference w:id="2"/>
      </w:r>
      <w:r w:rsidRPr="00A35F2E">
        <w:rPr>
          <w:rFonts w:asciiTheme="minorHAnsi" w:hAnsiTheme="minorHAnsi" w:cstheme="minorHAnsi"/>
          <w:sz w:val="20"/>
          <w:szCs w:val="20"/>
        </w:rPr>
        <w:t xml:space="preserve"> </w:t>
      </w:r>
      <w:r w:rsidRPr="005C0879">
        <w:rPr>
          <w:rFonts w:asciiTheme="minorHAnsi" w:hAnsiTheme="minorHAnsi" w:cstheme="minorHAnsi"/>
          <w:sz w:val="22"/>
          <w:szCs w:val="22"/>
        </w:rPr>
        <w:t xml:space="preserve"> Life expectancy is only 62 years, similar to that of Haiti </w:t>
      </w:r>
      <w:r w:rsidR="00B50CD6" w:rsidRPr="005C0879">
        <w:rPr>
          <w:rFonts w:asciiTheme="minorHAnsi" w:hAnsiTheme="minorHAnsi" w:cstheme="minorHAnsi"/>
          <w:sz w:val="22"/>
          <w:szCs w:val="22"/>
        </w:rPr>
        <w:t>and</w:t>
      </w:r>
      <w:r w:rsidRPr="005C0879">
        <w:rPr>
          <w:rFonts w:asciiTheme="minorHAnsi" w:hAnsiTheme="minorHAnsi" w:cstheme="minorHAnsi"/>
          <w:sz w:val="22"/>
          <w:szCs w:val="22"/>
        </w:rPr>
        <w:t xml:space="preserve"> Sudan.</w:t>
      </w:r>
      <w:r w:rsidRPr="00A35F2E">
        <w:rPr>
          <w:rFonts w:asciiTheme="minorHAnsi" w:hAnsiTheme="minorHAnsi" w:cstheme="minorHAnsi"/>
          <w:sz w:val="20"/>
          <w:szCs w:val="20"/>
          <w:vertAlign w:val="superscript"/>
        </w:rPr>
        <w:footnoteReference w:id="3"/>
      </w:r>
      <w:r w:rsidRPr="00A35F2E">
        <w:rPr>
          <w:rFonts w:asciiTheme="minorHAnsi" w:hAnsiTheme="minorHAnsi" w:cstheme="minorHAnsi"/>
          <w:sz w:val="20"/>
          <w:szCs w:val="20"/>
        </w:rPr>
        <w:t xml:space="preserve"> </w:t>
      </w:r>
    </w:p>
    <w:p w:rsidR="00D0123E" w:rsidRPr="00894779" w:rsidRDefault="00D0123E" w:rsidP="005C0879">
      <w:pPr>
        <w:pStyle w:val="BodyText"/>
        <w:rPr>
          <w:rFonts w:asciiTheme="minorHAnsi" w:hAnsiTheme="minorHAnsi" w:cstheme="minorHAnsi"/>
          <w:sz w:val="22"/>
          <w:szCs w:val="22"/>
        </w:rPr>
      </w:pPr>
      <w:r w:rsidRPr="00894779">
        <w:rPr>
          <w:rFonts w:asciiTheme="minorHAnsi" w:hAnsiTheme="minorHAnsi" w:cstheme="minorHAnsi"/>
          <w:sz w:val="22"/>
          <w:szCs w:val="22"/>
        </w:rPr>
        <w:t xml:space="preserve">In almost all respects, women and girls in PNG are worse off than their male counterparts. </w:t>
      </w:r>
      <w:r w:rsidR="002D045F" w:rsidRPr="00894779">
        <w:rPr>
          <w:rFonts w:asciiTheme="minorHAnsi" w:hAnsiTheme="minorHAnsi" w:cstheme="minorHAnsi"/>
          <w:sz w:val="22"/>
          <w:szCs w:val="22"/>
        </w:rPr>
        <w:t>The 2013 UNDP Human Development Rep</w:t>
      </w:r>
      <w:r w:rsidR="00E2668D" w:rsidRPr="00894779">
        <w:rPr>
          <w:rFonts w:asciiTheme="minorHAnsi" w:hAnsiTheme="minorHAnsi" w:cstheme="minorHAnsi"/>
          <w:sz w:val="22"/>
          <w:szCs w:val="22"/>
        </w:rPr>
        <w:t>ort Gender Inequality Index rank</w:t>
      </w:r>
      <w:r w:rsidR="002D045F" w:rsidRPr="00894779">
        <w:rPr>
          <w:rFonts w:asciiTheme="minorHAnsi" w:hAnsiTheme="minorHAnsi" w:cstheme="minorHAnsi"/>
          <w:sz w:val="22"/>
          <w:szCs w:val="22"/>
        </w:rPr>
        <w:t>ed PNG 134</w:t>
      </w:r>
      <w:r w:rsidR="002D045F" w:rsidRPr="00894779">
        <w:rPr>
          <w:rFonts w:asciiTheme="minorHAnsi" w:hAnsiTheme="minorHAnsi" w:cstheme="minorHAnsi"/>
          <w:sz w:val="22"/>
          <w:szCs w:val="22"/>
          <w:vertAlign w:val="superscript"/>
        </w:rPr>
        <w:t>th</w:t>
      </w:r>
      <w:r w:rsidR="002D045F" w:rsidRPr="00894779">
        <w:rPr>
          <w:rFonts w:asciiTheme="minorHAnsi" w:hAnsiTheme="minorHAnsi" w:cstheme="minorHAnsi"/>
          <w:sz w:val="22"/>
          <w:szCs w:val="22"/>
        </w:rPr>
        <w:t xml:space="preserve"> out of 148 countries. </w:t>
      </w:r>
      <w:r w:rsidRPr="00894779">
        <w:rPr>
          <w:rFonts w:asciiTheme="minorHAnsi" w:hAnsiTheme="minorHAnsi" w:cstheme="minorHAnsi"/>
          <w:sz w:val="22"/>
          <w:szCs w:val="22"/>
        </w:rPr>
        <w:t xml:space="preserve">Women and girls </w:t>
      </w:r>
      <w:r w:rsidR="002D045F" w:rsidRPr="00894779">
        <w:rPr>
          <w:rFonts w:asciiTheme="minorHAnsi" w:hAnsiTheme="minorHAnsi" w:cstheme="minorHAnsi"/>
          <w:sz w:val="22"/>
          <w:szCs w:val="22"/>
        </w:rPr>
        <w:t>are 25 per cent less likely than men to be literate</w:t>
      </w:r>
      <w:r w:rsidRPr="00894779">
        <w:rPr>
          <w:rFonts w:asciiTheme="minorHAnsi" w:hAnsiTheme="minorHAnsi" w:cstheme="minorHAnsi"/>
          <w:sz w:val="22"/>
          <w:szCs w:val="22"/>
        </w:rPr>
        <w:t xml:space="preserve">, </w:t>
      </w:r>
      <w:r w:rsidR="002D045F" w:rsidRPr="00894779">
        <w:rPr>
          <w:rFonts w:asciiTheme="minorHAnsi" w:hAnsiTheme="minorHAnsi" w:cstheme="minorHAnsi"/>
          <w:sz w:val="22"/>
          <w:szCs w:val="22"/>
        </w:rPr>
        <w:t xml:space="preserve">and </w:t>
      </w:r>
      <w:r w:rsidRPr="00894779">
        <w:rPr>
          <w:rFonts w:asciiTheme="minorHAnsi" w:hAnsiTheme="minorHAnsi" w:cstheme="minorHAnsi"/>
          <w:sz w:val="22"/>
          <w:szCs w:val="22"/>
        </w:rPr>
        <w:t xml:space="preserve">suffer </w:t>
      </w:r>
      <w:r w:rsidR="002D045F" w:rsidRPr="00894779">
        <w:rPr>
          <w:rFonts w:asciiTheme="minorHAnsi" w:hAnsiTheme="minorHAnsi" w:cstheme="minorHAnsi"/>
          <w:sz w:val="22"/>
          <w:szCs w:val="22"/>
        </w:rPr>
        <w:t xml:space="preserve">unacceptably </w:t>
      </w:r>
      <w:r w:rsidRPr="00894779">
        <w:rPr>
          <w:rFonts w:asciiTheme="minorHAnsi" w:hAnsiTheme="minorHAnsi" w:cstheme="minorHAnsi"/>
          <w:sz w:val="22"/>
          <w:szCs w:val="22"/>
        </w:rPr>
        <w:t>high death rates related to pregnancy and maternal health issues</w:t>
      </w:r>
      <w:r w:rsidR="002D045F" w:rsidRPr="00894779">
        <w:rPr>
          <w:rFonts w:asciiTheme="minorHAnsi" w:hAnsiTheme="minorHAnsi" w:cstheme="minorHAnsi"/>
          <w:sz w:val="22"/>
          <w:szCs w:val="22"/>
        </w:rPr>
        <w:t>. Studies have shown that at least 60 per cent of women have experienced violence at some point in the</w:t>
      </w:r>
      <w:r w:rsidR="00E2668D" w:rsidRPr="00894779">
        <w:rPr>
          <w:rFonts w:asciiTheme="minorHAnsi" w:hAnsiTheme="minorHAnsi" w:cstheme="minorHAnsi"/>
          <w:sz w:val="22"/>
          <w:szCs w:val="22"/>
        </w:rPr>
        <w:t>ir</w:t>
      </w:r>
      <w:r w:rsidR="002D045F" w:rsidRPr="00894779">
        <w:rPr>
          <w:rFonts w:asciiTheme="minorHAnsi" w:hAnsiTheme="minorHAnsi" w:cstheme="minorHAnsi"/>
          <w:sz w:val="22"/>
          <w:szCs w:val="22"/>
        </w:rPr>
        <w:t xml:space="preserve"> lives</w:t>
      </w:r>
      <w:r w:rsidRPr="00894779">
        <w:rPr>
          <w:rFonts w:asciiTheme="minorHAnsi" w:hAnsiTheme="minorHAnsi" w:cstheme="minorHAnsi"/>
          <w:sz w:val="22"/>
          <w:szCs w:val="22"/>
        </w:rPr>
        <w:t xml:space="preserve">, </w:t>
      </w:r>
      <w:r w:rsidR="00E2668D" w:rsidRPr="00894779">
        <w:rPr>
          <w:rFonts w:asciiTheme="minorHAnsi" w:hAnsiTheme="minorHAnsi" w:cstheme="minorHAnsi"/>
          <w:sz w:val="22"/>
          <w:szCs w:val="22"/>
        </w:rPr>
        <w:t xml:space="preserve">with 80-90 per cent  of injuries treated at health clinics the result of domestic violence. </w:t>
      </w:r>
      <w:r w:rsidRPr="00894779">
        <w:rPr>
          <w:rFonts w:asciiTheme="minorHAnsi" w:hAnsiTheme="minorHAnsi" w:cstheme="minorHAnsi"/>
          <w:sz w:val="22"/>
          <w:szCs w:val="22"/>
        </w:rPr>
        <w:t xml:space="preserve">Women are less likely to be employed in the formal sector, </w:t>
      </w:r>
      <w:r w:rsidR="00E2668D" w:rsidRPr="00894779">
        <w:rPr>
          <w:rFonts w:asciiTheme="minorHAnsi" w:hAnsiTheme="minorHAnsi" w:cstheme="minorHAnsi"/>
          <w:sz w:val="22"/>
          <w:szCs w:val="22"/>
        </w:rPr>
        <w:t xml:space="preserve">with men twice as likely as women to work for wages (40 per cent compared to 24 per cent of women nationally), </w:t>
      </w:r>
      <w:r w:rsidRPr="00894779">
        <w:rPr>
          <w:rFonts w:asciiTheme="minorHAnsi" w:hAnsiTheme="minorHAnsi" w:cstheme="minorHAnsi"/>
          <w:sz w:val="22"/>
          <w:szCs w:val="22"/>
        </w:rPr>
        <w:t xml:space="preserve">and those women in formal sector positions are paid </w:t>
      </w:r>
      <w:r w:rsidRPr="00894779">
        <w:rPr>
          <w:rFonts w:asciiTheme="minorHAnsi" w:hAnsiTheme="minorHAnsi" w:cstheme="minorHAnsi"/>
          <w:sz w:val="22"/>
          <w:szCs w:val="22"/>
        </w:rPr>
        <w:lastRenderedPageBreak/>
        <w:t>significantly less than men</w:t>
      </w:r>
      <w:r w:rsidR="00A35F2E">
        <w:rPr>
          <w:rFonts w:asciiTheme="minorHAnsi" w:hAnsiTheme="minorHAnsi" w:cstheme="minorHAnsi"/>
          <w:sz w:val="22"/>
          <w:szCs w:val="22"/>
        </w:rPr>
        <w:t xml:space="preserve"> (A$340 for women compared to A$</w:t>
      </w:r>
      <w:r w:rsidR="00E2668D" w:rsidRPr="00894779">
        <w:rPr>
          <w:rFonts w:asciiTheme="minorHAnsi" w:hAnsiTheme="minorHAnsi" w:cstheme="minorHAnsi"/>
          <w:sz w:val="22"/>
          <w:szCs w:val="22"/>
        </w:rPr>
        <w:t>700 per month for men)</w:t>
      </w:r>
      <w:r w:rsidRPr="00894779">
        <w:rPr>
          <w:rFonts w:asciiTheme="minorHAnsi" w:hAnsiTheme="minorHAnsi" w:cstheme="minorHAnsi"/>
          <w:sz w:val="22"/>
          <w:szCs w:val="22"/>
        </w:rPr>
        <w:t xml:space="preserve">. In the private sector, women are less likely to register their business enterprise, and have limited access to the justice system to </w:t>
      </w:r>
      <w:r w:rsidR="00B50CD6" w:rsidRPr="00894779">
        <w:rPr>
          <w:rFonts w:asciiTheme="minorHAnsi" w:hAnsiTheme="minorHAnsi" w:cstheme="minorHAnsi"/>
          <w:sz w:val="22"/>
          <w:szCs w:val="22"/>
        </w:rPr>
        <w:t>resolve</w:t>
      </w:r>
      <w:r w:rsidRPr="00894779">
        <w:rPr>
          <w:rFonts w:asciiTheme="minorHAnsi" w:hAnsiTheme="minorHAnsi" w:cstheme="minorHAnsi"/>
          <w:sz w:val="22"/>
          <w:szCs w:val="22"/>
        </w:rPr>
        <w:t xml:space="preserve"> commercial disputes.</w:t>
      </w:r>
      <w:r w:rsidRPr="00A35F2E">
        <w:rPr>
          <w:rStyle w:val="FootnoteReference"/>
          <w:rFonts w:asciiTheme="minorHAnsi" w:hAnsiTheme="minorHAnsi" w:cstheme="minorHAnsi"/>
          <w:szCs w:val="16"/>
        </w:rPr>
        <w:footnoteReference w:id="4"/>
      </w:r>
      <w:r w:rsidRPr="00A35F2E">
        <w:rPr>
          <w:rFonts w:asciiTheme="minorHAnsi" w:hAnsiTheme="minorHAnsi" w:cstheme="minorHAnsi"/>
          <w:sz w:val="16"/>
          <w:szCs w:val="16"/>
        </w:rPr>
        <w:t xml:space="preserve"> </w:t>
      </w:r>
      <w:r w:rsidRPr="00894779">
        <w:rPr>
          <w:rFonts w:asciiTheme="minorHAnsi" w:hAnsiTheme="minorHAnsi" w:cstheme="minorHAnsi"/>
          <w:sz w:val="22"/>
          <w:szCs w:val="22"/>
        </w:rPr>
        <w:t xml:space="preserve"> </w:t>
      </w:r>
      <w:r w:rsidR="00223181" w:rsidRPr="00894779">
        <w:rPr>
          <w:rFonts w:asciiTheme="minorHAnsi" w:hAnsiTheme="minorHAnsi" w:cstheme="minorHAnsi"/>
          <w:sz w:val="22"/>
          <w:szCs w:val="22"/>
        </w:rPr>
        <w:t>Women occupy few positions of leadership, from the village upwards. Of the 76,000 public servants in PNG, only 25 per cent are women and only 12 per cent of executive positions in PNG are held by women (few of which are in the private sector).</w:t>
      </w:r>
      <w:r w:rsidR="00223181" w:rsidRPr="00A35F2E">
        <w:rPr>
          <w:rStyle w:val="FootnoteReference"/>
          <w:rFonts w:asciiTheme="minorHAnsi" w:hAnsiTheme="minorHAnsi" w:cstheme="minorHAnsi"/>
          <w:szCs w:val="16"/>
        </w:rPr>
        <w:footnoteReference w:id="5"/>
      </w:r>
    </w:p>
    <w:p w:rsidR="00EC03C0" w:rsidRPr="00894779" w:rsidRDefault="00B50CD6" w:rsidP="005C0879">
      <w:pPr>
        <w:pStyle w:val="BodyText"/>
        <w:rPr>
          <w:rFonts w:asciiTheme="minorHAnsi" w:hAnsiTheme="minorHAnsi" w:cstheme="minorHAnsi"/>
          <w:sz w:val="22"/>
          <w:szCs w:val="22"/>
        </w:rPr>
      </w:pPr>
      <w:r w:rsidRPr="00894779">
        <w:rPr>
          <w:rFonts w:asciiTheme="minorHAnsi" w:hAnsiTheme="minorHAnsi" w:cstheme="minorHAnsi"/>
          <w:sz w:val="22"/>
          <w:szCs w:val="22"/>
        </w:rPr>
        <w:t xml:space="preserve">Despite the vast development challenges, PNG is seeking to achieve middle-income country status by 2030 </w:t>
      </w:r>
      <w:r w:rsidR="0066744F" w:rsidRPr="00894779">
        <w:rPr>
          <w:rFonts w:asciiTheme="minorHAnsi" w:hAnsiTheme="minorHAnsi" w:cstheme="minorHAnsi"/>
          <w:sz w:val="22"/>
          <w:szCs w:val="22"/>
        </w:rPr>
        <w:t>(Development Strategic Plan (DSP), 2010-2030). Sector priorities, as set out in the 2012 Alotau Accord</w:t>
      </w:r>
      <w:r w:rsidRPr="00894779">
        <w:rPr>
          <w:rFonts w:asciiTheme="minorHAnsi" w:hAnsiTheme="minorHAnsi" w:cstheme="minorHAnsi"/>
          <w:sz w:val="22"/>
          <w:szCs w:val="22"/>
        </w:rPr>
        <w:t>,</w:t>
      </w:r>
      <w:r w:rsidR="0066744F" w:rsidRPr="00894779">
        <w:rPr>
          <w:rFonts w:asciiTheme="minorHAnsi" w:hAnsiTheme="minorHAnsi" w:cstheme="minorHAnsi"/>
          <w:sz w:val="22"/>
          <w:szCs w:val="22"/>
        </w:rPr>
        <w:t xml:space="preserve"> include education, health, law and justice, infrastructure and sustainable economic growth. PNG’s economic growth agenda focuses upon investments in ‘high impact infrastructure’ - key roads, ports, power, and hospitals; job skills development; and partnering with the private sector - including supportin</w:t>
      </w:r>
      <w:r w:rsidR="005C0879" w:rsidRPr="00894779">
        <w:rPr>
          <w:rFonts w:asciiTheme="minorHAnsi" w:hAnsiTheme="minorHAnsi" w:cstheme="minorHAnsi"/>
          <w:sz w:val="22"/>
          <w:szCs w:val="22"/>
        </w:rPr>
        <w:t>g its role in service delivery.</w:t>
      </w:r>
    </w:p>
    <w:p w:rsidR="00D84BD2" w:rsidRPr="00894779" w:rsidRDefault="00D84BD2" w:rsidP="005C0879">
      <w:pPr>
        <w:pStyle w:val="BodyText"/>
        <w:rPr>
          <w:rFonts w:asciiTheme="minorHAnsi" w:hAnsiTheme="minorHAnsi" w:cstheme="minorHAnsi"/>
          <w:sz w:val="22"/>
          <w:szCs w:val="22"/>
        </w:rPr>
      </w:pPr>
      <w:r w:rsidRPr="00894779">
        <w:rPr>
          <w:rFonts w:asciiTheme="minorHAnsi" w:hAnsiTheme="minorHAnsi" w:cstheme="minorHAnsi"/>
          <w:sz w:val="22"/>
          <w:szCs w:val="22"/>
        </w:rPr>
        <w:t>Reflecting the PNG Government’s ambitious development plans, the past two years has seen a marked departure from the conservative fiscal policies of the recent past. After a big expenditure program in 2013, the 2014 budge</w:t>
      </w:r>
      <w:r w:rsidR="00D0071B" w:rsidRPr="00894779">
        <w:rPr>
          <w:rFonts w:asciiTheme="minorHAnsi" w:hAnsiTheme="minorHAnsi" w:cstheme="minorHAnsi"/>
          <w:sz w:val="22"/>
          <w:szCs w:val="22"/>
        </w:rPr>
        <w:t>t appropriations increased by 13.8</w:t>
      </w:r>
      <w:r w:rsidRPr="00894779">
        <w:rPr>
          <w:rFonts w:asciiTheme="minorHAnsi" w:hAnsiTheme="minorHAnsi" w:cstheme="minorHAnsi"/>
          <w:sz w:val="22"/>
          <w:szCs w:val="22"/>
        </w:rPr>
        <w:t xml:space="preserve"> per </w:t>
      </w:r>
      <w:r w:rsidR="00D0071B" w:rsidRPr="00894779">
        <w:rPr>
          <w:rFonts w:asciiTheme="minorHAnsi" w:hAnsiTheme="minorHAnsi" w:cstheme="minorHAnsi"/>
          <w:sz w:val="22"/>
          <w:szCs w:val="22"/>
        </w:rPr>
        <w:t>cent to K15.0</w:t>
      </w:r>
      <w:r w:rsidRPr="00894779">
        <w:rPr>
          <w:rFonts w:asciiTheme="minorHAnsi" w:hAnsiTheme="minorHAnsi" w:cstheme="minorHAnsi"/>
          <w:sz w:val="22"/>
          <w:szCs w:val="22"/>
        </w:rPr>
        <w:t xml:space="preserve"> billion </w:t>
      </w:r>
      <w:r w:rsidR="00D0071B" w:rsidRPr="00894779">
        <w:rPr>
          <w:rFonts w:asciiTheme="minorHAnsi" w:hAnsiTheme="minorHAnsi" w:cstheme="minorHAnsi"/>
          <w:sz w:val="22"/>
          <w:szCs w:val="22"/>
        </w:rPr>
        <w:t>(A$6.56</w:t>
      </w:r>
      <w:r w:rsidRPr="00894779">
        <w:rPr>
          <w:rFonts w:asciiTheme="minorHAnsi" w:hAnsiTheme="minorHAnsi" w:cstheme="minorHAnsi"/>
          <w:sz w:val="22"/>
          <w:szCs w:val="22"/>
        </w:rPr>
        <w:t xml:space="preserve"> billion</w:t>
      </w:r>
      <w:r w:rsidR="00D0071B" w:rsidRPr="00894779">
        <w:rPr>
          <w:rFonts w:asciiTheme="minorHAnsi" w:hAnsiTheme="minorHAnsi" w:cstheme="minorHAnsi"/>
          <w:sz w:val="22"/>
          <w:szCs w:val="22"/>
        </w:rPr>
        <w:t>, at current exchange rates</w:t>
      </w:r>
      <w:r w:rsidRPr="00894779">
        <w:rPr>
          <w:rFonts w:asciiTheme="minorHAnsi" w:hAnsiTheme="minorHAnsi" w:cstheme="minorHAnsi"/>
          <w:sz w:val="22"/>
          <w:szCs w:val="22"/>
        </w:rPr>
        <w:t>). The big increases in government expenditure have contributed to a budget deficit of 7.7 per cent of GDP in 2013 and an estimated 6.9 per cent of GDP in 2014. A Supplementary Budget for 2013 was tabled concurrently with the 2014 Budget</w:t>
      </w:r>
      <w:r w:rsidR="00A35F2E">
        <w:rPr>
          <w:rFonts w:asciiTheme="minorHAnsi" w:hAnsiTheme="minorHAnsi" w:cstheme="minorHAnsi"/>
          <w:sz w:val="22"/>
          <w:szCs w:val="22"/>
        </w:rPr>
        <w:t>,</w:t>
      </w:r>
      <w:r w:rsidRPr="00894779">
        <w:rPr>
          <w:rFonts w:asciiTheme="minorHAnsi" w:hAnsiTheme="minorHAnsi" w:cstheme="minorHAnsi"/>
          <w:sz w:val="22"/>
          <w:szCs w:val="22"/>
        </w:rPr>
        <w:t xml:space="preserve"> with K379 million </w:t>
      </w:r>
      <w:r w:rsidR="00146413" w:rsidRPr="00894779">
        <w:rPr>
          <w:rFonts w:asciiTheme="minorHAnsi" w:hAnsiTheme="minorHAnsi" w:cstheme="minorHAnsi"/>
          <w:sz w:val="22"/>
          <w:szCs w:val="22"/>
        </w:rPr>
        <w:t>(A$165</w:t>
      </w:r>
      <w:r w:rsidRPr="00894779">
        <w:rPr>
          <w:rFonts w:asciiTheme="minorHAnsi" w:hAnsiTheme="minorHAnsi" w:cstheme="minorHAnsi"/>
          <w:sz w:val="22"/>
          <w:szCs w:val="22"/>
        </w:rPr>
        <w:t xml:space="preserve"> million) reappropriated. </w:t>
      </w:r>
      <w:r w:rsidR="00B50CD6" w:rsidRPr="00894779">
        <w:rPr>
          <w:rFonts w:asciiTheme="minorHAnsi" w:hAnsiTheme="minorHAnsi" w:cstheme="minorHAnsi"/>
          <w:sz w:val="22"/>
          <w:szCs w:val="22"/>
        </w:rPr>
        <w:t>The majority of these</w:t>
      </w:r>
      <w:r w:rsidRPr="00894779">
        <w:rPr>
          <w:rFonts w:asciiTheme="minorHAnsi" w:hAnsiTheme="minorHAnsi" w:cstheme="minorHAnsi"/>
          <w:sz w:val="22"/>
          <w:szCs w:val="22"/>
        </w:rPr>
        <w:t xml:space="preserve"> funds came from uncompleted road transport projects, as well as unexpended health and education programs, and was primarily directed towards infrastructure associated with the 2015 South Pacific Games. </w:t>
      </w:r>
    </w:p>
    <w:p w:rsidR="00726642" w:rsidRPr="00894779" w:rsidRDefault="00D84BD2" w:rsidP="005C0879">
      <w:pPr>
        <w:pStyle w:val="BodyText"/>
        <w:rPr>
          <w:rFonts w:asciiTheme="minorHAnsi" w:hAnsiTheme="minorHAnsi" w:cstheme="minorHAnsi"/>
          <w:sz w:val="22"/>
          <w:szCs w:val="22"/>
        </w:rPr>
      </w:pPr>
      <w:r w:rsidRPr="00894779">
        <w:rPr>
          <w:rFonts w:asciiTheme="minorHAnsi" w:hAnsiTheme="minorHAnsi" w:cstheme="minorHAnsi"/>
          <w:sz w:val="22"/>
          <w:szCs w:val="22"/>
        </w:rPr>
        <w:t>The strength in PNG’s economy will continue to be dependent on improving macroeconomic management, governance and microeconomic reforms tha</w:t>
      </w:r>
      <w:r w:rsidR="00B50CD6" w:rsidRPr="00894779">
        <w:rPr>
          <w:rFonts w:asciiTheme="minorHAnsi" w:hAnsiTheme="minorHAnsi" w:cstheme="minorHAnsi"/>
          <w:sz w:val="22"/>
          <w:szCs w:val="22"/>
        </w:rPr>
        <w:t>t ensure stability and maintain</w:t>
      </w:r>
      <w:r w:rsidRPr="00894779">
        <w:rPr>
          <w:rFonts w:asciiTheme="minorHAnsi" w:hAnsiTheme="minorHAnsi" w:cstheme="minorHAnsi"/>
          <w:sz w:val="22"/>
          <w:szCs w:val="22"/>
        </w:rPr>
        <w:t xml:space="preserve"> a business environment </w:t>
      </w:r>
      <w:r w:rsidR="00B50CD6" w:rsidRPr="00894779">
        <w:rPr>
          <w:rFonts w:asciiTheme="minorHAnsi" w:hAnsiTheme="minorHAnsi" w:cstheme="minorHAnsi"/>
          <w:sz w:val="22"/>
          <w:szCs w:val="22"/>
        </w:rPr>
        <w:t>to</w:t>
      </w:r>
      <w:r w:rsidRPr="00894779">
        <w:rPr>
          <w:rFonts w:asciiTheme="minorHAnsi" w:hAnsiTheme="minorHAnsi" w:cstheme="minorHAnsi"/>
          <w:sz w:val="22"/>
          <w:szCs w:val="22"/>
        </w:rPr>
        <w:t xml:space="preserve"> attract foreign investment</w:t>
      </w:r>
      <w:r w:rsidR="00726642" w:rsidRPr="00894779">
        <w:rPr>
          <w:rFonts w:asciiTheme="minorHAnsi" w:hAnsiTheme="minorHAnsi" w:cstheme="minorHAnsi"/>
          <w:sz w:val="22"/>
          <w:szCs w:val="22"/>
        </w:rPr>
        <w:t xml:space="preserve">. </w:t>
      </w:r>
      <w:r w:rsidRPr="00894779">
        <w:rPr>
          <w:rFonts w:asciiTheme="minorHAnsi" w:hAnsiTheme="minorHAnsi" w:cstheme="minorHAnsi"/>
          <w:sz w:val="22"/>
          <w:szCs w:val="22"/>
        </w:rPr>
        <w:t xml:space="preserve">The 2013 Heritage Foundation’s “Index of Economic Freedom” ranked PNG 132 out of 178 countries. PNG rates 113th out of 189 economies on the World Bank’s ease of doing business ranking.  It rates particularly poorly in the critical category of ‘enforcing contracts’ (168th out of 189). Important reforms that signalled to international investors PNG’s commitment to good economic governance, such as the establishment of PNG’s Sovereign Wealth Fund, stalled during 2013. </w:t>
      </w:r>
    </w:p>
    <w:p w:rsidR="00B50CD6" w:rsidRPr="00894779" w:rsidRDefault="00B50CD6" w:rsidP="005C0879">
      <w:pPr>
        <w:pStyle w:val="BodyText"/>
        <w:rPr>
          <w:rFonts w:asciiTheme="minorHAnsi" w:hAnsiTheme="minorHAnsi" w:cstheme="minorHAnsi"/>
          <w:sz w:val="22"/>
          <w:szCs w:val="22"/>
        </w:rPr>
      </w:pPr>
      <w:r w:rsidRPr="00894779">
        <w:rPr>
          <w:rFonts w:asciiTheme="minorHAnsi" w:hAnsiTheme="minorHAnsi" w:cstheme="minorHAnsi"/>
          <w:sz w:val="22"/>
          <w:szCs w:val="22"/>
        </w:rPr>
        <w:t>In the Autonomous Region of Bougainville</w:t>
      </w:r>
      <w:r w:rsidR="005C0879" w:rsidRPr="00894779">
        <w:rPr>
          <w:rFonts w:asciiTheme="minorHAnsi" w:hAnsiTheme="minorHAnsi" w:cstheme="minorHAnsi"/>
          <w:sz w:val="22"/>
          <w:szCs w:val="22"/>
        </w:rPr>
        <w:t>,</w:t>
      </w:r>
      <w:r w:rsidRPr="00894779">
        <w:rPr>
          <w:rFonts w:asciiTheme="minorHAnsi" w:hAnsiTheme="minorHAnsi" w:cstheme="minorHAnsi"/>
          <w:sz w:val="22"/>
          <w:szCs w:val="22"/>
        </w:rPr>
        <w:t xml:space="preserve"> the Autonomous Bougainville Government’s (ABG) major undertakings included the establishment of the Bougainville Public Service, further progress on the transfer of powers from the National Government and preparations for negotiations on the reopening of the Panguna mine. This major change agenda will continue to gather momentum with ABG Elections in 2015, and the start of the five year window for a referendum on its future political status. </w:t>
      </w:r>
    </w:p>
    <w:p w:rsidR="00944408" w:rsidRPr="00894779" w:rsidRDefault="00E66E74" w:rsidP="00164E82">
      <w:pPr>
        <w:pStyle w:val="Heading3"/>
      </w:pPr>
      <w:bookmarkStart w:id="2" w:name="_Toc373853206"/>
      <w:r w:rsidRPr="00894779">
        <w:t>Progress against objectives</w:t>
      </w:r>
    </w:p>
    <w:p w:rsidR="00B50CD6" w:rsidRPr="00B50CD6" w:rsidRDefault="00B50CD6" w:rsidP="00B50CD6">
      <w:pPr>
        <w:rPr>
          <w:rFonts w:asciiTheme="minorHAnsi" w:hAnsiTheme="minorHAnsi" w:cstheme="minorHAnsi"/>
          <w:sz w:val="21"/>
          <w:szCs w:val="21"/>
        </w:rPr>
      </w:pPr>
      <w:r w:rsidRPr="00894779">
        <w:rPr>
          <w:rFonts w:asciiTheme="minorHAnsi" w:hAnsiTheme="minorHAnsi" w:cstheme="minorHAnsi"/>
          <w:sz w:val="21"/>
          <w:szCs w:val="21"/>
        </w:rPr>
        <w:t xml:space="preserve">Below is a summary of performance by sector compared to the previous year. In this year’s report, ratings are primarily based on progress against specific </w:t>
      </w:r>
      <w:r w:rsidR="008769F8" w:rsidRPr="00A35F2E">
        <w:rPr>
          <w:rFonts w:asciiTheme="minorHAnsi" w:hAnsiTheme="minorHAnsi" w:cstheme="minorHAnsi"/>
          <w:sz w:val="21"/>
          <w:szCs w:val="21"/>
        </w:rPr>
        <w:t>PNG-</w:t>
      </w:r>
      <w:r w:rsidRPr="00A35F2E">
        <w:rPr>
          <w:rFonts w:asciiTheme="minorHAnsi" w:hAnsiTheme="minorHAnsi" w:cstheme="minorHAnsi"/>
          <w:sz w:val="21"/>
          <w:szCs w:val="21"/>
        </w:rPr>
        <w:t xml:space="preserve">Australia </w:t>
      </w:r>
      <w:r w:rsidRPr="00A35F2E">
        <w:rPr>
          <w:rFonts w:asciiTheme="minorHAnsi" w:hAnsiTheme="minorHAnsi" w:cstheme="minorHAnsi"/>
          <w:iCs/>
          <w:sz w:val="21"/>
          <w:szCs w:val="21"/>
        </w:rPr>
        <w:t>Partnership for Development</w:t>
      </w:r>
      <w:r w:rsidRPr="00894779">
        <w:rPr>
          <w:rFonts w:asciiTheme="minorHAnsi" w:hAnsiTheme="minorHAnsi" w:cstheme="minorHAnsi"/>
          <w:sz w:val="21"/>
          <w:szCs w:val="21"/>
        </w:rPr>
        <w:t xml:space="preserve"> objectives and </w:t>
      </w:r>
      <w:r w:rsidRPr="00894779">
        <w:rPr>
          <w:rFonts w:ascii="Franklin Gothic Book" w:hAnsi="Franklin Gothic Book"/>
          <w:sz w:val="21"/>
          <w:szCs w:val="21"/>
        </w:rPr>
        <w:t xml:space="preserve">2013-14 Quality at Implementation (QAI) ratings. </w:t>
      </w:r>
      <w:r w:rsidRPr="00894779">
        <w:rPr>
          <w:rFonts w:asciiTheme="minorHAnsi" w:hAnsiTheme="minorHAnsi" w:cstheme="minorHAnsi"/>
          <w:sz w:val="21"/>
          <w:szCs w:val="21"/>
        </w:rPr>
        <w:t>While no separate ratings have been provided in relation to assistance in the Autonomous Region of Bougainville, the performance of Australia’s aid assistance in Bougainville is described later in the report.</w:t>
      </w:r>
    </w:p>
    <w:p w:rsidR="00095DBB" w:rsidRDefault="00095DBB" w:rsidP="00E66E74">
      <w:pPr>
        <w:rPr>
          <w:rFonts w:ascii="Franklin Gothic Book" w:hAnsi="Franklin Gothic Book"/>
          <w:sz w:val="21"/>
          <w:szCs w:val="21"/>
        </w:rPr>
      </w:pPr>
    </w:p>
    <w:tbl>
      <w:tblPr>
        <w:tblStyle w:val="APPR"/>
        <w:tblW w:w="5000" w:type="pct"/>
        <w:tblLook w:val="04A0" w:firstRow="1" w:lastRow="0" w:firstColumn="1" w:lastColumn="0" w:noHBand="0" w:noVBand="1"/>
      </w:tblPr>
      <w:tblGrid>
        <w:gridCol w:w="6607"/>
        <w:gridCol w:w="1087"/>
        <w:gridCol w:w="451"/>
        <w:gridCol w:w="1154"/>
      </w:tblGrid>
      <w:tr w:rsidR="002B0F30" w:rsidRPr="00E02E18" w:rsidTr="00271EF3">
        <w:trPr>
          <w:cnfStyle w:val="100000000000" w:firstRow="1" w:lastRow="0" w:firstColumn="0" w:lastColumn="0" w:oddVBand="0" w:evenVBand="0" w:oddHBand="0" w:evenHBand="0" w:firstRowFirstColumn="0" w:firstRowLastColumn="0" w:lastRowFirstColumn="0" w:lastRowLastColumn="0"/>
          <w:trHeight w:val="651"/>
        </w:trPr>
        <w:tc>
          <w:tcPr>
            <w:tcW w:w="6565" w:type="dxa"/>
            <w:tcBorders>
              <w:left w:val="nil"/>
              <w:right w:val="nil"/>
            </w:tcBorders>
            <w:hideMark/>
          </w:tcPr>
          <w:p w:rsidR="002B0F30" w:rsidRPr="00E02E18" w:rsidRDefault="002B0F30" w:rsidP="008264E9">
            <w:pPr>
              <w:pStyle w:val="TableTextColumnHeading"/>
            </w:pPr>
            <w:r w:rsidRPr="00E02E18">
              <w:rPr>
                <w:rFonts w:ascii="Franklin Gothic Medium" w:hAnsi="Franklin Gothic Medium"/>
                <w:noProof/>
                <w:szCs w:val="17"/>
              </w:rPr>
              <w:lastRenderedPageBreak/>
              <w:drawing>
                <wp:anchor distT="0" distB="0" distL="114300" distR="114300" simplePos="0" relativeHeight="251660288" behindDoc="0" locked="0" layoutInCell="1" allowOverlap="1" wp14:anchorId="0DFD8D77" wp14:editId="5328CA66">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rsidRPr="00E02E18">
              <w:t>Objective</w:t>
            </w:r>
          </w:p>
        </w:tc>
        <w:tc>
          <w:tcPr>
            <w:tcW w:w="1059" w:type="dxa"/>
            <w:tcBorders>
              <w:left w:val="nil"/>
              <w:right w:val="nil"/>
            </w:tcBorders>
            <w:hideMark/>
          </w:tcPr>
          <w:p w:rsidR="002B0F30" w:rsidRPr="00E02E18" w:rsidRDefault="002B0F30" w:rsidP="008264E9">
            <w:pPr>
              <w:pStyle w:val="TableTextColumnHeading"/>
            </w:pPr>
            <w:r w:rsidRPr="00E02E18">
              <w:t>Current Rating</w:t>
            </w:r>
          </w:p>
        </w:tc>
        <w:tc>
          <w:tcPr>
            <w:tcW w:w="423" w:type="dxa"/>
            <w:tcBorders>
              <w:left w:val="nil"/>
              <w:right w:val="nil"/>
            </w:tcBorders>
          </w:tcPr>
          <w:p w:rsidR="002B0F30" w:rsidRPr="00E02E18" w:rsidRDefault="002B0F30" w:rsidP="008264E9">
            <w:pPr>
              <w:pStyle w:val="TableTextColumnHeading"/>
            </w:pPr>
          </w:p>
        </w:tc>
        <w:tc>
          <w:tcPr>
            <w:tcW w:w="1112" w:type="dxa"/>
            <w:tcBorders>
              <w:left w:val="nil"/>
              <w:right w:val="nil"/>
            </w:tcBorders>
            <w:hideMark/>
          </w:tcPr>
          <w:p w:rsidR="002B0F30" w:rsidRPr="00E02E18" w:rsidRDefault="002B0F30" w:rsidP="008264E9">
            <w:pPr>
              <w:pStyle w:val="TableTextColumnHeading"/>
            </w:pPr>
            <w:r w:rsidRPr="00E02E18">
              <w:t>Previous Rating</w:t>
            </w:r>
          </w:p>
        </w:tc>
      </w:tr>
      <w:tr w:rsidR="002B0F30" w:rsidRPr="00E02E18" w:rsidTr="00927E82">
        <w:trPr>
          <w:cnfStyle w:val="100000000000" w:firstRow="1" w:lastRow="0" w:firstColumn="0" w:lastColumn="0" w:oddVBand="0" w:evenVBand="0" w:oddHBand="0" w:evenHBand="0" w:firstRowFirstColumn="0" w:firstRowLastColumn="0" w:lastRowFirstColumn="0" w:lastRowLastColumn="0"/>
        </w:trPr>
        <w:tc>
          <w:tcPr>
            <w:tcW w:w="6565" w:type="dxa"/>
            <w:tcBorders>
              <w:left w:val="nil"/>
              <w:right w:val="nil"/>
            </w:tcBorders>
            <w:hideMark/>
          </w:tcPr>
          <w:p w:rsidR="002B0F30" w:rsidRPr="00E02E18" w:rsidRDefault="002B0F30" w:rsidP="000229E5">
            <w:pPr>
              <w:pStyle w:val="TableTextEntries"/>
              <w:rPr>
                <w:b w:val="0"/>
              </w:rPr>
            </w:pPr>
            <w:r w:rsidRPr="00E02E18">
              <w:rPr>
                <w:b w:val="0"/>
              </w:rPr>
              <w:t xml:space="preserve">Objective 1 – </w:t>
            </w:r>
            <w:r w:rsidR="00A35F2E">
              <w:rPr>
                <w:rFonts w:cs="Arial"/>
                <w:b w:val="0"/>
                <w:bCs/>
              </w:rPr>
              <w:t>Improved h</w:t>
            </w:r>
            <w:r w:rsidRPr="00E02E18">
              <w:rPr>
                <w:rFonts w:cs="Arial"/>
                <w:b w:val="0"/>
                <w:bCs/>
              </w:rPr>
              <w:t>ealth and HIV/AIDs outcomes</w:t>
            </w:r>
          </w:p>
        </w:tc>
        <w:tc>
          <w:tcPr>
            <w:tcW w:w="1059" w:type="dxa"/>
            <w:tcBorders>
              <w:left w:val="nil"/>
              <w:right w:val="nil"/>
            </w:tcBorders>
            <w:shd w:val="clear" w:color="auto" w:fill="FFC000"/>
            <w:noWrap/>
            <w:hideMark/>
          </w:tcPr>
          <w:p w:rsidR="002B0F30" w:rsidRPr="00E02E18" w:rsidRDefault="00927E82" w:rsidP="000229E5">
            <w:pPr>
              <w:pStyle w:val="TableTextEntries"/>
              <w:jc w:val="center"/>
              <w:rPr>
                <w:b w:val="0"/>
              </w:rPr>
            </w:pPr>
            <w:r>
              <w:rPr>
                <w:b w:val="0"/>
              </w:rPr>
              <w:t>Amber</w:t>
            </w:r>
          </w:p>
        </w:tc>
        <w:tc>
          <w:tcPr>
            <w:tcW w:w="423" w:type="dxa"/>
            <w:tcBorders>
              <w:left w:val="nil"/>
              <w:right w:val="nil"/>
            </w:tcBorders>
          </w:tcPr>
          <w:p w:rsidR="002B0F30" w:rsidRPr="00E02E18" w:rsidRDefault="002B0F30" w:rsidP="000229E5">
            <w:pPr>
              <w:pStyle w:val="TableTextEntries"/>
              <w:jc w:val="center"/>
              <w:rPr>
                <w:b w:val="0"/>
              </w:rPr>
            </w:pPr>
          </w:p>
        </w:tc>
        <w:tc>
          <w:tcPr>
            <w:tcW w:w="1112" w:type="dxa"/>
            <w:tcBorders>
              <w:left w:val="nil"/>
              <w:right w:val="nil"/>
            </w:tcBorders>
            <w:shd w:val="clear" w:color="auto" w:fill="92D050"/>
            <w:noWrap/>
            <w:hideMark/>
          </w:tcPr>
          <w:p w:rsidR="002B0F30" w:rsidRPr="00E02E18" w:rsidRDefault="00927E82" w:rsidP="000229E5">
            <w:pPr>
              <w:pStyle w:val="TableTextEntries"/>
              <w:jc w:val="center"/>
              <w:rPr>
                <w:b w:val="0"/>
              </w:rPr>
            </w:pPr>
            <w:r>
              <w:rPr>
                <w:b w:val="0"/>
              </w:rPr>
              <w:t>Green</w:t>
            </w:r>
          </w:p>
        </w:tc>
      </w:tr>
      <w:tr w:rsidR="002B0F30" w:rsidRPr="00E02E18" w:rsidTr="00927E82">
        <w:trPr>
          <w:cnfStyle w:val="100000000000" w:firstRow="1" w:lastRow="0" w:firstColumn="0" w:lastColumn="0" w:oddVBand="0" w:evenVBand="0" w:oddHBand="0" w:evenHBand="0" w:firstRowFirstColumn="0" w:firstRowLastColumn="0" w:lastRowFirstColumn="0" w:lastRowLastColumn="0"/>
        </w:trPr>
        <w:tc>
          <w:tcPr>
            <w:tcW w:w="6565" w:type="dxa"/>
            <w:tcBorders>
              <w:left w:val="nil"/>
              <w:right w:val="nil"/>
            </w:tcBorders>
            <w:hideMark/>
          </w:tcPr>
          <w:p w:rsidR="002B0F30" w:rsidRPr="00E02E18" w:rsidRDefault="002B0F30" w:rsidP="007C1BD8">
            <w:pPr>
              <w:pStyle w:val="TableTextEntries"/>
              <w:rPr>
                <w:b w:val="0"/>
              </w:rPr>
            </w:pPr>
            <w:r w:rsidRPr="00E02E18">
              <w:rPr>
                <w:b w:val="0"/>
              </w:rPr>
              <w:t xml:space="preserve">Objective 2 - </w:t>
            </w:r>
            <w:r w:rsidR="007C1BD8">
              <w:rPr>
                <w:b w:val="0"/>
              </w:rPr>
              <w:t>I</w:t>
            </w:r>
            <w:r w:rsidRPr="00E02E18">
              <w:rPr>
                <w:b w:val="0"/>
              </w:rPr>
              <w:t>mproved access to quality education at all levels</w:t>
            </w:r>
          </w:p>
        </w:tc>
        <w:tc>
          <w:tcPr>
            <w:tcW w:w="1059" w:type="dxa"/>
            <w:tcBorders>
              <w:left w:val="nil"/>
              <w:right w:val="nil"/>
            </w:tcBorders>
            <w:shd w:val="clear" w:color="auto" w:fill="FFC000"/>
            <w:noWrap/>
            <w:hideMark/>
          </w:tcPr>
          <w:p w:rsidR="002B0F30" w:rsidRPr="00E02E18" w:rsidRDefault="002B0F30" w:rsidP="000229E5">
            <w:pPr>
              <w:pStyle w:val="TableTextEntries"/>
              <w:jc w:val="center"/>
              <w:rPr>
                <w:b w:val="0"/>
              </w:rPr>
            </w:pPr>
            <w:r w:rsidRPr="00E02E18">
              <w:rPr>
                <w:b w:val="0"/>
              </w:rPr>
              <w:t>Amber</w:t>
            </w:r>
          </w:p>
        </w:tc>
        <w:tc>
          <w:tcPr>
            <w:tcW w:w="423" w:type="dxa"/>
            <w:tcBorders>
              <w:left w:val="nil"/>
              <w:right w:val="nil"/>
            </w:tcBorders>
          </w:tcPr>
          <w:p w:rsidR="002B0F30" w:rsidRPr="00E02E18" w:rsidRDefault="002B0F30" w:rsidP="000229E5">
            <w:pPr>
              <w:pStyle w:val="TableTextEntries"/>
              <w:jc w:val="center"/>
              <w:rPr>
                <w:b w:val="0"/>
              </w:rPr>
            </w:pPr>
          </w:p>
        </w:tc>
        <w:tc>
          <w:tcPr>
            <w:tcW w:w="1112" w:type="dxa"/>
            <w:tcBorders>
              <w:left w:val="nil"/>
              <w:right w:val="nil"/>
            </w:tcBorders>
            <w:shd w:val="clear" w:color="auto" w:fill="FFC000"/>
            <w:noWrap/>
            <w:hideMark/>
          </w:tcPr>
          <w:p w:rsidR="002B0F30" w:rsidRPr="00E02E18" w:rsidRDefault="00927E82" w:rsidP="000229E5">
            <w:pPr>
              <w:pStyle w:val="TableTextEntries"/>
              <w:jc w:val="center"/>
              <w:rPr>
                <w:b w:val="0"/>
              </w:rPr>
            </w:pPr>
            <w:r>
              <w:rPr>
                <w:b w:val="0"/>
              </w:rPr>
              <w:t>Amber</w:t>
            </w:r>
          </w:p>
        </w:tc>
      </w:tr>
      <w:tr w:rsidR="002B0F30" w:rsidRPr="00E02E18" w:rsidTr="00271EF3">
        <w:trPr>
          <w:cnfStyle w:val="100000000000" w:firstRow="1" w:lastRow="0" w:firstColumn="0" w:lastColumn="0" w:oddVBand="0" w:evenVBand="0" w:oddHBand="0" w:evenHBand="0" w:firstRowFirstColumn="0" w:firstRowLastColumn="0" w:lastRowFirstColumn="0" w:lastRowLastColumn="0"/>
          <w:trHeight w:val="270"/>
        </w:trPr>
        <w:tc>
          <w:tcPr>
            <w:tcW w:w="6565" w:type="dxa"/>
            <w:tcBorders>
              <w:left w:val="nil"/>
              <w:right w:val="nil"/>
            </w:tcBorders>
            <w:hideMark/>
          </w:tcPr>
          <w:p w:rsidR="002B0F30" w:rsidRPr="00E02E18" w:rsidRDefault="002B0F30" w:rsidP="000229E5">
            <w:pPr>
              <w:pStyle w:val="TableTextEntries"/>
              <w:rPr>
                <w:b w:val="0"/>
              </w:rPr>
            </w:pPr>
            <w:r w:rsidRPr="00E02E18">
              <w:rPr>
                <w:b w:val="0"/>
              </w:rPr>
              <w:t xml:space="preserve">Objective 3 - Improved law and justice  </w:t>
            </w:r>
          </w:p>
        </w:tc>
        <w:tc>
          <w:tcPr>
            <w:tcW w:w="1059" w:type="dxa"/>
            <w:tcBorders>
              <w:left w:val="nil"/>
              <w:right w:val="nil"/>
            </w:tcBorders>
            <w:shd w:val="clear" w:color="auto" w:fill="FFC000"/>
            <w:noWrap/>
            <w:hideMark/>
          </w:tcPr>
          <w:p w:rsidR="002B0F30" w:rsidRPr="00E02E18" w:rsidRDefault="002B0F30" w:rsidP="000229E5">
            <w:pPr>
              <w:pStyle w:val="TableTextEntries"/>
              <w:jc w:val="center"/>
              <w:rPr>
                <w:b w:val="0"/>
              </w:rPr>
            </w:pPr>
            <w:r w:rsidRPr="00E02E18">
              <w:rPr>
                <w:b w:val="0"/>
              </w:rPr>
              <w:t>Amber</w:t>
            </w:r>
          </w:p>
        </w:tc>
        <w:tc>
          <w:tcPr>
            <w:tcW w:w="423" w:type="dxa"/>
            <w:tcBorders>
              <w:left w:val="nil"/>
              <w:right w:val="nil"/>
            </w:tcBorders>
            <w:shd w:val="clear" w:color="auto" w:fill="auto"/>
          </w:tcPr>
          <w:p w:rsidR="002B0F30" w:rsidRPr="00E02E18" w:rsidRDefault="002B0F30" w:rsidP="000229E5">
            <w:pPr>
              <w:pStyle w:val="TableTextEntries"/>
              <w:jc w:val="center"/>
              <w:rPr>
                <w:b w:val="0"/>
              </w:rPr>
            </w:pPr>
          </w:p>
        </w:tc>
        <w:tc>
          <w:tcPr>
            <w:tcW w:w="1112" w:type="dxa"/>
            <w:tcBorders>
              <w:left w:val="nil"/>
              <w:right w:val="nil"/>
            </w:tcBorders>
            <w:shd w:val="clear" w:color="auto" w:fill="FFC000"/>
            <w:noWrap/>
            <w:hideMark/>
          </w:tcPr>
          <w:p w:rsidR="002B0F30" w:rsidRPr="00E02E18" w:rsidRDefault="002B0F30" w:rsidP="000229E5">
            <w:pPr>
              <w:pStyle w:val="TableTextEntries"/>
              <w:jc w:val="center"/>
              <w:rPr>
                <w:b w:val="0"/>
              </w:rPr>
            </w:pPr>
            <w:r w:rsidRPr="00E02E18">
              <w:rPr>
                <w:b w:val="0"/>
              </w:rPr>
              <w:t>Amber</w:t>
            </w:r>
          </w:p>
        </w:tc>
      </w:tr>
      <w:tr w:rsidR="002B0F30" w:rsidRPr="00E02E18" w:rsidTr="00271EF3">
        <w:trPr>
          <w:cnfStyle w:val="100000000000" w:firstRow="1" w:lastRow="0" w:firstColumn="0" w:lastColumn="0" w:oddVBand="0" w:evenVBand="0" w:oddHBand="0" w:evenHBand="0" w:firstRowFirstColumn="0" w:firstRowLastColumn="0" w:lastRowFirstColumn="0" w:lastRowLastColumn="0"/>
          <w:trHeight w:val="165"/>
        </w:trPr>
        <w:tc>
          <w:tcPr>
            <w:tcW w:w="6565" w:type="dxa"/>
            <w:tcBorders>
              <w:left w:val="nil"/>
              <w:right w:val="nil"/>
            </w:tcBorders>
          </w:tcPr>
          <w:p w:rsidR="002B0F30" w:rsidRPr="00E02E18" w:rsidRDefault="002B0F30" w:rsidP="00C755B9">
            <w:pPr>
              <w:pStyle w:val="TableTextEntries"/>
              <w:rPr>
                <w:b w:val="0"/>
              </w:rPr>
            </w:pPr>
            <w:r w:rsidRPr="00E02E18">
              <w:rPr>
                <w:b w:val="0"/>
              </w:rPr>
              <w:t>Objective 4 - Improved transport services to facilitate social</w:t>
            </w:r>
            <w:r w:rsidR="00C755B9">
              <w:rPr>
                <w:b w:val="0"/>
              </w:rPr>
              <w:t xml:space="preserve"> and</w:t>
            </w:r>
            <w:r w:rsidRPr="00E02E18">
              <w:rPr>
                <w:b w:val="0"/>
              </w:rPr>
              <w:t xml:space="preserve"> </w:t>
            </w:r>
            <w:r w:rsidR="00C755B9" w:rsidRPr="00E02E18">
              <w:rPr>
                <w:b w:val="0"/>
              </w:rPr>
              <w:t xml:space="preserve">economic </w:t>
            </w:r>
            <w:r w:rsidRPr="00E02E18">
              <w:rPr>
                <w:b w:val="0"/>
              </w:rPr>
              <w:t xml:space="preserve">development </w:t>
            </w:r>
          </w:p>
        </w:tc>
        <w:tc>
          <w:tcPr>
            <w:tcW w:w="1059" w:type="dxa"/>
            <w:tcBorders>
              <w:left w:val="nil"/>
              <w:right w:val="nil"/>
            </w:tcBorders>
            <w:shd w:val="clear" w:color="auto" w:fill="92D050"/>
            <w:noWrap/>
          </w:tcPr>
          <w:p w:rsidR="002B0F30" w:rsidRPr="00E02E18" w:rsidRDefault="002B0F30" w:rsidP="000229E5">
            <w:pPr>
              <w:pStyle w:val="TableTextEntries"/>
              <w:jc w:val="center"/>
              <w:rPr>
                <w:b w:val="0"/>
              </w:rPr>
            </w:pPr>
            <w:r w:rsidRPr="00E02E18">
              <w:rPr>
                <w:b w:val="0"/>
              </w:rPr>
              <w:t>Green</w:t>
            </w:r>
          </w:p>
        </w:tc>
        <w:tc>
          <w:tcPr>
            <w:tcW w:w="423" w:type="dxa"/>
            <w:tcBorders>
              <w:left w:val="nil"/>
              <w:right w:val="nil"/>
            </w:tcBorders>
          </w:tcPr>
          <w:p w:rsidR="002B0F30" w:rsidRPr="00E02E18" w:rsidRDefault="002B0F30" w:rsidP="000229E5">
            <w:pPr>
              <w:pStyle w:val="TableTextEntries"/>
              <w:jc w:val="center"/>
              <w:rPr>
                <w:b w:val="0"/>
              </w:rPr>
            </w:pPr>
          </w:p>
        </w:tc>
        <w:tc>
          <w:tcPr>
            <w:tcW w:w="1112" w:type="dxa"/>
            <w:tcBorders>
              <w:left w:val="nil"/>
              <w:right w:val="nil"/>
            </w:tcBorders>
            <w:shd w:val="clear" w:color="auto" w:fill="92D050"/>
            <w:noWrap/>
          </w:tcPr>
          <w:p w:rsidR="002B0F30" w:rsidRPr="00E02E18" w:rsidRDefault="002B0F30" w:rsidP="000229E5">
            <w:pPr>
              <w:pStyle w:val="TableTextEntries"/>
              <w:jc w:val="center"/>
              <w:rPr>
                <w:b w:val="0"/>
              </w:rPr>
            </w:pPr>
            <w:r w:rsidRPr="00E02E18">
              <w:rPr>
                <w:b w:val="0"/>
              </w:rPr>
              <w:t>Green</w:t>
            </w:r>
          </w:p>
        </w:tc>
      </w:tr>
      <w:tr w:rsidR="002B0F30" w:rsidRPr="00E02E18" w:rsidTr="00927E82">
        <w:trPr>
          <w:cnfStyle w:val="100000000000" w:firstRow="1" w:lastRow="0" w:firstColumn="0" w:lastColumn="0" w:oddVBand="0" w:evenVBand="0" w:oddHBand="0" w:evenHBand="0" w:firstRowFirstColumn="0" w:firstRowLastColumn="0" w:lastRowFirstColumn="0" w:lastRowLastColumn="0"/>
          <w:trHeight w:val="345"/>
        </w:trPr>
        <w:tc>
          <w:tcPr>
            <w:tcW w:w="6565" w:type="dxa"/>
            <w:tcBorders>
              <w:left w:val="nil"/>
              <w:right w:val="nil"/>
            </w:tcBorders>
          </w:tcPr>
          <w:p w:rsidR="002B0F30" w:rsidRPr="00E02E18" w:rsidRDefault="002B0F30" w:rsidP="000229E5">
            <w:pPr>
              <w:pStyle w:val="TableTextEntries"/>
              <w:rPr>
                <w:b w:val="0"/>
              </w:rPr>
            </w:pPr>
            <w:r w:rsidRPr="00E02E18">
              <w:rPr>
                <w:b w:val="0"/>
              </w:rPr>
              <w:t>Objective 5 - Strengthen</w:t>
            </w:r>
            <w:r w:rsidR="00672DBB">
              <w:rPr>
                <w:b w:val="0"/>
              </w:rPr>
              <w:t>ed</w:t>
            </w:r>
            <w:r w:rsidR="00A35F2E">
              <w:rPr>
                <w:b w:val="0"/>
              </w:rPr>
              <w:t xml:space="preserve"> g</w:t>
            </w:r>
            <w:r w:rsidRPr="00E02E18">
              <w:rPr>
                <w:b w:val="0"/>
              </w:rPr>
              <w:t>overnance</w:t>
            </w:r>
          </w:p>
        </w:tc>
        <w:tc>
          <w:tcPr>
            <w:tcW w:w="1059" w:type="dxa"/>
            <w:tcBorders>
              <w:left w:val="nil"/>
              <w:right w:val="nil"/>
            </w:tcBorders>
            <w:shd w:val="clear" w:color="auto" w:fill="FFC000"/>
            <w:noWrap/>
          </w:tcPr>
          <w:p w:rsidR="002B0F30" w:rsidRPr="00E02E18" w:rsidRDefault="002B0F30" w:rsidP="000229E5">
            <w:pPr>
              <w:pStyle w:val="TableTextEntries"/>
              <w:jc w:val="center"/>
              <w:rPr>
                <w:b w:val="0"/>
              </w:rPr>
            </w:pPr>
            <w:r w:rsidRPr="00E02E18">
              <w:rPr>
                <w:b w:val="0"/>
              </w:rPr>
              <w:t>Amber</w:t>
            </w:r>
          </w:p>
        </w:tc>
        <w:tc>
          <w:tcPr>
            <w:tcW w:w="423" w:type="dxa"/>
            <w:tcBorders>
              <w:left w:val="nil"/>
              <w:right w:val="nil"/>
            </w:tcBorders>
          </w:tcPr>
          <w:p w:rsidR="002B0F30" w:rsidRPr="00E02E18" w:rsidRDefault="002B0F30" w:rsidP="000229E5">
            <w:pPr>
              <w:pStyle w:val="TableTextEntries"/>
              <w:jc w:val="center"/>
              <w:rPr>
                <w:b w:val="0"/>
              </w:rPr>
            </w:pPr>
          </w:p>
        </w:tc>
        <w:tc>
          <w:tcPr>
            <w:tcW w:w="1112" w:type="dxa"/>
            <w:tcBorders>
              <w:left w:val="nil"/>
              <w:right w:val="nil"/>
            </w:tcBorders>
            <w:shd w:val="clear" w:color="auto" w:fill="FF0000"/>
            <w:noWrap/>
          </w:tcPr>
          <w:p w:rsidR="002B0F30" w:rsidRPr="00E02E18" w:rsidRDefault="00927E82" w:rsidP="000229E5">
            <w:pPr>
              <w:pStyle w:val="TableTextEntries"/>
              <w:jc w:val="center"/>
              <w:rPr>
                <w:b w:val="0"/>
              </w:rPr>
            </w:pPr>
            <w:r>
              <w:rPr>
                <w:b w:val="0"/>
              </w:rPr>
              <w:t>Red</w:t>
            </w:r>
          </w:p>
        </w:tc>
      </w:tr>
      <w:tr w:rsidR="002B0F30" w:rsidRPr="00E02E18" w:rsidTr="00B17369">
        <w:trPr>
          <w:cnfStyle w:val="100000000000" w:firstRow="1" w:lastRow="0" w:firstColumn="0" w:lastColumn="0" w:oddVBand="0" w:evenVBand="0" w:oddHBand="0" w:evenHBand="0" w:firstRowFirstColumn="0" w:firstRowLastColumn="0" w:lastRowFirstColumn="0" w:lastRowLastColumn="0"/>
          <w:trHeight w:val="325"/>
        </w:trPr>
        <w:tc>
          <w:tcPr>
            <w:tcW w:w="6565" w:type="dxa"/>
            <w:tcBorders>
              <w:left w:val="nil"/>
              <w:right w:val="nil"/>
            </w:tcBorders>
          </w:tcPr>
          <w:p w:rsidR="00927E82" w:rsidRPr="00660884" w:rsidRDefault="00927E82" w:rsidP="00B17369">
            <w:pPr>
              <w:pStyle w:val="TableTextEntries"/>
              <w:rPr>
                <w:rFonts w:cs="Arial"/>
                <w:b w:val="0"/>
                <w:bCs/>
                <w:u w:val="single"/>
              </w:rPr>
            </w:pPr>
            <w:r w:rsidRPr="00660884">
              <w:rPr>
                <w:rFonts w:cs="Arial"/>
                <w:b w:val="0"/>
                <w:bCs/>
                <w:u w:val="single"/>
              </w:rPr>
              <w:t>Cross-cutting</w:t>
            </w:r>
          </w:p>
          <w:p w:rsidR="00271EF3" w:rsidRPr="00E02E18" w:rsidRDefault="00B17369" w:rsidP="00B17369">
            <w:pPr>
              <w:pStyle w:val="TableTextEntries"/>
              <w:rPr>
                <w:rFonts w:cs="Arial"/>
                <w:b w:val="0"/>
                <w:bCs/>
              </w:rPr>
            </w:pPr>
            <w:r>
              <w:rPr>
                <w:rFonts w:cs="Arial"/>
                <w:b w:val="0"/>
                <w:bCs/>
              </w:rPr>
              <w:t>Disability inclusive development</w:t>
            </w:r>
          </w:p>
        </w:tc>
        <w:tc>
          <w:tcPr>
            <w:tcW w:w="1059" w:type="dxa"/>
            <w:tcBorders>
              <w:left w:val="nil"/>
              <w:right w:val="nil"/>
            </w:tcBorders>
            <w:shd w:val="clear" w:color="auto" w:fill="FFC000"/>
            <w:noWrap/>
          </w:tcPr>
          <w:p w:rsidR="002B0F30" w:rsidRPr="00E02E18" w:rsidRDefault="00B17369" w:rsidP="000229E5">
            <w:pPr>
              <w:pStyle w:val="TableTextEntries"/>
              <w:jc w:val="center"/>
              <w:rPr>
                <w:b w:val="0"/>
              </w:rPr>
            </w:pPr>
            <w:r>
              <w:rPr>
                <w:b w:val="0"/>
              </w:rPr>
              <w:t>Amber</w:t>
            </w:r>
          </w:p>
        </w:tc>
        <w:tc>
          <w:tcPr>
            <w:tcW w:w="423" w:type="dxa"/>
            <w:tcBorders>
              <w:left w:val="nil"/>
              <w:right w:val="nil"/>
            </w:tcBorders>
          </w:tcPr>
          <w:p w:rsidR="002B0F30" w:rsidRPr="00E02E18" w:rsidRDefault="002B0F30" w:rsidP="000229E5">
            <w:pPr>
              <w:pStyle w:val="TableTextEntries"/>
              <w:jc w:val="center"/>
              <w:rPr>
                <w:b w:val="0"/>
              </w:rPr>
            </w:pPr>
          </w:p>
        </w:tc>
        <w:tc>
          <w:tcPr>
            <w:tcW w:w="1112" w:type="dxa"/>
            <w:tcBorders>
              <w:left w:val="nil"/>
              <w:right w:val="nil"/>
            </w:tcBorders>
            <w:shd w:val="clear" w:color="auto" w:fill="FFC000"/>
            <w:noWrap/>
          </w:tcPr>
          <w:p w:rsidR="002B0F30" w:rsidRPr="00E02E18" w:rsidRDefault="00B17369" w:rsidP="000229E5">
            <w:pPr>
              <w:pStyle w:val="TableTextEntries"/>
              <w:jc w:val="center"/>
              <w:rPr>
                <w:b w:val="0"/>
              </w:rPr>
            </w:pPr>
            <w:r>
              <w:rPr>
                <w:b w:val="0"/>
              </w:rPr>
              <w:t>Amber</w:t>
            </w:r>
          </w:p>
        </w:tc>
      </w:tr>
      <w:tr w:rsidR="00DB6772" w:rsidRPr="00E02E18" w:rsidTr="00927E82">
        <w:trPr>
          <w:cnfStyle w:val="100000000000" w:firstRow="1" w:lastRow="0" w:firstColumn="0" w:lastColumn="0" w:oddVBand="0" w:evenVBand="0" w:oddHBand="0" w:evenHBand="0" w:firstRowFirstColumn="0" w:firstRowLastColumn="0" w:lastRowFirstColumn="0" w:lastRowLastColumn="0"/>
          <w:trHeight w:val="285"/>
        </w:trPr>
        <w:tc>
          <w:tcPr>
            <w:tcW w:w="6565" w:type="dxa"/>
            <w:tcBorders>
              <w:left w:val="nil"/>
              <w:right w:val="nil"/>
            </w:tcBorders>
          </w:tcPr>
          <w:p w:rsidR="00DB6772" w:rsidRPr="00E02E18" w:rsidRDefault="00DB6772" w:rsidP="00927E82">
            <w:pPr>
              <w:pStyle w:val="TableTextEntries"/>
              <w:rPr>
                <w:b w:val="0"/>
              </w:rPr>
            </w:pPr>
            <w:r w:rsidRPr="00E02E18">
              <w:rPr>
                <w:rFonts w:cs="Arial"/>
                <w:b w:val="0"/>
                <w:bCs/>
              </w:rPr>
              <w:t xml:space="preserve">Gender Equality and Women's </w:t>
            </w:r>
            <w:r w:rsidR="00927E82">
              <w:rPr>
                <w:rFonts w:cs="Arial"/>
                <w:b w:val="0"/>
                <w:bCs/>
              </w:rPr>
              <w:t>E</w:t>
            </w:r>
            <w:r w:rsidRPr="00E02E18">
              <w:rPr>
                <w:rFonts w:cs="Arial"/>
                <w:b w:val="0"/>
                <w:bCs/>
              </w:rPr>
              <w:t>mpowerment</w:t>
            </w:r>
          </w:p>
        </w:tc>
        <w:tc>
          <w:tcPr>
            <w:tcW w:w="1059" w:type="dxa"/>
            <w:tcBorders>
              <w:left w:val="nil"/>
              <w:right w:val="nil"/>
            </w:tcBorders>
            <w:shd w:val="clear" w:color="auto" w:fill="FFC000"/>
            <w:noWrap/>
          </w:tcPr>
          <w:p w:rsidR="00DB6772" w:rsidRPr="00E02E18" w:rsidRDefault="00927E82" w:rsidP="006C27AA">
            <w:pPr>
              <w:pStyle w:val="TableTextEntries"/>
              <w:jc w:val="center"/>
              <w:rPr>
                <w:b w:val="0"/>
              </w:rPr>
            </w:pPr>
            <w:r>
              <w:rPr>
                <w:b w:val="0"/>
              </w:rPr>
              <w:t>Amber</w:t>
            </w:r>
          </w:p>
        </w:tc>
        <w:tc>
          <w:tcPr>
            <w:tcW w:w="423" w:type="dxa"/>
            <w:tcBorders>
              <w:left w:val="nil"/>
              <w:right w:val="nil"/>
            </w:tcBorders>
          </w:tcPr>
          <w:p w:rsidR="00DB6772" w:rsidRPr="00E02E18" w:rsidRDefault="00DB6772" w:rsidP="006C27AA">
            <w:pPr>
              <w:pStyle w:val="TableTextEntries"/>
              <w:jc w:val="center"/>
              <w:rPr>
                <w:b w:val="0"/>
              </w:rPr>
            </w:pPr>
          </w:p>
        </w:tc>
        <w:tc>
          <w:tcPr>
            <w:tcW w:w="1112" w:type="dxa"/>
            <w:tcBorders>
              <w:left w:val="nil"/>
              <w:right w:val="nil"/>
            </w:tcBorders>
            <w:shd w:val="clear" w:color="auto" w:fill="FF0000"/>
            <w:noWrap/>
          </w:tcPr>
          <w:p w:rsidR="00DB6772" w:rsidRPr="00E02E18" w:rsidRDefault="00DB6772" w:rsidP="006C27AA">
            <w:pPr>
              <w:pStyle w:val="TableTextEntries"/>
              <w:jc w:val="center"/>
              <w:rPr>
                <w:b w:val="0"/>
              </w:rPr>
            </w:pPr>
            <w:r>
              <w:rPr>
                <w:b w:val="0"/>
              </w:rPr>
              <w:t>Red</w:t>
            </w:r>
          </w:p>
        </w:tc>
      </w:tr>
      <w:tr w:rsidR="007D7CF1" w:rsidRPr="00E02E18" w:rsidTr="007D7CF1">
        <w:trPr>
          <w:cnfStyle w:val="100000000000" w:firstRow="1" w:lastRow="0" w:firstColumn="0" w:lastColumn="0" w:oddVBand="0" w:evenVBand="0" w:oddHBand="0" w:evenHBand="0" w:firstRowFirstColumn="0" w:firstRowLastColumn="0" w:lastRowFirstColumn="0" w:lastRowLastColumn="0"/>
          <w:trHeight w:val="285"/>
        </w:trPr>
        <w:tc>
          <w:tcPr>
            <w:tcW w:w="6565" w:type="dxa"/>
          </w:tcPr>
          <w:p w:rsidR="007D7CF1" w:rsidRPr="00660884" w:rsidRDefault="007D7CF1" w:rsidP="00BC46FA">
            <w:pPr>
              <w:pStyle w:val="TableTextEntries"/>
              <w:rPr>
                <w:rFonts w:cs="Arial"/>
                <w:b w:val="0"/>
                <w:bCs/>
                <w:u w:val="single"/>
              </w:rPr>
            </w:pPr>
            <w:r w:rsidRPr="00660884">
              <w:rPr>
                <w:rFonts w:cs="Arial"/>
                <w:b w:val="0"/>
                <w:bCs/>
                <w:u w:val="single"/>
              </w:rPr>
              <w:t>Additional Assistance</w:t>
            </w:r>
          </w:p>
          <w:p w:rsidR="007D7CF1" w:rsidRDefault="007D7CF1" w:rsidP="00BC46FA">
            <w:pPr>
              <w:pStyle w:val="TableTextEntries"/>
              <w:rPr>
                <w:rFonts w:cs="Arial"/>
                <w:b w:val="0"/>
                <w:bCs/>
              </w:rPr>
            </w:pPr>
            <w:r>
              <w:rPr>
                <w:rFonts w:cs="Arial"/>
                <w:b w:val="0"/>
                <w:bCs/>
              </w:rPr>
              <w:t>B</w:t>
            </w:r>
            <w:r w:rsidRPr="00E02E18">
              <w:rPr>
                <w:rFonts w:cs="Arial"/>
                <w:b w:val="0"/>
                <w:bCs/>
              </w:rPr>
              <w:t>ougainville</w:t>
            </w:r>
          </w:p>
          <w:p w:rsidR="007D7CF1" w:rsidRPr="00E02E18" w:rsidRDefault="007D7CF1" w:rsidP="00BC46FA">
            <w:pPr>
              <w:pStyle w:val="TableTextEntries"/>
              <w:rPr>
                <w:b w:val="0"/>
              </w:rPr>
            </w:pPr>
          </w:p>
        </w:tc>
        <w:tc>
          <w:tcPr>
            <w:tcW w:w="1059" w:type="dxa"/>
            <w:noWrap/>
          </w:tcPr>
          <w:p w:rsidR="007D7CF1" w:rsidRDefault="007D7CF1" w:rsidP="00BC46FA">
            <w:pPr>
              <w:pStyle w:val="TableTextEntries"/>
              <w:rPr>
                <w:b w:val="0"/>
              </w:rPr>
            </w:pPr>
          </w:p>
          <w:p w:rsidR="007D7CF1" w:rsidRPr="00E02E18" w:rsidRDefault="007D7CF1" w:rsidP="00BC46FA">
            <w:pPr>
              <w:pStyle w:val="TableTextEntries"/>
              <w:rPr>
                <w:b w:val="0"/>
              </w:rPr>
            </w:pPr>
            <w:r>
              <w:rPr>
                <w:b w:val="0"/>
              </w:rPr>
              <w:t xml:space="preserve">Not Rated </w:t>
            </w:r>
          </w:p>
        </w:tc>
        <w:tc>
          <w:tcPr>
            <w:tcW w:w="423" w:type="dxa"/>
          </w:tcPr>
          <w:p w:rsidR="007D7CF1" w:rsidRPr="00E02E18" w:rsidRDefault="007D7CF1" w:rsidP="00BC46FA">
            <w:pPr>
              <w:pStyle w:val="TableTextEntries"/>
              <w:jc w:val="center"/>
              <w:rPr>
                <w:b w:val="0"/>
              </w:rPr>
            </w:pPr>
          </w:p>
        </w:tc>
        <w:tc>
          <w:tcPr>
            <w:tcW w:w="1112" w:type="dxa"/>
            <w:shd w:val="clear" w:color="auto" w:fill="FFC000"/>
            <w:noWrap/>
          </w:tcPr>
          <w:p w:rsidR="007D7CF1" w:rsidRDefault="007D7CF1" w:rsidP="00BC46FA">
            <w:pPr>
              <w:pStyle w:val="TableTextEntries"/>
              <w:jc w:val="center"/>
              <w:rPr>
                <w:b w:val="0"/>
              </w:rPr>
            </w:pPr>
          </w:p>
          <w:p w:rsidR="007D7CF1" w:rsidRPr="00E02E18" w:rsidRDefault="007D7CF1" w:rsidP="00BC46FA">
            <w:pPr>
              <w:pStyle w:val="TableTextEntries"/>
              <w:jc w:val="center"/>
              <w:rPr>
                <w:b w:val="0"/>
              </w:rPr>
            </w:pPr>
            <w:r>
              <w:rPr>
                <w:b w:val="0"/>
              </w:rPr>
              <w:t>Amber</w:t>
            </w:r>
          </w:p>
        </w:tc>
      </w:tr>
    </w:tbl>
    <w:p w:rsidR="00B522AF" w:rsidRPr="00E02E18" w:rsidRDefault="00B522AF" w:rsidP="00B522AF">
      <w:pPr>
        <w:pStyle w:val="BodyText"/>
        <w:rPr>
          <w:sz w:val="16"/>
          <w:szCs w:val="16"/>
        </w:rPr>
      </w:pPr>
      <w:r>
        <w:rPr>
          <w:sz w:val="16"/>
          <w:szCs w:val="16"/>
        </w:rPr>
        <w:t>Key</w:t>
      </w:r>
    </w:p>
    <w:p w:rsidR="00B522AF" w:rsidRPr="00E02E18" w:rsidRDefault="00B522AF" w:rsidP="00B522AF">
      <w:pPr>
        <w:pStyle w:val="Note"/>
        <w:rPr>
          <w:sz w:val="16"/>
          <w:szCs w:val="16"/>
        </w:rPr>
      </w:pPr>
      <w:r w:rsidRPr="00E02E18">
        <w:rPr>
          <w:color w:val="72AF2F"/>
          <w:sz w:val="16"/>
          <w:szCs w:val="16"/>
        </w:rPr>
        <w:sym w:font="Webdings" w:char="F067"/>
      </w:r>
      <w:r w:rsidRPr="00E02E18">
        <w:rPr>
          <w:sz w:val="16"/>
          <w:szCs w:val="16"/>
        </w:rPr>
        <w:t> </w:t>
      </w:r>
      <w:r w:rsidRPr="00E02E18">
        <w:rPr>
          <w:sz w:val="16"/>
          <w:szCs w:val="16"/>
        </w:rPr>
        <w:t xml:space="preserve"> Green – Progress is as expected for this point in time and it is likely that the objective will be achieved</w:t>
      </w:r>
    </w:p>
    <w:p w:rsidR="00B522AF" w:rsidRPr="00E02E18" w:rsidRDefault="00B522AF" w:rsidP="00B522AF">
      <w:pPr>
        <w:pStyle w:val="Note"/>
        <w:rPr>
          <w:sz w:val="16"/>
          <w:szCs w:val="16"/>
        </w:rPr>
      </w:pPr>
      <w:r w:rsidRPr="00E02E18">
        <w:rPr>
          <w:color w:val="E36C0A"/>
          <w:sz w:val="16"/>
          <w:szCs w:val="16"/>
        </w:rPr>
        <w:sym w:font="Webdings" w:char="F067"/>
      </w:r>
      <w:r w:rsidRPr="00E02E18">
        <w:rPr>
          <w:sz w:val="16"/>
          <w:szCs w:val="16"/>
        </w:rPr>
        <w:t> </w:t>
      </w:r>
      <w:r w:rsidRPr="00E02E18">
        <w:rPr>
          <w:sz w:val="16"/>
          <w:szCs w:val="16"/>
        </w:rPr>
        <w:t xml:space="preserve"> Amber -- Progress is somewhat less than expected for this point in time and restorative action will be necessary if the objective is to be achieved. </w:t>
      </w:r>
    </w:p>
    <w:p w:rsidR="00B522AF" w:rsidRPr="00B50CD6" w:rsidRDefault="00B522AF" w:rsidP="00B50CD6">
      <w:pPr>
        <w:pStyle w:val="Note"/>
        <w:rPr>
          <w:sz w:val="16"/>
          <w:szCs w:val="16"/>
        </w:rPr>
      </w:pPr>
      <w:r w:rsidRPr="00E02E18">
        <w:rPr>
          <w:color w:val="FF0000"/>
          <w:sz w:val="16"/>
          <w:szCs w:val="16"/>
        </w:rPr>
        <w:sym w:font="Webdings" w:char="F067"/>
      </w:r>
      <w:r w:rsidRPr="00E02E18">
        <w:rPr>
          <w:sz w:val="16"/>
          <w:szCs w:val="16"/>
        </w:rPr>
        <w:t> </w:t>
      </w:r>
      <w:r w:rsidRPr="00E02E18">
        <w:rPr>
          <w:sz w:val="16"/>
          <w:szCs w:val="16"/>
        </w:rPr>
        <w:t xml:space="preserve"> Red -- Progress is significantly less than expected for this point in time and the objective is not likely to be met given avail</w:t>
      </w:r>
      <w:r>
        <w:rPr>
          <w:sz w:val="16"/>
          <w:szCs w:val="16"/>
        </w:rPr>
        <w:t xml:space="preserve">able resources and priorities. </w:t>
      </w:r>
    </w:p>
    <w:p w:rsidR="00816BAC" w:rsidRDefault="00816BAC">
      <w:pPr>
        <w:spacing w:after="200" w:line="276" w:lineRule="auto"/>
        <w:rPr>
          <w:szCs w:val="20"/>
        </w:rPr>
      </w:pPr>
    </w:p>
    <w:p w:rsidR="00C80894" w:rsidRDefault="00C80894" w:rsidP="00DD5F98">
      <w:pPr>
        <w:tabs>
          <w:tab w:val="left" w:pos="1185"/>
        </w:tabs>
        <w:spacing w:after="200" w:line="276" w:lineRule="auto"/>
        <w:rPr>
          <w:szCs w:val="20"/>
        </w:rPr>
      </w:pPr>
    </w:p>
    <w:p w:rsidR="00DB79A8" w:rsidRPr="00DB79A8" w:rsidRDefault="00DB79A8" w:rsidP="00DB79A8">
      <w:pPr>
        <w:pStyle w:val="BodyText"/>
        <w:rPr>
          <w:sz w:val="20"/>
          <w:szCs w:val="20"/>
        </w:rPr>
      </w:pPr>
      <w:r w:rsidRPr="00894779">
        <w:rPr>
          <w:sz w:val="20"/>
          <w:szCs w:val="20"/>
        </w:rPr>
        <w:t xml:space="preserve">Table 1 below provides an </w:t>
      </w:r>
      <w:r w:rsidR="00816BAC" w:rsidRPr="00894779">
        <w:rPr>
          <w:sz w:val="20"/>
          <w:szCs w:val="20"/>
        </w:rPr>
        <w:t xml:space="preserve">overview of </w:t>
      </w:r>
      <w:r w:rsidRPr="00894779">
        <w:rPr>
          <w:sz w:val="20"/>
          <w:szCs w:val="20"/>
        </w:rPr>
        <w:t xml:space="preserve">expenditure </w:t>
      </w:r>
      <w:r w:rsidR="00816BAC" w:rsidRPr="00894779">
        <w:rPr>
          <w:sz w:val="20"/>
          <w:szCs w:val="20"/>
        </w:rPr>
        <w:t>outcome by sector/program for 2</w:t>
      </w:r>
      <w:r w:rsidR="000E673E">
        <w:rPr>
          <w:sz w:val="20"/>
          <w:szCs w:val="20"/>
        </w:rPr>
        <w:t>0</w:t>
      </w:r>
      <w:r w:rsidR="00816BAC" w:rsidRPr="00894779">
        <w:rPr>
          <w:sz w:val="20"/>
          <w:szCs w:val="20"/>
        </w:rPr>
        <w:t>13-14</w:t>
      </w:r>
      <w:r w:rsidRPr="00894779">
        <w:rPr>
          <w:sz w:val="20"/>
          <w:szCs w:val="20"/>
        </w:rPr>
        <w:t>.</w:t>
      </w:r>
    </w:p>
    <w:p w:rsidR="00164E82" w:rsidRDefault="00164E82" w:rsidP="00164E82">
      <w:pPr>
        <w:pStyle w:val="Heading3"/>
      </w:pPr>
      <w:r>
        <w:t>Table 1: PNG total ODA (indicative) expenditure amounts/percentages for FY2013-14 for the PNG aid program</w:t>
      </w:r>
    </w:p>
    <w:p w:rsidR="00164E82" w:rsidRDefault="00164E82" w:rsidP="00164E82">
      <w:pPr>
        <w:pStyle w:val="Heading3"/>
      </w:pPr>
      <w:r>
        <w:t xml:space="preserve">PNG Program </w:t>
      </w:r>
      <w:r>
        <w:tab/>
      </w:r>
      <w:r>
        <w:tab/>
      </w:r>
      <w:r>
        <w:tab/>
      </w:r>
      <w:r>
        <w:tab/>
        <w:t>2013-14 Estimated Outcome ($m)      Percentage Spend (%)</w:t>
      </w:r>
    </w:p>
    <w:p w:rsidR="00164E82" w:rsidRDefault="00164E82" w:rsidP="00164E82">
      <w:pPr>
        <w:pStyle w:val="BodyText"/>
        <w:spacing w:after="0"/>
        <w:rPr>
          <w:sz w:val="18"/>
          <w:szCs w:val="18"/>
        </w:rPr>
      </w:pPr>
      <w:r>
        <w:rPr>
          <w:sz w:val="18"/>
          <w:szCs w:val="18"/>
        </w:rPr>
        <w:t>Health/HIV</w:t>
      </w:r>
      <w:r>
        <w:rPr>
          <w:sz w:val="18"/>
          <w:szCs w:val="18"/>
        </w:rPr>
        <w:tab/>
      </w:r>
      <w:r>
        <w:rPr>
          <w:sz w:val="18"/>
          <w:szCs w:val="18"/>
        </w:rPr>
        <w:tab/>
      </w:r>
      <w:r>
        <w:rPr>
          <w:sz w:val="18"/>
          <w:szCs w:val="18"/>
        </w:rPr>
        <w:tab/>
      </w:r>
      <w:r>
        <w:rPr>
          <w:sz w:val="18"/>
          <w:szCs w:val="18"/>
        </w:rPr>
        <w:tab/>
      </w:r>
      <w:r>
        <w:rPr>
          <w:sz w:val="18"/>
          <w:szCs w:val="18"/>
        </w:rPr>
        <w:tab/>
        <w:t xml:space="preserve">     99.0</w:t>
      </w:r>
      <w:r>
        <w:rPr>
          <w:sz w:val="18"/>
          <w:szCs w:val="18"/>
        </w:rPr>
        <w:tab/>
      </w:r>
      <w:r>
        <w:rPr>
          <w:sz w:val="18"/>
          <w:szCs w:val="18"/>
        </w:rPr>
        <w:tab/>
      </w:r>
      <w:r>
        <w:rPr>
          <w:sz w:val="18"/>
          <w:szCs w:val="18"/>
        </w:rPr>
        <w:tab/>
      </w:r>
      <w:r>
        <w:rPr>
          <w:sz w:val="18"/>
          <w:szCs w:val="18"/>
        </w:rPr>
        <w:tab/>
        <w:t>19.1%</w:t>
      </w:r>
    </w:p>
    <w:p w:rsidR="00164E82" w:rsidRDefault="00164E82" w:rsidP="00164E82">
      <w:pPr>
        <w:pStyle w:val="BodyText"/>
        <w:spacing w:after="0"/>
        <w:rPr>
          <w:sz w:val="18"/>
          <w:szCs w:val="18"/>
        </w:rPr>
      </w:pPr>
      <w:r>
        <w:rPr>
          <w:sz w:val="18"/>
          <w:szCs w:val="18"/>
        </w:rPr>
        <w:t>Education</w:t>
      </w:r>
      <w:r>
        <w:rPr>
          <w:sz w:val="18"/>
          <w:szCs w:val="18"/>
        </w:rPr>
        <w:tab/>
      </w:r>
      <w:r>
        <w:rPr>
          <w:sz w:val="18"/>
          <w:szCs w:val="18"/>
        </w:rPr>
        <w:tab/>
      </w:r>
      <w:r>
        <w:rPr>
          <w:sz w:val="18"/>
          <w:szCs w:val="18"/>
        </w:rPr>
        <w:tab/>
      </w:r>
      <w:r>
        <w:rPr>
          <w:sz w:val="18"/>
          <w:szCs w:val="18"/>
        </w:rPr>
        <w:tab/>
      </w:r>
      <w:r>
        <w:rPr>
          <w:sz w:val="18"/>
          <w:szCs w:val="18"/>
        </w:rPr>
        <w:tab/>
        <w:t xml:space="preserve">     96.0</w:t>
      </w:r>
      <w:r>
        <w:rPr>
          <w:sz w:val="18"/>
          <w:szCs w:val="18"/>
        </w:rPr>
        <w:tab/>
      </w:r>
      <w:r>
        <w:rPr>
          <w:sz w:val="18"/>
          <w:szCs w:val="18"/>
        </w:rPr>
        <w:tab/>
      </w:r>
      <w:r>
        <w:rPr>
          <w:sz w:val="18"/>
          <w:szCs w:val="18"/>
        </w:rPr>
        <w:tab/>
      </w:r>
      <w:r>
        <w:rPr>
          <w:sz w:val="18"/>
          <w:szCs w:val="18"/>
        </w:rPr>
        <w:tab/>
        <w:t>18.5%</w:t>
      </w:r>
    </w:p>
    <w:p w:rsidR="00164E82" w:rsidRDefault="00164E82" w:rsidP="00164E82">
      <w:pPr>
        <w:pStyle w:val="BodyText"/>
        <w:spacing w:after="0"/>
        <w:rPr>
          <w:sz w:val="18"/>
          <w:szCs w:val="18"/>
        </w:rPr>
      </w:pPr>
      <w:r>
        <w:rPr>
          <w:sz w:val="18"/>
          <w:szCs w:val="18"/>
        </w:rPr>
        <w:t>Law and Justice</w:t>
      </w:r>
      <w:r>
        <w:rPr>
          <w:sz w:val="18"/>
          <w:szCs w:val="18"/>
        </w:rPr>
        <w:tab/>
      </w:r>
      <w:r>
        <w:rPr>
          <w:sz w:val="18"/>
          <w:szCs w:val="18"/>
        </w:rPr>
        <w:tab/>
      </w:r>
      <w:r>
        <w:rPr>
          <w:sz w:val="18"/>
          <w:szCs w:val="18"/>
        </w:rPr>
        <w:tab/>
      </w:r>
      <w:r>
        <w:rPr>
          <w:sz w:val="18"/>
          <w:szCs w:val="18"/>
        </w:rPr>
        <w:tab/>
      </w:r>
      <w:r>
        <w:rPr>
          <w:sz w:val="18"/>
          <w:szCs w:val="18"/>
        </w:rPr>
        <w:tab/>
        <w:t xml:space="preserve">     28.0</w:t>
      </w:r>
      <w:r>
        <w:rPr>
          <w:sz w:val="18"/>
          <w:szCs w:val="18"/>
        </w:rPr>
        <w:tab/>
      </w:r>
      <w:r>
        <w:rPr>
          <w:sz w:val="18"/>
          <w:szCs w:val="18"/>
        </w:rPr>
        <w:tab/>
      </w:r>
      <w:r>
        <w:rPr>
          <w:sz w:val="18"/>
          <w:szCs w:val="18"/>
        </w:rPr>
        <w:tab/>
      </w:r>
      <w:r>
        <w:rPr>
          <w:sz w:val="18"/>
          <w:szCs w:val="18"/>
        </w:rPr>
        <w:tab/>
        <w:t xml:space="preserve">  5.4%</w:t>
      </w:r>
    </w:p>
    <w:p w:rsidR="00164E82" w:rsidRDefault="00164E82" w:rsidP="00164E82">
      <w:pPr>
        <w:pStyle w:val="BodyText"/>
        <w:spacing w:after="0"/>
        <w:rPr>
          <w:sz w:val="18"/>
          <w:szCs w:val="18"/>
        </w:rPr>
      </w:pPr>
      <w:r>
        <w:rPr>
          <w:sz w:val="18"/>
          <w:szCs w:val="18"/>
        </w:rPr>
        <w:t>Infrastructure</w:t>
      </w:r>
      <w:r>
        <w:rPr>
          <w:sz w:val="18"/>
          <w:szCs w:val="18"/>
        </w:rPr>
        <w:tab/>
      </w:r>
      <w:r>
        <w:rPr>
          <w:sz w:val="18"/>
          <w:szCs w:val="18"/>
        </w:rPr>
        <w:tab/>
      </w:r>
      <w:r>
        <w:rPr>
          <w:sz w:val="18"/>
          <w:szCs w:val="18"/>
        </w:rPr>
        <w:tab/>
      </w:r>
      <w:r>
        <w:rPr>
          <w:sz w:val="18"/>
          <w:szCs w:val="18"/>
        </w:rPr>
        <w:tab/>
      </w:r>
      <w:r>
        <w:rPr>
          <w:sz w:val="18"/>
          <w:szCs w:val="18"/>
        </w:rPr>
        <w:tab/>
        <w:t xml:space="preserve">     75.0</w:t>
      </w:r>
      <w:r>
        <w:rPr>
          <w:sz w:val="18"/>
          <w:szCs w:val="18"/>
        </w:rPr>
        <w:tab/>
      </w:r>
      <w:r>
        <w:rPr>
          <w:sz w:val="18"/>
          <w:szCs w:val="18"/>
        </w:rPr>
        <w:tab/>
      </w:r>
      <w:r>
        <w:rPr>
          <w:sz w:val="18"/>
          <w:szCs w:val="18"/>
        </w:rPr>
        <w:tab/>
      </w:r>
      <w:r>
        <w:rPr>
          <w:sz w:val="18"/>
          <w:szCs w:val="18"/>
        </w:rPr>
        <w:tab/>
        <w:t>14.4%</w:t>
      </w:r>
    </w:p>
    <w:p w:rsidR="00164E82" w:rsidRDefault="00164E82" w:rsidP="00164E82">
      <w:pPr>
        <w:pStyle w:val="BodyText"/>
        <w:spacing w:after="0"/>
        <w:rPr>
          <w:sz w:val="18"/>
          <w:szCs w:val="18"/>
        </w:rPr>
      </w:pPr>
      <w:r>
        <w:rPr>
          <w:sz w:val="18"/>
          <w:szCs w:val="18"/>
        </w:rPr>
        <w:t>Public Sector (including SGP)</w:t>
      </w:r>
      <w:r>
        <w:rPr>
          <w:sz w:val="18"/>
          <w:szCs w:val="18"/>
        </w:rPr>
        <w:tab/>
      </w:r>
      <w:r>
        <w:rPr>
          <w:sz w:val="18"/>
          <w:szCs w:val="18"/>
        </w:rPr>
        <w:tab/>
      </w:r>
      <w:r>
        <w:rPr>
          <w:sz w:val="18"/>
          <w:szCs w:val="18"/>
        </w:rPr>
        <w:tab/>
        <w:t xml:space="preserve">     68.3</w:t>
      </w:r>
      <w:r>
        <w:rPr>
          <w:sz w:val="18"/>
          <w:szCs w:val="18"/>
        </w:rPr>
        <w:tab/>
      </w:r>
      <w:r>
        <w:rPr>
          <w:sz w:val="18"/>
          <w:szCs w:val="18"/>
        </w:rPr>
        <w:tab/>
      </w:r>
      <w:r>
        <w:rPr>
          <w:sz w:val="18"/>
          <w:szCs w:val="18"/>
        </w:rPr>
        <w:tab/>
      </w:r>
      <w:r>
        <w:rPr>
          <w:sz w:val="18"/>
          <w:szCs w:val="18"/>
        </w:rPr>
        <w:tab/>
        <w:t>13.1%</w:t>
      </w:r>
    </w:p>
    <w:p w:rsidR="00164E82" w:rsidRDefault="00164E82" w:rsidP="00164E82">
      <w:pPr>
        <w:pStyle w:val="BodyText"/>
        <w:spacing w:after="0"/>
        <w:rPr>
          <w:sz w:val="18"/>
          <w:szCs w:val="18"/>
        </w:rPr>
      </w:pPr>
      <w:r>
        <w:rPr>
          <w:sz w:val="18"/>
          <w:szCs w:val="18"/>
        </w:rPr>
        <w:t>Democratic Governance</w:t>
      </w:r>
      <w:r>
        <w:rPr>
          <w:sz w:val="18"/>
          <w:szCs w:val="18"/>
        </w:rPr>
        <w:tab/>
      </w:r>
      <w:r>
        <w:rPr>
          <w:sz w:val="18"/>
          <w:szCs w:val="18"/>
        </w:rPr>
        <w:tab/>
      </w:r>
      <w:r>
        <w:rPr>
          <w:sz w:val="18"/>
          <w:szCs w:val="18"/>
        </w:rPr>
        <w:tab/>
      </w:r>
      <w:r>
        <w:rPr>
          <w:sz w:val="18"/>
          <w:szCs w:val="18"/>
        </w:rPr>
        <w:tab/>
        <w:t xml:space="preserve">     38.4</w:t>
      </w:r>
      <w:r>
        <w:rPr>
          <w:sz w:val="18"/>
          <w:szCs w:val="18"/>
        </w:rPr>
        <w:tab/>
      </w:r>
      <w:r>
        <w:rPr>
          <w:sz w:val="18"/>
          <w:szCs w:val="18"/>
        </w:rPr>
        <w:tab/>
      </w:r>
      <w:r>
        <w:rPr>
          <w:sz w:val="18"/>
          <w:szCs w:val="18"/>
        </w:rPr>
        <w:tab/>
      </w:r>
      <w:r>
        <w:rPr>
          <w:sz w:val="18"/>
          <w:szCs w:val="18"/>
        </w:rPr>
        <w:tab/>
        <w:t xml:space="preserve">  7.4%</w:t>
      </w:r>
    </w:p>
    <w:p w:rsidR="00164E82" w:rsidRPr="00164E82" w:rsidRDefault="00164E82" w:rsidP="00164E82">
      <w:pPr>
        <w:pStyle w:val="BodyText"/>
        <w:spacing w:after="0"/>
        <w:rPr>
          <w:sz w:val="18"/>
          <w:szCs w:val="18"/>
        </w:rPr>
      </w:pPr>
      <w:r>
        <w:rPr>
          <w:sz w:val="18"/>
          <w:szCs w:val="18"/>
        </w:rPr>
        <w:t>Joint Understanding Package</w:t>
      </w:r>
      <w:r>
        <w:rPr>
          <w:sz w:val="18"/>
          <w:szCs w:val="18"/>
        </w:rPr>
        <w:tab/>
      </w:r>
      <w:r>
        <w:rPr>
          <w:sz w:val="18"/>
          <w:szCs w:val="18"/>
        </w:rPr>
        <w:tab/>
      </w:r>
      <w:r>
        <w:rPr>
          <w:sz w:val="18"/>
          <w:szCs w:val="18"/>
        </w:rPr>
        <w:tab/>
        <w:t xml:space="preserve">     </w:t>
      </w:r>
      <w:r w:rsidRPr="00164E82">
        <w:rPr>
          <w:sz w:val="18"/>
          <w:szCs w:val="18"/>
        </w:rPr>
        <w:t>4.3</w:t>
      </w:r>
      <w:r w:rsidRPr="00164E82">
        <w:rPr>
          <w:sz w:val="18"/>
          <w:szCs w:val="18"/>
        </w:rPr>
        <w:tab/>
      </w:r>
      <w:r w:rsidRPr="00164E82">
        <w:rPr>
          <w:sz w:val="18"/>
          <w:szCs w:val="18"/>
        </w:rPr>
        <w:tab/>
      </w:r>
      <w:r w:rsidRPr="00164E82">
        <w:rPr>
          <w:sz w:val="18"/>
          <w:szCs w:val="18"/>
        </w:rPr>
        <w:tab/>
      </w:r>
      <w:r w:rsidRPr="00164E82">
        <w:rPr>
          <w:sz w:val="18"/>
          <w:szCs w:val="18"/>
        </w:rPr>
        <w:tab/>
        <w:t xml:space="preserve">  0.8%</w:t>
      </w:r>
    </w:p>
    <w:p w:rsidR="00164E82" w:rsidRPr="00164E82" w:rsidRDefault="00164E82" w:rsidP="00164E82">
      <w:pPr>
        <w:pStyle w:val="BodyText"/>
        <w:spacing w:after="0"/>
        <w:rPr>
          <w:sz w:val="18"/>
          <w:szCs w:val="18"/>
        </w:rPr>
      </w:pPr>
      <w:r w:rsidRPr="00164E82">
        <w:rPr>
          <w:sz w:val="18"/>
          <w:szCs w:val="18"/>
        </w:rPr>
        <w:t>Program Support Services</w:t>
      </w:r>
      <w:r w:rsidRPr="00164E82">
        <w:rPr>
          <w:sz w:val="18"/>
          <w:szCs w:val="18"/>
        </w:rPr>
        <w:tab/>
      </w:r>
      <w:r w:rsidRPr="00164E82">
        <w:rPr>
          <w:sz w:val="18"/>
          <w:szCs w:val="18"/>
        </w:rPr>
        <w:tab/>
      </w:r>
      <w:r w:rsidRPr="00164E82">
        <w:rPr>
          <w:sz w:val="18"/>
          <w:szCs w:val="18"/>
        </w:rPr>
        <w:tab/>
      </w:r>
      <w:r w:rsidRPr="00164E82">
        <w:rPr>
          <w:sz w:val="18"/>
          <w:szCs w:val="18"/>
        </w:rPr>
        <w:tab/>
        <w:t xml:space="preserve">       5.6</w:t>
      </w:r>
      <w:r w:rsidRPr="00164E82">
        <w:rPr>
          <w:sz w:val="18"/>
          <w:szCs w:val="18"/>
        </w:rPr>
        <w:tab/>
      </w:r>
      <w:r w:rsidRPr="00164E82">
        <w:rPr>
          <w:sz w:val="18"/>
          <w:szCs w:val="18"/>
        </w:rPr>
        <w:tab/>
      </w:r>
      <w:r w:rsidRPr="00164E82">
        <w:rPr>
          <w:sz w:val="18"/>
          <w:szCs w:val="18"/>
        </w:rPr>
        <w:tab/>
      </w:r>
      <w:r w:rsidRPr="00164E82">
        <w:rPr>
          <w:sz w:val="18"/>
          <w:szCs w:val="18"/>
        </w:rPr>
        <w:tab/>
        <w:t xml:space="preserve">  1.1%</w:t>
      </w:r>
    </w:p>
    <w:p w:rsidR="00164E82" w:rsidRDefault="00164E82" w:rsidP="00164E82">
      <w:pPr>
        <w:pStyle w:val="BodyText"/>
        <w:spacing w:after="0"/>
        <w:rPr>
          <w:sz w:val="18"/>
          <w:szCs w:val="18"/>
        </w:rPr>
      </w:pPr>
      <w:r w:rsidRPr="00164E82">
        <w:rPr>
          <w:sz w:val="18"/>
          <w:szCs w:val="18"/>
        </w:rPr>
        <w:t xml:space="preserve">Other – </w:t>
      </w:r>
      <w:r w:rsidR="00CE6361">
        <w:rPr>
          <w:sz w:val="18"/>
          <w:szCs w:val="18"/>
        </w:rPr>
        <w:t xml:space="preserve">incl. </w:t>
      </w:r>
      <w:r w:rsidRPr="00164E82">
        <w:rPr>
          <w:sz w:val="18"/>
          <w:szCs w:val="18"/>
        </w:rPr>
        <w:t>gender, disaster management</w:t>
      </w:r>
      <w:r w:rsidRPr="00164E82">
        <w:rPr>
          <w:sz w:val="18"/>
          <w:szCs w:val="18"/>
        </w:rPr>
        <w:tab/>
      </w:r>
      <w:r w:rsidRPr="00164E82">
        <w:rPr>
          <w:sz w:val="18"/>
          <w:szCs w:val="18"/>
        </w:rPr>
        <w:tab/>
        <w:t xml:space="preserve">     34</w:t>
      </w:r>
      <w:r w:rsidRPr="00164E82">
        <w:rPr>
          <w:sz w:val="18"/>
          <w:szCs w:val="18"/>
        </w:rPr>
        <w:tab/>
      </w:r>
      <w:r w:rsidRPr="00164E82">
        <w:rPr>
          <w:sz w:val="18"/>
          <w:szCs w:val="18"/>
        </w:rPr>
        <w:tab/>
      </w:r>
      <w:r w:rsidRPr="00164E82">
        <w:rPr>
          <w:sz w:val="18"/>
          <w:szCs w:val="18"/>
        </w:rPr>
        <w:tab/>
      </w:r>
      <w:r w:rsidRPr="00164E82">
        <w:rPr>
          <w:sz w:val="18"/>
          <w:szCs w:val="18"/>
        </w:rPr>
        <w:tab/>
        <w:t xml:space="preserve">  6.5%</w:t>
      </w:r>
    </w:p>
    <w:p w:rsidR="00164E82" w:rsidRDefault="00164E82" w:rsidP="00164E82">
      <w:pPr>
        <w:pStyle w:val="BodyText"/>
        <w:spacing w:after="0"/>
        <w:rPr>
          <w:b/>
          <w:i/>
          <w:sz w:val="18"/>
          <w:szCs w:val="18"/>
        </w:rPr>
      </w:pPr>
      <w:r>
        <w:rPr>
          <w:b/>
          <w:i/>
          <w:sz w:val="18"/>
          <w:szCs w:val="18"/>
        </w:rPr>
        <w:t>Sub-total</w:t>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t>$448.5</w:t>
      </w:r>
    </w:p>
    <w:p w:rsidR="00164E82" w:rsidRDefault="00164E82" w:rsidP="00164E82">
      <w:pPr>
        <w:pStyle w:val="BodyText"/>
        <w:spacing w:after="0"/>
        <w:rPr>
          <w:i/>
          <w:sz w:val="18"/>
          <w:szCs w:val="18"/>
        </w:rPr>
      </w:pPr>
      <w:r>
        <w:rPr>
          <w:i/>
          <w:sz w:val="18"/>
          <w:szCs w:val="18"/>
        </w:rPr>
        <w:t>Regional and Global</w:t>
      </w:r>
      <w:r>
        <w:rPr>
          <w:i/>
          <w:sz w:val="18"/>
          <w:szCs w:val="18"/>
        </w:rPr>
        <w:tab/>
      </w:r>
      <w:r>
        <w:rPr>
          <w:i/>
          <w:sz w:val="18"/>
          <w:szCs w:val="18"/>
        </w:rPr>
        <w:tab/>
      </w:r>
      <w:r>
        <w:rPr>
          <w:i/>
          <w:sz w:val="18"/>
          <w:szCs w:val="18"/>
        </w:rPr>
        <w:tab/>
      </w:r>
      <w:r>
        <w:rPr>
          <w:i/>
          <w:sz w:val="18"/>
          <w:szCs w:val="18"/>
        </w:rPr>
        <w:tab/>
        <w:t xml:space="preserve">     34.8</w:t>
      </w:r>
      <w:r>
        <w:rPr>
          <w:i/>
          <w:sz w:val="18"/>
          <w:szCs w:val="18"/>
        </w:rPr>
        <w:tab/>
      </w:r>
      <w:r>
        <w:rPr>
          <w:i/>
          <w:sz w:val="18"/>
          <w:szCs w:val="18"/>
        </w:rPr>
        <w:tab/>
      </w:r>
      <w:r>
        <w:rPr>
          <w:i/>
          <w:sz w:val="18"/>
          <w:szCs w:val="18"/>
        </w:rPr>
        <w:tab/>
      </w:r>
      <w:r>
        <w:rPr>
          <w:i/>
          <w:sz w:val="18"/>
          <w:szCs w:val="18"/>
        </w:rPr>
        <w:tab/>
        <w:t xml:space="preserve">  6.7%</w:t>
      </w:r>
    </w:p>
    <w:p w:rsidR="00164E82" w:rsidRDefault="00164E82" w:rsidP="00164E82">
      <w:pPr>
        <w:pStyle w:val="BodyText"/>
        <w:spacing w:after="0"/>
        <w:rPr>
          <w:i/>
          <w:sz w:val="18"/>
          <w:szCs w:val="18"/>
        </w:rPr>
      </w:pPr>
      <w:r>
        <w:rPr>
          <w:i/>
          <w:sz w:val="18"/>
          <w:szCs w:val="18"/>
        </w:rPr>
        <w:t>Other Government Departments</w:t>
      </w:r>
      <w:r>
        <w:rPr>
          <w:i/>
          <w:sz w:val="18"/>
          <w:szCs w:val="18"/>
        </w:rPr>
        <w:tab/>
      </w:r>
      <w:r>
        <w:rPr>
          <w:i/>
          <w:sz w:val="18"/>
          <w:szCs w:val="18"/>
        </w:rPr>
        <w:tab/>
      </w:r>
      <w:r>
        <w:rPr>
          <w:i/>
          <w:sz w:val="18"/>
          <w:szCs w:val="18"/>
        </w:rPr>
        <w:tab/>
        <w:t xml:space="preserve">     36.1</w:t>
      </w:r>
      <w:r>
        <w:rPr>
          <w:i/>
          <w:sz w:val="18"/>
          <w:szCs w:val="18"/>
        </w:rPr>
        <w:tab/>
      </w:r>
      <w:r>
        <w:rPr>
          <w:i/>
          <w:sz w:val="18"/>
          <w:szCs w:val="18"/>
        </w:rPr>
        <w:tab/>
      </w:r>
      <w:r>
        <w:rPr>
          <w:i/>
          <w:sz w:val="18"/>
          <w:szCs w:val="18"/>
        </w:rPr>
        <w:tab/>
      </w:r>
      <w:r>
        <w:rPr>
          <w:i/>
          <w:sz w:val="18"/>
          <w:szCs w:val="18"/>
        </w:rPr>
        <w:tab/>
        <w:t xml:space="preserve">  7.0%</w:t>
      </w:r>
    </w:p>
    <w:p w:rsidR="00164E82" w:rsidRDefault="00164E82" w:rsidP="00164E82">
      <w:pPr>
        <w:pStyle w:val="BodyText"/>
        <w:spacing w:after="0"/>
        <w:rPr>
          <w:b/>
          <w:i/>
          <w:sz w:val="18"/>
          <w:szCs w:val="18"/>
        </w:rPr>
      </w:pPr>
      <w:r>
        <w:rPr>
          <w:b/>
          <w:i/>
          <w:sz w:val="18"/>
          <w:szCs w:val="18"/>
        </w:rPr>
        <w:t>TOTAL</w:t>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t>$519.4</w:t>
      </w:r>
      <w:r>
        <w:rPr>
          <w:b/>
          <w:i/>
          <w:sz w:val="18"/>
          <w:szCs w:val="18"/>
        </w:rPr>
        <w:tab/>
      </w:r>
      <w:r>
        <w:rPr>
          <w:b/>
          <w:i/>
          <w:sz w:val="18"/>
          <w:szCs w:val="18"/>
        </w:rPr>
        <w:tab/>
      </w:r>
      <w:r>
        <w:rPr>
          <w:b/>
          <w:i/>
          <w:sz w:val="18"/>
          <w:szCs w:val="18"/>
        </w:rPr>
        <w:tab/>
      </w:r>
      <w:r>
        <w:rPr>
          <w:b/>
          <w:i/>
          <w:sz w:val="18"/>
          <w:szCs w:val="18"/>
        </w:rPr>
        <w:tab/>
        <w:t>100%</w:t>
      </w:r>
    </w:p>
    <w:p w:rsidR="00164E82" w:rsidRDefault="00164E82">
      <w:pPr>
        <w:spacing w:after="200" w:line="276" w:lineRule="auto"/>
        <w:rPr>
          <w:rFonts w:ascii="Franklin Gothic Book" w:eastAsia="Times New Roman" w:hAnsi="Franklin Gothic Book"/>
          <w:b/>
          <w:i/>
          <w:sz w:val="18"/>
          <w:szCs w:val="18"/>
        </w:rPr>
      </w:pPr>
      <w:r>
        <w:rPr>
          <w:b/>
          <w:i/>
          <w:sz w:val="18"/>
          <w:szCs w:val="18"/>
        </w:rPr>
        <w:br w:type="page"/>
      </w:r>
    </w:p>
    <w:p w:rsidR="002B0F30" w:rsidRPr="00A4204D" w:rsidRDefault="002B0F30" w:rsidP="00164E82">
      <w:pPr>
        <w:pStyle w:val="Heading3"/>
        <w:rPr>
          <w:rStyle w:val="BodyTextChar"/>
          <w:b w:val="0"/>
          <w:color w:val="auto"/>
          <w:sz w:val="14"/>
          <w:szCs w:val="14"/>
        </w:rPr>
      </w:pPr>
      <w:r w:rsidRPr="0059375E">
        <w:lastRenderedPageBreak/>
        <w:t>O</w:t>
      </w:r>
      <w:r>
        <w:t>bjective 1</w:t>
      </w:r>
      <w:r w:rsidRPr="0059375E">
        <w:t xml:space="preserve"> – Health and HIV/AIDS Sector</w:t>
      </w:r>
      <w:r w:rsidRPr="0059375E">
        <w:tab/>
      </w:r>
    </w:p>
    <w:tbl>
      <w:tblPr>
        <w:tblStyle w:val="APPR"/>
        <w:tblW w:w="4942" w:type="pct"/>
        <w:tblBorders>
          <w:top w:val="single" w:sz="4" w:space="0" w:color="auto"/>
          <w:bottom w:val="single" w:sz="4" w:space="0" w:color="auto"/>
        </w:tblBorders>
        <w:tblLook w:val="0000" w:firstRow="0" w:lastRow="0" w:firstColumn="0" w:lastColumn="0" w:noHBand="0" w:noVBand="0"/>
      </w:tblPr>
      <w:tblGrid>
        <w:gridCol w:w="7445"/>
        <w:gridCol w:w="334"/>
        <w:gridCol w:w="1412"/>
      </w:tblGrid>
      <w:tr w:rsidR="002B0F30" w:rsidRPr="00CA4103" w:rsidTr="00660884">
        <w:trPr>
          <w:cnfStyle w:val="000000010000" w:firstRow="0" w:lastRow="0" w:firstColumn="0" w:lastColumn="0" w:oddVBand="0" w:evenVBand="0" w:oddHBand="0" w:evenHBand="1" w:firstRowFirstColumn="0" w:firstRowLastColumn="0" w:lastRowFirstColumn="0" w:lastRowLastColumn="0"/>
          <w:trHeight w:val="317"/>
        </w:trPr>
        <w:tc>
          <w:tcPr>
            <w:tcW w:w="7403" w:type="dxa"/>
          </w:tcPr>
          <w:p w:rsidR="002B0F30" w:rsidRPr="002D0964" w:rsidRDefault="002B0F30" w:rsidP="008264E9">
            <w:pPr>
              <w:pStyle w:val="TableTextColumnHeading"/>
            </w:pPr>
            <w:r w:rsidRPr="002D0964">
              <w:rPr>
                <w:noProof/>
              </w:rPr>
              <w:drawing>
                <wp:anchor distT="0" distB="0" distL="114300" distR="114300" simplePos="0" relativeHeight="251661312" behindDoc="0" locked="0" layoutInCell="1" allowOverlap="1" wp14:anchorId="2CA3030F" wp14:editId="04B93397">
                  <wp:simplePos x="0" y="0"/>
                  <wp:positionH relativeFrom="column">
                    <wp:posOffset>0</wp:posOffset>
                  </wp:positionH>
                  <wp:positionV relativeFrom="paragraph">
                    <wp:posOffset>0</wp:posOffset>
                  </wp:positionV>
                  <wp:extent cx="1857375" cy="228600"/>
                  <wp:effectExtent l="0" t="0" r="9525" b="0"/>
                  <wp:wrapNone/>
                  <wp:docPr id="4" name="Pictur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964">
              <w:t>Improved Health and HIV/AIDs outcomes</w:t>
            </w:r>
          </w:p>
        </w:tc>
        <w:tc>
          <w:tcPr>
            <w:tcW w:w="306" w:type="dxa"/>
          </w:tcPr>
          <w:p w:rsidR="002B0F30" w:rsidRPr="002D0964" w:rsidRDefault="002B0F30" w:rsidP="008264E9">
            <w:pPr>
              <w:pStyle w:val="TableTextColumnHeading"/>
            </w:pPr>
          </w:p>
        </w:tc>
        <w:tc>
          <w:tcPr>
            <w:tcW w:w="1370" w:type="dxa"/>
            <w:shd w:val="clear" w:color="auto" w:fill="FFC000"/>
          </w:tcPr>
          <w:p w:rsidR="002B0F30" w:rsidRPr="002D0964" w:rsidRDefault="00660884" w:rsidP="008264E9">
            <w:pPr>
              <w:pStyle w:val="TableTextColumnHeading"/>
            </w:pPr>
            <w:r>
              <w:t>Amber</w:t>
            </w:r>
          </w:p>
        </w:tc>
      </w:tr>
    </w:tbl>
    <w:p w:rsidR="00B50CD6" w:rsidRPr="00703589" w:rsidRDefault="002B0F30" w:rsidP="00B50CD6">
      <w:pPr>
        <w:pStyle w:val="ListBullet"/>
        <w:numPr>
          <w:ilvl w:val="0"/>
          <w:numId w:val="0"/>
        </w:numPr>
        <w:tabs>
          <w:tab w:val="clear" w:pos="284"/>
        </w:tabs>
        <w:spacing w:line="240" w:lineRule="auto"/>
        <w:jc w:val="both"/>
        <w:rPr>
          <w:rFonts w:asciiTheme="minorHAnsi" w:hAnsiTheme="minorHAnsi" w:cstheme="minorHAnsi"/>
          <w:sz w:val="22"/>
          <w:szCs w:val="22"/>
        </w:rPr>
      </w:pPr>
      <w:r w:rsidRPr="00E02E18">
        <w:rPr>
          <w:rFonts w:ascii="Times New Roman" w:hAnsi="Times New Roman"/>
          <w:sz w:val="22"/>
          <w:szCs w:val="22"/>
        </w:rPr>
        <w:br/>
      </w:r>
      <w:r w:rsidR="00B50CD6" w:rsidRPr="00894779">
        <w:rPr>
          <w:rFonts w:asciiTheme="minorHAnsi" w:hAnsiTheme="minorHAnsi" w:cstheme="minorHAnsi"/>
          <w:sz w:val="22"/>
          <w:szCs w:val="22"/>
        </w:rPr>
        <w:t xml:space="preserve">Progress against </w:t>
      </w:r>
      <w:r w:rsidR="00A35F2E">
        <w:rPr>
          <w:rFonts w:asciiTheme="minorHAnsi" w:hAnsiTheme="minorHAnsi" w:cstheme="minorHAnsi"/>
          <w:sz w:val="22"/>
          <w:szCs w:val="22"/>
        </w:rPr>
        <w:t>h</w:t>
      </w:r>
      <w:r w:rsidR="00B50CD6" w:rsidRPr="00894779">
        <w:rPr>
          <w:rFonts w:asciiTheme="minorHAnsi" w:hAnsiTheme="minorHAnsi" w:cstheme="minorHAnsi"/>
          <w:sz w:val="22"/>
          <w:szCs w:val="22"/>
        </w:rPr>
        <w:t xml:space="preserve">ealth and HIV objectives has been rated as amber, a decline from last year’s performance. This year’s rating recognises that while the health program’s progress against the aid program’s Partnership for Development objectives was strong in many respects, progress </w:t>
      </w:r>
      <w:r w:rsidR="005E2415" w:rsidRPr="00894779">
        <w:rPr>
          <w:rFonts w:asciiTheme="minorHAnsi" w:hAnsiTheme="minorHAnsi" w:cstheme="minorHAnsi"/>
          <w:sz w:val="22"/>
          <w:szCs w:val="22"/>
        </w:rPr>
        <w:t xml:space="preserve">on </w:t>
      </w:r>
      <w:r w:rsidR="006E5DE3" w:rsidRPr="00894779">
        <w:rPr>
          <w:rFonts w:asciiTheme="minorHAnsi" w:hAnsiTheme="minorHAnsi" w:cstheme="minorHAnsi"/>
          <w:sz w:val="22"/>
          <w:szCs w:val="22"/>
        </w:rPr>
        <w:t xml:space="preserve">procurement reform </w:t>
      </w:r>
      <w:r w:rsidR="00B50CD6" w:rsidRPr="00894779">
        <w:rPr>
          <w:rFonts w:asciiTheme="minorHAnsi" w:hAnsiTheme="minorHAnsi" w:cstheme="minorHAnsi"/>
          <w:sz w:val="22"/>
          <w:szCs w:val="22"/>
        </w:rPr>
        <w:t>was limited</w:t>
      </w:r>
      <w:r w:rsidR="005E2415" w:rsidRPr="00894779">
        <w:rPr>
          <w:rFonts w:asciiTheme="minorHAnsi" w:hAnsiTheme="minorHAnsi" w:cstheme="minorHAnsi"/>
          <w:sz w:val="22"/>
          <w:szCs w:val="22"/>
        </w:rPr>
        <w:t xml:space="preserve"> and tackling the spread of tuberculosis in PNG has become an increasingly pressing focus for the program</w:t>
      </w:r>
      <w:r w:rsidR="00B50CD6" w:rsidRPr="00894779">
        <w:rPr>
          <w:rFonts w:asciiTheme="minorHAnsi" w:hAnsiTheme="minorHAnsi" w:cstheme="minorHAnsi"/>
          <w:sz w:val="22"/>
          <w:szCs w:val="22"/>
        </w:rPr>
        <w:t>.</w:t>
      </w:r>
      <w:r w:rsidR="00B50CD6" w:rsidRPr="00703589">
        <w:rPr>
          <w:rFonts w:asciiTheme="minorHAnsi" w:hAnsiTheme="minorHAnsi" w:cstheme="minorHAnsi"/>
          <w:sz w:val="22"/>
          <w:szCs w:val="22"/>
        </w:rPr>
        <w:t xml:space="preserve"> </w:t>
      </w:r>
    </w:p>
    <w:p w:rsidR="006E5DE3" w:rsidRPr="00703589" w:rsidRDefault="006E5DE3" w:rsidP="00D1482F">
      <w:pPr>
        <w:pStyle w:val="ListBullet"/>
        <w:numPr>
          <w:ilvl w:val="0"/>
          <w:numId w:val="0"/>
        </w:numPr>
        <w:tabs>
          <w:tab w:val="clear" w:pos="284"/>
        </w:tabs>
        <w:spacing w:line="240" w:lineRule="auto"/>
        <w:jc w:val="both"/>
        <w:rPr>
          <w:rFonts w:asciiTheme="minorHAnsi" w:hAnsiTheme="minorHAnsi" w:cstheme="minorHAnsi"/>
          <w:sz w:val="22"/>
          <w:szCs w:val="22"/>
        </w:rPr>
      </w:pPr>
      <w:r w:rsidRPr="00703589">
        <w:rPr>
          <w:rFonts w:asciiTheme="minorHAnsi" w:hAnsiTheme="minorHAnsi" w:cstheme="minorHAnsi"/>
          <w:sz w:val="22"/>
          <w:szCs w:val="22"/>
        </w:rPr>
        <w:t xml:space="preserve">In 2013-14, the PNG Government demonstrated a firm commitment to health expenditure, and articulated clear priority-setting for the health sector priorities. PNG’s health budget increased in 2014 </w:t>
      </w:r>
      <w:r w:rsidRPr="00D0071B">
        <w:rPr>
          <w:rFonts w:asciiTheme="minorHAnsi" w:hAnsiTheme="minorHAnsi" w:cstheme="minorHAnsi"/>
          <w:sz w:val="22"/>
          <w:szCs w:val="22"/>
        </w:rPr>
        <w:t>from K1.009 billion</w:t>
      </w:r>
      <w:r w:rsidR="00146413" w:rsidRPr="00D0071B">
        <w:rPr>
          <w:rFonts w:asciiTheme="minorHAnsi" w:hAnsiTheme="minorHAnsi" w:cstheme="minorHAnsi"/>
          <w:sz w:val="22"/>
          <w:szCs w:val="22"/>
        </w:rPr>
        <w:t xml:space="preserve"> (A$440</w:t>
      </w:r>
      <w:r w:rsidRPr="00D0071B">
        <w:rPr>
          <w:rFonts w:asciiTheme="minorHAnsi" w:hAnsiTheme="minorHAnsi" w:cstheme="minorHAnsi"/>
          <w:sz w:val="22"/>
          <w:szCs w:val="22"/>
        </w:rPr>
        <w:t xml:space="preserve"> million) to K1.382 billion</w:t>
      </w:r>
      <w:r w:rsidR="00146413" w:rsidRPr="00D0071B">
        <w:rPr>
          <w:rFonts w:asciiTheme="minorHAnsi" w:hAnsiTheme="minorHAnsi" w:cstheme="minorHAnsi"/>
          <w:sz w:val="22"/>
          <w:szCs w:val="22"/>
        </w:rPr>
        <w:t xml:space="preserve"> (A$602</w:t>
      </w:r>
      <w:r w:rsidRPr="00D0071B">
        <w:rPr>
          <w:rFonts w:asciiTheme="minorHAnsi" w:hAnsiTheme="minorHAnsi" w:cstheme="minorHAnsi"/>
          <w:sz w:val="22"/>
          <w:szCs w:val="22"/>
        </w:rPr>
        <w:t xml:space="preserve"> million), with K335.8 million</w:t>
      </w:r>
      <w:r w:rsidR="00A36BD8" w:rsidRPr="00D0071B">
        <w:rPr>
          <w:rFonts w:asciiTheme="minorHAnsi" w:hAnsiTheme="minorHAnsi" w:cstheme="minorHAnsi"/>
          <w:sz w:val="22"/>
          <w:szCs w:val="22"/>
        </w:rPr>
        <w:t xml:space="preserve"> (A$1</w:t>
      </w:r>
      <w:r w:rsidRPr="00D0071B">
        <w:rPr>
          <w:rFonts w:asciiTheme="minorHAnsi" w:hAnsiTheme="minorHAnsi" w:cstheme="minorHAnsi"/>
          <w:sz w:val="22"/>
          <w:szCs w:val="22"/>
        </w:rPr>
        <w:t>4</w:t>
      </w:r>
      <w:r w:rsidR="00146413" w:rsidRPr="00D0071B">
        <w:rPr>
          <w:rFonts w:asciiTheme="minorHAnsi" w:hAnsiTheme="minorHAnsi" w:cstheme="minorHAnsi"/>
          <w:sz w:val="22"/>
          <w:szCs w:val="22"/>
        </w:rPr>
        <w:t>6</w:t>
      </w:r>
      <w:r w:rsidRPr="00D0071B">
        <w:rPr>
          <w:rFonts w:asciiTheme="minorHAnsi" w:hAnsiTheme="minorHAnsi" w:cstheme="minorHAnsi"/>
          <w:sz w:val="22"/>
          <w:szCs w:val="22"/>
        </w:rPr>
        <w:t xml:space="preserve"> million) from</w:t>
      </w:r>
      <w:r w:rsidRPr="00703589">
        <w:rPr>
          <w:rFonts w:asciiTheme="minorHAnsi" w:hAnsiTheme="minorHAnsi" w:cstheme="minorHAnsi"/>
          <w:sz w:val="22"/>
          <w:szCs w:val="22"/>
        </w:rPr>
        <w:t xml:space="preserve"> donor sources. Seven major areas for health sector reform </w:t>
      </w:r>
      <w:r w:rsidR="00730111" w:rsidRPr="00703589">
        <w:rPr>
          <w:rFonts w:asciiTheme="minorHAnsi" w:hAnsiTheme="minorHAnsi" w:cstheme="minorHAnsi"/>
          <w:sz w:val="22"/>
          <w:szCs w:val="22"/>
        </w:rPr>
        <w:t>were</w:t>
      </w:r>
      <w:r w:rsidRPr="00703589">
        <w:rPr>
          <w:rFonts w:asciiTheme="minorHAnsi" w:hAnsiTheme="minorHAnsi" w:cstheme="minorHAnsi"/>
          <w:sz w:val="22"/>
          <w:szCs w:val="22"/>
        </w:rPr>
        <w:t xml:space="preserve"> prioritised in corporate planning processes: free health care, funding for the Christian Health Service (CHS), Provincial Health Authorities (PHAs), medical supply reform, health workforce, infrastructure and improved governance. </w:t>
      </w:r>
    </w:p>
    <w:p w:rsidR="005F69EC" w:rsidRPr="00703589" w:rsidRDefault="006E5DE3" w:rsidP="00D1482F">
      <w:pPr>
        <w:pStyle w:val="ListBullet"/>
        <w:numPr>
          <w:ilvl w:val="0"/>
          <w:numId w:val="0"/>
        </w:numPr>
        <w:tabs>
          <w:tab w:val="clear" w:pos="284"/>
        </w:tabs>
        <w:spacing w:line="240" w:lineRule="auto"/>
        <w:jc w:val="both"/>
        <w:rPr>
          <w:rFonts w:asciiTheme="minorHAnsi" w:hAnsiTheme="minorHAnsi" w:cstheme="minorHAnsi"/>
          <w:sz w:val="22"/>
          <w:szCs w:val="22"/>
        </w:rPr>
      </w:pPr>
      <w:r w:rsidRPr="00703589">
        <w:rPr>
          <w:rFonts w:asciiTheme="minorHAnsi" w:hAnsiTheme="minorHAnsi" w:cstheme="minorHAnsi"/>
          <w:sz w:val="22"/>
          <w:szCs w:val="22"/>
        </w:rPr>
        <w:t xml:space="preserve">Steps to improve </w:t>
      </w:r>
      <w:r w:rsidR="005F69EC" w:rsidRPr="00703589">
        <w:rPr>
          <w:rFonts w:asciiTheme="minorHAnsi" w:hAnsiTheme="minorHAnsi" w:cstheme="minorHAnsi"/>
          <w:sz w:val="22"/>
          <w:szCs w:val="22"/>
        </w:rPr>
        <w:t>governance of the h</w:t>
      </w:r>
      <w:r w:rsidR="00C67F27" w:rsidRPr="00703589">
        <w:rPr>
          <w:rFonts w:asciiTheme="minorHAnsi" w:hAnsiTheme="minorHAnsi" w:cstheme="minorHAnsi"/>
          <w:sz w:val="22"/>
          <w:szCs w:val="22"/>
        </w:rPr>
        <w:t>ealth sector</w:t>
      </w:r>
      <w:r w:rsidRPr="00703589">
        <w:rPr>
          <w:rFonts w:asciiTheme="minorHAnsi" w:hAnsiTheme="minorHAnsi" w:cstheme="minorHAnsi"/>
          <w:sz w:val="22"/>
          <w:szCs w:val="22"/>
        </w:rPr>
        <w:t xml:space="preserve"> were mixed</w:t>
      </w:r>
      <w:r w:rsidR="005F69EC" w:rsidRPr="00703589">
        <w:rPr>
          <w:rFonts w:asciiTheme="minorHAnsi" w:hAnsiTheme="minorHAnsi" w:cstheme="minorHAnsi"/>
          <w:sz w:val="22"/>
          <w:szCs w:val="22"/>
        </w:rPr>
        <w:t xml:space="preserve">. </w:t>
      </w:r>
      <w:r w:rsidRPr="00703589">
        <w:rPr>
          <w:rFonts w:asciiTheme="minorHAnsi" w:hAnsiTheme="minorHAnsi" w:cstheme="minorHAnsi"/>
          <w:sz w:val="22"/>
          <w:szCs w:val="22"/>
        </w:rPr>
        <w:t xml:space="preserve">Positively, </w:t>
      </w:r>
      <w:r w:rsidR="005F69EC" w:rsidRPr="00703589">
        <w:rPr>
          <w:rFonts w:asciiTheme="minorHAnsi" w:hAnsiTheme="minorHAnsi" w:cstheme="minorHAnsi"/>
          <w:sz w:val="22"/>
          <w:szCs w:val="22"/>
        </w:rPr>
        <w:t xml:space="preserve">the Government committed to merging the National AIDS Council Secretariat (NACS) into the National Department of Health (NDoH). However, </w:t>
      </w:r>
      <w:r w:rsidRPr="00703589">
        <w:rPr>
          <w:rFonts w:asciiTheme="minorHAnsi" w:hAnsiTheme="minorHAnsi" w:cstheme="minorHAnsi"/>
          <w:sz w:val="22"/>
          <w:szCs w:val="22"/>
        </w:rPr>
        <w:t>there were serious flaws in the process for the 2014-16 medical supply kit tender in November 2013. T</w:t>
      </w:r>
      <w:r w:rsidR="005F69EC" w:rsidRPr="00703589">
        <w:rPr>
          <w:rFonts w:asciiTheme="minorHAnsi" w:hAnsiTheme="minorHAnsi" w:cstheme="minorHAnsi"/>
          <w:sz w:val="22"/>
          <w:szCs w:val="22"/>
        </w:rPr>
        <w:t xml:space="preserve">he Health Sector Partnership Committee (HSPC) </w:t>
      </w:r>
      <w:r w:rsidRPr="00703589">
        <w:rPr>
          <w:rFonts w:asciiTheme="minorHAnsi" w:hAnsiTheme="minorHAnsi" w:cstheme="minorHAnsi"/>
          <w:sz w:val="22"/>
          <w:szCs w:val="22"/>
        </w:rPr>
        <w:t>was</w:t>
      </w:r>
      <w:r w:rsidR="005F69EC" w:rsidRPr="00703589">
        <w:rPr>
          <w:rFonts w:asciiTheme="minorHAnsi" w:hAnsiTheme="minorHAnsi" w:cstheme="minorHAnsi"/>
          <w:sz w:val="22"/>
          <w:szCs w:val="22"/>
        </w:rPr>
        <w:t xml:space="preserve"> ineffective due to infrequent meetings, limited management and lack of </w:t>
      </w:r>
      <w:r w:rsidRPr="00703589">
        <w:rPr>
          <w:rFonts w:asciiTheme="minorHAnsi" w:hAnsiTheme="minorHAnsi" w:cstheme="minorHAnsi"/>
          <w:sz w:val="22"/>
          <w:szCs w:val="22"/>
        </w:rPr>
        <w:t>central agency representation. The c</w:t>
      </w:r>
      <w:r w:rsidR="005F69EC" w:rsidRPr="00703589">
        <w:rPr>
          <w:rFonts w:asciiTheme="minorHAnsi" w:hAnsiTheme="minorHAnsi" w:cstheme="minorHAnsi"/>
          <w:sz w:val="22"/>
          <w:szCs w:val="22"/>
        </w:rPr>
        <w:t xml:space="preserve">oordination of technical assistance </w:t>
      </w:r>
      <w:r w:rsidRPr="00703589">
        <w:rPr>
          <w:rFonts w:asciiTheme="minorHAnsi" w:hAnsiTheme="minorHAnsi" w:cstheme="minorHAnsi"/>
          <w:sz w:val="22"/>
          <w:szCs w:val="22"/>
        </w:rPr>
        <w:t>in the sector was also identified as an area requiring improvement</w:t>
      </w:r>
      <w:r w:rsidR="005F69EC" w:rsidRPr="00703589">
        <w:rPr>
          <w:rFonts w:asciiTheme="minorHAnsi" w:hAnsiTheme="minorHAnsi" w:cstheme="minorHAnsi"/>
          <w:sz w:val="22"/>
          <w:szCs w:val="22"/>
        </w:rPr>
        <w:t xml:space="preserve">. </w:t>
      </w:r>
    </w:p>
    <w:p w:rsidR="005F69EC" w:rsidRPr="00703589" w:rsidRDefault="005F69EC" w:rsidP="008264E9">
      <w:pPr>
        <w:pStyle w:val="TableTextColumnHeading"/>
        <w:rPr>
          <w:rFonts w:asciiTheme="minorHAnsi" w:hAnsiTheme="minorHAnsi" w:cstheme="minorHAnsi"/>
        </w:rPr>
      </w:pPr>
      <w:r w:rsidRPr="00703589">
        <w:rPr>
          <w:rFonts w:asciiTheme="minorHAnsi" w:hAnsiTheme="minorHAnsi" w:cstheme="minorHAnsi"/>
        </w:rPr>
        <w:t>Austr</w:t>
      </w:r>
      <w:r w:rsidR="003F1DA2" w:rsidRPr="00703589">
        <w:rPr>
          <w:rFonts w:asciiTheme="minorHAnsi" w:hAnsiTheme="minorHAnsi" w:cstheme="minorHAnsi"/>
        </w:rPr>
        <w:t>alia’s C</w:t>
      </w:r>
      <w:r w:rsidRPr="00703589">
        <w:rPr>
          <w:rFonts w:asciiTheme="minorHAnsi" w:hAnsiTheme="minorHAnsi" w:cstheme="minorHAnsi"/>
        </w:rPr>
        <w:t xml:space="preserve">ontribution </w:t>
      </w:r>
    </w:p>
    <w:p w:rsidR="006E5DE3" w:rsidRPr="00703589" w:rsidRDefault="005F69EC" w:rsidP="00D1482F">
      <w:pPr>
        <w:pStyle w:val="ListBullet"/>
        <w:numPr>
          <w:ilvl w:val="0"/>
          <w:numId w:val="0"/>
        </w:numPr>
        <w:tabs>
          <w:tab w:val="clear" w:pos="284"/>
        </w:tabs>
        <w:spacing w:line="240" w:lineRule="auto"/>
        <w:jc w:val="both"/>
        <w:rPr>
          <w:rFonts w:asciiTheme="minorHAnsi" w:hAnsiTheme="minorHAnsi" w:cstheme="minorHAnsi"/>
          <w:sz w:val="22"/>
          <w:szCs w:val="22"/>
        </w:rPr>
      </w:pPr>
      <w:r w:rsidRPr="00703589">
        <w:rPr>
          <w:rFonts w:asciiTheme="minorHAnsi" w:hAnsiTheme="minorHAnsi" w:cstheme="minorHAnsi"/>
          <w:sz w:val="22"/>
          <w:szCs w:val="22"/>
        </w:rPr>
        <w:t xml:space="preserve">In </w:t>
      </w:r>
      <w:r w:rsidR="004B0E18" w:rsidRPr="00703589">
        <w:rPr>
          <w:rFonts w:asciiTheme="minorHAnsi" w:hAnsiTheme="minorHAnsi" w:cstheme="minorHAnsi"/>
          <w:sz w:val="22"/>
          <w:szCs w:val="22"/>
        </w:rPr>
        <w:t>2013-14, Australia invested approximately $99</w:t>
      </w:r>
      <w:r w:rsidRPr="00703589">
        <w:rPr>
          <w:rFonts w:asciiTheme="minorHAnsi" w:hAnsiTheme="minorHAnsi" w:cstheme="minorHAnsi"/>
          <w:sz w:val="22"/>
          <w:szCs w:val="22"/>
        </w:rPr>
        <w:t xml:space="preserve"> million toward </w:t>
      </w:r>
      <w:r w:rsidR="00A35F2E">
        <w:rPr>
          <w:rFonts w:asciiTheme="minorHAnsi" w:hAnsiTheme="minorHAnsi" w:cstheme="minorHAnsi"/>
          <w:sz w:val="22"/>
          <w:szCs w:val="22"/>
        </w:rPr>
        <w:t>h</w:t>
      </w:r>
      <w:r w:rsidRPr="00703589">
        <w:rPr>
          <w:rFonts w:asciiTheme="minorHAnsi" w:hAnsiTheme="minorHAnsi" w:cstheme="minorHAnsi"/>
          <w:sz w:val="22"/>
          <w:szCs w:val="22"/>
        </w:rPr>
        <w:t xml:space="preserve">ealth and HIV outcomes in PNG through five initiatives: financing, procurement, capacity development and service delivery, multilateral partnerships and in-country scholarships. </w:t>
      </w:r>
    </w:p>
    <w:p w:rsidR="005F69EC" w:rsidRPr="00703589" w:rsidRDefault="005F69EC" w:rsidP="00D1482F">
      <w:pPr>
        <w:pStyle w:val="ListBullet"/>
        <w:numPr>
          <w:ilvl w:val="0"/>
          <w:numId w:val="0"/>
        </w:numPr>
        <w:tabs>
          <w:tab w:val="clear" w:pos="284"/>
        </w:tabs>
        <w:spacing w:line="240" w:lineRule="auto"/>
        <w:jc w:val="both"/>
        <w:rPr>
          <w:rFonts w:asciiTheme="minorHAnsi" w:hAnsiTheme="minorHAnsi" w:cstheme="minorHAnsi"/>
          <w:sz w:val="22"/>
          <w:szCs w:val="22"/>
        </w:rPr>
      </w:pPr>
      <w:r w:rsidRPr="00703589">
        <w:rPr>
          <w:rFonts w:asciiTheme="minorHAnsi" w:hAnsiTheme="minorHAnsi" w:cstheme="minorHAnsi"/>
          <w:sz w:val="22"/>
          <w:szCs w:val="22"/>
        </w:rPr>
        <w:t xml:space="preserve">Australia’s aid program has directly contributed to key achievements in the sector including in the areas of </w:t>
      </w:r>
      <w:r w:rsidRPr="00703589">
        <w:rPr>
          <w:rFonts w:asciiTheme="minorHAnsi" w:hAnsiTheme="minorHAnsi" w:cstheme="minorHAnsi"/>
          <w:b/>
          <w:sz w:val="22"/>
          <w:szCs w:val="22"/>
        </w:rPr>
        <w:t>skilled birth attendance, family planning and child health</w:t>
      </w:r>
      <w:r w:rsidR="00806E64" w:rsidRPr="00703589">
        <w:rPr>
          <w:rFonts w:asciiTheme="minorHAnsi" w:hAnsiTheme="minorHAnsi" w:cstheme="minorHAnsi"/>
          <w:b/>
          <w:sz w:val="22"/>
          <w:szCs w:val="22"/>
        </w:rPr>
        <w:t>.</w:t>
      </w:r>
      <w:r w:rsidRPr="00703589">
        <w:rPr>
          <w:rFonts w:asciiTheme="minorHAnsi" w:hAnsiTheme="minorHAnsi" w:cstheme="minorHAnsi"/>
          <w:sz w:val="22"/>
          <w:szCs w:val="22"/>
        </w:rPr>
        <w:t xml:space="preserve"> In 2013, Australia’s support was responsible for 24,848 out of the 95,571 supervised deliveries. In 2013-14, Australian support to Marie Stopes International (MSI) and Susu Mamas resulted in 1,656 women accessing rural outreach services and 16,985 women attending urban health services (an 18 per cent increase on women accessing services in 2012). Australia’s support contributed to immunising 54,393 out of 209,202 children in pentavalent and measles, although over 91,000 children are still in need of pentavalent vaccines.</w:t>
      </w:r>
    </w:p>
    <w:p w:rsidR="005F69EC" w:rsidRPr="00703589" w:rsidRDefault="005F69EC" w:rsidP="00D1482F">
      <w:pPr>
        <w:pStyle w:val="ListBullet"/>
        <w:numPr>
          <w:ilvl w:val="0"/>
          <w:numId w:val="0"/>
        </w:numPr>
        <w:tabs>
          <w:tab w:val="clear" w:pos="284"/>
        </w:tabs>
        <w:spacing w:line="240" w:lineRule="auto"/>
        <w:jc w:val="both"/>
        <w:rPr>
          <w:rFonts w:asciiTheme="minorHAnsi" w:hAnsiTheme="minorHAnsi" w:cstheme="minorHAnsi"/>
          <w:sz w:val="22"/>
          <w:szCs w:val="22"/>
        </w:rPr>
      </w:pPr>
      <w:r w:rsidRPr="00703589">
        <w:rPr>
          <w:rFonts w:asciiTheme="minorHAnsi" w:hAnsiTheme="minorHAnsi" w:cstheme="minorHAnsi"/>
          <w:sz w:val="22"/>
          <w:szCs w:val="22"/>
        </w:rPr>
        <w:t xml:space="preserve">Australia’s support also facilitated HIV testing for more </w:t>
      </w:r>
      <w:r w:rsidR="00806E64" w:rsidRPr="00703589">
        <w:rPr>
          <w:rFonts w:asciiTheme="minorHAnsi" w:hAnsiTheme="minorHAnsi" w:cstheme="minorHAnsi"/>
          <w:sz w:val="22"/>
          <w:szCs w:val="22"/>
        </w:rPr>
        <w:t>than 120,000</w:t>
      </w:r>
      <w:r w:rsidRPr="00703589">
        <w:rPr>
          <w:rFonts w:asciiTheme="minorHAnsi" w:hAnsiTheme="minorHAnsi" w:cstheme="minorHAnsi"/>
          <w:sz w:val="22"/>
          <w:szCs w:val="22"/>
        </w:rPr>
        <w:t xml:space="preserve"> people (including 40,255 pregnant women) and the commencement of </w:t>
      </w:r>
      <w:r w:rsidR="00D1482F" w:rsidRPr="00703589">
        <w:rPr>
          <w:rFonts w:asciiTheme="minorHAnsi" w:hAnsiTheme="minorHAnsi" w:cstheme="minorHAnsi"/>
          <w:sz w:val="22"/>
          <w:szCs w:val="22"/>
        </w:rPr>
        <w:t>anti-retroviral therapy</w:t>
      </w:r>
      <w:r w:rsidRPr="00703589">
        <w:rPr>
          <w:rFonts w:asciiTheme="minorHAnsi" w:hAnsiTheme="minorHAnsi" w:cstheme="minorHAnsi"/>
          <w:sz w:val="22"/>
          <w:szCs w:val="22"/>
        </w:rPr>
        <w:t xml:space="preserve"> for 4,350 HIV positive people</w:t>
      </w:r>
      <w:r w:rsidR="00806E64" w:rsidRPr="00703589">
        <w:rPr>
          <w:rFonts w:asciiTheme="minorHAnsi" w:hAnsiTheme="minorHAnsi" w:cstheme="minorHAnsi"/>
          <w:sz w:val="22"/>
          <w:szCs w:val="22"/>
        </w:rPr>
        <w:t>.</w:t>
      </w:r>
      <w:r w:rsidRPr="00703589">
        <w:rPr>
          <w:rFonts w:asciiTheme="minorHAnsi" w:hAnsiTheme="minorHAnsi" w:cstheme="minorHAnsi"/>
          <w:sz w:val="22"/>
          <w:szCs w:val="22"/>
        </w:rPr>
        <w:t xml:space="preserve"> Contributions to the Global Fund to </w:t>
      </w:r>
      <w:r w:rsidR="004300DE" w:rsidRPr="00703589">
        <w:rPr>
          <w:rFonts w:asciiTheme="minorHAnsi" w:hAnsiTheme="minorHAnsi" w:cstheme="minorHAnsi"/>
          <w:sz w:val="22"/>
          <w:szCs w:val="22"/>
        </w:rPr>
        <w:t>f</w:t>
      </w:r>
      <w:r w:rsidRPr="00703589">
        <w:rPr>
          <w:rFonts w:asciiTheme="minorHAnsi" w:hAnsiTheme="minorHAnsi" w:cstheme="minorHAnsi"/>
          <w:sz w:val="22"/>
          <w:szCs w:val="22"/>
        </w:rPr>
        <w:t>ight AIDS, Tuberculosis and Malaria supported strong progress in malaria control, particularly through the distribution of over 1 million doses of artemether-lumefantrine</w:t>
      </w:r>
      <w:r w:rsidR="004300DE" w:rsidRPr="00703589">
        <w:rPr>
          <w:rFonts w:asciiTheme="minorHAnsi" w:hAnsiTheme="minorHAnsi" w:cstheme="minorHAnsi"/>
          <w:sz w:val="22"/>
          <w:szCs w:val="22"/>
        </w:rPr>
        <w:t>,</w:t>
      </w:r>
      <w:r w:rsidRPr="00703589">
        <w:rPr>
          <w:rFonts w:asciiTheme="minorHAnsi" w:hAnsiTheme="minorHAnsi" w:cstheme="minorHAnsi"/>
          <w:sz w:val="22"/>
          <w:szCs w:val="22"/>
        </w:rPr>
        <w:t xml:space="preserve"> over 1.4 million rapid diagnostic tests to all health centres, and the distribution of </w:t>
      </w:r>
      <w:r w:rsidR="00443F80" w:rsidRPr="00703589">
        <w:rPr>
          <w:rFonts w:asciiTheme="minorHAnsi" w:hAnsiTheme="minorHAnsi" w:cstheme="minorHAnsi"/>
          <w:sz w:val="22"/>
          <w:szCs w:val="22"/>
        </w:rPr>
        <w:t>more than</w:t>
      </w:r>
      <w:r w:rsidRPr="00703589">
        <w:rPr>
          <w:rFonts w:asciiTheme="minorHAnsi" w:hAnsiTheme="minorHAnsi" w:cstheme="minorHAnsi"/>
          <w:sz w:val="22"/>
          <w:szCs w:val="22"/>
        </w:rPr>
        <w:t xml:space="preserve"> 1.4 million bed nets.  In the area of tuberculosis (TB) control</w:t>
      </w:r>
      <w:r w:rsidR="00806E64" w:rsidRPr="00703589">
        <w:rPr>
          <w:rFonts w:asciiTheme="minorHAnsi" w:hAnsiTheme="minorHAnsi" w:cstheme="minorHAnsi"/>
          <w:sz w:val="22"/>
          <w:szCs w:val="22"/>
        </w:rPr>
        <w:t>, Global</w:t>
      </w:r>
      <w:r w:rsidRPr="00703589">
        <w:rPr>
          <w:rFonts w:asciiTheme="minorHAnsi" w:hAnsiTheme="minorHAnsi" w:cstheme="minorHAnsi"/>
          <w:sz w:val="22"/>
          <w:szCs w:val="22"/>
        </w:rPr>
        <w:t xml:space="preserve"> Fund grants were used to fully implement a training program for TB treatment in all Provinces.  </w:t>
      </w:r>
      <w:r w:rsidR="00806E64" w:rsidRPr="00703589">
        <w:rPr>
          <w:rFonts w:asciiTheme="minorHAnsi" w:hAnsiTheme="minorHAnsi" w:cstheme="minorHAnsi"/>
          <w:sz w:val="22"/>
          <w:szCs w:val="22"/>
        </w:rPr>
        <w:t>However, despite improvements in TB notifications and referrals, an independent review of PNG’s National TB Program identified the National Capital District as a major ‘hotspot' for TB t</w:t>
      </w:r>
      <w:r w:rsidR="00443F80" w:rsidRPr="00703589">
        <w:rPr>
          <w:rFonts w:asciiTheme="minorHAnsi" w:hAnsiTheme="minorHAnsi" w:cstheme="minorHAnsi"/>
          <w:sz w:val="22"/>
          <w:szCs w:val="22"/>
        </w:rPr>
        <w:t>ransmission and drug resistance. This is an alarming development and will need concerted action by the PNG Government with support from Australia and other donors.</w:t>
      </w:r>
    </w:p>
    <w:p w:rsidR="00443F80" w:rsidRPr="00703589" w:rsidRDefault="00443F80" w:rsidP="00443F80">
      <w:pPr>
        <w:spacing w:after="120"/>
        <w:jc w:val="both"/>
        <w:rPr>
          <w:rFonts w:asciiTheme="minorHAnsi" w:eastAsia="Times New Roman" w:hAnsiTheme="minorHAnsi" w:cstheme="minorHAnsi"/>
          <w:sz w:val="22"/>
          <w:szCs w:val="22"/>
        </w:rPr>
      </w:pPr>
      <w:r w:rsidRPr="00703589">
        <w:rPr>
          <w:rFonts w:asciiTheme="minorHAnsi" w:eastAsia="Times New Roman" w:hAnsiTheme="minorHAnsi" w:cstheme="minorHAnsi"/>
          <w:sz w:val="22"/>
          <w:szCs w:val="22"/>
        </w:rPr>
        <w:t xml:space="preserve">The state of </w:t>
      </w:r>
      <w:r w:rsidRPr="00703589">
        <w:rPr>
          <w:rFonts w:asciiTheme="minorHAnsi" w:eastAsia="Times New Roman" w:hAnsiTheme="minorHAnsi" w:cstheme="minorHAnsi"/>
          <w:b/>
          <w:sz w:val="22"/>
          <w:szCs w:val="22"/>
        </w:rPr>
        <w:t>health sector financing</w:t>
      </w:r>
      <w:r w:rsidRPr="00703589">
        <w:rPr>
          <w:rFonts w:asciiTheme="minorHAnsi" w:eastAsia="Times New Roman" w:hAnsiTheme="minorHAnsi" w:cstheme="minorHAnsi"/>
          <w:sz w:val="22"/>
          <w:szCs w:val="22"/>
        </w:rPr>
        <w:t xml:space="preserve"> has also improved over the past year. In 2013, an Australian-supported technical assistance mission helped secure </w:t>
      </w:r>
      <w:r w:rsidRPr="00D0071B">
        <w:rPr>
          <w:rFonts w:asciiTheme="minorHAnsi" w:eastAsia="Times New Roman" w:hAnsiTheme="minorHAnsi" w:cstheme="minorHAnsi"/>
          <w:sz w:val="22"/>
          <w:szCs w:val="22"/>
        </w:rPr>
        <w:t xml:space="preserve">a K11.8 million </w:t>
      </w:r>
      <w:r w:rsidR="00387793" w:rsidRPr="00D0071B">
        <w:rPr>
          <w:rFonts w:asciiTheme="minorHAnsi" w:eastAsia="Times New Roman" w:hAnsiTheme="minorHAnsi" w:cstheme="minorHAnsi"/>
          <w:sz w:val="22"/>
          <w:szCs w:val="22"/>
        </w:rPr>
        <w:t>(A$5</w:t>
      </w:r>
      <w:r w:rsidR="00596D98" w:rsidRPr="00D0071B">
        <w:rPr>
          <w:rFonts w:asciiTheme="minorHAnsi" w:eastAsia="Times New Roman" w:hAnsiTheme="minorHAnsi" w:cstheme="minorHAnsi"/>
          <w:sz w:val="22"/>
          <w:szCs w:val="22"/>
        </w:rPr>
        <w:t>.14</w:t>
      </w:r>
      <w:r w:rsidR="00387793" w:rsidRPr="00D0071B">
        <w:rPr>
          <w:rFonts w:asciiTheme="minorHAnsi" w:eastAsia="Times New Roman" w:hAnsiTheme="minorHAnsi" w:cstheme="minorHAnsi"/>
          <w:sz w:val="22"/>
          <w:szCs w:val="22"/>
        </w:rPr>
        <w:t xml:space="preserve"> million)</w:t>
      </w:r>
      <w:r w:rsidR="00387793" w:rsidRPr="00703589">
        <w:rPr>
          <w:rFonts w:asciiTheme="minorHAnsi" w:eastAsia="Times New Roman" w:hAnsiTheme="minorHAnsi" w:cstheme="minorHAnsi"/>
          <w:sz w:val="22"/>
          <w:szCs w:val="22"/>
        </w:rPr>
        <w:t xml:space="preserve"> </w:t>
      </w:r>
      <w:r w:rsidRPr="00703589">
        <w:rPr>
          <w:rFonts w:asciiTheme="minorHAnsi" w:eastAsia="Times New Roman" w:hAnsiTheme="minorHAnsi" w:cstheme="minorHAnsi"/>
          <w:sz w:val="22"/>
          <w:szCs w:val="22"/>
        </w:rPr>
        <w:t xml:space="preserve">funding </w:t>
      </w:r>
      <w:r w:rsidRPr="00703589">
        <w:rPr>
          <w:rFonts w:asciiTheme="minorHAnsi" w:eastAsia="Times New Roman" w:hAnsiTheme="minorHAnsi" w:cstheme="minorHAnsi"/>
          <w:sz w:val="22"/>
          <w:szCs w:val="22"/>
        </w:rPr>
        <w:lastRenderedPageBreak/>
        <w:t>increase to Christian Health Services in PNG’s 2014 budget. Australian procured and distributed medicines also provided a critical boost to the PNG Government’s more limited coverage, and impac</w:t>
      </w:r>
      <w:r w:rsidR="00703589">
        <w:rPr>
          <w:rFonts w:asciiTheme="minorHAnsi" w:eastAsia="Times New Roman" w:hAnsiTheme="minorHAnsi" w:cstheme="minorHAnsi"/>
          <w:sz w:val="22"/>
          <w:szCs w:val="22"/>
        </w:rPr>
        <w:t>ted the most remote facilities.</w:t>
      </w:r>
      <w:r w:rsidRPr="00703589">
        <w:rPr>
          <w:rFonts w:asciiTheme="minorHAnsi" w:eastAsia="Times New Roman" w:hAnsiTheme="minorHAnsi" w:cstheme="minorHAnsi"/>
          <w:sz w:val="22"/>
          <w:szCs w:val="22"/>
        </w:rPr>
        <w:t xml:space="preserve"> The overall availability of medicines increased by 64 per cent in 2013.</w:t>
      </w:r>
    </w:p>
    <w:p w:rsidR="00443F80" w:rsidRPr="00703589" w:rsidRDefault="00443F80" w:rsidP="00D1482F">
      <w:pPr>
        <w:pStyle w:val="ListBullet"/>
        <w:numPr>
          <w:ilvl w:val="0"/>
          <w:numId w:val="0"/>
        </w:numPr>
        <w:tabs>
          <w:tab w:val="clear" w:pos="284"/>
        </w:tabs>
        <w:spacing w:line="240" w:lineRule="auto"/>
        <w:jc w:val="both"/>
        <w:rPr>
          <w:rFonts w:asciiTheme="minorHAnsi" w:hAnsiTheme="minorHAnsi" w:cstheme="minorHAnsi"/>
          <w:sz w:val="22"/>
          <w:szCs w:val="22"/>
        </w:rPr>
      </w:pPr>
      <w:r w:rsidRPr="00703589">
        <w:rPr>
          <w:rFonts w:asciiTheme="minorHAnsi" w:hAnsiTheme="minorHAnsi" w:cstheme="minorHAnsi"/>
          <w:sz w:val="22"/>
          <w:szCs w:val="22"/>
        </w:rPr>
        <w:t xml:space="preserve">Considerable progress was made in relation to </w:t>
      </w:r>
      <w:r w:rsidRPr="00703589">
        <w:rPr>
          <w:rFonts w:asciiTheme="minorHAnsi" w:hAnsiTheme="minorHAnsi" w:cstheme="minorHAnsi"/>
          <w:b/>
          <w:sz w:val="22"/>
          <w:szCs w:val="22"/>
        </w:rPr>
        <w:t>health infrastructure</w:t>
      </w:r>
      <w:r w:rsidRPr="00703589">
        <w:rPr>
          <w:rFonts w:asciiTheme="minorHAnsi" w:hAnsiTheme="minorHAnsi" w:cstheme="minorHAnsi"/>
          <w:sz w:val="22"/>
          <w:szCs w:val="22"/>
        </w:rPr>
        <w:t xml:space="preserve"> in 2013-14. Australia’s Incentive Fund completed four hospital upgrading projects, and upgraded health facilities and staff housing in three provinces. In July 2013, Australia committed up to </w:t>
      </w:r>
      <w:r w:rsidR="00A36BD8">
        <w:rPr>
          <w:rFonts w:asciiTheme="minorHAnsi" w:hAnsiTheme="minorHAnsi" w:cstheme="minorHAnsi"/>
          <w:sz w:val="22"/>
          <w:szCs w:val="22"/>
        </w:rPr>
        <w:t>A</w:t>
      </w:r>
      <w:r w:rsidRPr="00703589">
        <w:rPr>
          <w:rFonts w:asciiTheme="minorHAnsi" w:hAnsiTheme="minorHAnsi" w:cstheme="minorHAnsi"/>
          <w:sz w:val="22"/>
          <w:szCs w:val="22"/>
        </w:rPr>
        <w:t>$207million to co-fund the redevelopment of the ANGAU Hospital. Australia also funded the construction of a new Daru General Hospital TB and isolation ward, and Master Plans or scoping studies for the re-development of hospitals in Mt Hagen, Goroka, Lorengau, Buka and Daru.</w:t>
      </w:r>
    </w:p>
    <w:p w:rsidR="005F69EC" w:rsidRPr="00703589" w:rsidRDefault="005F69EC" w:rsidP="00D1482F">
      <w:pPr>
        <w:pStyle w:val="ListBullet"/>
        <w:numPr>
          <w:ilvl w:val="0"/>
          <w:numId w:val="0"/>
        </w:numPr>
        <w:tabs>
          <w:tab w:val="clear" w:pos="284"/>
        </w:tabs>
        <w:spacing w:line="240" w:lineRule="auto"/>
        <w:jc w:val="both"/>
        <w:rPr>
          <w:rFonts w:asciiTheme="minorHAnsi" w:hAnsiTheme="minorHAnsi" w:cstheme="minorHAnsi"/>
          <w:sz w:val="22"/>
          <w:szCs w:val="22"/>
        </w:rPr>
      </w:pPr>
      <w:r w:rsidRPr="00703589">
        <w:rPr>
          <w:rFonts w:asciiTheme="minorHAnsi" w:hAnsiTheme="minorHAnsi" w:cstheme="minorHAnsi"/>
          <w:b/>
          <w:sz w:val="22"/>
          <w:szCs w:val="22"/>
        </w:rPr>
        <w:t xml:space="preserve">Health workforce </w:t>
      </w:r>
      <w:r w:rsidRPr="00703589">
        <w:rPr>
          <w:rFonts w:asciiTheme="minorHAnsi" w:hAnsiTheme="minorHAnsi" w:cstheme="minorHAnsi"/>
          <w:sz w:val="22"/>
          <w:szCs w:val="22"/>
        </w:rPr>
        <w:t>performance targets</w:t>
      </w:r>
      <w:r w:rsidRPr="00703589">
        <w:rPr>
          <w:rFonts w:asciiTheme="minorHAnsi" w:hAnsiTheme="minorHAnsi" w:cstheme="minorHAnsi"/>
          <w:b/>
          <w:sz w:val="22"/>
          <w:szCs w:val="22"/>
        </w:rPr>
        <w:t xml:space="preserve"> </w:t>
      </w:r>
      <w:r w:rsidR="00443F80" w:rsidRPr="00703589">
        <w:rPr>
          <w:rFonts w:asciiTheme="minorHAnsi" w:hAnsiTheme="minorHAnsi" w:cstheme="minorHAnsi"/>
          <w:sz w:val="22"/>
          <w:szCs w:val="22"/>
        </w:rPr>
        <w:t xml:space="preserve">continued to be </w:t>
      </w:r>
      <w:r w:rsidRPr="00703589">
        <w:rPr>
          <w:rFonts w:asciiTheme="minorHAnsi" w:hAnsiTheme="minorHAnsi" w:cstheme="minorHAnsi"/>
          <w:sz w:val="22"/>
          <w:szCs w:val="22"/>
        </w:rPr>
        <w:t>on track in PNG</w:t>
      </w:r>
      <w:r w:rsidRPr="00703589">
        <w:rPr>
          <w:rFonts w:asciiTheme="minorHAnsi" w:hAnsiTheme="minorHAnsi" w:cstheme="minorHAnsi"/>
          <w:b/>
          <w:sz w:val="22"/>
          <w:szCs w:val="22"/>
        </w:rPr>
        <w:t>,</w:t>
      </w:r>
      <w:r w:rsidRPr="00703589">
        <w:rPr>
          <w:rFonts w:asciiTheme="minorHAnsi" w:hAnsiTheme="minorHAnsi" w:cstheme="minorHAnsi"/>
          <w:sz w:val="22"/>
          <w:szCs w:val="22"/>
        </w:rPr>
        <w:t xml:space="preserve"> with almost 400 new health workers enrolled in community health, nursing and midwifery courses in 2013. Australia’s funding for eight clinical midwifery facilitators (CMF) at all four midwifery schools is continuing to improve teaching and learning quality, with 93 per cent of midwifery students graduating in 2013. Australia also supported a re-design of annual core funding for the University of PNG’s (UPNG) School of Medicine and Health Sciences (SMHS). </w:t>
      </w:r>
    </w:p>
    <w:p w:rsidR="005F69EC" w:rsidRPr="00703589" w:rsidRDefault="00443F80" w:rsidP="00D1482F">
      <w:pPr>
        <w:spacing w:after="120"/>
        <w:jc w:val="both"/>
        <w:rPr>
          <w:rFonts w:asciiTheme="minorHAnsi" w:hAnsiTheme="minorHAnsi" w:cstheme="minorHAnsi"/>
          <w:b/>
          <w:sz w:val="22"/>
          <w:szCs w:val="22"/>
        </w:rPr>
      </w:pPr>
      <w:r w:rsidRPr="00703589">
        <w:rPr>
          <w:rFonts w:asciiTheme="minorHAnsi" w:hAnsiTheme="minorHAnsi" w:cstheme="minorHAnsi"/>
          <w:b/>
          <w:sz w:val="22"/>
          <w:szCs w:val="22"/>
        </w:rPr>
        <w:t>Key R</w:t>
      </w:r>
      <w:r w:rsidR="005F69EC" w:rsidRPr="00703589">
        <w:rPr>
          <w:rFonts w:asciiTheme="minorHAnsi" w:hAnsiTheme="minorHAnsi" w:cstheme="minorHAnsi"/>
          <w:b/>
          <w:sz w:val="22"/>
          <w:szCs w:val="22"/>
        </w:rPr>
        <w:t>isks and Challenges</w:t>
      </w:r>
    </w:p>
    <w:p w:rsidR="005503AC" w:rsidRPr="00703589" w:rsidRDefault="00443F80" w:rsidP="005503AC">
      <w:pPr>
        <w:spacing w:after="120"/>
        <w:jc w:val="both"/>
        <w:rPr>
          <w:rFonts w:asciiTheme="minorHAnsi" w:hAnsiTheme="minorHAnsi" w:cstheme="minorHAnsi"/>
          <w:sz w:val="22"/>
          <w:szCs w:val="22"/>
        </w:rPr>
      </w:pPr>
      <w:r w:rsidRPr="00703589">
        <w:rPr>
          <w:rFonts w:asciiTheme="minorHAnsi" w:hAnsiTheme="minorHAnsi" w:cstheme="minorHAnsi"/>
          <w:sz w:val="22"/>
          <w:szCs w:val="22"/>
        </w:rPr>
        <w:t>Risks to the positive momentum in Australian support to the PNG health sector include an unwillingness or inability of the Government of PNG to take up service delivery activities currently funded by Australia, a lack of desire in the private sector to engage in strengthening PNG’s health system, and the impact of a rising tuberculosis epidemic on current funding plans. Medical supply reform in PNG also remains a challenge and improvements will only be realised when the PNG Government demonstrates commitment to the fair and transparent procurement of quality assured medical supplies.</w:t>
      </w:r>
    </w:p>
    <w:p w:rsidR="005F69EC" w:rsidRPr="00894779" w:rsidRDefault="00443F80" w:rsidP="00D1482F">
      <w:pPr>
        <w:jc w:val="both"/>
        <w:rPr>
          <w:rFonts w:asciiTheme="minorHAnsi" w:hAnsiTheme="minorHAnsi" w:cstheme="minorHAnsi"/>
          <w:b/>
          <w:sz w:val="22"/>
          <w:szCs w:val="22"/>
        </w:rPr>
      </w:pPr>
      <w:r w:rsidRPr="00894779">
        <w:rPr>
          <w:rFonts w:asciiTheme="minorHAnsi" w:hAnsiTheme="minorHAnsi" w:cstheme="minorHAnsi"/>
          <w:b/>
          <w:sz w:val="22"/>
          <w:szCs w:val="22"/>
        </w:rPr>
        <w:t>Way Forward/ Management C</w:t>
      </w:r>
      <w:r w:rsidR="005F69EC" w:rsidRPr="00894779">
        <w:rPr>
          <w:rFonts w:asciiTheme="minorHAnsi" w:hAnsiTheme="minorHAnsi" w:cstheme="minorHAnsi"/>
          <w:b/>
          <w:sz w:val="22"/>
          <w:szCs w:val="22"/>
        </w:rPr>
        <w:t>onsequences</w:t>
      </w:r>
    </w:p>
    <w:p w:rsidR="005F69EC" w:rsidRPr="00894779" w:rsidRDefault="00A35F2E" w:rsidP="00D1482F">
      <w:pPr>
        <w:pStyle w:val="NoSpacing"/>
        <w:spacing w:after="120"/>
        <w:jc w:val="both"/>
        <w:rPr>
          <w:rFonts w:asciiTheme="minorHAnsi" w:hAnsiTheme="minorHAnsi" w:cstheme="minorHAnsi"/>
          <w:sz w:val="22"/>
          <w:szCs w:val="22"/>
        </w:rPr>
      </w:pPr>
      <w:r>
        <w:rPr>
          <w:rFonts w:asciiTheme="minorHAnsi" w:hAnsiTheme="minorHAnsi" w:cstheme="minorHAnsi"/>
          <w:sz w:val="22"/>
          <w:szCs w:val="22"/>
        </w:rPr>
        <w:t>Re-aligning the h</w:t>
      </w:r>
      <w:r w:rsidR="005F69EC" w:rsidRPr="00894779">
        <w:rPr>
          <w:rFonts w:asciiTheme="minorHAnsi" w:hAnsiTheme="minorHAnsi" w:cstheme="minorHAnsi"/>
          <w:sz w:val="22"/>
          <w:szCs w:val="22"/>
        </w:rPr>
        <w:t xml:space="preserve">ealth and HIV portfolio to Australian Government priorities will be undertaken in 2014-15, with an emphasis on: </w:t>
      </w:r>
    </w:p>
    <w:p w:rsidR="005F69EC" w:rsidRPr="00894779" w:rsidRDefault="005F69EC" w:rsidP="00D1482F">
      <w:pPr>
        <w:pStyle w:val="ListParagraph"/>
        <w:numPr>
          <w:ilvl w:val="0"/>
          <w:numId w:val="19"/>
        </w:numPr>
        <w:spacing w:after="0"/>
        <w:ind w:left="425" w:hanging="349"/>
        <w:jc w:val="both"/>
        <w:rPr>
          <w:rFonts w:asciiTheme="minorHAnsi" w:hAnsiTheme="minorHAnsi" w:cstheme="minorHAnsi"/>
          <w:szCs w:val="22"/>
        </w:rPr>
      </w:pPr>
      <w:r w:rsidRPr="00894779">
        <w:rPr>
          <w:rFonts w:asciiTheme="minorHAnsi" w:hAnsiTheme="minorHAnsi" w:cstheme="minorHAnsi"/>
          <w:szCs w:val="22"/>
        </w:rPr>
        <w:t xml:space="preserve">Supporting </w:t>
      </w:r>
      <w:r w:rsidR="00A35F2E">
        <w:rPr>
          <w:rFonts w:asciiTheme="minorHAnsi" w:hAnsiTheme="minorHAnsi" w:cstheme="minorHAnsi"/>
          <w:szCs w:val="22"/>
        </w:rPr>
        <w:t>PNG Government to establish an Independent Health P</w:t>
      </w:r>
      <w:r w:rsidRPr="00894779">
        <w:rPr>
          <w:rFonts w:asciiTheme="minorHAnsi" w:hAnsiTheme="minorHAnsi" w:cstheme="minorHAnsi"/>
          <w:szCs w:val="22"/>
        </w:rPr>
        <w:t>rocurement authority;</w:t>
      </w:r>
    </w:p>
    <w:p w:rsidR="000E0810" w:rsidRPr="00894779" w:rsidRDefault="000E0810" w:rsidP="00D1482F">
      <w:pPr>
        <w:pStyle w:val="ListParagraph"/>
        <w:numPr>
          <w:ilvl w:val="0"/>
          <w:numId w:val="19"/>
        </w:numPr>
        <w:spacing w:after="0"/>
        <w:ind w:left="425" w:hanging="349"/>
        <w:jc w:val="both"/>
        <w:rPr>
          <w:rFonts w:asciiTheme="minorHAnsi" w:hAnsiTheme="minorHAnsi" w:cstheme="minorHAnsi"/>
          <w:szCs w:val="22"/>
        </w:rPr>
      </w:pPr>
      <w:r w:rsidRPr="00894779">
        <w:rPr>
          <w:rFonts w:asciiTheme="minorHAnsi" w:hAnsiTheme="minorHAnsi" w:cstheme="minorHAnsi"/>
        </w:rPr>
        <w:t>Undertaking an</w:t>
      </w:r>
      <w:r w:rsidR="00A35F2E">
        <w:rPr>
          <w:rFonts w:asciiTheme="minorHAnsi" w:hAnsiTheme="minorHAnsi" w:cstheme="minorHAnsi"/>
        </w:rPr>
        <w:t xml:space="preserve"> independent evaluation of the h</w:t>
      </w:r>
      <w:r w:rsidRPr="00894779">
        <w:rPr>
          <w:rFonts w:asciiTheme="minorHAnsi" w:hAnsiTheme="minorHAnsi" w:cstheme="minorHAnsi"/>
        </w:rPr>
        <w:t>ealth and HIV portfolio and developing a new Sector Investment Plan to reflect priorities of the PNG aid assessment, including greater private sector involvement in health;</w:t>
      </w:r>
    </w:p>
    <w:p w:rsidR="005F69EC" w:rsidRPr="00894779" w:rsidRDefault="005F69EC" w:rsidP="00D1482F">
      <w:pPr>
        <w:pStyle w:val="ListParagraph"/>
        <w:numPr>
          <w:ilvl w:val="0"/>
          <w:numId w:val="19"/>
        </w:numPr>
        <w:spacing w:after="0"/>
        <w:ind w:left="425" w:hanging="349"/>
        <w:jc w:val="both"/>
        <w:rPr>
          <w:rFonts w:asciiTheme="minorHAnsi" w:hAnsiTheme="minorHAnsi" w:cstheme="minorHAnsi"/>
          <w:szCs w:val="22"/>
        </w:rPr>
      </w:pPr>
      <w:r w:rsidRPr="00894779">
        <w:rPr>
          <w:rFonts w:asciiTheme="minorHAnsi" w:hAnsiTheme="minorHAnsi" w:cstheme="minorHAnsi"/>
          <w:szCs w:val="22"/>
        </w:rPr>
        <w:t xml:space="preserve">Supporting effective implementation of </w:t>
      </w:r>
      <w:r w:rsidR="00672DBB" w:rsidRPr="00894779">
        <w:rPr>
          <w:rFonts w:asciiTheme="minorHAnsi" w:hAnsiTheme="minorHAnsi" w:cstheme="minorHAnsi"/>
          <w:szCs w:val="22"/>
        </w:rPr>
        <w:t xml:space="preserve">the </w:t>
      </w:r>
      <w:r w:rsidRPr="00894779">
        <w:rPr>
          <w:rFonts w:asciiTheme="minorHAnsi" w:hAnsiTheme="minorHAnsi" w:cstheme="minorHAnsi"/>
          <w:szCs w:val="22"/>
        </w:rPr>
        <w:t>PNG Government</w:t>
      </w:r>
      <w:r w:rsidR="00672DBB" w:rsidRPr="00894779">
        <w:rPr>
          <w:rFonts w:asciiTheme="minorHAnsi" w:hAnsiTheme="minorHAnsi" w:cstheme="minorHAnsi"/>
          <w:szCs w:val="22"/>
        </w:rPr>
        <w:t>’</w:t>
      </w:r>
      <w:r w:rsidRPr="00894779">
        <w:rPr>
          <w:rFonts w:asciiTheme="minorHAnsi" w:hAnsiTheme="minorHAnsi" w:cstheme="minorHAnsi"/>
          <w:szCs w:val="22"/>
        </w:rPr>
        <w:t xml:space="preserve">s </w:t>
      </w:r>
      <w:r w:rsidRPr="00894779">
        <w:rPr>
          <w:rFonts w:asciiTheme="minorHAnsi" w:hAnsiTheme="minorHAnsi" w:cstheme="minorHAnsi"/>
          <w:i/>
          <w:szCs w:val="22"/>
        </w:rPr>
        <w:t>Free Primary Health Care and Subsidised Specialised Services policy</w:t>
      </w:r>
      <w:r w:rsidRPr="00894779">
        <w:rPr>
          <w:rFonts w:asciiTheme="minorHAnsi" w:hAnsiTheme="minorHAnsi" w:cstheme="minorHAnsi"/>
          <w:szCs w:val="22"/>
        </w:rPr>
        <w:t>;</w:t>
      </w:r>
    </w:p>
    <w:p w:rsidR="00C67F27" w:rsidRPr="00894779" w:rsidRDefault="005F69EC" w:rsidP="00D1482F">
      <w:pPr>
        <w:pStyle w:val="ListParagraph"/>
        <w:numPr>
          <w:ilvl w:val="0"/>
          <w:numId w:val="19"/>
        </w:numPr>
        <w:spacing w:after="0"/>
        <w:ind w:left="425"/>
        <w:jc w:val="both"/>
        <w:rPr>
          <w:rFonts w:asciiTheme="minorHAnsi" w:hAnsiTheme="minorHAnsi" w:cstheme="minorHAnsi"/>
          <w:szCs w:val="22"/>
        </w:rPr>
      </w:pPr>
      <w:r w:rsidRPr="00894779">
        <w:rPr>
          <w:rFonts w:asciiTheme="minorHAnsi" w:hAnsiTheme="minorHAnsi" w:cstheme="minorHAnsi"/>
          <w:szCs w:val="22"/>
        </w:rPr>
        <w:t>Continuing to strengthen investments in support of the national TB response (and addressing TB in Western Province) coordinated through a PNG Government</w:t>
      </w:r>
      <w:r w:rsidR="00A35F2E">
        <w:rPr>
          <w:rFonts w:asciiTheme="minorHAnsi" w:hAnsiTheme="minorHAnsi" w:cstheme="minorHAnsi"/>
          <w:szCs w:val="22"/>
        </w:rPr>
        <w:t>-</w:t>
      </w:r>
      <w:r w:rsidRPr="00894779">
        <w:rPr>
          <w:rFonts w:asciiTheme="minorHAnsi" w:hAnsiTheme="minorHAnsi" w:cstheme="minorHAnsi"/>
          <w:szCs w:val="22"/>
        </w:rPr>
        <w:t>led National TB Taskforce; and</w:t>
      </w:r>
    </w:p>
    <w:p w:rsidR="002D0964" w:rsidRPr="00703589" w:rsidRDefault="005F69EC" w:rsidP="00D1482F">
      <w:pPr>
        <w:pStyle w:val="ListParagraph"/>
        <w:numPr>
          <w:ilvl w:val="0"/>
          <w:numId w:val="19"/>
        </w:numPr>
        <w:spacing w:after="0"/>
        <w:ind w:left="425"/>
        <w:jc w:val="both"/>
        <w:rPr>
          <w:rFonts w:asciiTheme="minorHAnsi" w:hAnsiTheme="minorHAnsi" w:cstheme="minorHAnsi"/>
          <w:szCs w:val="22"/>
        </w:rPr>
      </w:pPr>
      <w:r w:rsidRPr="00894779">
        <w:rPr>
          <w:rFonts w:asciiTheme="minorHAnsi" w:hAnsiTheme="minorHAnsi" w:cstheme="minorHAnsi"/>
          <w:szCs w:val="22"/>
        </w:rPr>
        <w:t xml:space="preserve">Effective resourcing and oversight of the </w:t>
      </w:r>
      <w:r w:rsidR="00A35F2E">
        <w:rPr>
          <w:rFonts w:asciiTheme="minorHAnsi" w:hAnsiTheme="minorHAnsi" w:cstheme="minorHAnsi"/>
          <w:szCs w:val="22"/>
        </w:rPr>
        <w:t xml:space="preserve">Lae </w:t>
      </w:r>
      <w:r w:rsidRPr="00894779">
        <w:rPr>
          <w:rFonts w:asciiTheme="minorHAnsi" w:hAnsiTheme="minorHAnsi" w:cstheme="minorHAnsi"/>
          <w:szCs w:val="22"/>
        </w:rPr>
        <w:t xml:space="preserve">ANGAU Hospital </w:t>
      </w:r>
      <w:r w:rsidR="00806E64" w:rsidRPr="00894779">
        <w:rPr>
          <w:rFonts w:asciiTheme="minorHAnsi" w:hAnsiTheme="minorHAnsi" w:cstheme="minorHAnsi"/>
          <w:szCs w:val="22"/>
        </w:rPr>
        <w:t>Master plan</w:t>
      </w:r>
      <w:r w:rsidRPr="00894779">
        <w:rPr>
          <w:rFonts w:asciiTheme="minorHAnsi" w:hAnsiTheme="minorHAnsi" w:cstheme="minorHAnsi"/>
          <w:szCs w:val="22"/>
        </w:rPr>
        <w:t xml:space="preserve"> development and engagement with PNG Government on sustainable co-financing and</w:t>
      </w:r>
      <w:r w:rsidRPr="00703589">
        <w:rPr>
          <w:rFonts w:asciiTheme="minorHAnsi" w:hAnsiTheme="minorHAnsi" w:cstheme="minorHAnsi"/>
          <w:szCs w:val="22"/>
        </w:rPr>
        <w:t xml:space="preserve"> governance arrangements</w:t>
      </w:r>
      <w:r w:rsidR="00A316AE" w:rsidRPr="00703589">
        <w:rPr>
          <w:rFonts w:asciiTheme="minorHAnsi" w:hAnsiTheme="minorHAnsi" w:cstheme="minorHAnsi"/>
          <w:szCs w:val="22"/>
        </w:rPr>
        <w:t>.</w:t>
      </w:r>
    </w:p>
    <w:p w:rsidR="00BE318D" w:rsidRPr="000D7830" w:rsidRDefault="00BE318D" w:rsidP="00164E82">
      <w:pPr>
        <w:pStyle w:val="Heading3"/>
      </w:pPr>
      <w:r>
        <w:t>Objective 2 - Education</w:t>
      </w:r>
    </w:p>
    <w:tbl>
      <w:tblPr>
        <w:tblStyle w:val="APPR"/>
        <w:tblW w:w="4916" w:type="pct"/>
        <w:tblBorders>
          <w:top w:val="single" w:sz="4" w:space="0" w:color="auto"/>
          <w:bottom w:val="single" w:sz="4" w:space="0" w:color="auto"/>
        </w:tblBorders>
        <w:tblLook w:val="0000" w:firstRow="0" w:lastRow="0" w:firstColumn="0" w:lastColumn="0" w:noHBand="0" w:noVBand="0"/>
      </w:tblPr>
      <w:tblGrid>
        <w:gridCol w:w="7406"/>
        <w:gridCol w:w="332"/>
        <w:gridCol w:w="1405"/>
      </w:tblGrid>
      <w:tr w:rsidR="00BE318D" w:rsidRPr="002D0964" w:rsidTr="00BE318D">
        <w:trPr>
          <w:cnfStyle w:val="000000010000" w:firstRow="0" w:lastRow="0" w:firstColumn="0" w:lastColumn="0" w:oddVBand="0" w:evenVBand="0" w:oddHBand="0" w:evenHBand="1" w:firstRowFirstColumn="0" w:firstRowLastColumn="0" w:lastRowFirstColumn="0" w:lastRowLastColumn="0"/>
          <w:trHeight w:val="317"/>
        </w:trPr>
        <w:tc>
          <w:tcPr>
            <w:tcW w:w="7364" w:type="dxa"/>
          </w:tcPr>
          <w:p w:rsidR="00BE318D" w:rsidRPr="002D0964" w:rsidRDefault="00BE318D" w:rsidP="008264E9">
            <w:pPr>
              <w:pStyle w:val="TableTextColumnHeading"/>
            </w:pPr>
            <w:r w:rsidRPr="002D0964">
              <w:rPr>
                <w:noProof/>
              </w:rPr>
              <w:drawing>
                <wp:anchor distT="0" distB="0" distL="114300" distR="114300" simplePos="0" relativeHeight="251677696" behindDoc="0" locked="0" layoutInCell="1" allowOverlap="1" wp14:anchorId="488D4D19" wp14:editId="6FD3901F">
                  <wp:simplePos x="0" y="0"/>
                  <wp:positionH relativeFrom="column">
                    <wp:posOffset>0</wp:posOffset>
                  </wp:positionH>
                  <wp:positionV relativeFrom="paragraph">
                    <wp:posOffset>0</wp:posOffset>
                  </wp:positionV>
                  <wp:extent cx="1857375" cy="228600"/>
                  <wp:effectExtent l="0" t="0" r="9525" b="0"/>
                  <wp:wrapNone/>
                  <wp:docPr id="17" name="Picture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964">
              <w:t>Improved access to quality education at all levels</w:t>
            </w:r>
          </w:p>
        </w:tc>
        <w:tc>
          <w:tcPr>
            <w:tcW w:w="304" w:type="dxa"/>
          </w:tcPr>
          <w:p w:rsidR="00BE318D" w:rsidRPr="002D0964" w:rsidRDefault="00BE318D" w:rsidP="008264E9">
            <w:pPr>
              <w:pStyle w:val="TableTextColumnHeading"/>
            </w:pPr>
          </w:p>
        </w:tc>
        <w:tc>
          <w:tcPr>
            <w:tcW w:w="1363" w:type="dxa"/>
            <w:shd w:val="clear" w:color="auto" w:fill="FFC000"/>
          </w:tcPr>
          <w:p w:rsidR="00BE318D" w:rsidRPr="002D0964" w:rsidRDefault="00BE318D" w:rsidP="008264E9">
            <w:pPr>
              <w:pStyle w:val="TableTextColumnHeading"/>
            </w:pPr>
            <w:r w:rsidRPr="002D0964">
              <w:t>Amber</w:t>
            </w:r>
          </w:p>
        </w:tc>
      </w:tr>
    </w:tbl>
    <w:p w:rsidR="00BE318D" w:rsidRDefault="00BE318D" w:rsidP="00BE318D">
      <w:pPr>
        <w:jc w:val="both"/>
        <w:rPr>
          <w:rFonts w:ascii="Franklin Gothic Book" w:hAnsi="Franklin Gothic Book"/>
          <w:sz w:val="21"/>
          <w:szCs w:val="21"/>
        </w:rPr>
      </w:pPr>
    </w:p>
    <w:p w:rsidR="00443F80" w:rsidRPr="00443F80" w:rsidRDefault="00443F80" w:rsidP="00443F80">
      <w:pPr>
        <w:spacing w:after="120"/>
        <w:jc w:val="both"/>
        <w:rPr>
          <w:rFonts w:asciiTheme="minorHAnsi" w:eastAsia="Times New Roman" w:hAnsiTheme="minorHAnsi" w:cstheme="minorHAnsi"/>
          <w:sz w:val="22"/>
          <w:szCs w:val="22"/>
        </w:rPr>
      </w:pPr>
      <w:r w:rsidRPr="00894779">
        <w:rPr>
          <w:rFonts w:asciiTheme="minorHAnsi" w:eastAsia="Times New Roman" w:hAnsiTheme="minorHAnsi" w:cstheme="minorHAnsi"/>
          <w:sz w:val="22"/>
          <w:szCs w:val="22"/>
        </w:rPr>
        <w:t xml:space="preserve">The amber rating for this sector in 2013-14 is </w:t>
      </w:r>
      <w:r w:rsidR="00415454" w:rsidRPr="00894779">
        <w:rPr>
          <w:rFonts w:asciiTheme="minorHAnsi" w:eastAsia="Times New Roman" w:hAnsiTheme="minorHAnsi" w:cstheme="minorHAnsi"/>
          <w:sz w:val="22"/>
          <w:szCs w:val="22"/>
        </w:rPr>
        <w:t>consistent with the 2012-13 rating. The rating reflects steady progress in access to education under the Partnership for Development, but more limited progress in following through on policy reforms, gender parity and education quality</w:t>
      </w:r>
      <w:r w:rsidRPr="00894779">
        <w:rPr>
          <w:rFonts w:asciiTheme="minorHAnsi" w:eastAsia="Times New Roman" w:hAnsiTheme="minorHAnsi" w:cstheme="minorHAnsi"/>
          <w:sz w:val="22"/>
          <w:szCs w:val="22"/>
        </w:rPr>
        <w:t>. PNG Government budget appropriations in 2013 and 2014 reflected the Government’s high priority</w:t>
      </w:r>
      <w:r w:rsidRPr="00443F80">
        <w:rPr>
          <w:rFonts w:asciiTheme="minorHAnsi" w:eastAsia="Times New Roman" w:hAnsiTheme="minorHAnsi" w:cstheme="minorHAnsi"/>
          <w:sz w:val="22"/>
          <w:szCs w:val="22"/>
        </w:rPr>
        <w:t xml:space="preserve"> for the education sector with estimated investments </w:t>
      </w:r>
      <w:r w:rsidRPr="00D0071B">
        <w:rPr>
          <w:rFonts w:asciiTheme="minorHAnsi" w:eastAsia="Times New Roman" w:hAnsiTheme="minorHAnsi" w:cstheme="minorHAnsi"/>
          <w:sz w:val="22"/>
          <w:szCs w:val="22"/>
        </w:rPr>
        <w:t>of K2.18 billion</w:t>
      </w:r>
      <w:r w:rsidR="00596D98" w:rsidRPr="00D0071B">
        <w:rPr>
          <w:rFonts w:asciiTheme="minorHAnsi" w:eastAsia="Times New Roman" w:hAnsiTheme="minorHAnsi" w:cstheme="minorHAnsi"/>
          <w:sz w:val="22"/>
          <w:szCs w:val="22"/>
        </w:rPr>
        <w:t xml:space="preserve"> (A$950</w:t>
      </w:r>
      <w:r w:rsidRPr="00D0071B">
        <w:rPr>
          <w:rFonts w:asciiTheme="minorHAnsi" w:eastAsia="Times New Roman" w:hAnsiTheme="minorHAnsi" w:cstheme="minorHAnsi"/>
          <w:sz w:val="22"/>
          <w:szCs w:val="22"/>
        </w:rPr>
        <w:t xml:space="preserve"> million)</w:t>
      </w:r>
      <w:r w:rsidRPr="00387793">
        <w:rPr>
          <w:rFonts w:asciiTheme="minorHAnsi" w:eastAsia="Times New Roman" w:hAnsiTheme="minorHAnsi" w:cstheme="minorHAnsi"/>
          <w:sz w:val="22"/>
          <w:szCs w:val="22"/>
        </w:rPr>
        <w:t xml:space="preserve"> and </w:t>
      </w:r>
      <w:r w:rsidRPr="00D0071B">
        <w:rPr>
          <w:rFonts w:asciiTheme="minorHAnsi" w:eastAsia="Times New Roman" w:hAnsiTheme="minorHAnsi" w:cstheme="minorHAnsi"/>
          <w:sz w:val="22"/>
          <w:szCs w:val="22"/>
        </w:rPr>
        <w:t xml:space="preserve">K2.38 billion </w:t>
      </w:r>
      <w:r w:rsidR="00596D98" w:rsidRPr="00D0071B">
        <w:rPr>
          <w:rFonts w:asciiTheme="minorHAnsi" w:eastAsia="Times New Roman" w:hAnsiTheme="minorHAnsi" w:cstheme="minorHAnsi"/>
          <w:sz w:val="22"/>
          <w:szCs w:val="22"/>
        </w:rPr>
        <w:t>(A$1</w:t>
      </w:r>
      <w:r w:rsidR="00983F4D" w:rsidRPr="00D0071B">
        <w:rPr>
          <w:rFonts w:asciiTheme="minorHAnsi" w:eastAsia="Times New Roman" w:hAnsiTheme="minorHAnsi" w:cstheme="minorHAnsi"/>
          <w:sz w:val="22"/>
          <w:szCs w:val="22"/>
        </w:rPr>
        <w:t>.</w:t>
      </w:r>
      <w:r w:rsidR="00D0071B" w:rsidRPr="00D0071B">
        <w:rPr>
          <w:rFonts w:asciiTheme="minorHAnsi" w:eastAsia="Times New Roman" w:hAnsiTheme="minorHAnsi" w:cstheme="minorHAnsi"/>
          <w:sz w:val="22"/>
          <w:szCs w:val="22"/>
        </w:rPr>
        <w:t>04</w:t>
      </w:r>
      <w:r w:rsidR="00A36BD8" w:rsidRPr="00D0071B">
        <w:rPr>
          <w:rFonts w:asciiTheme="minorHAnsi" w:eastAsia="Times New Roman" w:hAnsiTheme="minorHAnsi" w:cstheme="minorHAnsi"/>
          <w:sz w:val="22"/>
          <w:szCs w:val="22"/>
        </w:rPr>
        <w:t xml:space="preserve"> b</w:t>
      </w:r>
      <w:r w:rsidRPr="00D0071B">
        <w:rPr>
          <w:rFonts w:asciiTheme="minorHAnsi" w:eastAsia="Times New Roman" w:hAnsiTheme="minorHAnsi" w:cstheme="minorHAnsi"/>
          <w:sz w:val="22"/>
          <w:szCs w:val="22"/>
        </w:rPr>
        <w:t>illion)</w:t>
      </w:r>
      <w:r w:rsidRPr="00387793">
        <w:rPr>
          <w:rFonts w:asciiTheme="minorHAnsi" w:eastAsia="Times New Roman" w:hAnsiTheme="minorHAnsi" w:cstheme="minorHAnsi"/>
          <w:sz w:val="22"/>
          <w:szCs w:val="22"/>
        </w:rPr>
        <w:t xml:space="preserve"> respectively. The total donor contribution to the sector was </w:t>
      </w:r>
      <w:r w:rsidRPr="00D0071B">
        <w:rPr>
          <w:rFonts w:asciiTheme="minorHAnsi" w:eastAsia="Times New Roman" w:hAnsiTheme="minorHAnsi" w:cstheme="minorHAnsi"/>
          <w:sz w:val="22"/>
          <w:szCs w:val="22"/>
        </w:rPr>
        <w:t>K224 million</w:t>
      </w:r>
      <w:r w:rsidR="00596D98" w:rsidRPr="00D0071B">
        <w:rPr>
          <w:rFonts w:asciiTheme="minorHAnsi" w:eastAsia="Times New Roman" w:hAnsiTheme="minorHAnsi" w:cstheme="minorHAnsi"/>
          <w:sz w:val="22"/>
          <w:szCs w:val="22"/>
        </w:rPr>
        <w:t xml:space="preserve"> (A$97.68</w:t>
      </w:r>
      <w:r w:rsidRPr="00D0071B">
        <w:rPr>
          <w:rFonts w:asciiTheme="minorHAnsi" w:eastAsia="Times New Roman" w:hAnsiTheme="minorHAnsi" w:cstheme="minorHAnsi"/>
          <w:sz w:val="22"/>
          <w:szCs w:val="22"/>
        </w:rPr>
        <w:t xml:space="preserve"> million) in 2013 and K225.3 million</w:t>
      </w:r>
      <w:r w:rsidR="00596D98" w:rsidRPr="00D0071B">
        <w:rPr>
          <w:rFonts w:asciiTheme="minorHAnsi" w:eastAsia="Times New Roman" w:hAnsiTheme="minorHAnsi" w:cstheme="minorHAnsi"/>
          <w:sz w:val="22"/>
          <w:szCs w:val="22"/>
        </w:rPr>
        <w:t xml:space="preserve"> (A$9</w:t>
      </w:r>
      <w:r w:rsidR="00D0071B" w:rsidRPr="00D0071B">
        <w:rPr>
          <w:rFonts w:asciiTheme="minorHAnsi" w:eastAsia="Times New Roman" w:hAnsiTheme="minorHAnsi" w:cstheme="minorHAnsi"/>
          <w:sz w:val="22"/>
          <w:szCs w:val="22"/>
        </w:rPr>
        <w:t>8.22</w:t>
      </w:r>
      <w:r w:rsidRPr="00D0071B">
        <w:rPr>
          <w:rFonts w:asciiTheme="minorHAnsi" w:eastAsia="Times New Roman" w:hAnsiTheme="minorHAnsi" w:cstheme="minorHAnsi"/>
          <w:sz w:val="22"/>
          <w:szCs w:val="22"/>
        </w:rPr>
        <w:t xml:space="preserve"> million) in 2014.  However, clea</w:t>
      </w:r>
      <w:r w:rsidRPr="00443F80">
        <w:rPr>
          <w:rFonts w:asciiTheme="minorHAnsi" w:eastAsia="Times New Roman" w:hAnsiTheme="minorHAnsi" w:cstheme="minorHAnsi"/>
          <w:sz w:val="22"/>
          <w:szCs w:val="22"/>
        </w:rPr>
        <w:t xml:space="preserve">r steps to implement </w:t>
      </w:r>
      <w:r w:rsidRPr="00443F80">
        <w:rPr>
          <w:rFonts w:asciiTheme="minorHAnsi" w:eastAsia="Times New Roman" w:hAnsiTheme="minorHAnsi" w:cstheme="minorHAnsi"/>
          <w:sz w:val="22"/>
          <w:szCs w:val="22"/>
        </w:rPr>
        <w:lastRenderedPageBreak/>
        <w:t>and adequately resource a series of major government education policy reforms were not taken,</w:t>
      </w:r>
      <w:r w:rsidR="00387793">
        <w:rPr>
          <w:rFonts w:asciiTheme="minorHAnsi" w:eastAsia="Times New Roman" w:hAnsiTheme="minorHAnsi" w:cstheme="minorHAnsi"/>
          <w:sz w:val="22"/>
          <w:szCs w:val="22"/>
        </w:rPr>
        <w:t xml:space="preserve"> principally as a result of the</w:t>
      </w:r>
      <w:r w:rsidRPr="00443F80">
        <w:rPr>
          <w:rFonts w:asciiTheme="minorHAnsi" w:eastAsia="Times New Roman" w:hAnsiTheme="minorHAnsi" w:cstheme="minorHAnsi"/>
          <w:sz w:val="22"/>
          <w:szCs w:val="22"/>
        </w:rPr>
        <w:t xml:space="preserve"> PNG Government’s limited capacity to effectively implement the ambitious agenda.</w:t>
      </w:r>
    </w:p>
    <w:p w:rsidR="005F69EC" w:rsidRPr="0034479A" w:rsidRDefault="005F69EC" w:rsidP="005F69EC">
      <w:pPr>
        <w:spacing w:after="120"/>
        <w:jc w:val="both"/>
        <w:rPr>
          <w:rFonts w:asciiTheme="minorHAnsi" w:hAnsiTheme="minorHAnsi" w:cstheme="minorHAnsi"/>
          <w:b/>
          <w:sz w:val="22"/>
          <w:szCs w:val="22"/>
        </w:rPr>
      </w:pPr>
      <w:r w:rsidRPr="0034479A">
        <w:rPr>
          <w:rFonts w:asciiTheme="minorHAnsi" w:hAnsiTheme="minorHAnsi" w:cstheme="minorHAnsi"/>
          <w:b/>
          <w:sz w:val="22"/>
          <w:szCs w:val="22"/>
        </w:rPr>
        <w:t xml:space="preserve">Australia’s </w:t>
      </w:r>
      <w:r w:rsidR="003F1DA2">
        <w:rPr>
          <w:rFonts w:asciiTheme="minorHAnsi" w:hAnsiTheme="minorHAnsi" w:cstheme="minorHAnsi"/>
          <w:b/>
          <w:sz w:val="22"/>
          <w:szCs w:val="22"/>
        </w:rPr>
        <w:t>C</w:t>
      </w:r>
      <w:r w:rsidRPr="0034479A">
        <w:rPr>
          <w:rFonts w:asciiTheme="minorHAnsi" w:hAnsiTheme="minorHAnsi" w:cstheme="minorHAnsi"/>
          <w:b/>
          <w:sz w:val="22"/>
          <w:szCs w:val="22"/>
        </w:rPr>
        <w:t xml:space="preserve">ontribution </w:t>
      </w:r>
    </w:p>
    <w:p w:rsidR="005F69EC" w:rsidRPr="00D1482F" w:rsidRDefault="005F69EC" w:rsidP="005F69EC">
      <w:pPr>
        <w:spacing w:after="120"/>
        <w:jc w:val="both"/>
        <w:rPr>
          <w:rFonts w:asciiTheme="minorHAnsi" w:eastAsia="Times New Roman" w:hAnsiTheme="minorHAnsi" w:cstheme="minorHAnsi"/>
          <w:sz w:val="22"/>
          <w:szCs w:val="22"/>
        </w:rPr>
      </w:pPr>
      <w:r w:rsidRPr="00D1482F">
        <w:rPr>
          <w:rFonts w:asciiTheme="minorHAnsi" w:eastAsia="Times New Roman" w:hAnsiTheme="minorHAnsi" w:cstheme="minorHAnsi"/>
          <w:sz w:val="22"/>
          <w:szCs w:val="22"/>
        </w:rPr>
        <w:t xml:space="preserve">The PNG-Australia Partnership for Development contributed to progress in improving access to quality education at all levels in 2013-14.  Australia, </w:t>
      </w:r>
      <w:r w:rsidR="00806E64" w:rsidRPr="00D1482F">
        <w:rPr>
          <w:rFonts w:asciiTheme="minorHAnsi" w:eastAsia="Times New Roman" w:hAnsiTheme="minorHAnsi" w:cstheme="minorHAnsi"/>
          <w:sz w:val="22"/>
          <w:szCs w:val="22"/>
        </w:rPr>
        <w:t>the largest</w:t>
      </w:r>
      <w:r w:rsidRPr="00D1482F">
        <w:rPr>
          <w:rFonts w:asciiTheme="minorHAnsi" w:eastAsia="Times New Roman" w:hAnsiTheme="minorHAnsi" w:cstheme="minorHAnsi"/>
          <w:sz w:val="22"/>
          <w:szCs w:val="22"/>
        </w:rPr>
        <w:t xml:space="preserve"> donor in the sector</w:t>
      </w:r>
      <w:r w:rsidR="00806E64" w:rsidRPr="00D1482F">
        <w:rPr>
          <w:rFonts w:asciiTheme="minorHAnsi" w:eastAsia="Times New Roman" w:hAnsiTheme="minorHAnsi" w:cstheme="minorHAnsi"/>
          <w:sz w:val="22"/>
          <w:szCs w:val="22"/>
        </w:rPr>
        <w:t>,</w:t>
      </w:r>
      <w:r w:rsidR="00806E64" w:rsidRPr="00D1482F">
        <w:rPr>
          <w:rFonts w:asciiTheme="minorHAnsi" w:eastAsia="Times New Roman" w:hAnsiTheme="minorHAnsi" w:cstheme="minorHAnsi"/>
          <w:b/>
          <w:sz w:val="22"/>
          <w:szCs w:val="22"/>
        </w:rPr>
        <w:t xml:space="preserve"> </w:t>
      </w:r>
      <w:r w:rsidR="00806E64" w:rsidRPr="00D1482F">
        <w:rPr>
          <w:rFonts w:asciiTheme="minorHAnsi" w:eastAsia="Times New Roman" w:hAnsiTheme="minorHAnsi" w:cstheme="minorHAnsi"/>
          <w:sz w:val="22"/>
          <w:szCs w:val="22"/>
        </w:rPr>
        <w:t>provided</w:t>
      </w:r>
      <w:r w:rsidRPr="00D1482F">
        <w:rPr>
          <w:rFonts w:asciiTheme="minorHAnsi" w:eastAsia="Times New Roman" w:hAnsiTheme="minorHAnsi" w:cstheme="minorHAnsi"/>
          <w:sz w:val="22"/>
          <w:szCs w:val="22"/>
        </w:rPr>
        <w:t xml:space="preserve"> </w:t>
      </w:r>
      <w:r w:rsidR="00A316AE" w:rsidRPr="00D1482F">
        <w:rPr>
          <w:rFonts w:asciiTheme="minorHAnsi" w:eastAsia="Times New Roman" w:hAnsiTheme="minorHAnsi" w:cstheme="minorHAnsi"/>
          <w:sz w:val="22"/>
          <w:szCs w:val="22"/>
        </w:rPr>
        <w:br/>
      </w:r>
      <w:r w:rsidR="004B0E18">
        <w:rPr>
          <w:rFonts w:asciiTheme="minorHAnsi" w:eastAsia="Times New Roman" w:hAnsiTheme="minorHAnsi" w:cstheme="minorHAnsi"/>
          <w:sz w:val="22"/>
          <w:szCs w:val="22"/>
        </w:rPr>
        <w:t xml:space="preserve">approximately </w:t>
      </w:r>
      <w:r w:rsidR="00A35F2E">
        <w:rPr>
          <w:rFonts w:asciiTheme="minorHAnsi" w:eastAsia="Times New Roman" w:hAnsiTheme="minorHAnsi" w:cstheme="minorHAnsi"/>
          <w:sz w:val="22"/>
          <w:szCs w:val="22"/>
        </w:rPr>
        <w:t>A</w:t>
      </w:r>
      <w:r w:rsidR="004B0E18">
        <w:rPr>
          <w:rFonts w:asciiTheme="minorHAnsi" w:eastAsia="Times New Roman" w:hAnsiTheme="minorHAnsi" w:cstheme="minorHAnsi"/>
          <w:sz w:val="22"/>
          <w:szCs w:val="22"/>
        </w:rPr>
        <w:t>$96</w:t>
      </w:r>
      <w:r w:rsidRPr="00D1482F">
        <w:rPr>
          <w:rFonts w:asciiTheme="minorHAnsi" w:eastAsia="Times New Roman" w:hAnsiTheme="minorHAnsi" w:cstheme="minorHAnsi"/>
          <w:sz w:val="22"/>
          <w:szCs w:val="22"/>
        </w:rPr>
        <w:t xml:space="preserve"> million. Australian support aligned well with that of other donors as a result of regular dialogue, including through the Education Partners Coordination Committee, which Australia co-chairs.</w:t>
      </w:r>
    </w:p>
    <w:p w:rsidR="005F69EC" w:rsidRPr="00D1482F" w:rsidRDefault="005F69EC" w:rsidP="005F69EC">
      <w:pPr>
        <w:spacing w:after="120"/>
        <w:jc w:val="both"/>
        <w:rPr>
          <w:rFonts w:asciiTheme="minorHAnsi" w:hAnsiTheme="minorHAnsi" w:cstheme="minorHAnsi"/>
          <w:sz w:val="22"/>
          <w:szCs w:val="22"/>
        </w:rPr>
      </w:pPr>
      <w:r w:rsidRPr="00D1482F">
        <w:rPr>
          <w:rFonts w:asciiTheme="minorHAnsi" w:hAnsiTheme="minorHAnsi" w:cstheme="minorHAnsi"/>
          <w:sz w:val="22"/>
          <w:szCs w:val="22"/>
        </w:rPr>
        <w:t xml:space="preserve">In 2012, the </w:t>
      </w:r>
      <w:r w:rsidRPr="00D1482F">
        <w:rPr>
          <w:rFonts w:asciiTheme="minorHAnsi" w:hAnsiTheme="minorHAnsi" w:cstheme="minorHAnsi"/>
          <w:b/>
          <w:sz w:val="22"/>
          <w:szCs w:val="22"/>
        </w:rPr>
        <w:t>net enrolment rate</w:t>
      </w:r>
      <w:r w:rsidRPr="00D1482F">
        <w:rPr>
          <w:rFonts w:asciiTheme="minorHAnsi" w:hAnsiTheme="minorHAnsi" w:cstheme="minorHAnsi"/>
          <w:sz w:val="22"/>
          <w:szCs w:val="22"/>
        </w:rPr>
        <w:t xml:space="preserve"> for basic education reached 79 per cent, exceeding the PNG-Australia Partnership for Development target of 74.3 per cent by 2015.  Implementation of PNG’s Tuition Fee Free policy contributed to the accessibility of schooling. Subsidies have been distributed directly to schools since 2012, a significant achievement in PNG. In 2013, the Australian Government contributed subsidy funding for 4,159 elementary schools with a combined enrolment of over 600,000 children. In 2014, the PNG Government increased its share of subsidies to schools</w:t>
      </w:r>
      <w:r w:rsidR="00806E64" w:rsidRPr="00D1482F">
        <w:rPr>
          <w:rFonts w:asciiTheme="minorHAnsi" w:hAnsiTheme="minorHAnsi" w:cstheme="minorHAnsi"/>
          <w:sz w:val="22"/>
          <w:szCs w:val="22"/>
        </w:rPr>
        <w:t>, providing</w:t>
      </w:r>
      <w:r w:rsidRPr="00D1482F">
        <w:rPr>
          <w:rFonts w:asciiTheme="minorHAnsi" w:hAnsiTheme="minorHAnsi" w:cstheme="minorHAnsi"/>
          <w:sz w:val="22"/>
          <w:szCs w:val="22"/>
        </w:rPr>
        <w:t xml:space="preserve"> the opportunity for Australia to concentrate its support on improving the accountability and transparency of subsidy distribution. With Australia’s support, the accuracy, timeliness, transparency and accountability of disbursement continues to improve. </w:t>
      </w:r>
    </w:p>
    <w:p w:rsidR="005F69EC" w:rsidRPr="00D1482F" w:rsidRDefault="005023F0" w:rsidP="005F69EC">
      <w:pPr>
        <w:spacing w:after="120"/>
        <w:jc w:val="both"/>
        <w:rPr>
          <w:rFonts w:asciiTheme="minorHAnsi" w:hAnsiTheme="minorHAnsi" w:cstheme="minorHAnsi"/>
          <w:sz w:val="22"/>
          <w:szCs w:val="22"/>
        </w:rPr>
      </w:pPr>
      <w:r>
        <w:rPr>
          <w:rFonts w:asciiTheme="minorHAnsi" w:hAnsiTheme="minorHAnsi" w:cstheme="minorHAnsi"/>
          <w:sz w:val="22"/>
          <w:szCs w:val="22"/>
        </w:rPr>
        <w:t>D</w:t>
      </w:r>
      <w:r w:rsidR="005F69EC" w:rsidRPr="00D1482F">
        <w:rPr>
          <w:rFonts w:asciiTheme="minorHAnsi" w:hAnsiTheme="minorHAnsi" w:cstheme="minorHAnsi"/>
          <w:sz w:val="22"/>
          <w:szCs w:val="22"/>
        </w:rPr>
        <w:t xml:space="preserve">espite improvements in access, </w:t>
      </w:r>
      <w:r w:rsidR="00443F80">
        <w:rPr>
          <w:rFonts w:asciiTheme="minorHAnsi" w:hAnsiTheme="minorHAnsi" w:cstheme="minorHAnsi"/>
          <w:sz w:val="22"/>
          <w:szCs w:val="22"/>
        </w:rPr>
        <w:t xml:space="preserve">however, </w:t>
      </w:r>
      <w:r w:rsidR="005F69EC" w:rsidRPr="00D1482F">
        <w:rPr>
          <w:rFonts w:asciiTheme="minorHAnsi" w:hAnsiTheme="minorHAnsi" w:cstheme="minorHAnsi"/>
          <w:sz w:val="22"/>
          <w:szCs w:val="22"/>
        </w:rPr>
        <w:t xml:space="preserve">there has been no progress in increasing the proportion of girls enrolling in basic education in relation to boys with the </w:t>
      </w:r>
      <w:r w:rsidR="005F69EC" w:rsidRPr="00D1482F">
        <w:rPr>
          <w:rFonts w:asciiTheme="minorHAnsi" w:hAnsiTheme="minorHAnsi" w:cstheme="minorHAnsi"/>
          <w:b/>
          <w:sz w:val="22"/>
          <w:szCs w:val="22"/>
        </w:rPr>
        <w:t xml:space="preserve">gender parity index </w:t>
      </w:r>
      <w:r w:rsidR="005F69EC" w:rsidRPr="00D1482F">
        <w:rPr>
          <w:rFonts w:asciiTheme="minorHAnsi" w:hAnsiTheme="minorHAnsi" w:cstheme="minorHAnsi"/>
          <w:sz w:val="22"/>
          <w:szCs w:val="22"/>
        </w:rPr>
        <w:t xml:space="preserve">of 0.91 remaining well below the 2015 target of 0.97. </w:t>
      </w:r>
    </w:p>
    <w:p w:rsidR="00443F80" w:rsidRPr="00443F80" w:rsidRDefault="005F69EC" w:rsidP="00443F80">
      <w:pPr>
        <w:jc w:val="both"/>
        <w:rPr>
          <w:rFonts w:asciiTheme="minorHAnsi" w:hAnsiTheme="minorHAnsi" w:cstheme="minorHAnsi"/>
          <w:sz w:val="22"/>
          <w:szCs w:val="22"/>
        </w:rPr>
      </w:pPr>
      <w:r w:rsidRPr="00D1482F">
        <w:rPr>
          <w:rFonts w:asciiTheme="minorHAnsi" w:hAnsiTheme="minorHAnsi" w:cstheme="minorHAnsi"/>
          <w:sz w:val="22"/>
          <w:szCs w:val="22"/>
        </w:rPr>
        <w:t xml:space="preserve">Increased school enrolments </w:t>
      </w:r>
      <w:r w:rsidR="00443F80">
        <w:rPr>
          <w:rFonts w:asciiTheme="minorHAnsi" w:hAnsiTheme="minorHAnsi" w:cstheme="minorHAnsi"/>
          <w:sz w:val="22"/>
          <w:szCs w:val="22"/>
        </w:rPr>
        <w:t>generate demand</w:t>
      </w:r>
      <w:r w:rsidRPr="00D1482F">
        <w:rPr>
          <w:rFonts w:asciiTheme="minorHAnsi" w:hAnsiTheme="minorHAnsi" w:cstheme="minorHAnsi"/>
          <w:sz w:val="22"/>
          <w:szCs w:val="22"/>
        </w:rPr>
        <w:t xml:space="preserve"> for additional </w:t>
      </w:r>
      <w:r w:rsidR="00443F80">
        <w:rPr>
          <w:rFonts w:asciiTheme="minorHAnsi" w:hAnsiTheme="minorHAnsi" w:cstheme="minorHAnsi"/>
          <w:sz w:val="22"/>
          <w:szCs w:val="22"/>
        </w:rPr>
        <w:t xml:space="preserve">school </w:t>
      </w:r>
      <w:r w:rsidRPr="00D1482F">
        <w:rPr>
          <w:rFonts w:asciiTheme="minorHAnsi" w:hAnsiTheme="minorHAnsi" w:cstheme="minorHAnsi"/>
          <w:sz w:val="22"/>
          <w:szCs w:val="22"/>
        </w:rPr>
        <w:t>resourc</w:t>
      </w:r>
      <w:r w:rsidR="00443F80">
        <w:rPr>
          <w:rFonts w:asciiTheme="minorHAnsi" w:hAnsiTheme="minorHAnsi" w:cstheme="minorHAnsi"/>
          <w:sz w:val="22"/>
          <w:szCs w:val="22"/>
        </w:rPr>
        <w:t>es</w:t>
      </w:r>
      <w:r w:rsidRPr="00D1482F">
        <w:rPr>
          <w:rFonts w:asciiTheme="minorHAnsi" w:hAnsiTheme="minorHAnsi" w:cstheme="minorHAnsi"/>
          <w:sz w:val="22"/>
          <w:szCs w:val="22"/>
        </w:rPr>
        <w:t>.  Australian support for</w:t>
      </w:r>
      <w:r w:rsidRPr="00D1482F">
        <w:rPr>
          <w:rFonts w:asciiTheme="minorHAnsi" w:hAnsiTheme="minorHAnsi" w:cstheme="minorHAnsi"/>
          <w:b/>
          <w:sz w:val="22"/>
          <w:szCs w:val="22"/>
        </w:rPr>
        <w:t xml:space="preserve"> school infrastructure </w:t>
      </w:r>
      <w:r w:rsidRPr="00D1482F">
        <w:rPr>
          <w:rFonts w:asciiTheme="minorHAnsi" w:hAnsiTheme="minorHAnsi" w:cstheme="minorHAnsi"/>
          <w:sz w:val="22"/>
          <w:szCs w:val="22"/>
        </w:rPr>
        <w:t xml:space="preserve">is helping, with 88 classrooms, 44 teacher houses and 44 ablution blocks built in 2013.  </w:t>
      </w:r>
      <w:r w:rsidR="00443F80">
        <w:rPr>
          <w:rFonts w:asciiTheme="minorHAnsi" w:hAnsiTheme="minorHAnsi" w:cstheme="minorHAnsi"/>
          <w:sz w:val="22"/>
          <w:szCs w:val="22"/>
        </w:rPr>
        <w:t xml:space="preserve">An additional </w:t>
      </w:r>
      <w:r w:rsidRPr="00D1482F">
        <w:rPr>
          <w:rFonts w:asciiTheme="minorHAnsi" w:hAnsiTheme="minorHAnsi" w:cstheme="minorHAnsi"/>
          <w:sz w:val="22"/>
          <w:szCs w:val="22"/>
        </w:rPr>
        <w:t xml:space="preserve">178 classrooms, 89 teacher houses and 89 ablution blocks </w:t>
      </w:r>
      <w:r w:rsidR="00443F80" w:rsidRPr="00443F80">
        <w:rPr>
          <w:rFonts w:asciiTheme="minorHAnsi" w:hAnsiTheme="minorHAnsi" w:cstheme="minorHAnsi"/>
          <w:sz w:val="22"/>
          <w:szCs w:val="22"/>
        </w:rPr>
        <w:t xml:space="preserve">are under construction. The ablution blocks will address a key barrier to girls remaining in school. </w:t>
      </w:r>
    </w:p>
    <w:p w:rsidR="005F69EC" w:rsidRPr="00D1482F" w:rsidRDefault="005F69EC" w:rsidP="005F69EC">
      <w:pPr>
        <w:jc w:val="both"/>
        <w:rPr>
          <w:rFonts w:asciiTheme="minorHAnsi" w:hAnsiTheme="minorHAnsi" w:cstheme="minorHAnsi"/>
          <w:sz w:val="22"/>
          <w:szCs w:val="22"/>
        </w:rPr>
      </w:pPr>
    </w:p>
    <w:p w:rsidR="005F69EC" w:rsidRPr="00D1482F" w:rsidRDefault="005F69EC" w:rsidP="005F69EC">
      <w:pPr>
        <w:spacing w:after="120"/>
        <w:jc w:val="both"/>
        <w:rPr>
          <w:rFonts w:asciiTheme="minorHAnsi" w:hAnsiTheme="minorHAnsi" w:cstheme="minorHAnsi"/>
          <w:sz w:val="22"/>
          <w:szCs w:val="22"/>
        </w:rPr>
      </w:pPr>
      <w:r w:rsidRPr="00D1482F">
        <w:rPr>
          <w:rFonts w:asciiTheme="minorHAnsi" w:hAnsiTheme="minorHAnsi" w:cstheme="minorHAnsi"/>
          <w:sz w:val="22"/>
          <w:szCs w:val="22"/>
        </w:rPr>
        <w:t xml:space="preserve">While enrolments in basic education have increased, the </w:t>
      </w:r>
      <w:r w:rsidRPr="00D1482F">
        <w:rPr>
          <w:rFonts w:asciiTheme="minorHAnsi" w:hAnsiTheme="minorHAnsi" w:cstheme="minorHAnsi"/>
          <w:b/>
          <w:sz w:val="22"/>
          <w:szCs w:val="22"/>
        </w:rPr>
        <w:t xml:space="preserve">quality of basic education </w:t>
      </w:r>
      <w:r w:rsidR="00593612" w:rsidRPr="00593612">
        <w:rPr>
          <w:rFonts w:asciiTheme="minorHAnsi" w:hAnsiTheme="minorHAnsi" w:cstheme="minorHAnsi"/>
          <w:sz w:val="22"/>
          <w:szCs w:val="22"/>
        </w:rPr>
        <w:t>in PNG</w:t>
      </w:r>
      <w:r w:rsidR="00593612">
        <w:rPr>
          <w:rFonts w:asciiTheme="minorHAnsi" w:hAnsiTheme="minorHAnsi" w:cstheme="minorHAnsi"/>
          <w:b/>
          <w:sz w:val="22"/>
          <w:szCs w:val="22"/>
        </w:rPr>
        <w:t xml:space="preserve"> </w:t>
      </w:r>
      <w:r w:rsidRPr="00D1482F">
        <w:rPr>
          <w:rFonts w:asciiTheme="minorHAnsi" w:hAnsiTheme="minorHAnsi" w:cstheme="minorHAnsi"/>
          <w:sz w:val="22"/>
          <w:szCs w:val="22"/>
        </w:rPr>
        <w:t xml:space="preserve">remains a </w:t>
      </w:r>
      <w:r w:rsidR="00443F80">
        <w:rPr>
          <w:rFonts w:asciiTheme="minorHAnsi" w:hAnsiTheme="minorHAnsi" w:cstheme="minorHAnsi"/>
          <w:sz w:val="22"/>
          <w:szCs w:val="22"/>
        </w:rPr>
        <w:t xml:space="preserve">key </w:t>
      </w:r>
      <w:r w:rsidRPr="00D1482F">
        <w:rPr>
          <w:rFonts w:asciiTheme="minorHAnsi" w:hAnsiTheme="minorHAnsi" w:cstheme="minorHAnsi"/>
          <w:sz w:val="22"/>
          <w:szCs w:val="22"/>
        </w:rPr>
        <w:t>concern.</w:t>
      </w:r>
      <w:r w:rsidRPr="00D1482F">
        <w:rPr>
          <w:rFonts w:asciiTheme="minorHAnsi" w:eastAsia="Times New Roman" w:hAnsiTheme="minorHAnsi" w:cstheme="minorHAnsi"/>
          <w:sz w:val="22"/>
          <w:szCs w:val="22"/>
        </w:rPr>
        <w:t xml:space="preserve"> The Early Grade Reading Assessment (EGRA), conducted in four provinces, and the Pacific Islands Literacy </w:t>
      </w:r>
      <w:r w:rsidR="00672DBB">
        <w:rPr>
          <w:rFonts w:asciiTheme="minorHAnsi" w:eastAsia="Times New Roman" w:hAnsiTheme="minorHAnsi" w:cstheme="minorHAnsi"/>
          <w:sz w:val="22"/>
          <w:szCs w:val="22"/>
        </w:rPr>
        <w:t>and Numeracy Assessment (PILNA)</w:t>
      </w:r>
      <w:r w:rsidR="00443F80">
        <w:rPr>
          <w:rFonts w:asciiTheme="minorHAnsi" w:eastAsia="Times New Roman" w:hAnsiTheme="minorHAnsi" w:cstheme="minorHAnsi"/>
          <w:sz w:val="22"/>
          <w:szCs w:val="22"/>
        </w:rPr>
        <w:t>,</w:t>
      </w:r>
      <w:r w:rsidRPr="00D1482F">
        <w:rPr>
          <w:rFonts w:asciiTheme="minorHAnsi" w:eastAsia="Times New Roman" w:hAnsiTheme="minorHAnsi" w:cstheme="minorHAnsi"/>
          <w:sz w:val="22"/>
          <w:szCs w:val="22"/>
        </w:rPr>
        <w:t xml:space="preserve"> indicated </w:t>
      </w:r>
      <w:r w:rsidR="00E41953">
        <w:rPr>
          <w:rFonts w:asciiTheme="minorHAnsi" w:eastAsia="Times New Roman" w:hAnsiTheme="minorHAnsi" w:cstheme="minorHAnsi"/>
          <w:sz w:val="22"/>
          <w:szCs w:val="22"/>
        </w:rPr>
        <w:t xml:space="preserve">concerningly </w:t>
      </w:r>
      <w:r w:rsidRPr="00D1482F">
        <w:rPr>
          <w:rFonts w:asciiTheme="minorHAnsi" w:eastAsia="Times New Roman" w:hAnsiTheme="minorHAnsi" w:cstheme="minorHAnsi"/>
          <w:sz w:val="22"/>
          <w:szCs w:val="22"/>
        </w:rPr>
        <w:t xml:space="preserve">low levels of student performance. While Australia’s </w:t>
      </w:r>
      <w:r w:rsidR="00806E64" w:rsidRPr="00D1482F">
        <w:rPr>
          <w:rFonts w:asciiTheme="minorHAnsi" w:eastAsia="Times New Roman" w:hAnsiTheme="minorHAnsi" w:cstheme="minorHAnsi"/>
          <w:sz w:val="22"/>
          <w:szCs w:val="22"/>
        </w:rPr>
        <w:t>support to curriculum and teacher training programs has</w:t>
      </w:r>
      <w:r w:rsidRPr="00D1482F">
        <w:rPr>
          <w:rFonts w:asciiTheme="minorHAnsi" w:eastAsia="Times New Roman" w:hAnsiTheme="minorHAnsi" w:cstheme="minorHAnsi"/>
          <w:sz w:val="22"/>
          <w:szCs w:val="22"/>
        </w:rPr>
        <w:t xml:space="preserve"> been </w:t>
      </w:r>
      <w:r w:rsidR="00672DBB">
        <w:rPr>
          <w:rFonts w:asciiTheme="minorHAnsi" w:eastAsia="Times New Roman" w:hAnsiTheme="minorHAnsi" w:cstheme="minorHAnsi"/>
          <w:sz w:val="22"/>
          <w:szCs w:val="22"/>
        </w:rPr>
        <w:t>an important step</w:t>
      </w:r>
      <w:r w:rsidRPr="00D1482F">
        <w:rPr>
          <w:rFonts w:asciiTheme="minorHAnsi" w:eastAsia="Times New Roman" w:hAnsiTheme="minorHAnsi" w:cstheme="minorHAnsi"/>
          <w:sz w:val="22"/>
          <w:szCs w:val="22"/>
        </w:rPr>
        <w:t xml:space="preserve"> to increasing education quality, this remains a key weakness in PNG’s </w:t>
      </w:r>
      <w:r w:rsidR="00443F80">
        <w:rPr>
          <w:rFonts w:asciiTheme="minorHAnsi" w:eastAsia="Times New Roman" w:hAnsiTheme="minorHAnsi" w:cstheme="minorHAnsi"/>
          <w:sz w:val="22"/>
          <w:szCs w:val="22"/>
        </w:rPr>
        <w:t xml:space="preserve">own </w:t>
      </w:r>
      <w:r w:rsidRPr="00D1482F">
        <w:rPr>
          <w:rFonts w:asciiTheme="minorHAnsi" w:eastAsia="Times New Roman" w:hAnsiTheme="minorHAnsi" w:cstheme="minorHAnsi"/>
          <w:sz w:val="22"/>
          <w:szCs w:val="22"/>
        </w:rPr>
        <w:t>education reforms</w:t>
      </w:r>
      <w:r w:rsidR="00806E64" w:rsidRPr="00D1482F">
        <w:rPr>
          <w:rFonts w:asciiTheme="minorHAnsi" w:eastAsia="Times New Roman" w:hAnsiTheme="minorHAnsi" w:cstheme="minorHAnsi"/>
          <w:sz w:val="22"/>
          <w:szCs w:val="22"/>
        </w:rPr>
        <w:t>.</w:t>
      </w:r>
      <w:r w:rsidRPr="00D1482F">
        <w:rPr>
          <w:rFonts w:asciiTheme="minorHAnsi" w:eastAsia="Times New Roman" w:hAnsiTheme="minorHAnsi" w:cstheme="minorHAnsi"/>
          <w:sz w:val="22"/>
          <w:szCs w:val="22"/>
        </w:rPr>
        <w:t xml:space="preserve"> </w:t>
      </w:r>
      <w:r w:rsidRPr="00D1482F">
        <w:rPr>
          <w:rFonts w:asciiTheme="minorHAnsi" w:hAnsiTheme="minorHAnsi" w:cstheme="minorHAnsi"/>
          <w:sz w:val="22"/>
          <w:szCs w:val="22"/>
        </w:rPr>
        <w:t xml:space="preserve">Both governments continued to pursue improved access to </w:t>
      </w:r>
      <w:r w:rsidRPr="00D1482F">
        <w:rPr>
          <w:rFonts w:asciiTheme="minorHAnsi" w:hAnsiTheme="minorHAnsi" w:cstheme="minorHAnsi"/>
          <w:b/>
          <w:sz w:val="22"/>
          <w:szCs w:val="22"/>
        </w:rPr>
        <w:t>quality education at PNG’s universities</w:t>
      </w:r>
      <w:r w:rsidRPr="00D1482F">
        <w:rPr>
          <w:rFonts w:asciiTheme="minorHAnsi" w:hAnsiTheme="minorHAnsi" w:cstheme="minorHAnsi"/>
          <w:sz w:val="22"/>
          <w:szCs w:val="22"/>
        </w:rPr>
        <w:t xml:space="preserve">. The PNG Office of Higher Education (OHE) is demonstrating strong leadership, and policy dialogue between the OHE and DFAT has been effective. </w:t>
      </w:r>
      <w:r w:rsidR="00042D41">
        <w:rPr>
          <w:rFonts w:asciiTheme="minorHAnsi" w:hAnsiTheme="minorHAnsi" w:cstheme="minorHAnsi"/>
          <w:sz w:val="22"/>
          <w:szCs w:val="22"/>
        </w:rPr>
        <w:t>Six</w:t>
      </w:r>
      <w:r w:rsidRPr="00D1482F">
        <w:rPr>
          <w:rFonts w:asciiTheme="minorHAnsi" w:hAnsiTheme="minorHAnsi" w:cstheme="minorHAnsi"/>
          <w:sz w:val="22"/>
          <w:szCs w:val="22"/>
        </w:rPr>
        <w:t xml:space="preserve"> universities have completed assessments </w:t>
      </w:r>
      <w:r w:rsidR="00C12BEA">
        <w:rPr>
          <w:rFonts w:asciiTheme="minorHAnsi" w:hAnsiTheme="minorHAnsi" w:cstheme="minorHAnsi"/>
          <w:sz w:val="22"/>
          <w:szCs w:val="22"/>
        </w:rPr>
        <w:t>to identify measures that will</w:t>
      </w:r>
      <w:r w:rsidRPr="00D1482F">
        <w:rPr>
          <w:rFonts w:asciiTheme="minorHAnsi" w:hAnsiTheme="minorHAnsi" w:cstheme="minorHAnsi"/>
          <w:sz w:val="22"/>
          <w:szCs w:val="22"/>
        </w:rPr>
        <w:t xml:space="preserve"> improve the quality of the universities’ governance, academic programs and research. UPNG will receive additional assistance to implement </w:t>
      </w:r>
      <w:r w:rsidR="00C12BEA">
        <w:rPr>
          <w:rFonts w:asciiTheme="minorHAnsi" w:hAnsiTheme="minorHAnsi" w:cstheme="minorHAnsi"/>
          <w:sz w:val="22"/>
          <w:szCs w:val="22"/>
        </w:rPr>
        <w:t xml:space="preserve">the </w:t>
      </w:r>
      <w:r w:rsidRPr="00D1482F">
        <w:rPr>
          <w:rFonts w:asciiTheme="minorHAnsi" w:hAnsiTheme="minorHAnsi" w:cstheme="minorHAnsi"/>
          <w:sz w:val="22"/>
          <w:szCs w:val="22"/>
        </w:rPr>
        <w:t xml:space="preserve">findings from its assessment, under the Joint Understanding (JU). </w:t>
      </w:r>
      <w:r w:rsidR="005C0879">
        <w:rPr>
          <w:rFonts w:asciiTheme="minorHAnsi" w:hAnsiTheme="minorHAnsi" w:cstheme="minorHAnsi"/>
          <w:sz w:val="22"/>
          <w:szCs w:val="22"/>
        </w:rPr>
        <w:t>PNG and Australia</w:t>
      </w:r>
      <w:r w:rsidRPr="00D1482F">
        <w:rPr>
          <w:rFonts w:asciiTheme="minorHAnsi" w:hAnsiTheme="minorHAnsi" w:cstheme="minorHAnsi"/>
          <w:sz w:val="22"/>
          <w:szCs w:val="22"/>
        </w:rPr>
        <w:t xml:space="preserve"> have also agreed to work together on activities supporting priority infrastructure</w:t>
      </w:r>
      <w:r w:rsidR="005C0879">
        <w:rPr>
          <w:rFonts w:asciiTheme="minorHAnsi" w:hAnsiTheme="minorHAnsi" w:cstheme="minorHAnsi"/>
          <w:sz w:val="22"/>
          <w:szCs w:val="22"/>
        </w:rPr>
        <w:t xml:space="preserve"> of UNPNG</w:t>
      </w:r>
      <w:r w:rsidRPr="00D1482F">
        <w:rPr>
          <w:rFonts w:asciiTheme="minorHAnsi" w:hAnsiTheme="minorHAnsi" w:cstheme="minorHAnsi"/>
          <w:sz w:val="22"/>
          <w:szCs w:val="22"/>
        </w:rPr>
        <w:t xml:space="preserve">. </w:t>
      </w:r>
    </w:p>
    <w:p w:rsidR="005F69EC" w:rsidRPr="00D1482F" w:rsidRDefault="005F69EC" w:rsidP="005F69EC">
      <w:pPr>
        <w:autoSpaceDE w:val="0"/>
        <w:autoSpaceDN w:val="0"/>
        <w:adjustRightInd w:val="0"/>
        <w:spacing w:after="120"/>
        <w:jc w:val="both"/>
        <w:rPr>
          <w:rFonts w:asciiTheme="minorHAnsi" w:hAnsiTheme="minorHAnsi" w:cstheme="minorHAnsi"/>
          <w:sz w:val="22"/>
          <w:szCs w:val="22"/>
        </w:rPr>
      </w:pPr>
      <w:r w:rsidRPr="00D1482F">
        <w:rPr>
          <w:rFonts w:asciiTheme="minorHAnsi" w:hAnsiTheme="minorHAnsi" w:cstheme="minorHAnsi"/>
          <w:b/>
          <w:sz w:val="22"/>
          <w:szCs w:val="22"/>
        </w:rPr>
        <w:t>Australia Awards</w:t>
      </w:r>
      <w:r w:rsidRPr="00D1482F">
        <w:rPr>
          <w:rFonts w:asciiTheme="minorHAnsi" w:hAnsiTheme="minorHAnsi" w:cstheme="minorHAnsi"/>
          <w:sz w:val="22"/>
          <w:szCs w:val="22"/>
        </w:rPr>
        <w:t xml:space="preserve"> </w:t>
      </w:r>
      <w:r w:rsidR="005023F0">
        <w:rPr>
          <w:rFonts w:asciiTheme="minorHAnsi" w:hAnsiTheme="minorHAnsi" w:cstheme="minorHAnsi"/>
          <w:sz w:val="22"/>
          <w:szCs w:val="22"/>
        </w:rPr>
        <w:t xml:space="preserve">(scholarships) </w:t>
      </w:r>
      <w:r w:rsidRPr="00D1482F">
        <w:rPr>
          <w:rFonts w:asciiTheme="minorHAnsi" w:hAnsiTheme="minorHAnsi" w:cstheme="minorHAnsi"/>
          <w:sz w:val="22"/>
          <w:szCs w:val="22"/>
        </w:rPr>
        <w:t>contribute to equitable economic growth and poverty reduction in PNG through the development of men and women who are able to apply expertise and experience to benefit their workplace and society. In 2013, the program provided awards (focus</w:t>
      </w:r>
      <w:r w:rsidR="005C2EDA">
        <w:rPr>
          <w:rFonts w:asciiTheme="minorHAnsi" w:hAnsiTheme="minorHAnsi" w:cstheme="minorHAnsi"/>
          <w:sz w:val="22"/>
          <w:szCs w:val="22"/>
        </w:rPr>
        <w:t>ed on postgraduate study) to 154</w:t>
      </w:r>
      <w:r w:rsidRPr="00D1482F">
        <w:rPr>
          <w:rFonts w:asciiTheme="minorHAnsi" w:hAnsiTheme="minorHAnsi" w:cstheme="minorHAnsi"/>
          <w:sz w:val="22"/>
          <w:szCs w:val="22"/>
        </w:rPr>
        <w:t xml:space="preserve"> Papua New Guineans to study in Australia. The Program continued to address challenges faced by scholars in Australia to increase the graduation rate. Of 258 alumni surveyed in 2013 (awardees from 2006-2010), almost all were </w:t>
      </w:r>
      <w:r w:rsidR="00672DBB">
        <w:rPr>
          <w:rFonts w:asciiTheme="minorHAnsi" w:hAnsiTheme="minorHAnsi" w:cstheme="minorHAnsi"/>
          <w:sz w:val="22"/>
          <w:szCs w:val="22"/>
        </w:rPr>
        <w:t xml:space="preserve">found to be </w:t>
      </w:r>
      <w:r w:rsidRPr="00D1482F">
        <w:rPr>
          <w:rFonts w:asciiTheme="minorHAnsi" w:hAnsiTheme="minorHAnsi" w:cstheme="minorHAnsi"/>
          <w:sz w:val="22"/>
          <w:szCs w:val="22"/>
        </w:rPr>
        <w:t xml:space="preserve">currently employed or studying. The program also contributed to strengthening the quality of higher education in PNG and continued to provide 15 per cent of awards to academics in PNG’s higher education sector. Australia Awards were also provided to 450 nursing, midwifery and community health students to study in PNG. This was to specifically respond to severe rural health workforce gaps. </w:t>
      </w:r>
    </w:p>
    <w:p w:rsidR="005F69EC" w:rsidRDefault="005F69EC" w:rsidP="005F69EC">
      <w:pPr>
        <w:spacing w:after="120"/>
        <w:jc w:val="both"/>
        <w:rPr>
          <w:rFonts w:asciiTheme="minorHAnsi" w:hAnsiTheme="minorHAnsi" w:cstheme="minorHAnsi"/>
          <w:sz w:val="22"/>
          <w:szCs w:val="22"/>
        </w:rPr>
      </w:pPr>
      <w:r w:rsidRPr="00894779">
        <w:rPr>
          <w:rFonts w:asciiTheme="minorHAnsi" w:hAnsiTheme="minorHAnsi" w:cstheme="minorHAnsi"/>
          <w:sz w:val="22"/>
          <w:szCs w:val="22"/>
        </w:rPr>
        <w:lastRenderedPageBreak/>
        <w:t xml:space="preserve">The revitalisation of </w:t>
      </w:r>
      <w:r w:rsidRPr="00894779">
        <w:rPr>
          <w:rFonts w:asciiTheme="minorHAnsi" w:hAnsiTheme="minorHAnsi" w:cstheme="minorHAnsi"/>
          <w:b/>
          <w:sz w:val="22"/>
          <w:szCs w:val="22"/>
        </w:rPr>
        <w:t>Technical and Vocational Education Training</w:t>
      </w:r>
      <w:r w:rsidRPr="00894779">
        <w:rPr>
          <w:rFonts w:asciiTheme="minorHAnsi" w:hAnsiTheme="minorHAnsi" w:cstheme="minorHAnsi"/>
          <w:sz w:val="22"/>
          <w:szCs w:val="22"/>
        </w:rPr>
        <w:t xml:space="preserve"> (TVET) in PNG remains a long term effort which will require significant resourcing</w:t>
      </w:r>
      <w:r w:rsidR="00D84A7B" w:rsidRPr="00894779">
        <w:rPr>
          <w:rFonts w:asciiTheme="minorHAnsi" w:hAnsiTheme="minorHAnsi" w:cstheme="minorHAnsi"/>
          <w:sz w:val="22"/>
          <w:szCs w:val="22"/>
        </w:rPr>
        <w:t>, including potential opportunities to</w:t>
      </w:r>
      <w:r w:rsidR="000B6491" w:rsidRPr="00894779">
        <w:rPr>
          <w:rFonts w:asciiTheme="minorHAnsi" w:hAnsiTheme="minorHAnsi" w:cstheme="minorHAnsi"/>
          <w:sz w:val="22"/>
          <w:szCs w:val="22"/>
        </w:rPr>
        <w:t xml:space="preserve"> leverage private sector funding</w:t>
      </w:r>
      <w:r w:rsidR="006B60F6" w:rsidRPr="00894779">
        <w:rPr>
          <w:rFonts w:asciiTheme="minorHAnsi" w:hAnsiTheme="minorHAnsi" w:cstheme="minorHAnsi"/>
          <w:sz w:val="22"/>
          <w:szCs w:val="22"/>
        </w:rPr>
        <w:t>,</w:t>
      </w:r>
      <w:r w:rsidRPr="00894779">
        <w:rPr>
          <w:rFonts w:asciiTheme="minorHAnsi" w:hAnsiTheme="minorHAnsi" w:cstheme="minorHAnsi"/>
          <w:sz w:val="22"/>
          <w:szCs w:val="22"/>
        </w:rPr>
        <w:t xml:space="preserve"> and PNG Government commitment.  Planning undertaken in 2013-14 for this subsector should help to address PNG’s need for skills development and anticipated increases in secondary and post-secondary enrolments</w:t>
      </w:r>
      <w:r w:rsidR="00703589" w:rsidRPr="00894779">
        <w:rPr>
          <w:rFonts w:asciiTheme="minorHAnsi" w:hAnsiTheme="minorHAnsi" w:cstheme="minorHAnsi"/>
          <w:sz w:val="22"/>
          <w:szCs w:val="22"/>
        </w:rPr>
        <w:t>.</w:t>
      </w:r>
      <w:r w:rsidRPr="00894779">
        <w:rPr>
          <w:rFonts w:asciiTheme="minorHAnsi" w:hAnsiTheme="minorHAnsi" w:cstheme="minorHAnsi"/>
          <w:sz w:val="22"/>
          <w:szCs w:val="22"/>
        </w:rPr>
        <w:t xml:space="preserve"> </w:t>
      </w:r>
      <w:r w:rsidR="006B60F6" w:rsidRPr="00894779">
        <w:rPr>
          <w:rFonts w:asciiTheme="minorHAnsi" w:hAnsiTheme="minorHAnsi" w:cstheme="minorHAnsi"/>
          <w:sz w:val="22"/>
          <w:szCs w:val="22"/>
        </w:rPr>
        <w:t>Engagement with the private sector will help identify the skills shorta</w:t>
      </w:r>
      <w:r w:rsidR="00703589" w:rsidRPr="00894779">
        <w:rPr>
          <w:rFonts w:asciiTheme="minorHAnsi" w:hAnsiTheme="minorHAnsi" w:cstheme="minorHAnsi"/>
          <w:sz w:val="22"/>
          <w:szCs w:val="22"/>
        </w:rPr>
        <w:t xml:space="preserve">ges that need to be addressed. </w:t>
      </w:r>
      <w:r w:rsidRPr="00894779">
        <w:rPr>
          <w:rFonts w:asciiTheme="minorHAnsi" w:hAnsiTheme="minorHAnsi" w:cstheme="minorHAnsi"/>
          <w:sz w:val="22"/>
          <w:szCs w:val="22"/>
        </w:rPr>
        <w:t>The Port Moresby campus of the A</w:t>
      </w:r>
      <w:r w:rsidR="00042D41" w:rsidRPr="00894779">
        <w:rPr>
          <w:rFonts w:asciiTheme="minorHAnsi" w:hAnsiTheme="minorHAnsi" w:cstheme="minorHAnsi"/>
          <w:sz w:val="22"/>
          <w:szCs w:val="22"/>
        </w:rPr>
        <w:t>ustralia</w:t>
      </w:r>
      <w:r w:rsidRPr="00894779">
        <w:rPr>
          <w:rFonts w:asciiTheme="minorHAnsi" w:hAnsiTheme="minorHAnsi" w:cstheme="minorHAnsi"/>
          <w:sz w:val="22"/>
          <w:szCs w:val="22"/>
        </w:rPr>
        <w:t xml:space="preserve"> Pacific Technical College </w:t>
      </w:r>
      <w:r w:rsidR="00CD1B1C" w:rsidRPr="00894779">
        <w:rPr>
          <w:rFonts w:asciiTheme="minorHAnsi" w:hAnsiTheme="minorHAnsi" w:cstheme="minorHAnsi"/>
          <w:sz w:val="22"/>
          <w:szCs w:val="22"/>
        </w:rPr>
        <w:t xml:space="preserve">(APTC) </w:t>
      </w:r>
      <w:r w:rsidRPr="00894779">
        <w:rPr>
          <w:rFonts w:asciiTheme="minorHAnsi" w:hAnsiTheme="minorHAnsi" w:cstheme="minorHAnsi"/>
          <w:sz w:val="22"/>
          <w:szCs w:val="22"/>
        </w:rPr>
        <w:t>also provides opportunities to leverage TVET investments.</w:t>
      </w:r>
    </w:p>
    <w:p w:rsidR="00415454" w:rsidRPr="00415454" w:rsidRDefault="00415454" w:rsidP="005F69EC">
      <w:pPr>
        <w:spacing w:after="120"/>
        <w:jc w:val="both"/>
        <w:rPr>
          <w:rFonts w:asciiTheme="minorHAnsi" w:hAnsiTheme="minorHAnsi" w:cstheme="minorHAnsi"/>
          <w:b/>
          <w:sz w:val="22"/>
          <w:szCs w:val="22"/>
        </w:rPr>
      </w:pPr>
      <w:r w:rsidRPr="00415454">
        <w:rPr>
          <w:rFonts w:asciiTheme="minorHAnsi" w:hAnsiTheme="minorHAnsi" w:cstheme="minorHAnsi"/>
          <w:b/>
          <w:sz w:val="22"/>
          <w:szCs w:val="22"/>
        </w:rPr>
        <w:t>Key Risks and Challenges</w:t>
      </w:r>
    </w:p>
    <w:p w:rsidR="00415454" w:rsidRPr="00894779" w:rsidRDefault="00DF41E1" w:rsidP="005F69EC">
      <w:pPr>
        <w:spacing w:after="120"/>
        <w:jc w:val="both"/>
        <w:rPr>
          <w:rFonts w:asciiTheme="minorHAnsi" w:hAnsiTheme="minorHAnsi" w:cstheme="minorHAnsi"/>
          <w:sz w:val="22"/>
          <w:szCs w:val="22"/>
        </w:rPr>
      </w:pPr>
      <w:r w:rsidRPr="00894779">
        <w:rPr>
          <w:rFonts w:asciiTheme="minorHAnsi" w:hAnsiTheme="minorHAnsi" w:cstheme="minorHAnsi"/>
          <w:sz w:val="22"/>
          <w:szCs w:val="22"/>
        </w:rPr>
        <w:t xml:space="preserve">Australia’s move away from </w:t>
      </w:r>
      <w:r w:rsidR="005E2415" w:rsidRPr="00894779">
        <w:rPr>
          <w:rFonts w:asciiTheme="minorHAnsi" w:hAnsiTheme="minorHAnsi" w:cstheme="minorHAnsi"/>
          <w:sz w:val="22"/>
          <w:szCs w:val="22"/>
        </w:rPr>
        <w:t xml:space="preserve">directly financing </w:t>
      </w:r>
      <w:r w:rsidRPr="00894779">
        <w:rPr>
          <w:rFonts w:asciiTheme="minorHAnsi" w:hAnsiTheme="minorHAnsi" w:cstheme="minorHAnsi"/>
          <w:sz w:val="22"/>
          <w:szCs w:val="22"/>
        </w:rPr>
        <w:t>service delivery needs to be managed to ensure that PNG is able to make informed decisions as to how they will deliver these services over the coming years. The success of the Tuition Fee Free policy on increasing enrolment numbers, particularly in the basic education sector</w:t>
      </w:r>
      <w:r w:rsidR="00A35F2E">
        <w:rPr>
          <w:rFonts w:asciiTheme="minorHAnsi" w:hAnsiTheme="minorHAnsi" w:cstheme="minorHAnsi"/>
          <w:sz w:val="22"/>
          <w:szCs w:val="22"/>
        </w:rPr>
        <w:t>,</w:t>
      </w:r>
      <w:r w:rsidRPr="00894779">
        <w:rPr>
          <w:rFonts w:asciiTheme="minorHAnsi" w:hAnsiTheme="minorHAnsi" w:cstheme="minorHAnsi"/>
          <w:sz w:val="22"/>
          <w:szCs w:val="22"/>
        </w:rPr>
        <w:t xml:space="preserve"> needs to be matched with stronger accountability and performance measures for the implementation of these funds at the school level. With more children attending school there is a risk that the quality of education will decline due to pressures of class sizes, insufficient teachers and a lack of teaching materials. National and provincial leadership and coordination by PNG government will be critical to improving the quality of teaching and learning for all sectors and to tackling gender equity which remains a serious challenge.</w:t>
      </w:r>
    </w:p>
    <w:p w:rsidR="00C12BEA" w:rsidRPr="00894779" w:rsidRDefault="00C12BEA" w:rsidP="00C12BEA">
      <w:pPr>
        <w:autoSpaceDE w:val="0"/>
        <w:autoSpaceDN w:val="0"/>
        <w:adjustRightInd w:val="0"/>
        <w:spacing w:after="120"/>
        <w:jc w:val="both"/>
        <w:rPr>
          <w:rFonts w:asciiTheme="minorHAnsi" w:hAnsiTheme="minorHAnsi" w:cstheme="minorHAnsi"/>
          <w:b/>
          <w:sz w:val="22"/>
          <w:szCs w:val="22"/>
        </w:rPr>
      </w:pPr>
      <w:r w:rsidRPr="00894779">
        <w:rPr>
          <w:rFonts w:asciiTheme="minorHAnsi" w:hAnsiTheme="minorHAnsi" w:cstheme="minorHAnsi"/>
          <w:b/>
          <w:sz w:val="22"/>
          <w:szCs w:val="22"/>
        </w:rPr>
        <w:t>Way Forward/ Management Consequences</w:t>
      </w:r>
    </w:p>
    <w:p w:rsidR="00C12BEA" w:rsidRPr="00894779" w:rsidRDefault="00C12BEA" w:rsidP="00C12BEA">
      <w:pPr>
        <w:jc w:val="both"/>
        <w:rPr>
          <w:rFonts w:asciiTheme="minorHAnsi" w:eastAsia="Times New Roman" w:hAnsiTheme="minorHAnsi" w:cstheme="minorHAnsi"/>
          <w:sz w:val="22"/>
          <w:szCs w:val="22"/>
        </w:rPr>
      </w:pPr>
      <w:r w:rsidRPr="00894779">
        <w:rPr>
          <w:rFonts w:asciiTheme="minorHAnsi" w:eastAsia="Times New Roman" w:hAnsiTheme="minorHAnsi" w:cstheme="minorHAnsi"/>
          <w:sz w:val="22"/>
          <w:szCs w:val="22"/>
        </w:rPr>
        <w:t xml:space="preserve">Future Australian support in education needs to support better learning </w:t>
      </w:r>
      <w:r w:rsidR="00042D41" w:rsidRPr="00894779">
        <w:rPr>
          <w:rFonts w:asciiTheme="minorHAnsi" w:eastAsia="Times New Roman" w:hAnsiTheme="minorHAnsi" w:cstheme="minorHAnsi"/>
          <w:sz w:val="22"/>
          <w:szCs w:val="22"/>
        </w:rPr>
        <w:t xml:space="preserve">at all levels and a move away from </w:t>
      </w:r>
      <w:r w:rsidR="005E2415" w:rsidRPr="00894779">
        <w:rPr>
          <w:rFonts w:asciiTheme="minorHAnsi" w:eastAsia="Times New Roman" w:hAnsiTheme="minorHAnsi" w:cstheme="minorHAnsi"/>
          <w:sz w:val="22"/>
          <w:szCs w:val="22"/>
        </w:rPr>
        <w:t xml:space="preserve">direct financing of </w:t>
      </w:r>
      <w:r w:rsidR="00042D41" w:rsidRPr="00894779">
        <w:rPr>
          <w:rFonts w:asciiTheme="minorHAnsi" w:eastAsia="Times New Roman" w:hAnsiTheme="minorHAnsi" w:cstheme="minorHAnsi"/>
          <w:sz w:val="22"/>
          <w:szCs w:val="22"/>
        </w:rPr>
        <w:t>service delivery</w:t>
      </w:r>
      <w:r w:rsidR="005C0879" w:rsidRPr="00894779">
        <w:rPr>
          <w:rFonts w:asciiTheme="minorHAnsi" w:eastAsia="Times New Roman" w:hAnsiTheme="minorHAnsi" w:cstheme="minorHAnsi"/>
          <w:sz w:val="22"/>
          <w:szCs w:val="22"/>
        </w:rPr>
        <w:t>,</w:t>
      </w:r>
      <w:r w:rsidR="00042D41" w:rsidRPr="00894779">
        <w:rPr>
          <w:rFonts w:asciiTheme="minorHAnsi" w:eastAsia="Times New Roman" w:hAnsiTheme="minorHAnsi" w:cstheme="minorHAnsi"/>
          <w:sz w:val="22"/>
          <w:szCs w:val="22"/>
        </w:rPr>
        <w:t xml:space="preserve"> in line with the PNG Aid Assessment</w:t>
      </w:r>
      <w:r w:rsidR="00415454" w:rsidRPr="00894779">
        <w:rPr>
          <w:rFonts w:asciiTheme="minorHAnsi" w:eastAsia="Times New Roman" w:hAnsiTheme="minorHAnsi" w:cstheme="minorHAnsi"/>
          <w:sz w:val="22"/>
          <w:szCs w:val="22"/>
        </w:rPr>
        <w:t xml:space="preserve"> in 2014-15. They will include:</w:t>
      </w:r>
    </w:p>
    <w:p w:rsidR="00042D41" w:rsidRPr="00894779" w:rsidRDefault="00042D41" w:rsidP="00042D41">
      <w:pPr>
        <w:numPr>
          <w:ilvl w:val="0"/>
          <w:numId w:val="29"/>
        </w:numPr>
        <w:jc w:val="both"/>
        <w:rPr>
          <w:rFonts w:asciiTheme="minorHAnsi" w:eastAsia="Times New Roman" w:hAnsiTheme="minorHAnsi" w:cstheme="minorHAnsi"/>
          <w:sz w:val="22"/>
          <w:szCs w:val="22"/>
        </w:rPr>
      </w:pPr>
      <w:r w:rsidRPr="00894779">
        <w:rPr>
          <w:rFonts w:asciiTheme="minorHAnsi" w:eastAsia="Times New Roman" w:hAnsiTheme="minorHAnsi" w:cstheme="minorHAnsi"/>
          <w:sz w:val="22"/>
          <w:szCs w:val="22"/>
        </w:rPr>
        <w:t>Support</w:t>
      </w:r>
      <w:r w:rsidR="005E2415" w:rsidRPr="00894779">
        <w:rPr>
          <w:rFonts w:asciiTheme="minorHAnsi" w:eastAsia="Times New Roman" w:hAnsiTheme="minorHAnsi" w:cstheme="minorHAnsi"/>
          <w:sz w:val="22"/>
          <w:szCs w:val="22"/>
        </w:rPr>
        <w:t xml:space="preserve"> for </w:t>
      </w:r>
      <w:r w:rsidRPr="00894779">
        <w:rPr>
          <w:rFonts w:asciiTheme="minorHAnsi" w:eastAsia="Times New Roman" w:hAnsiTheme="minorHAnsi" w:cstheme="minorHAnsi"/>
          <w:sz w:val="22"/>
          <w:szCs w:val="22"/>
        </w:rPr>
        <w:t xml:space="preserve">basic and secondary </w:t>
      </w:r>
      <w:r w:rsidR="005E2415" w:rsidRPr="00894779">
        <w:rPr>
          <w:rFonts w:asciiTheme="minorHAnsi" w:eastAsia="Times New Roman" w:hAnsiTheme="minorHAnsi" w:cstheme="minorHAnsi"/>
          <w:sz w:val="22"/>
          <w:szCs w:val="22"/>
        </w:rPr>
        <w:t xml:space="preserve">education </w:t>
      </w:r>
      <w:r w:rsidRPr="00894779">
        <w:rPr>
          <w:rFonts w:asciiTheme="minorHAnsi" w:eastAsia="Times New Roman" w:hAnsiTheme="minorHAnsi" w:cstheme="minorHAnsi"/>
          <w:sz w:val="22"/>
          <w:szCs w:val="22"/>
        </w:rPr>
        <w:t xml:space="preserve">will </w:t>
      </w:r>
      <w:r w:rsidR="00415454" w:rsidRPr="00894779">
        <w:rPr>
          <w:rFonts w:asciiTheme="minorHAnsi" w:eastAsia="Times New Roman" w:hAnsiTheme="minorHAnsi" w:cstheme="minorHAnsi"/>
          <w:sz w:val="22"/>
          <w:szCs w:val="22"/>
        </w:rPr>
        <w:t>re-focus</w:t>
      </w:r>
      <w:r w:rsidRPr="00894779">
        <w:rPr>
          <w:rFonts w:asciiTheme="minorHAnsi" w:eastAsia="Times New Roman" w:hAnsiTheme="minorHAnsi" w:cstheme="minorHAnsi"/>
          <w:sz w:val="22"/>
          <w:szCs w:val="22"/>
        </w:rPr>
        <w:t xml:space="preserve"> on developing PNG’s teacher workforce to address the quality of teaching and learning, particularly in rural areas. This investment package will include support for pre-service and in-service training </w:t>
      </w:r>
      <w:r w:rsidR="005E2415" w:rsidRPr="00894779">
        <w:rPr>
          <w:rFonts w:asciiTheme="minorHAnsi" w:eastAsia="Times New Roman" w:hAnsiTheme="minorHAnsi" w:cstheme="minorHAnsi"/>
          <w:sz w:val="22"/>
          <w:szCs w:val="22"/>
        </w:rPr>
        <w:t xml:space="preserve">in partnership </w:t>
      </w:r>
      <w:r w:rsidRPr="00894779">
        <w:rPr>
          <w:rFonts w:asciiTheme="minorHAnsi" w:eastAsia="Times New Roman" w:hAnsiTheme="minorHAnsi" w:cstheme="minorHAnsi"/>
          <w:sz w:val="22"/>
          <w:szCs w:val="22"/>
        </w:rPr>
        <w:t xml:space="preserve">with higher education teacher training institutions and </w:t>
      </w:r>
      <w:r w:rsidR="005E2415" w:rsidRPr="00894779">
        <w:rPr>
          <w:rFonts w:asciiTheme="minorHAnsi" w:eastAsia="Times New Roman" w:hAnsiTheme="minorHAnsi" w:cstheme="minorHAnsi"/>
          <w:sz w:val="22"/>
          <w:szCs w:val="22"/>
        </w:rPr>
        <w:t xml:space="preserve">the </w:t>
      </w:r>
      <w:r w:rsidRPr="00894779">
        <w:rPr>
          <w:rFonts w:asciiTheme="minorHAnsi" w:eastAsia="Times New Roman" w:hAnsiTheme="minorHAnsi" w:cstheme="minorHAnsi"/>
          <w:sz w:val="22"/>
          <w:szCs w:val="22"/>
        </w:rPr>
        <w:t xml:space="preserve">Provincial </w:t>
      </w:r>
      <w:r w:rsidR="005E2415" w:rsidRPr="00894779">
        <w:rPr>
          <w:rFonts w:asciiTheme="minorHAnsi" w:eastAsia="Times New Roman" w:hAnsiTheme="minorHAnsi" w:cstheme="minorHAnsi"/>
          <w:sz w:val="22"/>
          <w:szCs w:val="22"/>
        </w:rPr>
        <w:t>e</w:t>
      </w:r>
      <w:r w:rsidRPr="00894779">
        <w:rPr>
          <w:rFonts w:asciiTheme="minorHAnsi" w:eastAsia="Times New Roman" w:hAnsiTheme="minorHAnsi" w:cstheme="minorHAnsi"/>
          <w:sz w:val="22"/>
          <w:szCs w:val="22"/>
        </w:rPr>
        <w:t>ducation divisions;</w:t>
      </w:r>
    </w:p>
    <w:p w:rsidR="00042D41" w:rsidRPr="00894779" w:rsidRDefault="00042D41" w:rsidP="00042D41">
      <w:pPr>
        <w:numPr>
          <w:ilvl w:val="0"/>
          <w:numId w:val="29"/>
        </w:numPr>
        <w:jc w:val="both"/>
        <w:rPr>
          <w:rFonts w:asciiTheme="minorHAnsi" w:eastAsia="Times New Roman" w:hAnsiTheme="minorHAnsi" w:cstheme="minorHAnsi"/>
          <w:sz w:val="22"/>
          <w:szCs w:val="22"/>
        </w:rPr>
      </w:pPr>
      <w:r w:rsidRPr="00894779">
        <w:rPr>
          <w:rFonts w:asciiTheme="minorHAnsi" w:eastAsia="Times New Roman" w:hAnsiTheme="minorHAnsi" w:cstheme="minorHAnsi"/>
          <w:sz w:val="22"/>
          <w:szCs w:val="22"/>
        </w:rPr>
        <w:t>Wind</w:t>
      </w:r>
      <w:r w:rsidR="00415454" w:rsidRPr="00894779">
        <w:rPr>
          <w:rFonts w:asciiTheme="minorHAnsi" w:eastAsia="Times New Roman" w:hAnsiTheme="minorHAnsi" w:cstheme="minorHAnsi"/>
          <w:sz w:val="22"/>
          <w:szCs w:val="22"/>
        </w:rPr>
        <w:t>ing</w:t>
      </w:r>
      <w:r w:rsidRPr="00894779">
        <w:rPr>
          <w:rFonts w:asciiTheme="minorHAnsi" w:eastAsia="Times New Roman" w:hAnsiTheme="minorHAnsi" w:cstheme="minorHAnsi"/>
          <w:sz w:val="22"/>
          <w:szCs w:val="22"/>
        </w:rPr>
        <w:t xml:space="preserve"> up the direct funding mechanism to the National D</w:t>
      </w:r>
      <w:r w:rsidR="00415454" w:rsidRPr="00894779">
        <w:rPr>
          <w:rFonts w:asciiTheme="minorHAnsi" w:eastAsia="Times New Roman" w:hAnsiTheme="minorHAnsi" w:cstheme="minorHAnsi"/>
          <w:sz w:val="22"/>
          <w:szCs w:val="22"/>
        </w:rPr>
        <w:t>epartment of Education and  moving</w:t>
      </w:r>
      <w:r w:rsidRPr="00894779">
        <w:rPr>
          <w:rFonts w:asciiTheme="minorHAnsi" w:eastAsia="Times New Roman" w:hAnsiTheme="minorHAnsi" w:cstheme="minorHAnsi"/>
          <w:sz w:val="22"/>
          <w:szCs w:val="22"/>
        </w:rPr>
        <w:t xml:space="preserve"> towards greater utilisation of capacity development assistance, economic diplomacy and private sector engagement to leverage partnerships; </w:t>
      </w:r>
    </w:p>
    <w:p w:rsidR="00042D41" w:rsidRPr="00894779" w:rsidRDefault="00415454" w:rsidP="00042D41">
      <w:pPr>
        <w:numPr>
          <w:ilvl w:val="0"/>
          <w:numId w:val="29"/>
        </w:numPr>
        <w:jc w:val="both"/>
        <w:rPr>
          <w:rFonts w:asciiTheme="minorHAnsi" w:eastAsia="Times New Roman" w:hAnsiTheme="minorHAnsi" w:cstheme="minorHAnsi"/>
          <w:sz w:val="22"/>
          <w:szCs w:val="22"/>
        </w:rPr>
      </w:pPr>
      <w:r w:rsidRPr="00894779">
        <w:rPr>
          <w:rFonts w:asciiTheme="minorHAnsi" w:eastAsia="Times New Roman" w:hAnsiTheme="minorHAnsi" w:cstheme="minorHAnsi"/>
          <w:sz w:val="22"/>
          <w:szCs w:val="22"/>
        </w:rPr>
        <w:t>Continuing</w:t>
      </w:r>
      <w:r w:rsidR="00042D41" w:rsidRPr="00894779">
        <w:rPr>
          <w:rFonts w:asciiTheme="minorHAnsi" w:eastAsia="Times New Roman" w:hAnsiTheme="minorHAnsi" w:cstheme="minorHAnsi"/>
          <w:sz w:val="22"/>
          <w:szCs w:val="22"/>
        </w:rPr>
        <w:t xml:space="preserve"> high level engagement with the PNG government to implement a program of quality assurance to strengthen higher education and TVET sectors</w:t>
      </w:r>
      <w:r w:rsidR="005C0879" w:rsidRPr="00894779">
        <w:rPr>
          <w:rFonts w:asciiTheme="minorHAnsi" w:eastAsia="Times New Roman" w:hAnsiTheme="minorHAnsi" w:cstheme="minorHAnsi"/>
          <w:sz w:val="22"/>
          <w:szCs w:val="22"/>
        </w:rPr>
        <w:t>,</w:t>
      </w:r>
      <w:r w:rsidR="00042D41" w:rsidRPr="00894779">
        <w:rPr>
          <w:rFonts w:asciiTheme="minorHAnsi" w:eastAsia="Times New Roman" w:hAnsiTheme="minorHAnsi" w:cstheme="minorHAnsi"/>
          <w:sz w:val="22"/>
          <w:szCs w:val="22"/>
        </w:rPr>
        <w:t xml:space="preserve"> and to trial innovative partnerships at the institutional level;</w:t>
      </w:r>
    </w:p>
    <w:p w:rsidR="00042D41" w:rsidRPr="00894779" w:rsidRDefault="00415454" w:rsidP="00042D41">
      <w:pPr>
        <w:numPr>
          <w:ilvl w:val="0"/>
          <w:numId w:val="29"/>
        </w:numPr>
        <w:jc w:val="both"/>
        <w:rPr>
          <w:rFonts w:asciiTheme="minorHAnsi" w:eastAsia="Times New Roman" w:hAnsiTheme="minorHAnsi" w:cstheme="minorHAnsi"/>
          <w:sz w:val="22"/>
          <w:szCs w:val="22"/>
        </w:rPr>
      </w:pPr>
      <w:r w:rsidRPr="00894779">
        <w:rPr>
          <w:rFonts w:asciiTheme="minorHAnsi" w:eastAsia="Times New Roman" w:hAnsiTheme="minorHAnsi" w:cstheme="minorHAnsi"/>
          <w:sz w:val="22"/>
          <w:szCs w:val="22"/>
        </w:rPr>
        <w:t>Completing</w:t>
      </w:r>
      <w:r w:rsidR="00042D41" w:rsidRPr="00894779">
        <w:rPr>
          <w:rFonts w:asciiTheme="minorHAnsi" w:eastAsia="Times New Roman" w:hAnsiTheme="minorHAnsi" w:cstheme="minorHAnsi"/>
          <w:sz w:val="22"/>
          <w:szCs w:val="22"/>
        </w:rPr>
        <w:t xml:space="preserve"> a gender audit of the program’s activities to inform future investment and complement a shared approach with education stakeholders including the World Bank and UNICEF;</w:t>
      </w:r>
    </w:p>
    <w:p w:rsidR="00042D41" w:rsidRPr="00894779" w:rsidRDefault="00042D41" w:rsidP="00042D41">
      <w:pPr>
        <w:numPr>
          <w:ilvl w:val="0"/>
          <w:numId w:val="29"/>
        </w:numPr>
        <w:jc w:val="both"/>
        <w:rPr>
          <w:rFonts w:asciiTheme="minorHAnsi" w:eastAsia="Times New Roman" w:hAnsiTheme="minorHAnsi" w:cstheme="minorHAnsi"/>
          <w:sz w:val="22"/>
          <w:szCs w:val="22"/>
        </w:rPr>
      </w:pPr>
      <w:r w:rsidRPr="00894779">
        <w:rPr>
          <w:rFonts w:asciiTheme="minorHAnsi" w:eastAsia="Times New Roman" w:hAnsiTheme="minorHAnsi" w:cstheme="minorHAnsi"/>
          <w:sz w:val="22"/>
          <w:szCs w:val="22"/>
        </w:rPr>
        <w:t>Build</w:t>
      </w:r>
      <w:r w:rsidR="00415454" w:rsidRPr="00894779">
        <w:rPr>
          <w:rFonts w:asciiTheme="minorHAnsi" w:eastAsia="Times New Roman" w:hAnsiTheme="minorHAnsi" w:cstheme="minorHAnsi"/>
          <w:sz w:val="22"/>
          <w:szCs w:val="22"/>
        </w:rPr>
        <w:t>ing</w:t>
      </w:r>
      <w:r w:rsidRPr="00894779">
        <w:rPr>
          <w:rFonts w:asciiTheme="minorHAnsi" w:eastAsia="Times New Roman" w:hAnsiTheme="minorHAnsi" w:cstheme="minorHAnsi"/>
          <w:sz w:val="22"/>
          <w:szCs w:val="22"/>
        </w:rPr>
        <w:t xml:space="preserve"> on its current Australia Awards program when a new program begins in mid-2015. This will ensure scholarships help to strengthen PNG’s leadership capacity and seek greater ties to Papua new Guinean leaders through an expanded alumni engagement;</w:t>
      </w:r>
    </w:p>
    <w:p w:rsidR="00042D41" w:rsidRPr="00894779" w:rsidRDefault="00415454" w:rsidP="00042D41">
      <w:pPr>
        <w:numPr>
          <w:ilvl w:val="0"/>
          <w:numId w:val="29"/>
        </w:numPr>
        <w:jc w:val="both"/>
        <w:rPr>
          <w:rFonts w:asciiTheme="minorHAnsi" w:eastAsia="Times New Roman" w:hAnsiTheme="minorHAnsi" w:cstheme="minorHAnsi"/>
          <w:sz w:val="22"/>
          <w:szCs w:val="22"/>
        </w:rPr>
      </w:pPr>
      <w:r w:rsidRPr="00894779">
        <w:rPr>
          <w:rFonts w:asciiTheme="minorHAnsi" w:eastAsia="Times New Roman" w:hAnsiTheme="minorHAnsi" w:cstheme="minorHAnsi"/>
          <w:sz w:val="22"/>
          <w:szCs w:val="22"/>
        </w:rPr>
        <w:t>Continuing</w:t>
      </w:r>
      <w:r w:rsidR="00042D41" w:rsidRPr="00894779">
        <w:rPr>
          <w:rFonts w:asciiTheme="minorHAnsi" w:eastAsia="Times New Roman" w:hAnsiTheme="minorHAnsi" w:cstheme="minorHAnsi"/>
          <w:sz w:val="22"/>
          <w:szCs w:val="22"/>
        </w:rPr>
        <w:t xml:space="preserve"> to strengthen accountability and performance within the sector by supporting improved data collection and analysis</w:t>
      </w:r>
      <w:r w:rsidR="00A35F2E">
        <w:rPr>
          <w:rFonts w:asciiTheme="minorHAnsi" w:eastAsia="Times New Roman" w:hAnsiTheme="minorHAnsi" w:cstheme="minorHAnsi"/>
          <w:sz w:val="22"/>
          <w:szCs w:val="22"/>
        </w:rPr>
        <w:t>,</w:t>
      </w:r>
      <w:r w:rsidR="00042D41" w:rsidRPr="00894779">
        <w:rPr>
          <w:rFonts w:asciiTheme="minorHAnsi" w:eastAsia="Times New Roman" w:hAnsiTheme="minorHAnsi" w:cstheme="minorHAnsi"/>
          <w:sz w:val="22"/>
          <w:szCs w:val="22"/>
        </w:rPr>
        <w:t xml:space="preserve"> including monitoring and evaluation and research to assist partners make evidence based decisions.</w:t>
      </w:r>
    </w:p>
    <w:p w:rsidR="00790F32" w:rsidRPr="00BB1627" w:rsidRDefault="00790F32" w:rsidP="00164E82">
      <w:pPr>
        <w:pStyle w:val="Heading3"/>
      </w:pPr>
      <w:r>
        <w:t>Objective 3</w:t>
      </w:r>
      <w:r w:rsidRPr="00BB1627">
        <w:t xml:space="preserve"> – Law and Justice </w:t>
      </w:r>
    </w:p>
    <w:tbl>
      <w:tblPr>
        <w:tblStyle w:val="APPR"/>
        <w:tblW w:w="4875" w:type="pct"/>
        <w:tblBorders>
          <w:top w:val="single" w:sz="4" w:space="0" w:color="auto"/>
          <w:bottom w:val="single" w:sz="4" w:space="0" w:color="auto"/>
        </w:tblBorders>
        <w:tblLook w:val="0000" w:firstRow="0" w:lastRow="0" w:firstColumn="0" w:lastColumn="0" w:noHBand="0" w:noVBand="0"/>
      </w:tblPr>
      <w:tblGrid>
        <w:gridCol w:w="6467"/>
        <w:gridCol w:w="899"/>
        <w:gridCol w:w="1701"/>
      </w:tblGrid>
      <w:tr w:rsidR="00790F32" w:rsidRPr="00BB1627" w:rsidTr="00944408">
        <w:trPr>
          <w:cnfStyle w:val="000000010000" w:firstRow="0" w:lastRow="0" w:firstColumn="0" w:lastColumn="0" w:oddVBand="0" w:evenVBand="0" w:oddHBand="0" w:evenHBand="1" w:firstRowFirstColumn="0" w:firstRowLastColumn="0" w:lastRowFirstColumn="0" w:lastRowLastColumn="0"/>
          <w:trHeight w:val="302"/>
        </w:trPr>
        <w:tc>
          <w:tcPr>
            <w:tcW w:w="6425" w:type="dxa"/>
          </w:tcPr>
          <w:p w:rsidR="00790F32" w:rsidRPr="00BB1627" w:rsidRDefault="00790F32" w:rsidP="008264E9">
            <w:pPr>
              <w:pStyle w:val="TableTextColumnHeading"/>
            </w:pPr>
            <w:r w:rsidRPr="00BB1627">
              <w:rPr>
                <w:noProof/>
              </w:rPr>
              <w:drawing>
                <wp:anchor distT="0" distB="0" distL="114300" distR="114300" simplePos="0" relativeHeight="251687936" behindDoc="0" locked="0" layoutInCell="1" allowOverlap="1" wp14:anchorId="08C49DA4" wp14:editId="79E05AD7">
                  <wp:simplePos x="0" y="0"/>
                  <wp:positionH relativeFrom="column">
                    <wp:posOffset>0</wp:posOffset>
                  </wp:positionH>
                  <wp:positionV relativeFrom="paragraph">
                    <wp:posOffset>0</wp:posOffset>
                  </wp:positionV>
                  <wp:extent cx="1857375" cy="228600"/>
                  <wp:effectExtent l="0" t="0" r="9525" b="0"/>
                  <wp:wrapNone/>
                  <wp:docPr id="8" name="Picture 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627">
              <w:t>Objective: Improved law and justice</w:t>
            </w:r>
          </w:p>
        </w:tc>
        <w:tc>
          <w:tcPr>
            <w:tcW w:w="871" w:type="dxa"/>
          </w:tcPr>
          <w:p w:rsidR="00790F32" w:rsidRPr="00BB1627" w:rsidRDefault="00790F32" w:rsidP="008264E9">
            <w:pPr>
              <w:pStyle w:val="TableTextColumnHeading"/>
            </w:pPr>
          </w:p>
        </w:tc>
        <w:tc>
          <w:tcPr>
            <w:tcW w:w="1659" w:type="dxa"/>
            <w:shd w:val="clear" w:color="auto" w:fill="F79646" w:themeFill="accent6"/>
          </w:tcPr>
          <w:p w:rsidR="00790F32" w:rsidRPr="00BB1627" w:rsidRDefault="00790F32" w:rsidP="008264E9">
            <w:pPr>
              <w:pStyle w:val="TableTextColumnHeading"/>
            </w:pPr>
            <w:r w:rsidRPr="00BB1627">
              <w:t>Amber</w:t>
            </w:r>
          </w:p>
        </w:tc>
      </w:tr>
    </w:tbl>
    <w:p w:rsidR="00C12BEA" w:rsidRPr="00C12BEA" w:rsidRDefault="00790F32" w:rsidP="00C12BEA">
      <w:pPr>
        <w:spacing w:after="120"/>
        <w:jc w:val="both"/>
        <w:rPr>
          <w:rFonts w:asciiTheme="minorHAnsi" w:hAnsiTheme="minorHAnsi" w:cstheme="minorHAnsi"/>
          <w:lang w:val="en"/>
        </w:rPr>
      </w:pPr>
      <w:r>
        <w:rPr>
          <w:sz w:val="22"/>
          <w:szCs w:val="22"/>
          <w:bdr w:val="none" w:sz="0" w:space="0" w:color="auto" w:frame="1"/>
        </w:rPr>
        <w:br/>
      </w:r>
      <w:r w:rsidR="00C12BEA" w:rsidRPr="00C12BEA">
        <w:rPr>
          <w:rFonts w:asciiTheme="minorHAnsi" w:hAnsiTheme="minorHAnsi" w:cstheme="minorHAnsi"/>
          <w:sz w:val="22"/>
          <w:szCs w:val="22"/>
        </w:rPr>
        <w:t xml:space="preserve">The program’s progress towards achieving its law and justice sector objectives in 2013-14 is rated amber, and is consistent with the 2012-13 APPR. While a number of achievements are noted, there is insufficient evidence to demonstrate progress at the outcome levels. </w:t>
      </w:r>
    </w:p>
    <w:p w:rsidR="00C12BEA" w:rsidRPr="00C12BEA" w:rsidRDefault="00C12BEA" w:rsidP="00C12BEA">
      <w:pPr>
        <w:spacing w:after="120"/>
        <w:jc w:val="both"/>
        <w:rPr>
          <w:rFonts w:asciiTheme="minorHAnsi" w:hAnsiTheme="minorHAnsi" w:cstheme="minorHAnsi"/>
          <w:sz w:val="22"/>
          <w:szCs w:val="22"/>
          <w:bdr w:val="none" w:sz="0" w:space="0" w:color="auto" w:frame="1"/>
        </w:rPr>
      </w:pPr>
      <w:r w:rsidRPr="00C12BEA">
        <w:rPr>
          <w:rFonts w:asciiTheme="minorHAnsi" w:hAnsiTheme="minorHAnsi" w:cstheme="minorHAnsi"/>
          <w:sz w:val="22"/>
          <w:szCs w:val="22"/>
          <w:lang w:val="en"/>
        </w:rPr>
        <w:lastRenderedPageBreak/>
        <w:t>The PNG Government has a long-term goal of achieving “a just, safe and secure society for all.”</w:t>
      </w:r>
      <w:r w:rsidRPr="00C12BEA">
        <w:rPr>
          <w:rFonts w:cstheme="minorHAnsi"/>
          <w:position w:val="6"/>
          <w:sz w:val="16"/>
          <w:szCs w:val="12"/>
          <w:lang w:val="en"/>
        </w:rPr>
        <w:footnoteReference w:id="6"/>
      </w:r>
      <w:r w:rsidRPr="00C12BEA">
        <w:rPr>
          <w:rFonts w:asciiTheme="minorHAnsi" w:hAnsiTheme="minorHAnsi" w:cstheme="minorHAnsi"/>
          <w:sz w:val="22"/>
          <w:szCs w:val="22"/>
          <w:lang w:val="en"/>
        </w:rPr>
        <w:t xml:space="preserve"> </w:t>
      </w:r>
      <w:r w:rsidRPr="00C12BEA">
        <w:rPr>
          <w:rFonts w:asciiTheme="minorHAnsi" w:hAnsiTheme="minorHAnsi" w:cstheme="minorHAnsi"/>
          <w:sz w:val="22"/>
          <w:szCs w:val="22"/>
          <w:bdr w:val="none" w:sz="0" w:space="0" w:color="auto" w:frame="1"/>
        </w:rPr>
        <w:t xml:space="preserve">In its 2014 budget, the PNG Government identified and funded a number of law and justice sector priorities including the professionalisation of the Royal Papua New Guinea Constabulary (RPNGC); combatting corruption - including the establishment of the Independent Commission Against Corruption (ICAC); increasing village court officials’ allowances; and increased funding for the National Judiciary. Since July 2013, a number of laws and/or legislative amendments have been passed by parliament. The Family Protection Act, for example, makes domestic violence a stand-alone offence for the first time and increases the ability to obtain protection orders. </w:t>
      </w:r>
    </w:p>
    <w:p w:rsidR="00C12BEA" w:rsidRPr="00C12BEA" w:rsidRDefault="00C12BEA" w:rsidP="00C12BEA">
      <w:pPr>
        <w:spacing w:after="120"/>
        <w:jc w:val="both"/>
        <w:rPr>
          <w:rFonts w:asciiTheme="minorHAnsi" w:hAnsiTheme="minorHAnsi" w:cstheme="minorHAnsi"/>
          <w:sz w:val="22"/>
          <w:szCs w:val="22"/>
          <w:bdr w:val="none" w:sz="0" w:space="0" w:color="auto" w:frame="1"/>
        </w:rPr>
      </w:pPr>
      <w:r w:rsidRPr="00C12BEA">
        <w:rPr>
          <w:rFonts w:asciiTheme="minorHAnsi" w:hAnsiTheme="minorHAnsi" w:cstheme="minorHAnsi"/>
          <w:sz w:val="22"/>
          <w:szCs w:val="22"/>
          <w:bdr w:val="none" w:sz="0" w:space="0" w:color="auto" w:frame="1"/>
        </w:rPr>
        <w:t xml:space="preserve">For many years, the RPNGC has been chronically under-resourced. Unfortunately this continued in the 2014 budget, with funding of </w:t>
      </w:r>
      <w:r w:rsidRPr="00D0071B">
        <w:rPr>
          <w:rFonts w:asciiTheme="minorHAnsi" w:hAnsiTheme="minorHAnsi" w:cstheme="minorHAnsi"/>
          <w:sz w:val="22"/>
          <w:szCs w:val="22"/>
          <w:bdr w:val="none" w:sz="0" w:space="0" w:color="auto" w:frame="1"/>
        </w:rPr>
        <w:t>only K364.8 million (A$</w:t>
      </w:r>
      <w:r w:rsidR="00387793" w:rsidRPr="00D0071B">
        <w:rPr>
          <w:rFonts w:asciiTheme="minorHAnsi" w:hAnsiTheme="minorHAnsi" w:cstheme="minorHAnsi"/>
          <w:sz w:val="22"/>
          <w:szCs w:val="22"/>
          <w:bdr w:val="none" w:sz="0" w:space="0" w:color="auto" w:frame="1"/>
        </w:rPr>
        <w:t>15</w:t>
      </w:r>
      <w:r w:rsidR="00A7413A" w:rsidRPr="00D0071B">
        <w:rPr>
          <w:rFonts w:asciiTheme="minorHAnsi" w:hAnsiTheme="minorHAnsi" w:cstheme="minorHAnsi"/>
          <w:sz w:val="22"/>
          <w:szCs w:val="22"/>
          <w:bdr w:val="none" w:sz="0" w:space="0" w:color="auto" w:frame="1"/>
        </w:rPr>
        <w:t>9</w:t>
      </w:r>
      <w:r w:rsidR="00387793">
        <w:rPr>
          <w:rFonts w:asciiTheme="minorHAnsi" w:hAnsiTheme="minorHAnsi" w:cstheme="minorHAnsi"/>
          <w:sz w:val="22"/>
          <w:szCs w:val="22"/>
          <w:bdr w:val="none" w:sz="0" w:space="0" w:color="auto" w:frame="1"/>
        </w:rPr>
        <w:t xml:space="preserve"> million</w:t>
      </w:r>
      <w:r>
        <w:rPr>
          <w:rFonts w:asciiTheme="minorHAnsi" w:hAnsiTheme="minorHAnsi" w:cstheme="minorHAnsi"/>
          <w:sz w:val="22"/>
          <w:szCs w:val="22"/>
          <w:bdr w:val="none" w:sz="0" w:space="0" w:color="auto" w:frame="1"/>
        </w:rPr>
        <w:t>)</w:t>
      </w:r>
      <w:r w:rsidRPr="00C12BEA">
        <w:rPr>
          <w:rFonts w:asciiTheme="minorHAnsi" w:hAnsiTheme="minorHAnsi" w:cstheme="minorHAnsi"/>
          <w:sz w:val="22"/>
          <w:szCs w:val="22"/>
          <w:bdr w:val="none" w:sz="0" w:space="0" w:color="auto" w:frame="1"/>
        </w:rPr>
        <w:t xml:space="preserve"> - less than 2.7 per cent of the total budget. In February 2014, PNG was publicly ‘grey listed’ as having serious deficiencies in its anti-money laundering regimes, and serious law and order and corruption constraints to the business and investment environment.</w:t>
      </w:r>
      <w:r w:rsidRPr="00A35F2E">
        <w:rPr>
          <w:rFonts w:asciiTheme="minorHAnsi" w:hAnsiTheme="minorHAnsi" w:cstheme="minorHAnsi"/>
          <w:position w:val="6"/>
          <w:sz w:val="16"/>
          <w:szCs w:val="16"/>
          <w:bdr w:val="none" w:sz="0" w:space="0" w:color="auto" w:frame="1"/>
        </w:rPr>
        <w:footnoteReference w:id="7"/>
      </w:r>
      <w:r w:rsidRPr="00A35F2E">
        <w:rPr>
          <w:rFonts w:asciiTheme="minorHAnsi" w:hAnsiTheme="minorHAnsi" w:cstheme="minorHAnsi"/>
          <w:sz w:val="16"/>
          <w:szCs w:val="16"/>
          <w:bdr w:val="none" w:sz="0" w:space="0" w:color="auto" w:frame="1"/>
        </w:rPr>
        <w:t xml:space="preserve"> </w:t>
      </w:r>
      <w:r w:rsidRPr="00415454">
        <w:rPr>
          <w:rFonts w:asciiTheme="minorHAnsi" w:hAnsiTheme="minorHAnsi" w:cstheme="minorHAnsi"/>
          <w:szCs w:val="20"/>
          <w:bdr w:val="none" w:sz="0" w:space="0" w:color="auto" w:frame="1"/>
        </w:rPr>
        <w:t> </w:t>
      </w:r>
    </w:p>
    <w:p w:rsidR="00790F32" w:rsidRPr="00D1482F" w:rsidRDefault="00790F32" w:rsidP="008264E9">
      <w:pPr>
        <w:pStyle w:val="TableTextColumnHeading"/>
      </w:pPr>
      <w:r w:rsidRPr="00D1482F">
        <w:t xml:space="preserve">Australia’s </w:t>
      </w:r>
      <w:r w:rsidR="007B57C6">
        <w:t>C</w:t>
      </w:r>
      <w:r w:rsidRPr="00D1482F">
        <w:t xml:space="preserve">ontribution </w:t>
      </w:r>
    </w:p>
    <w:p w:rsidR="00C12BEA" w:rsidRPr="00C12BEA" w:rsidRDefault="00117B68" w:rsidP="00C12BEA">
      <w:pPr>
        <w:spacing w:after="120"/>
        <w:jc w:val="both"/>
        <w:rPr>
          <w:rFonts w:asciiTheme="minorHAnsi" w:hAnsiTheme="minorHAnsi" w:cstheme="minorHAnsi"/>
          <w:sz w:val="22"/>
          <w:szCs w:val="22"/>
          <w:lang w:val="en"/>
        </w:rPr>
      </w:pPr>
      <w:r>
        <w:rPr>
          <w:rFonts w:asciiTheme="minorHAnsi" w:hAnsiTheme="minorHAnsi" w:cstheme="minorHAnsi"/>
          <w:sz w:val="22"/>
          <w:szCs w:val="22"/>
          <w:lang w:val="en"/>
        </w:rPr>
        <w:t>The PNG-Australia</w:t>
      </w:r>
      <w:r w:rsidR="00C12BEA" w:rsidRPr="00C12BEA">
        <w:rPr>
          <w:rFonts w:asciiTheme="minorHAnsi" w:hAnsiTheme="minorHAnsi" w:cstheme="minorHAnsi"/>
          <w:sz w:val="22"/>
          <w:szCs w:val="22"/>
          <w:lang w:val="en"/>
        </w:rPr>
        <w:t xml:space="preserve"> Partnership for Development’s law and justice objectives seek to achieve better policing for secure communities, to combat family and sexual violence (FSV), improve access to justice by men and women, and increase PNG capability to deal with corruption. Assistance is provided through separate but complementary programs including: the DFAT PNG-Australia Law and Justice Partnership, the Australian Federal Police (AFP) PNG-Australia Policing Partnership, the</w:t>
      </w:r>
      <w:r w:rsidR="00A35F2E">
        <w:rPr>
          <w:rFonts w:asciiTheme="minorHAnsi" w:hAnsiTheme="minorHAnsi" w:cstheme="minorHAnsi"/>
          <w:sz w:val="22"/>
          <w:szCs w:val="22"/>
          <w:lang w:val="en"/>
        </w:rPr>
        <w:t xml:space="preserve"> Strongim Gavman Program’s</w:t>
      </w:r>
      <w:r w:rsidR="00C12BEA" w:rsidRPr="00C12BEA">
        <w:rPr>
          <w:rFonts w:asciiTheme="minorHAnsi" w:hAnsiTheme="minorHAnsi" w:cstheme="minorHAnsi"/>
          <w:sz w:val="22"/>
          <w:szCs w:val="22"/>
          <w:lang w:val="en"/>
        </w:rPr>
        <w:t xml:space="preserve"> </w:t>
      </w:r>
      <w:r w:rsidR="00A35F2E">
        <w:rPr>
          <w:rFonts w:asciiTheme="minorHAnsi" w:hAnsiTheme="minorHAnsi" w:cstheme="minorHAnsi"/>
          <w:sz w:val="22"/>
          <w:szCs w:val="22"/>
          <w:lang w:val="en"/>
        </w:rPr>
        <w:t>(</w:t>
      </w:r>
      <w:r w:rsidR="00C12BEA" w:rsidRPr="00C12BEA">
        <w:rPr>
          <w:rFonts w:asciiTheme="minorHAnsi" w:hAnsiTheme="minorHAnsi" w:cstheme="minorHAnsi"/>
          <w:sz w:val="22"/>
          <w:szCs w:val="22"/>
          <w:lang w:val="en"/>
        </w:rPr>
        <w:t>SGP</w:t>
      </w:r>
      <w:r w:rsidR="00A35F2E">
        <w:rPr>
          <w:rFonts w:asciiTheme="minorHAnsi" w:hAnsiTheme="minorHAnsi" w:cstheme="minorHAnsi"/>
          <w:sz w:val="22"/>
          <w:szCs w:val="22"/>
          <w:lang w:val="en"/>
        </w:rPr>
        <w:t>)</w:t>
      </w:r>
      <w:r w:rsidR="00C12BEA" w:rsidRPr="00C12BEA">
        <w:rPr>
          <w:rFonts w:asciiTheme="minorHAnsi" w:hAnsiTheme="minorHAnsi" w:cstheme="minorHAnsi"/>
          <w:sz w:val="22"/>
          <w:szCs w:val="22"/>
          <w:lang w:val="en"/>
        </w:rPr>
        <w:t xml:space="preserve"> legal and prosecution advisers, and the Attorney-General’s Department/AUSTRAC Combating Corruption Project. Collectively, Australia contributed $63.6 </w:t>
      </w:r>
      <w:r w:rsidR="00C12BEA" w:rsidRPr="00D0071B">
        <w:rPr>
          <w:rFonts w:asciiTheme="minorHAnsi" w:hAnsiTheme="minorHAnsi" w:cstheme="minorHAnsi"/>
          <w:sz w:val="22"/>
          <w:szCs w:val="22"/>
          <w:lang w:val="en"/>
        </w:rPr>
        <w:t xml:space="preserve">million </w:t>
      </w:r>
      <w:r w:rsidR="00D0071B" w:rsidRPr="00D0071B">
        <w:rPr>
          <w:rFonts w:asciiTheme="minorHAnsi" w:hAnsiTheme="minorHAnsi" w:cstheme="minorHAnsi"/>
          <w:sz w:val="22"/>
          <w:szCs w:val="22"/>
          <w:lang w:val="en"/>
        </w:rPr>
        <w:t>(K148.9</w:t>
      </w:r>
      <w:r w:rsidR="00C12BEA" w:rsidRPr="00D0071B">
        <w:rPr>
          <w:rFonts w:asciiTheme="minorHAnsi" w:hAnsiTheme="minorHAnsi" w:cstheme="minorHAnsi"/>
          <w:sz w:val="22"/>
          <w:szCs w:val="22"/>
          <w:lang w:val="en"/>
        </w:rPr>
        <w:t xml:space="preserve"> million) in</w:t>
      </w:r>
      <w:r w:rsidR="00C12BEA" w:rsidRPr="00C12BEA">
        <w:rPr>
          <w:rFonts w:asciiTheme="minorHAnsi" w:hAnsiTheme="minorHAnsi" w:cstheme="minorHAnsi"/>
          <w:sz w:val="22"/>
          <w:szCs w:val="22"/>
          <w:lang w:val="en"/>
        </w:rPr>
        <w:t xml:space="preserve"> 2013-14. </w:t>
      </w:r>
    </w:p>
    <w:p w:rsidR="00BC46FA" w:rsidRPr="00894779" w:rsidRDefault="00790F32" w:rsidP="00790F32">
      <w:pPr>
        <w:pStyle w:val="ListNumber"/>
        <w:numPr>
          <w:ilvl w:val="0"/>
          <w:numId w:val="0"/>
        </w:numPr>
        <w:tabs>
          <w:tab w:val="clear" w:pos="284"/>
          <w:tab w:val="left" w:pos="426"/>
        </w:tabs>
        <w:spacing w:line="240" w:lineRule="auto"/>
        <w:jc w:val="both"/>
        <w:rPr>
          <w:rFonts w:asciiTheme="minorHAnsi" w:hAnsiTheme="minorHAnsi" w:cstheme="minorHAnsi"/>
          <w:sz w:val="22"/>
          <w:szCs w:val="22"/>
        </w:rPr>
      </w:pPr>
      <w:r w:rsidRPr="00D1482F">
        <w:rPr>
          <w:rFonts w:asciiTheme="minorHAnsi" w:hAnsiTheme="minorHAnsi" w:cstheme="minorHAnsi"/>
          <w:sz w:val="22"/>
          <w:szCs w:val="22"/>
        </w:rPr>
        <w:t xml:space="preserve">Australia substantially </w:t>
      </w:r>
      <w:r w:rsidRPr="00894779">
        <w:rPr>
          <w:rFonts w:asciiTheme="minorHAnsi" w:hAnsiTheme="minorHAnsi" w:cstheme="minorHAnsi"/>
          <w:sz w:val="22"/>
          <w:szCs w:val="22"/>
        </w:rPr>
        <w:t xml:space="preserve">increased its support to the </w:t>
      </w:r>
      <w:r w:rsidRPr="00894779">
        <w:rPr>
          <w:rFonts w:asciiTheme="minorHAnsi" w:hAnsiTheme="minorHAnsi" w:cstheme="minorHAnsi"/>
          <w:b/>
          <w:sz w:val="22"/>
          <w:szCs w:val="22"/>
        </w:rPr>
        <w:t>moderni</w:t>
      </w:r>
      <w:r w:rsidR="00672DBB" w:rsidRPr="00894779">
        <w:rPr>
          <w:rFonts w:asciiTheme="minorHAnsi" w:hAnsiTheme="minorHAnsi" w:cstheme="minorHAnsi"/>
          <w:b/>
          <w:sz w:val="22"/>
          <w:szCs w:val="22"/>
        </w:rPr>
        <w:t>s</w:t>
      </w:r>
      <w:r w:rsidRPr="00894779">
        <w:rPr>
          <w:rFonts w:asciiTheme="minorHAnsi" w:hAnsiTheme="minorHAnsi" w:cstheme="minorHAnsi"/>
          <w:b/>
          <w:sz w:val="22"/>
          <w:szCs w:val="22"/>
        </w:rPr>
        <w:t>ation of the RPNGC</w:t>
      </w:r>
      <w:r w:rsidR="00C12BEA" w:rsidRPr="00894779">
        <w:rPr>
          <w:rFonts w:asciiTheme="minorHAnsi" w:hAnsiTheme="minorHAnsi" w:cstheme="minorHAnsi"/>
          <w:sz w:val="22"/>
          <w:szCs w:val="22"/>
        </w:rPr>
        <w:t xml:space="preserve"> over the past year</w:t>
      </w:r>
      <w:r w:rsidRPr="00894779">
        <w:rPr>
          <w:rFonts w:asciiTheme="minorHAnsi" w:hAnsiTheme="minorHAnsi" w:cstheme="minorHAnsi"/>
          <w:sz w:val="22"/>
          <w:szCs w:val="22"/>
        </w:rPr>
        <w:t xml:space="preserve">.  By the end of 2013, 73 AFP </w:t>
      </w:r>
      <w:r w:rsidR="00DB4B39" w:rsidRPr="00894779">
        <w:rPr>
          <w:rFonts w:asciiTheme="minorHAnsi" w:hAnsiTheme="minorHAnsi" w:cstheme="minorHAnsi"/>
          <w:sz w:val="22"/>
          <w:szCs w:val="22"/>
        </w:rPr>
        <w:t xml:space="preserve">staff </w:t>
      </w:r>
      <w:r w:rsidRPr="00894779">
        <w:rPr>
          <w:rFonts w:asciiTheme="minorHAnsi" w:hAnsiTheme="minorHAnsi" w:cstheme="minorHAnsi"/>
          <w:sz w:val="22"/>
          <w:szCs w:val="22"/>
        </w:rPr>
        <w:t xml:space="preserve">were deployed </w:t>
      </w:r>
      <w:r w:rsidR="00C12BEA" w:rsidRPr="00894779">
        <w:rPr>
          <w:rFonts w:asciiTheme="minorHAnsi" w:hAnsiTheme="minorHAnsi" w:cstheme="minorHAnsi"/>
          <w:sz w:val="22"/>
          <w:szCs w:val="22"/>
        </w:rPr>
        <w:t xml:space="preserve">to PNG </w:t>
      </w:r>
      <w:r w:rsidRPr="00894779">
        <w:rPr>
          <w:rFonts w:asciiTheme="minorHAnsi" w:hAnsiTheme="minorHAnsi" w:cstheme="minorHAnsi"/>
          <w:sz w:val="22"/>
          <w:szCs w:val="22"/>
        </w:rPr>
        <w:t xml:space="preserve">and working closely with counterparts in Port Moresby and Lae. </w:t>
      </w:r>
      <w:r w:rsidR="00BC46FA" w:rsidRPr="00894779">
        <w:rPr>
          <w:rFonts w:asciiTheme="minorHAnsi" w:hAnsiTheme="minorHAnsi" w:cstheme="minorHAnsi"/>
          <w:sz w:val="22"/>
          <w:szCs w:val="22"/>
        </w:rPr>
        <w:t>AFP advisors working with the RPNGC front-counter staff has resulted in improvements in the quality of data recorded at stations. Sustained, these improvements will provide an evidence base to encourage better policing behaviour. Efforts to improve RPNGC patrolling have</w:t>
      </w:r>
      <w:r w:rsidR="00A35F2E">
        <w:rPr>
          <w:rFonts w:asciiTheme="minorHAnsi" w:hAnsiTheme="minorHAnsi" w:cstheme="minorHAnsi"/>
          <w:sz w:val="22"/>
          <w:szCs w:val="22"/>
        </w:rPr>
        <w:t>,</w:t>
      </w:r>
      <w:r w:rsidR="00BC46FA" w:rsidRPr="00894779">
        <w:rPr>
          <w:rFonts w:asciiTheme="minorHAnsi" w:hAnsiTheme="minorHAnsi" w:cstheme="minorHAnsi"/>
          <w:sz w:val="22"/>
          <w:szCs w:val="22"/>
        </w:rPr>
        <w:t xml:space="preserve"> how</w:t>
      </w:r>
      <w:r w:rsidR="00415454" w:rsidRPr="00894779">
        <w:rPr>
          <w:rFonts w:asciiTheme="minorHAnsi" w:hAnsiTheme="minorHAnsi" w:cstheme="minorHAnsi"/>
          <w:sz w:val="22"/>
          <w:szCs w:val="22"/>
        </w:rPr>
        <w:t>ever, been of limited success. This is i</w:t>
      </w:r>
      <w:r w:rsidR="00BC46FA" w:rsidRPr="00894779">
        <w:rPr>
          <w:rFonts w:asciiTheme="minorHAnsi" w:hAnsiTheme="minorHAnsi" w:cstheme="minorHAnsi"/>
          <w:sz w:val="22"/>
          <w:szCs w:val="22"/>
        </w:rPr>
        <w:t>n part due to the limited numbers of RPNGC members available to conduct patrols, and the limited availability of serviceable vehicles. Working with the RPNGC Community Policing team, a program of 10 school visits were conducted in 2014. Feedback from school principals attributed a subsequent reduction in fighting between schools to the RPNGC school visits.  The introduction of a new custody management system in Lae, supported by the AFP, has significantly enhanced bail procedures, reducing the average number of prisoners from 130 to 5</w:t>
      </w:r>
      <w:r w:rsidR="00387793" w:rsidRPr="00894779">
        <w:rPr>
          <w:rFonts w:asciiTheme="minorHAnsi" w:hAnsiTheme="minorHAnsi" w:cstheme="minorHAnsi"/>
          <w:sz w:val="22"/>
          <w:szCs w:val="22"/>
        </w:rPr>
        <w:t>0</w:t>
      </w:r>
      <w:r w:rsidR="00BC46FA" w:rsidRPr="00894779">
        <w:rPr>
          <w:rFonts w:asciiTheme="minorHAnsi" w:hAnsiTheme="minorHAnsi" w:cstheme="minorHAnsi"/>
          <w:sz w:val="22"/>
          <w:szCs w:val="22"/>
        </w:rPr>
        <w:t xml:space="preserve">.  </w:t>
      </w:r>
    </w:p>
    <w:p w:rsidR="00790F32" w:rsidRPr="00894779" w:rsidRDefault="00790F32" w:rsidP="00790F32">
      <w:pPr>
        <w:pStyle w:val="ListNumber"/>
        <w:numPr>
          <w:ilvl w:val="0"/>
          <w:numId w:val="0"/>
        </w:numPr>
        <w:tabs>
          <w:tab w:val="clear" w:pos="284"/>
          <w:tab w:val="left" w:pos="426"/>
        </w:tabs>
        <w:spacing w:line="240" w:lineRule="auto"/>
        <w:jc w:val="both"/>
        <w:rPr>
          <w:rFonts w:asciiTheme="minorHAnsi" w:hAnsiTheme="minorHAnsi" w:cstheme="minorHAnsi"/>
          <w:sz w:val="22"/>
          <w:szCs w:val="22"/>
        </w:rPr>
      </w:pPr>
      <w:r w:rsidRPr="00894779">
        <w:rPr>
          <w:rFonts w:asciiTheme="minorHAnsi" w:hAnsiTheme="minorHAnsi" w:cstheme="minorHAnsi"/>
          <w:sz w:val="22"/>
          <w:szCs w:val="22"/>
        </w:rPr>
        <w:t xml:space="preserve">AFP and other Australian-funded advisors, together with the RPNGC and Bougainville police, delivered training to 1,945 </w:t>
      </w:r>
      <w:r w:rsidR="00BC46FA" w:rsidRPr="00894779">
        <w:rPr>
          <w:rFonts w:asciiTheme="minorHAnsi" w:hAnsiTheme="minorHAnsi" w:cstheme="minorHAnsi"/>
          <w:sz w:val="22"/>
          <w:szCs w:val="22"/>
        </w:rPr>
        <w:t>police</w:t>
      </w:r>
      <w:r w:rsidRPr="00894779">
        <w:rPr>
          <w:rFonts w:asciiTheme="minorHAnsi" w:hAnsiTheme="minorHAnsi" w:cstheme="minorHAnsi"/>
          <w:sz w:val="22"/>
          <w:szCs w:val="22"/>
        </w:rPr>
        <w:t xml:space="preserve">, upgraded PNG police trainers’ capacity and updated training curriculum, including </w:t>
      </w:r>
      <w:r w:rsidR="00BD4216" w:rsidRPr="00894779">
        <w:rPr>
          <w:rFonts w:asciiTheme="minorHAnsi" w:hAnsiTheme="minorHAnsi" w:cstheme="minorHAnsi"/>
          <w:sz w:val="22"/>
          <w:szCs w:val="22"/>
        </w:rPr>
        <w:t xml:space="preserve">developing </w:t>
      </w:r>
      <w:r w:rsidRPr="00894779">
        <w:rPr>
          <w:rFonts w:asciiTheme="minorHAnsi" w:hAnsiTheme="minorHAnsi" w:cstheme="minorHAnsi"/>
          <w:sz w:val="22"/>
          <w:szCs w:val="22"/>
        </w:rPr>
        <w:t xml:space="preserve">family and sexual violence </w:t>
      </w:r>
      <w:r w:rsidR="00BD4216" w:rsidRPr="00894779">
        <w:rPr>
          <w:rFonts w:asciiTheme="minorHAnsi" w:hAnsiTheme="minorHAnsi" w:cstheme="minorHAnsi"/>
          <w:sz w:val="22"/>
          <w:szCs w:val="22"/>
        </w:rPr>
        <w:t xml:space="preserve">and gender training </w:t>
      </w:r>
      <w:r w:rsidRPr="00894779">
        <w:rPr>
          <w:rFonts w:asciiTheme="minorHAnsi" w:hAnsiTheme="minorHAnsi" w:cstheme="minorHAnsi"/>
          <w:sz w:val="22"/>
          <w:szCs w:val="22"/>
        </w:rPr>
        <w:t>modules. Australia helped to increase the number of recruits, and supported seventeen senior police officers (2 women) to graduate from an Australian Institute of Police Management</w:t>
      </w:r>
      <w:r w:rsidR="00BD4216" w:rsidRPr="00894779">
        <w:rPr>
          <w:rFonts w:asciiTheme="minorHAnsi" w:hAnsiTheme="minorHAnsi" w:cstheme="minorHAnsi"/>
          <w:sz w:val="22"/>
          <w:szCs w:val="22"/>
        </w:rPr>
        <w:t>-run</w:t>
      </w:r>
      <w:r w:rsidRPr="00894779">
        <w:rPr>
          <w:rFonts w:asciiTheme="minorHAnsi" w:hAnsiTheme="minorHAnsi" w:cstheme="minorHAnsi"/>
          <w:sz w:val="22"/>
          <w:szCs w:val="22"/>
        </w:rPr>
        <w:t xml:space="preserve"> Senior Leadership Development Program. Eight of the graduates were promoted in early 2014. In addition, Australia supported the RPNGC to update the Constabulary Standing Orders - the first consolidated review of police policy and procedure in over 20 years.  </w:t>
      </w:r>
      <w:r w:rsidR="00AD17C1" w:rsidRPr="00894779">
        <w:rPr>
          <w:rFonts w:asciiTheme="minorHAnsi" w:hAnsiTheme="minorHAnsi" w:cstheme="minorHAnsi"/>
          <w:sz w:val="22"/>
          <w:szCs w:val="22"/>
        </w:rPr>
        <w:t>D</w:t>
      </w:r>
      <w:r w:rsidRPr="00894779">
        <w:rPr>
          <w:rFonts w:asciiTheme="minorHAnsi" w:hAnsiTheme="minorHAnsi" w:cstheme="minorHAnsi"/>
          <w:sz w:val="22"/>
          <w:szCs w:val="22"/>
        </w:rPr>
        <w:t>espite these achievements, community trust and confidence in the police remains low</w:t>
      </w:r>
      <w:r w:rsidR="00AD17C1" w:rsidRPr="00894779">
        <w:rPr>
          <w:rFonts w:asciiTheme="minorHAnsi" w:hAnsiTheme="minorHAnsi" w:cstheme="minorHAnsi"/>
          <w:sz w:val="22"/>
          <w:szCs w:val="22"/>
        </w:rPr>
        <w:t xml:space="preserve"> and will require continuous, constant and community-orientated efforts to reverse</w:t>
      </w:r>
      <w:r w:rsidR="00415454" w:rsidRPr="00894779">
        <w:rPr>
          <w:rFonts w:asciiTheme="minorHAnsi" w:hAnsiTheme="minorHAnsi" w:cstheme="minorHAnsi"/>
          <w:sz w:val="22"/>
          <w:szCs w:val="22"/>
        </w:rPr>
        <w:t xml:space="preserve"> this</w:t>
      </w:r>
      <w:r w:rsidRPr="00894779">
        <w:rPr>
          <w:rFonts w:asciiTheme="minorHAnsi" w:hAnsiTheme="minorHAnsi" w:cstheme="minorHAnsi"/>
          <w:sz w:val="22"/>
          <w:szCs w:val="22"/>
        </w:rPr>
        <w:t>.</w:t>
      </w:r>
      <w:r w:rsidR="00BC46FA" w:rsidRPr="00894779">
        <w:rPr>
          <w:rFonts w:asciiTheme="minorHAnsi" w:hAnsiTheme="minorHAnsi" w:cstheme="minorHAnsi"/>
          <w:sz w:val="22"/>
          <w:szCs w:val="22"/>
        </w:rPr>
        <w:t xml:space="preserve"> Australia will support the conduct of further community surveys </w:t>
      </w:r>
      <w:r w:rsidR="00BC46FA" w:rsidRPr="00894779">
        <w:rPr>
          <w:rFonts w:asciiTheme="minorHAnsi" w:hAnsiTheme="minorHAnsi" w:cstheme="minorHAnsi"/>
          <w:sz w:val="22"/>
          <w:szCs w:val="22"/>
        </w:rPr>
        <w:lastRenderedPageBreak/>
        <w:t xml:space="preserve">and police station visits in November 2014 to gather evidence of how overall community perceptions of the RPNGC are changing. </w:t>
      </w:r>
    </w:p>
    <w:p w:rsidR="00DB71C3" w:rsidRPr="00894779" w:rsidRDefault="00790F32" w:rsidP="00790F32">
      <w:pPr>
        <w:pStyle w:val="ListNumber"/>
        <w:numPr>
          <w:ilvl w:val="0"/>
          <w:numId w:val="0"/>
        </w:numPr>
        <w:tabs>
          <w:tab w:val="clear" w:pos="284"/>
          <w:tab w:val="left" w:pos="426"/>
        </w:tabs>
        <w:spacing w:line="240" w:lineRule="auto"/>
        <w:jc w:val="both"/>
        <w:rPr>
          <w:rFonts w:asciiTheme="minorHAnsi" w:hAnsiTheme="minorHAnsi" w:cstheme="minorHAnsi"/>
          <w:sz w:val="22"/>
          <w:szCs w:val="22"/>
        </w:rPr>
      </w:pPr>
      <w:r w:rsidRPr="00894779">
        <w:rPr>
          <w:rFonts w:asciiTheme="minorHAnsi" w:hAnsiTheme="minorHAnsi" w:cstheme="minorHAnsi"/>
          <w:sz w:val="22"/>
          <w:szCs w:val="22"/>
        </w:rPr>
        <w:t xml:space="preserve">Increasing the numbers of, and access to, specialist police Family and Sexual Violence Units (FSVUs) and </w:t>
      </w:r>
      <w:r w:rsidRPr="00894779">
        <w:rPr>
          <w:rFonts w:asciiTheme="minorHAnsi" w:hAnsiTheme="minorHAnsi" w:cstheme="minorHAnsi"/>
          <w:b/>
          <w:sz w:val="22"/>
          <w:szCs w:val="22"/>
        </w:rPr>
        <w:t xml:space="preserve">protection from </w:t>
      </w:r>
      <w:r w:rsidR="00AD17C1" w:rsidRPr="00894779">
        <w:rPr>
          <w:rFonts w:asciiTheme="minorHAnsi" w:hAnsiTheme="minorHAnsi" w:cstheme="minorHAnsi"/>
          <w:b/>
          <w:sz w:val="22"/>
          <w:szCs w:val="22"/>
        </w:rPr>
        <w:t xml:space="preserve">family and sexual </w:t>
      </w:r>
      <w:r w:rsidRPr="00894779">
        <w:rPr>
          <w:rFonts w:asciiTheme="minorHAnsi" w:hAnsiTheme="minorHAnsi" w:cstheme="minorHAnsi"/>
          <w:b/>
          <w:sz w:val="22"/>
          <w:szCs w:val="22"/>
        </w:rPr>
        <w:t>violence</w:t>
      </w:r>
      <w:r w:rsidRPr="00894779">
        <w:rPr>
          <w:rFonts w:asciiTheme="minorHAnsi" w:hAnsiTheme="minorHAnsi" w:cstheme="minorHAnsi"/>
          <w:sz w:val="22"/>
          <w:szCs w:val="22"/>
        </w:rPr>
        <w:t xml:space="preserve"> remained a priority.  </w:t>
      </w:r>
      <w:r w:rsidR="00DB71C3" w:rsidRPr="00894779">
        <w:rPr>
          <w:rFonts w:asciiTheme="minorHAnsi" w:hAnsiTheme="minorHAnsi" w:cstheme="minorHAnsi"/>
          <w:sz w:val="22"/>
          <w:szCs w:val="22"/>
        </w:rPr>
        <w:t>FSV is deep-seated and the cultural change to shift perceptions will require a sustained commitment by authorities and communities in PNG.</w:t>
      </w:r>
    </w:p>
    <w:p w:rsidR="00790F32" w:rsidRPr="00894779" w:rsidRDefault="00790F32" w:rsidP="00790F32">
      <w:pPr>
        <w:pStyle w:val="ListNumber"/>
        <w:numPr>
          <w:ilvl w:val="0"/>
          <w:numId w:val="0"/>
        </w:numPr>
        <w:tabs>
          <w:tab w:val="clear" w:pos="284"/>
          <w:tab w:val="left" w:pos="426"/>
        </w:tabs>
        <w:spacing w:line="240" w:lineRule="auto"/>
        <w:jc w:val="both"/>
        <w:rPr>
          <w:rFonts w:asciiTheme="minorHAnsi" w:eastAsia="SimSun" w:hAnsiTheme="minorHAnsi" w:cstheme="minorHAnsi"/>
          <w:sz w:val="22"/>
          <w:szCs w:val="22"/>
          <w:lang w:val="en"/>
        </w:rPr>
      </w:pPr>
      <w:r w:rsidRPr="00894779">
        <w:rPr>
          <w:rFonts w:asciiTheme="minorHAnsi" w:hAnsiTheme="minorHAnsi" w:cstheme="minorHAnsi"/>
          <w:sz w:val="22"/>
          <w:szCs w:val="22"/>
        </w:rPr>
        <w:t>In 2013, 9,248 women survivors of violence accessed services from FSVUs, an increase from 8,988 in 2012</w:t>
      </w:r>
      <w:r w:rsidR="00415454" w:rsidRPr="00894779">
        <w:rPr>
          <w:rFonts w:asciiTheme="minorHAnsi" w:hAnsiTheme="minorHAnsi" w:cstheme="minorHAnsi"/>
          <w:sz w:val="22"/>
          <w:szCs w:val="22"/>
        </w:rPr>
        <w:t>.  By</w:t>
      </w:r>
      <w:r w:rsidRPr="00894779">
        <w:rPr>
          <w:rFonts w:asciiTheme="minorHAnsi" w:hAnsiTheme="minorHAnsi" w:cstheme="minorHAnsi"/>
          <w:sz w:val="22"/>
          <w:szCs w:val="22"/>
        </w:rPr>
        <w:t xml:space="preserve"> the end of June 2014, an additional five FSVUs were opened, bringing the total to 14 FSVUs in 12 provinces. The number of completed Interim Protection Orders granted by magistrates also increased from 49.3 per cent in</w:t>
      </w:r>
      <w:r w:rsidR="00D937EA" w:rsidRPr="00894779">
        <w:rPr>
          <w:rFonts w:asciiTheme="minorHAnsi" w:hAnsiTheme="minorHAnsi" w:cstheme="minorHAnsi"/>
          <w:sz w:val="22"/>
          <w:szCs w:val="22"/>
        </w:rPr>
        <w:t xml:space="preserve"> 2012 to 67.7 per cent in 2013</w:t>
      </w:r>
      <w:r w:rsidR="00A35F2E">
        <w:rPr>
          <w:rFonts w:asciiTheme="minorHAnsi" w:hAnsiTheme="minorHAnsi" w:cstheme="minorHAnsi"/>
          <w:sz w:val="22"/>
          <w:szCs w:val="22"/>
        </w:rPr>
        <w:t>,</w:t>
      </w:r>
      <w:r w:rsidR="00D937EA" w:rsidRPr="00894779">
        <w:rPr>
          <w:rFonts w:asciiTheme="minorHAnsi" w:hAnsiTheme="minorHAnsi" w:cstheme="minorHAnsi"/>
          <w:sz w:val="22"/>
          <w:szCs w:val="22"/>
        </w:rPr>
        <w:t xml:space="preserve"> and ongoing support was provided to FSV prosecutions through advisory support to the Office of the Public Prosecutor. </w:t>
      </w:r>
      <w:r w:rsidRPr="00894779">
        <w:rPr>
          <w:rFonts w:asciiTheme="minorHAnsi" w:hAnsiTheme="minorHAnsi" w:cstheme="minorHAnsi"/>
          <w:sz w:val="22"/>
          <w:szCs w:val="22"/>
        </w:rPr>
        <w:t xml:space="preserve">During </w:t>
      </w:r>
      <w:r w:rsidR="00415454" w:rsidRPr="00894779">
        <w:rPr>
          <w:rFonts w:asciiTheme="minorHAnsi" w:hAnsiTheme="minorHAnsi" w:cstheme="minorHAnsi"/>
          <w:sz w:val="22"/>
          <w:szCs w:val="22"/>
        </w:rPr>
        <w:t>this</w:t>
      </w:r>
      <w:r w:rsidRPr="00894779">
        <w:rPr>
          <w:rFonts w:asciiTheme="minorHAnsi" w:hAnsiTheme="minorHAnsi" w:cstheme="minorHAnsi"/>
          <w:sz w:val="22"/>
          <w:szCs w:val="22"/>
        </w:rPr>
        <w:t xml:space="preserve"> period, major legal reforms, supported by Australia, established domestic violence as a stand-alone offence. Reforms also provided village cour</w:t>
      </w:r>
      <w:r w:rsidR="005503AC" w:rsidRPr="00894779">
        <w:rPr>
          <w:rFonts w:asciiTheme="minorHAnsi" w:hAnsiTheme="minorHAnsi" w:cstheme="minorHAnsi"/>
          <w:sz w:val="22"/>
          <w:szCs w:val="22"/>
        </w:rPr>
        <w:t>ts with the authority to issue Interim Protection O</w:t>
      </w:r>
      <w:r w:rsidRPr="00894779">
        <w:rPr>
          <w:rFonts w:asciiTheme="minorHAnsi" w:hAnsiTheme="minorHAnsi" w:cstheme="minorHAnsi"/>
          <w:sz w:val="22"/>
          <w:szCs w:val="22"/>
        </w:rPr>
        <w:t xml:space="preserve">rders, making access far easier for the majority of Papua New Guineans. </w:t>
      </w:r>
    </w:p>
    <w:p w:rsidR="00790F32" w:rsidRPr="00894779" w:rsidRDefault="00790F32" w:rsidP="00790F32">
      <w:pPr>
        <w:pStyle w:val="ListNumber"/>
        <w:numPr>
          <w:ilvl w:val="0"/>
          <w:numId w:val="0"/>
        </w:numPr>
        <w:tabs>
          <w:tab w:val="clear" w:pos="284"/>
        </w:tabs>
        <w:spacing w:line="240" w:lineRule="auto"/>
        <w:jc w:val="both"/>
        <w:rPr>
          <w:rFonts w:asciiTheme="minorHAnsi" w:eastAsia="SimSun" w:hAnsiTheme="minorHAnsi" w:cstheme="minorHAnsi"/>
          <w:sz w:val="22"/>
          <w:szCs w:val="22"/>
          <w:lang w:val="en"/>
        </w:rPr>
      </w:pPr>
      <w:r w:rsidRPr="00894779">
        <w:rPr>
          <w:rFonts w:asciiTheme="minorHAnsi" w:eastAsia="SimSun" w:hAnsiTheme="minorHAnsi" w:cstheme="minorHAnsi"/>
          <w:sz w:val="22"/>
          <w:szCs w:val="22"/>
          <w:lang w:val="en"/>
        </w:rPr>
        <w:t xml:space="preserve">Supporting </w:t>
      </w:r>
      <w:r w:rsidRPr="00894779">
        <w:rPr>
          <w:rFonts w:asciiTheme="minorHAnsi" w:eastAsia="SimSun" w:hAnsiTheme="minorHAnsi" w:cstheme="minorHAnsi"/>
          <w:b/>
          <w:sz w:val="22"/>
          <w:szCs w:val="22"/>
          <w:lang w:val="en"/>
        </w:rPr>
        <w:t xml:space="preserve">improved access to justice </w:t>
      </w:r>
      <w:r w:rsidRPr="00894779">
        <w:rPr>
          <w:rFonts w:asciiTheme="minorHAnsi" w:eastAsia="SimSun" w:hAnsiTheme="minorHAnsi" w:cstheme="minorHAnsi"/>
          <w:sz w:val="22"/>
          <w:szCs w:val="22"/>
          <w:lang w:val="en"/>
        </w:rPr>
        <w:t xml:space="preserve">for women and </w:t>
      </w:r>
      <w:r w:rsidR="00DB71C3" w:rsidRPr="00894779">
        <w:rPr>
          <w:rFonts w:asciiTheme="minorHAnsi" w:eastAsia="SimSun" w:hAnsiTheme="minorHAnsi" w:cstheme="minorHAnsi"/>
          <w:sz w:val="22"/>
          <w:szCs w:val="22"/>
          <w:lang w:val="en"/>
        </w:rPr>
        <w:t xml:space="preserve">men as an outcome under the </w:t>
      </w:r>
      <w:r w:rsidR="008769F8" w:rsidRPr="00894779">
        <w:rPr>
          <w:rFonts w:asciiTheme="minorHAnsi" w:eastAsia="SimSun" w:hAnsiTheme="minorHAnsi" w:cstheme="minorHAnsi"/>
          <w:sz w:val="22"/>
          <w:szCs w:val="22"/>
          <w:lang w:val="en"/>
        </w:rPr>
        <w:t>PNG-</w:t>
      </w:r>
      <w:r w:rsidRPr="00894779">
        <w:rPr>
          <w:rFonts w:asciiTheme="minorHAnsi" w:eastAsia="SimSun" w:hAnsiTheme="minorHAnsi" w:cstheme="minorHAnsi"/>
          <w:sz w:val="22"/>
          <w:szCs w:val="22"/>
          <w:lang w:val="en"/>
        </w:rPr>
        <w:t xml:space="preserve">Australia Partnership for Development </w:t>
      </w:r>
      <w:r w:rsidRPr="00894779">
        <w:rPr>
          <w:rFonts w:asciiTheme="minorHAnsi" w:hAnsiTheme="minorHAnsi" w:cstheme="minorHAnsi"/>
          <w:sz w:val="22"/>
          <w:szCs w:val="22"/>
        </w:rPr>
        <w:t xml:space="preserve">recognises the vital role </w:t>
      </w:r>
      <w:r w:rsidRPr="00894779">
        <w:rPr>
          <w:rFonts w:asciiTheme="minorHAnsi" w:hAnsiTheme="minorHAnsi" w:cstheme="minorHAnsi"/>
          <w:b/>
          <w:sz w:val="22"/>
          <w:szCs w:val="22"/>
        </w:rPr>
        <w:t>village courts</w:t>
      </w:r>
      <w:r w:rsidRPr="00894779">
        <w:rPr>
          <w:rFonts w:asciiTheme="minorHAnsi" w:hAnsiTheme="minorHAnsi" w:cstheme="minorHAnsi"/>
          <w:sz w:val="22"/>
          <w:szCs w:val="22"/>
        </w:rPr>
        <w:t xml:space="preserve"> play in providing security and justice across PNG. Australia continued to support a network of 1,652 village courts, and further increases in the number of female village court officials.  By the end of 2013, </w:t>
      </w:r>
      <w:r w:rsidR="00DB71C3" w:rsidRPr="00894779">
        <w:rPr>
          <w:rFonts w:asciiTheme="minorHAnsi" w:hAnsiTheme="minorHAnsi" w:cstheme="minorHAnsi"/>
          <w:sz w:val="22"/>
          <w:szCs w:val="22"/>
        </w:rPr>
        <w:t>an estimated</w:t>
      </w:r>
      <w:r w:rsidRPr="00894779">
        <w:rPr>
          <w:rFonts w:asciiTheme="minorHAnsi" w:hAnsiTheme="minorHAnsi" w:cstheme="minorHAnsi"/>
          <w:sz w:val="22"/>
          <w:szCs w:val="22"/>
        </w:rPr>
        <w:t xml:space="preserve"> 900 female magistrates had been </w:t>
      </w:r>
      <w:r w:rsidR="00AD17C1" w:rsidRPr="00894779">
        <w:rPr>
          <w:rFonts w:asciiTheme="minorHAnsi" w:hAnsiTheme="minorHAnsi" w:cstheme="minorHAnsi"/>
          <w:sz w:val="22"/>
          <w:szCs w:val="22"/>
        </w:rPr>
        <w:t>appointed</w:t>
      </w:r>
      <w:r w:rsidRPr="00894779">
        <w:rPr>
          <w:rFonts w:asciiTheme="minorHAnsi" w:hAnsiTheme="minorHAnsi" w:cstheme="minorHAnsi"/>
          <w:sz w:val="22"/>
          <w:szCs w:val="22"/>
        </w:rPr>
        <w:t xml:space="preserve">, up from only 10 female magistrates in 2004. In 2014, the PNG Government substantially increased allowances to village court officials. </w:t>
      </w:r>
      <w:r w:rsidR="00DB71C3" w:rsidRPr="00894779">
        <w:rPr>
          <w:rFonts w:asciiTheme="minorHAnsi" w:hAnsiTheme="minorHAnsi" w:cstheme="minorHAnsi"/>
          <w:sz w:val="22"/>
          <w:szCs w:val="22"/>
        </w:rPr>
        <w:t xml:space="preserve">An </w:t>
      </w:r>
      <w:r w:rsidRPr="00894779">
        <w:rPr>
          <w:rFonts w:asciiTheme="minorHAnsi" w:hAnsiTheme="minorHAnsi" w:cstheme="minorHAnsi"/>
          <w:sz w:val="22"/>
          <w:szCs w:val="22"/>
        </w:rPr>
        <w:t xml:space="preserve">Australian-funded competency-based training curriculum for village courts officials and </w:t>
      </w:r>
      <w:r w:rsidR="00AD17C1" w:rsidRPr="00894779">
        <w:rPr>
          <w:rFonts w:asciiTheme="minorHAnsi" w:hAnsiTheme="minorHAnsi" w:cstheme="minorHAnsi"/>
          <w:sz w:val="22"/>
          <w:szCs w:val="22"/>
        </w:rPr>
        <w:t xml:space="preserve">another for </w:t>
      </w:r>
      <w:r w:rsidRPr="00894779">
        <w:rPr>
          <w:rFonts w:asciiTheme="minorHAnsi" w:hAnsiTheme="minorHAnsi" w:cstheme="minorHAnsi"/>
          <w:sz w:val="22"/>
          <w:szCs w:val="22"/>
        </w:rPr>
        <w:t xml:space="preserve">land mediators </w:t>
      </w:r>
      <w:r w:rsidR="00AD17C1" w:rsidRPr="00894779">
        <w:rPr>
          <w:rFonts w:asciiTheme="minorHAnsi" w:hAnsiTheme="minorHAnsi" w:cstheme="minorHAnsi"/>
          <w:sz w:val="22"/>
          <w:szCs w:val="22"/>
        </w:rPr>
        <w:t xml:space="preserve">are </w:t>
      </w:r>
      <w:r w:rsidRPr="00894779">
        <w:rPr>
          <w:rFonts w:asciiTheme="minorHAnsi" w:hAnsiTheme="minorHAnsi" w:cstheme="minorHAnsi"/>
          <w:sz w:val="22"/>
          <w:szCs w:val="22"/>
        </w:rPr>
        <w:t xml:space="preserve">nearing completion and will help to improve the quality of </w:t>
      </w:r>
      <w:r w:rsidR="00AD17C1" w:rsidRPr="00894779">
        <w:rPr>
          <w:rFonts w:asciiTheme="minorHAnsi" w:hAnsiTheme="minorHAnsi" w:cstheme="minorHAnsi"/>
          <w:sz w:val="22"/>
          <w:szCs w:val="22"/>
        </w:rPr>
        <w:t>local dispute resolution</w:t>
      </w:r>
      <w:r w:rsidRPr="00894779">
        <w:rPr>
          <w:rFonts w:asciiTheme="minorHAnsi" w:hAnsiTheme="minorHAnsi" w:cstheme="minorHAnsi"/>
          <w:sz w:val="22"/>
          <w:szCs w:val="22"/>
        </w:rPr>
        <w:t xml:space="preserve">. Australia’s </w:t>
      </w:r>
      <w:r w:rsidR="00AD17C1" w:rsidRPr="00894779">
        <w:rPr>
          <w:rFonts w:asciiTheme="minorHAnsi" w:hAnsiTheme="minorHAnsi" w:cstheme="minorHAnsi"/>
          <w:sz w:val="22"/>
          <w:szCs w:val="22"/>
        </w:rPr>
        <w:t xml:space="preserve">infrastructure investments have increased access to justice by the provision of courts and allowing permanent legal and judicial presence.  For example, </w:t>
      </w:r>
      <w:r w:rsidRPr="00894779">
        <w:rPr>
          <w:rFonts w:asciiTheme="minorHAnsi" w:hAnsiTheme="minorHAnsi" w:cstheme="minorHAnsi"/>
          <w:sz w:val="22"/>
          <w:szCs w:val="22"/>
        </w:rPr>
        <w:t>support to the Public Solicitor</w:t>
      </w:r>
      <w:r w:rsidR="00AD17C1" w:rsidRPr="00894779">
        <w:rPr>
          <w:rFonts w:asciiTheme="minorHAnsi" w:hAnsiTheme="minorHAnsi" w:cstheme="minorHAnsi"/>
          <w:sz w:val="22"/>
          <w:szCs w:val="22"/>
        </w:rPr>
        <w:t>’s Office</w:t>
      </w:r>
      <w:r w:rsidRPr="00894779">
        <w:rPr>
          <w:rFonts w:asciiTheme="minorHAnsi" w:hAnsiTheme="minorHAnsi" w:cstheme="minorHAnsi"/>
          <w:sz w:val="22"/>
          <w:szCs w:val="22"/>
        </w:rPr>
        <w:t xml:space="preserve"> (PS</w:t>
      </w:r>
      <w:r w:rsidR="00AD17C1" w:rsidRPr="00894779">
        <w:rPr>
          <w:rFonts w:asciiTheme="minorHAnsi" w:hAnsiTheme="minorHAnsi" w:cstheme="minorHAnsi"/>
          <w:sz w:val="22"/>
          <w:szCs w:val="22"/>
        </w:rPr>
        <w:t>O</w:t>
      </w:r>
      <w:r w:rsidRPr="00894779">
        <w:rPr>
          <w:rFonts w:asciiTheme="minorHAnsi" w:hAnsiTheme="minorHAnsi" w:cstheme="minorHAnsi"/>
          <w:sz w:val="22"/>
          <w:szCs w:val="22"/>
        </w:rPr>
        <w:t xml:space="preserve">) </w:t>
      </w:r>
      <w:r w:rsidRPr="00894779">
        <w:rPr>
          <w:rFonts w:asciiTheme="minorHAnsi" w:hAnsiTheme="minorHAnsi" w:cstheme="minorHAnsi"/>
          <w:b/>
          <w:sz w:val="22"/>
          <w:szCs w:val="22"/>
        </w:rPr>
        <w:t>increased access to legal aid</w:t>
      </w:r>
      <w:r w:rsidRPr="00894779">
        <w:rPr>
          <w:rFonts w:asciiTheme="minorHAnsi" w:hAnsiTheme="minorHAnsi" w:cstheme="minorHAnsi"/>
          <w:sz w:val="22"/>
          <w:szCs w:val="22"/>
        </w:rPr>
        <w:t xml:space="preserve"> across the country by expanding the numbers of branch offices and legal aid desks to 19. The PS</w:t>
      </w:r>
      <w:r w:rsidR="00AD17C1" w:rsidRPr="00894779">
        <w:rPr>
          <w:rFonts w:asciiTheme="minorHAnsi" w:hAnsiTheme="minorHAnsi" w:cstheme="minorHAnsi"/>
          <w:sz w:val="22"/>
          <w:szCs w:val="22"/>
        </w:rPr>
        <w:t>O</w:t>
      </w:r>
      <w:r w:rsidRPr="00894779">
        <w:rPr>
          <w:rFonts w:asciiTheme="minorHAnsi" w:hAnsiTheme="minorHAnsi" w:cstheme="minorHAnsi"/>
          <w:sz w:val="22"/>
          <w:szCs w:val="22"/>
        </w:rPr>
        <w:t xml:space="preserve"> also created a new section </w:t>
      </w:r>
      <w:r w:rsidR="00AD17C1" w:rsidRPr="00894779">
        <w:rPr>
          <w:rFonts w:asciiTheme="minorHAnsi" w:hAnsiTheme="minorHAnsi" w:cstheme="minorHAnsi"/>
          <w:sz w:val="22"/>
          <w:szCs w:val="22"/>
        </w:rPr>
        <w:t xml:space="preserve">in 2013 </w:t>
      </w:r>
      <w:r w:rsidRPr="00894779">
        <w:rPr>
          <w:rFonts w:asciiTheme="minorHAnsi" w:hAnsiTheme="minorHAnsi" w:cstheme="minorHAnsi"/>
          <w:sz w:val="22"/>
          <w:szCs w:val="22"/>
        </w:rPr>
        <w:t xml:space="preserve">to specifically address the needs of victims of domestic violence, sexual violence and persons with HIV/AIDS. </w:t>
      </w:r>
      <w:r w:rsidRPr="00894779">
        <w:rPr>
          <w:rFonts w:asciiTheme="minorHAnsi" w:eastAsia="SimSun" w:hAnsiTheme="minorHAnsi" w:cstheme="minorHAnsi"/>
          <w:sz w:val="22"/>
          <w:szCs w:val="22"/>
          <w:lang w:val="en"/>
        </w:rPr>
        <w:t xml:space="preserve">Despite these achievements, poor coordination within the sector </w:t>
      </w:r>
      <w:r w:rsidR="00AD17C1" w:rsidRPr="00894779">
        <w:rPr>
          <w:rFonts w:asciiTheme="minorHAnsi" w:eastAsia="SimSun" w:hAnsiTheme="minorHAnsi" w:cstheme="minorHAnsi"/>
          <w:sz w:val="22"/>
          <w:szCs w:val="22"/>
          <w:lang w:val="en"/>
        </w:rPr>
        <w:t xml:space="preserve">still hampers </w:t>
      </w:r>
      <w:r w:rsidRPr="00894779">
        <w:rPr>
          <w:rFonts w:asciiTheme="minorHAnsi" w:eastAsia="SimSun" w:hAnsiTheme="minorHAnsi" w:cstheme="minorHAnsi"/>
          <w:sz w:val="22"/>
          <w:szCs w:val="22"/>
          <w:lang w:val="en"/>
        </w:rPr>
        <w:t xml:space="preserve">the </w:t>
      </w:r>
      <w:r w:rsidR="00AD17C1" w:rsidRPr="00894779">
        <w:rPr>
          <w:rFonts w:asciiTheme="minorHAnsi" w:eastAsia="SimSun" w:hAnsiTheme="minorHAnsi" w:cstheme="minorHAnsi"/>
          <w:sz w:val="22"/>
          <w:szCs w:val="22"/>
          <w:lang w:val="en"/>
        </w:rPr>
        <w:t xml:space="preserve">effective </w:t>
      </w:r>
      <w:r w:rsidRPr="00894779">
        <w:rPr>
          <w:rFonts w:asciiTheme="minorHAnsi" w:eastAsia="SimSun" w:hAnsiTheme="minorHAnsi" w:cstheme="minorHAnsi"/>
          <w:sz w:val="22"/>
          <w:szCs w:val="22"/>
          <w:lang w:val="en"/>
        </w:rPr>
        <w:t xml:space="preserve">delivery of justice services. Access to the district and higher courts remains limited by distance, cost and </w:t>
      </w:r>
      <w:r w:rsidR="00AD17C1" w:rsidRPr="00894779">
        <w:rPr>
          <w:rFonts w:asciiTheme="minorHAnsi" w:eastAsia="SimSun" w:hAnsiTheme="minorHAnsi" w:cstheme="minorHAnsi"/>
          <w:sz w:val="22"/>
          <w:szCs w:val="22"/>
          <w:lang w:val="en"/>
        </w:rPr>
        <w:t>lack of awareness of legal rights</w:t>
      </w:r>
      <w:r w:rsidRPr="00894779">
        <w:rPr>
          <w:rFonts w:asciiTheme="minorHAnsi" w:eastAsia="SimSun" w:hAnsiTheme="minorHAnsi" w:cstheme="minorHAnsi"/>
          <w:sz w:val="22"/>
          <w:szCs w:val="22"/>
          <w:lang w:val="en"/>
        </w:rPr>
        <w:t>.</w:t>
      </w:r>
    </w:p>
    <w:p w:rsidR="00790F32" w:rsidRPr="00894779" w:rsidRDefault="00790F32" w:rsidP="00790F32">
      <w:pPr>
        <w:pStyle w:val="ListNumber"/>
        <w:numPr>
          <w:ilvl w:val="0"/>
          <w:numId w:val="0"/>
        </w:numPr>
        <w:tabs>
          <w:tab w:val="clear" w:pos="284"/>
        </w:tabs>
        <w:spacing w:line="240" w:lineRule="auto"/>
        <w:jc w:val="both"/>
        <w:rPr>
          <w:rFonts w:asciiTheme="minorHAnsi" w:hAnsiTheme="minorHAnsi" w:cstheme="minorHAnsi"/>
          <w:sz w:val="22"/>
          <w:szCs w:val="22"/>
        </w:rPr>
      </w:pPr>
      <w:r w:rsidRPr="00894779">
        <w:rPr>
          <w:rFonts w:asciiTheme="minorHAnsi" w:eastAsia="SimSun" w:hAnsiTheme="minorHAnsi" w:cstheme="minorHAnsi"/>
          <w:sz w:val="22"/>
          <w:szCs w:val="22"/>
          <w:lang w:val="en"/>
        </w:rPr>
        <w:t xml:space="preserve">During this period, Australia also continued to support PNG-led efforts to </w:t>
      </w:r>
      <w:r w:rsidRPr="00894779">
        <w:rPr>
          <w:rFonts w:asciiTheme="minorHAnsi" w:eastAsia="SimSun" w:hAnsiTheme="minorHAnsi" w:cstheme="minorHAnsi"/>
          <w:b/>
          <w:sz w:val="22"/>
          <w:szCs w:val="22"/>
          <w:lang w:val="en"/>
        </w:rPr>
        <w:t>combat corruption</w:t>
      </w:r>
      <w:r w:rsidRPr="00894779">
        <w:rPr>
          <w:rFonts w:asciiTheme="minorHAnsi" w:eastAsia="SimSun" w:hAnsiTheme="minorHAnsi" w:cstheme="minorHAnsi"/>
          <w:sz w:val="22"/>
          <w:szCs w:val="22"/>
          <w:lang w:val="en"/>
        </w:rPr>
        <w:t>, including its investigation and prosecution capacities</w:t>
      </w:r>
      <w:r w:rsidRPr="00894779">
        <w:rPr>
          <w:rFonts w:asciiTheme="minorHAnsi" w:hAnsiTheme="minorHAnsi" w:cstheme="minorHAnsi"/>
          <w:sz w:val="22"/>
          <w:szCs w:val="22"/>
        </w:rPr>
        <w:t>. This work was ass</w:t>
      </w:r>
      <w:r w:rsidR="00D937EA" w:rsidRPr="00894779">
        <w:rPr>
          <w:rFonts w:asciiTheme="minorHAnsi" w:hAnsiTheme="minorHAnsi" w:cstheme="minorHAnsi"/>
          <w:sz w:val="22"/>
          <w:szCs w:val="22"/>
        </w:rPr>
        <w:t>isted through the placement of</w:t>
      </w:r>
      <w:r w:rsidRPr="00894779">
        <w:rPr>
          <w:rFonts w:asciiTheme="minorHAnsi" w:hAnsiTheme="minorHAnsi" w:cstheme="minorHAnsi"/>
          <w:sz w:val="22"/>
          <w:szCs w:val="22"/>
        </w:rPr>
        <w:t xml:space="preserve"> </w:t>
      </w:r>
      <w:r w:rsidR="00D937EA" w:rsidRPr="00894779">
        <w:rPr>
          <w:rFonts w:asciiTheme="minorHAnsi" w:hAnsiTheme="minorHAnsi" w:cstheme="minorHAnsi"/>
          <w:sz w:val="22"/>
          <w:szCs w:val="22"/>
        </w:rPr>
        <w:t xml:space="preserve">advisors </w:t>
      </w:r>
      <w:r w:rsidRPr="00894779">
        <w:rPr>
          <w:rFonts w:asciiTheme="minorHAnsi" w:hAnsiTheme="minorHAnsi" w:cstheme="minorHAnsi"/>
          <w:sz w:val="22"/>
          <w:szCs w:val="22"/>
        </w:rPr>
        <w:t>from Australia’s Attorney General</w:t>
      </w:r>
      <w:r w:rsidR="00703589" w:rsidRPr="00894779">
        <w:rPr>
          <w:rFonts w:asciiTheme="minorHAnsi" w:hAnsiTheme="minorHAnsi" w:cstheme="minorHAnsi"/>
          <w:sz w:val="22"/>
          <w:szCs w:val="22"/>
        </w:rPr>
        <w:t>’</w:t>
      </w:r>
      <w:r w:rsidRPr="00894779">
        <w:rPr>
          <w:rFonts w:asciiTheme="minorHAnsi" w:hAnsiTheme="minorHAnsi" w:cstheme="minorHAnsi"/>
          <w:sz w:val="22"/>
          <w:szCs w:val="22"/>
        </w:rPr>
        <w:t xml:space="preserve">s Department (AGD) </w:t>
      </w:r>
      <w:r w:rsidR="00D937EA" w:rsidRPr="00894779">
        <w:rPr>
          <w:rFonts w:asciiTheme="minorHAnsi" w:hAnsiTheme="minorHAnsi" w:cstheme="minorHAnsi"/>
          <w:sz w:val="22"/>
          <w:szCs w:val="22"/>
        </w:rPr>
        <w:t xml:space="preserve">in the Office of the Public Prosecutor </w:t>
      </w:r>
      <w:r w:rsidRPr="00894779">
        <w:rPr>
          <w:rFonts w:asciiTheme="minorHAnsi" w:hAnsiTheme="minorHAnsi" w:cstheme="minorHAnsi"/>
          <w:sz w:val="22"/>
          <w:szCs w:val="22"/>
        </w:rPr>
        <w:t xml:space="preserve">and AFP advisory support to the Fraud Squad. Improved processes and legal practices introduced into the Office of Solicitor General also helped ensure that no default judgments were entered against the state </w:t>
      </w:r>
      <w:r w:rsidR="00445987" w:rsidRPr="00894779">
        <w:rPr>
          <w:rFonts w:asciiTheme="minorHAnsi" w:hAnsiTheme="minorHAnsi" w:cstheme="minorHAnsi"/>
          <w:sz w:val="22"/>
          <w:szCs w:val="22"/>
        </w:rPr>
        <w:t xml:space="preserve">in </w:t>
      </w:r>
      <w:r w:rsidRPr="00894779">
        <w:rPr>
          <w:rFonts w:asciiTheme="minorHAnsi" w:hAnsiTheme="minorHAnsi" w:cstheme="minorHAnsi"/>
          <w:sz w:val="22"/>
          <w:szCs w:val="22"/>
        </w:rPr>
        <w:t xml:space="preserve">2013 - a major source of fraud in the past. </w:t>
      </w:r>
    </w:p>
    <w:p w:rsidR="00790F32" w:rsidRPr="00894779" w:rsidRDefault="00790F32" w:rsidP="00790F32">
      <w:pPr>
        <w:spacing w:after="120"/>
        <w:jc w:val="both"/>
        <w:rPr>
          <w:rFonts w:asciiTheme="minorHAnsi" w:hAnsiTheme="minorHAnsi" w:cstheme="minorHAnsi"/>
          <w:sz w:val="22"/>
          <w:szCs w:val="22"/>
        </w:rPr>
      </w:pPr>
      <w:r w:rsidRPr="00894779">
        <w:rPr>
          <w:rFonts w:asciiTheme="minorHAnsi" w:hAnsiTheme="minorHAnsi" w:cstheme="minorHAnsi"/>
          <w:sz w:val="22"/>
          <w:szCs w:val="22"/>
        </w:rPr>
        <w:t xml:space="preserve">Australia continues to support PNG’s efforts to establish an </w:t>
      </w:r>
      <w:r w:rsidRPr="00894779">
        <w:rPr>
          <w:rFonts w:asciiTheme="minorHAnsi" w:hAnsiTheme="minorHAnsi" w:cstheme="minorHAnsi"/>
          <w:b/>
          <w:sz w:val="22"/>
          <w:szCs w:val="22"/>
        </w:rPr>
        <w:t>Independent Commission Against Corruption (ICAC)</w:t>
      </w:r>
      <w:r w:rsidRPr="00894779">
        <w:rPr>
          <w:rFonts w:asciiTheme="minorHAnsi" w:hAnsiTheme="minorHAnsi" w:cstheme="minorHAnsi"/>
          <w:sz w:val="22"/>
          <w:szCs w:val="22"/>
        </w:rPr>
        <w:t xml:space="preserve"> and to improve its compliance with international </w:t>
      </w:r>
      <w:r w:rsidRPr="00894779">
        <w:rPr>
          <w:rFonts w:asciiTheme="minorHAnsi" w:hAnsiTheme="minorHAnsi" w:cstheme="minorHAnsi"/>
          <w:b/>
          <w:sz w:val="22"/>
          <w:szCs w:val="22"/>
        </w:rPr>
        <w:t>anti-money-laundering and counter-terrorism financing standards</w:t>
      </w:r>
      <w:r w:rsidRPr="00894779">
        <w:rPr>
          <w:rFonts w:asciiTheme="minorHAnsi" w:hAnsiTheme="minorHAnsi" w:cstheme="minorHAnsi"/>
          <w:sz w:val="22"/>
          <w:szCs w:val="22"/>
        </w:rPr>
        <w:t xml:space="preserve">. This includes work to </w:t>
      </w:r>
      <w:r w:rsidR="00445987" w:rsidRPr="00894779">
        <w:rPr>
          <w:rFonts w:asciiTheme="minorHAnsi" w:hAnsiTheme="minorHAnsi" w:cstheme="minorHAnsi"/>
          <w:sz w:val="22"/>
          <w:szCs w:val="22"/>
        </w:rPr>
        <w:t xml:space="preserve">harden </w:t>
      </w:r>
      <w:r w:rsidRPr="00894779">
        <w:rPr>
          <w:rFonts w:asciiTheme="minorHAnsi" w:hAnsiTheme="minorHAnsi" w:cstheme="minorHAnsi"/>
          <w:sz w:val="22"/>
          <w:szCs w:val="22"/>
        </w:rPr>
        <w:t>legislat</w:t>
      </w:r>
      <w:r w:rsidR="00445987" w:rsidRPr="00894779">
        <w:rPr>
          <w:rFonts w:asciiTheme="minorHAnsi" w:hAnsiTheme="minorHAnsi" w:cstheme="minorHAnsi"/>
          <w:sz w:val="22"/>
          <w:szCs w:val="22"/>
        </w:rPr>
        <w:t>ive and regulatory regimes</w:t>
      </w:r>
      <w:r w:rsidR="00D937EA" w:rsidRPr="00894779">
        <w:rPr>
          <w:rFonts w:asciiTheme="minorHAnsi" w:hAnsiTheme="minorHAnsi" w:cstheme="minorHAnsi"/>
          <w:sz w:val="22"/>
          <w:szCs w:val="22"/>
        </w:rPr>
        <w:t>, improve law enforcement and regulatory capacities, and enhance policy-making and inter-agency coordination</w:t>
      </w:r>
      <w:r w:rsidRPr="00894779">
        <w:rPr>
          <w:rFonts w:asciiTheme="minorHAnsi" w:hAnsiTheme="minorHAnsi" w:cstheme="minorHAnsi"/>
          <w:sz w:val="22"/>
          <w:szCs w:val="22"/>
        </w:rPr>
        <w:t>.</w:t>
      </w:r>
    </w:p>
    <w:p w:rsidR="00790F32" w:rsidRPr="00D1482F" w:rsidRDefault="00790F32" w:rsidP="00790F32">
      <w:pPr>
        <w:spacing w:after="120"/>
        <w:jc w:val="both"/>
        <w:rPr>
          <w:rFonts w:asciiTheme="minorHAnsi" w:hAnsiTheme="minorHAnsi" w:cstheme="minorHAnsi"/>
          <w:b/>
          <w:sz w:val="22"/>
          <w:szCs w:val="22"/>
        </w:rPr>
      </w:pPr>
      <w:r w:rsidRPr="00894779">
        <w:rPr>
          <w:rFonts w:asciiTheme="minorHAnsi" w:hAnsiTheme="minorHAnsi" w:cstheme="minorHAnsi"/>
          <w:b/>
          <w:sz w:val="22"/>
          <w:szCs w:val="22"/>
        </w:rPr>
        <w:t>Key Risks and Challenges</w:t>
      </w:r>
      <w:r w:rsidRPr="00D1482F">
        <w:rPr>
          <w:rFonts w:asciiTheme="minorHAnsi" w:hAnsiTheme="minorHAnsi" w:cstheme="minorHAnsi"/>
          <w:b/>
          <w:sz w:val="22"/>
          <w:szCs w:val="22"/>
        </w:rPr>
        <w:t xml:space="preserve"> </w:t>
      </w:r>
    </w:p>
    <w:p w:rsidR="00790F32" w:rsidRPr="00D1482F" w:rsidRDefault="00790F32" w:rsidP="00790F32">
      <w:pPr>
        <w:spacing w:after="120"/>
        <w:jc w:val="both"/>
        <w:rPr>
          <w:rFonts w:asciiTheme="minorHAnsi" w:hAnsiTheme="minorHAnsi" w:cstheme="minorHAnsi"/>
          <w:szCs w:val="22"/>
        </w:rPr>
      </w:pPr>
      <w:r w:rsidRPr="00D1482F">
        <w:rPr>
          <w:rFonts w:asciiTheme="minorHAnsi" w:hAnsiTheme="minorHAnsi" w:cstheme="minorHAnsi"/>
          <w:sz w:val="22"/>
          <w:szCs w:val="22"/>
        </w:rPr>
        <w:t xml:space="preserve">Improving outcomes in PNG’s law and justice sector is affected by a wide range of factors.  High rates of crime coupled with </w:t>
      </w:r>
      <w:r w:rsidR="00445987">
        <w:rPr>
          <w:rFonts w:asciiTheme="minorHAnsi" w:hAnsiTheme="minorHAnsi" w:cstheme="minorHAnsi"/>
          <w:sz w:val="22"/>
          <w:szCs w:val="22"/>
        </w:rPr>
        <w:t xml:space="preserve">low </w:t>
      </w:r>
      <w:r w:rsidRPr="00D1482F">
        <w:rPr>
          <w:rFonts w:asciiTheme="minorHAnsi" w:hAnsiTheme="minorHAnsi" w:cstheme="minorHAnsi"/>
          <w:sz w:val="22"/>
          <w:szCs w:val="22"/>
        </w:rPr>
        <w:t>levels of trust by the community and businesses in the police and judiciary remain a challenge. Failure to enforce the law is seen as a c</w:t>
      </w:r>
      <w:r w:rsidR="00D937EA">
        <w:rPr>
          <w:rFonts w:asciiTheme="minorHAnsi" w:hAnsiTheme="minorHAnsi" w:cstheme="minorHAnsi"/>
          <w:sz w:val="22"/>
          <w:szCs w:val="22"/>
        </w:rPr>
        <w:t>ause as well as a consequence of</w:t>
      </w:r>
      <w:r w:rsidRPr="00D1482F">
        <w:rPr>
          <w:rFonts w:asciiTheme="minorHAnsi" w:hAnsiTheme="minorHAnsi" w:cstheme="minorHAnsi"/>
          <w:sz w:val="22"/>
          <w:szCs w:val="22"/>
        </w:rPr>
        <w:t xml:space="preserve"> increasing corruption. The per capita numbers of police, judicial and other law and justice officials remain very low by internation</w:t>
      </w:r>
      <w:r w:rsidR="005503AC">
        <w:rPr>
          <w:rFonts w:asciiTheme="minorHAnsi" w:hAnsiTheme="minorHAnsi" w:cstheme="minorHAnsi"/>
          <w:sz w:val="22"/>
          <w:szCs w:val="22"/>
        </w:rPr>
        <w:t>al and regional standards. W</w:t>
      </w:r>
      <w:r w:rsidRPr="00D1482F">
        <w:rPr>
          <w:rFonts w:asciiTheme="minorHAnsi" w:hAnsiTheme="minorHAnsi" w:cstheme="minorHAnsi"/>
          <w:sz w:val="22"/>
          <w:szCs w:val="22"/>
        </w:rPr>
        <w:t xml:space="preserve">hile recruitment of more police is a PNG Government priority, the capacity to train and provide the necessary support to them, including </w:t>
      </w:r>
      <w:r w:rsidRPr="00D1482F">
        <w:rPr>
          <w:rFonts w:asciiTheme="minorHAnsi" w:hAnsiTheme="minorHAnsi" w:cstheme="minorHAnsi"/>
          <w:sz w:val="22"/>
          <w:szCs w:val="22"/>
        </w:rPr>
        <w:lastRenderedPageBreak/>
        <w:t xml:space="preserve">housing, is very limited. Setting strategic priorities and coordinating across the sector is a particular challenge given the large number of </w:t>
      </w:r>
      <w:r w:rsidR="00445987">
        <w:rPr>
          <w:rFonts w:asciiTheme="minorHAnsi" w:hAnsiTheme="minorHAnsi" w:cstheme="minorHAnsi"/>
          <w:sz w:val="22"/>
          <w:szCs w:val="22"/>
        </w:rPr>
        <w:t xml:space="preserve">constitutionally independent </w:t>
      </w:r>
      <w:r w:rsidRPr="00D1482F">
        <w:rPr>
          <w:rFonts w:asciiTheme="minorHAnsi" w:hAnsiTheme="minorHAnsi" w:cstheme="minorHAnsi"/>
          <w:sz w:val="22"/>
          <w:szCs w:val="22"/>
        </w:rPr>
        <w:t>PNG agencies involved.</w:t>
      </w:r>
    </w:p>
    <w:p w:rsidR="00DB71C3" w:rsidRPr="00DB71C3" w:rsidRDefault="00DB71C3" w:rsidP="00DB71C3">
      <w:pPr>
        <w:spacing w:after="120"/>
        <w:jc w:val="both"/>
        <w:rPr>
          <w:rFonts w:asciiTheme="minorHAnsi" w:hAnsiTheme="minorHAnsi" w:cstheme="minorHAnsi"/>
          <w:b/>
          <w:sz w:val="22"/>
          <w:szCs w:val="22"/>
        </w:rPr>
      </w:pPr>
      <w:r w:rsidRPr="00DB71C3">
        <w:rPr>
          <w:rFonts w:asciiTheme="minorHAnsi" w:hAnsiTheme="minorHAnsi" w:cstheme="minorHAnsi"/>
          <w:b/>
          <w:sz w:val="22"/>
          <w:szCs w:val="22"/>
        </w:rPr>
        <w:t>Way Forward/ Management Consequences</w:t>
      </w:r>
    </w:p>
    <w:p w:rsidR="00DB71C3" w:rsidRPr="00DB71C3" w:rsidRDefault="00DB71C3" w:rsidP="0086596F">
      <w:pPr>
        <w:jc w:val="both"/>
        <w:rPr>
          <w:rFonts w:asciiTheme="minorHAnsi" w:hAnsiTheme="minorHAnsi" w:cstheme="minorHAnsi"/>
          <w:sz w:val="22"/>
          <w:szCs w:val="22"/>
        </w:rPr>
      </w:pPr>
      <w:r w:rsidRPr="00DB71C3">
        <w:rPr>
          <w:rFonts w:asciiTheme="minorHAnsi" w:hAnsiTheme="minorHAnsi" w:cstheme="minorHAnsi"/>
          <w:sz w:val="22"/>
          <w:szCs w:val="22"/>
        </w:rPr>
        <w:t>Ongoing Australian support to the law and justice sector needs to improve the impact of Australia’s total investment and the evidence base on which to judge performance.  In 2014-15, this will be assisted by:</w:t>
      </w:r>
    </w:p>
    <w:p w:rsidR="00DB71C3" w:rsidRPr="00894779" w:rsidRDefault="00DB71C3" w:rsidP="0086596F">
      <w:pPr>
        <w:numPr>
          <w:ilvl w:val="0"/>
          <w:numId w:val="40"/>
        </w:numPr>
        <w:jc w:val="both"/>
        <w:rPr>
          <w:rFonts w:asciiTheme="minorHAnsi" w:eastAsia="Times New Roman" w:hAnsiTheme="minorHAnsi" w:cstheme="minorHAnsi"/>
          <w:sz w:val="24"/>
          <w:szCs w:val="22"/>
        </w:rPr>
      </w:pPr>
      <w:r w:rsidRPr="00DB71C3">
        <w:rPr>
          <w:rFonts w:asciiTheme="minorHAnsi" w:eastAsia="Times New Roman" w:hAnsiTheme="minorHAnsi" w:cstheme="minorHAnsi"/>
          <w:sz w:val="22"/>
          <w:szCs w:val="22"/>
        </w:rPr>
        <w:t xml:space="preserve">Completing the </w:t>
      </w:r>
      <w:r w:rsidRPr="00DB71C3">
        <w:rPr>
          <w:rFonts w:asciiTheme="minorHAnsi" w:eastAsia="Times New Roman" w:hAnsiTheme="minorHAnsi" w:cstheme="minorHAnsi"/>
          <w:b/>
          <w:sz w:val="22"/>
          <w:szCs w:val="22"/>
        </w:rPr>
        <w:t>Sector Investment Plan</w:t>
      </w:r>
      <w:r w:rsidRPr="00DB71C3">
        <w:rPr>
          <w:rFonts w:asciiTheme="minorHAnsi" w:eastAsia="Times New Roman" w:hAnsiTheme="minorHAnsi" w:cstheme="minorHAnsi"/>
          <w:sz w:val="22"/>
          <w:szCs w:val="22"/>
        </w:rPr>
        <w:t xml:space="preserve"> to guide Australia’s support across all complementary investments in the sector. This will form the basis of mutual priorities and </w:t>
      </w:r>
      <w:r w:rsidRPr="00894779">
        <w:rPr>
          <w:rFonts w:asciiTheme="minorHAnsi" w:eastAsia="Times New Roman" w:hAnsiTheme="minorHAnsi" w:cstheme="minorHAnsi"/>
          <w:sz w:val="22"/>
          <w:szCs w:val="22"/>
        </w:rPr>
        <w:t>commitments with PNG, including performance benchmarks that reflect both Governments’ commitment to increasing the impact and effectiveness of Australia’s aid;</w:t>
      </w:r>
    </w:p>
    <w:p w:rsidR="00DB71C3" w:rsidRPr="00894779" w:rsidRDefault="00DB71C3" w:rsidP="0086596F">
      <w:pPr>
        <w:numPr>
          <w:ilvl w:val="0"/>
          <w:numId w:val="40"/>
        </w:numPr>
        <w:jc w:val="both"/>
        <w:rPr>
          <w:rFonts w:asciiTheme="minorHAnsi" w:eastAsia="Times New Roman" w:hAnsiTheme="minorHAnsi" w:cstheme="minorHAnsi"/>
          <w:sz w:val="24"/>
          <w:szCs w:val="22"/>
        </w:rPr>
      </w:pPr>
      <w:r w:rsidRPr="00894779">
        <w:rPr>
          <w:rFonts w:asciiTheme="minorHAnsi" w:eastAsia="Times New Roman" w:hAnsiTheme="minorHAnsi" w:cstheme="minorHAnsi"/>
          <w:sz w:val="22"/>
          <w:szCs w:val="22"/>
        </w:rPr>
        <w:t>Finalising the</w:t>
      </w:r>
      <w:r w:rsidRPr="00894779">
        <w:rPr>
          <w:rFonts w:asciiTheme="minorHAnsi" w:eastAsia="Times New Roman" w:hAnsiTheme="minorHAnsi" w:cstheme="minorHAnsi"/>
          <w:b/>
          <w:sz w:val="22"/>
          <w:szCs w:val="22"/>
        </w:rPr>
        <w:t xml:space="preserve"> design of Australia’s law and justice sector program</w:t>
      </w:r>
      <w:r w:rsidRPr="00894779">
        <w:rPr>
          <w:rFonts w:asciiTheme="minorHAnsi" w:eastAsia="Times New Roman" w:hAnsiTheme="minorHAnsi" w:cstheme="minorHAnsi"/>
          <w:sz w:val="22"/>
          <w:szCs w:val="22"/>
        </w:rPr>
        <w:t xml:space="preserve"> (following a transitional period). This will include a greater focus on justice services available in communities to improve security and on supporting PNG to progress efforts to combat gender inequality and corruption; and </w:t>
      </w:r>
    </w:p>
    <w:p w:rsidR="00DB71C3" w:rsidRPr="00894779" w:rsidRDefault="00DB71C3" w:rsidP="0086596F">
      <w:pPr>
        <w:numPr>
          <w:ilvl w:val="0"/>
          <w:numId w:val="40"/>
        </w:numPr>
        <w:jc w:val="both"/>
        <w:rPr>
          <w:rFonts w:asciiTheme="minorHAnsi" w:eastAsia="Times New Roman" w:hAnsiTheme="minorHAnsi" w:cstheme="minorHAnsi"/>
          <w:sz w:val="24"/>
          <w:szCs w:val="22"/>
        </w:rPr>
      </w:pPr>
      <w:r w:rsidRPr="00894779">
        <w:rPr>
          <w:rFonts w:asciiTheme="minorHAnsi" w:eastAsia="Times New Roman" w:hAnsiTheme="minorHAnsi" w:cstheme="minorHAnsi"/>
          <w:sz w:val="22"/>
          <w:szCs w:val="22"/>
        </w:rPr>
        <w:t xml:space="preserve">Recalibrating the operating model for the </w:t>
      </w:r>
      <w:r w:rsidRPr="00894779">
        <w:rPr>
          <w:rFonts w:asciiTheme="minorHAnsi" w:eastAsia="Times New Roman" w:hAnsiTheme="minorHAnsi" w:cstheme="minorHAnsi"/>
          <w:b/>
          <w:sz w:val="22"/>
          <w:szCs w:val="22"/>
        </w:rPr>
        <w:t xml:space="preserve">AFP deployment </w:t>
      </w:r>
      <w:r w:rsidRPr="00894779">
        <w:rPr>
          <w:rFonts w:asciiTheme="minorHAnsi" w:eastAsia="Times New Roman" w:hAnsiTheme="minorHAnsi" w:cstheme="minorHAnsi"/>
          <w:sz w:val="22"/>
          <w:szCs w:val="22"/>
        </w:rPr>
        <w:t>in PNG to reflect changing PNG and Australian priorities, particularly in relation to capacity development for the RPNGC.</w:t>
      </w:r>
    </w:p>
    <w:p w:rsidR="002B0F30" w:rsidRPr="0059375E" w:rsidRDefault="00790F32" w:rsidP="00164E82">
      <w:pPr>
        <w:pStyle w:val="Heading3"/>
      </w:pPr>
      <w:r>
        <w:t>Objectives 4</w:t>
      </w:r>
      <w:r w:rsidR="002B0F30" w:rsidRPr="0059375E">
        <w:t xml:space="preserve"> – Transport Infrastructure</w:t>
      </w:r>
      <w:r w:rsidR="002B0F30" w:rsidRPr="0059375E">
        <w:tab/>
      </w:r>
    </w:p>
    <w:tbl>
      <w:tblPr>
        <w:tblStyle w:val="APPR"/>
        <w:tblW w:w="4951" w:type="pct"/>
        <w:tblBorders>
          <w:top w:val="single" w:sz="4" w:space="0" w:color="auto"/>
          <w:bottom w:val="single" w:sz="4" w:space="0" w:color="auto"/>
        </w:tblBorders>
        <w:tblLook w:val="0000" w:firstRow="0" w:lastRow="0" w:firstColumn="0" w:lastColumn="0" w:noHBand="0" w:noVBand="0"/>
      </w:tblPr>
      <w:tblGrid>
        <w:gridCol w:w="7791"/>
        <w:gridCol w:w="1417"/>
      </w:tblGrid>
      <w:tr w:rsidR="00CD1B1C" w:rsidRPr="0059375E" w:rsidTr="006D47A3">
        <w:trPr>
          <w:cnfStyle w:val="000000010000" w:firstRow="0" w:lastRow="0" w:firstColumn="0" w:lastColumn="0" w:oddVBand="0" w:evenVBand="0" w:oddHBand="0" w:evenHBand="1" w:firstRowFirstColumn="0" w:firstRowLastColumn="0" w:lastRowFirstColumn="0" w:lastRowLastColumn="0"/>
          <w:trHeight w:val="462"/>
        </w:trPr>
        <w:tc>
          <w:tcPr>
            <w:tcW w:w="7749" w:type="dxa"/>
          </w:tcPr>
          <w:p w:rsidR="00CD1B1C" w:rsidRPr="00BB1627" w:rsidRDefault="00CD1B1C" w:rsidP="008264E9">
            <w:pPr>
              <w:pStyle w:val="TableTextColumnHeading"/>
            </w:pPr>
            <w:r w:rsidRPr="00BB1627">
              <w:rPr>
                <w:noProof/>
              </w:rPr>
              <w:drawing>
                <wp:anchor distT="0" distB="0" distL="114300" distR="114300" simplePos="0" relativeHeight="251685888" behindDoc="0" locked="0" layoutInCell="1" allowOverlap="1" wp14:anchorId="6E6E0DCC" wp14:editId="0F142AB9">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627">
              <w:t>Improved transport services to facilitate social and economic development</w:t>
            </w:r>
          </w:p>
        </w:tc>
        <w:tc>
          <w:tcPr>
            <w:tcW w:w="1375" w:type="dxa"/>
            <w:shd w:val="clear" w:color="auto" w:fill="92D050"/>
          </w:tcPr>
          <w:p w:rsidR="00CD1B1C" w:rsidRPr="0059375E" w:rsidRDefault="00CD1B1C" w:rsidP="008264E9">
            <w:pPr>
              <w:pStyle w:val="TableTextColumnHeading"/>
            </w:pPr>
            <w:r w:rsidRPr="0059375E">
              <w:t>Green</w:t>
            </w:r>
          </w:p>
        </w:tc>
      </w:tr>
    </w:tbl>
    <w:p w:rsidR="00BC398B" w:rsidRPr="00BC398B" w:rsidRDefault="00BC398B" w:rsidP="00383123">
      <w:pPr>
        <w:autoSpaceDE w:val="0"/>
        <w:autoSpaceDN w:val="0"/>
        <w:adjustRightInd w:val="0"/>
        <w:spacing w:after="120"/>
        <w:jc w:val="both"/>
        <w:rPr>
          <w:rFonts w:asciiTheme="minorHAnsi" w:hAnsiTheme="minorHAnsi" w:cstheme="minorHAnsi"/>
          <w:szCs w:val="20"/>
        </w:rPr>
      </w:pPr>
    </w:p>
    <w:p w:rsidR="00DB71C3" w:rsidRPr="00DB71C3" w:rsidRDefault="00DB71C3" w:rsidP="00DB71C3">
      <w:pPr>
        <w:autoSpaceDE w:val="0"/>
        <w:autoSpaceDN w:val="0"/>
        <w:adjustRightInd w:val="0"/>
        <w:spacing w:after="120"/>
        <w:jc w:val="both"/>
        <w:rPr>
          <w:rFonts w:asciiTheme="minorHAnsi" w:hAnsiTheme="minorHAnsi" w:cstheme="minorHAnsi"/>
          <w:sz w:val="22"/>
          <w:szCs w:val="22"/>
        </w:rPr>
      </w:pPr>
      <w:r w:rsidRPr="00DB71C3">
        <w:rPr>
          <w:rFonts w:asciiTheme="minorHAnsi" w:hAnsiTheme="minorHAnsi" w:cstheme="minorHAnsi"/>
          <w:sz w:val="22"/>
          <w:szCs w:val="22"/>
        </w:rPr>
        <w:t xml:space="preserve">The program’s overall progress towards achieving its objectives in the transport infrastructure sector is rated green in 2013-14, and is consistent with the 2012-13 APPR. The aid program has delivered on its commitments, notwithstanding persistent and entrenched challenges.  </w:t>
      </w:r>
    </w:p>
    <w:p w:rsidR="00DB71C3" w:rsidRPr="00DB71C3" w:rsidRDefault="00DB71C3" w:rsidP="00DB71C3">
      <w:pPr>
        <w:autoSpaceDE w:val="0"/>
        <w:autoSpaceDN w:val="0"/>
        <w:adjustRightInd w:val="0"/>
        <w:spacing w:after="120"/>
        <w:jc w:val="both"/>
        <w:rPr>
          <w:rFonts w:asciiTheme="minorHAnsi" w:hAnsiTheme="minorHAnsi" w:cstheme="minorHAnsi"/>
          <w:sz w:val="22"/>
          <w:szCs w:val="22"/>
        </w:rPr>
      </w:pPr>
      <w:r w:rsidRPr="00DB71C3">
        <w:rPr>
          <w:rFonts w:asciiTheme="minorHAnsi" w:hAnsiTheme="minorHAnsi" w:cstheme="minorHAnsi"/>
          <w:sz w:val="22"/>
          <w:szCs w:val="22"/>
        </w:rPr>
        <w:t xml:space="preserve">The PNG </w:t>
      </w:r>
      <w:r w:rsidRPr="003E1A2C">
        <w:rPr>
          <w:rFonts w:asciiTheme="minorHAnsi" w:hAnsiTheme="minorHAnsi" w:cstheme="minorHAnsi"/>
          <w:sz w:val="22"/>
          <w:szCs w:val="22"/>
        </w:rPr>
        <w:t xml:space="preserve">Government’s commitment to improve the national transport network is evidenced by a 33 per cent budget increase to the transport sector in 2014, to a total appropriation </w:t>
      </w:r>
      <w:r w:rsidRPr="00D0071B">
        <w:rPr>
          <w:rFonts w:asciiTheme="minorHAnsi" w:hAnsiTheme="minorHAnsi" w:cstheme="minorHAnsi"/>
          <w:sz w:val="22"/>
          <w:szCs w:val="22"/>
        </w:rPr>
        <w:t>of K2.34 billion</w:t>
      </w:r>
      <w:r w:rsidR="00A7413A" w:rsidRPr="00D0071B">
        <w:rPr>
          <w:rFonts w:asciiTheme="minorHAnsi" w:hAnsiTheme="minorHAnsi" w:cstheme="minorHAnsi"/>
          <w:sz w:val="22"/>
          <w:szCs w:val="22"/>
        </w:rPr>
        <w:t xml:space="preserve"> (A$1.02 billion)</w:t>
      </w:r>
      <w:r w:rsidRPr="00D0071B">
        <w:rPr>
          <w:rFonts w:asciiTheme="minorHAnsi" w:hAnsiTheme="minorHAnsi" w:cstheme="minorHAnsi"/>
          <w:sz w:val="22"/>
          <w:szCs w:val="22"/>
        </w:rPr>
        <w:t>.</w:t>
      </w:r>
      <w:r w:rsidRPr="003E1A2C">
        <w:rPr>
          <w:rFonts w:asciiTheme="minorHAnsi" w:hAnsiTheme="minorHAnsi" w:cstheme="minorHAnsi"/>
          <w:sz w:val="22"/>
          <w:szCs w:val="22"/>
        </w:rPr>
        <w:t xml:space="preserve"> The amount </w:t>
      </w:r>
      <w:r w:rsidRPr="00D0071B">
        <w:rPr>
          <w:rFonts w:asciiTheme="minorHAnsi" w:hAnsiTheme="minorHAnsi" w:cstheme="minorHAnsi"/>
          <w:sz w:val="22"/>
          <w:szCs w:val="22"/>
        </w:rPr>
        <w:t>of K632.5 million</w:t>
      </w:r>
      <w:r w:rsidR="00D0071B" w:rsidRPr="00D0071B">
        <w:rPr>
          <w:rFonts w:asciiTheme="minorHAnsi" w:hAnsiTheme="minorHAnsi" w:cstheme="minorHAnsi"/>
          <w:sz w:val="22"/>
          <w:szCs w:val="22"/>
        </w:rPr>
        <w:t xml:space="preserve"> (</w:t>
      </w:r>
      <w:r w:rsidR="00D0071B">
        <w:rPr>
          <w:rFonts w:asciiTheme="minorHAnsi" w:hAnsiTheme="minorHAnsi" w:cstheme="minorHAnsi"/>
          <w:sz w:val="22"/>
          <w:szCs w:val="22"/>
        </w:rPr>
        <w:t>A$275.7</w:t>
      </w:r>
      <w:r w:rsidR="00A7413A">
        <w:rPr>
          <w:rFonts w:asciiTheme="minorHAnsi" w:hAnsiTheme="minorHAnsi" w:cstheme="minorHAnsi"/>
          <w:sz w:val="22"/>
          <w:szCs w:val="22"/>
        </w:rPr>
        <w:t xml:space="preserve"> million)</w:t>
      </w:r>
      <w:r w:rsidRPr="003E1A2C">
        <w:rPr>
          <w:rFonts w:asciiTheme="minorHAnsi" w:hAnsiTheme="minorHAnsi" w:cstheme="minorHAnsi"/>
          <w:sz w:val="22"/>
          <w:szCs w:val="22"/>
        </w:rPr>
        <w:t xml:space="preserve">, specifically committed for National Priority Roads, far exceeds </w:t>
      </w:r>
      <w:r w:rsidRPr="00D0071B">
        <w:rPr>
          <w:rFonts w:asciiTheme="minorHAnsi" w:hAnsiTheme="minorHAnsi" w:cstheme="minorHAnsi"/>
          <w:sz w:val="22"/>
          <w:szCs w:val="22"/>
        </w:rPr>
        <w:t xml:space="preserve">the K445 million </w:t>
      </w:r>
      <w:r w:rsidR="00D0071B" w:rsidRPr="00D0071B">
        <w:rPr>
          <w:rFonts w:asciiTheme="minorHAnsi" w:hAnsiTheme="minorHAnsi" w:cstheme="minorHAnsi"/>
          <w:sz w:val="22"/>
          <w:szCs w:val="22"/>
        </w:rPr>
        <w:t>($A194</w:t>
      </w:r>
      <w:r w:rsidR="00A7413A" w:rsidRPr="00D0071B">
        <w:rPr>
          <w:rFonts w:asciiTheme="minorHAnsi" w:hAnsiTheme="minorHAnsi" w:cstheme="minorHAnsi"/>
          <w:sz w:val="22"/>
          <w:szCs w:val="22"/>
        </w:rPr>
        <w:t xml:space="preserve"> million) </w:t>
      </w:r>
      <w:r w:rsidRPr="00D0071B">
        <w:rPr>
          <w:rFonts w:asciiTheme="minorHAnsi" w:hAnsiTheme="minorHAnsi" w:cstheme="minorHAnsi"/>
          <w:sz w:val="22"/>
          <w:szCs w:val="22"/>
        </w:rPr>
        <w:t>target</w:t>
      </w:r>
      <w:r w:rsidRPr="003E1A2C">
        <w:rPr>
          <w:rFonts w:asciiTheme="minorHAnsi" w:hAnsiTheme="minorHAnsi" w:cstheme="minorHAnsi"/>
          <w:sz w:val="22"/>
          <w:szCs w:val="22"/>
        </w:rPr>
        <w:t xml:space="preserve"> of the </w:t>
      </w:r>
      <w:r w:rsidR="00117B68" w:rsidRPr="003E1A2C">
        <w:rPr>
          <w:rFonts w:asciiTheme="minorHAnsi" w:hAnsiTheme="minorHAnsi" w:cstheme="minorHAnsi"/>
          <w:sz w:val="22"/>
          <w:szCs w:val="22"/>
        </w:rPr>
        <w:t>PNG-</w:t>
      </w:r>
      <w:r w:rsidRPr="003E1A2C">
        <w:rPr>
          <w:rFonts w:asciiTheme="minorHAnsi" w:hAnsiTheme="minorHAnsi" w:cstheme="minorHAnsi"/>
          <w:sz w:val="22"/>
          <w:szCs w:val="22"/>
        </w:rPr>
        <w:t>Aust</w:t>
      </w:r>
      <w:r w:rsidR="00117B68" w:rsidRPr="003E1A2C">
        <w:rPr>
          <w:rFonts w:asciiTheme="minorHAnsi" w:hAnsiTheme="minorHAnsi" w:cstheme="minorHAnsi"/>
          <w:sz w:val="22"/>
          <w:szCs w:val="22"/>
        </w:rPr>
        <w:t>ralia</w:t>
      </w:r>
      <w:r w:rsidRPr="003E1A2C">
        <w:rPr>
          <w:rFonts w:asciiTheme="minorHAnsi" w:hAnsiTheme="minorHAnsi" w:cstheme="minorHAnsi"/>
          <w:sz w:val="22"/>
          <w:szCs w:val="22"/>
        </w:rPr>
        <w:t xml:space="preserve"> Partnership for Development. To strengthen governance</w:t>
      </w:r>
      <w:r w:rsidRPr="00DB71C3">
        <w:rPr>
          <w:rFonts w:asciiTheme="minorHAnsi" w:hAnsiTheme="minorHAnsi" w:cstheme="minorHAnsi"/>
          <w:sz w:val="22"/>
          <w:szCs w:val="22"/>
        </w:rPr>
        <w:t xml:space="preserve"> and oversight of increasing infrastructure investments, the PNG Government is considering the establishment of an Infrastructure Development Authority (IDA), with advisory support from Australia and the Asian Development Bank (ADB). </w:t>
      </w:r>
    </w:p>
    <w:p w:rsidR="005F69EC" w:rsidRPr="0034479A" w:rsidRDefault="005F69EC" w:rsidP="00806E64">
      <w:pPr>
        <w:autoSpaceDE w:val="0"/>
        <w:autoSpaceDN w:val="0"/>
        <w:adjustRightInd w:val="0"/>
        <w:spacing w:after="120"/>
        <w:jc w:val="both"/>
        <w:rPr>
          <w:rFonts w:asciiTheme="minorHAnsi" w:hAnsiTheme="minorHAnsi" w:cstheme="minorHAnsi"/>
          <w:b/>
          <w:sz w:val="22"/>
          <w:szCs w:val="22"/>
        </w:rPr>
      </w:pPr>
      <w:r w:rsidRPr="0034479A">
        <w:rPr>
          <w:rFonts w:asciiTheme="minorHAnsi" w:hAnsiTheme="minorHAnsi" w:cstheme="minorHAnsi"/>
          <w:b/>
          <w:sz w:val="22"/>
          <w:szCs w:val="22"/>
        </w:rPr>
        <w:t xml:space="preserve">Australia’s </w:t>
      </w:r>
      <w:r w:rsidR="00F800E6">
        <w:rPr>
          <w:rFonts w:asciiTheme="minorHAnsi" w:hAnsiTheme="minorHAnsi" w:cstheme="minorHAnsi"/>
          <w:b/>
          <w:sz w:val="22"/>
          <w:szCs w:val="22"/>
        </w:rPr>
        <w:t>C</w:t>
      </w:r>
      <w:r w:rsidRPr="0034479A">
        <w:rPr>
          <w:rFonts w:asciiTheme="minorHAnsi" w:hAnsiTheme="minorHAnsi" w:cstheme="minorHAnsi"/>
          <w:b/>
          <w:sz w:val="22"/>
          <w:szCs w:val="22"/>
        </w:rPr>
        <w:t xml:space="preserve">ontribution </w:t>
      </w:r>
    </w:p>
    <w:p w:rsidR="005F69EC" w:rsidRPr="00D1482F" w:rsidRDefault="005F69EC" w:rsidP="00806E64">
      <w:pPr>
        <w:autoSpaceDE w:val="0"/>
        <w:autoSpaceDN w:val="0"/>
        <w:adjustRightInd w:val="0"/>
        <w:spacing w:after="120"/>
        <w:jc w:val="both"/>
        <w:rPr>
          <w:rFonts w:asciiTheme="minorHAnsi" w:hAnsiTheme="minorHAnsi" w:cstheme="minorHAnsi"/>
          <w:sz w:val="22"/>
          <w:szCs w:val="22"/>
        </w:rPr>
      </w:pPr>
      <w:r w:rsidRPr="00D1482F">
        <w:rPr>
          <w:rFonts w:asciiTheme="minorHAnsi" w:hAnsiTheme="minorHAnsi" w:cstheme="minorHAnsi"/>
          <w:sz w:val="22"/>
          <w:szCs w:val="22"/>
        </w:rPr>
        <w:t xml:space="preserve">Australia’s support to transport infrastructure focuses on: maintenance and rehabilitation of PNG’s national priority roads; improvement of aviation and maritime safety and security standards; and operational reform of </w:t>
      </w:r>
      <w:r w:rsidR="00C42461">
        <w:rPr>
          <w:rFonts w:asciiTheme="minorHAnsi" w:hAnsiTheme="minorHAnsi" w:cstheme="minorHAnsi"/>
          <w:sz w:val="22"/>
          <w:szCs w:val="22"/>
        </w:rPr>
        <w:t xml:space="preserve">the </w:t>
      </w:r>
      <w:r w:rsidRPr="00D1482F">
        <w:rPr>
          <w:rFonts w:asciiTheme="minorHAnsi" w:hAnsiTheme="minorHAnsi" w:cstheme="minorHAnsi"/>
          <w:sz w:val="22"/>
          <w:szCs w:val="22"/>
        </w:rPr>
        <w:t xml:space="preserve">transport sector agencies. Australian assistance to the sector is delivered through an integrated program that includes the Transport Sector Support Program (TSSP), Whole of (Australian) Government support through the Strongim Gavman Program (SGP) and the PNG/Australia Transport </w:t>
      </w:r>
      <w:r w:rsidR="00454B57">
        <w:rPr>
          <w:rFonts w:asciiTheme="minorHAnsi" w:hAnsiTheme="minorHAnsi" w:cstheme="minorHAnsi"/>
          <w:sz w:val="22"/>
          <w:szCs w:val="22"/>
        </w:rPr>
        <w:t>Memorandum of Understanding (</w:t>
      </w:r>
      <w:r w:rsidRPr="00D1482F">
        <w:rPr>
          <w:rFonts w:asciiTheme="minorHAnsi" w:hAnsiTheme="minorHAnsi" w:cstheme="minorHAnsi"/>
          <w:sz w:val="22"/>
          <w:szCs w:val="22"/>
        </w:rPr>
        <w:t>MOU</w:t>
      </w:r>
      <w:r w:rsidR="00454B57">
        <w:rPr>
          <w:rFonts w:asciiTheme="minorHAnsi" w:hAnsiTheme="minorHAnsi" w:cstheme="minorHAnsi"/>
          <w:sz w:val="22"/>
          <w:szCs w:val="22"/>
        </w:rPr>
        <w:t>)</w:t>
      </w:r>
      <w:r w:rsidRPr="00D1482F">
        <w:rPr>
          <w:rFonts w:asciiTheme="minorHAnsi" w:hAnsiTheme="minorHAnsi" w:cstheme="minorHAnsi"/>
          <w:sz w:val="22"/>
          <w:szCs w:val="22"/>
        </w:rPr>
        <w:t xml:space="preserve">.  TSSP expenditure for 2013 was </w:t>
      </w:r>
      <w:r w:rsidR="004B0E18">
        <w:rPr>
          <w:rFonts w:asciiTheme="minorHAnsi" w:hAnsiTheme="minorHAnsi" w:cstheme="minorHAnsi"/>
          <w:sz w:val="22"/>
          <w:szCs w:val="22"/>
        </w:rPr>
        <w:t>approximately $75 million</w:t>
      </w:r>
      <w:r w:rsidRPr="00D1482F">
        <w:rPr>
          <w:rFonts w:asciiTheme="minorHAnsi" w:hAnsiTheme="minorHAnsi" w:cstheme="minorHAnsi"/>
          <w:sz w:val="22"/>
          <w:szCs w:val="22"/>
        </w:rPr>
        <w:t>.</w:t>
      </w:r>
    </w:p>
    <w:p w:rsidR="005F69EC" w:rsidRDefault="005F69EC" w:rsidP="00806E64">
      <w:pPr>
        <w:autoSpaceDE w:val="0"/>
        <w:autoSpaceDN w:val="0"/>
        <w:adjustRightInd w:val="0"/>
        <w:spacing w:after="120"/>
        <w:jc w:val="both"/>
        <w:rPr>
          <w:rFonts w:asciiTheme="minorHAnsi" w:hAnsiTheme="minorHAnsi" w:cstheme="minorHAnsi"/>
          <w:sz w:val="22"/>
          <w:szCs w:val="22"/>
        </w:rPr>
      </w:pPr>
      <w:r w:rsidRPr="00D1482F">
        <w:rPr>
          <w:rFonts w:asciiTheme="minorHAnsi" w:hAnsiTheme="minorHAnsi" w:cstheme="minorHAnsi"/>
          <w:sz w:val="22"/>
          <w:szCs w:val="22"/>
        </w:rPr>
        <w:t xml:space="preserve">Approximately 73 per cent of Australia’s expenditure in this sector was directed towards PNG’s </w:t>
      </w:r>
      <w:r w:rsidRPr="00D1482F">
        <w:rPr>
          <w:rFonts w:asciiTheme="minorHAnsi" w:hAnsiTheme="minorHAnsi" w:cstheme="minorHAnsi"/>
          <w:b/>
          <w:sz w:val="22"/>
          <w:szCs w:val="22"/>
        </w:rPr>
        <w:t xml:space="preserve">national </w:t>
      </w:r>
      <w:r w:rsidRPr="00894779">
        <w:rPr>
          <w:rFonts w:asciiTheme="minorHAnsi" w:hAnsiTheme="minorHAnsi" w:cstheme="minorHAnsi"/>
          <w:b/>
          <w:sz w:val="22"/>
          <w:szCs w:val="22"/>
        </w:rPr>
        <w:t>priority roads network</w:t>
      </w:r>
      <w:r w:rsidR="00A316AE" w:rsidRPr="00894779">
        <w:rPr>
          <w:rFonts w:asciiTheme="minorHAnsi" w:hAnsiTheme="minorHAnsi" w:cstheme="minorHAnsi"/>
          <w:sz w:val="22"/>
          <w:szCs w:val="22"/>
        </w:rPr>
        <w:t xml:space="preserve">. </w:t>
      </w:r>
      <w:r w:rsidR="00806E64" w:rsidRPr="00894779">
        <w:rPr>
          <w:rFonts w:asciiTheme="minorHAnsi" w:hAnsiTheme="minorHAnsi" w:cstheme="minorHAnsi"/>
          <w:sz w:val="22"/>
          <w:szCs w:val="22"/>
        </w:rPr>
        <w:t xml:space="preserve">This investment primarily supported maintenance activities on approximately 50 per cent of the national priority road network in 12 provinces - equating to </w:t>
      </w:r>
      <w:r w:rsidRPr="00894779">
        <w:rPr>
          <w:rFonts w:asciiTheme="minorHAnsi" w:hAnsiTheme="minorHAnsi" w:cstheme="minorHAnsi"/>
          <w:sz w:val="22"/>
          <w:szCs w:val="22"/>
        </w:rPr>
        <w:t>2,705km of PNG’s most economically important roads</w:t>
      </w:r>
      <w:r w:rsidR="00A54338" w:rsidRPr="00894779">
        <w:rPr>
          <w:rFonts w:asciiTheme="minorHAnsi" w:hAnsiTheme="minorHAnsi" w:cstheme="minorHAnsi"/>
          <w:sz w:val="22"/>
          <w:szCs w:val="22"/>
        </w:rPr>
        <w:t>, including the Autonomous Region of Bougainville</w:t>
      </w:r>
      <w:r w:rsidRPr="00894779">
        <w:rPr>
          <w:rFonts w:asciiTheme="minorHAnsi" w:hAnsiTheme="minorHAnsi" w:cstheme="minorHAnsi"/>
          <w:sz w:val="22"/>
          <w:szCs w:val="22"/>
        </w:rPr>
        <w:t xml:space="preserve">. Highway </w:t>
      </w:r>
      <w:r w:rsidR="00A54338" w:rsidRPr="00894779">
        <w:rPr>
          <w:rFonts w:asciiTheme="minorHAnsi" w:hAnsiTheme="minorHAnsi" w:cstheme="minorHAnsi"/>
          <w:sz w:val="22"/>
          <w:szCs w:val="22"/>
        </w:rPr>
        <w:t xml:space="preserve">rehabilitation and </w:t>
      </w:r>
      <w:r w:rsidRPr="00894779">
        <w:rPr>
          <w:rFonts w:asciiTheme="minorHAnsi" w:hAnsiTheme="minorHAnsi" w:cstheme="minorHAnsi"/>
          <w:sz w:val="22"/>
          <w:szCs w:val="22"/>
        </w:rPr>
        <w:t xml:space="preserve">resealing was also undertaken in </w:t>
      </w:r>
      <w:r w:rsidR="00A54338" w:rsidRPr="00894779">
        <w:rPr>
          <w:rFonts w:asciiTheme="minorHAnsi" w:hAnsiTheme="minorHAnsi" w:cstheme="minorHAnsi"/>
          <w:sz w:val="22"/>
          <w:szCs w:val="22"/>
        </w:rPr>
        <w:t>many provinces</w:t>
      </w:r>
      <w:r w:rsidRPr="00894779">
        <w:rPr>
          <w:rFonts w:asciiTheme="minorHAnsi" w:hAnsiTheme="minorHAnsi" w:cstheme="minorHAnsi"/>
          <w:sz w:val="22"/>
          <w:szCs w:val="22"/>
        </w:rPr>
        <w:t>. Mobilisation of the Oro bridges replacement</w:t>
      </w:r>
      <w:r w:rsidRPr="00D1482F">
        <w:rPr>
          <w:rFonts w:asciiTheme="minorHAnsi" w:hAnsiTheme="minorHAnsi" w:cstheme="minorHAnsi"/>
          <w:sz w:val="22"/>
          <w:szCs w:val="22"/>
        </w:rPr>
        <w:t xml:space="preserve"> project commenced drawing upon </w:t>
      </w:r>
      <w:r w:rsidR="00806E64" w:rsidRPr="00D1482F">
        <w:rPr>
          <w:rFonts w:asciiTheme="minorHAnsi" w:hAnsiTheme="minorHAnsi" w:cstheme="minorHAnsi"/>
          <w:sz w:val="22"/>
          <w:szCs w:val="22"/>
        </w:rPr>
        <w:t>a 2007</w:t>
      </w:r>
      <w:r w:rsidRPr="00D1482F">
        <w:rPr>
          <w:rFonts w:asciiTheme="minorHAnsi" w:hAnsiTheme="minorHAnsi" w:cstheme="minorHAnsi"/>
          <w:sz w:val="22"/>
          <w:szCs w:val="22"/>
        </w:rPr>
        <w:t xml:space="preserve"> Performance Grant of </w:t>
      </w:r>
      <w:r w:rsidR="00E13A11">
        <w:rPr>
          <w:rFonts w:asciiTheme="minorHAnsi" w:hAnsiTheme="minorHAnsi" w:cstheme="minorHAnsi"/>
          <w:sz w:val="22"/>
          <w:szCs w:val="22"/>
        </w:rPr>
        <w:t>A</w:t>
      </w:r>
      <w:r w:rsidRPr="00D1482F">
        <w:rPr>
          <w:rFonts w:asciiTheme="minorHAnsi" w:hAnsiTheme="minorHAnsi" w:cstheme="minorHAnsi"/>
          <w:sz w:val="22"/>
          <w:szCs w:val="22"/>
        </w:rPr>
        <w:t>$</w:t>
      </w:r>
      <w:r w:rsidR="00A316AE" w:rsidRPr="00D1482F">
        <w:rPr>
          <w:rFonts w:asciiTheme="minorHAnsi" w:hAnsiTheme="minorHAnsi" w:cstheme="minorHAnsi"/>
          <w:sz w:val="22"/>
          <w:szCs w:val="22"/>
        </w:rPr>
        <w:t>35 million.</w:t>
      </w:r>
    </w:p>
    <w:p w:rsidR="00DB71C3" w:rsidRPr="00D1482F" w:rsidRDefault="00DB71C3" w:rsidP="00806E64">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A Visual Road Condition Survey (VRCS) of the entire national road network, which </w:t>
      </w:r>
      <w:r w:rsidRPr="00D1482F">
        <w:rPr>
          <w:rFonts w:asciiTheme="minorHAnsi" w:hAnsiTheme="minorHAnsi" w:cstheme="minorHAnsi"/>
          <w:sz w:val="22"/>
          <w:szCs w:val="22"/>
        </w:rPr>
        <w:t>mobilised in late 2013</w:t>
      </w:r>
      <w:r>
        <w:rPr>
          <w:rFonts w:asciiTheme="minorHAnsi" w:hAnsiTheme="minorHAnsi" w:cstheme="minorHAnsi"/>
          <w:sz w:val="22"/>
          <w:szCs w:val="22"/>
        </w:rPr>
        <w:t>,</w:t>
      </w:r>
      <w:r w:rsidRPr="00D1482F">
        <w:rPr>
          <w:rFonts w:asciiTheme="minorHAnsi" w:hAnsiTheme="minorHAnsi" w:cstheme="minorHAnsi"/>
          <w:sz w:val="22"/>
          <w:szCs w:val="22"/>
        </w:rPr>
        <w:t xml:space="preserve"> will improve the level and detail of data on actual road conditions.</w:t>
      </w:r>
    </w:p>
    <w:p w:rsidR="00DB71C3" w:rsidRPr="00DB71C3" w:rsidRDefault="00DB71C3" w:rsidP="00DB71C3">
      <w:pPr>
        <w:autoSpaceDE w:val="0"/>
        <w:autoSpaceDN w:val="0"/>
        <w:adjustRightInd w:val="0"/>
        <w:spacing w:after="120"/>
        <w:jc w:val="both"/>
        <w:rPr>
          <w:rFonts w:asciiTheme="minorHAnsi" w:hAnsiTheme="minorHAnsi" w:cstheme="minorHAnsi"/>
          <w:sz w:val="22"/>
          <w:szCs w:val="22"/>
        </w:rPr>
      </w:pPr>
      <w:r w:rsidRPr="00DB71C3">
        <w:rPr>
          <w:rFonts w:asciiTheme="minorHAnsi" w:hAnsiTheme="minorHAnsi" w:cstheme="minorHAnsi"/>
          <w:sz w:val="22"/>
          <w:szCs w:val="22"/>
        </w:rPr>
        <w:t>Australia is also supporting PNG with a major survey and design study for the Ramu</w:t>
      </w:r>
      <w:r w:rsidRPr="00DB71C3">
        <w:rPr>
          <w:rFonts w:asciiTheme="minorHAnsi" w:hAnsiTheme="minorHAnsi" w:cstheme="minorHAnsi"/>
          <w:sz w:val="22"/>
          <w:szCs w:val="22"/>
        </w:rPr>
        <w:noBreakHyphen/>
        <w:t xml:space="preserve">Madang Highway. </w:t>
      </w:r>
    </w:p>
    <w:p w:rsidR="00DB71C3" w:rsidRPr="00DB71C3" w:rsidRDefault="00DB71C3" w:rsidP="00DB71C3">
      <w:pPr>
        <w:autoSpaceDE w:val="0"/>
        <w:autoSpaceDN w:val="0"/>
        <w:adjustRightInd w:val="0"/>
        <w:spacing w:after="120"/>
        <w:jc w:val="both"/>
        <w:rPr>
          <w:rFonts w:asciiTheme="minorHAnsi" w:hAnsiTheme="minorHAnsi" w:cstheme="minorHAnsi"/>
          <w:sz w:val="22"/>
          <w:szCs w:val="22"/>
        </w:rPr>
      </w:pPr>
      <w:r w:rsidRPr="00DB71C3">
        <w:rPr>
          <w:rFonts w:asciiTheme="minorHAnsi" w:hAnsiTheme="minorHAnsi" w:cstheme="minorHAnsi"/>
          <w:sz w:val="22"/>
          <w:szCs w:val="22"/>
        </w:rPr>
        <w:t xml:space="preserve">In addition, Australia has played a significant role in PNG’s recent aviation and maritime policy reforms. Over the course of the year, the TSSP supported </w:t>
      </w:r>
      <w:r w:rsidRPr="00DB71C3">
        <w:rPr>
          <w:rFonts w:asciiTheme="minorHAnsi" w:hAnsiTheme="minorHAnsi" w:cstheme="minorHAnsi"/>
          <w:b/>
          <w:sz w:val="22"/>
          <w:szCs w:val="22"/>
        </w:rPr>
        <w:t>upgrading security screening at Jacksons Airport in Port Moresby, and safety equipment</w:t>
      </w:r>
      <w:r w:rsidRPr="00DB71C3">
        <w:rPr>
          <w:rFonts w:asciiTheme="minorHAnsi" w:hAnsiTheme="minorHAnsi" w:cstheme="minorHAnsi"/>
          <w:sz w:val="22"/>
          <w:szCs w:val="22"/>
        </w:rPr>
        <w:t xml:space="preserve"> at various sites to improve aviation and maritime safety. Positive dialogue between the two countries was exemplified by the annual Senior Transport Officials Meeting that included the Australian Deputy Prime Minister and PNG Minister for Transport. </w:t>
      </w:r>
    </w:p>
    <w:p w:rsidR="005F69EC" w:rsidRPr="00D1482F" w:rsidRDefault="00C42461" w:rsidP="00806E64">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Investments through the</w:t>
      </w:r>
      <w:r w:rsidRPr="00D1482F">
        <w:rPr>
          <w:rFonts w:asciiTheme="minorHAnsi" w:hAnsiTheme="minorHAnsi" w:cstheme="minorHAnsi"/>
          <w:sz w:val="22"/>
          <w:szCs w:val="22"/>
        </w:rPr>
        <w:t xml:space="preserve"> </w:t>
      </w:r>
      <w:r w:rsidR="005F69EC" w:rsidRPr="00D1482F">
        <w:rPr>
          <w:rFonts w:asciiTheme="minorHAnsi" w:hAnsiTheme="minorHAnsi" w:cstheme="minorHAnsi"/>
          <w:sz w:val="22"/>
          <w:szCs w:val="22"/>
        </w:rPr>
        <w:t>TSSP, SGP and MOU have strengthened</w:t>
      </w:r>
      <w:r w:rsidR="005F69EC" w:rsidRPr="00D1482F">
        <w:rPr>
          <w:rFonts w:asciiTheme="minorHAnsi" w:hAnsiTheme="minorHAnsi" w:cstheme="minorHAnsi"/>
          <w:b/>
          <w:sz w:val="22"/>
          <w:szCs w:val="22"/>
        </w:rPr>
        <w:t xml:space="preserve"> capacity in partner agencies</w:t>
      </w:r>
      <w:r w:rsidR="005F69EC" w:rsidRPr="00D1482F">
        <w:rPr>
          <w:rFonts w:asciiTheme="minorHAnsi" w:hAnsiTheme="minorHAnsi" w:cstheme="minorHAnsi"/>
          <w:sz w:val="22"/>
          <w:szCs w:val="22"/>
        </w:rPr>
        <w:t xml:space="preserve"> including for the maintenance of transport assets, procurement and contract management, planning, budg</w:t>
      </w:r>
      <w:r w:rsidR="00A54338">
        <w:rPr>
          <w:rFonts w:asciiTheme="minorHAnsi" w:hAnsiTheme="minorHAnsi" w:cstheme="minorHAnsi"/>
          <w:sz w:val="22"/>
          <w:szCs w:val="22"/>
        </w:rPr>
        <w:t>eting, and sector coordination.</w:t>
      </w:r>
      <w:r w:rsidR="005F69EC" w:rsidRPr="00D1482F">
        <w:rPr>
          <w:rFonts w:asciiTheme="minorHAnsi" w:hAnsiTheme="minorHAnsi" w:cstheme="minorHAnsi"/>
          <w:sz w:val="22"/>
          <w:szCs w:val="22"/>
        </w:rPr>
        <w:t xml:space="preserve"> Through </w:t>
      </w:r>
      <w:r w:rsidR="00DB71C3">
        <w:rPr>
          <w:rFonts w:asciiTheme="minorHAnsi" w:hAnsiTheme="minorHAnsi" w:cstheme="minorHAnsi"/>
          <w:sz w:val="22"/>
          <w:szCs w:val="22"/>
        </w:rPr>
        <w:t>these delivery mechanisms</w:t>
      </w:r>
      <w:r w:rsidR="005F69EC" w:rsidRPr="00D1482F">
        <w:rPr>
          <w:rFonts w:asciiTheme="minorHAnsi" w:hAnsiTheme="minorHAnsi" w:cstheme="minorHAnsi"/>
          <w:sz w:val="22"/>
          <w:szCs w:val="22"/>
        </w:rPr>
        <w:t>, Australia has supported 10 departmen</w:t>
      </w:r>
      <w:r w:rsidR="00A54338">
        <w:rPr>
          <w:rFonts w:asciiTheme="minorHAnsi" w:hAnsiTheme="minorHAnsi" w:cstheme="minorHAnsi"/>
          <w:sz w:val="22"/>
          <w:szCs w:val="22"/>
        </w:rPr>
        <w:t>ts to plan, design and deliver</w:t>
      </w:r>
      <w:r w:rsidR="005F69EC" w:rsidRPr="00D1482F">
        <w:rPr>
          <w:rFonts w:asciiTheme="minorHAnsi" w:hAnsiTheme="minorHAnsi" w:cstheme="minorHAnsi"/>
          <w:sz w:val="22"/>
          <w:szCs w:val="22"/>
        </w:rPr>
        <w:t xml:space="preserve"> transport sector </w:t>
      </w:r>
      <w:r w:rsidR="00A54338">
        <w:rPr>
          <w:rFonts w:asciiTheme="minorHAnsi" w:hAnsiTheme="minorHAnsi" w:cstheme="minorHAnsi"/>
          <w:sz w:val="22"/>
          <w:szCs w:val="22"/>
        </w:rPr>
        <w:t>investments</w:t>
      </w:r>
      <w:r w:rsidR="005F69EC" w:rsidRPr="00D1482F">
        <w:rPr>
          <w:rFonts w:asciiTheme="minorHAnsi" w:hAnsiTheme="minorHAnsi" w:cstheme="minorHAnsi"/>
          <w:sz w:val="22"/>
          <w:szCs w:val="22"/>
        </w:rPr>
        <w:t xml:space="preserve"> of over K159 million. A Quarterly Roads Maintenance Committee (QRMC) </w:t>
      </w:r>
      <w:r>
        <w:rPr>
          <w:rFonts w:asciiTheme="minorHAnsi" w:hAnsiTheme="minorHAnsi" w:cstheme="minorHAnsi"/>
          <w:sz w:val="22"/>
          <w:szCs w:val="22"/>
        </w:rPr>
        <w:t>that</w:t>
      </w:r>
      <w:r w:rsidRPr="00D1482F">
        <w:rPr>
          <w:rFonts w:asciiTheme="minorHAnsi" w:hAnsiTheme="minorHAnsi" w:cstheme="minorHAnsi"/>
          <w:sz w:val="22"/>
          <w:szCs w:val="22"/>
        </w:rPr>
        <w:t xml:space="preserve"> </w:t>
      </w:r>
      <w:r w:rsidR="005F69EC" w:rsidRPr="00D1482F">
        <w:rPr>
          <w:rFonts w:asciiTheme="minorHAnsi" w:hAnsiTheme="minorHAnsi" w:cstheme="minorHAnsi"/>
          <w:sz w:val="22"/>
          <w:szCs w:val="22"/>
        </w:rPr>
        <w:t>provide</w:t>
      </w:r>
      <w:r>
        <w:rPr>
          <w:rFonts w:asciiTheme="minorHAnsi" w:hAnsiTheme="minorHAnsi" w:cstheme="minorHAnsi"/>
          <w:sz w:val="22"/>
          <w:szCs w:val="22"/>
        </w:rPr>
        <w:t>s</w:t>
      </w:r>
      <w:r w:rsidR="005F69EC" w:rsidRPr="00D1482F">
        <w:rPr>
          <w:rFonts w:asciiTheme="minorHAnsi" w:hAnsiTheme="minorHAnsi" w:cstheme="minorHAnsi"/>
          <w:sz w:val="22"/>
          <w:szCs w:val="22"/>
        </w:rPr>
        <w:t xml:space="preserve"> </w:t>
      </w:r>
      <w:r w:rsidR="00A54338">
        <w:rPr>
          <w:rFonts w:asciiTheme="minorHAnsi" w:hAnsiTheme="minorHAnsi" w:cstheme="minorHAnsi"/>
          <w:sz w:val="22"/>
          <w:szCs w:val="22"/>
        </w:rPr>
        <w:t xml:space="preserve">strategic </w:t>
      </w:r>
      <w:r w:rsidR="005F69EC" w:rsidRPr="00D1482F">
        <w:rPr>
          <w:rFonts w:asciiTheme="minorHAnsi" w:hAnsiTheme="minorHAnsi" w:cstheme="minorHAnsi"/>
          <w:sz w:val="22"/>
          <w:szCs w:val="22"/>
        </w:rPr>
        <w:t>oversight of the national maintenance program</w:t>
      </w:r>
      <w:r w:rsidR="00A54338">
        <w:rPr>
          <w:rFonts w:asciiTheme="minorHAnsi" w:hAnsiTheme="minorHAnsi" w:cstheme="minorHAnsi"/>
          <w:sz w:val="22"/>
          <w:szCs w:val="22"/>
        </w:rPr>
        <w:t xml:space="preserve"> was established by the Department of Works with TSSP support. It</w:t>
      </w:r>
      <w:r w:rsidR="005F69EC" w:rsidRPr="00D1482F" w:rsidDel="00BD414C">
        <w:rPr>
          <w:rFonts w:asciiTheme="minorHAnsi" w:hAnsiTheme="minorHAnsi" w:cstheme="minorHAnsi"/>
          <w:sz w:val="22"/>
          <w:szCs w:val="22"/>
        </w:rPr>
        <w:t xml:space="preserve"> </w:t>
      </w:r>
      <w:r w:rsidR="005F69EC" w:rsidRPr="00D1482F">
        <w:rPr>
          <w:rFonts w:asciiTheme="minorHAnsi" w:hAnsiTheme="minorHAnsi" w:cstheme="minorHAnsi"/>
          <w:sz w:val="22"/>
          <w:szCs w:val="22"/>
        </w:rPr>
        <w:t xml:space="preserve">includes the PNG Government and </w:t>
      </w:r>
      <w:r w:rsidR="00A54338">
        <w:rPr>
          <w:rFonts w:asciiTheme="minorHAnsi" w:hAnsiTheme="minorHAnsi" w:cstheme="minorHAnsi"/>
          <w:sz w:val="22"/>
          <w:szCs w:val="22"/>
        </w:rPr>
        <w:t xml:space="preserve">all major </w:t>
      </w:r>
      <w:r w:rsidR="005F69EC" w:rsidRPr="00D1482F">
        <w:rPr>
          <w:rFonts w:asciiTheme="minorHAnsi" w:hAnsiTheme="minorHAnsi" w:cstheme="minorHAnsi"/>
          <w:sz w:val="22"/>
          <w:szCs w:val="22"/>
        </w:rPr>
        <w:t>donor agencies</w:t>
      </w:r>
      <w:r w:rsidR="00A54338">
        <w:rPr>
          <w:rFonts w:asciiTheme="minorHAnsi" w:hAnsiTheme="minorHAnsi" w:cstheme="minorHAnsi"/>
          <w:sz w:val="22"/>
          <w:szCs w:val="22"/>
        </w:rPr>
        <w:t xml:space="preserve"> in a major initiative to more effectively coordinate activities across the entire road network</w:t>
      </w:r>
      <w:r w:rsidR="00806E64" w:rsidRPr="00D1482F">
        <w:rPr>
          <w:rFonts w:asciiTheme="minorHAnsi" w:hAnsiTheme="minorHAnsi" w:cstheme="minorHAnsi"/>
          <w:sz w:val="22"/>
          <w:szCs w:val="22"/>
        </w:rPr>
        <w:t>.</w:t>
      </w:r>
      <w:r w:rsidR="005F69EC" w:rsidRPr="00D1482F">
        <w:rPr>
          <w:rFonts w:asciiTheme="minorHAnsi" w:hAnsiTheme="minorHAnsi" w:cstheme="minorHAnsi"/>
          <w:sz w:val="22"/>
          <w:szCs w:val="22"/>
        </w:rPr>
        <w:t xml:space="preserve">  </w:t>
      </w:r>
      <w:r w:rsidR="00A54338">
        <w:rPr>
          <w:rFonts w:asciiTheme="minorHAnsi" w:hAnsiTheme="minorHAnsi" w:cstheme="minorHAnsi"/>
          <w:sz w:val="22"/>
          <w:szCs w:val="22"/>
        </w:rPr>
        <w:t>In 2014-15 Australia</w:t>
      </w:r>
      <w:r w:rsidR="00806E64" w:rsidRPr="00D1482F">
        <w:rPr>
          <w:rFonts w:asciiTheme="minorHAnsi" w:hAnsiTheme="minorHAnsi" w:cstheme="minorHAnsi"/>
          <w:sz w:val="22"/>
          <w:szCs w:val="22"/>
        </w:rPr>
        <w:t xml:space="preserve"> will extend the </w:t>
      </w:r>
      <w:r w:rsidR="00A54338">
        <w:rPr>
          <w:rFonts w:asciiTheme="minorHAnsi" w:hAnsiTheme="minorHAnsi" w:cstheme="minorHAnsi"/>
          <w:sz w:val="22"/>
          <w:szCs w:val="22"/>
        </w:rPr>
        <w:t xml:space="preserve">TSSP </w:t>
      </w:r>
      <w:r w:rsidR="00806E64" w:rsidRPr="00D1482F">
        <w:rPr>
          <w:rFonts w:asciiTheme="minorHAnsi" w:hAnsiTheme="minorHAnsi" w:cstheme="minorHAnsi"/>
          <w:sz w:val="22"/>
          <w:szCs w:val="22"/>
        </w:rPr>
        <w:t xml:space="preserve">capacity building support to </w:t>
      </w:r>
      <w:r w:rsidR="00A54338">
        <w:rPr>
          <w:rFonts w:asciiTheme="minorHAnsi" w:hAnsiTheme="minorHAnsi" w:cstheme="minorHAnsi"/>
          <w:sz w:val="22"/>
          <w:szCs w:val="22"/>
        </w:rPr>
        <w:t xml:space="preserve">key </w:t>
      </w:r>
      <w:r w:rsidR="00806E64" w:rsidRPr="00D1482F">
        <w:rPr>
          <w:rFonts w:asciiTheme="minorHAnsi" w:hAnsiTheme="minorHAnsi" w:cstheme="minorHAnsi"/>
          <w:sz w:val="22"/>
          <w:szCs w:val="22"/>
        </w:rPr>
        <w:t>central agencies that directly influen</w:t>
      </w:r>
      <w:r w:rsidR="00A316AE" w:rsidRPr="00D1482F">
        <w:rPr>
          <w:rFonts w:asciiTheme="minorHAnsi" w:hAnsiTheme="minorHAnsi" w:cstheme="minorHAnsi"/>
          <w:sz w:val="22"/>
          <w:szCs w:val="22"/>
        </w:rPr>
        <w:t>ce sector budget and planning.</w:t>
      </w:r>
    </w:p>
    <w:p w:rsidR="005F69EC" w:rsidRPr="00D1482F" w:rsidRDefault="005F69EC" w:rsidP="00806E64">
      <w:pPr>
        <w:autoSpaceDE w:val="0"/>
        <w:autoSpaceDN w:val="0"/>
        <w:adjustRightInd w:val="0"/>
        <w:spacing w:after="120"/>
        <w:jc w:val="both"/>
        <w:rPr>
          <w:rFonts w:asciiTheme="minorHAnsi" w:hAnsiTheme="minorHAnsi" w:cstheme="minorHAnsi"/>
          <w:sz w:val="22"/>
          <w:szCs w:val="22"/>
        </w:rPr>
      </w:pPr>
      <w:r w:rsidRPr="00D1482F">
        <w:rPr>
          <w:rFonts w:asciiTheme="minorHAnsi" w:hAnsiTheme="minorHAnsi" w:cstheme="minorHAnsi"/>
          <w:sz w:val="22"/>
          <w:szCs w:val="22"/>
        </w:rPr>
        <w:t xml:space="preserve">In 2013, a transition period between TSSP Phases 1 and </w:t>
      </w:r>
      <w:r w:rsidR="00806E64" w:rsidRPr="00D1482F">
        <w:rPr>
          <w:rFonts w:asciiTheme="minorHAnsi" w:hAnsiTheme="minorHAnsi" w:cstheme="minorHAnsi"/>
          <w:sz w:val="22"/>
          <w:szCs w:val="22"/>
        </w:rPr>
        <w:t>2</w:t>
      </w:r>
      <w:r w:rsidRPr="00D1482F">
        <w:rPr>
          <w:rFonts w:asciiTheme="minorHAnsi" w:hAnsiTheme="minorHAnsi" w:cstheme="minorHAnsi"/>
          <w:sz w:val="22"/>
          <w:szCs w:val="22"/>
        </w:rPr>
        <w:t xml:space="preserve"> resulted in the demobilisation of </w:t>
      </w:r>
      <w:r w:rsidR="00A54338">
        <w:rPr>
          <w:rFonts w:asciiTheme="minorHAnsi" w:hAnsiTheme="minorHAnsi" w:cstheme="minorHAnsi"/>
          <w:sz w:val="22"/>
          <w:szCs w:val="22"/>
        </w:rPr>
        <w:t xml:space="preserve">a number of key policy advisers. </w:t>
      </w:r>
      <w:r w:rsidRPr="00D1482F">
        <w:rPr>
          <w:rFonts w:asciiTheme="minorHAnsi" w:hAnsiTheme="minorHAnsi" w:cstheme="minorHAnsi"/>
          <w:sz w:val="22"/>
          <w:szCs w:val="22"/>
        </w:rPr>
        <w:t>Notwithstanding this, the program continued to support</w:t>
      </w:r>
      <w:r w:rsidR="00A54338">
        <w:rPr>
          <w:rFonts w:asciiTheme="minorHAnsi" w:hAnsiTheme="minorHAnsi" w:cstheme="minorHAnsi"/>
          <w:sz w:val="22"/>
          <w:szCs w:val="22"/>
        </w:rPr>
        <w:t xml:space="preserve"> a range of cross-cutting policy initiatives and</w:t>
      </w:r>
      <w:r w:rsidRPr="00D1482F">
        <w:rPr>
          <w:rFonts w:asciiTheme="minorHAnsi" w:hAnsiTheme="minorHAnsi" w:cstheme="minorHAnsi"/>
          <w:b/>
          <w:sz w:val="22"/>
          <w:szCs w:val="22"/>
        </w:rPr>
        <w:t xml:space="preserve"> gender-focused activities</w:t>
      </w:r>
      <w:r w:rsidRPr="00D1482F">
        <w:rPr>
          <w:rFonts w:asciiTheme="minorHAnsi" w:hAnsiTheme="minorHAnsi" w:cstheme="minorHAnsi"/>
          <w:sz w:val="22"/>
          <w:szCs w:val="22"/>
        </w:rPr>
        <w:t xml:space="preserve"> through the Gender and HIV/AIDS Human Resource Reference Group. The TSSP supported four sector agencies to develop their gender policies and five ag</w:t>
      </w:r>
      <w:r w:rsidR="004B0E18">
        <w:rPr>
          <w:rFonts w:asciiTheme="minorHAnsi" w:hAnsiTheme="minorHAnsi" w:cstheme="minorHAnsi"/>
          <w:sz w:val="22"/>
          <w:szCs w:val="22"/>
        </w:rPr>
        <w:t>encies to develop workplace HIV/</w:t>
      </w:r>
      <w:r w:rsidRPr="00D1482F">
        <w:rPr>
          <w:rFonts w:asciiTheme="minorHAnsi" w:hAnsiTheme="minorHAnsi" w:cstheme="minorHAnsi"/>
          <w:sz w:val="22"/>
          <w:szCs w:val="22"/>
        </w:rPr>
        <w:t xml:space="preserve">AIDS policies. All TSSP road contracts include </w:t>
      </w:r>
      <w:r w:rsidR="00A54338">
        <w:rPr>
          <w:rFonts w:asciiTheme="minorHAnsi" w:hAnsiTheme="minorHAnsi" w:cstheme="minorHAnsi"/>
          <w:sz w:val="22"/>
          <w:szCs w:val="22"/>
        </w:rPr>
        <w:t xml:space="preserve">the requirement for </w:t>
      </w:r>
      <w:r w:rsidRPr="00D1482F">
        <w:rPr>
          <w:rFonts w:asciiTheme="minorHAnsi" w:hAnsiTheme="minorHAnsi" w:cstheme="minorHAnsi"/>
          <w:sz w:val="22"/>
          <w:szCs w:val="22"/>
        </w:rPr>
        <w:t xml:space="preserve">HIV/AIDS and domestic violence awareness activities. </w:t>
      </w:r>
    </w:p>
    <w:p w:rsidR="00A316AE" w:rsidRPr="00D1482F" w:rsidRDefault="005F69EC" w:rsidP="00A316AE">
      <w:pPr>
        <w:autoSpaceDE w:val="0"/>
        <w:autoSpaceDN w:val="0"/>
        <w:adjustRightInd w:val="0"/>
        <w:spacing w:after="120"/>
        <w:jc w:val="both"/>
        <w:rPr>
          <w:rFonts w:asciiTheme="minorHAnsi" w:hAnsiTheme="minorHAnsi" w:cstheme="minorHAnsi"/>
          <w:sz w:val="22"/>
          <w:szCs w:val="22"/>
        </w:rPr>
      </w:pPr>
      <w:r w:rsidRPr="00D1482F">
        <w:rPr>
          <w:rFonts w:asciiTheme="minorHAnsi" w:hAnsiTheme="minorHAnsi" w:cstheme="minorHAnsi"/>
          <w:sz w:val="22"/>
          <w:szCs w:val="22"/>
        </w:rPr>
        <w:t xml:space="preserve">The aid program is also </w:t>
      </w:r>
      <w:r w:rsidRPr="00D1482F">
        <w:rPr>
          <w:rFonts w:asciiTheme="minorHAnsi" w:hAnsiTheme="minorHAnsi" w:cstheme="minorHAnsi"/>
          <w:b/>
          <w:sz w:val="22"/>
          <w:szCs w:val="22"/>
        </w:rPr>
        <w:t>improving relevant knowledge</w:t>
      </w:r>
      <w:r w:rsidRPr="00D1482F">
        <w:rPr>
          <w:rFonts w:asciiTheme="minorHAnsi" w:hAnsiTheme="minorHAnsi" w:cstheme="minorHAnsi"/>
          <w:sz w:val="22"/>
          <w:szCs w:val="22"/>
        </w:rPr>
        <w:t xml:space="preserve"> within the sector. DFAT commissioned a Research Working Paper </w:t>
      </w:r>
      <w:r w:rsidRPr="00D1482F">
        <w:rPr>
          <w:rFonts w:asciiTheme="minorHAnsi" w:hAnsiTheme="minorHAnsi" w:cstheme="minorHAnsi"/>
          <w:i/>
          <w:sz w:val="22"/>
          <w:szCs w:val="22"/>
        </w:rPr>
        <w:t>“Travelling Together: improving the access of people with disability to road infrastructure in Papua New Guinea”</w:t>
      </w:r>
      <w:r w:rsidRPr="00D1482F">
        <w:rPr>
          <w:rFonts w:asciiTheme="minorHAnsi" w:hAnsiTheme="minorHAnsi" w:cstheme="minorHAnsi"/>
          <w:sz w:val="22"/>
          <w:szCs w:val="22"/>
        </w:rPr>
        <w:t xml:space="preserve"> (March 2013). This was followed by publication of the </w:t>
      </w:r>
      <w:r w:rsidRPr="00D1482F">
        <w:rPr>
          <w:rFonts w:asciiTheme="minorHAnsi" w:hAnsiTheme="minorHAnsi" w:cstheme="minorHAnsi"/>
          <w:i/>
          <w:sz w:val="22"/>
          <w:szCs w:val="22"/>
        </w:rPr>
        <w:t>“Universal Design Principles - Accessibility Design Guide”</w:t>
      </w:r>
      <w:r w:rsidRPr="00D1482F">
        <w:rPr>
          <w:rFonts w:asciiTheme="minorHAnsi" w:hAnsiTheme="minorHAnsi" w:cstheme="minorHAnsi"/>
          <w:sz w:val="22"/>
          <w:szCs w:val="22"/>
        </w:rPr>
        <w:t xml:space="preserve"> to support improved infrastructure designs</w:t>
      </w:r>
      <w:r w:rsidR="00A316AE" w:rsidRPr="00D1482F">
        <w:rPr>
          <w:rFonts w:asciiTheme="minorHAnsi" w:hAnsiTheme="minorHAnsi" w:cstheme="minorHAnsi"/>
          <w:sz w:val="22"/>
          <w:szCs w:val="22"/>
        </w:rPr>
        <w:t xml:space="preserve">. </w:t>
      </w:r>
    </w:p>
    <w:p w:rsidR="005F69EC" w:rsidRPr="00D1482F" w:rsidRDefault="005F69EC" w:rsidP="00A316AE">
      <w:pPr>
        <w:autoSpaceDE w:val="0"/>
        <w:autoSpaceDN w:val="0"/>
        <w:adjustRightInd w:val="0"/>
        <w:spacing w:after="120"/>
        <w:jc w:val="both"/>
        <w:rPr>
          <w:rFonts w:asciiTheme="minorHAnsi" w:hAnsiTheme="minorHAnsi" w:cstheme="minorHAnsi"/>
          <w:sz w:val="22"/>
          <w:szCs w:val="22"/>
        </w:rPr>
      </w:pPr>
      <w:r w:rsidRPr="00D1482F">
        <w:rPr>
          <w:rFonts w:asciiTheme="minorHAnsi" w:hAnsiTheme="minorHAnsi" w:cstheme="minorHAnsi"/>
          <w:b/>
          <w:sz w:val="22"/>
          <w:szCs w:val="22"/>
        </w:rPr>
        <w:t>Key Risks and Challenges</w:t>
      </w:r>
    </w:p>
    <w:p w:rsidR="005F69EC" w:rsidRPr="00D1482F" w:rsidRDefault="005F69EC" w:rsidP="00806E64">
      <w:pPr>
        <w:autoSpaceDE w:val="0"/>
        <w:autoSpaceDN w:val="0"/>
        <w:adjustRightInd w:val="0"/>
        <w:spacing w:after="120"/>
        <w:jc w:val="both"/>
        <w:rPr>
          <w:rFonts w:asciiTheme="minorHAnsi" w:hAnsiTheme="minorHAnsi" w:cstheme="minorHAnsi"/>
          <w:szCs w:val="22"/>
        </w:rPr>
      </w:pPr>
      <w:r w:rsidRPr="00894779">
        <w:rPr>
          <w:rFonts w:asciiTheme="minorHAnsi" w:hAnsiTheme="minorHAnsi" w:cstheme="minorHAnsi"/>
          <w:sz w:val="22"/>
          <w:szCs w:val="22"/>
        </w:rPr>
        <w:t>The impact of Australia’s support to PNG’s infrastructure sector in the future will be affected by a number of challenges and risks.</w:t>
      </w:r>
      <w:r w:rsidR="00A316AE" w:rsidRPr="00894779">
        <w:rPr>
          <w:rFonts w:asciiTheme="minorHAnsi" w:hAnsiTheme="minorHAnsi" w:cstheme="minorHAnsi"/>
          <w:b/>
          <w:sz w:val="22"/>
          <w:szCs w:val="22"/>
        </w:rPr>
        <w:t xml:space="preserve"> </w:t>
      </w:r>
      <w:r w:rsidRPr="00894779">
        <w:rPr>
          <w:rFonts w:asciiTheme="minorHAnsi" w:hAnsiTheme="minorHAnsi" w:cstheme="minorHAnsi"/>
          <w:b/>
          <w:sz w:val="22"/>
          <w:szCs w:val="22"/>
        </w:rPr>
        <w:t>Systemic financing, procurement and implementation capacity constraints</w:t>
      </w:r>
      <w:r w:rsidRPr="00894779">
        <w:rPr>
          <w:rFonts w:asciiTheme="minorHAnsi" w:hAnsiTheme="minorHAnsi" w:cstheme="minorHAnsi"/>
          <w:sz w:val="22"/>
          <w:szCs w:val="22"/>
        </w:rPr>
        <w:t xml:space="preserve"> exist within the sector, and more broadly across the PNG Government. The</w:t>
      </w:r>
      <w:r w:rsidR="00A54338" w:rsidRPr="00894779">
        <w:rPr>
          <w:rFonts w:asciiTheme="minorHAnsi" w:hAnsiTheme="minorHAnsi" w:cstheme="minorHAnsi"/>
          <w:sz w:val="22"/>
          <w:szCs w:val="22"/>
        </w:rPr>
        <w:t xml:space="preserve"> s</w:t>
      </w:r>
      <w:r w:rsidRPr="00894779">
        <w:rPr>
          <w:rFonts w:asciiTheme="minorHAnsi" w:hAnsiTheme="minorHAnsi" w:cstheme="minorHAnsi"/>
          <w:sz w:val="22"/>
          <w:szCs w:val="22"/>
        </w:rPr>
        <w:t>ector</w:t>
      </w:r>
      <w:r w:rsidR="00A54338" w:rsidRPr="00894779">
        <w:rPr>
          <w:rFonts w:asciiTheme="minorHAnsi" w:hAnsiTheme="minorHAnsi" w:cstheme="minorHAnsi"/>
          <w:sz w:val="22"/>
          <w:szCs w:val="22"/>
        </w:rPr>
        <w:t xml:space="preserve"> is well coordinated by way of regular meetings of the Transport Sector Coordination, Monitoring and Implementation Commi</w:t>
      </w:r>
      <w:r w:rsidR="00DB71C3" w:rsidRPr="00894779">
        <w:rPr>
          <w:rFonts w:asciiTheme="minorHAnsi" w:hAnsiTheme="minorHAnsi" w:cstheme="minorHAnsi"/>
          <w:sz w:val="22"/>
          <w:szCs w:val="22"/>
        </w:rPr>
        <w:t xml:space="preserve">ttee (TSCMIC) attended by ten </w:t>
      </w:r>
      <w:r w:rsidR="00A54338" w:rsidRPr="00894779">
        <w:rPr>
          <w:rFonts w:asciiTheme="minorHAnsi" w:hAnsiTheme="minorHAnsi" w:cstheme="minorHAnsi"/>
          <w:sz w:val="22"/>
          <w:szCs w:val="22"/>
        </w:rPr>
        <w:t>PNG</w:t>
      </w:r>
      <w:r w:rsidR="00DB71C3" w:rsidRPr="00894779">
        <w:rPr>
          <w:rFonts w:asciiTheme="minorHAnsi" w:hAnsiTheme="minorHAnsi" w:cstheme="minorHAnsi"/>
          <w:sz w:val="22"/>
          <w:szCs w:val="22"/>
        </w:rPr>
        <w:t xml:space="preserve"> Government</w:t>
      </w:r>
      <w:r w:rsidR="00A54338" w:rsidRPr="00894779">
        <w:rPr>
          <w:rFonts w:asciiTheme="minorHAnsi" w:hAnsiTheme="minorHAnsi" w:cstheme="minorHAnsi"/>
          <w:sz w:val="22"/>
          <w:szCs w:val="22"/>
        </w:rPr>
        <w:t xml:space="preserve"> transport agency heads, key central finance and planning departments and major donors.  TSCMIC serves as the mech</w:t>
      </w:r>
      <w:r w:rsidR="00DB2E94" w:rsidRPr="00894779">
        <w:rPr>
          <w:rFonts w:asciiTheme="minorHAnsi" w:hAnsiTheme="minorHAnsi" w:cstheme="minorHAnsi"/>
          <w:sz w:val="22"/>
          <w:szCs w:val="22"/>
        </w:rPr>
        <w:t>anism to produce a sector wide b</w:t>
      </w:r>
      <w:r w:rsidR="00A54338" w:rsidRPr="00894779">
        <w:rPr>
          <w:rFonts w:asciiTheme="minorHAnsi" w:hAnsiTheme="minorHAnsi" w:cstheme="minorHAnsi"/>
          <w:sz w:val="22"/>
          <w:szCs w:val="22"/>
        </w:rPr>
        <w:t>udget submission that prioritises projects according to</w:t>
      </w:r>
      <w:r w:rsidR="00703589" w:rsidRPr="00894779">
        <w:rPr>
          <w:rFonts w:asciiTheme="minorHAnsi" w:hAnsiTheme="minorHAnsi" w:cstheme="minorHAnsi"/>
          <w:sz w:val="22"/>
          <w:szCs w:val="22"/>
        </w:rPr>
        <w:t xml:space="preserve"> national planning blueprints. </w:t>
      </w:r>
      <w:r w:rsidR="00A54338" w:rsidRPr="00894779">
        <w:rPr>
          <w:rFonts w:asciiTheme="minorHAnsi" w:hAnsiTheme="minorHAnsi" w:cstheme="minorHAnsi"/>
          <w:sz w:val="22"/>
          <w:szCs w:val="22"/>
        </w:rPr>
        <w:t xml:space="preserve">Unfortunately, </w:t>
      </w:r>
      <w:r w:rsidR="004B28BE">
        <w:rPr>
          <w:rFonts w:asciiTheme="minorHAnsi" w:hAnsiTheme="minorHAnsi" w:cstheme="minorHAnsi"/>
          <w:sz w:val="22"/>
          <w:szCs w:val="22"/>
        </w:rPr>
        <w:t>d</w:t>
      </w:r>
      <w:r w:rsidRPr="00894779">
        <w:rPr>
          <w:rFonts w:asciiTheme="minorHAnsi" w:hAnsiTheme="minorHAnsi" w:cstheme="minorHAnsi"/>
          <w:sz w:val="22"/>
          <w:szCs w:val="22"/>
        </w:rPr>
        <w:t>ecisions on infrastructure</w:t>
      </w:r>
      <w:r w:rsidRPr="00DD40C7">
        <w:rPr>
          <w:rFonts w:asciiTheme="minorHAnsi" w:hAnsiTheme="minorHAnsi" w:cstheme="minorHAnsi"/>
          <w:sz w:val="22"/>
          <w:szCs w:val="22"/>
        </w:rPr>
        <w:t xml:space="preserve"> projects are often </w:t>
      </w:r>
      <w:r w:rsidR="004B28BE">
        <w:rPr>
          <w:rFonts w:asciiTheme="minorHAnsi" w:hAnsiTheme="minorHAnsi" w:cstheme="minorHAnsi"/>
          <w:sz w:val="22"/>
          <w:szCs w:val="22"/>
        </w:rPr>
        <w:t>made without considered input from officials</w:t>
      </w:r>
      <w:r w:rsidR="00C80894">
        <w:rPr>
          <w:rFonts w:asciiTheme="minorHAnsi" w:hAnsiTheme="minorHAnsi" w:cstheme="minorHAnsi"/>
          <w:sz w:val="22"/>
          <w:szCs w:val="22"/>
        </w:rPr>
        <w:t>,</w:t>
      </w:r>
      <w:r w:rsidR="004B28BE">
        <w:rPr>
          <w:rFonts w:asciiTheme="minorHAnsi" w:hAnsiTheme="minorHAnsi" w:cstheme="minorHAnsi"/>
          <w:sz w:val="22"/>
          <w:szCs w:val="22"/>
        </w:rPr>
        <w:t xml:space="preserve"> resulting in </w:t>
      </w:r>
      <w:r w:rsidRPr="00DD40C7">
        <w:rPr>
          <w:rFonts w:asciiTheme="minorHAnsi" w:hAnsiTheme="minorHAnsi" w:cstheme="minorHAnsi"/>
          <w:sz w:val="22"/>
          <w:szCs w:val="22"/>
        </w:rPr>
        <w:t>project cancellations</w:t>
      </w:r>
      <w:r w:rsidRPr="00D1482F">
        <w:rPr>
          <w:rFonts w:asciiTheme="minorHAnsi" w:hAnsiTheme="minorHAnsi" w:cstheme="minorHAnsi"/>
          <w:sz w:val="22"/>
          <w:szCs w:val="22"/>
        </w:rPr>
        <w:t xml:space="preserve"> or commitments to new and large infrastructure activities</w:t>
      </w:r>
      <w:r w:rsidR="00DB2E94">
        <w:rPr>
          <w:rFonts w:asciiTheme="minorHAnsi" w:hAnsiTheme="minorHAnsi" w:cstheme="minorHAnsi"/>
          <w:sz w:val="22"/>
          <w:szCs w:val="22"/>
        </w:rPr>
        <w:t xml:space="preserve"> without rationale or planning</w:t>
      </w:r>
      <w:r w:rsidRPr="00D1482F">
        <w:rPr>
          <w:rFonts w:asciiTheme="minorHAnsi" w:hAnsiTheme="minorHAnsi" w:cstheme="minorHAnsi"/>
          <w:sz w:val="22"/>
          <w:szCs w:val="22"/>
        </w:rPr>
        <w:t xml:space="preserve">. Improving transparency and accountability in </w:t>
      </w:r>
      <w:r w:rsidR="00DB2E94">
        <w:rPr>
          <w:rFonts w:asciiTheme="minorHAnsi" w:hAnsiTheme="minorHAnsi" w:cstheme="minorHAnsi"/>
          <w:sz w:val="22"/>
          <w:szCs w:val="22"/>
        </w:rPr>
        <w:t xml:space="preserve">budget processes and </w:t>
      </w:r>
      <w:r w:rsidRPr="00D1482F">
        <w:rPr>
          <w:rFonts w:asciiTheme="minorHAnsi" w:hAnsiTheme="minorHAnsi" w:cstheme="minorHAnsi"/>
          <w:sz w:val="22"/>
          <w:szCs w:val="22"/>
        </w:rPr>
        <w:t>decision-making</w:t>
      </w:r>
      <w:r w:rsidR="00DB2E94">
        <w:rPr>
          <w:rFonts w:asciiTheme="minorHAnsi" w:hAnsiTheme="minorHAnsi" w:cstheme="minorHAnsi"/>
          <w:sz w:val="22"/>
          <w:szCs w:val="22"/>
        </w:rPr>
        <w:t xml:space="preserve"> </w:t>
      </w:r>
      <w:r w:rsidRPr="00D1482F">
        <w:rPr>
          <w:rFonts w:asciiTheme="minorHAnsi" w:hAnsiTheme="minorHAnsi" w:cstheme="minorHAnsi"/>
          <w:sz w:val="22"/>
          <w:szCs w:val="22"/>
        </w:rPr>
        <w:t>in the transport sector will continue to be a f</w:t>
      </w:r>
      <w:r w:rsidR="00A316AE" w:rsidRPr="00D1482F">
        <w:rPr>
          <w:rFonts w:asciiTheme="minorHAnsi" w:hAnsiTheme="minorHAnsi" w:cstheme="minorHAnsi"/>
          <w:sz w:val="22"/>
          <w:szCs w:val="22"/>
        </w:rPr>
        <w:t>ocus of Australia’s engagement.</w:t>
      </w:r>
    </w:p>
    <w:p w:rsidR="005F69EC" w:rsidRPr="00D1482F" w:rsidRDefault="005F69EC" w:rsidP="00806E64">
      <w:pPr>
        <w:autoSpaceDE w:val="0"/>
        <w:autoSpaceDN w:val="0"/>
        <w:adjustRightInd w:val="0"/>
        <w:spacing w:after="120"/>
        <w:jc w:val="both"/>
        <w:rPr>
          <w:rFonts w:asciiTheme="minorHAnsi" w:hAnsiTheme="minorHAnsi" w:cstheme="minorHAnsi"/>
          <w:szCs w:val="22"/>
        </w:rPr>
      </w:pPr>
      <w:r w:rsidRPr="00D1482F">
        <w:rPr>
          <w:rFonts w:asciiTheme="minorHAnsi" w:hAnsiTheme="minorHAnsi" w:cstheme="minorHAnsi"/>
          <w:sz w:val="22"/>
          <w:szCs w:val="22"/>
        </w:rPr>
        <w:t xml:space="preserve">Opaque budget processes also make it </w:t>
      </w:r>
      <w:r w:rsidRPr="00D1482F">
        <w:rPr>
          <w:rFonts w:asciiTheme="minorHAnsi" w:hAnsiTheme="minorHAnsi" w:cstheme="minorHAnsi"/>
          <w:b/>
          <w:sz w:val="22"/>
          <w:szCs w:val="22"/>
        </w:rPr>
        <w:t xml:space="preserve">difficult for transport sector agencies to develop investment plans, </w:t>
      </w:r>
      <w:r w:rsidRPr="00D1482F">
        <w:rPr>
          <w:rFonts w:asciiTheme="minorHAnsi" w:hAnsiTheme="minorHAnsi" w:cstheme="minorHAnsi"/>
          <w:sz w:val="22"/>
          <w:szCs w:val="22"/>
        </w:rPr>
        <w:t>including maintenance works</w:t>
      </w:r>
      <w:r w:rsidR="00A316AE" w:rsidRPr="00D1482F">
        <w:rPr>
          <w:rFonts w:asciiTheme="minorHAnsi" w:hAnsiTheme="minorHAnsi" w:cstheme="minorHAnsi"/>
          <w:sz w:val="22"/>
          <w:szCs w:val="22"/>
        </w:rPr>
        <w:t xml:space="preserve">. </w:t>
      </w:r>
      <w:r w:rsidRPr="00D1482F">
        <w:rPr>
          <w:rFonts w:asciiTheme="minorHAnsi" w:hAnsiTheme="minorHAnsi" w:cstheme="minorHAnsi"/>
          <w:sz w:val="22"/>
          <w:szCs w:val="22"/>
        </w:rPr>
        <w:t xml:space="preserve">Consequently there are </w:t>
      </w:r>
      <w:r w:rsidR="00DB2E94">
        <w:rPr>
          <w:rFonts w:asciiTheme="minorHAnsi" w:hAnsiTheme="minorHAnsi" w:cstheme="minorHAnsi"/>
          <w:sz w:val="22"/>
          <w:szCs w:val="22"/>
        </w:rPr>
        <w:t>only limited</w:t>
      </w:r>
      <w:r w:rsidRPr="00D1482F">
        <w:rPr>
          <w:rFonts w:asciiTheme="minorHAnsi" w:hAnsiTheme="minorHAnsi" w:cstheme="minorHAnsi"/>
          <w:sz w:val="22"/>
          <w:szCs w:val="22"/>
        </w:rPr>
        <w:t xml:space="preserve"> pipelines of tender-ready projects</w:t>
      </w:r>
      <w:r w:rsidR="00DB2E94">
        <w:rPr>
          <w:rFonts w:asciiTheme="minorHAnsi" w:hAnsiTheme="minorHAnsi" w:cstheme="minorHAnsi"/>
          <w:sz w:val="22"/>
          <w:szCs w:val="22"/>
        </w:rPr>
        <w:t>, due to the uncertainty inherent in the process</w:t>
      </w:r>
      <w:r w:rsidR="00806E64" w:rsidRPr="00D1482F">
        <w:rPr>
          <w:rFonts w:asciiTheme="minorHAnsi" w:hAnsiTheme="minorHAnsi" w:cstheme="minorHAnsi"/>
          <w:sz w:val="22"/>
          <w:szCs w:val="22"/>
        </w:rPr>
        <w:t>.</w:t>
      </w:r>
      <w:r w:rsidRPr="00D1482F">
        <w:rPr>
          <w:rFonts w:asciiTheme="minorHAnsi" w:hAnsiTheme="minorHAnsi" w:cstheme="minorHAnsi"/>
          <w:sz w:val="22"/>
          <w:szCs w:val="22"/>
        </w:rPr>
        <w:t xml:space="preserve"> This is compounded by delays in the procurement process within the Central Supplies and Tenders Board (CSTB</w:t>
      </w:r>
      <w:r w:rsidR="00A316AE" w:rsidRPr="00D1482F">
        <w:rPr>
          <w:rFonts w:asciiTheme="minorHAnsi" w:hAnsiTheme="minorHAnsi" w:cstheme="minorHAnsi"/>
          <w:sz w:val="22"/>
          <w:szCs w:val="22"/>
        </w:rPr>
        <w:t xml:space="preserve">), the State Solicitor, and the </w:t>
      </w:r>
      <w:r w:rsidRPr="00D1482F">
        <w:rPr>
          <w:rFonts w:asciiTheme="minorHAnsi" w:hAnsiTheme="minorHAnsi" w:cstheme="minorHAnsi"/>
          <w:sz w:val="22"/>
          <w:szCs w:val="22"/>
        </w:rPr>
        <w:t>NEC. Ongoing attention to these issues through Australia’s aid investments will continue to be important</w:t>
      </w:r>
      <w:r w:rsidR="00806E64" w:rsidRPr="00D1482F">
        <w:rPr>
          <w:rFonts w:asciiTheme="minorHAnsi" w:hAnsiTheme="minorHAnsi" w:cstheme="minorHAnsi"/>
          <w:sz w:val="22"/>
          <w:szCs w:val="22"/>
        </w:rPr>
        <w:t>.</w:t>
      </w:r>
      <w:r w:rsidRPr="00D1482F">
        <w:rPr>
          <w:rFonts w:asciiTheme="minorHAnsi" w:hAnsiTheme="minorHAnsi" w:cstheme="minorHAnsi"/>
          <w:sz w:val="22"/>
          <w:szCs w:val="22"/>
        </w:rPr>
        <w:t xml:space="preserve"> </w:t>
      </w:r>
    </w:p>
    <w:p w:rsidR="005F69EC" w:rsidRPr="00D1482F" w:rsidRDefault="005F69EC" w:rsidP="00806E64">
      <w:pPr>
        <w:autoSpaceDE w:val="0"/>
        <w:autoSpaceDN w:val="0"/>
        <w:adjustRightInd w:val="0"/>
        <w:spacing w:after="120"/>
        <w:rPr>
          <w:rFonts w:asciiTheme="minorHAnsi" w:hAnsiTheme="minorHAnsi" w:cstheme="minorHAnsi"/>
          <w:szCs w:val="22"/>
        </w:rPr>
      </w:pPr>
      <w:r w:rsidRPr="00D1482F">
        <w:rPr>
          <w:rFonts w:asciiTheme="minorHAnsi" w:hAnsiTheme="minorHAnsi" w:cstheme="minorHAnsi"/>
          <w:sz w:val="22"/>
          <w:szCs w:val="22"/>
        </w:rPr>
        <w:lastRenderedPageBreak/>
        <w:t xml:space="preserve">Delays to the mobilisation of TSSP2, and the resultant slowing of momentum and capacity building gains from the first phase, have caused </w:t>
      </w:r>
      <w:r w:rsidR="00DB2E94">
        <w:rPr>
          <w:rFonts w:asciiTheme="minorHAnsi" w:hAnsiTheme="minorHAnsi" w:cstheme="minorHAnsi"/>
          <w:sz w:val="22"/>
          <w:szCs w:val="22"/>
        </w:rPr>
        <w:t xml:space="preserve">some </w:t>
      </w:r>
      <w:r w:rsidRPr="00D1482F">
        <w:rPr>
          <w:rFonts w:asciiTheme="minorHAnsi" w:hAnsiTheme="minorHAnsi" w:cstheme="minorHAnsi"/>
          <w:sz w:val="22"/>
          <w:szCs w:val="22"/>
        </w:rPr>
        <w:t>concern and uncertainty within PNG partner agencies</w:t>
      </w:r>
      <w:r w:rsidR="00806E64" w:rsidRPr="00D1482F">
        <w:rPr>
          <w:rFonts w:asciiTheme="minorHAnsi" w:hAnsiTheme="minorHAnsi" w:cstheme="minorHAnsi"/>
          <w:sz w:val="22"/>
          <w:szCs w:val="22"/>
        </w:rPr>
        <w:t>.</w:t>
      </w:r>
      <w:r w:rsidRPr="00D1482F">
        <w:rPr>
          <w:rFonts w:asciiTheme="minorHAnsi" w:hAnsiTheme="minorHAnsi" w:cstheme="minorHAnsi"/>
          <w:sz w:val="22"/>
          <w:szCs w:val="22"/>
        </w:rPr>
        <w:t xml:space="preserve"> It will be important for Australia to move quickly to the start-up of TSSP2, while ensuring the second phase reflects Australian Government priorities for private sector engagement and Aid for Trade objectives, commitments under the Joint Understanding, and continues a focus on cross-cutting issues including gender, </w:t>
      </w:r>
      <w:r w:rsidR="004412ED">
        <w:rPr>
          <w:rFonts w:asciiTheme="minorHAnsi" w:hAnsiTheme="minorHAnsi" w:cstheme="minorHAnsi"/>
          <w:sz w:val="22"/>
          <w:szCs w:val="22"/>
        </w:rPr>
        <w:t xml:space="preserve">disability, </w:t>
      </w:r>
      <w:r w:rsidRPr="00D1482F">
        <w:rPr>
          <w:rFonts w:asciiTheme="minorHAnsi" w:hAnsiTheme="minorHAnsi" w:cstheme="minorHAnsi"/>
          <w:sz w:val="22"/>
          <w:szCs w:val="22"/>
        </w:rPr>
        <w:t>and HIV</w:t>
      </w:r>
      <w:r w:rsidR="004412ED">
        <w:rPr>
          <w:rFonts w:asciiTheme="minorHAnsi" w:hAnsiTheme="minorHAnsi" w:cstheme="minorHAnsi"/>
          <w:sz w:val="22"/>
          <w:szCs w:val="22"/>
        </w:rPr>
        <w:t>/</w:t>
      </w:r>
      <w:r w:rsidRPr="00D1482F">
        <w:rPr>
          <w:rFonts w:asciiTheme="minorHAnsi" w:hAnsiTheme="minorHAnsi" w:cstheme="minorHAnsi"/>
          <w:sz w:val="22"/>
          <w:szCs w:val="22"/>
        </w:rPr>
        <w:t xml:space="preserve">AIDS. </w:t>
      </w:r>
    </w:p>
    <w:p w:rsidR="005F69EC" w:rsidRPr="00D1482F" w:rsidRDefault="002E4B92" w:rsidP="005F69EC">
      <w:pPr>
        <w:autoSpaceDE w:val="0"/>
        <w:autoSpaceDN w:val="0"/>
        <w:adjustRightInd w:val="0"/>
        <w:spacing w:after="120"/>
        <w:jc w:val="both"/>
        <w:rPr>
          <w:rFonts w:asciiTheme="minorHAnsi" w:hAnsiTheme="minorHAnsi" w:cstheme="minorHAnsi"/>
          <w:b/>
          <w:sz w:val="22"/>
          <w:szCs w:val="22"/>
        </w:rPr>
      </w:pPr>
      <w:r>
        <w:rPr>
          <w:rFonts w:asciiTheme="minorHAnsi" w:hAnsiTheme="minorHAnsi" w:cstheme="minorHAnsi"/>
          <w:b/>
          <w:sz w:val="22"/>
          <w:szCs w:val="22"/>
        </w:rPr>
        <w:t>Way Forward/ Management C</w:t>
      </w:r>
      <w:r w:rsidR="005F69EC" w:rsidRPr="00D1482F">
        <w:rPr>
          <w:rFonts w:asciiTheme="minorHAnsi" w:hAnsiTheme="minorHAnsi" w:cstheme="minorHAnsi"/>
          <w:b/>
          <w:sz w:val="22"/>
          <w:szCs w:val="22"/>
        </w:rPr>
        <w:t>onsequences</w:t>
      </w:r>
    </w:p>
    <w:p w:rsidR="005F69EC" w:rsidRPr="00D1482F" w:rsidRDefault="005F69EC" w:rsidP="005F69EC">
      <w:pPr>
        <w:pStyle w:val="NoSpacing"/>
        <w:spacing w:after="120"/>
        <w:jc w:val="both"/>
        <w:rPr>
          <w:rFonts w:asciiTheme="minorHAnsi" w:hAnsiTheme="minorHAnsi" w:cstheme="minorHAnsi"/>
          <w:sz w:val="22"/>
          <w:szCs w:val="22"/>
        </w:rPr>
      </w:pPr>
      <w:r w:rsidRPr="00D1482F">
        <w:rPr>
          <w:rFonts w:asciiTheme="minorHAnsi" w:hAnsiTheme="minorHAnsi" w:cstheme="minorHAnsi"/>
          <w:sz w:val="22"/>
          <w:szCs w:val="22"/>
        </w:rPr>
        <w:t xml:space="preserve">The further alignment of work under the transport infrastructure sector to Australian Government priorities will be progressed in 2014-15, with an emphasis on: </w:t>
      </w:r>
    </w:p>
    <w:p w:rsidR="00D54896" w:rsidRPr="00D1482F" w:rsidRDefault="005F69EC" w:rsidP="008D6917">
      <w:pPr>
        <w:pStyle w:val="ListParagraph"/>
        <w:numPr>
          <w:ilvl w:val="0"/>
          <w:numId w:val="21"/>
        </w:numPr>
        <w:autoSpaceDE w:val="0"/>
        <w:autoSpaceDN w:val="0"/>
        <w:adjustRightInd w:val="0"/>
        <w:spacing w:after="0"/>
        <w:ind w:left="714" w:hanging="357"/>
        <w:jc w:val="both"/>
        <w:rPr>
          <w:rFonts w:asciiTheme="minorHAnsi" w:hAnsiTheme="minorHAnsi" w:cstheme="minorHAnsi"/>
          <w:szCs w:val="22"/>
        </w:rPr>
      </w:pPr>
      <w:r w:rsidRPr="00D1482F">
        <w:rPr>
          <w:rFonts w:asciiTheme="minorHAnsi" w:hAnsiTheme="minorHAnsi" w:cstheme="minorHAnsi"/>
          <w:szCs w:val="22"/>
        </w:rPr>
        <w:t xml:space="preserve">Negotiating mutually agreed benchmarks and an incentives package with the PNG Government, including a </w:t>
      </w:r>
      <w:r w:rsidRPr="00D1482F">
        <w:rPr>
          <w:rFonts w:asciiTheme="minorHAnsi" w:hAnsiTheme="minorHAnsi" w:cstheme="minorHAnsi"/>
          <w:b/>
          <w:szCs w:val="22"/>
        </w:rPr>
        <w:t>“maintenance first”</w:t>
      </w:r>
      <w:r w:rsidRPr="00D1482F">
        <w:rPr>
          <w:rFonts w:asciiTheme="minorHAnsi" w:hAnsiTheme="minorHAnsi" w:cstheme="minorHAnsi"/>
          <w:szCs w:val="22"/>
        </w:rPr>
        <w:t xml:space="preserve"> approach with transport agencies, budget reforms promoting maintenance and procurement reforms;</w:t>
      </w:r>
    </w:p>
    <w:p w:rsidR="00D54896" w:rsidRPr="00D1482F" w:rsidRDefault="005F69EC" w:rsidP="008D6917">
      <w:pPr>
        <w:pStyle w:val="ListParagraph"/>
        <w:numPr>
          <w:ilvl w:val="0"/>
          <w:numId w:val="21"/>
        </w:numPr>
        <w:autoSpaceDE w:val="0"/>
        <w:autoSpaceDN w:val="0"/>
        <w:adjustRightInd w:val="0"/>
        <w:spacing w:after="0"/>
        <w:ind w:left="714" w:hanging="357"/>
        <w:jc w:val="both"/>
        <w:rPr>
          <w:rFonts w:asciiTheme="minorHAnsi" w:hAnsiTheme="minorHAnsi" w:cstheme="minorHAnsi"/>
          <w:szCs w:val="22"/>
        </w:rPr>
      </w:pPr>
      <w:r w:rsidRPr="00D1482F">
        <w:rPr>
          <w:rFonts w:asciiTheme="minorHAnsi" w:hAnsiTheme="minorHAnsi" w:cstheme="minorHAnsi"/>
          <w:szCs w:val="22"/>
        </w:rPr>
        <w:t xml:space="preserve">Engaging with the PNG Government on new infrastructure agencies such as the IDA and the High Impact Project Office (HIPO) to develop harmonised roles in the transport sector, </w:t>
      </w:r>
      <w:r w:rsidR="00271EF3" w:rsidRPr="00D1482F">
        <w:rPr>
          <w:rFonts w:asciiTheme="minorHAnsi" w:hAnsiTheme="minorHAnsi" w:cstheme="minorHAnsi"/>
          <w:szCs w:val="22"/>
        </w:rPr>
        <w:t xml:space="preserve">improve implementation </w:t>
      </w:r>
      <w:r w:rsidRPr="00D1482F">
        <w:rPr>
          <w:rFonts w:asciiTheme="minorHAnsi" w:hAnsiTheme="minorHAnsi" w:cstheme="minorHAnsi"/>
          <w:szCs w:val="22"/>
        </w:rPr>
        <w:t>and avoid duplication;</w:t>
      </w:r>
    </w:p>
    <w:p w:rsidR="00D54896" w:rsidRPr="00D1482F" w:rsidRDefault="005F69EC" w:rsidP="008D6917">
      <w:pPr>
        <w:pStyle w:val="ListParagraph"/>
        <w:numPr>
          <w:ilvl w:val="0"/>
          <w:numId w:val="21"/>
        </w:numPr>
        <w:autoSpaceDE w:val="0"/>
        <w:autoSpaceDN w:val="0"/>
        <w:adjustRightInd w:val="0"/>
        <w:spacing w:after="0"/>
        <w:ind w:left="714" w:hanging="357"/>
        <w:jc w:val="both"/>
        <w:rPr>
          <w:rFonts w:asciiTheme="minorHAnsi" w:hAnsiTheme="minorHAnsi" w:cstheme="minorHAnsi"/>
          <w:szCs w:val="22"/>
        </w:rPr>
      </w:pPr>
      <w:r w:rsidRPr="00D1482F">
        <w:rPr>
          <w:rFonts w:asciiTheme="minorHAnsi" w:hAnsiTheme="minorHAnsi" w:cstheme="minorHAnsi"/>
          <w:szCs w:val="22"/>
        </w:rPr>
        <w:t xml:space="preserve">Moving towards larger, more complex road rehabilitation projects and </w:t>
      </w:r>
      <w:r w:rsidRPr="00D1482F">
        <w:rPr>
          <w:rFonts w:asciiTheme="minorHAnsi" w:hAnsiTheme="minorHAnsi" w:cstheme="minorHAnsi"/>
          <w:b/>
          <w:szCs w:val="22"/>
        </w:rPr>
        <w:t>taking on a direct role in the construction of major strategic projects,</w:t>
      </w:r>
      <w:r w:rsidRPr="00D1482F">
        <w:rPr>
          <w:rFonts w:asciiTheme="minorHAnsi" w:hAnsiTheme="minorHAnsi" w:cstheme="minorHAnsi"/>
          <w:szCs w:val="22"/>
        </w:rPr>
        <w:t xml:space="preserve"> if agreed by both governments. This implies addressing lengthy procurement constraints including direct procurement through the Independent Service Providers (ISP); greater attention to scoping, design, and supervision; and managing unrealistic political expectations;</w:t>
      </w:r>
    </w:p>
    <w:p w:rsidR="00D54896" w:rsidRPr="00D1482F" w:rsidRDefault="005F69EC" w:rsidP="008D6917">
      <w:pPr>
        <w:pStyle w:val="ListParagraph"/>
        <w:numPr>
          <w:ilvl w:val="0"/>
          <w:numId w:val="21"/>
        </w:numPr>
        <w:autoSpaceDE w:val="0"/>
        <w:autoSpaceDN w:val="0"/>
        <w:adjustRightInd w:val="0"/>
        <w:spacing w:after="0"/>
        <w:ind w:left="714" w:hanging="357"/>
        <w:jc w:val="both"/>
        <w:rPr>
          <w:rFonts w:asciiTheme="minorHAnsi" w:hAnsiTheme="minorHAnsi" w:cstheme="minorHAnsi"/>
          <w:szCs w:val="22"/>
        </w:rPr>
      </w:pPr>
      <w:r w:rsidRPr="00D1482F">
        <w:rPr>
          <w:rFonts w:asciiTheme="minorHAnsi" w:hAnsiTheme="minorHAnsi" w:cstheme="minorHAnsi"/>
          <w:szCs w:val="22"/>
        </w:rPr>
        <w:t xml:space="preserve">Continuing to support </w:t>
      </w:r>
      <w:r w:rsidRPr="00D1482F">
        <w:rPr>
          <w:rFonts w:asciiTheme="minorHAnsi" w:hAnsiTheme="minorHAnsi" w:cstheme="minorHAnsi"/>
          <w:b/>
          <w:szCs w:val="22"/>
        </w:rPr>
        <w:t>management information systems</w:t>
      </w:r>
      <w:r w:rsidRPr="00D1482F">
        <w:rPr>
          <w:rFonts w:asciiTheme="minorHAnsi" w:hAnsiTheme="minorHAnsi" w:cstheme="minorHAnsi"/>
          <w:szCs w:val="22"/>
        </w:rPr>
        <w:t xml:space="preserve"> that promote evidence-based decision making by funding surveys, feasibility and design studies for major infrastructure projects, as well as the Transport Sector Coordination, Monitoring and Implementation Committee (TSCMIC) to improve its Monitoring and Evaluation capability; </w:t>
      </w:r>
    </w:p>
    <w:p w:rsidR="002B0F30" w:rsidRPr="00894779" w:rsidRDefault="005F69EC" w:rsidP="008D6917">
      <w:pPr>
        <w:pStyle w:val="ListParagraph"/>
        <w:numPr>
          <w:ilvl w:val="0"/>
          <w:numId w:val="21"/>
        </w:numPr>
        <w:autoSpaceDE w:val="0"/>
        <w:autoSpaceDN w:val="0"/>
        <w:adjustRightInd w:val="0"/>
        <w:spacing w:after="0"/>
        <w:ind w:left="714" w:hanging="357"/>
        <w:jc w:val="both"/>
        <w:rPr>
          <w:rFonts w:asciiTheme="minorHAnsi" w:hAnsiTheme="minorHAnsi" w:cstheme="minorHAnsi"/>
          <w:szCs w:val="22"/>
        </w:rPr>
      </w:pPr>
      <w:r w:rsidRPr="00894779">
        <w:rPr>
          <w:rFonts w:asciiTheme="minorHAnsi" w:hAnsiTheme="minorHAnsi" w:cstheme="minorHAnsi"/>
          <w:szCs w:val="22"/>
        </w:rPr>
        <w:t xml:space="preserve">Promoting </w:t>
      </w:r>
      <w:r w:rsidRPr="00894779">
        <w:rPr>
          <w:rFonts w:asciiTheme="minorHAnsi" w:hAnsiTheme="minorHAnsi" w:cstheme="minorHAnsi"/>
          <w:b/>
          <w:szCs w:val="22"/>
        </w:rPr>
        <w:t xml:space="preserve">greater private sector </w:t>
      </w:r>
      <w:r w:rsidR="007727B2" w:rsidRPr="00894779">
        <w:rPr>
          <w:rFonts w:asciiTheme="minorHAnsi" w:hAnsiTheme="minorHAnsi" w:cstheme="minorHAnsi"/>
          <w:b/>
          <w:szCs w:val="22"/>
        </w:rPr>
        <w:t xml:space="preserve">engagement and </w:t>
      </w:r>
      <w:r w:rsidRPr="00894779">
        <w:rPr>
          <w:rFonts w:asciiTheme="minorHAnsi" w:hAnsiTheme="minorHAnsi" w:cstheme="minorHAnsi"/>
          <w:b/>
          <w:szCs w:val="22"/>
        </w:rPr>
        <w:t>participation</w:t>
      </w:r>
      <w:r w:rsidRPr="00894779">
        <w:rPr>
          <w:rFonts w:asciiTheme="minorHAnsi" w:hAnsiTheme="minorHAnsi" w:cstheme="minorHAnsi"/>
          <w:szCs w:val="22"/>
        </w:rPr>
        <w:t xml:space="preserve"> in the roads sector and new international and local entrants to the tender market</w:t>
      </w:r>
      <w:r w:rsidR="00DB2E94" w:rsidRPr="00894779">
        <w:rPr>
          <w:rFonts w:asciiTheme="minorHAnsi" w:hAnsiTheme="minorHAnsi" w:cstheme="minorHAnsi"/>
          <w:szCs w:val="22"/>
        </w:rPr>
        <w:t>;</w:t>
      </w:r>
    </w:p>
    <w:p w:rsidR="00DB2E94" w:rsidRPr="00894779" w:rsidRDefault="002E4B92" w:rsidP="008D6917">
      <w:pPr>
        <w:pStyle w:val="ListParagraph"/>
        <w:numPr>
          <w:ilvl w:val="0"/>
          <w:numId w:val="21"/>
        </w:numPr>
        <w:autoSpaceDE w:val="0"/>
        <w:autoSpaceDN w:val="0"/>
        <w:adjustRightInd w:val="0"/>
        <w:spacing w:after="0"/>
        <w:ind w:left="714" w:hanging="357"/>
        <w:jc w:val="both"/>
        <w:rPr>
          <w:rFonts w:asciiTheme="minorHAnsi" w:hAnsiTheme="minorHAnsi" w:cstheme="minorHAnsi"/>
          <w:szCs w:val="22"/>
        </w:rPr>
      </w:pPr>
      <w:r w:rsidRPr="00894779">
        <w:rPr>
          <w:rFonts w:asciiTheme="minorHAnsi" w:hAnsiTheme="minorHAnsi" w:cstheme="minorHAnsi"/>
          <w:szCs w:val="22"/>
        </w:rPr>
        <w:t>Establishing</w:t>
      </w:r>
      <w:r w:rsidR="00DB2E94" w:rsidRPr="00894779">
        <w:rPr>
          <w:rFonts w:asciiTheme="minorHAnsi" w:hAnsiTheme="minorHAnsi" w:cstheme="minorHAnsi"/>
          <w:szCs w:val="22"/>
        </w:rPr>
        <w:t xml:space="preserve"> a</w:t>
      </w:r>
      <w:r w:rsidRPr="00894779">
        <w:rPr>
          <w:rFonts w:asciiTheme="minorHAnsi" w:hAnsiTheme="minorHAnsi" w:cstheme="minorHAnsi"/>
          <w:szCs w:val="22"/>
        </w:rPr>
        <w:t xml:space="preserve"> Technical Audit facility </w:t>
      </w:r>
      <w:r w:rsidR="00540C1A" w:rsidRPr="00894779">
        <w:rPr>
          <w:rFonts w:asciiTheme="minorHAnsi" w:hAnsiTheme="minorHAnsi" w:cstheme="minorHAnsi"/>
          <w:szCs w:val="22"/>
        </w:rPr>
        <w:t>for</w:t>
      </w:r>
      <w:r w:rsidRPr="00894779">
        <w:rPr>
          <w:rFonts w:asciiTheme="minorHAnsi" w:hAnsiTheme="minorHAnsi" w:cstheme="minorHAnsi"/>
          <w:szCs w:val="22"/>
        </w:rPr>
        <w:t xml:space="preserve"> Australian Government</w:t>
      </w:r>
      <w:r w:rsidR="00DB2E94" w:rsidRPr="00894779">
        <w:rPr>
          <w:rFonts w:asciiTheme="minorHAnsi" w:hAnsiTheme="minorHAnsi" w:cstheme="minorHAnsi"/>
          <w:szCs w:val="22"/>
        </w:rPr>
        <w:t xml:space="preserve"> funded projects, with potential for coverage of Department of Works (DoW) projects and capacity building DoW monitoring and evaluation capacity;</w:t>
      </w:r>
      <w:r w:rsidRPr="00894779">
        <w:rPr>
          <w:rFonts w:asciiTheme="minorHAnsi" w:hAnsiTheme="minorHAnsi" w:cstheme="minorHAnsi"/>
          <w:szCs w:val="22"/>
        </w:rPr>
        <w:t xml:space="preserve"> and</w:t>
      </w:r>
    </w:p>
    <w:p w:rsidR="00035669" w:rsidRPr="00894779" w:rsidRDefault="002E4B92" w:rsidP="003E1A2C">
      <w:pPr>
        <w:pStyle w:val="ListParagraph"/>
        <w:numPr>
          <w:ilvl w:val="0"/>
          <w:numId w:val="21"/>
        </w:numPr>
        <w:autoSpaceDE w:val="0"/>
        <w:autoSpaceDN w:val="0"/>
        <w:adjustRightInd w:val="0"/>
        <w:spacing w:after="0"/>
        <w:ind w:left="714" w:hanging="357"/>
        <w:jc w:val="both"/>
        <w:rPr>
          <w:rFonts w:asciiTheme="minorHAnsi" w:hAnsiTheme="minorHAnsi" w:cstheme="minorHAnsi"/>
          <w:szCs w:val="22"/>
        </w:rPr>
      </w:pPr>
      <w:r w:rsidRPr="00894779">
        <w:rPr>
          <w:rFonts w:asciiTheme="minorHAnsi" w:hAnsiTheme="minorHAnsi" w:cstheme="minorHAnsi"/>
          <w:szCs w:val="22"/>
        </w:rPr>
        <w:t xml:space="preserve">Introducing </w:t>
      </w:r>
      <w:r w:rsidR="00DB2E94" w:rsidRPr="00894779">
        <w:rPr>
          <w:rFonts w:asciiTheme="minorHAnsi" w:hAnsiTheme="minorHAnsi" w:cstheme="minorHAnsi"/>
          <w:szCs w:val="22"/>
        </w:rPr>
        <w:t>Road Safety Audits part of major project design processes.</w:t>
      </w:r>
    </w:p>
    <w:p w:rsidR="002B0F30" w:rsidRPr="00D41FF3" w:rsidRDefault="002B0F30" w:rsidP="00164E82">
      <w:pPr>
        <w:pStyle w:val="Heading3"/>
      </w:pPr>
      <w:r w:rsidRPr="00D41FF3">
        <w:t xml:space="preserve">Objective 5 – Public sector and democratic governance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764"/>
      </w:tblGrid>
      <w:tr w:rsidR="00D41FF3" w:rsidTr="00D41FF3">
        <w:tc>
          <w:tcPr>
            <w:tcW w:w="7479" w:type="dxa"/>
            <w:tcBorders>
              <w:top w:val="single" w:sz="4" w:space="0" w:color="auto"/>
              <w:bottom w:val="single" w:sz="4" w:space="0" w:color="auto"/>
            </w:tcBorders>
          </w:tcPr>
          <w:p w:rsidR="00D41FF3" w:rsidRPr="005503AC" w:rsidRDefault="00D41FF3" w:rsidP="008863CE">
            <w:pPr>
              <w:spacing w:after="120"/>
              <w:jc w:val="both"/>
              <w:rPr>
                <w:b/>
                <w:sz w:val="22"/>
                <w:szCs w:val="22"/>
              </w:rPr>
            </w:pPr>
            <w:r w:rsidRPr="005503AC">
              <w:rPr>
                <w:b/>
                <w:sz w:val="22"/>
                <w:szCs w:val="22"/>
              </w:rPr>
              <w:t xml:space="preserve">Objective: </w:t>
            </w:r>
            <w:r w:rsidR="00AB1641" w:rsidRPr="005503AC">
              <w:rPr>
                <w:b/>
                <w:sz w:val="22"/>
                <w:szCs w:val="22"/>
              </w:rPr>
              <w:t>S</w:t>
            </w:r>
            <w:r w:rsidRPr="005503AC">
              <w:rPr>
                <w:b/>
                <w:sz w:val="22"/>
                <w:szCs w:val="22"/>
              </w:rPr>
              <w:t>trengthened national and sub-national public sector</w:t>
            </w:r>
          </w:p>
        </w:tc>
        <w:tc>
          <w:tcPr>
            <w:tcW w:w="1764" w:type="dxa"/>
            <w:tcBorders>
              <w:top w:val="single" w:sz="4" w:space="0" w:color="auto"/>
              <w:bottom w:val="single" w:sz="4" w:space="0" w:color="auto"/>
            </w:tcBorders>
            <w:shd w:val="clear" w:color="auto" w:fill="FFC000"/>
          </w:tcPr>
          <w:p w:rsidR="00D41FF3" w:rsidRPr="005503AC" w:rsidRDefault="00D41FF3" w:rsidP="008863CE">
            <w:pPr>
              <w:spacing w:after="120"/>
              <w:jc w:val="both"/>
              <w:rPr>
                <w:b/>
                <w:sz w:val="22"/>
                <w:szCs w:val="22"/>
              </w:rPr>
            </w:pPr>
            <w:r w:rsidRPr="005503AC">
              <w:rPr>
                <w:b/>
                <w:sz w:val="22"/>
                <w:szCs w:val="22"/>
              </w:rPr>
              <w:t>Amber</w:t>
            </w:r>
          </w:p>
        </w:tc>
      </w:tr>
      <w:tr w:rsidR="00D41FF3" w:rsidTr="00D41FF3">
        <w:tc>
          <w:tcPr>
            <w:tcW w:w="7479" w:type="dxa"/>
            <w:tcBorders>
              <w:top w:val="single" w:sz="4" w:space="0" w:color="auto"/>
            </w:tcBorders>
          </w:tcPr>
          <w:p w:rsidR="00D41FF3" w:rsidRPr="005503AC" w:rsidRDefault="00D41FF3" w:rsidP="008863CE">
            <w:pPr>
              <w:spacing w:after="120"/>
              <w:jc w:val="both"/>
              <w:rPr>
                <w:b/>
                <w:sz w:val="22"/>
                <w:szCs w:val="22"/>
              </w:rPr>
            </w:pPr>
            <w:r w:rsidRPr="005503AC">
              <w:rPr>
                <w:b/>
                <w:sz w:val="22"/>
                <w:szCs w:val="22"/>
              </w:rPr>
              <w:t>Objective: Strengthened Democracy</w:t>
            </w:r>
          </w:p>
        </w:tc>
        <w:tc>
          <w:tcPr>
            <w:tcW w:w="1764" w:type="dxa"/>
            <w:tcBorders>
              <w:top w:val="single" w:sz="4" w:space="0" w:color="auto"/>
            </w:tcBorders>
            <w:shd w:val="clear" w:color="auto" w:fill="FFC000"/>
          </w:tcPr>
          <w:p w:rsidR="00D41FF3" w:rsidRPr="005503AC" w:rsidRDefault="00D41FF3" w:rsidP="008863CE">
            <w:pPr>
              <w:spacing w:after="120"/>
              <w:jc w:val="both"/>
              <w:rPr>
                <w:b/>
                <w:sz w:val="22"/>
                <w:szCs w:val="22"/>
              </w:rPr>
            </w:pPr>
            <w:r w:rsidRPr="005503AC">
              <w:rPr>
                <w:b/>
                <w:sz w:val="22"/>
                <w:szCs w:val="22"/>
              </w:rPr>
              <w:t>Amber</w:t>
            </w:r>
          </w:p>
        </w:tc>
      </w:tr>
    </w:tbl>
    <w:p w:rsidR="00035669" w:rsidRDefault="00035669" w:rsidP="002E4B92">
      <w:pPr>
        <w:spacing w:after="120"/>
        <w:jc w:val="both"/>
        <w:rPr>
          <w:rFonts w:asciiTheme="minorHAnsi" w:hAnsiTheme="minorHAnsi" w:cstheme="minorHAnsi"/>
          <w:sz w:val="22"/>
          <w:szCs w:val="22"/>
        </w:rPr>
      </w:pPr>
    </w:p>
    <w:p w:rsidR="002E4B92" w:rsidRPr="00703589" w:rsidRDefault="002E4B92" w:rsidP="002E4B92">
      <w:pPr>
        <w:spacing w:after="120"/>
        <w:jc w:val="both"/>
        <w:rPr>
          <w:rFonts w:asciiTheme="minorHAnsi" w:hAnsiTheme="minorHAnsi" w:cstheme="minorHAnsi"/>
          <w:sz w:val="22"/>
          <w:szCs w:val="22"/>
        </w:rPr>
      </w:pPr>
      <w:r w:rsidRPr="00703589">
        <w:rPr>
          <w:rFonts w:asciiTheme="minorHAnsi" w:hAnsiTheme="minorHAnsi" w:cstheme="minorHAnsi"/>
          <w:sz w:val="22"/>
          <w:szCs w:val="22"/>
        </w:rPr>
        <w:t>Australia has rated its progress against governance objectives in PNG as amber in 2013-14</w:t>
      </w:r>
      <w:r w:rsidR="00415454" w:rsidRPr="00703589">
        <w:rPr>
          <w:rFonts w:asciiTheme="minorHAnsi" w:hAnsiTheme="minorHAnsi" w:cstheme="minorHAnsi"/>
          <w:sz w:val="22"/>
          <w:szCs w:val="22"/>
        </w:rPr>
        <w:t>, an improvement from 2012-13</w:t>
      </w:r>
      <w:r w:rsidRPr="00703589">
        <w:rPr>
          <w:rFonts w:asciiTheme="minorHAnsi" w:hAnsiTheme="minorHAnsi" w:cstheme="minorHAnsi"/>
          <w:sz w:val="22"/>
          <w:szCs w:val="22"/>
        </w:rPr>
        <w:t>. Overall, Australia’s support has made small but sustained gains against longstanding governance challenges.</w:t>
      </w:r>
    </w:p>
    <w:p w:rsidR="00035669" w:rsidRPr="00C80894" w:rsidRDefault="002E4B92" w:rsidP="00C80894">
      <w:pPr>
        <w:spacing w:after="120"/>
        <w:jc w:val="both"/>
        <w:rPr>
          <w:rFonts w:asciiTheme="minorHAnsi" w:hAnsiTheme="minorHAnsi" w:cstheme="minorHAnsi"/>
          <w:sz w:val="22"/>
          <w:szCs w:val="22"/>
        </w:rPr>
      </w:pPr>
      <w:r w:rsidRPr="00703589">
        <w:rPr>
          <w:rFonts w:asciiTheme="minorHAnsi" w:hAnsiTheme="minorHAnsi" w:cstheme="minorHAnsi"/>
          <w:sz w:val="22"/>
          <w:szCs w:val="22"/>
        </w:rPr>
        <w:t xml:space="preserve">PNG continues to experience weak capacity at all levels of the bureaucracy to shape and influence policy and implement high priority programs. This severely impacts the achievement of outcomes across all sectors. There is little accountability and transparency in planning and budgetary decision-making.  State-society relationships are also weak, with limited opportunities for civil society engagement with government. </w:t>
      </w:r>
    </w:p>
    <w:p w:rsidR="003847B8" w:rsidRPr="00703589" w:rsidRDefault="003847B8" w:rsidP="008264E9">
      <w:pPr>
        <w:pStyle w:val="TableTextColumnHeading"/>
        <w:rPr>
          <w:rFonts w:asciiTheme="minorHAnsi" w:hAnsiTheme="minorHAnsi" w:cstheme="minorHAnsi"/>
        </w:rPr>
      </w:pPr>
      <w:r w:rsidRPr="00703589">
        <w:rPr>
          <w:rFonts w:asciiTheme="minorHAnsi" w:hAnsiTheme="minorHAnsi" w:cstheme="minorHAnsi"/>
        </w:rPr>
        <w:t xml:space="preserve">Australia’s </w:t>
      </w:r>
      <w:r w:rsidR="00035669">
        <w:rPr>
          <w:rFonts w:asciiTheme="minorHAnsi" w:hAnsiTheme="minorHAnsi" w:cstheme="minorHAnsi"/>
        </w:rPr>
        <w:t>C</w:t>
      </w:r>
      <w:r w:rsidRPr="00703589">
        <w:rPr>
          <w:rFonts w:asciiTheme="minorHAnsi" w:hAnsiTheme="minorHAnsi" w:cstheme="minorHAnsi"/>
        </w:rPr>
        <w:t xml:space="preserve">ontribution </w:t>
      </w:r>
    </w:p>
    <w:p w:rsidR="002E4B92" w:rsidRPr="00703589" w:rsidRDefault="002E4B92" w:rsidP="002E4B92">
      <w:pPr>
        <w:spacing w:after="120"/>
        <w:jc w:val="both"/>
        <w:rPr>
          <w:rFonts w:asciiTheme="minorHAnsi" w:hAnsiTheme="minorHAnsi" w:cstheme="minorHAnsi"/>
          <w:sz w:val="22"/>
          <w:szCs w:val="22"/>
        </w:rPr>
      </w:pPr>
      <w:r w:rsidRPr="00703589">
        <w:rPr>
          <w:rFonts w:asciiTheme="minorHAnsi" w:hAnsiTheme="minorHAnsi" w:cstheme="minorHAnsi"/>
          <w:sz w:val="22"/>
          <w:szCs w:val="22"/>
        </w:rPr>
        <w:t xml:space="preserve">A suite of governance activities supported by Australia during 2013-14, </w:t>
      </w:r>
      <w:r w:rsidR="00415454" w:rsidRPr="00703589">
        <w:rPr>
          <w:rFonts w:asciiTheme="minorHAnsi" w:hAnsiTheme="minorHAnsi" w:cstheme="minorHAnsi"/>
          <w:sz w:val="22"/>
          <w:szCs w:val="22"/>
        </w:rPr>
        <w:t xml:space="preserve">which totalled an estimated </w:t>
      </w:r>
      <w:r w:rsidR="00220922">
        <w:rPr>
          <w:rFonts w:asciiTheme="minorHAnsi" w:hAnsiTheme="minorHAnsi" w:cstheme="minorHAnsi"/>
          <w:sz w:val="22"/>
          <w:szCs w:val="22"/>
        </w:rPr>
        <w:t>A</w:t>
      </w:r>
      <w:r w:rsidR="00415454" w:rsidRPr="00703589">
        <w:rPr>
          <w:rFonts w:asciiTheme="minorHAnsi" w:hAnsiTheme="minorHAnsi" w:cstheme="minorHAnsi"/>
          <w:sz w:val="22"/>
          <w:szCs w:val="22"/>
        </w:rPr>
        <w:t>$81</w:t>
      </w:r>
      <w:r w:rsidRPr="00703589">
        <w:rPr>
          <w:rFonts w:asciiTheme="minorHAnsi" w:hAnsiTheme="minorHAnsi" w:cstheme="minorHAnsi"/>
          <w:sz w:val="22"/>
          <w:szCs w:val="22"/>
        </w:rPr>
        <w:t xml:space="preserve"> million, complements specific sector governance activities in</w:t>
      </w:r>
      <w:r w:rsidR="00117B68" w:rsidRPr="00703589">
        <w:rPr>
          <w:rFonts w:asciiTheme="minorHAnsi" w:hAnsiTheme="minorHAnsi" w:cstheme="minorHAnsi"/>
          <w:sz w:val="22"/>
          <w:szCs w:val="22"/>
        </w:rPr>
        <w:t xml:space="preserve"> the four priority PNG-Australia</w:t>
      </w:r>
      <w:r w:rsidRPr="00703589">
        <w:rPr>
          <w:rFonts w:asciiTheme="minorHAnsi" w:hAnsiTheme="minorHAnsi" w:cstheme="minorHAnsi"/>
          <w:sz w:val="22"/>
          <w:szCs w:val="22"/>
        </w:rPr>
        <w:t xml:space="preserve"> Partnership for Development sectors. </w:t>
      </w:r>
    </w:p>
    <w:p w:rsidR="000D596F" w:rsidRPr="00703589" w:rsidRDefault="003847B8" w:rsidP="003847B8">
      <w:pPr>
        <w:spacing w:after="120"/>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lastRenderedPageBreak/>
        <w:t xml:space="preserve">In 2013, Australia provided technical assistance to develop the legislative and governance framework to support effective implementation of the </w:t>
      </w:r>
      <w:r w:rsidRPr="00703589">
        <w:rPr>
          <w:rFonts w:asciiTheme="minorHAnsi" w:eastAsiaTheme="minorHAnsi" w:hAnsiTheme="minorHAnsi" w:cstheme="minorHAnsi"/>
          <w:b/>
          <w:sz w:val="22"/>
          <w:szCs w:val="22"/>
        </w:rPr>
        <w:t>Sovereign Wealth Fund</w:t>
      </w:r>
      <w:r w:rsidRPr="00703589">
        <w:rPr>
          <w:rFonts w:asciiTheme="minorHAnsi" w:eastAsiaTheme="minorHAnsi" w:hAnsiTheme="minorHAnsi" w:cstheme="minorHAnsi"/>
          <w:sz w:val="22"/>
          <w:szCs w:val="22"/>
        </w:rPr>
        <w:t>.</w:t>
      </w:r>
      <w:r w:rsidRPr="00220922">
        <w:rPr>
          <w:rStyle w:val="FootnoteReference"/>
          <w:rFonts w:asciiTheme="minorHAnsi" w:eastAsiaTheme="minorHAnsi" w:hAnsiTheme="minorHAnsi" w:cstheme="minorHAnsi"/>
          <w:szCs w:val="16"/>
        </w:rPr>
        <w:footnoteReference w:id="8"/>
      </w:r>
      <w:r w:rsidRPr="00220922">
        <w:rPr>
          <w:rFonts w:asciiTheme="minorHAnsi" w:eastAsiaTheme="minorHAnsi" w:hAnsiTheme="minorHAnsi" w:cstheme="minorHAnsi"/>
          <w:sz w:val="16"/>
          <w:szCs w:val="16"/>
        </w:rPr>
        <w:t xml:space="preserve"> </w:t>
      </w:r>
      <w:r w:rsidRPr="00703589">
        <w:rPr>
          <w:rFonts w:asciiTheme="minorHAnsi" w:eastAsiaTheme="minorHAnsi" w:hAnsiTheme="minorHAnsi" w:cstheme="minorHAnsi"/>
          <w:sz w:val="22"/>
          <w:szCs w:val="22"/>
        </w:rPr>
        <w:t xml:space="preserve"> However, the PNG Government’s interest in establishing the Fund </w:t>
      </w:r>
      <w:r w:rsidR="00383123" w:rsidRPr="00703589">
        <w:rPr>
          <w:rFonts w:asciiTheme="minorHAnsi" w:eastAsiaTheme="minorHAnsi" w:hAnsiTheme="minorHAnsi" w:cstheme="minorHAnsi"/>
          <w:sz w:val="22"/>
          <w:szCs w:val="22"/>
        </w:rPr>
        <w:t>was</w:t>
      </w:r>
      <w:r w:rsidRPr="00703589">
        <w:rPr>
          <w:rFonts w:asciiTheme="minorHAnsi" w:eastAsiaTheme="minorHAnsi" w:hAnsiTheme="minorHAnsi" w:cstheme="minorHAnsi"/>
          <w:sz w:val="22"/>
          <w:szCs w:val="22"/>
        </w:rPr>
        <w:t xml:space="preserve"> overtaken by other priorities</w:t>
      </w:r>
      <w:r w:rsidR="00207F5C" w:rsidRPr="00703589">
        <w:rPr>
          <w:rFonts w:asciiTheme="minorHAnsi" w:eastAsiaTheme="minorHAnsi" w:hAnsiTheme="minorHAnsi" w:cstheme="minorHAnsi"/>
          <w:sz w:val="22"/>
          <w:szCs w:val="22"/>
        </w:rPr>
        <w:t xml:space="preserve"> (including a loa</w:t>
      </w:r>
      <w:r w:rsidR="004E3AF6" w:rsidRPr="00703589">
        <w:rPr>
          <w:rFonts w:asciiTheme="minorHAnsi" w:eastAsiaTheme="minorHAnsi" w:hAnsiTheme="minorHAnsi" w:cstheme="minorHAnsi"/>
          <w:sz w:val="22"/>
          <w:szCs w:val="22"/>
        </w:rPr>
        <w:t>n</w:t>
      </w:r>
      <w:r w:rsidR="00207F5C" w:rsidRPr="00703589">
        <w:rPr>
          <w:rFonts w:asciiTheme="minorHAnsi" w:eastAsiaTheme="minorHAnsi" w:hAnsiTheme="minorHAnsi" w:cstheme="minorHAnsi"/>
          <w:sz w:val="22"/>
          <w:szCs w:val="22"/>
        </w:rPr>
        <w:t xml:space="preserve"> from UBS</w:t>
      </w:r>
      <w:r w:rsidR="00095DBB" w:rsidRPr="00703589">
        <w:rPr>
          <w:rFonts w:asciiTheme="minorHAnsi" w:eastAsiaTheme="minorHAnsi" w:hAnsiTheme="minorHAnsi" w:cstheme="minorHAnsi"/>
          <w:sz w:val="22"/>
          <w:szCs w:val="22"/>
        </w:rPr>
        <w:t xml:space="preserve"> Investment Bank</w:t>
      </w:r>
      <w:r w:rsidR="00207F5C" w:rsidRPr="00703589">
        <w:rPr>
          <w:rFonts w:asciiTheme="minorHAnsi" w:eastAsiaTheme="minorHAnsi" w:hAnsiTheme="minorHAnsi" w:cstheme="minorHAnsi"/>
          <w:sz w:val="22"/>
          <w:szCs w:val="22"/>
        </w:rPr>
        <w:t xml:space="preserve"> to purchase shares in Oil Search).</w:t>
      </w:r>
      <w:r w:rsidRPr="00703589">
        <w:rPr>
          <w:rFonts w:asciiTheme="minorHAnsi" w:eastAsiaTheme="minorHAnsi" w:hAnsiTheme="minorHAnsi" w:cstheme="minorHAnsi"/>
          <w:sz w:val="22"/>
          <w:szCs w:val="22"/>
        </w:rPr>
        <w:t xml:space="preserve"> Australia </w:t>
      </w:r>
      <w:r w:rsidR="00207F5C" w:rsidRPr="00703589">
        <w:rPr>
          <w:rFonts w:asciiTheme="minorHAnsi" w:eastAsiaTheme="minorHAnsi" w:hAnsiTheme="minorHAnsi" w:cstheme="minorHAnsi"/>
          <w:sz w:val="22"/>
          <w:szCs w:val="22"/>
        </w:rPr>
        <w:t xml:space="preserve">provided </w:t>
      </w:r>
      <w:r w:rsidR="00AF49C3" w:rsidRPr="00703589">
        <w:rPr>
          <w:rFonts w:asciiTheme="minorHAnsi" w:eastAsiaTheme="minorHAnsi" w:hAnsiTheme="minorHAnsi" w:cstheme="minorHAnsi"/>
          <w:sz w:val="22"/>
          <w:szCs w:val="22"/>
        </w:rPr>
        <w:t xml:space="preserve">support to assist in PNG’s candidacy application </w:t>
      </w:r>
      <w:r w:rsidRPr="00703589">
        <w:rPr>
          <w:rFonts w:asciiTheme="minorHAnsi" w:eastAsiaTheme="minorHAnsi" w:hAnsiTheme="minorHAnsi" w:cstheme="minorHAnsi"/>
          <w:sz w:val="22"/>
          <w:szCs w:val="22"/>
        </w:rPr>
        <w:t>to become a member of the Extractive Industries Transparency Initiative</w:t>
      </w:r>
      <w:r w:rsidR="00AF49C3" w:rsidRPr="00703589">
        <w:rPr>
          <w:rFonts w:asciiTheme="minorHAnsi" w:eastAsiaTheme="minorHAnsi" w:hAnsiTheme="minorHAnsi" w:cstheme="minorHAnsi"/>
          <w:sz w:val="22"/>
          <w:szCs w:val="22"/>
        </w:rPr>
        <w:t xml:space="preserve">. This included support </w:t>
      </w:r>
      <w:r w:rsidR="001B24DD" w:rsidRPr="00703589">
        <w:rPr>
          <w:rFonts w:asciiTheme="minorHAnsi" w:eastAsiaTheme="minorHAnsi" w:hAnsiTheme="minorHAnsi" w:cstheme="minorHAnsi"/>
          <w:sz w:val="22"/>
          <w:szCs w:val="22"/>
        </w:rPr>
        <w:t>through</w:t>
      </w:r>
      <w:r w:rsidR="00AF49C3" w:rsidRPr="00703589">
        <w:rPr>
          <w:rFonts w:asciiTheme="minorHAnsi" w:eastAsiaTheme="minorHAnsi" w:hAnsiTheme="minorHAnsi" w:cstheme="minorHAnsi"/>
          <w:sz w:val="22"/>
          <w:szCs w:val="22"/>
        </w:rPr>
        <w:t xml:space="preserve"> Transparency International to </w:t>
      </w:r>
      <w:r w:rsidR="001B24DD" w:rsidRPr="00703589">
        <w:rPr>
          <w:rFonts w:asciiTheme="minorHAnsi" w:eastAsiaTheme="minorHAnsi" w:hAnsiTheme="minorHAnsi" w:cstheme="minorHAnsi"/>
          <w:sz w:val="22"/>
          <w:szCs w:val="22"/>
        </w:rPr>
        <w:t>assist in establishing</w:t>
      </w:r>
      <w:r w:rsidR="00AF49C3" w:rsidRPr="00703589">
        <w:rPr>
          <w:rFonts w:asciiTheme="minorHAnsi" w:eastAsiaTheme="minorHAnsi" w:hAnsiTheme="minorHAnsi" w:cstheme="minorHAnsi"/>
          <w:sz w:val="22"/>
          <w:szCs w:val="22"/>
        </w:rPr>
        <w:t xml:space="preserve"> the multi-stakeholder group</w:t>
      </w:r>
      <w:r w:rsidRPr="00703589">
        <w:rPr>
          <w:rFonts w:asciiTheme="minorHAnsi" w:eastAsiaTheme="minorHAnsi" w:hAnsiTheme="minorHAnsi" w:cstheme="minorHAnsi"/>
          <w:sz w:val="22"/>
          <w:szCs w:val="22"/>
        </w:rPr>
        <w:t xml:space="preserve"> in early 2014</w:t>
      </w:r>
      <w:r w:rsidR="00383123" w:rsidRPr="00703589">
        <w:rPr>
          <w:rFonts w:asciiTheme="minorHAnsi" w:eastAsiaTheme="minorHAnsi" w:hAnsiTheme="minorHAnsi" w:cstheme="minorHAnsi"/>
          <w:sz w:val="22"/>
          <w:szCs w:val="22"/>
        </w:rPr>
        <w:t>,</w:t>
      </w:r>
      <w:r w:rsidRPr="00703589">
        <w:rPr>
          <w:rFonts w:asciiTheme="minorHAnsi" w:eastAsiaTheme="minorHAnsi" w:hAnsiTheme="minorHAnsi" w:cstheme="minorHAnsi"/>
          <w:sz w:val="22"/>
          <w:szCs w:val="22"/>
        </w:rPr>
        <w:t xml:space="preserve"> which is expected to </w:t>
      </w:r>
      <w:r w:rsidR="00806E64" w:rsidRPr="00703589">
        <w:rPr>
          <w:rFonts w:asciiTheme="minorHAnsi" w:eastAsiaTheme="minorHAnsi" w:hAnsiTheme="minorHAnsi" w:cstheme="minorHAnsi"/>
          <w:sz w:val="22"/>
          <w:szCs w:val="22"/>
        </w:rPr>
        <w:t>help promote</w:t>
      </w:r>
      <w:r w:rsidRPr="00703589">
        <w:rPr>
          <w:rFonts w:asciiTheme="minorHAnsi" w:eastAsiaTheme="minorHAnsi" w:hAnsiTheme="minorHAnsi" w:cstheme="minorHAnsi"/>
          <w:sz w:val="22"/>
          <w:szCs w:val="22"/>
        </w:rPr>
        <w:t xml:space="preserve"> better practice within PNG’s</w:t>
      </w:r>
      <w:r w:rsidRPr="00703589">
        <w:rPr>
          <w:rFonts w:asciiTheme="minorHAnsi" w:eastAsiaTheme="minorHAnsi" w:hAnsiTheme="minorHAnsi" w:cstheme="minorHAnsi"/>
          <w:b/>
          <w:sz w:val="22"/>
          <w:szCs w:val="22"/>
        </w:rPr>
        <w:t xml:space="preserve"> </w:t>
      </w:r>
      <w:r w:rsidRPr="00703589">
        <w:rPr>
          <w:rFonts w:asciiTheme="minorHAnsi" w:eastAsiaTheme="minorHAnsi" w:hAnsiTheme="minorHAnsi" w:cstheme="minorHAnsi"/>
          <w:sz w:val="22"/>
          <w:szCs w:val="22"/>
        </w:rPr>
        <w:t>extractive industry</w:t>
      </w:r>
      <w:r w:rsidR="00806E64" w:rsidRPr="00703589">
        <w:rPr>
          <w:rFonts w:asciiTheme="minorHAnsi" w:eastAsiaTheme="minorHAnsi" w:hAnsiTheme="minorHAnsi" w:cstheme="minorHAnsi"/>
          <w:sz w:val="22"/>
          <w:szCs w:val="22"/>
        </w:rPr>
        <w:t>.</w:t>
      </w:r>
      <w:r w:rsidRPr="00703589">
        <w:rPr>
          <w:rFonts w:asciiTheme="minorHAnsi" w:eastAsiaTheme="minorHAnsi" w:hAnsiTheme="minorHAnsi" w:cstheme="minorHAnsi"/>
          <w:sz w:val="22"/>
          <w:szCs w:val="22"/>
        </w:rPr>
        <w:t xml:space="preserve"> Australia’s support for the modernisation of the</w:t>
      </w:r>
      <w:r w:rsidRPr="00703589">
        <w:rPr>
          <w:rFonts w:asciiTheme="minorHAnsi" w:eastAsiaTheme="minorHAnsi" w:hAnsiTheme="minorHAnsi" w:cstheme="minorHAnsi"/>
          <w:b/>
          <w:sz w:val="22"/>
          <w:szCs w:val="22"/>
        </w:rPr>
        <w:t xml:space="preserve"> </w:t>
      </w:r>
      <w:r w:rsidRPr="00703589">
        <w:rPr>
          <w:rFonts w:asciiTheme="minorHAnsi" w:eastAsiaTheme="minorHAnsi" w:hAnsiTheme="minorHAnsi" w:cstheme="minorHAnsi"/>
          <w:sz w:val="22"/>
          <w:szCs w:val="22"/>
        </w:rPr>
        <w:t xml:space="preserve">Internal Revenue Commission (IRC) is also expected to assist the PNG Government’s ability to raise internal revenues through increased staff and staff retention, and improved management </w:t>
      </w:r>
      <w:r w:rsidR="00F748C8" w:rsidRPr="00703589">
        <w:rPr>
          <w:rFonts w:asciiTheme="minorHAnsi" w:eastAsiaTheme="minorHAnsi" w:hAnsiTheme="minorHAnsi" w:cstheme="minorHAnsi"/>
          <w:sz w:val="22"/>
          <w:szCs w:val="22"/>
        </w:rPr>
        <w:t xml:space="preserve">and information </w:t>
      </w:r>
      <w:r w:rsidRPr="00703589">
        <w:rPr>
          <w:rFonts w:asciiTheme="minorHAnsi" w:eastAsiaTheme="minorHAnsi" w:hAnsiTheme="minorHAnsi" w:cstheme="minorHAnsi"/>
          <w:sz w:val="22"/>
          <w:szCs w:val="22"/>
        </w:rPr>
        <w:t xml:space="preserve">systems. </w:t>
      </w:r>
    </w:p>
    <w:p w:rsidR="003847B8" w:rsidRPr="00703589" w:rsidRDefault="003847B8" w:rsidP="003847B8">
      <w:pPr>
        <w:spacing w:after="120"/>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 xml:space="preserve">Improving </w:t>
      </w:r>
      <w:r w:rsidRPr="00703589">
        <w:rPr>
          <w:rFonts w:asciiTheme="minorHAnsi" w:eastAsiaTheme="minorHAnsi" w:hAnsiTheme="minorHAnsi" w:cstheme="minorHAnsi"/>
          <w:b/>
          <w:sz w:val="22"/>
          <w:szCs w:val="22"/>
        </w:rPr>
        <w:t>PNG’s business environment</w:t>
      </w:r>
      <w:r w:rsidRPr="00703589">
        <w:rPr>
          <w:rFonts w:asciiTheme="minorHAnsi" w:eastAsiaTheme="minorHAnsi" w:hAnsiTheme="minorHAnsi" w:cstheme="minorHAnsi"/>
          <w:sz w:val="22"/>
          <w:szCs w:val="22"/>
        </w:rPr>
        <w:t xml:space="preserve"> has also been an element of </w:t>
      </w:r>
      <w:r w:rsidR="004E3AF6" w:rsidRPr="00703589">
        <w:rPr>
          <w:rFonts w:asciiTheme="minorHAnsi" w:eastAsiaTheme="minorHAnsi" w:hAnsiTheme="minorHAnsi" w:cstheme="minorHAnsi"/>
          <w:sz w:val="22"/>
          <w:szCs w:val="22"/>
        </w:rPr>
        <w:t>Australian</w:t>
      </w:r>
      <w:r w:rsidRPr="00703589">
        <w:rPr>
          <w:rFonts w:asciiTheme="minorHAnsi" w:eastAsiaTheme="minorHAnsi" w:hAnsiTheme="minorHAnsi" w:cstheme="minorHAnsi"/>
          <w:sz w:val="22"/>
          <w:szCs w:val="22"/>
        </w:rPr>
        <w:t xml:space="preserve"> </w:t>
      </w:r>
      <w:r w:rsidR="004E3AF6" w:rsidRPr="00703589">
        <w:rPr>
          <w:rFonts w:asciiTheme="minorHAnsi" w:eastAsiaTheme="minorHAnsi" w:hAnsiTheme="minorHAnsi" w:cstheme="minorHAnsi"/>
          <w:sz w:val="22"/>
          <w:szCs w:val="22"/>
        </w:rPr>
        <w:t xml:space="preserve">assistance over the past year. </w:t>
      </w:r>
      <w:r w:rsidRPr="00703589">
        <w:rPr>
          <w:rFonts w:asciiTheme="minorHAnsi" w:eastAsiaTheme="minorHAnsi" w:hAnsiTheme="minorHAnsi" w:cstheme="minorHAnsi"/>
          <w:sz w:val="22"/>
          <w:szCs w:val="22"/>
        </w:rPr>
        <w:t xml:space="preserve">For example, a quality assurance of PNG Power’s 5-year pricing model, supported by Australian advisers, identified a number of errors in the calculation of fees. Electricity prices were subsequently lowered for all electricity customers, saving households and businesses approximately </w:t>
      </w:r>
      <w:r w:rsidR="00D0071B" w:rsidRPr="00D0071B">
        <w:rPr>
          <w:rFonts w:asciiTheme="minorHAnsi" w:eastAsiaTheme="minorHAnsi" w:hAnsiTheme="minorHAnsi" w:cstheme="minorHAnsi"/>
          <w:sz w:val="22"/>
          <w:szCs w:val="22"/>
        </w:rPr>
        <w:t xml:space="preserve">K126 </w:t>
      </w:r>
      <w:r w:rsidRPr="00D0071B">
        <w:rPr>
          <w:rFonts w:asciiTheme="minorHAnsi" w:eastAsiaTheme="minorHAnsi" w:hAnsiTheme="minorHAnsi" w:cstheme="minorHAnsi"/>
          <w:sz w:val="22"/>
          <w:szCs w:val="22"/>
        </w:rPr>
        <w:t>million</w:t>
      </w:r>
      <w:r w:rsidR="00A7413A" w:rsidRPr="00D0071B">
        <w:rPr>
          <w:rFonts w:asciiTheme="minorHAnsi" w:eastAsiaTheme="minorHAnsi" w:hAnsiTheme="minorHAnsi" w:cstheme="minorHAnsi"/>
          <w:sz w:val="22"/>
          <w:szCs w:val="22"/>
        </w:rPr>
        <w:t xml:space="preserve"> (</w:t>
      </w:r>
      <w:r w:rsidR="00D0071B" w:rsidRPr="00D0071B">
        <w:rPr>
          <w:rFonts w:asciiTheme="minorHAnsi" w:eastAsiaTheme="minorHAnsi" w:hAnsiTheme="minorHAnsi" w:cstheme="minorHAnsi"/>
          <w:sz w:val="22"/>
          <w:szCs w:val="22"/>
        </w:rPr>
        <w:t>A$54.9 million</w:t>
      </w:r>
      <w:r w:rsidR="00A7413A" w:rsidRPr="00D0071B">
        <w:rPr>
          <w:rFonts w:asciiTheme="minorHAnsi" w:eastAsiaTheme="minorHAnsi" w:hAnsiTheme="minorHAnsi" w:cstheme="minorHAnsi"/>
          <w:sz w:val="22"/>
          <w:szCs w:val="22"/>
        </w:rPr>
        <w:t>)</w:t>
      </w:r>
      <w:r w:rsidRPr="00D0071B">
        <w:rPr>
          <w:rFonts w:asciiTheme="minorHAnsi" w:eastAsiaTheme="minorHAnsi" w:hAnsiTheme="minorHAnsi" w:cstheme="minorHAnsi"/>
          <w:sz w:val="22"/>
          <w:szCs w:val="22"/>
        </w:rPr>
        <w:t>.</w:t>
      </w:r>
      <w:r w:rsidRPr="00220922">
        <w:rPr>
          <w:rStyle w:val="FootnoteReference"/>
          <w:rFonts w:asciiTheme="minorHAnsi" w:eastAsiaTheme="minorHAnsi" w:hAnsiTheme="minorHAnsi" w:cstheme="minorHAnsi"/>
          <w:szCs w:val="16"/>
        </w:rPr>
        <w:footnoteReference w:id="9"/>
      </w:r>
      <w:r w:rsidRPr="00703589">
        <w:rPr>
          <w:rFonts w:asciiTheme="minorHAnsi" w:eastAsiaTheme="minorHAnsi" w:hAnsiTheme="minorHAnsi" w:cstheme="minorHAnsi"/>
          <w:sz w:val="22"/>
          <w:szCs w:val="22"/>
        </w:rPr>
        <w:t xml:space="preserve"> Australia supported the Independent Consumer and Competition Commission (ICCC) to assess a code-share agreement b</w:t>
      </w:r>
      <w:r w:rsidR="004E3AF6" w:rsidRPr="00703589">
        <w:rPr>
          <w:rFonts w:asciiTheme="minorHAnsi" w:eastAsiaTheme="minorHAnsi" w:hAnsiTheme="minorHAnsi" w:cstheme="minorHAnsi"/>
          <w:sz w:val="22"/>
          <w:szCs w:val="22"/>
        </w:rPr>
        <w:t xml:space="preserve">etween Air Niugini and Qantas. </w:t>
      </w:r>
      <w:r w:rsidRPr="00703589">
        <w:rPr>
          <w:rFonts w:asciiTheme="minorHAnsi" w:eastAsiaTheme="minorHAnsi" w:hAnsiTheme="minorHAnsi" w:cstheme="minorHAnsi"/>
          <w:sz w:val="22"/>
          <w:szCs w:val="22"/>
        </w:rPr>
        <w:t>ICCC’s rejection of the code-sharing arrangement helped maintain competition within the industry.</w:t>
      </w:r>
      <w:r w:rsidRPr="00220922">
        <w:rPr>
          <w:rStyle w:val="FootnoteReference"/>
          <w:rFonts w:asciiTheme="minorHAnsi" w:eastAsiaTheme="minorHAnsi" w:hAnsiTheme="minorHAnsi" w:cstheme="minorHAnsi"/>
          <w:szCs w:val="16"/>
        </w:rPr>
        <w:footnoteReference w:id="10"/>
      </w:r>
      <w:r w:rsidRPr="00D03739">
        <w:rPr>
          <w:rFonts w:asciiTheme="minorHAnsi" w:eastAsiaTheme="minorHAnsi" w:hAnsiTheme="minorHAnsi" w:cstheme="minorHAnsi"/>
          <w:szCs w:val="20"/>
        </w:rPr>
        <w:t xml:space="preserve"> </w:t>
      </w:r>
      <w:r w:rsidRPr="00703589">
        <w:rPr>
          <w:rFonts w:asciiTheme="minorHAnsi" w:eastAsiaTheme="minorHAnsi" w:hAnsiTheme="minorHAnsi" w:cstheme="minorHAnsi"/>
          <w:sz w:val="22"/>
          <w:szCs w:val="22"/>
        </w:rPr>
        <w:t xml:space="preserve">Australian technical support also influenced the PNG </w:t>
      </w:r>
      <w:r w:rsidR="00806E64" w:rsidRPr="00703589">
        <w:rPr>
          <w:rFonts w:asciiTheme="minorHAnsi" w:eastAsiaTheme="minorHAnsi" w:hAnsiTheme="minorHAnsi" w:cstheme="minorHAnsi"/>
          <w:sz w:val="22"/>
          <w:szCs w:val="22"/>
        </w:rPr>
        <w:t>Government’s decision</w:t>
      </w:r>
      <w:r w:rsidRPr="00703589">
        <w:rPr>
          <w:rFonts w:asciiTheme="minorHAnsi" w:eastAsiaTheme="minorHAnsi" w:hAnsiTheme="minorHAnsi" w:cstheme="minorHAnsi"/>
          <w:sz w:val="22"/>
          <w:szCs w:val="22"/>
        </w:rPr>
        <w:t xml:space="preserve"> to establish a Rural Airstrips Agency which will oversee airstrip maintenance plans</w:t>
      </w:r>
      <w:r w:rsidR="00806E64" w:rsidRPr="00703589">
        <w:rPr>
          <w:rFonts w:asciiTheme="minorHAnsi" w:eastAsiaTheme="minorHAnsi" w:hAnsiTheme="minorHAnsi" w:cstheme="minorHAnsi"/>
          <w:sz w:val="22"/>
          <w:szCs w:val="22"/>
        </w:rPr>
        <w:t>.</w:t>
      </w:r>
      <w:r w:rsidRPr="00703589">
        <w:rPr>
          <w:rFonts w:asciiTheme="minorHAnsi" w:eastAsiaTheme="minorHAnsi" w:hAnsiTheme="minorHAnsi" w:cstheme="minorHAnsi"/>
          <w:sz w:val="22"/>
          <w:szCs w:val="22"/>
        </w:rPr>
        <w:t xml:space="preserve">  </w:t>
      </w:r>
    </w:p>
    <w:p w:rsidR="003847B8" w:rsidRPr="00703589" w:rsidRDefault="003847B8" w:rsidP="003847B8">
      <w:pPr>
        <w:spacing w:after="120"/>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 xml:space="preserve">Australian aid assisted the PNG Government with </w:t>
      </w:r>
      <w:r w:rsidRPr="00703589">
        <w:rPr>
          <w:rFonts w:asciiTheme="minorHAnsi" w:eastAsiaTheme="minorHAnsi" w:hAnsiTheme="minorHAnsi" w:cstheme="minorHAnsi"/>
          <w:b/>
          <w:sz w:val="22"/>
          <w:szCs w:val="22"/>
        </w:rPr>
        <w:t>national budget and planning</w:t>
      </w:r>
      <w:r w:rsidRPr="00703589">
        <w:rPr>
          <w:rFonts w:asciiTheme="minorHAnsi" w:eastAsiaTheme="minorHAnsi" w:hAnsiTheme="minorHAnsi" w:cstheme="minorHAnsi"/>
          <w:sz w:val="22"/>
          <w:szCs w:val="22"/>
        </w:rPr>
        <w:t xml:space="preserve"> outcomes. In 2013, with Australian support, PNG’s recurrent and development budgets were nominally integrated, and multi-year budgeting w</w:t>
      </w:r>
      <w:r w:rsidR="004E3AF6" w:rsidRPr="00703589">
        <w:rPr>
          <w:rFonts w:asciiTheme="minorHAnsi" w:eastAsiaTheme="minorHAnsi" w:hAnsiTheme="minorHAnsi" w:cstheme="minorHAnsi"/>
          <w:sz w:val="22"/>
          <w:szCs w:val="22"/>
        </w:rPr>
        <w:t xml:space="preserve">as introduced. </w:t>
      </w:r>
      <w:r w:rsidRPr="00703589">
        <w:rPr>
          <w:rFonts w:asciiTheme="minorHAnsi" w:eastAsiaTheme="minorHAnsi" w:hAnsiTheme="minorHAnsi" w:cstheme="minorHAnsi"/>
          <w:sz w:val="22"/>
          <w:szCs w:val="22"/>
        </w:rPr>
        <w:t xml:space="preserve">Australian advisers provided economic policy advice to the PNG Government in the preparation of the 2014 Budget. The </w:t>
      </w:r>
      <w:r w:rsidR="00207F5C" w:rsidRPr="00703589">
        <w:rPr>
          <w:rFonts w:asciiTheme="minorHAnsi" w:eastAsiaTheme="minorHAnsi" w:hAnsiTheme="minorHAnsi" w:cstheme="minorHAnsi"/>
          <w:sz w:val="22"/>
          <w:szCs w:val="22"/>
        </w:rPr>
        <w:t>National Economic and Fiscal Commission (</w:t>
      </w:r>
      <w:r w:rsidRPr="00703589">
        <w:rPr>
          <w:rFonts w:asciiTheme="minorHAnsi" w:eastAsiaTheme="minorHAnsi" w:hAnsiTheme="minorHAnsi" w:cstheme="minorHAnsi"/>
          <w:sz w:val="22"/>
          <w:szCs w:val="22"/>
        </w:rPr>
        <w:t>NEFC</w:t>
      </w:r>
      <w:r w:rsidR="00207F5C" w:rsidRPr="00703589">
        <w:rPr>
          <w:rFonts w:asciiTheme="minorHAnsi" w:eastAsiaTheme="minorHAnsi" w:hAnsiTheme="minorHAnsi" w:cstheme="minorHAnsi"/>
          <w:sz w:val="22"/>
          <w:szCs w:val="22"/>
        </w:rPr>
        <w:t>)</w:t>
      </w:r>
      <w:r w:rsidRPr="00703589">
        <w:rPr>
          <w:rFonts w:asciiTheme="minorHAnsi" w:eastAsiaTheme="minorHAnsi" w:hAnsiTheme="minorHAnsi" w:cstheme="minorHAnsi"/>
          <w:sz w:val="22"/>
          <w:szCs w:val="22"/>
        </w:rPr>
        <w:t xml:space="preserve"> Reform of Intergovernmental Financing Arrangements (RIGFA), a Government of Austral</w:t>
      </w:r>
      <w:r w:rsidR="00220922">
        <w:rPr>
          <w:rFonts w:asciiTheme="minorHAnsi" w:eastAsiaTheme="minorHAnsi" w:hAnsiTheme="minorHAnsi" w:cstheme="minorHAnsi"/>
          <w:sz w:val="22"/>
          <w:szCs w:val="22"/>
        </w:rPr>
        <w:t>ia-</w:t>
      </w:r>
      <w:r w:rsidRPr="00703589">
        <w:rPr>
          <w:rFonts w:asciiTheme="minorHAnsi" w:eastAsiaTheme="minorHAnsi" w:hAnsiTheme="minorHAnsi" w:cstheme="minorHAnsi"/>
          <w:sz w:val="22"/>
          <w:szCs w:val="22"/>
        </w:rPr>
        <w:t xml:space="preserve">led reform from 2009, assisted in improving the allocation of funding for services to provinces. The Provincial and Local Level Government Program (PLGP) assisted in determining grants to provinces that included two new provinces of Hela and Jiwaka, and </w:t>
      </w:r>
      <w:r w:rsidR="00DD7C25" w:rsidRPr="00703589">
        <w:rPr>
          <w:rFonts w:asciiTheme="minorHAnsi" w:eastAsiaTheme="minorHAnsi" w:hAnsiTheme="minorHAnsi" w:cstheme="minorHAnsi"/>
          <w:sz w:val="22"/>
          <w:szCs w:val="22"/>
        </w:rPr>
        <w:t xml:space="preserve">supported </w:t>
      </w:r>
      <w:r w:rsidRPr="00703589">
        <w:rPr>
          <w:rFonts w:asciiTheme="minorHAnsi" w:eastAsiaTheme="minorHAnsi" w:hAnsiTheme="minorHAnsi" w:cstheme="minorHAnsi"/>
          <w:sz w:val="22"/>
          <w:szCs w:val="22"/>
        </w:rPr>
        <w:t xml:space="preserve">the Village Court Secretariat to introduce a structured payment system </w:t>
      </w:r>
      <w:r w:rsidR="004E3AF6" w:rsidRPr="00703589">
        <w:rPr>
          <w:rFonts w:asciiTheme="minorHAnsi" w:eastAsiaTheme="minorHAnsi" w:hAnsiTheme="minorHAnsi" w:cstheme="minorHAnsi"/>
          <w:sz w:val="22"/>
          <w:szCs w:val="22"/>
        </w:rPr>
        <w:t>to</w:t>
      </w:r>
      <w:r w:rsidRPr="00703589">
        <w:rPr>
          <w:rFonts w:asciiTheme="minorHAnsi" w:eastAsiaTheme="minorHAnsi" w:hAnsiTheme="minorHAnsi" w:cstheme="minorHAnsi"/>
          <w:sz w:val="22"/>
          <w:szCs w:val="22"/>
        </w:rPr>
        <w:t xml:space="preserve"> village court officials. </w:t>
      </w:r>
    </w:p>
    <w:p w:rsidR="003847B8" w:rsidRPr="00703589" w:rsidRDefault="004E3AF6" w:rsidP="006B60F6">
      <w:pPr>
        <w:spacing w:after="120"/>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Australia</w:t>
      </w:r>
      <w:r w:rsidR="003847B8" w:rsidRPr="00703589">
        <w:rPr>
          <w:rFonts w:asciiTheme="minorHAnsi" w:eastAsiaTheme="minorHAnsi" w:hAnsiTheme="minorHAnsi" w:cstheme="minorHAnsi"/>
          <w:sz w:val="22"/>
          <w:szCs w:val="22"/>
        </w:rPr>
        <w:t xml:space="preserve"> is also supporting the PNG Government to improve</w:t>
      </w:r>
      <w:r w:rsidR="003847B8" w:rsidRPr="00703589">
        <w:rPr>
          <w:rFonts w:asciiTheme="minorHAnsi" w:eastAsiaTheme="minorHAnsi" w:hAnsiTheme="minorHAnsi" w:cstheme="minorHAnsi"/>
          <w:b/>
          <w:sz w:val="22"/>
          <w:szCs w:val="22"/>
        </w:rPr>
        <w:t xml:space="preserve"> </w:t>
      </w:r>
      <w:r w:rsidR="003847B8" w:rsidRPr="00703589">
        <w:rPr>
          <w:rFonts w:asciiTheme="minorHAnsi" w:eastAsiaTheme="minorHAnsi" w:hAnsiTheme="minorHAnsi" w:cstheme="minorHAnsi"/>
          <w:sz w:val="22"/>
          <w:szCs w:val="22"/>
        </w:rPr>
        <w:t xml:space="preserve">planning, accountability and transparency by </w:t>
      </w:r>
      <w:r w:rsidR="003847B8" w:rsidRPr="00703589">
        <w:rPr>
          <w:rFonts w:asciiTheme="minorHAnsi" w:eastAsiaTheme="minorHAnsi" w:hAnsiTheme="minorHAnsi" w:cstheme="minorHAnsi"/>
          <w:b/>
          <w:sz w:val="22"/>
          <w:szCs w:val="22"/>
        </w:rPr>
        <w:t>provincial and sub-national governments</w:t>
      </w:r>
      <w:r w:rsidR="003847B8" w:rsidRPr="00703589">
        <w:rPr>
          <w:rFonts w:asciiTheme="minorHAnsi" w:eastAsiaTheme="minorHAnsi" w:hAnsiTheme="minorHAnsi" w:cstheme="minorHAnsi"/>
          <w:sz w:val="22"/>
          <w:szCs w:val="22"/>
        </w:rPr>
        <w:t>.</w:t>
      </w:r>
      <w:r w:rsidR="003847B8" w:rsidRPr="00220922">
        <w:rPr>
          <w:rStyle w:val="FootnoteReference"/>
          <w:rFonts w:asciiTheme="minorHAnsi" w:eastAsiaTheme="minorHAnsi" w:hAnsiTheme="minorHAnsi" w:cstheme="minorHAnsi"/>
          <w:szCs w:val="16"/>
        </w:rPr>
        <w:footnoteReference w:id="11"/>
      </w:r>
      <w:r w:rsidR="003847B8" w:rsidRPr="00703589">
        <w:rPr>
          <w:rFonts w:asciiTheme="minorHAnsi" w:eastAsiaTheme="minorHAnsi" w:hAnsiTheme="minorHAnsi" w:cstheme="minorHAnsi"/>
          <w:sz w:val="22"/>
          <w:szCs w:val="22"/>
        </w:rPr>
        <w:t xml:space="preserve"> The Provincial Capacity Building Program (PCaB), in partnership with PNG’s Department of Finance, helped ten provinces submit financial reports and bank reconciliations to comply with finance regulations. The NEFC continued to publish its yearl</w:t>
      </w:r>
      <w:r w:rsidR="002E4B92" w:rsidRPr="00703589">
        <w:rPr>
          <w:rFonts w:asciiTheme="minorHAnsi" w:eastAsiaTheme="minorHAnsi" w:hAnsiTheme="minorHAnsi" w:cstheme="minorHAnsi"/>
          <w:sz w:val="22"/>
          <w:szCs w:val="22"/>
        </w:rPr>
        <w:t xml:space="preserve">y Provincial Expenditure Review, outlining </w:t>
      </w:r>
      <w:r w:rsidR="00220922">
        <w:rPr>
          <w:rFonts w:asciiTheme="minorHAnsi" w:eastAsiaTheme="minorHAnsi" w:hAnsiTheme="minorHAnsi" w:cstheme="minorHAnsi"/>
          <w:sz w:val="22"/>
          <w:szCs w:val="22"/>
        </w:rPr>
        <w:t>how p</w:t>
      </w:r>
      <w:r w:rsidR="003847B8" w:rsidRPr="00703589">
        <w:rPr>
          <w:rFonts w:asciiTheme="minorHAnsi" w:eastAsiaTheme="minorHAnsi" w:hAnsiTheme="minorHAnsi" w:cstheme="minorHAnsi"/>
          <w:sz w:val="22"/>
          <w:szCs w:val="22"/>
        </w:rPr>
        <w:t>rovinces spent their function grants from the National Government. Regional workshops based on the report were well attended by provincial and national agencies and encouraged higher levels of discussion around reporting on service delivery outcomes. In 2013, PLGP advisers assisted eleven provinces to deliver development and corporate plans to guide more efficient and effective public administration. Through PLGP’s assistance to NEFC, there has been a 60 per cent improvement in the timeliness of budget submissions by provinces.</w:t>
      </w:r>
      <w:r w:rsidR="003847B8" w:rsidRPr="00703589">
        <w:rPr>
          <w:rStyle w:val="FootnoteReference"/>
          <w:rFonts w:asciiTheme="minorHAnsi" w:eastAsiaTheme="minorHAnsi" w:hAnsiTheme="minorHAnsi" w:cstheme="minorHAnsi"/>
          <w:sz w:val="22"/>
          <w:szCs w:val="22"/>
        </w:rPr>
        <w:t xml:space="preserve"> </w:t>
      </w:r>
    </w:p>
    <w:p w:rsidR="004E3AF6" w:rsidRPr="00894779" w:rsidRDefault="003847B8" w:rsidP="006B60F6">
      <w:pPr>
        <w:spacing w:after="120"/>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During 2013-14, SGP supported the PNG Auditor General’s Office with the submission of three major audits to the PNG Parliament: a performance audit on the management and reporting of trust accounts; an internal financial audit of the District Services Improvement Program (DSIP); and a review of the Integrated Financial Management System (IFMS) Project.</w:t>
      </w:r>
      <w:r w:rsidRPr="00CA0E6D">
        <w:rPr>
          <w:rStyle w:val="FootnoteReference"/>
          <w:rFonts w:asciiTheme="minorHAnsi" w:eastAsiaTheme="minorHAnsi" w:hAnsiTheme="minorHAnsi" w:cstheme="minorHAnsi"/>
          <w:szCs w:val="16"/>
        </w:rPr>
        <w:footnoteReference w:id="12"/>
      </w:r>
      <w:r w:rsidRPr="00703589">
        <w:rPr>
          <w:rFonts w:asciiTheme="minorHAnsi" w:eastAsiaTheme="minorHAnsi" w:hAnsiTheme="minorHAnsi" w:cstheme="minorHAnsi"/>
          <w:sz w:val="22"/>
          <w:szCs w:val="22"/>
        </w:rPr>
        <w:t xml:space="preserve"> In addition, 2013 saw an increase in the number of audit committees operating at the provincial level. SGP also </w:t>
      </w:r>
      <w:r w:rsidR="00806E64" w:rsidRPr="00703589">
        <w:rPr>
          <w:rFonts w:asciiTheme="minorHAnsi" w:eastAsiaTheme="minorHAnsi" w:hAnsiTheme="minorHAnsi" w:cstheme="minorHAnsi"/>
          <w:sz w:val="22"/>
          <w:szCs w:val="22"/>
        </w:rPr>
        <w:t>supported a</w:t>
      </w:r>
      <w:r w:rsidRPr="00703589">
        <w:rPr>
          <w:rFonts w:asciiTheme="minorHAnsi" w:eastAsiaTheme="minorHAnsi" w:hAnsiTheme="minorHAnsi" w:cstheme="minorHAnsi"/>
          <w:sz w:val="22"/>
          <w:szCs w:val="22"/>
        </w:rPr>
        <w:t xml:space="preserve"> </w:t>
      </w:r>
      <w:r w:rsidRPr="00703589">
        <w:rPr>
          <w:rFonts w:asciiTheme="minorHAnsi" w:eastAsiaTheme="minorHAnsi" w:hAnsiTheme="minorHAnsi" w:cstheme="minorHAnsi"/>
          <w:sz w:val="22"/>
          <w:szCs w:val="22"/>
        </w:rPr>
        <w:lastRenderedPageBreak/>
        <w:t xml:space="preserve">rolling audit of non-compliance activities within the PNG Ports Authority, which resulted in 3 of 7 </w:t>
      </w:r>
      <w:r w:rsidRPr="00894779">
        <w:rPr>
          <w:rFonts w:asciiTheme="minorHAnsi" w:eastAsiaTheme="minorHAnsi" w:hAnsiTheme="minorHAnsi" w:cstheme="minorHAnsi"/>
          <w:sz w:val="22"/>
          <w:szCs w:val="22"/>
        </w:rPr>
        <w:t>previously non-compliant security plans achieving compliance</w:t>
      </w:r>
      <w:r w:rsidR="00806E64" w:rsidRPr="00894779">
        <w:rPr>
          <w:rFonts w:asciiTheme="minorHAnsi" w:eastAsiaTheme="minorHAnsi" w:hAnsiTheme="minorHAnsi" w:cstheme="minorHAnsi"/>
          <w:sz w:val="22"/>
          <w:szCs w:val="22"/>
        </w:rPr>
        <w:t>.</w:t>
      </w:r>
      <w:r w:rsidRPr="00894779">
        <w:rPr>
          <w:rFonts w:asciiTheme="minorHAnsi" w:eastAsiaTheme="minorHAnsi" w:hAnsiTheme="minorHAnsi" w:cstheme="minorHAnsi"/>
          <w:sz w:val="22"/>
          <w:szCs w:val="22"/>
        </w:rPr>
        <w:t xml:space="preserve"> </w:t>
      </w:r>
    </w:p>
    <w:p w:rsidR="006B60F6" w:rsidRPr="00894779" w:rsidRDefault="006B60F6" w:rsidP="006B60F6">
      <w:pPr>
        <w:spacing w:after="120"/>
        <w:rPr>
          <w:rFonts w:asciiTheme="minorHAnsi" w:eastAsia="Times New Roman" w:hAnsiTheme="minorHAnsi" w:cstheme="minorHAnsi"/>
          <w:sz w:val="22"/>
          <w:szCs w:val="22"/>
        </w:rPr>
      </w:pPr>
      <w:r w:rsidRPr="00894779">
        <w:rPr>
          <w:rFonts w:asciiTheme="minorHAnsi" w:eastAsia="Times New Roman" w:hAnsiTheme="minorHAnsi" w:cstheme="minorHAnsi"/>
          <w:sz w:val="22"/>
          <w:szCs w:val="22"/>
        </w:rPr>
        <w:t>The PNG Microfinance Expansion Project (MEP) designed 32 new products to enable access to low-cost savings and loan opportunities for Papua New Guineans. Business mentors have also been engaged by partner financial institutions to offer advice and support to businesses seeking loans, and to date 13 newly developed training modules have been deployed, training over 20,000 clients (over 40 per cent of who</w:t>
      </w:r>
      <w:r w:rsidR="00CA0E6D">
        <w:rPr>
          <w:rFonts w:asciiTheme="minorHAnsi" w:eastAsia="Times New Roman" w:hAnsiTheme="minorHAnsi" w:cstheme="minorHAnsi"/>
          <w:sz w:val="22"/>
          <w:szCs w:val="22"/>
        </w:rPr>
        <w:t>m</w:t>
      </w:r>
      <w:r w:rsidRPr="00894779">
        <w:rPr>
          <w:rFonts w:asciiTheme="minorHAnsi" w:eastAsia="Times New Roman" w:hAnsiTheme="minorHAnsi" w:cstheme="minorHAnsi"/>
          <w:sz w:val="22"/>
          <w:szCs w:val="22"/>
        </w:rPr>
        <w:t xml:space="preserve"> are women). </w:t>
      </w:r>
    </w:p>
    <w:p w:rsidR="003847B8" w:rsidRPr="00703589" w:rsidRDefault="003847B8" w:rsidP="006B60F6">
      <w:pPr>
        <w:spacing w:after="120"/>
        <w:jc w:val="both"/>
        <w:rPr>
          <w:rFonts w:asciiTheme="minorHAnsi" w:eastAsiaTheme="minorHAnsi" w:hAnsiTheme="minorHAnsi" w:cstheme="minorHAnsi"/>
          <w:sz w:val="22"/>
          <w:szCs w:val="22"/>
        </w:rPr>
      </w:pPr>
      <w:r w:rsidRPr="00894779">
        <w:rPr>
          <w:rFonts w:asciiTheme="minorHAnsi" w:hAnsiTheme="minorHAnsi" w:cstheme="minorHAnsi"/>
          <w:sz w:val="22"/>
          <w:szCs w:val="22"/>
        </w:rPr>
        <w:t xml:space="preserve">Australia continues to support PNG Government accountability by encouraging </w:t>
      </w:r>
      <w:r w:rsidRPr="00894779">
        <w:rPr>
          <w:rFonts w:asciiTheme="minorHAnsi" w:hAnsiTheme="minorHAnsi" w:cstheme="minorHAnsi"/>
          <w:b/>
          <w:sz w:val="22"/>
          <w:szCs w:val="22"/>
        </w:rPr>
        <w:t>e</w:t>
      </w:r>
      <w:r w:rsidRPr="00894779">
        <w:rPr>
          <w:rFonts w:asciiTheme="minorHAnsi" w:eastAsiaTheme="minorHAnsi" w:hAnsiTheme="minorHAnsi" w:cstheme="minorHAnsi"/>
          <w:b/>
          <w:sz w:val="22"/>
          <w:szCs w:val="22"/>
        </w:rPr>
        <w:t xml:space="preserve">ngagement between communities and government. </w:t>
      </w:r>
      <w:r w:rsidRPr="00894779">
        <w:rPr>
          <w:rFonts w:asciiTheme="minorHAnsi" w:eastAsiaTheme="minorHAnsi" w:hAnsiTheme="minorHAnsi" w:cstheme="minorHAnsi"/>
          <w:sz w:val="22"/>
          <w:szCs w:val="22"/>
        </w:rPr>
        <w:t>In 2013, through CARE’s Integrated Community Development Programme (ICDP), Australia continued its piloting of ward planning in Obura-Wonenara (in Eastern Highlands Province), Menyamye (in Morobe Province</w:t>
      </w:r>
      <w:r w:rsidRPr="00703589">
        <w:rPr>
          <w:rFonts w:asciiTheme="minorHAnsi" w:eastAsiaTheme="minorHAnsi" w:hAnsiTheme="minorHAnsi" w:cstheme="minorHAnsi"/>
          <w:sz w:val="22"/>
          <w:szCs w:val="22"/>
        </w:rPr>
        <w:t xml:space="preserve">) and Gumine (in Chimbu Province).  The pilots have focused on </w:t>
      </w:r>
      <w:r w:rsidR="00806E64" w:rsidRPr="00703589">
        <w:rPr>
          <w:rFonts w:asciiTheme="minorHAnsi" w:eastAsiaTheme="minorHAnsi" w:hAnsiTheme="minorHAnsi" w:cstheme="minorHAnsi"/>
          <w:sz w:val="22"/>
          <w:szCs w:val="22"/>
        </w:rPr>
        <w:t>enabling communities</w:t>
      </w:r>
      <w:r w:rsidRPr="00703589">
        <w:rPr>
          <w:rFonts w:asciiTheme="minorHAnsi" w:eastAsiaTheme="minorHAnsi" w:hAnsiTheme="minorHAnsi" w:cstheme="minorHAnsi"/>
          <w:sz w:val="22"/>
          <w:szCs w:val="22"/>
        </w:rPr>
        <w:t xml:space="preserve"> </w:t>
      </w:r>
      <w:r w:rsidR="00806E64" w:rsidRPr="00703589">
        <w:rPr>
          <w:rFonts w:asciiTheme="minorHAnsi" w:eastAsiaTheme="minorHAnsi" w:hAnsiTheme="minorHAnsi" w:cstheme="minorHAnsi"/>
          <w:sz w:val="22"/>
          <w:szCs w:val="22"/>
        </w:rPr>
        <w:t>to seek</w:t>
      </w:r>
      <w:r w:rsidRPr="00703589">
        <w:rPr>
          <w:rFonts w:asciiTheme="minorHAnsi" w:eastAsiaTheme="minorHAnsi" w:hAnsiTheme="minorHAnsi" w:cstheme="minorHAnsi"/>
          <w:sz w:val="22"/>
          <w:szCs w:val="22"/>
        </w:rPr>
        <w:t xml:space="preserve"> improvements to a range of public services, including through the pooling of community resources to augment those provided by the Government. </w:t>
      </w:r>
    </w:p>
    <w:p w:rsidR="003847B8" w:rsidRPr="00703589" w:rsidRDefault="003847B8" w:rsidP="003847B8">
      <w:pPr>
        <w:spacing w:after="120"/>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 xml:space="preserve">Australian aid provided support to the </w:t>
      </w:r>
      <w:r w:rsidRPr="00703589">
        <w:rPr>
          <w:rFonts w:asciiTheme="minorHAnsi" w:eastAsiaTheme="minorHAnsi" w:hAnsiTheme="minorHAnsi" w:cstheme="minorHAnsi"/>
          <w:b/>
          <w:sz w:val="22"/>
          <w:szCs w:val="22"/>
        </w:rPr>
        <w:t>PNG Electoral Commission</w:t>
      </w:r>
      <w:r w:rsidRPr="00703589">
        <w:rPr>
          <w:rFonts w:asciiTheme="minorHAnsi" w:eastAsiaTheme="minorHAnsi" w:hAnsiTheme="minorHAnsi" w:cstheme="minorHAnsi"/>
          <w:sz w:val="22"/>
          <w:szCs w:val="22"/>
        </w:rPr>
        <w:t xml:space="preserve"> ahead of the Local Level Government (LLG) Elections, ensuring that key electoral materials (including ballot boxes and ballot papers) reached polling places across the country on time, and voters were able to exercise their right to vote.</w:t>
      </w:r>
      <w:r w:rsidRPr="00CA0E6D">
        <w:rPr>
          <w:rStyle w:val="FootnoteReference"/>
          <w:rFonts w:asciiTheme="minorHAnsi" w:eastAsiaTheme="minorHAnsi" w:hAnsiTheme="minorHAnsi" w:cstheme="minorHAnsi"/>
          <w:szCs w:val="16"/>
        </w:rPr>
        <w:footnoteReference w:id="13"/>
      </w:r>
      <w:r w:rsidRPr="00CA0E6D">
        <w:rPr>
          <w:rFonts w:asciiTheme="minorHAnsi" w:eastAsiaTheme="minorHAnsi" w:hAnsiTheme="minorHAnsi" w:cstheme="minorHAnsi"/>
          <w:sz w:val="16"/>
          <w:szCs w:val="16"/>
        </w:rPr>
        <w:t xml:space="preserve"> </w:t>
      </w:r>
      <w:r w:rsidRPr="00703589">
        <w:rPr>
          <w:rFonts w:asciiTheme="minorHAnsi" w:eastAsiaTheme="minorHAnsi" w:hAnsiTheme="minorHAnsi" w:cstheme="minorHAnsi"/>
          <w:sz w:val="22"/>
          <w:szCs w:val="22"/>
        </w:rPr>
        <w:t xml:space="preserve">A voter awareness program supported 37 civil society organisations to reach 290,000 voters. An extensive, nation-wide multimedia campaign was also conducted with support from the aid program. The awareness </w:t>
      </w:r>
      <w:r w:rsidR="00CA0E6D">
        <w:rPr>
          <w:rFonts w:asciiTheme="minorHAnsi" w:eastAsiaTheme="minorHAnsi" w:hAnsiTheme="minorHAnsi" w:cstheme="minorHAnsi"/>
          <w:sz w:val="22"/>
          <w:szCs w:val="22"/>
        </w:rPr>
        <w:t xml:space="preserve">also </w:t>
      </w:r>
      <w:r w:rsidRPr="00703589">
        <w:rPr>
          <w:rFonts w:asciiTheme="minorHAnsi" w:eastAsiaTheme="minorHAnsi" w:hAnsiTheme="minorHAnsi" w:cstheme="minorHAnsi"/>
          <w:sz w:val="22"/>
          <w:szCs w:val="22"/>
        </w:rPr>
        <w:t>provided training and materials to potential female candidates. Anecdotally, a number of those women who were elected acknowledge</w:t>
      </w:r>
      <w:r w:rsidR="00CA0E6D">
        <w:rPr>
          <w:rFonts w:asciiTheme="minorHAnsi" w:eastAsiaTheme="minorHAnsi" w:hAnsiTheme="minorHAnsi" w:cstheme="minorHAnsi"/>
          <w:sz w:val="22"/>
          <w:szCs w:val="22"/>
        </w:rPr>
        <w:t>d</w:t>
      </w:r>
      <w:r w:rsidRPr="00703589">
        <w:rPr>
          <w:rFonts w:asciiTheme="minorHAnsi" w:eastAsiaTheme="minorHAnsi" w:hAnsiTheme="minorHAnsi" w:cstheme="minorHAnsi"/>
          <w:sz w:val="22"/>
          <w:szCs w:val="22"/>
        </w:rPr>
        <w:t xml:space="preserve"> the support was useful, and assisted in their election</w:t>
      </w:r>
      <w:r w:rsidR="00415454" w:rsidRPr="00703589">
        <w:rPr>
          <w:rFonts w:asciiTheme="minorHAnsi" w:eastAsiaTheme="minorHAnsi" w:hAnsiTheme="minorHAnsi" w:cstheme="minorHAnsi"/>
          <w:sz w:val="22"/>
          <w:szCs w:val="22"/>
        </w:rPr>
        <w:t>.</w:t>
      </w:r>
      <w:r w:rsidRPr="00CA0E6D">
        <w:rPr>
          <w:rStyle w:val="FootnoteReference"/>
          <w:rFonts w:asciiTheme="minorHAnsi" w:eastAsiaTheme="minorHAnsi" w:hAnsiTheme="minorHAnsi" w:cstheme="minorHAnsi"/>
          <w:szCs w:val="16"/>
        </w:rPr>
        <w:footnoteReference w:id="14"/>
      </w:r>
      <w:r w:rsidRPr="00CA0E6D">
        <w:rPr>
          <w:rFonts w:asciiTheme="minorHAnsi" w:eastAsiaTheme="minorHAnsi" w:hAnsiTheme="minorHAnsi" w:cstheme="minorHAnsi"/>
          <w:sz w:val="16"/>
          <w:szCs w:val="16"/>
        </w:rPr>
        <w:t xml:space="preserve"> </w:t>
      </w:r>
    </w:p>
    <w:p w:rsidR="00980D8C" w:rsidRPr="00703589" w:rsidRDefault="00980D8C" w:rsidP="00980D8C">
      <w:pPr>
        <w:spacing w:after="120"/>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 xml:space="preserve">In 2013, the Australian Government worked with the Department of Personnel Management to implement the PNG Government’s Gender Equity and Social Inclusion Policy and the relevant sections of the public service General Orders. There has been a high level of interest from PNG departments and agencies, and the program is also being rolled out to a number of pilot provinces. The Australian Government also supported the establishment of the </w:t>
      </w:r>
      <w:r w:rsidRPr="00703589">
        <w:rPr>
          <w:rFonts w:asciiTheme="minorHAnsi" w:eastAsiaTheme="minorHAnsi" w:hAnsiTheme="minorHAnsi" w:cstheme="minorHAnsi"/>
          <w:b/>
          <w:sz w:val="22"/>
          <w:szCs w:val="22"/>
        </w:rPr>
        <w:t>Business Coalition for Women</w:t>
      </w:r>
      <w:r w:rsidRPr="00703589">
        <w:rPr>
          <w:rFonts w:asciiTheme="minorHAnsi" w:eastAsiaTheme="minorHAnsi" w:hAnsiTheme="minorHAnsi" w:cstheme="minorHAnsi"/>
          <w:sz w:val="22"/>
          <w:szCs w:val="22"/>
        </w:rPr>
        <w:t xml:space="preserve">. The Coalition brings together like-minded businesses across PNG to share, learn and encourage best practice to: address violence at home and in the workplace; develop gender smart workplace policies and practices; promote women’s leadership; and expand opportunities for women in the economic supply chains. The Coalition held its first meeting in April 2014. At a provincial level, Australian advisers supported the Provincial and Local Level Services Monitoring Authority (PLLSMA) to table gender issues at its quarterly meetings. Gender issues have also come to form an integral part of the corporate planning review of provinces. At the community level, Australia facilitated a partnership between the United Church and PNG Micro Bank resulting in over 200 women gaining access to real-time banking using mobile phones. </w:t>
      </w:r>
    </w:p>
    <w:p w:rsidR="00980D8C" w:rsidRPr="00703589" w:rsidRDefault="00980D8C" w:rsidP="00980D8C">
      <w:pPr>
        <w:tabs>
          <w:tab w:val="left" w:pos="2686"/>
        </w:tabs>
        <w:spacing w:after="120"/>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The Australian High Commission has continued its engagement with the business community to identify opportunities for the aid program and the private sector to work together toward common development objectives. The governance program worked with the private sector in other ways, including through co-financing a number of social programs including Buk bilong Pikinini (early childhood education), City Mission (training and work placements) and Ginigoada (skills training).</w:t>
      </w:r>
    </w:p>
    <w:p w:rsidR="003847B8" w:rsidRPr="00703589" w:rsidRDefault="003847B8" w:rsidP="00980D8C">
      <w:pPr>
        <w:tabs>
          <w:tab w:val="left" w:pos="2686"/>
        </w:tabs>
        <w:spacing w:after="120"/>
        <w:jc w:val="both"/>
        <w:rPr>
          <w:rFonts w:asciiTheme="minorHAnsi" w:hAnsiTheme="minorHAnsi" w:cstheme="minorHAnsi"/>
          <w:b/>
          <w:sz w:val="22"/>
          <w:szCs w:val="22"/>
        </w:rPr>
      </w:pPr>
      <w:r w:rsidRPr="00703589">
        <w:rPr>
          <w:rFonts w:asciiTheme="minorHAnsi" w:hAnsiTheme="minorHAnsi" w:cstheme="minorHAnsi"/>
          <w:b/>
          <w:sz w:val="22"/>
          <w:szCs w:val="22"/>
        </w:rPr>
        <w:t xml:space="preserve">Key Risks and Challenges </w:t>
      </w:r>
    </w:p>
    <w:p w:rsidR="003847B8" w:rsidRPr="00703589" w:rsidRDefault="003847B8" w:rsidP="003847B8">
      <w:pPr>
        <w:spacing w:after="120"/>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 xml:space="preserve">A range of deep-rooted and complex governance issues can be expected to continue to </w:t>
      </w:r>
      <w:r w:rsidR="00DD7C25" w:rsidRPr="00703589">
        <w:rPr>
          <w:rFonts w:asciiTheme="minorHAnsi" w:eastAsiaTheme="minorHAnsi" w:hAnsiTheme="minorHAnsi" w:cstheme="minorHAnsi"/>
          <w:sz w:val="22"/>
          <w:szCs w:val="22"/>
        </w:rPr>
        <w:t xml:space="preserve">challenge </w:t>
      </w:r>
      <w:r w:rsidRPr="00703589">
        <w:rPr>
          <w:rFonts w:asciiTheme="minorHAnsi" w:eastAsiaTheme="minorHAnsi" w:hAnsiTheme="minorHAnsi" w:cstheme="minorHAnsi"/>
          <w:sz w:val="22"/>
          <w:szCs w:val="22"/>
        </w:rPr>
        <w:t xml:space="preserve">PNG’s development prospects and </w:t>
      </w:r>
      <w:r w:rsidR="00DD7C25" w:rsidRPr="00703589">
        <w:rPr>
          <w:rFonts w:asciiTheme="minorHAnsi" w:eastAsiaTheme="minorHAnsi" w:hAnsiTheme="minorHAnsi" w:cstheme="minorHAnsi"/>
          <w:sz w:val="22"/>
          <w:szCs w:val="22"/>
        </w:rPr>
        <w:t xml:space="preserve">limit </w:t>
      </w:r>
      <w:r w:rsidRPr="00703589">
        <w:rPr>
          <w:rFonts w:asciiTheme="minorHAnsi" w:eastAsiaTheme="minorHAnsi" w:hAnsiTheme="minorHAnsi" w:cstheme="minorHAnsi"/>
          <w:sz w:val="22"/>
          <w:szCs w:val="22"/>
        </w:rPr>
        <w:t xml:space="preserve">the achievement of aid program outcomes: poor accountability for public expenditure and service delivery outcomes; lack of service delivery capacity </w:t>
      </w:r>
      <w:r w:rsidRPr="00703589">
        <w:rPr>
          <w:rFonts w:asciiTheme="minorHAnsi" w:eastAsiaTheme="minorHAnsi" w:hAnsiTheme="minorHAnsi" w:cstheme="minorHAnsi"/>
          <w:sz w:val="22"/>
          <w:szCs w:val="22"/>
        </w:rPr>
        <w:lastRenderedPageBreak/>
        <w:t xml:space="preserve">both within the public and civil society sectors; weak or misdirected leadership; contested responsibilities between government departments and levels of government; a disconnect between planning, budgeting and actual delivery of services; and overly complex management systems and authorities. </w:t>
      </w:r>
    </w:p>
    <w:p w:rsidR="003847B8" w:rsidRPr="00703589" w:rsidRDefault="002E4B92" w:rsidP="003847B8">
      <w:pPr>
        <w:tabs>
          <w:tab w:val="left" w:pos="2686"/>
        </w:tabs>
        <w:spacing w:after="120"/>
        <w:jc w:val="both"/>
        <w:rPr>
          <w:rFonts w:asciiTheme="minorHAnsi" w:hAnsiTheme="minorHAnsi" w:cstheme="minorHAnsi"/>
          <w:b/>
          <w:sz w:val="22"/>
          <w:szCs w:val="22"/>
        </w:rPr>
      </w:pPr>
      <w:r w:rsidRPr="00703589">
        <w:rPr>
          <w:rFonts w:asciiTheme="minorHAnsi" w:hAnsiTheme="minorHAnsi" w:cstheme="minorHAnsi"/>
          <w:b/>
          <w:sz w:val="22"/>
          <w:szCs w:val="22"/>
        </w:rPr>
        <w:t>Way Forward/ M</w:t>
      </w:r>
      <w:r w:rsidR="003847B8" w:rsidRPr="00703589">
        <w:rPr>
          <w:rFonts w:asciiTheme="minorHAnsi" w:hAnsiTheme="minorHAnsi" w:cstheme="minorHAnsi"/>
          <w:b/>
          <w:sz w:val="22"/>
          <w:szCs w:val="22"/>
        </w:rPr>
        <w:t>anageme</w:t>
      </w:r>
      <w:r w:rsidRPr="00703589">
        <w:rPr>
          <w:rFonts w:asciiTheme="minorHAnsi" w:hAnsiTheme="minorHAnsi" w:cstheme="minorHAnsi"/>
          <w:b/>
          <w:sz w:val="22"/>
          <w:szCs w:val="22"/>
        </w:rPr>
        <w:t>nt C</w:t>
      </w:r>
      <w:r w:rsidR="003847B8" w:rsidRPr="00703589">
        <w:rPr>
          <w:rFonts w:asciiTheme="minorHAnsi" w:hAnsiTheme="minorHAnsi" w:cstheme="minorHAnsi"/>
          <w:b/>
          <w:sz w:val="22"/>
          <w:szCs w:val="22"/>
        </w:rPr>
        <w:t>onsequences</w:t>
      </w:r>
    </w:p>
    <w:p w:rsidR="006E0218" w:rsidRPr="00703589" w:rsidRDefault="003847B8" w:rsidP="006E0218">
      <w:pPr>
        <w:spacing w:after="120"/>
        <w:contextualSpacing/>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 xml:space="preserve">Recognising the </w:t>
      </w:r>
      <w:r w:rsidR="004E3AF6" w:rsidRPr="00703589">
        <w:rPr>
          <w:rFonts w:asciiTheme="minorHAnsi" w:eastAsiaTheme="minorHAnsi" w:hAnsiTheme="minorHAnsi" w:cstheme="minorHAnsi"/>
          <w:sz w:val="22"/>
          <w:szCs w:val="22"/>
        </w:rPr>
        <w:t xml:space="preserve">immense </w:t>
      </w:r>
      <w:r w:rsidRPr="00703589">
        <w:rPr>
          <w:rFonts w:asciiTheme="minorHAnsi" w:eastAsiaTheme="minorHAnsi" w:hAnsiTheme="minorHAnsi" w:cstheme="minorHAnsi"/>
          <w:sz w:val="22"/>
          <w:szCs w:val="22"/>
        </w:rPr>
        <w:t>governance challenges in PNG</w:t>
      </w:r>
      <w:r w:rsidR="004E3AF6" w:rsidRPr="00703589">
        <w:rPr>
          <w:rFonts w:asciiTheme="minorHAnsi" w:eastAsiaTheme="minorHAnsi" w:hAnsiTheme="minorHAnsi" w:cstheme="minorHAnsi"/>
          <w:sz w:val="22"/>
          <w:szCs w:val="22"/>
        </w:rPr>
        <w:t>,</w:t>
      </w:r>
      <w:r w:rsidRPr="00703589">
        <w:rPr>
          <w:rFonts w:asciiTheme="minorHAnsi" w:eastAsiaTheme="minorHAnsi" w:hAnsiTheme="minorHAnsi" w:cstheme="minorHAnsi"/>
          <w:sz w:val="22"/>
          <w:szCs w:val="22"/>
        </w:rPr>
        <w:t xml:space="preserve"> and </w:t>
      </w:r>
      <w:r w:rsidR="004E3AF6" w:rsidRPr="00703589">
        <w:rPr>
          <w:rFonts w:asciiTheme="minorHAnsi" w:eastAsiaTheme="minorHAnsi" w:hAnsiTheme="minorHAnsi" w:cstheme="minorHAnsi"/>
          <w:sz w:val="22"/>
          <w:szCs w:val="22"/>
        </w:rPr>
        <w:t xml:space="preserve">reflecting </w:t>
      </w:r>
      <w:r w:rsidRPr="00703589">
        <w:rPr>
          <w:rFonts w:asciiTheme="minorHAnsi" w:eastAsiaTheme="minorHAnsi" w:hAnsiTheme="minorHAnsi" w:cstheme="minorHAnsi"/>
          <w:sz w:val="22"/>
          <w:szCs w:val="22"/>
        </w:rPr>
        <w:t xml:space="preserve">Australian Government </w:t>
      </w:r>
      <w:r w:rsidR="004E3AF6" w:rsidRPr="00703589">
        <w:rPr>
          <w:rFonts w:asciiTheme="minorHAnsi" w:eastAsiaTheme="minorHAnsi" w:hAnsiTheme="minorHAnsi" w:cstheme="minorHAnsi"/>
          <w:sz w:val="22"/>
          <w:szCs w:val="22"/>
        </w:rPr>
        <w:t xml:space="preserve">aid </w:t>
      </w:r>
      <w:r w:rsidRPr="00703589">
        <w:rPr>
          <w:rFonts w:asciiTheme="minorHAnsi" w:eastAsiaTheme="minorHAnsi" w:hAnsiTheme="minorHAnsi" w:cstheme="minorHAnsi"/>
          <w:sz w:val="22"/>
          <w:szCs w:val="22"/>
        </w:rPr>
        <w:t>priorities, the governance program will focus on the following areas in 2014-15:</w:t>
      </w:r>
    </w:p>
    <w:p w:rsidR="004A13FC" w:rsidRPr="00703589" w:rsidRDefault="004A13FC" w:rsidP="004A13FC">
      <w:pPr>
        <w:contextualSpacing/>
        <w:jc w:val="both"/>
        <w:rPr>
          <w:rFonts w:asciiTheme="minorHAnsi" w:eastAsiaTheme="minorHAnsi" w:hAnsiTheme="minorHAnsi" w:cstheme="minorHAnsi"/>
          <w:sz w:val="22"/>
          <w:szCs w:val="22"/>
        </w:rPr>
      </w:pPr>
    </w:p>
    <w:p w:rsidR="00980D8C" w:rsidRPr="00703589" w:rsidRDefault="00980D8C" w:rsidP="00980D8C">
      <w:pPr>
        <w:numPr>
          <w:ilvl w:val="0"/>
          <w:numId w:val="26"/>
        </w:numPr>
        <w:contextualSpacing/>
        <w:jc w:val="both"/>
        <w:rPr>
          <w:rFonts w:asciiTheme="minorHAnsi" w:eastAsiaTheme="minorHAnsi" w:hAnsiTheme="minorHAnsi" w:cstheme="minorHAnsi"/>
          <w:sz w:val="22"/>
          <w:szCs w:val="22"/>
        </w:rPr>
      </w:pPr>
      <w:r w:rsidRPr="00894779">
        <w:rPr>
          <w:rFonts w:asciiTheme="minorHAnsi" w:eastAsiaTheme="minorHAnsi" w:hAnsiTheme="minorHAnsi" w:cstheme="minorHAnsi"/>
          <w:sz w:val="22"/>
          <w:szCs w:val="22"/>
        </w:rPr>
        <w:t>Building our dialogue with the private sector to identify where the Australian aid program can target opportunities to support sustainable economic growth</w:t>
      </w:r>
      <w:r w:rsidR="00540C1A" w:rsidRPr="00894779">
        <w:rPr>
          <w:rFonts w:asciiTheme="minorHAnsi" w:eastAsiaTheme="minorHAnsi" w:hAnsiTheme="minorHAnsi" w:cstheme="minorHAnsi"/>
          <w:sz w:val="22"/>
          <w:szCs w:val="22"/>
        </w:rPr>
        <w:t xml:space="preserve"> and improved health and education services</w:t>
      </w:r>
      <w:r w:rsidRPr="00894779">
        <w:rPr>
          <w:rFonts w:asciiTheme="minorHAnsi" w:eastAsiaTheme="minorHAnsi" w:hAnsiTheme="minorHAnsi" w:cstheme="minorHAnsi"/>
          <w:sz w:val="22"/>
          <w:szCs w:val="22"/>
        </w:rPr>
        <w:t xml:space="preserve"> and best align resources and messages to support shared</w:t>
      </w:r>
      <w:r w:rsidRPr="00703589">
        <w:rPr>
          <w:rFonts w:asciiTheme="minorHAnsi" w:eastAsiaTheme="minorHAnsi" w:hAnsiTheme="minorHAnsi" w:cstheme="minorHAnsi"/>
          <w:sz w:val="22"/>
          <w:szCs w:val="22"/>
        </w:rPr>
        <w:t xml:space="preserve"> reform and development objectives;</w:t>
      </w:r>
    </w:p>
    <w:p w:rsidR="00980D8C" w:rsidRPr="00703589" w:rsidRDefault="00980D8C" w:rsidP="00980D8C">
      <w:pPr>
        <w:numPr>
          <w:ilvl w:val="0"/>
          <w:numId w:val="26"/>
        </w:numPr>
        <w:contextualSpacing/>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Supporting the PNG Government to build an effective public service, by increasing investment in Government-</w:t>
      </w:r>
      <w:r w:rsidR="00CA0E6D">
        <w:rPr>
          <w:rFonts w:asciiTheme="minorHAnsi" w:eastAsiaTheme="minorHAnsi" w:hAnsiTheme="minorHAnsi" w:cstheme="minorHAnsi"/>
          <w:sz w:val="22"/>
          <w:szCs w:val="22"/>
        </w:rPr>
        <w:t>to-</w:t>
      </w:r>
      <w:r w:rsidRPr="00703589">
        <w:rPr>
          <w:rFonts w:asciiTheme="minorHAnsi" w:eastAsiaTheme="minorHAnsi" w:hAnsiTheme="minorHAnsi" w:cstheme="minorHAnsi"/>
          <w:sz w:val="22"/>
          <w:szCs w:val="22"/>
        </w:rPr>
        <w:t>Government advisory support through the Strongim Gavman Program and by partnering with PNG Government to establish a new School of Government;</w:t>
      </w:r>
    </w:p>
    <w:p w:rsidR="00980D8C" w:rsidRPr="00703589" w:rsidRDefault="00980D8C" w:rsidP="00980D8C">
      <w:pPr>
        <w:numPr>
          <w:ilvl w:val="0"/>
          <w:numId w:val="26"/>
        </w:numPr>
        <w:contextualSpacing/>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Increasing support to PNG Government to prepare for the General Elections in 2017 (including through support to improve the electoral roll) and to implement the Bougainville elections in 2015;</w:t>
      </w:r>
    </w:p>
    <w:p w:rsidR="00980D8C" w:rsidRPr="00703589" w:rsidRDefault="00980D8C" w:rsidP="00980D8C">
      <w:pPr>
        <w:numPr>
          <w:ilvl w:val="0"/>
          <w:numId w:val="26"/>
        </w:numPr>
        <w:contextualSpacing/>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Supporting PNG Government improve its accountability within a context of increasing revenue base, including supporting a detailed analysis of the authorities over public expenditure to inform innovative ways to overcome misappropriation;</w:t>
      </w:r>
    </w:p>
    <w:p w:rsidR="00980D8C" w:rsidRPr="00703589" w:rsidRDefault="00980D8C" w:rsidP="00980D8C">
      <w:pPr>
        <w:numPr>
          <w:ilvl w:val="0"/>
          <w:numId w:val="26"/>
        </w:numPr>
        <w:contextualSpacing/>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Increasing engagement with PNG reform champions who support reforms for more accountable and better functioning national and sub-national governments;</w:t>
      </w:r>
    </w:p>
    <w:p w:rsidR="00980D8C" w:rsidRPr="00703589" w:rsidRDefault="00980D8C" w:rsidP="00980D8C">
      <w:pPr>
        <w:numPr>
          <w:ilvl w:val="0"/>
          <w:numId w:val="26"/>
        </w:numPr>
        <w:contextualSpacing/>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Continuing support to bottom-up community-level planning and strengthening community</w:t>
      </w:r>
      <w:r w:rsidR="00CA0E6D">
        <w:rPr>
          <w:rFonts w:asciiTheme="minorHAnsi" w:eastAsiaTheme="minorHAnsi" w:hAnsiTheme="minorHAnsi" w:cstheme="minorHAnsi"/>
          <w:sz w:val="22"/>
          <w:szCs w:val="22"/>
        </w:rPr>
        <w:t>-</w:t>
      </w:r>
      <w:r w:rsidRPr="00703589">
        <w:rPr>
          <w:rFonts w:asciiTheme="minorHAnsi" w:eastAsiaTheme="minorHAnsi" w:hAnsiTheme="minorHAnsi" w:cstheme="minorHAnsi"/>
          <w:sz w:val="22"/>
          <w:szCs w:val="22"/>
        </w:rPr>
        <w:t xml:space="preserve"> driven development approaches;</w:t>
      </w:r>
    </w:p>
    <w:p w:rsidR="00980D8C" w:rsidRPr="00703589" w:rsidRDefault="00980D8C" w:rsidP="00980D8C">
      <w:pPr>
        <w:numPr>
          <w:ilvl w:val="0"/>
          <w:numId w:val="26"/>
        </w:numPr>
        <w:contextualSpacing/>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 xml:space="preserve">Developing innovative approaches including social media and mobile phone technology to support social accountability and government scrutiny by citizens; </w:t>
      </w:r>
    </w:p>
    <w:p w:rsidR="00980D8C" w:rsidRPr="00703589" w:rsidRDefault="00980D8C" w:rsidP="00980D8C">
      <w:pPr>
        <w:numPr>
          <w:ilvl w:val="0"/>
          <w:numId w:val="26"/>
        </w:numPr>
        <w:contextualSpacing/>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Preparing a new bilateral agreement and program design for the Kokoda Initiative to commence in 2016; and</w:t>
      </w:r>
    </w:p>
    <w:p w:rsidR="00035669" w:rsidRPr="00C80894" w:rsidRDefault="00980D8C" w:rsidP="003E1A2C">
      <w:pPr>
        <w:numPr>
          <w:ilvl w:val="0"/>
          <w:numId w:val="26"/>
        </w:numPr>
        <w:contextualSpacing/>
        <w:jc w:val="both"/>
        <w:rPr>
          <w:rFonts w:asciiTheme="minorHAnsi" w:eastAsiaTheme="minorHAnsi" w:hAnsiTheme="minorHAnsi" w:cstheme="minorHAnsi"/>
          <w:sz w:val="22"/>
          <w:szCs w:val="22"/>
        </w:rPr>
      </w:pPr>
      <w:r w:rsidRPr="00703589">
        <w:rPr>
          <w:rFonts w:asciiTheme="minorHAnsi" w:eastAsiaTheme="minorHAnsi" w:hAnsiTheme="minorHAnsi" w:cstheme="minorHAnsi"/>
          <w:sz w:val="22"/>
          <w:szCs w:val="22"/>
        </w:rPr>
        <w:t xml:space="preserve">Finalising the design of Australian Government investments in governance that will align the different components of the governance program.  </w:t>
      </w:r>
    </w:p>
    <w:p w:rsidR="00AF137D" w:rsidRDefault="00AF137D" w:rsidP="00164E82">
      <w:pPr>
        <w:pStyle w:val="Heading3"/>
      </w:pPr>
      <w:r>
        <w:t>Crosscutting:</w:t>
      </w:r>
    </w:p>
    <w:p w:rsidR="00AF137D" w:rsidRPr="00AF137D" w:rsidRDefault="00AF137D" w:rsidP="00164E82">
      <w:pPr>
        <w:pStyle w:val="Heading3"/>
      </w:pPr>
      <w:r>
        <w:t>Disability</w:t>
      </w:r>
    </w:p>
    <w:tbl>
      <w:tblPr>
        <w:tblStyle w:val="APPR"/>
        <w:tblW w:w="4875" w:type="pct"/>
        <w:tblBorders>
          <w:top w:val="single" w:sz="4" w:space="0" w:color="auto"/>
          <w:bottom w:val="single" w:sz="4" w:space="0" w:color="auto"/>
        </w:tblBorders>
        <w:tblLook w:val="0000" w:firstRow="0" w:lastRow="0" w:firstColumn="0" w:lastColumn="0" w:noHBand="0" w:noVBand="0"/>
      </w:tblPr>
      <w:tblGrid>
        <w:gridCol w:w="6467"/>
        <w:gridCol w:w="1324"/>
        <w:gridCol w:w="1276"/>
      </w:tblGrid>
      <w:tr w:rsidR="002B0F30" w:rsidRPr="00D25E02" w:rsidTr="009912E4">
        <w:trPr>
          <w:cnfStyle w:val="000000010000" w:firstRow="0" w:lastRow="0" w:firstColumn="0" w:lastColumn="0" w:oddVBand="0" w:evenVBand="0" w:oddHBand="0" w:evenHBand="1" w:firstRowFirstColumn="0" w:firstRowLastColumn="0" w:lastRowFirstColumn="0" w:lastRowLastColumn="0"/>
          <w:trHeight w:val="302"/>
        </w:trPr>
        <w:tc>
          <w:tcPr>
            <w:tcW w:w="6425" w:type="dxa"/>
          </w:tcPr>
          <w:p w:rsidR="002B0F30" w:rsidRPr="00D25E02" w:rsidRDefault="002B0F30" w:rsidP="008264E9">
            <w:pPr>
              <w:pStyle w:val="TableTextColumnHeading"/>
            </w:pPr>
            <w:r w:rsidRPr="00D25E02">
              <w:rPr>
                <w:noProof/>
              </w:rPr>
              <w:drawing>
                <wp:anchor distT="0" distB="0" distL="114300" distR="114300" simplePos="0" relativeHeight="251668480" behindDoc="0" locked="0" layoutInCell="1" allowOverlap="1" wp14:anchorId="6372AD1A" wp14:editId="4167B5F5">
                  <wp:simplePos x="0" y="0"/>
                  <wp:positionH relativeFrom="column">
                    <wp:posOffset>0</wp:posOffset>
                  </wp:positionH>
                  <wp:positionV relativeFrom="paragraph">
                    <wp:posOffset>0</wp:posOffset>
                  </wp:positionV>
                  <wp:extent cx="1857375" cy="228600"/>
                  <wp:effectExtent l="0" t="0" r="9525" b="0"/>
                  <wp:wrapNone/>
                  <wp:docPr id="9" name="Picture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369">
              <w:t xml:space="preserve">Objective: </w:t>
            </w:r>
            <w:r w:rsidRPr="00D25E02">
              <w:t>Disability</w:t>
            </w:r>
            <w:r w:rsidR="00B17369">
              <w:t>-inclusive development</w:t>
            </w:r>
          </w:p>
        </w:tc>
        <w:tc>
          <w:tcPr>
            <w:tcW w:w="1296" w:type="dxa"/>
          </w:tcPr>
          <w:p w:rsidR="002B0F30" w:rsidRPr="00D25E02" w:rsidRDefault="002B0F30" w:rsidP="008264E9">
            <w:pPr>
              <w:pStyle w:val="TableTextColumnHeading"/>
            </w:pPr>
          </w:p>
        </w:tc>
        <w:tc>
          <w:tcPr>
            <w:tcW w:w="1234" w:type="dxa"/>
            <w:shd w:val="clear" w:color="auto" w:fill="FFC000"/>
          </w:tcPr>
          <w:p w:rsidR="002B0F30" w:rsidRPr="00D25E02" w:rsidRDefault="009912E4" w:rsidP="008264E9">
            <w:pPr>
              <w:pStyle w:val="TableTextColumnHeading"/>
            </w:pPr>
            <w:r>
              <w:t>Amber</w:t>
            </w:r>
          </w:p>
        </w:tc>
      </w:tr>
    </w:tbl>
    <w:p w:rsidR="002B0F30" w:rsidRDefault="002B0F30" w:rsidP="002B0F30">
      <w:pPr>
        <w:rPr>
          <w:sz w:val="22"/>
          <w:szCs w:val="22"/>
        </w:rPr>
      </w:pPr>
    </w:p>
    <w:p w:rsidR="002E4B92" w:rsidRPr="00C00367" w:rsidRDefault="002E4B92" w:rsidP="002E4B92">
      <w:pPr>
        <w:spacing w:after="120"/>
        <w:jc w:val="both"/>
        <w:rPr>
          <w:rFonts w:asciiTheme="minorHAnsi" w:hAnsiTheme="minorHAnsi" w:cstheme="minorHAnsi"/>
          <w:sz w:val="22"/>
          <w:szCs w:val="22"/>
        </w:rPr>
      </w:pPr>
      <w:r w:rsidRPr="00C00367">
        <w:rPr>
          <w:rFonts w:asciiTheme="minorHAnsi" w:hAnsiTheme="minorHAnsi" w:cstheme="minorHAnsi"/>
          <w:sz w:val="22"/>
          <w:szCs w:val="22"/>
        </w:rPr>
        <w:t xml:space="preserve">Australia has rated its progress against disability inclusiveness as amber for 2013-14, a rating consistent with 2012-13. Australia has made good progress towards adopting disability inclusive investments, but there is still considerable room for improvement. </w:t>
      </w:r>
    </w:p>
    <w:p w:rsidR="002E4B92" w:rsidRPr="00C00367" w:rsidRDefault="002E4B92" w:rsidP="002E4B92">
      <w:pPr>
        <w:keepLines/>
        <w:spacing w:before="80" w:after="80" w:line="200" w:lineRule="atLeast"/>
        <w:rPr>
          <w:rFonts w:asciiTheme="minorHAnsi" w:eastAsia="Times New Roman" w:hAnsiTheme="minorHAnsi" w:cstheme="minorHAnsi"/>
          <w:b/>
          <w:bCs/>
          <w:sz w:val="22"/>
          <w:szCs w:val="22"/>
        </w:rPr>
      </w:pPr>
      <w:r w:rsidRPr="00C00367">
        <w:rPr>
          <w:rFonts w:asciiTheme="minorHAnsi" w:eastAsia="Times New Roman" w:hAnsiTheme="minorHAnsi" w:cstheme="minorHAnsi"/>
          <w:b/>
          <w:bCs/>
          <w:sz w:val="22"/>
          <w:szCs w:val="22"/>
        </w:rPr>
        <w:t xml:space="preserve">Australia’s </w:t>
      </w:r>
      <w:r w:rsidR="00035669">
        <w:rPr>
          <w:rFonts w:asciiTheme="minorHAnsi" w:eastAsia="Times New Roman" w:hAnsiTheme="minorHAnsi" w:cstheme="minorHAnsi"/>
          <w:b/>
          <w:bCs/>
          <w:sz w:val="22"/>
          <w:szCs w:val="22"/>
        </w:rPr>
        <w:t>C</w:t>
      </w:r>
      <w:r w:rsidRPr="00C00367">
        <w:rPr>
          <w:rFonts w:asciiTheme="minorHAnsi" w:eastAsia="Times New Roman" w:hAnsiTheme="minorHAnsi" w:cstheme="minorHAnsi"/>
          <w:b/>
          <w:bCs/>
          <w:sz w:val="22"/>
          <w:szCs w:val="22"/>
        </w:rPr>
        <w:t xml:space="preserve">ontribution </w:t>
      </w:r>
    </w:p>
    <w:p w:rsidR="002E4B92" w:rsidRPr="00C00367" w:rsidRDefault="002E4B92" w:rsidP="002E4B92">
      <w:pPr>
        <w:spacing w:after="120"/>
        <w:jc w:val="both"/>
        <w:rPr>
          <w:rFonts w:asciiTheme="minorHAnsi" w:hAnsiTheme="minorHAnsi" w:cstheme="minorHAnsi"/>
          <w:sz w:val="22"/>
          <w:szCs w:val="22"/>
        </w:rPr>
      </w:pPr>
      <w:r w:rsidRPr="00C00367">
        <w:rPr>
          <w:rFonts w:asciiTheme="minorHAnsi" w:hAnsiTheme="minorHAnsi" w:cstheme="minorHAnsi"/>
          <w:sz w:val="22"/>
          <w:szCs w:val="22"/>
        </w:rPr>
        <w:t xml:space="preserve">The aid program has strongly advocated for disability inclusive development with the PNG Government and our implementing partners. In 2013, with Australian Government support, the PNG Government ratified </w:t>
      </w:r>
      <w:r w:rsidRPr="00CA0E6D">
        <w:rPr>
          <w:rFonts w:asciiTheme="minorHAnsi" w:hAnsiTheme="minorHAnsi" w:cstheme="minorHAnsi"/>
          <w:sz w:val="22"/>
          <w:szCs w:val="22"/>
        </w:rPr>
        <w:t>the</w:t>
      </w:r>
      <w:r w:rsidRPr="00C00367">
        <w:rPr>
          <w:rFonts w:asciiTheme="minorHAnsi" w:hAnsiTheme="minorHAnsi" w:cstheme="minorHAnsi"/>
          <w:i/>
          <w:sz w:val="22"/>
          <w:szCs w:val="22"/>
        </w:rPr>
        <w:t xml:space="preserve"> United Nations Convention on the Rights of Persons with Disability</w:t>
      </w:r>
      <w:r w:rsidRPr="00C00367">
        <w:rPr>
          <w:rFonts w:asciiTheme="minorHAnsi" w:hAnsiTheme="minorHAnsi" w:cstheme="minorHAnsi"/>
          <w:sz w:val="22"/>
          <w:szCs w:val="22"/>
        </w:rPr>
        <w:t xml:space="preserve"> (UNCRPD). Australia is now supporting a collaborative process to develop a </w:t>
      </w:r>
      <w:r w:rsidRPr="00C00367">
        <w:rPr>
          <w:rFonts w:asciiTheme="minorHAnsi" w:hAnsiTheme="minorHAnsi" w:cstheme="minorHAnsi"/>
          <w:b/>
          <w:sz w:val="22"/>
          <w:szCs w:val="22"/>
        </w:rPr>
        <w:t xml:space="preserve">National Disability Policy </w:t>
      </w:r>
      <w:r w:rsidRPr="00C00367">
        <w:rPr>
          <w:rFonts w:asciiTheme="minorHAnsi" w:hAnsiTheme="minorHAnsi" w:cstheme="minorHAnsi"/>
          <w:sz w:val="22"/>
          <w:szCs w:val="22"/>
        </w:rPr>
        <w:t xml:space="preserve">for PNG. In addition, the PNG Assembly of Disabled Persons provided capacity building training to five provincial disabled persons’ organisations. The training focused on effective governance, advocacy and economic empowerment. </w:t>
      </w:r>
    </w:p>
    <w:p w:rsidR="00980D8C" w:rsidRPr="00894779" w:rsidRDefault="002E4B92" w:rsidP="0027314C">
      <w:pPr>
        <w:pStyle w:val="BodyText"/>
        <w:rPr>
          <w:rFonts w:asciiTheme="minorHAnsi" w:hAnsiTheme="minorHAnsi" w:cstheme="minorHAnsi"/>
          <w:i/>
          <w:iCs/>
          <w:color w:val="1F497D"/>
          <w:sz w:val="22"/>
          <w:szCs w:val="22"/>
        </w:rPr>
      </w:pPr>
      <w:r w:rsidRPr="00C00367">
        <w:rPr>
          <w:rFonts w:asciiTheme="minorHAnsi" w:hAnsiTheme="minorHAnsi" w:cstheme="minorHAnsi"/>
          <w:sz w:val="22"/>
          <w:szCs w:val="22"/>
        </w:rPr>
        <w:lastRenderedPageBreak/>
        <w:t xml:space="preserve">The </w:t>
      </w:r>
      <w:r w:rsidRPr="00894779">
        <w:rPr>
          <w:rFonts w:asciiTheme="minorHAnsi" w:hAnsiTheme="minorHAnsi" w:cstheme="minorHAnsi"/>
          <w:sz w:val="22"/>
          <w:szCs w:val="22"/>
        </w:rPr>
        <w:t>Australian Government funds disability projects in PNG by partnering with disability organisations such as Callan Services who support special education teachers through Special Education Resource Centres (SERCs). Australia also funded Volunteer Service Overseas (VSO) to develop pre-service courses for teachers on disability</w:t>
      </w:r>
      <w:r w:rsidR="00042D41" w:rsidRPr="00894779">
        <w:rPr>
          <w:rFonts w:asciiTheme="minorHAnsi" w:hAnsiTheme="minorHAnsi" w:cstheme="minorHAnsi"/>
          <w:sz w:val="22"/>
          <w:szCs w:val="22"/>
        </w:rPr>
        <w:t xml:space="preserve"> and improve screening and access to disability support services for children currently no in school</w:t>
      </w:r>
      <w:r w:rsidRPr="00894779">
        <w:rPr>
          <w:rFonts w:asciiTheme="minorHAnsi" w:hAnsiTheme="minorHAnsi" w:cstheme="minorHAnsi"/>
          <w:sz w:val="22"/>
          <w:szCs w:val="22"/>
        </w:rPr>
        <w:t xml:space="preserve">. </w:t>
      </w:r>
      <w:r w:rsidR="00980D8C" w:rsidRPr="00894779">
        <w:rPr>
          <w:rFonts w:asciiTheme="minorHAnsi" w:hAnsiTheme="minorHAnsi" w:cstheme="minorHAnsi"/>
          <w:sz w:val="22"/>
          <w:szCs w:val="22"/>
        </w:rPr>
        <w:t>During the local level government (LLG) elections in 2013, Australia’s Electoral Support Program piloted electoral approaches in four LLGs across the country to raise awareness concerning people with disabilities (PWD), to increase registration of PWDs through mobile voter registration teams walking house-to-house, and to assist PWDs to vote through mobilisation of volunteers to polling places.</w:t>
      </w:r>
      <w:r w:rsidR="00980D8C" w:rsidRPr="00894779">
        <w:rPr>
          <w:rFonts w:asciiTheme="minorHAnsi" w:hAnsiTheme="minorHAnsi" w:cstheme="minorHAnsi"/>
          <w:i/>
          <w:iCs/>
          <w:color w:val="1F497D"/>
          <w:sz w:val="22"/>
          <w:szCs w:val="22"/>
        </w:rPr>
        <w:t xml:space="preserve"> </w:t>
      </w:r>
    </w:p>
    <w:p w:rsidR="002E4B92" w:rsidRPr="00894779" w:rsidRDefault="002E4B92" w:rsidP="0027314C">
      <w:pPr>
        <w:pStyle w:val="BodyText"/>
        <w:rPr>
          <w:rFonts w:asciiTheme="minorHAnsi" w:hAnsiTheme="minorHAnsi" w:cstheme="minorHAnsi"/>
          <w:sz w:val="22"/>
          <w:szCs w:val="22"/>
        </w:rPr>
      </w:pPr>
      <w:r w:rsidRPr="00894779">
        <w:rPr>
          <w:rFonts w:asciiTheme="minorHAnsi" w:hAnsiTheme="minorHAnsi" w:cstheme="minorHAnsi"/>
          <w:sz w:val="22"/>
          <w:szCs w:val="22"/>
        </w:rPr>
        <w:t>Through the Pacific Regional Blindness Program, nurse training is steadily increasing the country’s access to high quality eye care. In 2013, Madang and Kimbe clinics undertook over 10,000 clinic consultations, over 400 surgeries, and dispensed 2,700 pairs of spectacles. Four outreach clinics provided over 2,700 outpatient consultations and more than 300 surgeries; and eight nurses successfully completed their Postgraduate Diploma in Eye Care at Divine Word University. Three people living with disability were provided with Australia Awards in 2013.</w:t>
      </w:r>
    </w:p>
    <w:p w:rsidR="009162D4" w:rsidRPr="00894779" w:rsidRDefault="0086596F" w:rsidP="002E4B92">
      <w:pPr>
        <w:spacing w:after="120"/>
        <w:jc w:val="both"/>
        <w:rPr>
          <w:rFonts w:asciiTheme="minorHAnsi" w:hAnsiTheme="minorHAnsi" w:cstheme="minorHAnsi"/>
          <w:sz w:val="22"/>
          <w:szCs w:val="22"/>
        </w:rPr>
      </w:pPr>
      <w:r w:rsidRPr="00894779">
        <w:rPr>
          <w:rFonts w:asciiTheme="minorHAnsi" w:hAnsiTheme="minorHAnsi" w:cstheme="minorHAnsi"/>
          <w:sz w:val="22"/>
          <w:szCs w:val="22"/>
        </w:rPr>
        <w:t>In Incentive Fund Phase 3, disability inclusion was promoted within the recipient organisations as one of the key social inclusion themes through the corporate, project and service delivery levels.  The guidance and tools provided by Incentive Fund helped the Department for Community Development to publish a handbook on social inclu</w:t>
      </w:r>
      <w:r w:rsidR="0027314C" w:rsidRPr="00894779">
        <w:rPr>
          <w:rFonts w:asciiTheme="minorHAnsi" w:hAnsiTheme="minorHAnsi" w:cstheme="minorHAnsi"/>
          <w:sz w:val="22"/>
          <w:szCs w:val="22"/>
        </w:rPr>
        <w:t>sion. Through this handbook Department of Community Development</w:t>
      </w:r>
      <w:r w:rsidRPr="00894779">
        <w:rPr>
          <w:rFonts w:asciiTheme="minorHAnsi" w:hAnsiTheme="minorHAnsi" w:cstheme="minorHAnsi"/>
          <w:sz w:val="22"/>
          <w:szCs w:val="22"/>
        </w:rPr>
        <w:t xml:space="preserve"> provides guidance and training to organisations (including other donor funded projects) on mainstreaming social inclusion within their projects. </w:t>
      </w:r>
      <w:r w:rsidR="009162D4" w:rsidRPr="00894779">
        <w:rPr>
          <w:rFonts w:asciiTheme="minorHAnsi" w:hAnsiTheme="minorHAnsi" w:cstheme="minorHAnsi"/>
          <w:sz w:val="22"/>
          <w:szCs w:val="22"/>
        </w:rPr>
        <w:t xml:space="preserve">In </w:t>
      </w:r>
      <w:r w:rsidR="00CA0E6D">
        <w:rPr>
          <w:rFonts w:asciiTheme="minorHAnsi" w:hAnsiTheme="minorHAnsi" w:cstheme="minorHAnsi"/>
          <w:sz w:val="22"/>
          <w:szCs w:val="22"/>
        </w:rPr>
        <w:t xml:space="preserve">Lae </w:t>
      </w:r>
      <w:r w:rsidR="009162D4" w:rsidRPr="00894779">
        <w:rPr>
          <w:rFonts w:asciiTheme="minorHAnsi" w:hAnsiTheme="minorHAnsi" w:cstheme="minorHAnsi"/>
          <w:sz w:val="22"/>
          <w:szCs w:val="22"/>
        </w:rPr>
        <w:t xml:space="preserve">ANGAU General Hospital, </w:t>
      </w:r>
      <w:r w:rsidRPr="00894779">
        <w:rPr>
          <w:rFonts w:asciiTheme="minorHAnsi" w:hAnsiTheme="minorHAnsi" w:cstheme="minorHAnsi"/>
          <w:sz w:val="22"/>
          <w:szCs w:val="22"/>
        </w:rPr>
        <w:t xml:space="preserve">funding was allocated for disability equipment and ramps for people with disability were built during construction of building. The project team hosted a disability workshop which resulted in the formation of Provincial </w:t>
      </w:r>
      <w:r w:rsidR="009162D4" w:rsidRPr="00894779">
        <w:rPr>
          <w:rFonts w:asciiTheme="minorHAnsi" w:hAnsiTheme="minorHAnsi" w:cstheme="minorHAnsi"/>
          <w:sz w:val="22"/>
          <w:szCs w:val="22"/>
        </w:rPr>
        <w:t>A</w:t>
      </w:r>
      <w:r w:rsidRPr="00894779">
        <w:rPr>
          <w:rFonts w:asciiTheme="minorHAnsi" w:hAnsiTheme="minorHAnsi" w:cstheme="minorHAnsi"/>
          <w:sz w:val="22"/>
          <w:szCs w:val="22"/>
        </w:rPr>
        <w:t xml:space="preserve">ssociation of </w:t>
      </w:r>
      <w:r w:rsidR="009162D4" w:rsidRPr="00894779">
        <w:rPr>
          <w:rFonts w:asciiTheme="minorHAnsi" w:hAnsiTheme="minorHAnsi" w:cstheme="minorHAnsi"/>
          <w:sz w:val="22"/>
          <w:szCs w:val="22"/>
        </w:rPr>
        <w:t>P</w:t>
      </w:r>
      <w:r w:rsidRPr="00894779">
        <w:rPr>
          <w:rFonts w:asciiTheme="minorHAnsi" w:hAnsiTheme="minorHAnsi" w:cstheme="minorHAnsi"/>
          <w:sz w:val="22"/>
          <w:szCs w:val="22"/>
        </w:rPr>
        <w:t xml:space="preserve">eople </w:t>
      </w:r>
      <w:r w:rsidR="009162D4" w:rsidRPr="00894779">
        <w:rPr>
          <w:rFonts w:asciiTheme="minorHAnsi" w:hAnsiTheme="minorHAnsi" w:cstheme="minorHAnsi"/>
          <w:sz w:val="22"/>
          <w:szCs w:val="22"/>
        </w:rPr>
        <w:t>L</w:t>
      </w:r>
      <w:r w:rsidRPr="00894779">
        <w:rPr>
          <w:rFonts w:asciiTheme="minorHAnsi" w:hAnsiTheme="minorHAnsi" w:cstheme="minorHAnsi"/>
          <w:sz w:val="22"/>
          <w:szCs w:val="22"/>
        </w:rPr>
        <w:t xml:space="preserve">iving with </w:t>
      </w:r>
      <w:r w:rsidR="009162D4" w:rsidRPr="00894779">
        <w:rPr>
          <w:rFonts w:asciiTheme="minorHAnsi" w:hAnsiTheme="minorHAnsi" w:cstheme="minorHAnsi"/>
          <w:sz w:val="22"/>
          <w:szCs w:val="22"/>
        </w:rPr>
        <w:t>D</w:t>
      </w:r>
      <w:r w:rsidRPr="00894779">
        <w:rPr>
          <w:rFonts w:asciiTheme="minorHAnsi" w:hAnsiTheme="minorHAnsi" w:cstheme="minorHAnsi"/>
          <w:sz w:val="22"/>
          <w:szCs w:val="22"/>
        </w:rPr>
        <w:t xml:space="preserve">isability (PLD). </w:t>
      </w:r>
    </w:p>
    <w:p w:rsidR="002E4B92" w:rsidRPr="00C00367" w:rsidRDefault="002E4B92" w:rsidP="002E4B92">
      <w:pPr>
        <w:spacing w:after="120"/>
        <w:jc w:val="both"/>
        <w:rPr>
          <w:rFonts w:asciiTheme="minorHAnsi" w:hAnsiTheme="minorHAnsi" w:cstheme="minorHAnsi"/>
          <w:sz w:val="22"/>
          <w:szCs w:val="22"/>
        </w:rPr>
      </w:pPr>
      <w:r w:rsidRPr="00894779">
        <w:rPr>
          <w:rFonts w:asciiTheme="minorHAnsi" w:hAnsiTheme="minorHAnsi" w:cstheme="minorHAnsi"/>
          <w:sz w:val="22"/>
          <w:szCs w:val="22"/>
        </w:rPr>
        <w:t>However, Australia has been inconsistent in the application of disability inclusive</w:t>
      </w:r>
      <w:r w:rsidRPr="00C00367">
        <w:rPr>
          <w:rFonts w:asciiTheme="minorHAnsi" w:hAnsiTheme="minorHAnsi" w:cstheme="minorHAnsi"/>
          <w:sz w:val="22"/>
          <w:szCs w:val="22"/>
        </w:rPr>
        <w:t xml:space="preserve"> development across</w:t>
      </w:r>
      <w:r w:rsidR="00C00367">
        <w:rPr>
          <w:rFonts w:asciiTheme="minorHAnsi" w:hAnsiTheme="minorHAnsi" w:cstheme="minorHAnsi"/>
          <w:sz w:val="22"/>
          <w:szCs w:val="22"/>
        </w:rPr>
        <w:t xml:space="preserve"> its aid program in PNG. </w:t>
      </w:r>
      <w:r w:rsidRPr="00C00367">
        <w:rPr>
          <w:rFonts w:asciiTheme="minorHAnsi" w:hAnsiTheme="minorHAnsi" w:cstheme="minorHAnsi"/>
          <w:sz w:val="22"/>
          <w:szCs w:val="22"/>
        </w:rPr>
        <w:t xml:space="preserve">For example, the Law and Justice Infrastructure Impact Evaluation found that Australian-funded infrastructure had not been meeting the needs of people with disability nor did they conform to Australian building standards. Wheelchair access and lighting for the visually impaired was very limited and there were no examples of suitable ablution facilities. </w:t>
      </w:r>
    </w:p>
    <w:p w:rsidR="006E0218" w:rsidRPr="00C00367" w:rsidRDefault="006E0218" w:rsidP="00C00367">
      <w:pPr>
        <w:tabs>
          <w:tab w:val="left" w:pos="4590"/>
        </w:tabs>
        <w:spacing w:after="120"/>
        <w:jc w:val="both"/>
        <w:rPr>
          <w:rFonts w:asciiTheme="minorHAnsi" w:hAnsiTheme="minorHAnsi" w:cstheme="minorHAnsi"/>
          <w:b/>
          <w:sz w:val="22"/>
          <w:szCs w:val="22"/>
        </w:rPr>
      </w:pPr>
      <w:r w:rsidRPr="00C00367">
        <w:rPr>
          <w:rFonts w:asciiTheme="minorHAnsi" w:hAnsiTheme="minorHAnsi" w:cstheme="minorHAnsi"/>
          <w:b/>
          <w:sz w:val="22"/>
          <w:szCs w:val="22"/>
        </w:rPr>
        <w:t xml:space="preserve">Way </w:t>
      </w:r>
      <w:r w:rsidR="002E4B92" w:rsidRPr="00C00367">
        <w:rPr>
          <w:rFonts w:asciiTheme="minorHAnsi" w:hAnsiTheme="minorHAnsi" w:cstheme="minorHAnsi"/>
          <w:b/>
          <w:sz w:val="22"/>
          <w:szCs w:val="22"/>
        </w:rPr>
        <w:t>F</w:t>
      </w:r>
      <w:r w:rsidRPr="00C00367">
        <w:rPr>
          <w:rFonts w:asciiTheme="minorHAnsi" w:hAnsiTheme="minorHAnsi" w:cstheme="minorHAnsi"/>
          <w:b/>
          <w:sz w:val="22"/>
          <w:szCs w:val="22"/>
        </w:rPr>
        <w:t xml:space="preserve">orward / Management </w:t>
      </w:r>
      <w:r w:rsidR="002E4B92" w:rsidRPr="00C00367">
        <w:rPr>
          <w:rFonts w:asciiTheme="minorHAnsi" w:hAnsiTheme="minorHAnsi" w:cstheme="minorHAnsi"/>
          <w:b/>
          <w:sz w:val="22"/>
          <w:szCs w:val="22"/>
        </w:rPr>
        <w:t>C</w:t>
      </w:r>
      <w:r w:rsidRPr="00C00367">
        <w:rPr>
          <w:rFonts w:asciiTheme="minorHAnsi" w:hAnsiTheme="minorHAnsi" w:cstheme="minorHAnsi"/>
          <w:b/>
          <w:sz w:val="22"/>
          <w:szCs w:val="22"/>
        </w:rPr>
        <w:t>onsequences</w:t>
      </w:r>
      <w:r w:rsidR="00C00367" w:rsidRPr="00C00367">
        <w:rPr>
          <w:rFonts w:asciiTheme="minorHAnsi" w:hAnsiTheme="minorHAnsi" w:cstheme="minorHAnsi"/>
          <w:b/>
          <w:sz w:val="22"/>
          <w:szCs w:val="22"/>
        </w:rPr>
        <w:tab/>
      </w:r>
    </w:p>
    <w:p w:rsidR="00495041" w:rsidRPr="00894779" w:rsidRDefault="00495041" w:rsidP="00771EE3">
      <w:pPr>
        <w:spacing w:after="120"/>
        <w:jc w:val="both"/>
        <w:rPr>
          <w:rFonts w:asciiTheme="minorHAnsi" w:hAnsiTheme="minorHAnsi" w:cstheme="minorHAnsi"/>
          <w:sz w:val="22"/>
          <w:szCs w:val="22"/>
        </w:rPr>
      </w:pPr>
      <w:r w:rsidRPr="00894779">
        <w:rPr>
          <w:rFonts w:asciiTheme="minorHAnsi" w:hAnsiTheme="minorHAnsi" w:cstheme="minorHAnsi"/>
          <w:sz w:val="22"/>
          <w:szCs w:val="22"/>
        </w:rPr>
        <w:t>There is ample scope to improve Australia’s approach to disability inclusive development in PNG in 2014-15.  Emphasis will be given to:</w:t>
      </w:r>
    </w:p>
    <w:p w:rsidR="00826C4D" w:rsidRPr="00894779" w:rsidRDefault="00495041" w:rsidP="008D6917">
      <w:pPr>
        <w:pStyle w:val="ListParagraph"/>
        <w:numPr>
          <w:ilvl w:val="0"/>
          <w:numId w:val="27"/>
        </w:numPr>
        <w:spacing w:after="0"/>
        <w:ind w:left="714" w:hanging="357"/>
        <w:jc w:val="both"/>
        <w:rPr>
          <w:rFonts w:asciiTheme="minorHAnsi" w:hAnsiTheme="minorHAnsi" w:cstheme="minorHAnsi"/>
          <w:szCs w:val="22"/>
        </w:rPr>
      </w:pPr>
      <w:r w:rsidRPr="00894779">
        <w:rPr>
          <w:rFonts w:asciiTheme="minorHAnsi" w:hAnsiTheme="minorHAnsi" w:cstheme="minorHAnsi"/>
          <w:szCs w:val="22"/>
        </w:rPr>
        <w:t xml:space="preserve">Continuing to integrate disability-inclusive measures into </w:t>
      </w:r>
      <w:r w:rsidR="00B7468B" w:rsidRPr="00894779">
        <w:rPr>
          <w:rFonts w:asciiTheme="minorHAnsi" w:hAnsiTheme="minorHAnsi" w:cstheme="minorHAnsi"/>
          <w:szCs w:val="22"/>
        </w:rPr>
        <w:t>all aspects of Australia’s aid program to PNG, addressing the vulnerabilities of p</w:t>
      </w:r>
      <w:r w:rsidR="0027314C" w:rsidRPr="00894779">
        <w:rPr>
          <w:rFonts w:asciiTheme="minorHAnsi" w:hAnsiTheme="minorHAnsi" w:cstheme="minorHAnsi"/>
          <w:szCs w:val="22"/>
        </w:rPr>
        <w:t>eople living with disabilities; and</w:t>
      </w:r>
    </w:p>
    <w:p w:rsidR="002E4B92" w:rsidRPr="00894779" w:rsidRDefault="002E4B92" w:rsidP="002E4B92">
      <w:pPr>
        <w:pStyle w:val="ListParagraph"/>
        <w:numPr>
          <w:ilvl w:val="0"/>
          <w:numId w:val="27"/>
        </w:numPr>
        <w:spacing w:after="0"/>
        <w:ind w:left="714" w:hanging="357"/>
        <w:jc w:val="both"/>
        <w:rPr>
          <w:rFonts w:asciiTheme="minorHAnsi" w:hAnsiTheme="minorHAnsi" w:cstheme="minorHAnsi"/>
          <w:szCs w:val="22"/>
        </w:rPr>
      </w:pPr>
      <w:r w:rsidRPr="00894779">
        <w:rPr>
          <w:rFonts w:asciiTheme="minorHAnsi" w:hAnsiTheme="minorHAnsi" w:cstheme="minorHAnsi"/>
          <w:szCs w:val="22"/>
        </w:rPr>
        <w:t xml:space="preserve">Working with the private sector to identify ways in which workforce participation for those with disabilities can be further supported. </w:t>
      </w:r>
    </w:p>
    <w:p w:rsidR="00AF137D" w:rsidRPr="00D25E02" w:rsidRDefault="00AF137D" w:rsidP="00164E82">
      <w:pPr>
        <w:pStyle w:val="Heading3"/>
      </w:pPr>
      <w:r w:rsidRPr="00D25E02">
        <w:t xml:space="preserve">Gender equality and women’s empowerment </w:t>
      </w:r>
    </w:p>
    <w:tbl>
      <w:tblPr>
        <w:tblStyle w:val="APPR"/>
        <w:tblW w:w="4951" w:type="pct"/>
        <w:tblBorders>
          <w:top w:val="single" w:sz="4" w:space="0" w:color="auto"/>
          <w:bottom w:val="single" w:sz="4" w:space="0" w:color="auto"/>
        </w:tblBorders>
        <w:tblLook w:val="0000" w:firstRow="0" w:lastRow="0" w:firstColumn="0" w:lastColumn="0" w:noHBand="0" w:noVBand="0"/>
      </w:tblPr>
      <w:tblGrid>
        <w:gridCol w:w="6467"/>
        <w:gridCol w:w="1040"/>
        <w:gridCol w:w="1701"/>
      </w:tblGrid>
      <w:tr w:rsidR="00AF137D" w:rsidRPr="00D25E02" w:rsidTr="001731B2">
        <w:trPr>
          <w:cnfStyle w:val="000000010000" w:firstRow="0" w:lastRow="0" w:firstColumn="0" w:lastColumn="0" w:oddVBand="0" w:evenVBand="0" w:oddHBand="0" w:evenHBand="1" w:firstRowFirstColumn="0" w:firstRowLastColumn="0" w:lastRowFirstColumn="0" w:lastRowLastColumn="0"/>
          <w:trHeight w:val="302"/>
        </w:trPr>
        <w:tc>
          <w:tcPr>
            <w:tcW w:w="6425" w:type="dxa"/>
          </w:tcPr>
          <w:p w:rsidR="00AF137D" w:rsidRPr="00D25E02" w:rsidRDefault="00AF137D" w:rsidP="008264E9">
            <w:pPr>
              <w:pStyle w:val="TableTextColumnHeading"/>
            </w:pPr>
            <w:r w:rsidRPr="00D25E02">
              <w:rPr>
                <w:noProof/>
              </w:rPr>
              <w:drawing>
                <wp:anchor distT="0" distB="0" distL="114300" distR="114300" simplePos="0" relativeHeight="251694080" behindDoc="0" locked="0" layoutInCell="1" allowOverlap="1" wp14:anchorId="100745F0" wp14:editId="0212C482">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E02">
              <w:t>Objective: Gender equality and women’s empowerment</w:t>
            </w:r>
          </w:p>
        </w:tc>
        <w:tc>
          <w:tcPr>
            <w:tcW w:w="1012" w:type="dxa"/>
          </w:tcPr>
          <w:p w:rsidR="00AF137D" w:rsidRPr="00D25E02" w:rsidRDefault="00AF137D" w:rsidP="008264E9">
            <w:pPr>
              <w:pStyle w:val="TableTextColumnHeading"/>
            </w:pPr>
          </w:p>
        </w:tc>
        <w:tc>
          <w:tcPr>
            <w:tcW w:w="1659" w:type="dxa"/>
            <w:shd w:val="clear" w:color="auto" w:fill="FFC000"/>
          </w:tcPr>
          <w:p w:rsidR="00AF137D" w:rsidRPr="00D25E02" w:rsidRDefault="001731B2" w:rsidP="008264E9">
            <w:pPr>
              <w:pStyle w:val="TableTextColumnHeading"/>
            </w:pPr>
            <w:r>
              <w:t>Amber</w:t>
            </w:r>
          </w:p>
        </w:tc>
      </w:tr>
    </w:tbl>
    <w:p w:rsidR="00AF137D" w:rsidRDefault="00AF137D" w:rsidP="00AF137D">
      <w:pPr>
        <w:spacing w:after="120"/>
        <w:jc w:val="both"/>
        <w:rPr>
          <w:sz w:val="22"/>
          <w:szCs w:val="22"/>
        </w:rPr>
      </w:pPr>
    </w:p>
    <w:p w:rsidR="002E4B92" w:rsidRPr="00894779" w:rsidRDefault="002E4B92" w:rsidP="0027314C">
      <w:pPr>
        <w:pStyle w:val="BodyText"/>
        <w:rPr>
          <w:rFonts w:asciiTheme="minorHAnsi" w:hAnsiTheme="minorHAnsi" w:cstheme="minorHAnsi"/>
          <w:sz w:val="22"/>
          <w:szCs w:val="22"/>
        </w:rPr>
      </w:pPr>
      <w:r w:rsidRPr="00894779">
        <w:rPr>
          <w:rFonts w:asciiTheme="minorHAnsi" w:hAnsiTheme="minorHAnsi" w:cstheme="minorHAnsi"/>
          <w:sz w:val="22"/>
          <w:szCs w:val="22"/>
        </w:rPr>
        <w:t>Progress against gender equality and women’s empowerment was rated amber in this year’s APPR, reflecting some steady progress in Australia’s interventions towards meeting gender targets in a highly challenging context. Important measures to mainstream gender and support women’s empowerment were adopted.</w:t>
      </w:r>
    </w:p>
    <w:p w:rsidR="005C2EDA" w:rsidRDefault="00AF137D" w:rsidP="005C2EDA">
      <w:pPr>
        <w:pStyle w:val="BodyText"/>
        <w:rPr>
          <w:rFonts w:asciiTheme="minorHAnsi" w:hAnsiTheme="minorHAnsi" w:cstheme="minorHAnsi"/>
          <w:sz w:val="20"/>
          <w:szCs w:val="20"/>
        </w:rPr>
      </w:pPr>
      <w:r w:rsidRPr="00894779">
        <w:rPr>
          <w:rFonts w:asciiTheme="minorHAnsi" w:hAnsiTheme="minorHAnsi" w:cstheme="minorHAnsi"/>
          <w:sz w:val="22"/>
          <w:szCs w:val="22"/>
        </w:rPr>
        <w:lastRenderedPageBreak/>
        <w:t xml:space="preserve">In almost all respects, women and girls in PNG are </w:t>
      </w:r>
      <w:r w:rsidR="00223181" w:rsidRPr="00894779">
        <w:rPr>
          <w:rFonts w:asciiTheme="minorHAnsi" w:hAnsiTheme="minorHAnsi" w:cstheme="minorHAnsi"/>
          <w:sz w:val="22"/>
          <w:szCs w:val="22"/>
        </w:rPr>
        <w:t xml:space="preserve">significantly </w:t>
      </w:r>
      <w:r w:rsidRPr="00894779">
        <w:rPr>
          <w:rFonts w:asciiTheme="minorHAnsi" w:hAnsiTheme="minorHAnsi" w:cstheme="minorHAnsi"/>
          <w:sz w:val="22"/>
          <w:szCs w:val="22"/>
        </w:rPr>
        <w:t xml:space="preserve">worse off than their male counterparts. </w:t>
      </w:r>
      <w:r w:rsidR="00223181" w:rsidRPr="00894779">
        <w:rPr>
          <w:rFonts w:asciiTheme="minorHAnsi" w:hAnsiTheme="minorHAnsi" w:cstheme="minorHAnsi"/>
          <w:sz w:val="22"/>
          <w:szCs w:val="22"/>
        </w:rPr>
        <w:t xml:space="preserve">Women and girls are less educated, </w:t>
      </w:r>
      <w:r w:rsidRPr="00894779">
        <w:rPr>
          <w:rFonts w:asciiTheme="minorHAnsi" w:hAnsiTheme="minorHAnsi" w:cstheme="minorHAnsi"/>
          <w:sz w:val="22"/>
          <w:szCs w:val="22"/>
        </w:rPr>
        <w:t>suffer high death rates related to pregnancy and maternal health issues, and have less access to law</w:t>
      </w:r>
      <w:r w:rsidRPr="00C00367">
        <w:rPr>
          <w:rFonts w:asciiTheme="minorHAnsi" w:hAnsiTheme="minorHAnsi" w:cstheme="minorHAnsi"/>
          <w:sz w:val="22"/>
          <w:szCs w:val="22"/>
        </w:rPr>
        <w:t xml:space="preserve"> and justice services.  Women are less likely to be employed in the formal sector, </w:t>
      </w:r>
      <w:r w:rsidR="00223181" w:rsidRPr="00C00367">
        <w:rPr>
          <w:rFonts w:asciiTheme="minorHAnsi" w:hAnsiTheme="minorHAnsi" w:cstheme="minorHAnsi"/>
          <w:sz w:val="22"/>
          <w:szCs w:val="22"/>
        </w:rPr>
        <w:t>and for those who are, they</w:t>
      </w:r>
      <w:r w:rsidRPr="00C00367">
        <w:rPr>
          <w:rFonts w:asciiTheme="minorHAnsi" w:hAnsiTheme="minorHAnsi" w:cstheme="minorHAnsi"/>
          <w:sz w:val="22"/>
          <w:szCs w:val="22"/>
        </w:rPr>
        <w:t xml:space="preserve"> are paid significantly less than men</w:t>
      </w:r>
      <w:r w:rsidR="00223181" w:rsidRPr="00C00367">
        <w:rPr>
          <w:rFonts w:asciiTheme="minorHAnsi" w:hAnsiTheme="minorHAnsi" w:cstheme="minorHAnsi"/>
          <w:sz w:val="22"/>
          <w:szCs w:val="22"/>
        </w:rPr>
        <w:t xml:space="preserve">. </w:t>
      </w:r>
      <w:r w:rsidRPr="00C00367">
        <w:rPr>
          <w:rFonts w:asciiTheme="minorHAnsi" w:hAnsiTheme="minorHAnsi" w:cstheme="minorHAnsi"/>
          <w:sz w:val="22"/>
          <w:szCs w:val="22"/>
        </w:rPr>
        <w:t>Women grow most of PNG’s food, but are unable to translate this into secure business ventures, partly due to limited access to markets and financial services.  As they work primarily in the informal sector, women have littl</w:t>
      </w:r>
      <w:r w:rsidR="00533FBC" w:rsidRPr="00C00367">
        <w:rPr>
          <w:rFonts w:asciiTheme="minorHAnsi" w:hAnsiTheme="minorHAnsi" w:cstheme="minorHAnsi"/>
          <w:sz w:val="22"/>
          <w:szCs w:val="22"/>
        </w:rPr>
        <w:t>e ac</w:t>
      </w:r>
      <w:r w:rsidRPr="00C00367">
        <w:rPr>
          <w:rFonts w:asciiTheme="minorHAnsi" w:hAnsiTheme="minorHAnsi" w:cstheme="minorHAnsi"/>
          <w:sz w:val="22"/>
          <w:szCs w:val="22"/>
        </w:rPr>
        <w:t>cess to social support and recognition, and typically have poor working conditions.</w:t>
      </w:r>
      <w:r w:rsidRPr="00CA0E6D">
        <w:rPr>
          <w:rStyle w:val="FootnoteReference"/>
          <w:rFonts w:asciiTheme="minorHAnsi" w:hAnsiTheme="minorHAnsi" w:cstheme="minorHAnsi"/>
          <w:szCs w:val="16"/>
        </w:rPr>
        <w:footnoteReference w:id="15"/>
      </w:r>
      <w:r w:rsidR="005C2EDA" w:rsidRPr="00CA0E6D">
        <w:rPr>
          <w:rFonts w:asciiTheme="minorHAnsi" w:hAnsiTheme="minorHAnsi" w:cstheme="minorHAnsi"/>
          <w:sz w:val="16"/>
          <w:szCs w:val="16"/>
        </w:rPr>
        <w:t xml:space="preserve"> </w:t>
      </w:r>
    </w:p>
    <w:p w:rsidR="00035669" w:rsidRDefault="00035669" w:rsidP="005C2EDA">
      <w:pPr>
        <w:pStyle w:val="BodyText"/>
        <w:rPr>
          <w:rFonts w:asciiTheme="minorHAnsi" w:hAnsiTheme="minorHAnsi" w:cstheme="minorHAnsi"/>
          <w:b/>
          <w:sz w:val="22"/>
          <w:szCs w:val="22"/>
        </w:rPr>
      </w:pPr>
      <w:r>
        <w:rPr>
          <w:rFonts w:asciiTheme="minorHAnsi" w:hAnsiTheme="minorHAnsi" w:cstheme="minorHAnsi"/>
          <w:b/>
          <w:sz w:val="22"/>
          <w:szCs w:val="22"/>
        </w:rPr>
        <w:t>Australia’s Contribution</w:t>
      </w:r>
    </w:p>
    <w:p w:rsidR="002E4B92" w:rsidRPr="00C00367" w:rsidRDefault="00223181" w:rsidP="002E4B92">
      <w:pPr>
        <w:spacing w:after="120"/>
        <w:jc w:val="both"/>
        <w:rPr>
          <w:rFonts w:asciiTheme="minorHAnsi" w:hAnsiTheme="minorHAnsi" w:cstheme="minorHAnsi"/>
          <w:sz w:val="22"/>
          <w:szCs w:val="22"/>
        </w:rPr>
      </w:pPr>
      <w:r w:rsidRPr="00C00367">
        <w:rPr>
          <w:rFonts w:asciiTheme="minorHAnsi" w:hAnsiTheme="minorHAnsi" w:cstheme="minorHAnsi"/>
          <w:sz w:val="22"/>
          <w:szCs w:val="22"/>
        </w:rPr>
        <w:t>The Australian Government recognises that g</w:t>
      </w:r>
      <w:r w:rsidR="002E4B92" w:rsidRPr="00C00367">
        <w:rPr>
          <w:rFonts w:asciiTheme="minorHAnsi" w:hAnsiTheme="minorHAnsi" w:cstheme="minorHAnsi"/>
          <w:sz w:val="22"/>
          <w:szCs w:val="22"/>
        </w:rPr>
        <w:t xml:space="preserve">ender equality and women’s empowerment are critical to PNG’s economic and human development and are therefore also critical cross-cutting issues for Australia’s engagement in PNG. Australia’s Foreign Minister has placed a high priority </w:t>
      </w:r>
      <w:r w:rsidR="00CD0AEF" w:rsidRPr="00C00367">
        <w:rPr>
          <w:rFonts w:asciiTheme="minorHAnsi" w:hAnsiTheme="minorHAnsi" w:cstheme="minorHAnsi"/>
          <w:sz w:val="22"/>
          <w:szCs w:val="22"/>
        </w:rPr>
        <w:t>on</w:t>
      </w:r>
      <w:r w:rsidR="002E4B92" w:rsidRPr="00C00367">
        <w:rPr>
          <w:rFonts w:asciiTheme="minorHAnsi" w:hAnsiTheme="minorHAnsi" w:cstheme="minorHAnsi"/>
          <w:sz w:val="22"/>
          <w:szCs w:val="22"/>
        </w:rPr>
        <w:t xml:space="preserve"> Australia’s aid program to advance women’s leadership; increase women’s economic empowerment; and to end violence against women and girls</w:t>
      </w:r>
      <w:r w:rsidR="00117B68" w:rsidRPr="00C00367">
        <w:rPr>
          <w:rFonts w:asciiTheme="minorHAnsi" w:hAnsiTheme="minorHAnsi" w:cstheme="minorHAnsi"/>
          <w:sz w:val="22"/>
          <w:szCs w:val="22"/>
        </w:rPr>
        <w:t>. As agreed in the PNG-Australia</w:t>
      </w:r>
      <w:r w:rsidR="002E4B92" w:rsidRPr="00C00367">
        <w:rPr>
          <w:rFonts w:asciiTheme="minorHAnsi" w:hAnsiTheme="minorHAnsi" w:cstheme="minorHAnsi"/>
          <w:sz w:val="22"/>
          <w:szCs w:val="22"/>
        </w:rPr>
        <w:t xml:space="preserve"> Partnership for Development, gender is mainstreamed across the four priority sectors. The Australian-funded </w:t>
      </w:r>
      <w:r w:rsidR="002E4B92" w:rsidRPr="00C00367">
        <w:rPr>
          <w:rFonts w:asciiTheme="minorHAnsi" w:hAnsiTheme="minorHAnsi" w:cstheme="minorHAnsi"/>
          <w:i/>
          <w:sz w:val="22"/>
          <w:szCs w:val="22"/>
        </w:rPr>
        <w:t>Pacific Women Shaping Pacific Development</w:t>
      </w:r>
      <w:r w:rsidR="002E4B92" w:rsidRPr="00C00367">
        <w:rPr>
          <w:rFonts w:asciiTheme="minorHAnsi" w:hAnsiTheme="minorHAnsi" w:cstheme="minorHAnsi"/>
          <w:sz w:val="22"/>
          <w:szCs w:val="22"/>
        </w:rPr>
        <w:t xml:space="preserve"> (</w:t>
      </w:r>
      <w:r w:rsidR="002E4B92" w:rsidRPr="00C00367">
        <w:rPr>
          <w:rFonts w:asciiTheme="minorHAnsi" w:hAnsiTheme="minorHAnsi" w:cstheme="minorHAnsi"/>
          <w:i/>
          <w:sz w:val="22"/>
          <w:szCs w:val="22"/>
        </w:rPr>
        <w:t>Pacific Women</w:t>
      </w:r>
      <w:r w:rsidR="002E4B92" w:rsidRPr="00C00367">
        <w:rPr>
          <w:rFonts w:asciiTheme="minorHAnsi" w:hAnsiTheme="minorHAnsi" w:cstheme="minorHAnsi"/>
          <w:sz w:val="22"/>
          <w:szCs w:val="22"/>
        </w:rPr>
        <w:t xml:space="preserve">) program has also added critical investments to support these objectives. </w:t>
      </w:r>
    </w:p>
    <w:p w:rsidR="002E4B92" w:rsidRPr="00C00367" w:rsidRDefault="002E4B92" w:rsidP="002E4B92">
      <w:pPr>
        <w:spacing w:after="120"/>
        <w:jc w:val="both"/>
        <w:rPr>
          <w:rFonts w:asciiTheme="minorHAnsi" w:hAnsiTheme="minorHAnsi" w:cstheme="minorHAnsi"/>
          <w:sz w:val="22"/>
          <w:szCs w:val="22"/>
        </w:rPr>
      </w:pPr>
      <w:r w:rsidRPr="00C00367">
        <w:rPr>
          <w:rFonts w:asciiTheme="minorHAnsi" w:hAnsiTheme="minorHAnsi" w:cstheme="minorHAnsi"/>
          <w:sz w:val="22"/>
          <w:szCs w:val="22"/>
        </w:rPr>
        <w:t xml:space="preserve">In 2013-14, </w:t>
      </w:r>
      <w:r w:rsidR="008264E9" w:rsidRPr="00C00367">
        <w:rPr>
          <w:rFonts w:asciiTheme="minorHAnsi" w:hAnsiTheme="minorHAnsi" w:cstheme="minorHAnsi"/>
          <w:sz w:val="22"/>
          <w:szCs w:val="22"/>
        </w:rPr>
        <w:t xml:space="preserve">52 per cent of Australia’s aid spend in PNG had gender as a significant principal target. </w:t>
      </w:r>
      <w:r w:rsidRPr="00C00367">
        <w:rPr>
          <w:rFonts w:asciiTheme="minorHAnsi" w:hAnsiTheme="minorHAnsi" w:cstheme="minorHAnsi"/>
          <w:sz w:val="22"/>
          <w:szCs w:val="22"/>
        </w:rPr>
        <w:t>In the education and health sectors, over 97 per cent of programs had a primary or significant focus on gender for both financial years.</w:t>
      </w:r>
    </w:p>
    <w:p w:rsidR="002E4B92" w:rsidRPr="00C00367" w:rsidRDefault="002E4B92" w:rsidP="002E4B92">
      <w:pPr>
        <w:spacing w:after="120"/>
        <w:jc w:val="both"/>
        <w:rPr>
          <w:rFonts w:asciiTheme="minorHAnsi" w:hAnsiTheme="minorHAnsi" w:cstheme="minorHAnsi"/>
          <w:sz w:val="22"/>
          <w:szCs w:val="22"/>
        </w:rPr>
      </w:pPr>
      <w:r w:rsidRPr="00C00367">
        <w:rPr>
          <w:rFonts w:asciiTheme="minorHAnsi" w:hAnsiTheme="minorHAnsi" w:cstheme="minorHAnsi"/>
          <w:sz w:val="22"/>
          <w:szCs w:val="22"/>
        </w:rPr>
        <w:t xml:space="preserve">Under </w:t>
      </w:r>
      <w:r w:rsidRPr="00C00367">
        <w:rPr>
          <w:rFonts w:asciiTheme="minorHAnsi" w:hAnsiTheme="minorHAnsi" w:cstheme="minorHAnsi"/>
          <w:i/>
          <w:sz w:val="22"/>
          <w:szCs w:val="22"/>
        </w:rPr>
        <w:t>Pacific Women</w:t>
      </w:r>
      <w:r w:rsidRPr="00C00367">
        <w:rPr>
          <w:rFonts w:asciiTheme="minorHAnsi" w:hAnsiTheme="minorHAnsi" w:cstheme="minorHAnsi"/>
          <w:sz w:val="22"/>
          <w:szCs w:val="22"/>
        </w:rPr>
        <w:t xml:space="preserve">, the role of PNG women in community driven development projects has been a particular focus, as has research to increase the understanding of factors that contribute to women’s success in achieving political office.  Australia supports the </w:t>
      </w:r>
      <w:r w:rsidRPr="00C00367">
        <w:rPr>
          <w:rFonts w:asciiTheme="minorHAnsi" w:hAnsiTheme="minorHAnsi" w:cstheme="minorHAnsi"/>
          <w:i/>
          <w:sz w:val="22"/>
          <w:szCs w:val="22"/>
        </w:rPr>
        <w:t>UN Women Safe Cities</w:t>
      </w:r>
      <w:r w:rsidRPr="00C00367">
        <w:rPr>
          <w:rFonts w:asciiTheme="minorHAnsi" w:hAnsiTheme="minorHAnsi" w:cstheme="minorHAnsi"/>
          <w:sz w:val="22"/>
          <w:szCs w:val="22"/>
        </w:rPr>
        <w:t xml:space="preserve"> program which impacts women’s income earning capacity. In 2013, Australia funded the </w:t>
      </w:r>
      <w:r w:rsidRPr="00C00367">
        <w:rPr>
          <w:rFonts w:asciiTheme="minorHAnsi" w:hAnsiTheme="minorHAnsi" w:cstheme="minorHAnsi"/>
          <w:i/>
          <w:sz w:val="22"/>
          <w:szCs w:val="22"/>
        </w:rPr>
        <w:t>Business Coalition for Women</w:t>
      </w:r>
      <w:r w:rsidRPr="00C00367">
        <w:rPr>
          <w:rFonts w:asciiTheme="minorHAnsi" w:hAnsiTheme="minorHAnsi" w:cstheme="minorHAnsi"/>
          <w:sz w:val="22"/>
          <w:szCs w:val="22"/>
        </w:rPr>
        <w:t xml:space="preserve"> to support the mentoring of </w:t>
      </w:r>
      <w:r w:rsidRPr="00C00367">
        <w:rPr>
          <w:rFonts w:asciiTheme="minorHAnsi" w:hAnsiTheme="minorHAnsi" w:cstheme="minorHAnsi"/>
          <w:b/>
          <w:sz w:val="22"/>
          <w:szCs w:val="22"/>
        </w:rPr>
        <w:t>women business leaders</w:t>
      </w:r>
      <w:r w:rsidRPr="00C00367">
        <w:rPr>
          <w:rFonts w:asciiTheme="minorHAnsi" w:hAnsiTheme="minorHAnsi" w:cstheme="minorHAnsi"/>
          <w:sz w:val="22"/>
          <w:szCs w:val="22"/>
        </w:rPr>
        <w:t xml:space="preserve"> and facilitate connections between Pacific women in private enterprise with Australian businesses. Through CARE, Australian aid is also supporting women’s advocacy to reform the coffee industry and open cash cropping opportunities for women farmers in remote areas of Eastern Highlands Province.</w:t>
      </w:r>
    </w:p>
    <w:p w:rsidR="002E4B92" w:rsidRPr="00C00367" w:rsidRDefault="002E4B92" w:rsidP="002E4B92">
      <w:pPr>
        <w:spacing w:after="120"/>
        <w:jc w:val="both"/>
        <w:rPr>
          <w:rFonts w:asciiTheme="minorHAnsi" w:hAnsiTheme="minorHAnsi" w:cstheme="minorHAnsi"/>
          <w:sz w:val="22"/>
          <w:szCs w:val="22"/>
        </w:rPr>
      </w:pPr>
      <w:r w:rsidRPr="00C00367">
        <w:rPr>
          <w:rFonts w:asciiTheme="minorHAnsi" w:hAnsiTheme="minorHAnsi" w:cstheme="minorHAnsi"/>
          <w:sz w:val="22"/>
          <w:szCs w:val="22"/>
        </w:rPr>
        <w:t>Australia’s aid program has supported gender and women’s empowerment through diplomacy and the work of sector aid investments. The High Commissioner is leading on the planned implement</w:t>
      </w:r>
      <w:r w:rsidR="002D045F" w:rsidRPr="00C00367">
        <w:rPr>
          <w:rFonts w:asciiTheme="minorHAnsi" w:hAnsiTheme="minorHAnsi" w:cstheme="minorHAnsi"/>
          <w:sz w:val="22"/>
          <w:szCs w:val="22"/>
        </w:rPr>
        <w:t>ation of a whole-of-post gender</w:t>
      </w:r>
      <w:r w:rsidRPr="00C00367">
        <w:rPr>
          <w:rFonts w:asciiTheme="minorHAnsi" w:hAnsiTheme="minorHAnsi" w:cstheme="minorHAnsi"/>
          <w:sz w:val="22"/>
          <w:szCs w:val="22"/>
        </w:rPr>
        <w:t xml:space="preserve"> working group. In education, Australia supported the Department of Education to achieve </w:t>
      </w:r>
      <w:r w:rsidRPr="00C00367">
        <w:rPr>
          <w:rFonts w:asciiTheme="minorHAnsi" w:hAnsiTheme="minorHAnsi" w:cstheme="minorHAnsi"/>
          <w:b/>
          <w:sz w:val="22"/>
          <w:szCs w:val="22"/>
        </w:rPr>
        <w:t>universal basic education</w:t>
      </w:r>
      <w:r w:rsidRPr="00C00367">
        <w:rPr>
          <w:rFonts w:asciiTheme="minorHAnsi" w:hAnsiTheme="minorHAnsi" w:cstheme="minorHAnsi"/>
          <w:sz w:val="22"/>
          <w:szCs w:val="22"/>
        </w:rPr>
        <w:t xml:space="preserve"> and improve </w:t>
      </w:r>
      <w:r w:rsidRPr="00C00367">
        <w:rPr>
          <w:rFonts w:asciiTheme="minorHAnsi" w:hAnsiTheme="minorHAnsi" w:cstheme="minorHAnsi"/>
          <w:b/>
          <w:sz w:val="22"/>
          <w:szCs w:val="22"/>
        </w:rPr>
        <w:t>water and sanitation</w:t>
      </w:r>
      <w:r w:rsidRPr="00C00367">
        <w:rPr>
          <w:rFonts w:asciiTheme="minorHAnsi" w:hAnsiTheme="minorHAnsi" w:cstheme="minorHAnsi"/>
          <w:sz w:val="22"/>
          <w:szCs w:val="22"/>
        </w:rPr>
        <w:t xml:space="preserve"> in schools – an important factor in girls’ attendance. More than half of the 1,800 Papua New Guineans who have gained internationally recognised qualifications from an Australian university through the </w:t>
      </w:r>
      <w:r w:rsidRPr="00C00367">
        <w:rPr>
          <w:rFonts w:asciiTheme="minorHAnsi" w:hAnsiTheme="minorHAnsi" w:cstheme="minorHAnsi"/>
          <w:b/>
          <w:sz w:val="22"/>
          <w:szCs w:val="22"/>
        </w:rPr>
        <w:t>Australian Awards</w:t>
      </w:r>
      <w:r w:rsidRPr="00C00367">
        <w:rPr>
          <w:rFonts w:asciiTheme="minorHAnsi" w:hAnsiTheme="minorHAnsi" w:cstheme="minorHAnsi"/>
          <w:sz w:val="22"/>
          <w:szCs w:val="22"/>
        </w:rPr>
        <w:t xml:space="preserve"> have been women. Support through the transport sector has advocated for women’s empowerment, and gender friendly workplaces and policies – including FSV. During the year, Australia’s assistance to Bougainville focused on the increased participation of women through governance and peace mediation training, and awareness sessions on family and sexual violence. </w:t>
      </w:r>
    </w:p>
    <w:p w:rsidR="002E4B92" w:rsidRPr="00C00367" w:rsidRDefault="002E4B92" w:rsidP="002E4B92">
      <w:pPr>
        <w:spacing w:after="120"/>
        <w:jc w:val="both"/>
        <w:rPr>
          <w:rFonts w:asciiTheme="minorHAnsi" w:hAnsiTheme="minorHAnsi" w:cstheme="minorHAnsi"/>
          <w:sz w:val="22"/>
          <w:szCs w:val="22"/>
        </w:rPr>
      </w:pPr>
      <w:r w:rsidRPr="00C00367">
        <w:rPr>
          <w:rFonts w:asciiTheme="minorHAnsi" w:hAnsiTheme="minorHAnsi" w:cstheme="minorHAnsi"/>
          <w:sz w:val="22"/>
          <w:szCs w:val="22"/>
        </w:rPr>
        <w:t xml:space="preserve">In the </w:t>
      </w:r>
      <w:r w:rsidRPr="00C00367">
        <w:rPr>
          <w:rFonts w:asciiTheme="minorHAnsi" w:hAnsiTheme="minorHAnsi" w:cstheme="minorHAnsi"/>
          <w:b/>
          <w:sz w:val="22"/>
          <w:szCs w:val="22"/>
        </w:rPr>
        <w:t>Law and Justice sector</w:t>
      </w:r>
      <w:r w:rsidRPr="00C00367">
        <w:rPr>
          <w:rFonts w:asciiTheme="minorHAnsi" w:hAnsiTheme="minorHAnsi" w:cstheme="minorHAnsi"/>
          <w:sz w:val="22"/>
          <w:szCs w:val="22"/>
        </w:rPr>
        <w:t xml:space="preserve">, the opening of an additional five Family and Sexual Violence Units (FSVUs) in 2013-14 enabled 9,248 women survivors of violence to access and receive services from 14 FSVUs. The number of female village court magistrates and officials also continues to grow. </w:t>
      </w:r>
    </w:p>
    <w:p w:rsidR="00AF137D" w:rsidRPr="00C00367" w:rsidRDefault="0027314C" w:rsidP="00AF137D">
      <w:pPr>
        <w:spacing w:after="120"/>
        <w:jc w:val="both"/>
        <w:rPr>
          <w:rFonts w:asciiTheme="minorHAnsi" w:hAnsiTheme="minorHAnsi" w:cstheme="minorHAnsi"/>
          <w:b/>
          <w:sz w:val="22"/>
          <w:szCs w:val="22"/>
        </w:rPr>
      </w:pPr>
      <w:r w:rsidRPr="00C00367">
        <w:rPr>
          <w:rFonts w:asciiTheme="minorHAnsi" w:hAnsiTheme="minorHAnsi" w:cstheme="minorHAnsi"/>
          <w:b/>
          <w:sz w:val="22"/>
          <w:szCs w:val="22"/>
        </w:rPr>
        <w:t>Key Risks and C</w:t>
      </w:r>
      <w:r w:rsidR="00AF137D" w:rsidRPr="00C00367">
        <w:rPr>
          <w:rFonts w:asciiTheme="minorHAnsi" w:hAnsiTheme="minorHAnsi" w:cstheme="minorHAnsi"/>
          <w:b/>
          <w:sz w:val="22"/>
          <w:szCs w:val="22"/>
        </w:rPr>
        <w:t>hallenges</w:t>
      </w:r>
    </w:p>
    <w:p w:rsidR="00AF137D" w:rsidRPr="00C00367" w:rsidRDefault="00AF137D" w:rsidP="00AF137D">
      <w:pPr>
        <w:contextualSpacing/>
        <w:jc w:val="both"/>
        <w:rPr>
          <w:rFonts w:asciiTheme="minorHAnsi" w:hAnsiTheme="minorHAnsi" w:cstheme="minorHAnsi"/>
          <w:sz w:val="22"/>
          <w:szCs w:val="22"/>
        </w:rPr>
      </w:pPr>
      <w:r w:rsidRPr="00C00367">
        <w:rPr>
          <w:rFonts w:asciiTheme="minorHAnsi" w:hAnsiTheme="minorHAnsi" w:cstheme="minorHAnsi"/>
          <w:sz w:val="22"/>
          <w:szCs w:val="22"/>
        </w:rPr>
        <w:t>Promoting gender equality and women’s empowerment in the PNG context is challenging.</w:t>
      </w:r>
      <w:r w:rsidRPr="00C00367">
        <w:rPr>
          <w:rFonts w:asciiTheme="minorHAnsi" w:hAnsiTheme="minorHAnsi" w:cstheme="minorHAnsi"/>
          <w:b/>
          <w:sz w:val="22"/>
          <w:szCs w:val="22"/>
        </w:rPr>
        <w:t xml:space="preserve">  </w:t>
      </w:r>
      <w:r w:rsidRPr="00C00367">
        <w:rPr>
          <w:rFonts w:asciiTheme="minorHAnsi" w:hAnsiTheme="minorHAnsi" w:cstheme="minorHAnsi"/>
          <w:sz w:val="22"/>
          <w:szCs w:val="22"/>
        </w:rPr>
        <w:t xml:space="preserve">Women and girls continue to face extremely high levels of FSV. The ability of women to make choices to improve their lives remains substantially limited by their literacy and general education. PNG is </w:t>
      </w:r>
      <w:r w:rsidRPr="00C00367">
        <w:rPr>
          <w:rFonts w:asciiTheme="minorHAnsi" w:hAnsiTheme="minorHAnsi" w:cstheme="minorHAnsi"/>
          <w:sz w:val="22"/>
          <w:szCs w:val="22"/>
        </w:rPr>
        <w:lastRenderedPageBreak/>
        <w:t xml:space="preserve">ranked 138 out of 143 countries for women’s participation in national parliaments, and despite the PNG Government’s legal and policy rhetoric to gender equality, there has been little direct spending allocated to addressing </w:t>
      </w:r>
      <w:r w:rsidRPr="00D0071B">
        <w:rPr>
          <w:rFonts w:asciiTheme="minorHAnsi" w:hAnsiTheme="minorHAnsi" w:cstheme="minorHAnsi"/>
          <w:sz w:val="22"/>
          <w:szCs w:val="22"/>
        </w:rPr>
        <w:t xml:space="preserve">women’s equality. Analysis of the 2014 PNG budget estimates that the PNG Government has allocated only K1.5 million </w:t>
      </w:r>
      <w:r w:rsidR="00A7413A" w:rsidRPr="00D0071B">
        <w:rPr>
          <w:rFonts w:asciiTheme="minorHAnsi" w:hAnsiTheme="minorHAnsi" w:cstheme="minorHAnsi"/>
          <w:sz w:val="22"/>
          <w:szCs w:val="22"/>
        </w:rPr>
        <w:t>(</w:t>
      </w:r>
      <w:r w:rsidR="00D0071B" w:rsidRPr="00D0071B">
        <w:rPr>
          <w:rFonts w:asciiTheme="minorHAnsi" w:hAnsiTheme="minorHAnsi" w:cstheme="minorHAnsi"/>
          <w:sz w:val="22"/>
          <w:szCs w:val="22"/>
        </w:rPr>
        <w:t>A$0.654 million</w:t>
      </w:r>
      <w:r w:rsidR="00A7413A" w:rsidRPr="00D0071B">
        <w:rPr>
          <w:rFonts w:asciiTheme="minorHAnsi" w:hAnsiTheme="minorHAnsi" w:cstheme="minorHAnsi"/>
          <w:sz w:val="22"/>
          <w:szCs w:val="22"/>
        </w:rPr>
        <w:t xml:space="preserve">) </w:t>
      </w:r>
      <w:r w:rsidRPr="00D0071B">
        <w:rPr>
          <w:rFonts w:asciiTheme="minorHAnsi" w:hAnsiTheme="minorHAnsi" w:cstheme="minorHAnsi"/>
          <w:sz w:val="22"/>
          <w:szCs w:val="22"/>
        </w:rPr>
        <w:t xml:space="preserve">to specific gender initiatives. </w:t>
      </w:r>
      <w:r w:rsidR="000642D5" w:rsidRPr="00D0071B">
        <w:rPr>
          <w:rFonts w:asciiTheme="minorHAnsi" w:hAnsiTheme="minorHAnsi" w:cstheme="minorHAnsi"/>
          <w:sz w:val="22"/>
          <w:szCs w:val="22"/>
        </w:rPr>
        <w:t>Progressing objectives in this area would benefit from a cohesive gender strategy</w:t>
      </w:r>
      <w:r w:rsidR="000642D5" w:rsidRPr="00C00367">
        <w:rPr>
          <w:rFonts w:asciiTheme="minorHAnsi" w:hAnsiTheme="minorHAnsi" w:cstheme="minorHAnsi"/>
          <w:sz w:val="22"/>
          <w:szCs w:val="22"/>
        </w:rPr>
        <w:t xml:space="preserve"> and a</w:t>
      </w:r>
      <w:r w:rsidRPr="00C00367">
        <w:rPr>
          <w:rFonts w:asciiTheme="minorHAnsi" w:hAnsiTheme="minorHAnsi" w:cstheme="minorHAnsi"/>
          <w:sz w:val="22"/>
          <w:szCs w:val="22"/>
        </w:rPr>
        <w:t xml:space="preserve"> monitoring and evaluation framework for Australia’s aid to PNG</w:t>
      </w:r>
      <w:r w:rsidR="000642D5" w:rsidRPr="00C00367">
        <w:rPr>
          <w:rFonts w:asciiTheme="minorHAnsi" w:hAnsiTheme="minorHAnsi" w:cstheme="minorHAnsi"/>
          <w:sz w:val="22"/>
          <w:szCs w:val="22"/>
        </w:rPr>
        <w:t>. This would help</w:t>
      </w:r>
      <w:r w:rsidRPr="00C00367">
        <w:rPr>
          <w:rFonts w:asciiTheme="minorHAnsi" w:hAnsiTheme="minorHAnsi" w:cstheme="minorHAnsi"/>
          <w:sz w:val="22"/>
          <w:szCs w:val="22"/>
        </w:rPr>
        <w:t xml:space="preserve"> determine the extent to which progress is being made across the aid program.</w:t>
      </w:r>
    </w:p>
    <w:p w:rsidR="00AF137D" w:rsidRPr="00C00367" w:rsidRDefault="00AF137D" w:rsidP="00AF137D">
      <w:pPr>
        <w:contextualSpacing/>
        <w:jc w:val="both"/>
        <w:rPr>
          <w:rFonts w:asciiTheme="minorHAnsi" w:hAnsiTheme="minorHAnsi" w:cstheme="minorHAnsi"/>
          <w:sz w:val="22"/>
          <w:szCs w:val="22"/>
        </w:rPr>
      </w:pPr>
    </w:p>
    <w:p w:rsidR="00C00367" w:rsidRDefault="00AF137D" w:rsidP="00AF137D">
      <w:pPr>
        <w:keepNext/>
        <w:widowControl w:val="0"/>
        <w:spacing w:after="120"/>
        <w:jc w:val="both"/>
        <w:rPr>
          <w:rFonts w:asciiTheme="minorHAnsi" w:hAnsiTheme="minorHAnsi" w:cstheme="minorHAnsi"/>
          <w:b/>
          <w:sz w:val="22"/>
          <w:szCs w:val="22"/>
        </w:rPr>
      </w:pPr>
      <w:r w:rsidRPr="00C00367">
        <w:rPr>
          <w:rFonts w:asciiTheme="minorHAnsi" w:hAnsiTheme="minorHAnsi" w:cstheme="minorHAnsi"/>
          <w:b/>
          <w:sz w:val="22"/>
          <w:szCs w:val="22"/>
        </w:rPr>
        <w:t xml:space="preserve">Way </w:t>
      </w:r>
      <w:r w:rsidR="002E4B92" w:rsidRPr="00C00367">
        <w:rPr>
          <w:rFonts w:asciiTheme="minorHAnsi" w:hAnsiTheme="minorHAnsi" w:cstheme="minorHAnsi"/>
          <w:b/>
          <w:sz w:val="22"/>
          <w:szCs w:val="22"/>
        </w:rPr>
        <w:t>F</w:t>
      </w:r>
      <w:r w:rsidRPr="00C00367">
        <w:rPr>
          <w:rFonts w:asciiTheme="minorHAnsi" w:hAnsiTheme="minorHAnsi" w:cstheme="minorHAnsi"/>
          <w:b/>
          <w:sz w:val="22"/>
          <w:szCs w:val="22"/>
        </w:rPr>
        <w:t xml:space="preserve">orward/ Management </w:t>
      </w:r>
      <w:r w:rsidR="002E4B92" w:rsidRPr="00C00367">
        <w:rPr>
          <w:rFonts w:asciiTheme="minorHAnsi" w:hAnsiTheme="minorHAnsi" w:cstheme="minorHAnsi"/>
          <w:b/>
          <w:sz w:val="22"/>
          <w:szCs w:val="22"/>
        </w:rPr>
        <w:t>C</w:t>
      </w:r>
      <w:r w:rsidR="00C00367">
        <w:rPr>
          <w:rFonts w:asciiTheme="minorHAnsi" w:hAnsiTheme="minorHAnsi" w:cstheme="minorHAnsi"/>
          <w:b/>
          <w:sz w:val="22"/>
          <w:szCs w:val="22"/>
        </w:rPr>
        <w:t>onsequences</w:t>
      </w:r>
    </w:p>
    <w:p w:rsidR="00AF137D" w:rsidRPr="00894779" w:rsidRDefault="00AF137D" w:rsidP="00AF137D">
      <w:pPr>
        <w:keepNext/>
        <w:widowControl w:val="0"/>
        <w:spacing w:after="120"/>
        <w:jc w:val="both"/>
        <w:rPr>
          <w:rFonts w:asciiTheme="minorHAnsi" w:hAnsiTheme="minorHAnsi" w:cstheme="minorHAnsi"/>
          <w:b/>
          <w:sz w:val="22"/>
          <w:szCs w:val="22"/>
        </w:rPr>
      </w:pPr>
      <w:r w:rsidRPr="00894779">
        <w:rPr>
          <w:rFonts w:asciiTheme="minorHAnsi" w:hAnsiTheme="minorHAnsi" w:cstheme="minorHAnsi"/>
          <w:sz w:val="22"/>
          <w:szCs w:val="22"/>
        </w:rPr>
        <w:t>To make better progress on gender equality and women’s empowerment in 2014-15, emphasis will be placed on:</w:t>
      </w:r>
    </w:p>
    <w:p w:rsidR="00AF137D" w:rsidRPr="00894779" w:rsidRDefault="00AF137D" w:rsidP="00A172BA">
      <w:pPr>
        <w:pStyle w:val="ListParagraph"/>
        <w:numPr>
          <w:ilvl w:val="0"/>
          <w:numId w:val="23"/>
        </w:numPr>
        <w:spacing w:after="0"/>
        <w:ind w:left="714" w:hanging="357"/>
        <w:jc w:val="both"/>
        <w:rPr>
          <w:rFonts w:asciiTheme="minorHAnsi" w:hAnsiTheme="minorHAnsi" w:cstheme="minorHAnsi"/>
          <w:szCs w:val="22"/>
        </w:rPr>
      </w:pPr>
      <w:r w:rsidRPr="00894779">
        <w:rPr>
          <w:rFonts w:asciiTheme="minorHAnsi" w:hAnsiTheme="minorHAnsi" w:cstheme="minorHAnsi"/>
          <w:szCs w:val="22"/>
        </w:rPr>
        <w:t xml:space="preserve">Maintaining momentum on </w:t>
      </w:r>
      <w:r w:rsidRPr="00894779">
        <w:rPr>
          <w:rFonts w:asciiTheme="minorHAnsi" w:hAnsiTheme="minorHAnsi" w:cstheme="minorHAnsi"/>
          <w:i/>
          <w:szCs w:val="22"/>
        </w:rPr>
        <w:t>Pacific Women</w:t>
      </w:r>
      <w:r w:rsidRPr="00894779">
        <w:rPr>
          <w:rFonts w:asciiTheme="minorHAnsi" w:hAnsiTheme="minorHAnsi" w:cstheme="minorHAnsi"/>
          <w:szCs w:val="22"/>
        </w:rPr>
        <w:t xml:space="preserve"> and ensuring gender remains a priority issue in all sectors; </w:t>
      </w:r>
    </w:p>
    <w:p w:rsidR="00AF137D" w:rsidRPr="00894779" w:rsidRDefault="00AF137D" w:rsidP="00AF137D">
      <w:pPr>
        <w:pStyle w:val="ListParagraph"/>
        <w:numPr>
          <w:ilvl w:val="0"/>
          <w:numId w:val="23"/>
        </w:numPr>
        <w:spacing w:after="0"/>
        <w:ind w:left="714" w:hanging="357"/>
        <w:jc w:val="both"/>
        <w:rPr>
          <w:rFonts w:asciiTheme="minorHAnsi" w:hAnsiTheme="minorHAnsi" w:cstheme="minorHAnsi"/>
          <w:szCs w:val="22"/>
        </w:rPr>
      </w:pPr>
      <w:r w:rsidRPr="00894779">
        <w:rPr>
          <w:rFonts w:asciiTheme="minorHAnsi" w:hAnsiTheme="minorHAnsi" w:cstheme="minorHAnsi"/>
          <w:szCs w:val="22"/>
        </w:rPr>
        <w:t xml:space="preserve">Identifying incentives </w:t>
      </w:r>
      <w:r w:rsidR="00A172BA" w:rsidRPr="00894779">
        <w:rPr>
          <w:rFonts w:asciiTheme="minorHAnsi" w:hAnsiTheme="minorHAnsi" w:cstheme="minorHAnsi"/>
          <w:szCs w:val="22"/>
        </w:rPr>
        <w:t>with</w:t>
      </w:r>
      <w:r w:rsidRPr="00894779">
        <w:rPr>
          <w:rFonts w:asciiTheme="minorHAnsi" w:hAnsiTheme="minorHAnsi" w:cstheme="minorHAnsi"/>
          <w:szCs w:val="22"/>
        </w:rPr>
        <w:t xml:space="preserve">in programs </w:t>
      </w:r>
      <w:r w:rsidR="00A172BA" w:rsidRPr="00894779">
        <w:rPr>
          <w:rFonts w:asciiTheme="minorHAnsi" w:hAnsiTheme="minorHAnsi" w:cstheme="minorHAnsi"/>
          <w:szCs w:val="22"/>
        </w:rPr>
        <w:t>to engage</w:t>
      </w:r>
      <w:r w:rsidRPr="00894779">
        <w:rPr>
          <w:rFonts w:asciiTheme="minorHAnsi" w:hAnsiTheme="minorHAnsi" w:cstheme="minorHAnsi"/>
          <w:szCs w:val="22"/>
        </w:rPr>
        <w:t xml:space="preserve"> PNG Government partners to play more effective roles in improving women’s lives; and</w:t>
      </w:r>
    </w:p>
    <w:p w:rsidR="00AF137D" w:rsidRPr="00C80894" w:rsidRDefault="00A172BA" w:rsidP="00AF137D">
      <w:pPr>
        <w:pStyle w:val="ListParagraph"/>
        <w:numPr>
          <w:ilvl w:val="0"/>
          <w:numId w:val="23"/>
        </w:numPr>
        <w:spacing w:after="0"/>
        <w:ind w:left="714" w:hanging="357"/>
        <w:jc w:val="both"/>
        <w:rPr>
          <w:rFonts w:asciiTheme="minorHAnsi" w:hAnsiTheme="minorHAnsi" w:cstheme="minorHAnsi"/>
          <w:szCs w:val="22"/>
        </w:rPr>
      </w:pPr>
      <w:r w:rsidRPr="00894779">
        <w:rPr>
          <w:rFonts w:asciiTheme="minorHAnsi" w:hAnsiTheme="minorHAnsi" w:cstheme="minorHAnsi"/>
          <w:szCs w:val="22"/>
        </w:rPr>
        <w:t>Designing the next phase of the gender program that will develop a clearer, whole of government approach/strategy and establish</w:t>
      </w:r>
      <w:r w:rsidR="00AF137D" w:rsidRPr="00894779">
        <w:rPr>
          <w:rFonts w:asciiTheme="minorHAnsi" w:hAnsiTheme="minorHAnsi" w:cstheme="minorHAnsi"/>
          <w:szCs w:val="22"/>
        </w:rPr>
        <w:t xml:space="preserve"> effective </w:t>
      </w:r>
      <w:r w:rsidRPr="00894779">
        <w:rPr>
          <w:rFonts w:asciiTheme="minorHAnsi" w:hAnsiTheme="minorHAnsi" w:cstheme="minorHAnsi"/>
          <w:szCs w:val="22"/>
        </w:rPr>
        <w:t xml:space="preserve">monitoring and </w:t>
      </w:r>
      <w:r w:rsidR="00AF137D" w:rsidRPr="00894779">
        <w:rPr>
          <w:rFonts w:asciiTheme="minorHAnsi" w:hAnsiTheme="minorHAnsi" w:cstheme="minorHAnsi"/>
          <w:szCs w:val="22"/>
        </w:rPr>
        <w:t>evaluation targets to help aggregate results from - and improve - Australian investments.</w:t>
      </w:r>
    </w:p>
    <w:p w:rsidR="00AF137D" w:rsidRPr="008264E9" w:rsidRDefault="00AF137D" w:rsidP="00164E82">
      <w:pPr>
        <w:pStyle w:val="Heading3"/>
      </w:pPr>
      <w:r w:rsidRPr="00DB79A8">
        <w:t xml:space="preserve">Additional </w:t>
      </w:r>
      <w:r w:rsidR="00660884" w:rsidRPr="00DB79A8">
        <w:t>Assistance</w:t>
      </w:r>
      <w:r w:rsidR="00035669">
        <w:t>:</w:t>
      </w:r>
    </w:p>
    <w:p w:rsidR="00DB6772" w:rsidRPr="00D25E02" w:rsidRDefault="00DB6772" w:rsidP="00164E82">
      <w:pPr>
        <w:pStyle w:val="Heading3"/>
      </w:pPr>
      <w:r w:rsidRPr="00D25E02">
        <w:t xml:space="preserve">Bougainville </w:t>
      </w:r>
    </w:p>
    <w:tbl>
      <w:tblPr>
        <w:tblStyle w:val="APPR"/>
        <w:tblW w:w="4951" w:type="pct"/>
        <w:tblBorders>
          <w:top w:val="single" w:sz="4" w:space="0" w:color="auto"/>
          <w:bottom w:val="single" w:sz="4" w:space="0" w:color="auto"/>
        </w:tblBorders>
        <w:tblLook w:val="0000" w:firstRow="0" w:lastRow="0" w:firstColumn="0" w:lastColumn="0" w:noHBand="0" w:noVBand="0"/>
      </w:tblPr>
      <w:tblGrid>
        <w:gridCol w:w="6467"/>
        <w:gridCol w:w="473"/>
        <w:gridCol w:w="2268"/>
      </w:tblGrid>
      <w:tr w:rsidR="00DB6772" w:rsidRPr="00D25E02" w:rsidTr="00105FEF">
        <w:trPr>
          <w:cnfStyle w:val="000000010000" w:firstRow="0" w:lastRow="0" w:firstColumn="0" w:lastColumn="0" w:oddVBand="0" w:evenVBand="0" w:oddHBand="0" w:evenHBand="1" w:firstRowFirstColumn="0" w:firstRowLastColumn="0" w:lastRowFirstColumn="0" w:lastRowLastColumn="0"/>
          <w:trHeight w:val="301"/>
        </w:trPr>
        <w:tc>
          <w:tcPr>
            <w:tcW w:w="6425" w:type="dxa"/>
          </w:tcPr>
          <w:p w:rsidR="00DB6772" w:rsidRPr="00D25E02" w:rsidRDefault="00DB6772" w:rsidP="008264E9">
            <w:pPr>
              <w:pStyle w:val="TableTextColumnHeading"/>
            </w:pPr>
            <w:r w:rsidRPr="00D25E02">
              <w:rPr>
                <w:noProof/>
              </w:rPr>
              <w:drawing>
                <wp:anchor distT="0" distB="0" distL="114300" distR="114300" simplePos="0" relativeHeight="251692032" behindDoc="0" locked="0" layoutInCell="1" allowOverlap="1" wp14:anchorId="2460F067" wp14:editId="35F37536">
                  <wp:simplePos x="0" y="0"/>
                  <wp:positionH relativeFrom="column">
                    <wp:posOffset>0</wp:posOffset>
                  </wp:positionH>
                  <wp:positionV relativeFrom="paragraph">
                    <wp:posOffset>0</wp:posOffset>
                  </wp:positionV>
                  <wp:extent cx="1857375" cy="228600"/>
                  <wp:effectExtent l="0" t="0" r="9525" b="0"/>
                  <wp:wrapNone/>
                  <wp:docPr id="7" name="Picture 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1B2">
              <w:t>Objective: Stability, Security, Social and Economic Development in Bougainville</w:t>
            </w:r>
          </w:p>
        </w:tc>
        <w:tc>
          <w:tcPr>
            <w:tcW w:w="445" w:type="dxa"/>
          </w:tcPr>
          <w:p w:rsidR="00DB6772" w:rsidRPr="00D25E02" w:rsidRDefault="00DB6772" w:rsidP="008264E9">
            <w:pPr>
              <w:pStyle w:val="TableTextColumnHeading"/>
            </w:pPr>
          </w:p>
        </w:tc>
        <w:tc>
          <w:tcPr>
            <w:tcW w:w="2226" w:type="dxa"/>
            <w:shd w:val="clear" w:color="auto" w:fill="auto"/>
          </w:tcPr>
          <w:p w:rsidR="00DB6772" w:rsidRPr="008264E9" w:rsidRDefault="00105FEF" w:rsidP="008264E9">
            <w:pPr>
              <w:pStyle w:val="TableTextColumnHeading"/>
            </w:pPr>
            <w:r w:rsidRPr="008264E9">
              <w:t>Not Rated</w:t>
            </w:r>
          </w:p>
        </w:tc>
      </w:tr>
    </w:tbl>
    <w:p w:rsidR="00DB6772" w:rsidRDefault="00DB6772" w:rsidP="00DB6772">
      <w:pPr>
        <w:pStyle w:val="BodyText"/>
        <w:spacing w:after="120" w:line="240" w:lineRule="auto"/>
        <w:jc w:val="both"/>
        <w:rPr>
          <w:rFonts w:ascii="Times New Roman" w:hAnsi="Times New Roman"/>
          <w:sz w:val="22"/>
          <w:szCs w:val="22"/>
        </w:rPr>
      </w:pPr>
    </w:p>
    <w:p w:rsidR="00DB6772" w:rsidRPr="001D16B1" w:rsidRDefault="00DB6772" w:rsidP="00DB6772">
      <w:pPr>
        <w:pStyle w:val="BodyText"/>
        <w:spacing w:after="120" w:line="240" w:lineRule="auto"/>
        <w:jc w:val="both"/>
        <w:rPr>
          <w:rFonts w:asciiTheme="minorHAnsi" w:hAnsiTheme="minorHAnsi" w:cstheme="minorHAnsi"/>
          <w:sz w:val="22"/>
          <w:szCs w:val="22"/>
        </w:rPr>
      </w:pPr>
      <w:r w:rsidRPr="001D16B1">
        <w:rPr>
          <w:rFonts w:asciiTheme="minorHAnsi" w:hAnsiTheme="minorHAnsi" w:cstheme="minorHAnsi"/>
          <w:sz w:val="22"/>
          <w:szCs w:val="22"/>
        </w:rPr>
        <w:t>The Autonomous Region of Bougainville continues to face significant challenges</w:t>
      </w:r>
      <w:r w:rsidRPr="001D16B1">
        <w:rPr>
          <w:rFonts w:asciiTheme="minorHAnsi" w:hAnsiTheme="minorHAnsi" w:cstheme="minorHAnsi"/>
          <w:b/>
          <w:sz w:val="22"/>
          <w:szCs w:val="22"/>
        </w:rPr>
        <w:t xml:space="preserve"> </w:t>
      </w:r>
      <w:r w:rsidRPr="001D16B1">
        <w:rPr>
          <w:rFonts w:asciiTheme="minorHAnsi" w:hAnsiTheme="minorHAnsi" w:cstheme="minorHAnsi"/>
          <w:sz w:val="22"/>
          <w:szCs w:val="22"/>
        </w:rPr>
        <w:t xml:space="preserve">typical of a post-conflict </w:t>
      </w:r>
      <w:r w:rsidR="00AF49C3">
        <w:rPr>
          <w:rFonts w:asciiTheme="minorHAnsi" w:hAnsiTheme="minorHAnsi" w:cstheme="minorHAnsi"/>
          <w:sz w:val="22"/>
          <w:szCs w:val="22"/>
        </w:rPr>
        <w:t>context</w:t>
      </w:r>
      <w:r w:rsidRPr="001D16B1">
        <w:rPr>
          <w:rFonts w:asciiTheme="minorHAnsi" w:hAnsiTheme="minorHAnsi" w:cstheme="minorHAnsi"/>
          <w:sz w:val="22"/>
          <w:szCs w:val="22"/>
        </w:rPr>
        <w:t>. However, the past 12 months have been transformative for the Autonomous Bougainville Government (ABG). Major undertakings included the establishment of the Bougainville Public Service, preparati</w:t>
      </w:r>
      <w:r w:rsidR="0088514A">
        <w:rPr>
          <w:rFonts w:asciiTheme="minorHAnsi" w:hAnsiTheme="minorHAnsi" w:cstheme="minorHAnsi"/>
          <w:sz w:val="22"/>
          <w:szCs w:val="22"/>
        </w:rPr>
        <w:t xml:space="preserve">ons for negotiations on </w:t>
      </w:r>
      <w:r w:rsidR="00AF49C3">
        <w:rPr>
          <w:rFonts w:asciiTheme="minorHAnsi" w:hAnsiTheme="minorHAnsi" w:cstheme="minorHAnsi"/>
          <w:sz w:val="22"/>
          <w:szCs w:val="22"/>
        </w:rPr>
        <w:t xml:space="preserve">the potential reopening of the mine in </w:t>
      </w:r>
      <w:r w:rsidR="0088514A">
        <w:rPr>
          <w:rFonts w:asciiTheme="minorHAnsi" w:hAnsiTheme="minorHAnsi" w:cstheme="minorHAnsi"/>
          <w:sz w:val="22"/>
          <w:szCs w:val="22"/>
        </w:rPr>
        <w:t>Panguna</w:t>
      </w:r>
      <w:r w:rsidRPr="001D16B1">
        <w:rPr>
          <w:rFonts w:asciiTheme="minorHAnsi" w:hAnsiTheme="minorHAnsi" w:cstheme="minorHAnsi"/>
          <w:sz w:val="22"/>
          <w:szCs w:val="22"/>
        </w:rPr>
        <w:t xml:space="preserve">, and the </w:t>
      </w:r>
      <w:r w:rsidRPr="006D47A3">
        <w:rPr>
          <w:rFonts w:asciiTheme="minorHAnsi" w:hAnsiTheme="minorHAnsi" w:cstheme="minorHAnsi"/>
          <w:sz w:val="22"/>
          <w:szCs w:val="22"/>
        </w:rPr>
        <w:t>ongoing</w:t>
      </w:r>
      <w:r w:rsidRPr="001D16B1">
        <w:rPr>
          <w:rFonts w:asciiTheme="minorHAnsi" w:hAnsiTheme="minorHAnsi" w:cstheme="minorHAnsi"/>
          <w:sz w:val="22"/>
          <w:szCs w:val="22"/>
        </w:rPr>
        <w:t xml:space="preserve"> transfer of powers from the national government to achieve full </w:t>
      </w:r>
      <w:r w:rsidR="00AF49C3">
        <w:rPr>
          <w:rFonts w:asciiTheme="minorHAnsi" w:hAnsiTheme="minorHAnsi" w:cstheme="minorHAnsi"/>
          <w:sz w:val="22"/>
          <w:szCs w:val="22"/>
        </w:rPr>
        <w:t>implementation of the autonomy</w:t>
      </w:r>
      <w:r w:rsidRPr="001D16B1">
        <w:rPr>
          <w:rFonts w:asciiTheme="minorHAnsi" w:hAnsiTheme="minorHAnsi" w:cstheme="minorHAnsi"/>
          <w:sz w:val="22"/>
          <w:szCs w:val="22"/>
        </w:rPr>
        <w:t xml:space="preserve"> arrangements. </w:t>
      </w:r>
      <w:r>
        <w:rPr>
          <w:rFonts w:asciiTheme="minorHAnsi" w:hAnsiTheme="minorHAnsi" w:cstheme="minorHAnsi"/>
          <w:sz w:val="22"/>
          <w:szCs w:val="22"/>
        </w:rPr>
        <w:t>The ABG is dealing with a huge agenda of change, which will</w:t>
      </w:r>
      <w:r w:rsidRPr="001D16B1">
        <w:rPr>
          <w:rFonts w:asciiTheme="minorHAnsi" w:hAnsiTheme="minorHAnsi" w:cstheme="minorHAnsi"/>
          <w:sz w:val="22"/>
          <w:szCs w:val="22"/>
        </w:rPr>
        <w:t xml:space="preserve"> continue to gather momentum as Bougainville enters a critical period in 2015 with the conduct of ABG </w:t>
      </w:r>
      <w:r w:rsidR="00AF49C3">
        <w:rPr>
          <w:rFonts w:asciiTheme="minorHAnsi" w:hAnsiTheme="minorHAnsi" w:cstheme="minorHAnsi"/>
          <w:sz w:val="22"/>
          <w:szCs w:val="22"/>
        </w:rPr>
        <w:t>e</w:t>
      </w:r>
      <w:r w:rsidRPr="001D16B1">
        <w:rPr>
          <w:rFonts w:asciiTheme="minorHAnsi" w:hAnsiTheme="minorHAnsi" w:cstheme="minorHAnsi"/>
          <w:sz w:val="22"/>
          <w:szCs w:val="22"/>
        </w:rPr>
        <w:t>lections and the opening of the five year window for a referendum on its future political status.</w:t>
      </w:r>
    </w:p>
    <w:p w:rsidR="00DB6772" w:rsidRPr="001D16B1" w:rsidRDefault="00DB6772" w:rsidP="008264E9">
      <w:pPr>
        <w:pStyle w:val="TableTextColumnHeading"/>
      </w:pPr>
      <w:r w:rsidRPr="001D16B1">
        <w:t xml:space="preserve">Australia’s </w:t>
      </w:r>
      <w:r w:rsidR="00035669">
        <w:t>C</w:t>
      </w:r>
      <w:r w:rsidRPr="001D16B1">
        <w:t xml:space="preserve">ontribution </w:t>
      </w:r>
    </w:p>
    <w:p w:rsidR="00DB6772" w:rsidRPr="001D16B1" w:rsidRDefault="00DB6772" w:rsidP="00DB6772">
      <w:pPr>
        <w:pStyle w:val="BodyText"/>
        <w:spacing w:after="120" w:line="240" w:lineRule="auto"/>
        <w:jc w:val="both"/>
        <w:rPr>
          <w:rFonts w:asciiTheme="minorHAnsi" w:hAnsiTheme="minorHAnsi" w:cstheme="minorHAnsi"/>
          <w:sz w:val="22"/>
          <w:szCs w:val="22"/>
        </w:rPr>
      </w:pPr>
      <w:r w:rsidRPr="001D16B1">
        <w:rPr>
          <w:rFonts w:asciiTheme="minorHAnsi" w:hAnsiTheme="minorHAnsi" w:cstheme="minorHAnsi"/>
          <w:sz w:val="22"/>
          <w:szCs w:val="22"/>
        </w:rPr>
        <w:t xml:space="preserve">Australia’s aid to Bougainville aims to support stability, security, </w:t>
      </w:r>
      <w:r w:rsidR="00CA0E6D">
        <w:rPr>
          <w:rFonts w:asciiTheme="minorHAnsi" w:hAnsiTheme="minorHAnsi" w:cstheme="minorHAnsi"/>
          <w:sz w:val="22"/>
          <w:szCs w:val="22"/>
        </w:rPr>
        <w:t xml:space="preserve">and </w:t>
      </w:r>
      <w:r w:rsidRPr="001D16B1">
        <w:rPr>
          <w:rFonts w:asciiTheme="minorHAnsi" w:hAnsiTheme="minorHAnsi" w:cstheme="minorHAnsi"/>
          <w:sz w:val="22"/>
          <w:szCs w:val="22"/>
        </w:rPr>
        <w:t xml:space="preserve">social and economic development.  Our support is centred </w:t>
      </w:r>
      <w:r>
        <w:rPr>
          <w:rFonts w:asciiTheme="minorHAnsi" w:hAnsiTheme="minorHAnsi" w:cstheme="minorHAnsi"/>
          <w:sz w:val="22"/>
          <w:szCs w:val="22"/>
        </w:rPr>
        <w:t>around</w:t>
      </w:r>
      <w:r w:rsidRPr="001D16B1">
        <w:rPr>
          <w:rFonts w:asciiTheme="minorHAnsi" w:hAnsiTheme="minorHAnsi" w:cstheme="minorHAnsi"/>
          <w:sz w:val="22"/>
          <w:szCs w:val="22"/>
        </w:rPr>
        <w:t xml:space="preserve"> supporting the implementation of the Bougainville Peace Agreement (BPA), to which Australia is a witness. Australia is also guided by the Joint Review of Autonomy Arrangements – a clear framework for action in Bougainville conducted and endorsed by the ABG and national government. </w:t>
      </w:r>
    </w:p>
    <w:p w:rsidR="00DB6772" w:rsidRPr="001D16B1" w:rsidRDefault="00DB6772" w:rsidP="00DB6772">
      <w:pPr>
        <w:pStyle w:val="BodyText"/>
        <w:spacing w:after="120" w:line="240" w:lineRule="auto"/>
        <w:jc w:val="both"/>
        <w:rPr>
          <w:rFonts w:asciiTheme="minorHAnsi" w:hAnsiTheme="minorHAnsi" w:cstheme="minorHAnsi"/>
          <w:sz w:val="22"/>
          <w:szCs w:val="22"/>
        </w:rPr>
      </w:pPr>
      <w:r w:rsidRPr="00894779">
        <w:rPr>
          <w:rFonts w:asciiTheme="minorHAnsi" w:hAnsiTheme="minorHAnsi" w:cstheme="minorHAnsi"/>
          <w:sz w:val="22"/>
          <w:szCs w:val="22"/>
        </w:rPr>
        <w:t xml:space="preserve">In 2013-14, Australia provided a package of development assistance for Bougainville totalling </w:t>
      </w:r>
      <w:r w:rsidRPr="00894779">
        <w:rPr>
          <w:rFonts w:asciiTheme="minorHAnsi" w:hAnsiTheme="minorHAnsi" w:cstheme="minorHAnsi"/>
          <w:sz w:val="22"/>
          <w:szCs w:val="22"/>
        </w:rPr>
        <w:br/>
      </w:r>
      <w:r w:rsidR="00E13A11" w:rsidRPr="00894779">
        <w:rPr>
          <w:rFonts w:asciiTheme="minorHAnsi" w:hAnsiTheme="minorHAnsi" w:cstheme="minorHAnsi"/>
          <w:sz w:val="22"/>
          <w:szCs w:val="22"/>
        </w:rPr>
        <w:t>A</w:t>
      </w:r>
      <w:r w:rsidRPr="00894779">
        <w:rPr>
          <w:rFonts w:asciiTheme="minorHAnsi" w:hAnsiTheme="minorHAnsi" w:cstheme="minorHAnsi"/>
          <w:sz w:val="22"/>
          <w:szCs w:val="22"/>
        </w:rPr>
        <w:t>$3</w:t>
      </w:r>
      <w:r w:rsidR="00B823AD" w:rsidRPr="00894779">
        <w:rPr>
          <w:rFonts w:asciiTheme="minorHAnsi" w:hAnsiTheme="minorHAnsi" w:cstheme="minorHAnsi"/>
          <w:sz w:val="22"/>
          <w:szCs w:val="22"/>
        </w:rPr>
        <w:t>8</w:t>
      </w:r>
      <w:r w:rsidRPr="00894779">
        <w:rPr>
          <w:rFonts w:asciiTheme="minorHAnsi" w:hAnsiTheme="minorHAnsi" w:cstheme="minorHAnsi"/>
          <w:sz w:val="22"/>
          <w:szCs w:val="22"/>
        </w:rPr>
        <w:t xml:space="preserve"> million. </w:t>
      </w:r>
      <w:r w:rsidR="00AF49C3" w:rsidRPr="00894779">
        <w:rPr>
          <w:rFonts w:asciiTheme="minorHAnsi" w:hAnsiTheme="minorHAnsi" w:cstheme="minorHAnsi"/>
          <w:sz w:val="22"/>
          <w:szCs w:val="22"/>
        </w:rPr>
        <w:t>The vast majority</w:t>
      </w:r>
      <w:r w:rsidRPr="00894779">
        <w:rPr>
          <w:rFonts w:asciiTheme="minorHAnsi" w:hAnsiTheme="minorHAnsi" w:cstheme="minorHAnsi"/>
          <w:sz w:val="22"/>
          <w:szCs w:val="22"/>
        </w:rPr>
        <w:t xml:space="preserve"> of Australia’s assistance to Bougainville was delivered</w:t>
      </w:r>
      <w:r w:rsidR="00CA0E6D">
        <w:rPr>
          <w:rFonts w:asciiTheme="minorHAnsi" w:hAnsiTheme="minorHAnsi" w:cstheme="minorHAnsi"/>
          <w:sz w:val="22"/>
          <w:szCs w:val="22"/>
        </w:rPr>
        <w:t xml:space="preserve"> through PNG n</w:t>
      </w:r>
      <w:r w:rsidR="00AF49C3" w:rsidRPr="00894779">
        <w:rPr>
          <w:rFonts w:asciiTheme="minorHAnsi" w:hAnsiTheme="minorHAnsi" w:cstheme="minorHAnsi"/>
          <w:sz w:val="22"/>
          <w:szCs w:val="22"/>
        </w:rPr>
        <w:t>ational programs</w:t>
      </w:r>
      <w:r w:rsidRPr="00894779">
        <w:rPr>
          <w:rFonts w:asciiTheme="minorHAnsi" w:hAnsiTheme="minorHAnsi" w:cstheme="minorHAnsi"/>
          <w:sz w:val="22"/>
          <w:szCs w:val="22"/>
        </w:rPr>
        <w:t xml:space="preserve"> in the sectors of health, education, law and justice, and transport infrastructure. Australia</w:t>
      </w:r>
      <w:r w:rsidRPr="003E1A2C">
        <w:rPr>
          <w:rFonts w:asciiTheme="minorHAnsi" w:hAnsiTheme="minorHAnsi" w:cstheme="minorHAnsi"/>
          <w:sz w:val="22"/>
          <w:szCs w:val="22"/>
        </w:rPr>
        <w:t xml:space="preserve"> also</w:t>
      </w:r>
      <w:r w:rsidRPr="001D16B1">
        <w:rPr>
          <w:rFonts w:asciiTheme="minorHAnsi" w:hAnsiTheme="minorHAnsi" w:cstheme="minorHAnsi"/>
          <w:sz w:val="22"/>
          <w:szCs w:val="22"/>
        </w:rPr>
        <w:t xml:space="preserve"> funded Bougainville-specific initiatives in governance and peace building to help the ABG respond to the particular challenges posed by Bougainville’s post-conflict and autonomous status. In consultation with the PNG Government and ABG, Australia is increasing its assistance in Bougainville. Australia’s aid to Bougainville is expected to reach </w:t>
      </w:r>
      <w:r>
        <w:rPr>
          <w:rFonts w:asciiTheme="minorHAnsi" w:hAnsiTheme="minorHAnsi" w:cstheme="minorHAnsi"/>
          <w:sz w:val="22"/>
          <w:szCs w:val="22"/>
        </w:rPr>
        <w:t xml:space="preserve">up to </w:t>
      </w:r>
      <w:r w:rsidR="00E13A11">
        <w:rPr>
          <w:rFonts w:asciiTheme="minorHAnsi" w:hAnsiTheme="minorHAnsi" w:cstheme="minorHAnsi"/>
          <w:sz w:val="22"/>
          <w:szCs w:val="22"/>
        </w:rPr>
        <w:t>A</w:t>
      </w:r>
      <w:r w:rsidRPr="001D16B1">
        <w:rPr>
          <w:rFonts w:asciiTheme="minorHAnsi" w:hAnsiTheme="minorHAnsi" w:cstheme="minorHAnsi"/>
          <w:sz w:val="22"/>
          <w:szCs w:val="22"/>
        </w:rPr>
        <w:t>$50 million in 2014-15.</w:t>
      </w:r>
    </w:p>
    <w:p w:rsidR="00DB6772" w:rsidRPr="001D16B1" w:rsidRDefault="00DB6772" w:rsidP="00DB6772">
      <w:pPr>
        <w:pStyle w:val="BodyText"/>
        <w:spacing w:after="120" w:line="240" w:lineRule="auto"/>
        <w:jc w:val="both"/>
        <w:rPr>
          <w:rFonts w:asciiTheme="minorHAnsi" w:hAnsiTheme="minorHAnsi" w:cstheme="minorHAnsi"/>
          <w:sz w:val="22"/>
          <w:szCs w:val="22"/>
        </w:rPr>
      </w:pPr>
      <w:r w:rsidRPr="001D16B1">
        <w:rPr>
          <w:rFonts w:asciiTheme="minorHAnsi" w:hAnsiTheme="minorHAnsi" w:cstheme="minorHAnsi"/>
          <w:sz w:val="22"/>
          <w:szCs w:val="22"/>
        </w:rPr>
        <w:lastRenderedPageBreak/>
        <w:t xml:space="preserve">Good progress was made towards a number of strategic objectives in 2013-14 although there is significant room for improvement.  Due to the size and complexity of Australia’s assistance to Bougainville, sector level progress was assessed instead of giving an overall rating. </w:t>
      </w:r>
    </w:p>
    <w:p w:rsidR="00DB6772" w:rsidRPr="001D16B1" w:rsidRDefault="00DB6772" w:rsidP="00DB6772">
      <w:pPr>
        <w:pStyle w:val="BodyText"/>
        <w:spacing w:after="120" w:line="240" w:lineRule="auto"/>
        <w:jc w:val="both"/>
        <w:rPr>
          <w:rFonts w:asciiTheme="minorHAnsi" w:hAnsiTheme="minorHAnsi" w:cstheme="minorHAnsi"/>
          <w:sz w:val="22"/>
          <w:szCs w:val="22"/>
        </w:rPr>
      </w:pPr>
      <w:r w:rsidRPr="001D16B1">
        <w:rPr>
          <w:rFonts w:asciiTheme="minorHAnsi" w:hAnsiTheme="minorHAnsi" w:cstheme="minorHAnsi"/>
          <w:sz w:val="22"/>
          <w:szCs w:val="22"/>
        </w:rPr>
        <w:t xml:space="preserve">The well-established </w:t>
      </w:r>
      <w:r w:rsidRPr="001D16B1">
        <w:rPr>
          <w:rFonts w:asciiTheme="minorHAnsi" w:hAnsiTheme="minorHAnsi" w:cstheme="minorHAnsi"/>
          <w:b/>
          <w:sz w:val="22"/>
          <w:szCs w:val="22"/>
        </w:rPr>
        <w:t>transport</w:t>
      </w:r>
      <w:r w:rsidRPr="001D16B1">
        <w:rPr>
          <w:rFonts w:asciiTheme="minorHAnsi" w:hAnsiTheme="minorHAnsi" w:cstheme="minorHAnsi"/>
          <w:sz w:val="22"/>
          <w:szCs w:val="22"/>
        </w:rPr>
        <w:t xml:space="preserve"> program performed well, ensuring </w:t>
      </w:r>
      <w:r w:rsidR="00AE3CE1">
        <w:rPr>
          <w:rFonts w:asciiTheme="minorHAnsi" w:hAnsiTheme="minorHAnsi" w:cstheme="minorHAnsi"/>
          <w:sz w:val="22"/>
          <w:szCs w:val="22"/>
        </w:rPr>
        <w:t>better</w:t>
      </w:r>
      <w:r w:rsidRPr="001D16B1">
        <w:rPr>
          <w:rFonts w:asciiTheme="minorHAnsi" w:hAnsiTheme="minorHAnsi" w:cstheme="minorHAnsi"/>
          <w:sz w:val="22"/>
          <w:szCs w:val="22"/>
        </w:rPr>
        <w:t xml:space="preserve"> traffic </w:t>
      </w:r>
      <w:r>
        <w:rPr>
          <w:rFonts w:asciiTheme="minorHAnsi" w:hAnsiTheme="minorHAnsi" w:cstheme="minorHAnsi"/>
          <w:sz w:val="22"/>
          <w:szCs w:val="22"/>
        </w:rPr>
        <w:t>conditions</w:t>
      </w:r>
      <w:r w:rsidRPr="001D16B1">
        <w:rPr>
          <w:rFonts w:asciiTheme="minorHAnsi" w:hAnsiTheme="minorHAnsi" w:cstheme="minorHAnsi"/>
          <w:sz w:val="22"/>
          <w:szCs w:val="22"/>
        </w:rPr>
        <w:t xml:space="preserve"> along the crucial economic transp</w:t>
      </w:r>
      <w:r w:rsidR="00507DEE">
        <w:rPr>
          <w:rFonts w:asciiTheme="minorHAnsi" w:hAnsiTheme="minorHAnsi" w:cstheme="minorHAnsi"/>
          <w:sz w:val="22"/>
          <w:szCs w:val="22"/>
        </w:rPr>
        <w:t>ort corridor (Arawa to Kokopau). W</w:t>
      </w:r>
      <w:r w:rsidR="00AE3CE1">
        <w:rPr>
          <w:rFonts w:asciiTheme="minorHAnsi" w:hAnsiTheme="minorHAnsi" w:cstheme="minorHAnsi"/>
          <w:sz w:val="22"/>
          <w:szCs w:val="22"/>
        </w:rPr>
        <w:t xml:space="preserve">ith the benefit of the complementary JICA program of 15 concrete bridges operational, </w:t>
      </w:r>
      <w:r w:rsidR="00507DEE">
        <w:rPr>
          <w:rFonts w:asciiTheme="minorHAnsi" w:hAnsiTheme="minorHAnsi" w:cstheme="minorHAnsi"/>
          <w:sz w:val="22"/>
          <w:szCs w:val="22"/>
        </w:rPr>
        <w:t xml:space="preserve">the previous 9 hour </w:t>
      </w:r>
      <w:r w:rsidR="00AE3CE1">
        <w:rPr>
          <w:rFonts w:asciiTheme="minorHAnsi" w:hAnsiTheme="minorHAnsi" w:cstheme="minorHAnsi"/>
          <w:sz w:val="22"/>
          <w:szCs w:val="22"/>
        </w:rPr>
        <w:t xml:space="preserve">journey </w:t>
      </w:r>
      <w:r w:rsidR="00507DEE">
        <w:rPr>
          <w:rFonts w:asciiTheme="minorHAnsi" w:hAnsiTheme="minorHAnsi" w:cstheme="minorHAnsi"/>
          <w:sz w:val="22"/>
          <w:szCs w:val="22"/>
        </w:rPr>
        <w:t xml:space="preserve">is </w:t>
      </w:r>
      <w:r w:rsidR="00CA0E6D">
        <w:rPr>
          <w:rFonts w:asciiTheme="minorHAnsi" w:hAnsiTheme="minorHAnsi" w:cstheme="minorHAnsi"/>
          <w:sz w:val="22"/>
          <w:szCs w:val="22"/>
        </w:rPr>
        <w:t xml:space="preserve">now </w:t>
      </w:r>
      <w:r w:rsidR="00507DEE">
        <w:rPr>
          <w:rFonts w:asciiTheme="minorHAnsi" w:hAnsiTheme="minorHAnsi" w:cstheme="minorHAnsi"/>
          <w:sz w:val="22"/>
          <w:szCs w:val="22"/>
        </w:rPr>
        <w:t>reduced</w:t>
      </w:r>
      <w:r w:rsidR="00AE3CE1">
        <w:rPr>
          <w:rFonts w:asciiTheme="minorHAnsi" w:hAnsiTheme="minorHAnsi" w:cstheme="minorHAnsi"/>
          <w:sz w:val="22"/>
          <w:szCs w:val="22"/>
        </w:rPr>
        <w:t xml:space="preserve"> to just over 3 hours. </w:t>
      </w:r>
      <w:r w:rsidRPr="001D16B1">
        <w:rPr>
          <w:rFonts w:asciiTheme="minorHAnsi" w:hAnsiTheme="minorHAnsi" w:cstheme="minorHAnsi"/>
          <w:sz w:val="22"/>
          <w:szCs w:val="22"/>
        </w:rPr>
        <w:t xml:space="preserve">The coming year’s focus will be on </w:t>
      </w:r>
      <w:r w:rsidR="00AE3CE1">
        <w:rPr>
          <w:rFonts w:asciiTheme="minorHAnsi" w:hAnsiTheme="minorHAnsi" w:cstheme="minorHAnsi"/>
          <w:sz w:val="22"/>
          <w:szCs w:val="22"/>
        </w:rPr>
        <w:t>improving the essential</w:t>
      </w:r>
      <w:r w:rsidRPr="001D16B1">
        <w:rPr>
          <w:rFonts w:asciiTheme="minorHAnsi" w:hAnsiTheme="minorHAnsi" w:cstheme="minorHAnsi"/>
          <w:sz w:val="22"/>
          <w:szCs w:val="22"/>
        </w:rPr>
        <w:t xml:space="preserve"> </w:t>
      </w:r>
      <w:r>
        <w:rPr>
          <w:rFonts w:asciiTheme="minorHAnsi" w:hAnsiTheme="minorHAnsi" w:cstheme="minorHAnsi"/>
          <w:sz w:val="22"/>
          <w:szCs w:val="22"/>
        </w:rPr>
        <w:t>road infrastructure</w:t>
      </w:r>
      <w:r w:rsidRPr="001D16B1">
        <w:rPr>
          <w:rFonts w:asciiTheme="minorHAnsi" w:hAnsiTheme="minorHAnsi" w:cstheme="minorHAnsi"/>
          <w:sz w:val="22"/>
          <w:szCs w:val="22"/>
        </w:rPr>
        <w:t xml:space="preserve"> in </w:t>
      </w:r>
      <w:r w:rsidR="001731B2">
        <w:rPr>
          <w:rFonts w:asciiTheme="minorHAnsi" w:hAnsiTheme="minorHAnsi" w:cstheme="minorHAnsi"/>
          <w:sz w:val="22"/>
          <w:szCs w:val="22"/>
        </w:rPr>
        <w:t>South</w:t>
      </w:r>
      <w:r w:rsidRPr="001D16B1">
        <w:rPr>
          <w:rFonts w:asciiTheme="minorHAnsi" w:hAnsiTheme="minorHAnsi" w:cstheme="minorHAnsi"/>
          <w:sz w:val="22"/>
          <w:szCs w:val="22"/>
        </w:rPr>
        <w:t xml:space="preserve"> Bougainville</w:t>
      </w:r>
      <w:r w:rsidR="00AE3CE1">
        <w:rPr>
          <w:rFonts w:asciiTheme="minorHAnsi" w:hAnsiTheme="minorHAnsi" w:cstheme="minorHAnsi"/>
          <w:sz w:val="22"/>
          <w:szCs w:val="22"/>
        </w:rPr>
        <w:t>, particularly the southern loop road</w:t>
      </w:r>
      <w:r>
        <w:rPr>
          <w:rFonts w:asciiTheme="minorHAnsi" w:hAnsiTheme="minorHAnsi" w:cstheme="minorHAnsi"/>
          <w:sz w:val="22"/>
          <w:szCs w:val="22"/>
        </w:rPr>
        <w:t>.</w:t>
      </w:r>
    </w:p>
    <w:p w:rsidR="00DB6772" w:rsidRPr="001D16B1" w:rsidRDefault="00DB6772" w:rsidP="00DB6772">
      <w:pPr>
        <w:pStyle w:val="BodyText"/>
        <w:spacing w:after="120" w:line="240" w:lineRule="auto"/>
        <w:jc w:val="both"/>
        <w:rPr>
          <w:rFonts w:asciiTheme="minorHAnsi" w:hAnsiTheme="minorHAnsi" w:cstheme="minorHAnsi"/>
          <w:sz w:val="22"/>
          <w:szCs w:val="22"/>
        </w:rPr>
      </w:pPr>
      <w:r w:rsidRPr="001D16B1">
        <w:rPr>
          <w:rFonts w:asciiTheme="minorHAnsi" w:hAnsiTheme="minorHAnsi" w:cstheme="minorHAnsi"/>
          <w:sz w:val="22"/>
          <w:szCs w:val="22"/>
        </w:rPr>
        <w:t xml:space="preserve">Progress in the </w:t>
      </w:r>
      <w:r w:rsidRPr="001D16B1">
        <w:rPr>
          <w:rFonts w:asciiTheme="minorHAnsi" w:hAnsiTheme="minorHAnsi" w:cstheme="minorHAnsi"/>
          <w:b/>
          <w:sz w:val="22"/>
          <w:szCs w:val="22"/>
        </w:rPr>
        <w:t>health</w:t>
      </w:r>
      <w:r w:rsidRPr="001D16B1">
        <w:rPr>
          <w:rFonts w:asciiTheme="minorHAnsi" w:hAnsiTheme="minorHAnsi" w:cstheme="minorHAnsi"/>
          <w:sz w:val="22"/>
          <w:szCs w:val="22"/>
        </w:rPr>
        <w:t xml:space="preserve"> sector has </w:t>
      </w:r>
      <w:r>
        <w:rPr>
          <w:rFonts w:asciiTheme="minorHAnsi" w:hAnsiTheme="minorHAnsi" w:cstheme="minorHAnsi"/>
          <w:sz w:val="22"/>
          <w:szCs w:val="22"/>
        </w:rPr>
        <w:t xml:space="preserve">also </w:t>
      </w:r>
      <w:r w:rsidRPr="001D16B1">
        <w:rPr>
          <w:rFonts w:asciiTheme="minorHAnsi" w:hAnsiTheme="minorHAnsi" w:cstheme="minorHAnsi"/>
          <w:sz w:val="22"/>
          <w:szCs w:val="22"/>
        </w:rPr>
        <w:t xml:space="preserve">been sound, particularly following the deployment of a technical adviser in July 2013. Focus was given to diagnostic, planning and policy work, assessing the current state of the health system, and putting in place policies and plans to guide health planning. </w:t>
      </w:r>
      <w:r>
        <w:rPr>
          <w:rFonts w:asciiTheme="minorHAnsi" w:hAnsiTheme="minorHAnsi" w:cstheme="minorHAnsi"/>
          <w:sz w:val="22"/>
          <w:szCs w:val="22"/>
        </w:rPr>
        <w:t>This will facilitate the imp</w:t>
      </w:r>
      <w:r w:rsidRPr="001D16B1">
        <w:rPr>
          <w:rFonts w:asciiTheme="minorHAnsi" w:hAnsiTheme="minorHAnsi" w:cstheme="minorHAnsi"/>
          <w:sz w:val="22"/>
          <w:szCs w:val="22"/>
        </w:rPr>
        <w:t xml:space="preserve">lementation </w:t>
      </w:r>
      <w:r>
        <w:rPr>
          <w:rFonts w:asciiTheme="minorHAnsi" w:hAnsiTheme="minorHAnsi" w:cstheme="minorHAnsi"/>
          <w:sz w:val="22"/>
          <w:szCs w:val="22"/>
        </w:rPr>
        <w:t xml:space="preserve">of </w:t>
      </w:r>
      <w:r w:rsidRPr="001D16B1">
        <w:rPr>
          <w:rFonts w:asciiTheme="minorHAnsi" w:hAnsiTheme="minorHAnsi" w:cstheme="minorHAnsi"/>
          <w:sz w:val="22"/>
          <w:szCs w:val="22"/>
        </w:rPr>
        <w:t>activities in 2014-15</w:t>
      </w:r>
      <w:r>
        <w:rPr>
          <w:rFonts w:asciiTheme="minorHAnsi" w:hAnsiTheme="minorHAnsi" w:cstheme="minorHAnsi"/>
          <w:sz w:val="22"/>
          <w:szCs w:val="22"/>
        </w:rPr>
        <w:t>.</w:t>
      </w:r>
    </w:p>
    <w:p w:rsidR="00DB6772" w:rsidRPr="001D16B1" w:rsidRDefault="00DB6772" w:rsidP="00DB6772">
      <w:pPr>
        <w:pStyle w:val="BodyText"/>
        <w:spacing w:after="120" w:line="240" w:lineRule="auto"/>
        <w:jc w:val="both"/>
        <w:rPr>
          <w:rFonts w:asciiTheme="minorHAnsi" w:hAnsiTheme="minorHAnsi" w:cstheme="minorHAnsi"/>
          <w:sz w:val="22"/>
          <w:szCs w:val="22"/>
        </w:rPr>
      </w:pPr>
      <w:r w:rsidRPr="001D16B1">
        <w:rPr>
          <w:rFonts w:asciiTheme="minorHAnsi" w:hAnsiTheme="minorHAnsi" w:cstheme="minorHAnsi"/>
          <w:sz w:val="22"/>
          <w:szCs w:val="22"/>
        </w:rPr>
        <w:t xml:space="preserve">Good progress was made in the </w:t>
      </w:r>
      <w:r w:rsidRPr="001D16B1">
        <w:rPr>
          <w:rFonts w:asciiTheme="minorHAnsi" w:hAnsiTheme="minorHAnsi" w:cstheme="minorHAnsi"/>
          <w:b/>
          <w:sz w:val="22"/>
          <w:szCs w:val="22"/>
        </w:rPr>
        <w:t>law and justice</w:t>
      </w:r>
      <w:r w:rsidRPr="001D16B1">
        <w:rPr>
          <w:rFonts w:asciiTheme="minorHAnsi" w:hAnsiTheme="minorHAnsi" w:cstheme="minorHAnsi"/>
          <w:sz w:val="22"/>
          <w:szCs w:val="22"/>
        </w:rPr>
        <w:t xml:space="preserve"> sector. A strong infrastructure program was delivered to facilitate the extension of law and justice services, including policing. Similarly, substantial training activities were undertaken to upgrade skills, and preparations made for village court training. Importantly, agreement was reached on a Bougainville Police Service (BPS) action plan (drafted with Australian assistance) to develop policing capacity. This will be implemented in 2014-15, with a focus on facilitating recruitment into the BPS. </w:t>
      </w:r>
    </w:p>
    <w:p w:rsidR="00DB6772" w:rsidRPr="001D16B1" w:rsidRDefault="00DB6772" w:rsidP="00DB6772">
      <w:pPr>
        <w:pStyle w:val="BodyText"/>
        <w:spacing w:after="120" w:line="240" w:lineRule="auto"/>
        <w:jc w:val="both"/>
        <w:rPr>
          <w:rFonts w:asciiTheme="minorHAnsi" w:hAnsiTheme="minorHAnsi" w:cstheme="minorHAnsi"/>
          <w:sz w:val="22"/>
          <w:szCs w:val="22"/>
        </w:rPr>
      </w:pPr>
      <w:r w:rsidRPr="001D16B1">
        <w:rPr>
          <w:rFonts w:asciiTheme="minorHAnsi" w:hAnsiTheme="minorHAnsi" w:cstheme="minorHAnsi"/>
          <w:sz w:val="22"/>
          <w:szCs w:val="22"/>
        </w:rPr>
        <w:t xml:space="preserve">The </w:t>
      </w:r>
      <w:r w:rsidRPr="001D16B1">
        <w:rPr>
          <w:rFonts w:asciiTheme="minorHAnsi" w:hAnsiTheme="minorHAnsi" w:cstheme="minorHAnsi"/>
          <w:b/>
          <w:sz w:val="22"/>
          <w:szCs w:val="22"/>
        </w:rPr>
        <w:t>education</w:t>
      </w:r>
      <w:r w:rsidRPr="001D16B1">
        <w:rPr>
          <w:rFonts w:asciiTheme="minorHAnsi" w:hAnsiTheme="minorHAnsi" w:cstheme="minorHAnsi"/>
          <w:sz w:val="22"/>
          <w:szCs w:val="22"/>
        </w:rPr>
        <w:t xml:space="preserve"> program completed its Bougainville component of a nation-wide elementary school infrastructure program. The Governance and Implementation Fund (GIF) also undertook a pilot adult literacy program that is showing encouraging results. However, the education program needs to strengthen engagement in Bougainville, tailoring its </w:t>
      </w:r>
      <w:r w:rsidR="00AF49C3">
        <w:rPr>
          <w:rFonts w:asciiTheme="minorHAnsi" w:hAnsiTheme="minorHAnsi" w:cstheme="minorHAnsi"/>
          <w:sz w:val="22"/>
          <w:szCs w:val="22"/>
        </w:rPr>
        <w:t>support</w:t>
      </w:r>
      <w:r w:rsidRPr="001D16B1">
        <w:rPr>
          <w:rFonts w:asciiTheme="minorHAnsi" w:hAnsiTheme="minorHAnsi" w:cstheme="minorHAnsi"/>
          <w:sz w:val="22"/>
          <w:szCs w:val="22"/>
        </w:rPr>
        <w:t xml:space="preserve"> to the Bougainville context and scaling up to meet the greatest needs in the sector. </w:t>
      </w:r>
    </w:p>
    <w:p w:rsidR="00DB6772" w:rsidRPr="001D16B1" w:rsidRDefault="00DB6772" w:rsidP="00DB6772">
      <w:pPr>
        <w:pStyle w:val="BodyText"/>
        <w:spacing w:after="120" w:line="240" w:lineRule="auto"/>
        <w:jc w:val="both"/>
        <w:rPr>
          <w:rFonts w:asciiTheme="minorHAnsi" w:hAnsiTheme="minorHAnsi" w:cstheme="minorHAnsi"/>
          <w:sz w:val="22"/>
          <w:szCs w:val="22"/>
        </w:rPr>
      </w:pPr>
      <w:r w:rsidRPr="001D16B1">
        <w:rPr>
          <w:rFonts w:asciiTheme="minorHAnsi" w:hAnsiTheme="minorHAnsi" w:cstheme="minorHAnsi"/>
          <w:sz w:val="22"/>
          <w:szCs w:val="22"/>
        </w:rPr>
        <w:t xml:space="preserve">In </w:t>
      </w:r>
      <w:r w:rsidRPr="001D16B1">
        <w:rPr>
          <w:rFonts w:asciiTheme="minorHAnsi" w:hAnsiTheme="minorHAnsi" w:cstheme="minorHAnsi"/>
          <w:b/>
          <w:sz w:val="22"/>
          <w:szCs w:val="22"/>
        </w:rPr>
        <w:t>governance</w:t>
      </w:r>
      <w:r w:rsidRPr="001D16B1">
        <w:rPr>
          <w:rFonts w:asciiTheme="minorHAnsi" w:hAnsiTheme="minorHAnsi" w:cstheme="minorHAnsi"/>
          <w:sz w:val="22"/>
          <w:szCs w:val="22"/>
        </w:rPr>
        <w:t>, Australian assistance helped the ABG reach a number of important milestones, including the establishment of the Bougainville Public Service and the transfer of financial management powers from the national government to the ABG. Australia also supported improvements to overall government coordination</w:t>
      </w:r>
      <w:r>
        <w:rPr>
          <w:rFonts w:asciiTheme="minorHAnsi" w:hAnsiTheme="minorHAnsi" w:cstheme="minorHAnsi"/>
          <w:sz w:val="22"/>
          <w:szCs w:val="22"/>
        </w:rPr>
        <w:t xml:space="preserve"> and</w:t>
      </w:r>
      <w:r w:rsidRPr="001D16B1">
        <w:rPr>
          <w:rFonts w:asciiTheme="minorHAnsi" w:hAnsiTheme="minorHAnsi" w:cstheme="minorHAnsi"/>
          <w:sz w:val="22"/>
          <w:szCs w:val="22"/>
        </w:rPr>
        <w:t xml:space="preserve"> the management of infrastructure delivery. A number of challenges lie ahead - including a major recruitment exercise for the new public service. Australia will need to implement a revised advisory support package, with a greater focus on skills transfer and accountability. However, Bougainville’s capacity to absorb support – and retain capacity once built – will remain an issue. Innovative ways to overcome this may include assistance to the ABG to outsource select corporate functions, enabling service delivery partnerships, and developing a cadet program to rebuild capacity over the long-term. Australia will also help to strengthen local-level participation, leadership and planning to assist the ABG to be mo</w:t>
      </w:r>
      <w:r w:rsidR="00CA0E6D">
        <w:rPr>
          <w:rFonts w:asciiTheme="minorHAnsi" w:hAnsiTheme="minorHAnsi" w:cstheme="minorHAnsi"/>
          <w:sz w:val="22"/>
          <w:szCs w:val="22"/>
        </w:rPr>
        <w:t>re responsive and accountable</w:t>
      </w:r>
      <w:r w:rsidRPr="001D16B1">
        <w:rPr>
          <w:rFonts w:asciiTheme="minorHAnsi" w:hAnsiTheme="minorHAnsi" w:cstheme="minorHAnsi"/>
          <w:sz w:val="22"/>
          <w:szCs w:val="22"/>
        </w:rPr>
        <w:t xml:space="preserve"> to communities. </w:t>
      </w:r>
    </w:p>
    <w:p w:rsidR="00DB6772" w:rsidRPr="001D16B1" w:rsidRDefault="00DB6772" w:rsidP="00DB6772">
      <w:pPr>
        <w:pStyle w:val="BodyText"/>
        <w:spacing w:after="120" w:line="240" w:lineRule="auto"/>
        <w:jc w:val="both"/>
        <w:rPr>
          <w:rFonts w:asciiTheme="minorHAnsi" w:hAnsiTheme="minorHAnsi" w:cstheme="minorHAnsi"/>
          <w:sz w:val="22"/>
          <w:szCs w:val="22"/>
        </w:rPr>
      </w:pPr>
      <w:r w:rsidRPr="001D16B1">
        <w:rPr>
          <w:rFonts w:asciiTheme="minorHAnsi" w:hAnsiTheme="minorHAnsi" w:cstheme="minorHAnsi"/>
          <w:sz w:val="22"/>
          <w:szCs w:val="22"/>
        </w:rPr>
        <w:t xml:space="preserve">Attention to </w:t>
      </w:r>
      <w:r w:rsidRPr="001D16B1">
        <w:rPr>
          <w:rFonts w:asciiTheme="minorHAnsi" w:hAnsiTheme="minorHAnsi" w:cstheme="minorHAnsi"/>
          <w:b/>
          <w:sz w:val="22"/>
          <w:szCs w:val="22"/>
        </w:rPr>
        <w:t>peace building</w:t>
      </w:r>
      <w:r w:rsidRPr="001D16B1">
        <w:rPr>
          <w:rFonts w:asciiTheme="minorHAnsi" w:hAnsiTheme="minorHAnsi" w:cstheme="minorHAnsi"/>
          <w:sz w:val="22"/>
          <w:szCs w:val="22"/>
        </w:rPr>
        <w:t xml:space="preserve"> issues, including communication on the BPA, increased in 2013</w:t>
      </w:r>
      <w:r w:rsidRPr="001D16B1">
        <w:rPr>
          <w:rFonts w:asciiTheme="minorHAnsi" w:hAnsiTheme="minorHAnsi" w:cstheme="minorHAnsi"/>
          <w:sz w:val="22"/>
          <w:szCs w:val="22"/>
        </w:rPr>
        <w:noBreakHyphen/>
        <w:t>14. The Panguna Peace Building Strategy (PPBS</w:t>
      </w:r>
      <w:r>
        <w:rPr>
          <w:rFonts w:asciiTheme="minorHAnsi" w:hAnsiTheme="minorHAnsi" w:cstheme="minorHAnsi"/>
          <w:sz w:val="22"/>
          <w:szCs w:val="22"/>
        </w:rPr>
        <w:t>)</w:t>
      </w:r>
      <w:r w:rsidRPr="001D16B1">
        <w:rPr>
          <w:rFonts w:asciiTheme="minorHAnsi" w:hAnsiTheme="minorHAnsi" w:cstheme="minorHAnsi"/>
          <w:sz w:val="22"/>
          <w:szCs w:val="22"/>
        </w:rPr>
        <w:t xml:space="preserve"> – a partnership between the ABG and Australia, managed through the </w:t>
      </w:r>
      <w:r>
        <w:rPr>
          <w:rFonts w:asciiTheme="minorHAnsi" w:hAnsiTheme="minorHAnsi" w:cstheme="minorHAnsi"/>
          <w:sz w:val="22"/>
          <w:szCs w:val="22"/>
        </w:rPr>
        <w:t>Strongim Pipol Strongim Nesen (</w:t>
      </w:r>
      <w:r w:rsidRPr="001D16B1">
        <w:rPr>
          <w:rFonts w:asciiTheme="minorHAnsi" w:hAnsiTheme="minorHAnsi" w:cstheme="minorHAnsi"/>
          <w:sz w:val="22"/>
          <w:szCs w:val="22"/>
        </w:rPr>
        <w:t>SPSN</w:t>
      </w:r>
      <w:r>
        <w:rPr>
          <w:rFonts w:asciiTheme="minorHAnsi" w:hAnsiTheme="minorHAnsi" w:cstheme="minorHAnsi"/>
          <w:sz w:val="22"/>
          <w:szCs w:val="22"/>
        </w:rPr>
        <w:t>)</w:t>
      </w:r>
      <w:r w:rsidRPr="001D16B1">
        <w:rPr>
          <w:rFonts w:asciiTheme="minorHAnsi" w:hAnsiTheme="minorHAnsi" w:cstheme="minorHAnsi"/>
          <w:sz w:val="22"/>
          <w:szCs w:val="22"/>
        </w:rPr>
        <w:t xml:space="preserve"> program</w:t>
      </w:r>
      <w:r>
        <w:rPr>
          <w:rFonts w:asciiTheme="minorHAnsi" w:hAnsiTheme="minorHAnsi" w:cstheme="minorHAnsi"/>
          <w:sz w:val="22"/>
          <w:szCs w:val="22"/>
        </w:rPr>
        <w:t>,</w:t>
      </w:r>
      <w:r w:rsidRPr="001D16B1">
        <w:rPr>
          <w:rFonts w:asciiTheme="minorHAnsi" w:hAnsiTheme="minorHAnsi" w:cstheme="minorHAnsi"/>
          <w:sz w:val="22"/>
          <w:szCs w:val="22"/>
        </w:rPr>
        <w:t xml:space="preserve"> has helped progress Panguna area reconciliations and the mainstreaming of non-state actors into state structures. The program will be expanded to parts of South Bougainville in the coming year following recent written endorsement by relevant leaders. On broader peace building efforts, ABG leadership remains the critical ingredient to improving</w:t>
      </w:r>
      <w:r>
        <w:rPr>
          <w:rFonts w:asciiTheme="minorHAnsi" w:hAnsiTheme="minorHAnsi" w:cstheme="minorHAnsi"/>
          <w:sz w:val="22"/>
          <w:szCs w:val="22"/>
        </w:rPr>
        <w:t xml:space="preserve"> coordination and effectiveness</w:t>
      </w:r>
      <w:r w:rsidRPr="001D16B1">
        <w:rPr>
          <w:rFonts w:asciiTheme="minorHAnsi" w:hAnsiTheme="minorHAnsi" w:cstheme="minorHAnsi"/>
          <w:sz w:val="22"/>
          <w:szCs w:val="22"/>
        </w:rPr>
        <w:t xml:space="preserve">. The UN has an important role in this, particularly through the UN Peace Building Fund (PBF). </w:t>
      </w:r>
    </w:p>
    <w:p w:rsidR="00DB6772" w:rsidRPr="001D16B1" w:rsidRDefault="00DB6772" w:rsidP="00DB6772">
      <w:pPr>
        <w:spacing w:after="120"/>
        <w:jc w:val="both"/>
        <w:rPr>
          <w:rFonts w:asciiTheme="minorHAnsi" w:hAnsiTheme="minorHAnsi" w:cstheme="minorHAnsi"/>
          <w:b/>
          <w:sz w:val="22"/>
          <w:szCs w:val="22"/>
          <w:lang w:val="en"/>
        </w:rPr>
      </w:pPr>
      <w:r w:rsidRPr="001D16B1">
        <w:rPr>
          <w:rFonts w:asciiTheme="minorHAnsi" w:hAnsiTheme="minorHAnsi" w:cstheme="minorHAnsi"/>
          <w:b/>
          <w:sz w:val="22"/>
          <w:szCs w:val="22"/>
          <w:lang w:val="en"/>
        </w:rPr>
        <w:t>Key Risks and Challenges</w:t>
      </w:r>
    </w:p>
    <w:p w:rsidR="00DB6772" w:rsidRPr="001D16B1" w:rsidRDefault="00DB6772" w:rsidP="00DB6772">
      <w:pPr>
        <w:pStyle w:val="BodyText"/>
        <w:spacing w:after="120" w:line="240" w:lineRule="auto"/>
        <w:jc w:val="both"/>
        <w:rPr>
          <w:rFonts w:asciiTheme="minorHAnsi" w:hAnsiTheme="minorHAnsi" w:cstheme="minorHAnsi"/>
          <w:b/>
          <w:sz w:val="22"/>
          <w:szCs w:val="22"/>
        </w:rPr>
      </w:pPr>
      <w:r w:rsidRPr="001D16B1">
        <w:rPr>
          <w:rFonts w:asciiTheme="minorHAnsi" w:hAnsiTheme="minorHAnsi" w:cstheme="minorHAnsi"/>
          <w:sz w:val="22"/>
          <w:szCs w:val="22"/>
          <w:lang w:val="en"/>
        </w:rPr>
        <w:t>The year ahead</w:t>
      </w:r>
      <w:r w:rsidRPr="001D16B1">
        <w:rPr>
          <w:rFonts w:asciiTheme="minorHAnsi" w:hAnsiTheme="minorHAnsi" w:cstheme="minorHAnsi"/>
          <w:sz w:val="22"/>
          <w:szCs w:val="22"/>
        </w:rPr>
        <w:t xml:space="preserve"> will be another challenging one for Bougainville. </w:t>
      </w:r>
      <w:r w:rsidR="00AF49C3">
        <w:rPr>
          <w:rFonts w:asciiTheme="minorHAnsi" w:hAnsiTheme="minorHAnsi" w:cstheme="minorHAnsi"/>
          <w:sz w:val="22"/>
          <w:szCs w:val="22"/>
        </w:rPr>
        <w:t>Limited</w:t>
      </w:r>
      <w:r w:rsidRPr="001D16B1">
        <w:rPr>
          <w:rFonts w:asciiTheme="minorHAnsi" w:hAnsiTheme="minorHAnsi" w:cstheme="minorHAnsi"/>
          <w:sz w:val="22"/>
          <w:szCs w:val="22"/>
        </w:rPr>
        <w:t xml:space="preserve"> government </w:t>
      </w:r>
      <w:r>
        <w:rPr>
          <w:rFonts w:asciiTheme="minorHAnsi" w:hAnsiTheme="minorHAnsi" w:cstheme="minorHAnsi"/>
          <w:sz w:val="22"/>
          <w:szCs w:val="22"/>
        </w:rPr>
        <w:t xml:space="preserve">capacity and reach across Bougainville; </w:t>
      </w:r>
      <w:r w:rsidRPr="001D16B1">
        <w:rPr>
          <w:rFonts w:asciiTheme="minorHAnsi" w:hAnsiTheme="minorHAnsi" w:cstheme="minorHAnsi"/>
          <w:sz w:val="22"/>
          <w:szCs w:val="22"/>
        </w:rPr>
        <w:t xml:space="preserve">an under-educated and disengaged ‘lost generation’ and vulnerable youth population; poor infrastructure and access to services; limited economic and employment opportunities; </w:t>
      </w:r>
      <w:r>
        <w:rPr>
          <w:rFonts w:asciiTheme="minorHAnsi" w:hAnsiTheme="minorHAnsi" w:cstheme="minorHAnsi"/>
          <w:sz w:val="22"/>
          <w:szCs w:val="22"/>
        </w:rPr>
        <w:t xml:space="preserve">unresolved grievances from the crisis; </w:t>
      </w:r>
      <w:r w:rsidRPr="001D16B1">
        <w:rPr>
          <w:rFonts w:asciiTheme="minorHAnsi" w:hAnsiTheme="minorHAnsi" w:cstheme="minorHAnsi"/>
          <w:sz w:val="22"/>
          <w:szCs w:val="22"/>
        </w:rPr>
        <w:t xml:space="preserve">and factions that remain outside the peace </w:t>
      </w:r>
      <w:r w:rsidRPr="001D16B1">
        <w:rPr>
          <w:rFonts w:asciiTheme="minorHAnsi" w:hAnsiTheme="minorHAnsi" w:cstheme="minorHAnsi"/>
          <w:sz w:val="22"/>
          <w:szCs w:val="22"/>
        </w:rPr>
        <w:lastRenderedPageBreak/>
        <w:t>process and mainstream democratic processes are among the key challenges that will impact on development outcomes.</w:t>
      </w:r>
    </w:p>
    <w:p w:rsidR="00DB6772" w:rsidRPr="001D16B1" w:rsidRDefault="00DB6772" w:rsidP="00DB6772">
      <w:pPr>
        <w:spacing w:after="120"/>
        <w:ind w:left="68" w:hanging="68"/>
        <w:jc w:val="both"/>
        <w:rPr>
          <w:rFonts w:asciiTheme="minorHAnsi" w:hAnsiTheme="minorHAnsi" w:cstheme="minorHAnsi"/>
          <w:b/>
          <w:sz w:val="22"/>
          <w:szCs w:val="22"/>
        </w:rPr>
      </w:pPr>
      <w:r w:rsidRPr="001D16B1">
        <w:rPr>
          <w:rFonts w:asciiTheme="minorHAnsi" w:hAnsiTheme="minorHAnsi" w:cstheme="minorHAnsi"/>
          <w:b/>
          <w:sz w:val="22"/>
          <w:szCs w:val="22"/>
        </w:rPr>
        <w:t xml:space="preserve">Way </w:t>
      </w:r>
      <w:r w:rsidR="00CD0AEF">
        <w:rPr>
          <w:rFonts w:asciiTheme="minorHAnsi" w:hAnsiTheme="minorHAnsi" w:cstheme="minorHAnsi"/>
          <w:b/>
          <w:sz w:val="22"/>
          <w:szCs w:val="22"/>
        </w:rPr>
        <w:t>F</w:t>
      </w:r>
      <w:r w:rsidRPr="001D16B1">
        <w:rPr>
          <w:rFonts w:asciiTheme="minorHAnsi" w:hAnsiTheme="minorHAnsi" w:cstheme="minorHAnsi"/>
          <w:b/>
          <w:sz w:val="22"/>
          <w:szCs w:val="22"/>
        </w:rPr>
        <w:t>orward/Management Consequences</w:t>
      </w:r>
    </w:p>
    <w:p w:rsidR="00DB6772" w:rsidRPr="001D16B1" w:rsidRDefault="00DB6772" w:rsidP="00DB6772">
      <w:pPr>
        <w:pStyle w:val="BodyText"/>
        <w:spacing w:after="120" w:line="240" w:lineRule="auto"/>
        <w:jc w:val="both"/>
        <w:rPr>
          <w:rFonts w:asciiTheme="minorHAnsi" w:hAnsiTheme="minorHAnsi" w:cstheme="minorHAnsi"/>
          <w:sz w:val="22"/>
          <w:szCs w:val="22"/>
        </w:rPr>
      </w:pPr>
      <w:r w:rsidRPr="001D16B1">
        <w:rPr>
          <w:rFonts w:asciiTheme="minorHAnsi" w:hAnsiTheme="minorHAnsi" w:cstheme="minorHAnsi"/>
          <w:sz w:val="22"/>
          <w:szCs w:val="22"/>
        </w:rPr>
        <w:t>A more consistent performance across Australia’s sectoral programs in Bougainville will be needed in 2014-15.  Priority will be given to:</w:t>
      </w:r>
    </w:p>
    <w:p w:rsidR="00AF49C3" w:rsidRPr="00894779" w:rsidRDefault="00AF49C3" w:rsidP="00AF49C3">
      <w:pPr>
        <w:pStyle w:val="BodyText"/>
        <w:numPr>
          <w:ilvl w:val="0"/>
          <w:numId w:val="28"/>
        </w:numPr>
        <w:spacing w:after="120" w:line="240" w:lineRule="auto"/>
        <w:jc w:val="both"/>
        <w:rPr>
          <w:rFonts w:asciiTheme="minorHAnsi" w:hAnsiTheme="minorHAnsi" w:cstheme="minorHAnsi"/>
          <w:sz w:val="22"/>
          <w:szCs w:val="22"/>
        </w:rPr>
      </w:pPr>
      <w:r>
        <w:rPr>
          <w:rFonts w:asciiTheme="minorHAnsi" w:hAnsiTheme="minorHAnsi" w:cstheme="minorHAnsi"/>
          <w:sz w:val="22"/>
          <w:szCs w:val="22"/>
        </w:rPr>
        <w:t xml:space="preserve">Developing a plan </w:t>
      </w:r>
      <w:r w:rsidRPr="00894779">
        <w:rPr>
          <w:rFonts w:asciiTheme="minorHAnsi" w:hAnsiTheme="minorHAnsi" w:cstheme="minorHAnsi"/>
          <w:sz w:val="22"/>
          <w:szCs w:val="22"/>
        </w:rPr>
        <w:t>for the longer term, overarching delivery</w:t>
      </w:r>
      <w:r w:rsidR="00C00367" w:rsidRPr="00894779">
        <w:rPr>
          <w:rFonts w:asciiTheme="minorHAnsi" w:hAnsiTheme="minorHAnsi" w:cstheme="minorHAnsi"/>
          <w:sz w:val="22"/>
          <w:szCs w:val="22"/>
        </w:rPr>
        <w:t xml:space="preserve"> of </w:t>
      </w:r>
      <w:r w:rsidRPr="00894779">
        <w:rPr>
          <w:rFonts w:asciiTheme="minorHAnsi" w:hAnsiTheme="minorHAnsi" w:cstheme="minorHAnsi"/>
          <w:sz w:val="22"/>
          <w:szCs w:val="22"/>
        </w:rPr>
        <w:t>Australia’s assistance to Bougainville  from 2015 to 2020 and corresponding monitoring and evaluation framework, performance benchmarks and mutual commitments;</w:t>
      </w:r>
    </w:p>
    <w:p w:rsidR="00AF49C3" w:rsidRPr="00894779" w:rsidRDefault="00AF49C3" w:rsidP="00AF49C3">
      <w:pPr>
        <w:pStyle w:val="BodyText"/>
        <w:numPr>
          <w:ilvl w:val="0"/>
          <w:numId w:val="28"/>
        </w:numPr>
        <w:spacing w:after="120" w:line="240" w:lineRule="auto"/>
        <w:jc w:val="both"/>
        <w:rPr>
          <w:rFonts w:asciiTheme="minorHAnsi" w:hAnsiTheme="minorHAnsi" w:cstheme="minorHAnsi"/>
          <w:sz w:val="22"/>
          <w:szCs w:val="22"/>
        </w:rPr>
      </w:pPr>
      <w:r w:rsidRPr="00894779">
        <w:rPr>
          <w:rFonts w:asciiTheme="minorHAnsi" w:hAnsiTheme="minorHAnsi" w:cstheme="minorHAnsi"/>
          <w:sz w:val="22"/>
          <w:szCs w:val="22"/>
        </w:rPr>
        <w:t xml:space="preserve">Preparing sector work plans to manage delivery of a scaled-up </w:t>
      </w:r>
      <w:r w:rsidR="00660884" w:rsidRPr="00894779">
        <w:rPr>
          <w:rFonts w:asciiTheme="minorHAnsi" w:hAnsiTheme="minorHAnsi" w:cstheme="minorHAnsi"/>
          <w:sz w:val="22"/>
          <w:szCs w:val="22"/>
        </w:rPr>
        <w:t>Australian assistance to Bougainville</w:t>
      </w:r>
      <w:r w:rsidRPr="00894779">
        <w:rPr>
          <w:rFonts w:asciiTheme="minorHAnsi" w:hAnsiTheme="minorHAnsi" w:cstheme="minorHAnsi"/>
          <w:sz w:val="22"/>
          <w:szCs w:val="22"/>
        </w:rPr>
        <w:t xml:space="preserve"> to improve monitoring of progress and provide greater </w:t>
      </w:r>
      <w:r w:rsidR="002E4B92" w:rsidRPr="00894779">
        <w:rPr>
          <w:rFonts w:asciiTheme="minorHAnsi" w:hAnsiTheme="minorHAnsi" w:cstheme="minorHAnsi"/>
          <w:sz w:val="22"/>
          <w:szCs w:val="22"/>
        </w:rPr>
        <w:t>transparency and accountability;</w:t>
      </w:r>
    </w:p>
    <w:p w:rsidR="00AF49C3" w:rsidRPr="00894779" w:rsidRDefault="00AF49C3" w:rsidP="00AF49C3">
      <w:pPr>
        <w:numPr>
          <w:ilvl w:val="0"/>
          <w:numId w:val="28"/>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Scaling up assistance in education, with a short-term focus on school infrastructure and TVET and a longer-term focus on strategic planning for i</w:t>
      </w:r>
      <w:r w:rsidR="002E4B92" w:rsidRPr="00894779">
        <w:rPr>
          <w:rFonts w:asciiTheme="minorHAnsi" w:hAnsiTheme="minorHAnsi" w:cstheme="minorHAnsi"/>
          <w:sz w:val="22"/>
          <w:szCs w:val="22"/>
        </w:rPr>
        <w:t>mproved outcomes in the sector;</w:t>
      </w:r>
    </w:p>
    <w:p w:rsidR="00AF49C3" w:rsidRPr="00894779" w:rsidRDefault="00AF49C3" w:rsidP="00AF49C3">
      <w:pPr>
        <w:numPr>
          <w:ilvl w:val="0"/>
          <w:numId w:val="28"/>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Offering increased support for policin</w:t>
      </w:r>
      <w:r w:rsidR="002E4B92" w:rsidRPr="00894779">
        <w:rPr>
          <w:rFonts w:asciiTheme="minorHAnsi" w:hAnsiTheme="minorHAnsi" w:cstheme="minorHAnsi"/>
          <w:sz w:val="22"/>
          <w:szCs w:val="22"/>
        </w:rPr>
        <w:t>g;</w:t>
      </w:r>
    </w:p>
    <w:p w:rsidR="00AF49C3" w:rsidRPr="00894779" w:rsidRDefault="00AF49C3" w:rsidP="00AF49C3">
      <w:pPr>
        <w:numPr>
          <w:ilvl w:val="0"/>
          <w:numId w:val="28"/>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Extending the governance program to the local level to foster greater community participation in, and accountability of government; linked to increased support for effective planning, procurement, public financial management and audit processes for the</w:t>
      </w:r>
      <w:r w:rsidR="002E4B92" w:rsidRPr="00894779">
        <w:rPr>
          <w:rFonts w:asciiTheme="minorHAnsi" w:hAnsiTheme="minorHAnsi" w:cstheme="minorHAnsi"/>
          <w:sz w:val="22"/>
          <w:szCs w:val="22"/>
        </w:rPr>
        <w:t xml:space="preserve"> administration;</w:t>
      </w:r>
    </w:p>
    <w:p w:rsidR="00AF49C3" w:rsidRPr="00894779" w:rsidRDefault="00AF49C3" w:rsidP="00AF49C3">
      <w:pPr>
        <w:numPr>
          <w:ilvl w:val="0"/>
          <w:numId w:val="28"/>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Assisting the ABG to prepare for the 2015 ABG elections and support a post-election induction program for Minist</w:t>
      </w:r>
      <w:r w:rsidR="002E4B92" w:rsidRPr="00894779">
        <w:rPr>
          <w:rFonts w:asciiTheme="minorHAnsi" w:hAnsiTheme="minorHAnsi" w:cstheme="minorHAnsi"/>
          <w:sz w:val="22"/>
          <w:szCs w:val="22"/>
        </w:rPr>
        <w:t>ers and senior public servants;</w:t>
      </w:r>
    </w:p>
    <w:p w:rsidR="00AF49C3" w:rsidRPr="00894779" w:rsidRDefault="00AF49C3" w:rsidP="00AF49C3">
      <w:pPr>
        <w:numPr>
          <w:ilvl w:val="0"/>
          <w:numId w:val="28"/>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Redesigning the Australian and New Zealand funded Governance and Implementation Fund to reflect the evolving Bougainv</w:t>
      </w:r>
      <w:r w:rsidR="002E4B92" w:rsidRPr="00894779">
        <w:rPr>
          <w:rFonts w:asciiTheme="minorHAnsi" w:hAnsiTheme="minorHAnsi" w:cstheme="minorHAnsi"/>
          <w:sz w:val="22"/>
          <w:szCs w:val="22"/>
        </w:rPr>
        <w:t>ille context as 2020 approaches;</w:t>
      </w:r>
    </w:p>
    <w:p w:rsidR="00AF49C3" w:rsidRPr="00894779" w:rsidRDefault="00AF49C3" w:rsidP="00AF49C3">
      <w:pPr>
        <w:numPr>
          <w:ilvl w:val="0"/>
          <w:numId w:val="28"/>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 xml:space="preserve">Expanding economic development assistance for Bougainville to support private sector engagement, women’s economic empowerment, small business development </w:t>
      </w:r>
      <w:r w:rsidR="002E4B92" w:rsidRPr="00894779">
        <w:rPr>
          <w:rFonts w:asciiTheme="minorHAnsi" w:hAnsiTheme="minorHAnsi" w:cstheme="minorHAnsi"/>
          <w:sz w:val="22"/>
          <w:szCs w:val="22"/>
        </w:rPr>
        <w:t>and enablers of economic growth; and</w:t>
      </w:r>
      <w:r w:rsidRPr="00894779">
        <w:rPr>
          <w:rFonts w:asciiTheme="minorHAnsi" w:hAnsiTheme="minorHAnsi" w:cstheme="minorHAnsi"/>
          <w:sz w:val="22"/>
          <w:szCs w:val="22"/>
        </w:rPr>
        <w:t xml:space="preserve"> </w:t>
      </w:r>
    </w:p>
    <w:p w:rsidR="00F5780E" w:rsidRPr="00894779" w:rsidRDefault="00AF49C3" w:rsidP="00105FEF">
      <w:pPr>
        <w:numPr>
          <w:ilvl w:val="0"/>
          <w:numId w:val="28"/>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 xml:space="preserve">Working with the ABG to increase engagement with multilateral financial institutions such as the World Bank, ADB and IMF to support improved economic management. </w:t>
      </w:r>
    </w:p>
    <w:p w:rsidR="002B0F30" w:rsidRPr="00C6565D" w:rsidRDefault="00AF137D" w:rsidP="00164E82">
      <w:pPr>
        <w:pStyle w:val="Heading3"/>
      </w:pPr>
      <w:r>
        <w:t xml:space="preserve">Program Quality and Management </w:t>
      </w:r>
      <w:r w:rsidR="002E32F8">
        <w:t>and Quality at Implementation Analysis</w:t>
      </w:r>
    </w:p>
    <w:p w:rsidR="00D65630" w:rsidRPr="00B47B50" w:rsidRDefault="00111366" w:rsidP="00271EF3">
      <w:pPr>
        <w:pStyle w:val="ListBullet"/>
        <w:numPr>
          <w:ilvl w:val="0"/>
          <w:numId w:val="0"/>
        </w:numPr>
        <w:spacing w:line="240" w:lineRule="auto"/>
        <w:jc w:val="both"/>
        <w:rPr>
          <w:rFonts w:asciiTheme="minorHAnsi" w:hAnsiTheme="minorHAnsi" w:cstheme="minorHAnsi"/>
          <w:sz w:val="22"/>
          <w:szCs w:val="22"/>
        </w:rPr>
      </w:pPr>
      <w:r w:rsidRPr="00B47B50">
        <w:rPr>
          <w:rFonts w:asciiTheme="minorHAnsi" w:hAnsiTheme="minorHAnsi" w:cstheme="minorHAnsi"/>
          <w:sz w:val="22"/>
          <w:szCs w:val="22"/>
        </w:rPr>
        <w:t xml:space="preserve">The PNG-Australia Partnership for </w:t>
      </w:r>
      <w:r w:rsidR="003B3EDD" w:rsidRPr="00B47B50">
        <w:rPr>
          <w:rFonts w:asciiTheme="minorHAnsi" w:hAnsiTheme="minorHAnsi" w:cstheme="minorHAnsi"/>
          <w:sz w:val="22"/>
          <w:szCs w:val="22"/>
        </w:rPr>
        <w:t>Development sets</w:t>
      </w:r>
      <w:r w:rsidRPr="00B47B50">
        <w:rPr>
          <w:rFonts w:asciiTheme="minorHAnsi" w:hAnsiTheme="minorHAnsi" w:cstheme="minorHAnsi"/>
          <w:sz w:val="22"/>
          <w:szCs w:val="22"/>
        </w:rPr>
        <w:t xml:space="preserve"> the overall strategy for </w:t>
      </w:r>
      <w:r w:rsidR="003B3EDD" w:rsidRPr="00B47B50">
        <w:rPr>
          <w:rFonts w:asciiTheme="minorHAnsi" w:hAnsiTheme="minorHAnsi" w:cstheme="minorHAnsi"/>
          <w:sz w:val="22"/>
          <w:szCs w:val="22"/>
        </w:rPr>
        <w:t>Australia’s</w:t>
      </w:r>
      <w:r w:rsidRPr="00B47B50">
        <w:rPr>
          <w:rFonts w:asciiTheme="minorHAnsi" w:hAnsiTheme="minorHAnsi" w:cstheme="minorHAnsi"/>
          <w:sz w:val="22"/>
          <w:szCs w:val="22"/>
        </w:rPr>
        <w:t xml:space="preserve"> </w:t>
      </w:r>
      <w:r w:rsidR="00B47B50">
        <w:rPr>
          <w:rFonts w:asciiTheme="minorHAnsi" w:hAnsiTheme="minorHAnsi" w:cstheme="minorHAnsi"/>
          <w:sz w:val="22"/>
          <w:szCs w:val="22"/>
        </w:rPr>
        <w:t>a</w:t>
      </w:r>
      <w:r w:rsidRPr="00B47B50">
        <w:rPr>
          <w:rFonts w:asciiTheme="minorHAnsi" w:hAnsiTheme="minorHAnsi" w:cstheme="minorHAnsi"/>
          <w:sz w:val="22"/>
          <w:szCs w:val="22"/>
        </w:rPr>
        <w:t xml:space="preserve">id </w:t>
      </w:r>
      <w:r w:rsidR="00B47B50">
        <w:rPr>
          <w:rFonts w:asciiTheme="minorHAnsi" w:hAnsiTheme="minorHAnsi" w:cstheme="minorHAnsi"/>
          <w:sz w:val="22"/>
          <w:szCs w:val="22"/>
        </w:rPr>
        <w:t>engagement in PNG.</w:t>
      </w:r>
      <w:r w:rsidR="003B3EDD" w:rsidRPr="00B47B50">
        <w:rPr>
          <w:rFonts w:asciiTheme="minorHAnsi" w:hAnsiTheme="minorHAnsi" w:cstheme="minorHAnsi"/>
          <w:sz w:val="22"/>
          <w:szCs w:val="22"/>
        </w:rPr>
        <w:t xml:space="preserve"> </w:t>
      </w:r>
      <w:r w:rsidR="003847B8" w:rsidRPr="00B47B50">
        <w:rPr>
          <w:rFonts w:asciiTheme="minorHAnsi" w:hAnsiTheme="minorHAnsi" w:cstheme="minorHAnsi"/>
          <w:sz w:val="22"/>
          <w:szCs w:val="22"/>
        </w:rPr>
        <w:t>A performance assessment framework</w:t>
      </w:r>
      <w:r w:rsidR="001D6CC4" w:rsidRPr="00B47B50">
        <w:rPr>
          <w:rFonts w:asciiTheme="minorHAnsi" w:hAnsiTheme="minorHAnsi" w:cstheme="minorHAnsi"/>
          <w:sz w:val="22"/>
          <w:szCs w:val="22"/>
        </w:rPr>
        <w:t xml:space="preserve"> (</w:t>
      </w:r>
      <w:r w:rsidR="003847B8" w:rsidRPr="00B47B50">
        <w:rPr>
          <w:rFonts w:asciiTheme="minorHAnsi" w:hAnsiTheme="minorHAnsi" w:cstheme="minorHAnsi"/>
          <w:sz w:val="22"/>
          <w:szCs w:val="22"/>
        </w:rPr>
        <w:t>PAF</w:t>
      </w:r>
      <w:r w:rsidR="001D6CC4" w:rsidRPr="00B47B50">
        <w:rPr>
          <w:rFonts w:asciiTheme="minorHAnsi" w:hAnsiTheme="minorHAnsi" w:cstheme="minorHAnsi"/>
          <w:sz w:val="22"/>
          <w:szCs w:val="22"/>
        </w:rPr>
        <w:t>) to monitor progress against targets across the program</w:t>
      </w:r>
      <w:r w:rsidR="003847B8" w:rsidRPr="00B47B50">
        <w:rPr>
          <w:rFonts w:asciiTheme="minorHAnsi" w:hAnsiTheme="minorHAnsi" w:cstheme="minorHAnsi"/>
          <w:sz w:val="22"/>
          <w:szCs w:val="22"/>
        </w:rPr>
        <w:t xml:space="preserve"> </w:t>
      </w:r>
      <w:r w:rsidR="001D6CC4" w:rsidRPr="00B47B50">
        <w:rPr>
          <w:rFonts w:asciiTheme="minorHAnsi" w:hAnsiTheme="minorHAnsi" w:cstheme="minorHAnsi"/>
          <w:sz w:val="22"/>
          <w:szCs w:val="22"/>
        </w:rPr>
        <w:t xml:space="preserve">was </w:t>
      </w:r>
      <w:r w:rsidR="003847B8" w:rsidRPr="00B47B50">
        <w:rPr>
          <w:rFonts w:asciiTheme="minorHAnsi" w:hAnsiTheme="minorHAnsi" w:cstheme="minorHAnsi"/>
          <w:sz w:val="22"/>
          <w:szCs w:val="22"/>
        </w:rPr>
        <w:t xml:space="preserve">drafted in </w:t>
      </w:r>
      <w:r w:rsidR="001D6CC4" w:rsidRPr="00B47B50">
        <w:rPr>
          <w:rFonts w:asciiTheme="minorHAnsi" w:hAnsiTheme="minorHAnsi" w:cstheme="minorHAnsi"/>
          <w:sz w:val="22"/>
          <w:szCs w:val="22"/>
        </w:rPr>
        <w:t xml:space="preserve">late </w:t>
      </w:r>
      <w:r w:rsidR="003847B8" w:rsidRPr="00B47B50">
        <w:rPr>
          <w:rFonts w:asciiTheme="minorHAnsi" w:hAnsiTheme="minorHAnsi" w:cstheme="minorHAnsi"/>
          <w:sz w:val="22"/>
          <w:szCs w:val="22"/>
        </w:rPr>
        <w:t>2012</w:t>
      </w:r>
      <w:r w:rsidR="001D6CC4" w:rsidRPr="00B47B50">
        <w:rPr>
          <w:rFonts w:asciiTheme="minorHAnsi" w:hAnsiTheme="minorHAnsi" w:cstheme="minorHAnsi"/>
          <w:sz w:val="22"/>
          <w:szCs w:val="22"/>
        </w:rPr>
        <w:t xml:space="preserve">, however </w:t>
      </w:r>
      <w:r w:rsidR="00741582">
        <w:rPr>
          <w:rFonts w:asciiTheme="minorHAnsi" w:hAnsiTheme="minorHAnsi" w:cstheme="minorHAnsi"/>
          <w:sz w:val="22"/>
          <w:szCs w:val="22"/>
        </w:rPr>
        <w:t>it was</w:t>
      </w:r>
      <w:r w:rsidR="00741582" w:rsidRPr="00B47B50">
        <w:rPr>
          <w:rFonts w:asciiTheme="minorHAnsi" w:hAnsiTheme="minorHAnsi" w:cstheme="minorHAnsi"/>
          <w:sz w:val="22"/>
          <w:szCs w:val="22"/>
        </w:rPr>
        <w:t xml:space="preserve"> </w:t>
      </w:r>
      <w:r w:rsidR="001D6CC4" w:rsidRPr="00B47B50">
        <w:rPr>
          <w:rFonts w:asciiTheme="minorHAnsi" w:hAnsiTheme="minorHAnsi" w:cstheme="minorHAnsi"/>
          <w:sz w:val="22"/>
          <w:szCs w:val="22"/>
        </w:rPr>
        <w:t>not</w:t>
      </w:r>
      <w:r w:rsidR="006E0218">
        <w:rPr>
          <w:rFonts w:asciiTheme="minorHAnsi" w:hAnsiTheme="minorHAnsi" w:cstheme="minorHAnsi"/>
          <w:sz w:val="22"/>
          <w:szCs w:val="22"/>
        </w:rPr>
        <w:t xml:space="preserve"> operationalis</w:t>
      </w:r>
      <w:r w:rsidR="003847B8" w:rsidRPr="00B47B50">
        <w:rPr>
          <w:rFonts w:asciiTheme="minorHAnsi" w:hAnsiTheme="minorHAnsi" w:cstheme="minorHAnsi"/>
          <w:sz w:val="22"/>
          <w:szCs w:val="22"/>
        </w:rPr>
        <w:t>ed.  Each sector</w:t>
      </w:r>
      <w:r w:rsidR="001D6CC4" w:rsidRPr="00B47B50">
        <w:rPr>
          <w:rFonts w:asciiTheme="minorHAnsi" w:hAnsiTheme="minorHAnsi" w:cstheme="minorHAnsi"/>
          <w:sz w:val="22"/>
          <w:szCs w:val="22"/>
        </w:rPr>
        <w:t xml:space="preserve"> program</w:t>
      </w:r>
      <w:r w:rsidR="003847B8" w:rsidRPr="00B47B50">
        <w:rPr>
          <w:rFonts w:asciiTheme="minorHAnsi" w:hAnsiTheme="minorHAnsi" w:cstheme="minorHAnsi"/>
          <w:sz w:val="22"/>
          <w:szCs w:val="22"/>
        </w:rPr>
        <w:t xml:space="preserve"> has a </w:t>
      </w:r>
      <w:r w:rsidR="001D6CC4" w:rsidRPr="00B47B50">
        <w:rPr>
          <w:rFonts w:asciiTheme="minorHAnsi" w:hAnsiTheme="minorHAnsi" w:cstheme="minorHAnsi"/>
          <w:sz w:val="22"/>
          <w:szCs w:val="22"/>
        </w:rPr>
        <w:t>monitoring and evaluation f</w:t>
      </w:r>
      <w:r w:rsidR="003847B8" w:rsidRPr="00B47B50">
        <w:rPr>
          <w:rFonts w:asciiTheme="minorHAnsi" w:hAnsiTheme="minorHAnsi" w:cstheme="minorHAnsi"/>
          <w:sz w:val="22"/>
          <w:szCs w:val="22"/>
        </w:rPr>
        <w:t>ramework</w:t>
      </w:r>
      <w:r w:rsidR="00B47B50">
        <w:rPr>
          <w:rFonts w:asciiTheme="minorHAnsi" w:hAnsiTheme="minorHAnsi" w:cstheme="minorHAnsi"/>
          <w:sz w:val="22"/>
          <w:szCs w:val="22"/>
        </w:rPr>
        <w:t xml:space="preserve">. Health </w:t>
      </w:r>
      <w:r w:rsidR="003847B8" w:rsidRPr="00B47B50">
        <w:rPr>
          <w:rFonts w:asciiTheme="minorHAnsi" w:hAnsiTheme="minorHAnsi" w:cstheme="minorHAnsi"/>
          <w:sz w:val="22"/>
          <w:szCs w:val="22"/>
        </w:rPr>
        <w:t xml:space="preserve">and education </w:t>
      </w:r>
      <w:r w:rsidR="00B47B50">
        <w:rPr>
          <w:rFonts w:asciiTheme="minorHAnsi" w:hAnsiTheme="minorHAnsi" w:cstheme="minorHAnsi"/>
          <w:sz w:val="22"/>
          <w:szCs w:val="22"/>
        </w:rPr>
        <w:t>also have</w:t>
      </w:r>
      <w:r w:rsidR="001D6CC4" w:rsidRPr="00B47B50">
        <w:rPr>
          <w:rFonts w:asciiTheme="minorHAnsi" w:hAnsiTheme="minorHAnsi" w:cstheme="minorHAnsi"/>
          <w:sz w:val="22"/>
          <w:szCs w:val="22"/>
        </w:rPr>
        <w:t xml:space="preserve"> delivery s</w:t>
      </w:r>
      <w:r w:rsidR="003847B8" w:rsidRPr="00B47B50">
        <w:rPr>
          <w:rFonts w:asciiTheme="minorHAnsi" w:hAnsiTheme="minorHAnsi" w:cstheme="minorHAnsi"/>
          <w:sz w:val="22"/>
          <w:szCs w:val="22"/>
        </w:rPr>
        <w:t>trategies cover</w:t>
      </w:r>
      <w:r w:rsidR="00B47B50">
        <w:rPr>
          <w:rFonts w:asciiTheme="minorHAnsi" w:hAnsiTheme="minorHAnsi" w:cstheme="minorHAnsi"/>
          <w:sz w:val="22"/>
          <w:szCs w:val="22"/>
        </w:rPr>
        <w:t>ing</w:t>
      </w:r>
      <w:r w:rsidR="003847B8" w:rsidRPr="00B47B50">
        <w:rPr>
          <w:rFonts w:asciiTheme="minorHAnsi" w:hAnsiTheme="minorHAnsi" w:cstheme="minorHAnsi"/>
          <w:sz w:val="22"/>
          <w:szCs w:val="22"/>
        </w:rPr>
        <w:t xml:space="preserve"> their investment portfolio</w:t>
      </w:r>
      <w:r w:rsidR="00B47B50">
        <w:rPr>
          <w:rFonts w:asciiTheme="minorHAnsi" w:hAnsiTheme="minorHAnsi" w:cstheme="minorHAnsi"/>
          <w:sz w:val="22"/>
          <w:szCs w:val="22"/>
        </w:rPr>
        <w:t>s</w:t>
      </w:r>
      <w:r w:rsidR="003847B8" w:rsidRPr="00B47B50">
        <w:rPr>
          <w:rFonts w:asciiTheme="minorHAnsi" w:hAnsiTheme="minorHAnsi" w:cstheme="minorHAnsi"/>
          <w:sz w:val="22"/>
          <w:szCs w:val="22"/>
        </w:rPr>
        <w:t>.</w:t>
      </w:r>
    </w:p>
    <w:p w:rsidR="00D65630" w:rsidRPr="00B47B50" w:rsidRDefault="00D65630" w:rsidP="00271EF3">
      <w:pPr>
        <w:pStyle w:val="ListBullet"/>
        <w:numPr>
          <w:ilvl w:val="0"/>
          <w:numId w:val="0"/>
        </w:numPr>
        <w:spacing w:line="240" w:lineRule="auto"/>
        <w:jc w:val="both"/>
        <w:rPr>
          <w:rFonts w:asciiTheme="minorHAnsi" w:hAnsiTheme="minorHAnsi" w:cstheme="minorHAnsi"/>
          <w:sz w:val="22"/>
          <w:szCs w:val="22"/>
        </w:rPr>
      </w:pPr>
      <w:r w:rsidRPr="00B47B50">
        <w:rPr>
          <w:rFonts w:asciiTheme="minorHAnsi" w:hAnsiTheme="minorHAnsi" w:cstheme="minorHAnsi"/>
          <w:sz w:val="22"/>
          <w:szCs w:val="22"/>
        </w:rPr>
        <w:t>In addition to the corporate requirements to produce QAI</w:t>
      </w:r>
      <w:r w:rsidR="001D6CC4" w:rsidRPr="00B47B50">
        <w:rPr>
          <w:rFonts w:asciiTheme="minorHAnsi" w:hAnsiTheme="minorHAnsi" w:cstheme="minorHAnsi"/>
          <w:sz w:val="22"/>
          <w:szCs w:val="22"/>
        </w:rPr>
        <w:t>s</w:t>
      </w:r>
      <w:r w:rsidRPr="00B47B50">
        <w:rPr>
          <w:rFonts w:asciiTheme="minorHAnsi" w:hAnsiTheme="minorHAnsi" w:cstheme="minorHAnsi"/>
          <w:sz w:val="22"/>
          <w:szCs w:val="22"/>
        </w:rPr>
        <w:t xml:space="preserve"> (now </w:t>
      </w:r>
      <w:r w:rsidR="004B0E18">
        <w:rPr>
          <w:rFonts w:asciiTheme="minorHAnsi" w:hAnsiTheme="minorHAnsi" w:cstheme="minorHAnsi"/>
          <w:sz w:val="22"/>
          <w:szCs w:val="22"/>
        </w:rPr>
        <w:t>Aid Quality Checks (</w:t>
      </w:r>
      <w:r w:rsidRPr="00B47B50">
        <w:rPr>
          <w:rFonts w:asciiTheme="minorHAnsi" w:hAnsiTheme="minorHAnsi" w:cstheme="minorHAnsi"/>
          <w:sz w:val="22"/>
          <w:szCs w:val="22"/>
        </w:rPr>
        <w:t>AQC</w:t>
      </w:r>
      <w:r w:rsidR="004B0E18">
        <w:rPr>
          <w:rFonts w:asciiTheme="minorHAnsi" w:hAnsiTheme="minorHAnsi" w:cstheme="minorHAnsi"/>
          <w:sz w:val="22"/>
          <w:szCs w:val="22"/>
        </w:rPr>
        <w:t>)</w:t>
      </w:r>
      <w:r w:rsidRPr="00B47B50">
        <w:rPr>
          <w:rFonts w:asciiTheme="minorHAnsi" w:hAnsiTheme="minorHAnsi" w:cstheme="minorHAnsi"/>
          <w:sz w:val="22"/>
          <w:szCs w:val="22"/>
        </w:rPr>
        <w:t xml:space="preserve">) and </w:t>
      </w:r>
      <w:r w:rsidR="00B47B50">
        <w:rPr>
          <w:rFonts w:asciiTheme="minorHAnsi" w:hAnsiTheme="minorHAnsi" w:cstheme="minorHAnsi"/>
          <w:sz w:val="22"/>
          <w:szCs w:val="22"/>
        </w:rPr>
        <w:t xml:space="preserve">the </w:t>
      </w:r>
      <w:r w:rsidRPr="00B47B50">
        <w:rPr>
          <w:rFonts w:asciiTheme="minorHAnsi" w:hAnsiTheme="minorHAnsi" w:cstheme="minorHAnsi"/>
          <w:sz w:val="22"/>
          <w:szCs w:val="22"/>
        </w:rPr>
        <w:t>APPR, the PNG program synthesise</w:t>
      </w:r>
      <w:r w:rsidR="00B47B50">
        <w:rPr>
          <w:rFonts w:asciiTheme="minorHAnsi" w:hAnsiTheme="minorHAnsi" w:cstheme="minorHAnsi"/>
          <w:sz w:val="22"/>
          <w:szCs w:val="22"/>
        </w:rPr>
        <w:t>s</w:t>
      </w:r>
      <w:r w:rsidRPr="00B47B50">
        <w:rPr>
          <w:rFonts w:asciiTheme="minorHAnsi" w:hAnsiTheme="minorHAnsi" w:cstheme="minorHAnsi"/>
          <w:sz w:val="22"/>
          <w:szCs w:val="22"/>
        </w:rPr>
        <w:t xml:space="preserve"> the performance of sectors through</w:t>
      </w:r>
      <w:r w:rsidR="00F55E70" w:rsidRPr="00B47B50">
        <w:rPr>
          <w:rFonts w:asciiTheme="minorHAnsi" w:hAnsiTheme="minorHAnsi" w:cstheme="minorHAnsi"/>
          <w:sz w:val="22"/>
          <w:szCs w:val="22"/>
        </w:rPr>
        <w:t xml:space="preserve"> the Sector Performance Reports</w:t>
      </w:r>
      <w:r w:rsidR="001D6CC4" w:rsidRPr="00B47B50">
        <w:rPr>
          <w:rFonts w:asciiTheme="minorHAnsi" w:hAnsiTheme="minorHAnsi" w:cstheme="minorHAnsi"/>
          <w:sz w:val="22"/>
          <w:szCs w:val="22"/>
        </w:rPr>
        <w:t xml:space="preserve"> (SPRs)</w:t>
      </w:r>
      <w:r w:rsidR="00F55E70" w:rsidRPr="00B47B50">
        <w:rPr>
          <w:rFonts w:asciiTheme="minorHAnsi" w:hAnsiTheme="minorHAnsi" w:cstheme="minorHAnsi"/>
          <w:sz w:val="22"/>
          <w:szCs w:val="22"/>
        </w:rPr>
        <w:t>. Sectors have found SPRs useful as they provide</w:t>
      </w:r>
      <w:r w:rsidRPr="00B47B50">
        <w:rPr>
          <w:rFonts w:asciiTheme="minorHAnsi" w:hAnsiTheme="minorHAnsi" w:cstheme="minorHAnsi"/>
          <w:sz w:val="22"/>
          <w:szCs w:val="22"/>
        </w:rPr>
        <w:t xml:space="preserve"> a more complete picture of performance aga</w:t>
      </w:r>
      <w:r w:rsidR="00E13A11">
        <w:rPr>
          <w:rFonts w:asciiTheme="minorHAnsi" w:hAnsiTheme="minorHAnsi" w:cstheme="minorHAnsi"/>
          <w:sz w:val="22"/>
          <w:szCs w:val="22"/>
        </w:rPr>
        <w:t>inst high level sector outcomes,</w:t>
      </w:r>
      <w:r w:rsidRPr="00B47B50">
        <w:rPr>
          <w:rFonts w:asciiTheme="minorHAnsi" w:hAnsiTheme="minorHAnsi" w:cstheme="minorHAnsi"/>
          <w:sz w:val="22"/>
          <w:szCs w:val="22"/>
        </w:rPr>
        <w:t xml:space="preserve"> as opposed to single investment outcomes.</w:t>
      </w:r>
      <w:r w:rsidR="00F55E70" w:rsidRPr="00B47B50">
        <w:rPr>
          <w:rFonts w:asciiTheme="minorHAnsi" w:hAnsiTheme="minorHAnsi" w:cstheme="minorHAnsi"/>
          <w:sz w:val="22"/>
          <w:szCs w:val="22"/>
        </w:rPr>
        <w:t xml:space="preserve"> Most of the evidence in this APPR </w:t>
      </w:r>
      <w:r w:rsidR="001D6CC4" w:rsidRPr="00B47B50">
        <w:rPr>
          <w:rFonts w:asciiTheme="minorHAnsi" w:hAnsiTheme="minorHAnsi" w:cstheme="minorHAnsi"/>
          <w:sz w:val="22"/>
          <w:szCs w:val="22"/>
        </w:rPr>
        <w:t>i</w:t>
      </w:r>
      <w:r w:rsidR="00F55E70" w:rsidRPr="00B47B50">
        <w:rPr>
          <w:rFonts w:asciiTheme="minorHAnsi" w:hAnsiTheme="minorHAnsi" w:cstheme="minorHAnsi"/>
          <w:sz w:val="22"/>
          <w:szCs w:val="22"/>
        </w:rPr>
        <w:t>s derived from the SPR</w:t>
      </w:r>
      <w:r w:rsidR="000B2084">
        <w:rPr>
          <w:rFonts w:asciiTheme="minorHAnsi" w:hAnsiTheme="minorHAnsi" w:cstheme="minorHAnsi"/>
          <w:sz w:val="22"/>
          <w:szCs w:val="22"/>
        </w:rPr>
        <w:t>s</w:t>
      </w:r>
      <w:r w:rsidR="00F55E70" w:rsidRPr="00B47B50">
        <w:rPr>
          <w:rFonts w:asciiTheme="minorHAnsi" w:hAnsiTheme="minorHAnsi" w:cstheme="minorHAnsi"/>
          <w:sz w:val="22"/>
          <w:szCs w:val="22"/>
        </w:rPr>
        <w:t>.</w:t>
      </w:r>
    </w:p>
    <w:p w:rsidR="00B470C6" w:rsidRDefault="0027314C" w:rsidP="00B470C6">
      <w:pPr>
        <w:pStyle w:val="ListBullet"/>
        <w:numPr>
          <w:ilvl w:val="0"/>
          <w:numId w:val="0"/>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Sector teams use </w:t>
      </w:r>
      <w:r w:rsidR="00B470C6" w:rsidRPr="00B47B50" w:rsidDel="000E0810">
        <w:rPr>
          <w:rFonts w:asciiTheme="minorHAnsi" w:hAnsiTheme="minorHAnsi" w:cstheme="minorHAnsi"/>
          <w:sz w:val="22"/>
          <w:szCs w:val="22"/>
        </w:rPr>
        <w:t xml:space="preserve">their </w:t>
      </w:r>
      <w:r w:rsidR="00B470C6" w:rsidDel="000E0810">
        <w:rPr>
          <w:rFonts w:asciiTheme="minorHAnsi" w:hAnsiTheme="minorHAnsi" w:cstheme="minorHAnsi"/>
          <w:sz w:val="22"/>
          <w:szCs w:val="22"/>
        </w:rPr>
        <w:t xml:space="preserve">Monitoring and Evaluation frameworks (MEF) </w:t>
      </w:r>
      <w:r w:rsidR="00B470C6" w:rsidRPr="00B47B50" w:rsidDel="000E0810">
        <w:rPr>
          <w:rFonts w:asciiTheme="minorHAnsi" w:hAnsiTheme="minorHAnsi" w:cstheme="minorHAnsi"/>
          <w:sz w:val="22"/>
          <w:szCs w:val="22"/>
        </w:rPr>
        <w:t xml:space="preserve">to generate information and evidence to assess program effectiveness in QAIs, the SPRs and the APPR. Analytical impact studies and other planned evaluations have been undertaken during the reporting period (see </w:t>
      </w:r>
      <w:r w:rsidR="00B470C6" w:rsidDel="000E0810">
        <w:rPr>
          <w:rFonts w:asciiTheme="minorHAnsi" w:hAnsiTheme="minorHAnsi" w:cstheme="minorHAnsi"/>
          <w:sz w:val="22"/>
          <w:szCs w:val="22"/>
        </w:rPr>
        <w:t>A</w:t>
      </w:r>
      <w:r w:rsidR="00B470C6" w:rsidRPr="00B47B50" w:rsidDel="000E0810">
        <w:rPr>
          <w:rFonts w:asciiTheme="minorHAnsi" w:hAnsiTheme="minorHAnsi" w:cstheme="minorHAnsi"/>
          <w:sz w:val="22"/>
          <w:szCs w:val="22"/>
        </w:rPr>
        <w:t xml:space="preserve">nnex C).  The Health and HIV program </w:t>
      </w:r>
      <w:r w:rsidR="00B470C6" w:rsidDel="000E0810">
        <w:rPr>
          <w:rFonts w:asciiTheme="minorHAnsi" w:hAnsiTheme="minorHAnsi" w:cstheme="minorHAnsi"/>
          <w:sz w:val="22"/>
          <w:szCs w:val="22"/>
        </w:rPr>
        <w:t>undertook</w:t>
      </w:r>
      <w:r w:rsidR="00B470C6" w:rsidRPr="00B47B50" w:rsidDel="000E0810">
        <w:rPr>
          <w:rFonts w:asciiTheme="minorHAnsi" w:hAnsiTheme="minorHAnsi" w:cstheme="minorHAnsi"/>
          <w:sz w:val="22"/>
          <w:szCs w:val="22"/>
        </w:rPr>
        <w:t xml:space="preserve"> an impac</w:t>
      </w:r>
      <w:r w:rsidR="00B470C6" w:rsidDel="000E0810">
        <w:rPr>
          <w:rFonts w:asciiTheme="minorHAnsi" w:hAnsiTheme="minorHAnsi" w:cstheme="minorHAnsi"/>
          <w:sz w:val="22"/>
          <w:szCs w:val="22"/>
        </w:rPr>
        <w:t>t evaluation of medical supply reforms</w:t>
      </w:r>
      <w:r w:rsidR="00B470C6" w:rsidRPr="00B47B50" w:rsidDel="000E0810">
        <w:rPr>
          <w:rFonts w:asciiTheme="minorHAnsi" w:hAnsiTheme="minorHAnsi" w:cstheme="minorHAnsi"/>
          <w:sz w:val="22"/>
          <w:szCs w:val="22"/>
        </w:rPr>
        <w:t xml:space="preserve"> and initiated a portfolio </w:t>
      </w:r>
      <w:r w:rsidR="00B470C6" w:rsidDel="000E0810">
        <w:rPr>
          <w:rFonts w:asciiTheme="minorHAnsi" w:hAnsiTheme="minorHAnsi" w:cstheme="minorHAnsi"/>
          <w:sz w:val="22"/>
          <w:szCs w:val="22"/>
        </w:rPr>
        <w:t>evaluation</w:t>
      </w:r>
      <w:r w:rsidR="00B470C6" w:rsidRPr="00B47B50" w:rsidDel="000E0810">
        <w:rPr>
          <w:rFonts w:asciiTheme="minorHAnsi" w:hAnsiTheme="minorHAnsi" w:cstheme="minorHAnsi"/>
          <w:sz w:val="22"/>
          <w:szCs w:val="22"/>
        </w:rPr>
        <w:t>.  The Law and Justice program undertook an impact study of infrastructure investments.  The governance program is also undertaking a series o</w:t>
      </w:r>
      <w:r w:rsidR="00B470C6" w:rsidDel="000E0810">
        <w:rPr>
          <w:rFonts w:asciiTheme="minorHAnsi" w:hAnsiTheme="minorHAnsi" w:cstheme="minorHAnsi"/>
          <w:sz w:val="22"/>
          <w:szCs w:val="22"/>
        </w:rPr>
        <w:t>f analyse</w:t>
      </w:r>
      <w:r w:rsidR="00B470C6" w:rsidRPr="00B47B50" w:rsidDel="000E0810">
        <w:rPr>
          <w:rFonts w:asciiTheme="minorHAnsi" w:hAnsiTheme="minorHAnsi" w:cstheme="minorHAnsi"/>
          <w:sz w:val="22"/>
          <w:szCs w:val="22"/>
        </w:rPr>
        <w:t xml:space="preserve">s to support the design of the governance </w:t>
      </w:r>
      <w:r w:rsidR="00B470C6" w:rsidDel="000E0810">
        <w:rPr>
          <w:rFonts w:asciiTheme="minorHAnsi" w:hAnsiTheme="minorHAnsi" w:cstheme="minorHAnsi"/>
          <w:sz w:val="22"/>
          <w:szCs w:val="22"/>
        </w:rPr>
        <w:t>investments</w:t>
      </w:r>
      <w:r w:rsidR="00B470C6" w:rsidRPr="00B47B50" w:rsidDel="000E0810">
        <w:rPr>
          <w:rFonts w:asciiTheme="minorHAnsi" w:hAnsiTheme="minorHAnsi" w:cstheme="minorHAnsi"/>
          <w:sz w:val="22"/>
          <w:szCs w:val="22"/>
        </w:rPr>
        <w:t xml:space="preserve">. This trend recognises the need for strong evidence to support our </w:t>
      </w:r>
      <w:r w:rsidR="00B470C6" w:rsidRPr="00B47B50" w:rsidDel="000E0810">
        <w:rPr>
          <w:rFonts w:asciiTheme="minorHAnsi" w:hAnsiTheme="minorHAnsi" w:cstheme="minorHAnsi"/>
          <w:sz w:val="22"/>
          <w:szCs w:val="22"/>
        </w:rPr>
        <w:lastRenderedPageBreak/>
        <w:t xml:space="preserve">investment decisions and results. A new set of benchmarks and mutual obligations will require a review </w:t>
      </w:r>
      <w:r w:rsidR="00B470C6" w:rsidDel="000E0810">
        <w:rPr>
          <w:rFonts w:asciiTheme="minorHAnsi" w:hAnsiTheme="minorHAnsi" w:cstheme="minorHAnsi"/>
          <w:sz w:val="22"/>
          <w:szCs w:val="22"/>
        </w:rPr>
        <w:t>of</w:t>
      </w:r>
      <w:r w:rsidR="00B470C6" w:rsidRPr="00B47B50" w:rsidDel="000E0810">
        <w:rPr>
          <w:rFonts w:asciiTheme="minorHAnsi" w:hAnsiTheme="minorHAnsi" w:cstheme="minorHAnsi"/>
          <w:sz w:val="22"/>
          <w:szCs w:val="22"/>
        </w:rPr>
        <w:t xml:space="preserve"> all sector MEFs and the finalisation of a whole of program PAF.</w:t>
      </w:r>
    </w:p>
    <w:p w:rsidR="00105FEF" w:rsidRDefault="00105FEF" w:rsidP="00B470C6">
      <w:pPr>
        <w:pStyle w:val="ListBullet"/>
        <w:numPr>
          <w:ilvl w:val="0"/>
          <w:numId w:val="0"/>
        </w:numPr>
        <w:spacing w:line="240" w:lineRule="auto"/>
        <w:jc w:val="both"/>
        <w:rPr>
          <w:rFonts w:asciiTheme="minorHAnsi" w:hAnsiTheme="minorHAnsi" w:cstheme="minorHAnsi"/>
          <w:sz w:val="22"/>
          <w:szCs w:val="22"/>
        </w:rPr>
      </w:pPr>
      <w:r w:rsidRPr="00105FEF">
        <w:rPr>
          <w:rFonts w:asciiTheme="minorHAnsi" w:hAnsiTheme="minorHAnsi" w:cstheme="minorHAnsi"/>
          <w:sz w:val="22"/>
          <w:szCs w:val="22"/>
        </w:rPr>
        <w:t xml:space="preserve">While the PNG program received satisfactory QAI ratings, with </w:t>
      </w:r>
      <w:r w:rsidRPr="003E1A2C">
        <w:rPr>
          <w:rFonts w:asciiTheme="minorHAnsi" w:hAnsiTheme="minorHAnsi" w:cstheme="minorHAnsi"/>
          <w:sz w:val="22"/>
          <w:szCs w:val="22"/>
        </w:rPr>
        <w:t xml:space="preserve">relevance and effectiveness criteria continuing to rate well (100 per cent and 81.48 per cent respectively), only 48.15 per cent of the initiatives assessed </w:t>
      </w:r>
      <w:r w:rsidR="0027314C">
        <w:rPr>
          <w:rFonts w:asciiTheme="minorHAnsi" w:hAnsiTheme="minorHAnsi" w:cstheme="minorHAnsi"/>
          <w:sz w:val="22"/>
          <w:szCs w:val="22"/>
        </w:rPr>
        <w:t xml:space="preserve">in 2013-14 </w:t>
      </w:r>
      <w:r w:rsidRPr="003E1A2C">
        <w:rPr>
          <w:rFonts w:asciiTheme="minorHAnsi" w:hAnsiTheme="minorHAnsi" w:cstheme="minorHAnsi"/>
          <w:sz w:val="22"/>
          <w:szCs w:val="22"/>
        </w:rPr>
        <w:t>received satisfactory ratings for monitoring and evaluation. Challenges to effective M&amp;E in PNG include unreliable data collection and inadequate processes</w:t>
      </w:r>
      <w:r w:rsidRPr="00105FEF">
        <w:rPr>
          <w:rFonts w:asciiTheme="minorHAnsi" w:hAnsiTheme="minorHAnsi" w:cstheme="minorHAnsi"/>
          <w:sz w:val="22"/>
          <w:szCs w:val="22"/>
        </w:rPr>
        <w:t xml:space="preserve"> and procedures. Program managers acknowledge difficulties in monitoring performance in PNG. Strengthened M&amp;E systems of DFAT, other Australian Government agencies and the PNG Government will help improve M&amp;E performance and subsequent ratings. The lack of adequate M&amp;E processes has the potential to compromise the integrity of a program, and will be reviewed to improve the robustness and accuracy of M&amp;E reporting going forward.</w:t>
      </w:r>
    </w:p>
    <w:p w:rsidR="00105FEF" w:rsidRDefault="00105FEF" w:rsidP="00B470C6">
      <w:pPr>
        <w:pStyle w:val="ListBullet"/>
        <w:numPr>
          <w:ilvl w:val="0"/>
          <w:numId w:val="0"/>
        </w:numPr>
        <w:spacing w:line="240" w:lineRule="auto"/>
        <w:jc w:val="both"/>
        <w:rPr>
          <w:rFonts w:asciiTheme="minorHAnsi" w:hAnsiTheme="minorHAnsi" w:cstheme="minorHAnsi"/>
          <w:sz w:val="22"/>
          <w:szCs w:val="22"/>
        </w:rPr>
      </w:pPr>
      <w:r w:rsidRPr="00105FEF">
        <w:rPr>
          <w:rFonts w:asciiTheme="minorHAnsi" w:hAnsiTheme="minorHAnsi" w:cstheme="minorHAnsi"/>
          <w:sz w:val="22"/>
          <w:szCs w:val="22"/>
        </w:rPr>
        <w:t xml:space="preserve">The PNG aid program has recognised the importance of strong internal capacity in monitoring and evaluation. To this end, a Monitoring and Evaluation Capacity Building project was initiated in the reporting period. The project will support DFAT staff to better understand data needs, be able to commission improved data collection, enhance program performance assessment and effectively apply and share lessons learned internally and with partners. With the support of an external consultant, a Needs Analysis will inform the work plan for a sustained program of mentoring, training, and helpdesk-style support for staff. Improving the monitoring and evaluation criteria will also likely see an improvement in subsequent QAI efficiency ratings. </w:t>
      </w:r>
    </w:p>
    <w:p w:rsidR="00105FEF" w:rsidRDefault="00105FEF" w:rsidP="00B470C6">
      <w:pPr>
        <w:pStyle w:val="ListBullet"/>
        <w:numPr>
          <w:ilvl w:val="0"/>
          <w:numId w:val="0"/>
        </w:numPr>
        <w:spacing w:line="240" w:lineRule="auto"/>
        <w:jc w:val="both"/>
        <w:rPr>
          <w:rFonts w:asciiTheme="minorHAnsi" w:hAnsiTheme="minorHAnsi" w:cstheme="minorHAnsi"/>
          <w:sz w:val="22"/>
          <w:szCs w:val="22"/>
        </w:rPr>
      </w:pPr>
      <w:r w:rsidRPr="00105FEF">
        <w:rPr>
          <w:rFonts w:asciiTheme="minorHAnsi" w:hAnsiTheme="minorHAnsi" w:cstheme="minorHAnsi"/>
          <w:sz w:val="22"/>
          <w:szCs w:val="22"/>
        </w:rPr>
        <w:t>Sustainability and Gender Equality (70.37 per cent and 77.78 per cent) rated well, indicating that consideration of the two criteria was consistently applied across the programs. Efficiency received only an average rating, indicating that further consideration is to be given to the methodology applied to implement the program, and whether it represents value for money.</w:t>
      </w:r>
    </w:p>
    <w:p w:rsidR="0078769E" w:rsidRPr="00B47B50" w:rsidRDefault="00105FEF" w:rsidP="00105FEF">
      <w:pPr>
        <w:pStyle w:val="ListBullet"/>
        <w:numPr>
          <w:ilvl w:val="0"/>
          <w:numId w:val="0"/>
        </w:numPr>
        <w:spacing w:line="240" w:lineRule="auto"/>
        <w:jc w:val="both"/>
        <w:rPr>
          <w:rFonts w:asciiTheme="minorHAnsi" w:hAnsiTheme="minorHAnsi" w:cstheme="minorHAnsi"/>
          <w:sz w:val="22"/>
          <w:szCs w:val="22"/>
        </w:rPr>
      </w:pPr>
      <w:r w:rsidRPr="00105FEF">
        <w:rPr>
          <w:rFonts w:asciiTheme="minorHAnsi" w:hAnsiTheme="minorHAnsi" w:cstheme="minorHAnsi"/>
          <w:sz w:val="22"/>
          <w:szCs w:val="22"/>
        </w:rPr>
        <w:t xml:space="preserve">The evaluation pipeline (Annex C) highlights forthcoming evaluations for the PNG program, including the effectiveness of training approaches to capacity development provided under the PNG-Australia Law and Justice Partnership; a review of PNG Transport Sector Support; and evaluations of democratic governance support through the Church Partnerships Program and SPSN.  </w:t>
      </w:r>
    </w:p>
    <w:p w:rsidR="002B0F30" w:rsidRPr="003E1A2C" w:rsidRDefault="002B0F30" w:rsidP="00164E82">
      <w:pPr>
        <w:pStyle w:val="Heading3"/>
      </w:pPr>
      <w:r w:rsidRPr="003E1A2C">
        <w:t xml:space="preserve">Performance of key delivery partners  </w:t>
      </w:r>
    </w:p>
    <w:p w:rsidR="002E4B92" w:rsidRPr="002E4B92" w:rsidRDefault="002E4B92" w:rsidP="002E4B92">
      <w:pPr>
        <w:spacing w:after="120"/>
        <w:ind w:right="-187"/>
        <w:jc w:val="both"/>
        <w:rPr>
          <w:rFonts w:asciiTheme="minorHAnsi" w:hAnsiTheme="minorHAnsi" w:cstheme="minorHAnsi"/>
          <w:sz w:val="22"/>
          <w:szCs w:val="22"/>
        </w:rPr>
      </w:pPr>
      <w:r w:rsidRPr="002E4B92">
        <w:rPr>
          <w:rFonts w:asciiTheme="minorHAnsi" w:hAnsiTheme="minorHAnsi" w:cstheme="minorHAnsi"/>
          <w:sz w:val="22"/>
          <w:szCs w:val="22"/>
        </w:rPr>
        <w:t xml:space="preserve">As well as working with private sector independent providers, the PNG aid program works with many multilateral and NGOs to deliver Australian investments in PNG. Below is </w:t>
      </w:r>
      <w:r w:rsidR="00CA0E6D">
        <w:rPr>
          <w:rFonts w:asciiTheme="minorHAnsi" w:hAnsiTheme="minorHAnsi" w:cstheme="minorHAnsi"/>
          <w:sz w:val="22"/>
          <w:szCs w:val="22"/>
        </w:rPr>
        <w:t>an</w:t>
      </w:r>
      <w:r w:rsidRPr="002E4B92">
        <w:rPr>
          <w:rFonts w:asciiTheme="minorHAnsi" w:hAnsiTheme="minorHAnsi" w:cstheme="minorHAnsi"/>
          <w:sz w:val="22"/>
          <w:szCs w:val="22"/>
        </w:rPr>
        <w:t xml:space="preserve"> assessment of other key development partners in PNG.</w:t>
      </w:r>
    </w:p>
    <w:p w:rsidR="00F10560" w:rsidRPr="00F10560" w:rsidRDefault="002B0F30" w:rsidP="00F10560">
      <w:pPr>
        <w:spacing w:after="120"/>
        <w:ind w:right="-187"/>
        <w:jc w:val="both"/>
        <w:rPr>
          <w:rFonts w:asciiTheme="minorHAnsi" w:hAnsiTheme="minorHAnsi" w:cstheme="minorHAnsi"/>
          <w:sz w:val="22"/>
          <w:szCs w:val="22"/>
        </w:rPr>
      </w:pPr>
      <w:r w:rsidRPr="00B47B50">
        <w:rPr>
          <w:rFonts w:asciiTheme="minorHAnsi" w:hAnsiTheme="minorHAnsi" w:cstheme="minorHAnsi"/>
          <w:sz w:val="22"/>
          <w:szCs w:val="22"/>
        </w:rPr>
        <w:t xml:space="preserve">The </w:t>
      </w:r>
      <w:r w:rsidRPr="00B47B50">
        <w:rPr>
          <w:rFonts w:asciiTheme="minorHAnsi" w:hAnsiTheme="minorHAnsi" w:cstheme="minorHAnsi"/>
          <w:b/>
          <w:sz w:val="22"/>
          <w:szCs w:val="22"/>
        </w:rPr>
        <w:t>World Bank</w:t>
      </w:r>
      <w:r w:rsidRPr="00B47B50">
        <w:rPr>
          <w:rFonts w:asciiTheme="minorHAnsi" w:hAnsiTheme="minorHAnsi" w:cstheme="minorHAnsi"/>
          <w:sz w:val="22"/>
          <w:szCs w:val="22"/>
        </w:rPr>
        <w:t xml:space="preserve"> is active across a range of sectors in PNG</w:t>
      </w:r>
      <w:r w:rsidR="00F10560">
        <w:rPr>
          <w:rFonts w:asciiTheme="minorHAnsi" w:hAnsiTheme="minorHAnsi" w:cstheme="minorHAnsi"/>
          <w:sz w:val="22"/>
          <w:szCs w:val="22"/>
        </w:rPr>
        <w:t>.</w:t>
      </w:r>
      <w:r w:rsidRPr="00B47B50">
        <w:rPr>
          <w:rFonts w:asciiTheme="minorHAnsi" w:hAnsiTheme="minorHAnsi" w:cstheme="minorHAnsi"/>
          <w:sz w:val="22"/>
          <w:szCs w:val="22"/>
        </w:rPr>
        <w:t xml:space="preserve"> </w:t>
      </w:r>
      <w:r w:rsidR="00F10560" w:rsidRPr="00F10560">
        <w:rPr>
          <w:rFonts w:asciiTheme="minorHAnsi" w:hAnsiTheme="minorHAnsi" w:cstheme="minorHAnsi"/>
          <w:sz w:val="22"/>
          <w:szCs w:val="22"/>
        </w:rPr>
        <w:t xml:space="preserve">Australia has and will continue to look for opportunities to expand our partnership with the Work Bank Group. </w:t>
      </w:r>
    </w:p>
    <w:p w:rsidR="00F10560" w:rsidRPr="00F10560" w:rsidRDefault="00F10560" w:rsidP="00F10560">
      <w:pPr>
        <w:spacing w:after="120"/>
        <w:ind w:right="-187"/>
        <w:jc w:val="both"/>
        <w:rPr>
          <w:rFonts w:asciiTheme="minorHAnsi" w:hAnsiTheme="minorHAnsi" w:cstheme="minorHAnsi"/>
          <w:sz w:val="22"/>
          <w:szCs w:val="22"/>
        </w:rPr>
      </w:pPr>
      <w:r w:rsidRPr="00F10560">
        <w:rPr>
          <w:rFonts w:asciiTheme="minorHAnsi" w:hAnsiTheme="minorHAnsi" w:cstheme="minorHAnsi"/>
          <w:sz w:val="22"/>
          <w:szCs w:val="22"/>
        </w:rPr>
        <w:t xml:space="preserve">As of October 2013, the Bank’s cumulative lending (IBRD and IDA) to Papua New Guinea was </w:t>
      </w:r>
      <w:r w:rsidR="00CA0E6D">
        <w:rPr>
          <w:rFonts w:asciiTheme="minorHAnsi" w:hAnsiTheme="minorHAnsi" w:cstheme="minorHAnsi"/>
          <w:sz w:val="22"/>
          <w:szCs w:val="22"/>
        </w:rPr>
        <w:t>US</w:t>
      </w:r>
      <w:r w:rsidRPr="00F10560">
        <w:rPr>
          <w:rFonts w:asciiTheme="minorHAnsi" w:hAnsiTheme="minorHAnsi" w:cstheme="minorHAnsi"/>
          <w:sz w:val="22"/>
          <w:szCs w:val="22"/>
        </w:rPr>
        <w:t xml:space="preserve">$208.77 million for 16 active projects focusing on infrastructure, mining, agriculture and youth. The Bank’s footprint in PNG is modest, but they remain an important actor able to deliver messages on a range of public and financial management issues. Most recently, this has included analysis and contributions to public debate on the cost of crime to PNG’s economy and the disincentive it poses to foreign direct investment. With Australian support, the Bank has also begun delivering a range of initiatives to support our increasing engagement in Bougainville, particularly ways to address the gender gap. </w:t>
      </w:r>
    </w:p>
    <w:p w:rsidR="00F10560" w:rsidRPr="00F10560" w:rsidRDefault="00F10560" w:rsidP="00F10560">
      <w:pPr>
        <w:spacing w:after="120"/>
        <w:ind w:right="-187"/>
        <w:jc w:val="both"/>
        <w:rPr>
          <w:rFonts w:asciiTheme="minorHAnsi" w:hAnsiTheme="minorHAnsi" w:cstheme="minorHAnsi"/>
          <w:sz w:val="22"/>
          <w:szCs w:val="22"/>
        </w:rPr>
      </w:pPr>
      <w:r w:rsidRPr="00F10560">
        <w:rPr>
          <w:rFonts w:asciiTheme="minorHAnsi" w:hAnsiTheme="minorHAnsi" w:cstheme="minorHAnsi"/>
          <w:sz w:val="22"/>
          <w:szCs w:val="22"/>
        </w:rPr>
        <w:t xml:space="preserve">IFC operations in Paua New Guinea are also modest but growing. The IFC has increased its commitments from </w:t>
      </w:r>
      <w:r w:rsidR="00CA0E6D">
        <w:rPr>
          <w:rFonts w:asciiTheme="minorHAnsi" w:hAnsiTheme="minorHAnsi" w:cstheme="minorHAnsi"/>
          <w:sz w:val="22"/>
          <w:szCs w:val="22"/>
        </w:rPr>
        <w:t>US</w:t>
      </w:r>
      <w:r w:rsidRPr="00F10560">
        <w:rPr>
          <w:rFonts w:asciiTheme="minorHAnsi" w:hAnsiTheme="minorHAnsi" w:cstheme="minorHAnsi"/>
          <w:sz w:val="22"/>
          <w:szCs w:val="22"/>
        </w:rPr>
        <w:t xml:space="preserve">$1.2 million in 2006 to more than </w:t>
      </w:r>
      <w:r w:rsidR="00CA0E6D">
        <w:rPr>
          <w:rFonts w:asciiTheme="minorHAnsi" w:hAnsiTheme="minorHAnsi" w:cstheme="minorHAnsi"/>
          <w:sz w:val="22"/>
          <w:szCs w:val="22"/>
        </w:rPr>
        <w:t>US</w:t>
      </w:r>
      <w:r w:rsidRPr="00F10560">
        <w:rPr>
          <w:rFonts w:asciiTheme="minorHAnsi" w:hAnsiTheme="minorHAnsi" w:cstheme="minorHAnsi"/>
          <w:sz w:val="22"/>
          <w:szCs w:val="22"/>
        </w:rPr>
        <w:t>$200 million in 2012. Their focus remains on supporting small and medium enterpri</w:t>
      </w:r>
      <w:r w:rsidR="0027314C">
        <w:rPr>
          <w:rFonts w:asciiTheme="minorHAnsi" w:hAnsiTheme="minorHAnsi" w:cstheme="minorHAnsi"/>
          <w:sz w:val="22"/>
          <w:szCs w:val="22"/>
        </w:rPr>
        <w:t>se. In PNG the IFC, for example,</w:t>
      </w:r>
      <w:r w:rsidRPr="00F10560">
        <w:rPr>
          <w:rFonts w:asciiTheme="minorHAnsi" w:hAnsiTheme="minorHAnsi" w:cstheme="minorHAnsi"/>
          <w:sz w:val="22"/>
          <w:szCs w:val="22"/>
        </w:rPr>
        <w:t xml:space="preserve"> is working on ways to develop mobile ba</w:t>
      </w:r>
      <w:r w:rsidR="0027314C">
        <w:rPr>
          <w:rFonts w:asciiTheme="minorHAnsi" w:hAnsiTheme="minorHAnsi" w:cstheme="minorHAnsi"/>
          <w:sz w:val="22"/>
          <w:szCs w:val="22"/>
        </w:rPr>
        <w:t>nking to better provide farmers</w:t>
      </w:r>
      <w:r w:rsidRPr="00F10560">
        <w:rPr>
          <w:rFonts w:asciiTheme="minorHAnsi" w:hAnsiTheme="minorHAnsi" w:cstheme="minorHAnsi"/>
          <w:sz w:val="22"/>
          <w:szCs w:val="22"/>
        </w:rPr>
        <w:t xml:space="preserve"> small scale producers and rural women with a safe and secure way to transfer money. </w:t>
      </w:r>
    </w:p>
    <w:p w:rsidR="00C6565D" w:rsidRDefault="002B0F30" w:rsidP="00C949FC">
      <w:pPr>
        <w:spacing w:after="120"/>
        <w:ind w:right="-187"/>
        <w:jc w:val="both"/>
        <w:rPr>
          <w:rFonts w:asciiTheme="minorHAnsi" w:hAnsiTheme="minorHAnsi" w:cstheme="minorHAnsi"/>
          <w:sz w:val="22"/>
          <w:szCs w:val="22"/>
        </w:rPr>
      </w:pPr>
      <w:r w:rsidRPr="00B47B50">
        <w:rPr>
          <w:rFonts w:asciiTheme="minorHAnsi" w:hAnsiTheme="minorHAnsi" w:cstheme="minorHAnsi"/>
          <w:sz w:val="22"/>
          <w:szCs w:val="22"/>
        </w:rPr>
        <w:lastRenderedPageBreak/>
        <w:t>The</w:t>
      </w:r>
      <w:r w:rsidRPr="00B47B50">
        <w:rPr>
          <w:rFonts w:asciiTheme="minorHAnsi" w:hAnsiTheme="minorHAnsi" w:cstheme="minorHAnsi"/>
          <w:b/>
          <w:sz w:val="22"/>
          <w:szCs w:val="22"/>
        </w:rPr>
        <w:t xml:space="preserve"> Asian Development Bank</w:t>
      </w:r>
      <w:r w:rsidR="00F10560">
        <w:rPr>
          <w:rFonts w:asciiTheme="minorHAnsi" w:hAnsiTheme="minorHAnsi" w:cstheme="minorHAnsi"/>
          <w:b/>
          <w:sz w:val="22"/>
          <w:szCs w:val="22"/>
        </w:rPr>
        <w:t>’s</w:t>
      </w:r>
      <w:r w:rsidRPr="00B47B50">
        <w:rPr>
          <w:rFonts w:asciiTheme="minorHAnsi" w:hAnsiTheme="minorHAnsi" w:cstheme="minorHAnsi"/>
          <w:b/>
          <w:sz w:val="22"/>
          <w:szCs w:val="22"/>
        </w:rPr>
        <w:t xml:space="preserve"> (ADB)</w:t>
      </w:r>
      <w:r w:rsidRPr="00B47B50">
        <w:rPr>
          <w:rFonts w:asciiTheme="minorHAnsi" w:hAnsiTheme="minorHAnsi" w:cstheme="minorHAnsi"/>
          <w:sz w:val="22"/>
          <w:szCs w:val="22"/>
        </w:rPr>
        <w:t xml:space="preserve"> </w:t>
      </w:r>
      <w:r w:rsidR="00F10560" w:rsidRPr="00F10560">
        <w:rPr>
          <w:rFonts w:asciiTheme="minorHAnsi" w:hAnsiTheme="minorHAnsi" w:cstheme="minorHAnsi"/>
          <w:sz w:val="22"/>
          <w:szCs w:val="22"/>
        </w:rPr>
        <w:t xml:space="preserve">presence is the largest of the relevant international financial institutions (IFIs). As of December 2013, its loan’s portfolio was approximately </w:t>
      </w:r>
      <w:r w:rsidR="00CA0E6D">
        <w:rPr>
          <w:rFonts w:asciiTheme="minorHAnsi" w:hAnsiTheme="minorHAnsi" w:cstheme="minorHAnsi"/>
          <w:sz w:val="22"/>
          <w:szCs w:val="22"/>
        </w:rPr>
        <w:t>US</w:t>
      </w:r>
      <w:r w:rsidR="00F10560" w:rsidRPr="00F10560">
        <w:rPr>
          <w:rFonts w:asciiTheme="minorHAnsi" w:hAnsiTheme="minorHAnsi" w:cstheme="minorHAnsi"/>
          <w:sz w:val="22"/>
          <w:szCs w:val="22"/>
        </w:rPr>
        <w:t xml:space="preserve">$1.9 billion. This represented 85 loans across 10 sectors, the largest of which was transport. The focus on transport helps the ADB work towards the objective of allowing for more efficient and safer movement of people and goods around the country. This is vital for creating livelihood opportunities and improving access to basic services. </w:t>
      </w:r>
    </w:p>
    <w:p w:rsidR="00C6565D" w:rsidRPr="00C6565D" w:rsidRDefault="00C6565D" w:rsidP="00C6565D">
      <w:pPr>
        <w:pStyle w:val="BodyText"/>
        <w:rPr>
          <w:rFonts w:asciiTheme="minorHAnsi" w:eastAsia="SimSun" w:hAnsiTheme="minorHAnsi" w:cstheme="minorHAnsi"/>
          <w:sz w:val="22"/>
          <w:szCs w:val="22"/>
        </w:rPr>
      </w:pPr>
      <w:r w:rsidRPr="00C6565D">
        <w:rPr>
          <w:rFonts w:asciiTheme="minorHAnsi" w:hAnsiTheme="minorHAnsi" w:cstheme="minorHAnsi"/>
          <w:sz w:val="22"/>
          <w:szCs w:val="22"/>
        </w:rPr>
        <w:t xml:space="preserve">In 2013-14, the Asian Development Bank (ADB) </w:t>
      </w:r>
      <w:r w:rsidR="004B28BE">
        <w:rPr>
          <w:rFonts w:asciiTheme="minorHAnsi" w:hAnsiTheme="minorHAnsi" w:cstheme="minorHAnsi"/>
          <w:sz w:val="22"/>
          <w:szCs w:val="22"/>
        </w:rPr>
        <w:t>strengthened</w:t>
      </w:r>
      <w:r w:rsidRPr="00C6565D">
        <w:rPr>
          <w:rFonts w:asciiTheme="minorHAnsi" w:hAnsiTheme="minorHAnsi" w:cstheme="minorHAnsi"/>
          <w:sz w:val="22"/>
          <w:szCs w:val="22"/>
        </w:rPr>
        <w:t xml:space="preserve"> its oversight of the DFAT co-financed Rural Primary Health Service Delivery Project and coordination with development partners. Joint priorities in 2014-15 include a focus on communicating partner investments and managing expectations of provinces with civil works investments. </w:t>
      </w:r>
    </w:p>
    <w:p w:rsidR="00EE7A97" w:rsidRDefault="0067438A" w:rsidP="00EE7A97">
      <w:pPr>
        <w:spacing w:after="120"/>
        <w:ind w:right="-187"/>
        <w:jc w:val="both"/>
        <w:rPr>
          <w:rFonts w:asciiTheme="minorHAnsi" w:hAnsiTheme="minorHAnsi" w:cstheme="minorHAnsi"/>
          <w:sz w:val="22"/>
          <w:szCs w:val="22"/>
        </w:rPr>
      </w:pPr>
      <w:r w:rsidRPr="00B47B50">
        <w:rPr>
          <w:rFonts w:asciiTheme="minorHAnsi" w:hAnsiTheme="minorHAnsi" w:cstheme="minorHAnsi"/>
          <w:b/>
          <w:sz w:val="22"/>
          <w:szCs w:val="22"/>
        </w:rPr>
        <w:t xml:space="preserve">The United Nations </w:t>
      </w:r>
      <w:r w:rsidR="00EE7A97">
        <w:rPr>
          <w:rFonts w:asciiTheme="minorHAnsi" w:hAnsiTheme="minorHAnsi" w:cstheme="minorHAnsi"/>
          <w:sz w:val="22"/>
          <w:szCs w:val="22"/>
        </w:rPr>
        <w:t xml:space="preserve">remains an important partner and is able to advocate on a range of issues that are best delivered by a multilateral organisation. Over the last 12 months, the change in leadership of </w:t>
      </w:r>
      <w:r w:rsidR="00AF49C3">
        <w:rPr>
          <w:rFonts w:asciiTheme="minorHAnsi" w:hAnsiTheme="minorHAnsi" w:cstheme="minorHAnsi"/>
          <w:sz w:val="22"/>
          <w:szCs w:val="22"/>
        </w:rPr>
        <w:t xml:space="preserve">the UNDP’s </w:t>
      </w:r>
      <w:r w:rsidR="00EE7A97">
        <w:rPr>
          <w:rFonts w:asciiTheme="minorHAnsi" w:hAnsiTheme="minorHAnsi" w:cstheme="minorHAnsi"/>
          <w:sz w:val="22"/>
          <w:szCs w:val="22"/>
        </w:rPr>
        <w:t xml:space="preserve">PNG operations has brought with it positive progress. Under a new Resident </w:t>
      </w:r>
      <w:r w:rsidR="00AF49C3">
        <w:rPr>
          <w:rFonts w:asciiTheme="minorHAnsi" w:hAnsiTheme="minorHAnsi" w:cstheme="minorHAnsi"/>
          <w:sz w:val="22"/>
          <w:szCs w:val="22"/>
        </w:rPr>
        <w:t>Coordinator</w:t>
      </w:r>
      <w:r w:rsidR="00EE7A97">
        <w:rPr>
          <w:rFonts w:asciiTheme="minorHAnsi" w:hAnsiTheme="minorHAnsi" w:cstheme="minorHAnsi"/>
          <w:sz w:val="22"/>
          <w:szCs w:val="22"/>
        </w:rPr>
        <w:t xml:space="preserve">, previous gaps in capacity are being filled. To better support the UNDP coordination role, we have agreed to fund additional administrative and monitoring and evaluation resources. These are currently being filled. To better help in the administration of the One UN Fund, post has agreed to use it as the mechanism through which to fund all UN agencies in PNG and will only consider proposals seeking Australian funding twice a year. </w:t>
      </w:r>
      <w:r w:rsidR="00AF49C3" w:rsidRPr="00B47B50">
        <w:rPr>
          <w:rFonts w:asciiTheme="minorHAnsi" w:hAnsiTheme="minorHAnsi" w:cstheme="minorHAnsi"/>
          <w:sz w:val="22"/>
          <w:szCs w:val="22"/>
        </w:rPr>
        <w:t xml:space="preserve">The </w:t>
      </w:r>
      <w:r w:rsidR="00AF49C3" w:rsidRPr="00F476D5">
        <w:rPr>
          <w:rFonts w:asciiTheme="minorHAnsi" w:hAnsiTheme="minorHAnsi" w:cstheme="minorHAnsi"/>
          <w:sz w:val="22"/>
          <w:szCs w:val="22"/>
        </w:rPr>
        <w:t>UN</w:t>
      </w:r>
      <w:r w:rsidR="00AF49C3" w:rsidRPr="00B47B50">
        <w:rPr>
          <w:rFonts w:asciiTheme="minorHAnsi" w:hAnsiTheme="minorHAnsi" w:cstheme="minorHAnsi"/>
          <w:sz w:val="22"/>
          <w:szCs w:val="22"/>
        </w:rPr>
        <w:t xml:space="preserve"> is well positioned to support Bougainville. Australia encourages the UN to take on greater leadership and action </w:t>
      </w:r>
      <w:r w:rsidR="00AF49C3">
        <w:rPr>
          <w:rFonts w:asciiTheme="minorHAnsi" w:hAnsiTheme="minorHAnsi" w:cstheme="minorHAnsi"/>
          <w:sz w:val="22"/>
          <w:szCs w:val="22"/>
        </w:rPr>
        <w:t xml:space="preserve">in relation to Bougainville </w:t>
      </w:r>
      <w:r w:rsidR="00AF49C3" w:rsidRPr="00B47B50">
        <w:rPr>
          <w:rFonts w:asciiTheme="minorHAnsi" w:hAnsiTheme="minorHAnsi" w:cstheme="minorHAnsi"/>
          <w:sz w:val="22"/>
          <w:szCs w:val="22"/>
        </w:rPr>
        <w:t>especially in peace building and referendum activities. Implementation of the UN Peace Building Fund activities (UN Secretary-General declared PNG eligible for PBF in 2013) is an opportunity for the UN to constructively re-engage as a stakeholder in Bougainville’s peace process.</w:t>
      </w:r>
    </w:p>
    <w:p w:rsidR="009F429E" w:rsidRDefault="002B0F30" w:rsidP="00C949FC">
      <w:pPr>
        <w:spacing w:after="120"/>
        <w:ind w:right="-187"/>
        <w:jc w:val="both"/>
        <w:rPr>
          <w:rFonts w:asciiTheme="minorHAnsi" w:hAnsiTheme="minorHAnsi" w:cstheme="minorHAnsi"/>
          <w:sz w:val="22"/>
          <w:szCs w:val="22"/>
        </w:rPr>
      </w:pPr>
      <w:r w:rsidRPr="00B47B50">
        <w:rPr>
          <w:rFonts w:asciiTheme="minorHAnsi" w:hAnsiTheme="minorHAnsi" w:cstheme="minorHAnsi"/>
          <w:sz w:val="22"/>
          <w:szCs w:val="22"/>
        </w:rPr>
        <w:t xml:space="preserve">The </w:t>
      </w:r>
      <w:r w:rsidRPr="00B47B50">
        <w:rPr>
          <w:rFonts w:asciiTheme="minorHAnsi" w:hAnsiTheme="minorHAnsi" w:cstheme="minorHAnsi"/>
          <w:b/>
          <w:sz w:val="22"/>
          <w:szCs w:val="22"/>
        </w:rPr>
        <w:t>World Health Organisation’s</w:t>
      </w:r>
      <w:r w:rsidR="0067438A" w:rsidRPr="00B47B50">
        <w:rPr>
          <w:rFonts w:asciiTheme="minorHAnsi" w:hAnsiTheme="minorHAnsi" w:cstheme="minorHAnsi"/>
          <w:sz w:val="22"/>
          <w:szCs w:val="22"/>
        </w:rPr>
        <w:t xml:space="preserve"> </w:t>
      </w:r>
      <w:r w:rsidRPr="00B47B50">
        <w:rPr>
          <w:rFonts w:asciiTheme="minorHAnsi" w:hAnsiTheme="minorHAnsi" w:cstheme="minorHAnsi"/>
          <w:sz w:val="22"/>
          <w:szCs w:val="22"/>
        </w:rPr>
        <w:t xml:space="preserve">technical specialists have played key roles in coordinating national programs and facilitating international reviews. </w:t>
      </w:r>
      <w:r w:rsidR="0067438A" w:rsidRPr="00B47B50">
        <w:rPr>
          <w:rFonts w:asciiTheme="minorHAnsi" w:hAnsiTheme="minorHAnsi" w:cstheme="minorHAnsi"/>
          <w:b/>
          <w:sz w:val="22"/>
          <w:szCs w:val="22"/>
        </w:rPr>
        <w:t>UN Women</w:t>
      </w:r>
      <w:r w:rsidR="0067438A" w:rsidRPr="00B47B50">
        <w:rPr>
          <w:rFonts w:asciiTheme="minorHAnsi" w:hAnsiTheme="minorHAnsi" w:cstheme="minorHAnsi"/>
          <w:sz w:val="22"/>
          <w:szCs w:val="22"/>
        </w:rPr>
        <w:t xml:space="preserve"> has been key in implementing innovative programs such as the UN Safe Cities Program. Results are noteworthy</w:t>
      </w:r>
      <w:r w:rsidRPr="00B47B50">
        <w:rPr>
          <w:rFonts w:asciiTheme="minorHAnsi" w:hAnsiTheme="minorHAnsi" w:cstheme="minorHAnsi"/>
          <w:sz w:val="22"/>
          <w:szCs w:val="22"/>
        </w:rPr>
        <w:t>.</w:t>
      </w:r>
      <w:r w:rsidR="0067438A" w:rsidRPr="00B47B50">
        <w:rPr>
          <w:rFonts w:asciiTheme="minorHAnsi" w:hAnsiTheme="minorHAnsi" w:cstheme="minorHAnsi"/>
          <w:sz w:val="22"/>
          <w:szCs w:val="22"/>
        </w:rPr>
        <w:t xml:space="preserve"> </w:t>
      </w:r>
    </w:p>
    <w:p w:rsidR="00886C43" w:rsidRPr="00886C43" w:rsidRDefault="00886C43" w:rsidP="00164E82">
      <w:pPr>
        <w:pStyle w:val="Heading3"/>
      </w:pPr>
      <w:r w:rsidRPr="00886C43">
        <w:t>Risk</w:t>
      </w:r>
      <w:r w:rsidR="00540C1A">
        <w:t xml:space="preserve"> Management</w:t>
      </w:r>
    </w:p>
    <w:p w:rsidR="00886C43" w:rsidRPr="00894779" w:rsidRDefault="00886C43" w:rsidP="00886C43">
      <w:p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The key risks in PNG that require consistent senior man</w:t>
      </w:r>
      <w:r w:rsidR="0027314C" w:rsidRPr="00894779">
        <w:rPr>
          <w:rFonts w:asciiTheme="minorHAnsi" w:hAnsiTheme="minorHAnsi" w:cstheme="minorHAnsi"/>
          <w:sz w:val="22"/>
          <w:szCs w:val="22"/>
        </w:rPr>
        <w:t xml:space="preserve">agement attention </w:t>
      </w:r>
      <w:r w:rsidR="00540C1A" w:rsidRPr="00894779">
        <w:rPr>
          <w:rFonts w:asciiTheme="minorHAnsi" w:hAnsiTheme="minorHAnsi" w:cstheme="minorHAnsi"/>
          <w:sz w:val="22"/>
          <w:szCs w:val="22"/>
        </w:rPr>
        <w:t xml:space="preserve">remain </w:t>
      </w:r>
      <w:r w:rsidR="0027314C" w:rsidRPr="00894779">
        <w:rPr>
          <w:rFonts w:asciiTheme="minorHAnsi" w:hAnsiTheme="minorHAnsi" w:cstheme="minorHAnsi"/>
          <w:sz w:val="22"/>
          <w:szCs w:val="22"/>
        </w:rPr>
        <w:t>security and fraud</w:t>
      </w:r>
      <w:r w:rsidRPr="00894779">
        <w:rPr>
          <w:rFonts w:asciiTheme="minorHAnsi" w:hAnsiTheme="minorHAnsi" w:cstheme="minorHAnsi"/>
          <w:sz w:val="22"/>
          <w:szCs w:val="22"/>
        </w:rPr>
        <w:t xml:space="preserve">. The physical </w:t>
      </w:r>
      <w:r w:rsidRPr="00CA0E6D">
        <w:rPr>
          <w:rFonts w:asciiTheme="minorHAnsi" w:hAnsiTheme="minorHAnsi" w:cstheme="minorHAnsi"/>
          <w:sz w:val="22"/>
          <w:szCs w:val="22"/>
        </w:rPr>
        <w:t>security</w:t>
      </w:r>
      <w:r w:rsidRPr="00894779">
        <w:rPr>
          <w:rFonts w:asciiTheme="minorHAnsi" w:hAnsiTheme="minorHAnsi" w:cstheme="minorHAnsi"/>
          <w:sz w:val="22"/>
          <w:szCs w:val="22"/>
        </w:rPr>
        <w:t xml:space="preserve"> environment in PNG poses significant risks for </w:t>
      </w:r>
      <w:r w:rsidR="00540C1A" w:rsidRPr="00894779">
        <w:rPr>
          <w:rFonts w:asciiTheme="minorHAnsi" w:hAnsiTheme="minorHAnsi" w:cstheme="minorHAnsi"/>
          <w:sz w:val="22"/>
          <w:szCs w:val="22"/>
        </w:rPr>
        <w:t xml:space="preserve">personnel </w:t>
      </w:r>
      <w:r w:rsidRPr="00894779">
        <w:rPr>
          <w:rFonts w:asciiTheme="minorHAnsi" w:hAnsiTheme="minorHAnsi" w:cstheme="minorHAnsi"/>
          <w:sz w:val="22"/>
          <w:szCs w:val="22"/>
        </w:rPr>
        <w:t xml:space="preserve">and requires a </w:t>
      </w:r>
      <w:r w:rsidR="00540C1A" w:rsidRPr="00894779">
        <w:rPr>
          <w:rFonts w:asciiTheme="minorHAnsi" w:hAnsiTheme="minorHAnsi" w:cstheme="minorHAnsi"/>
          <w:sz w:val="22"/>
          <w:szCs w:val="22"/>
        </w:rPr>
        <w:t xml:space="preserve">comprehensive </w:t>
      </w:r>
      <w:r w:rsidRPr="00894779">
        <w:rPr>
          <w:rFonts w:asciiTheme="minorHAnsi" w:hAnsiTheme="minorHAnsi" w:cstheme="minorHAnsi"/>
          <w:sz w:val="22"/>
          <w:szCs w:val="22"/>
        </w:rPr>
        <w:t xml:space="preserve">security management framework to mitigate risk exposure. Security awareness training and ongoing monitoring of the situation ensure that risk management measures are implemented as appropriate. </w:t>
      </w:r>
    </w:p>
    <w:p w:rsidR="00886C43" w:rsidRDefault="00886C43" w:rsidP="00886C43">
      <w:p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 xml:space="preserve">A key risk to the aid program in PNG is the high rate of </w:t>
      </w:r>
      <w:r w:rsidRPr="00CA0E6D">
        <w:rPr>
          <w:rFonts w:asciiTheme="minorHAnsi" w:hAnsiTheme="minorHAnsi" w:cstheme="minorHAnsi"/>
          <w:sz w:val="22"/>
          <w:szCs w:val="22"/>
        </w:rPr>
        <w:t>fraud</w:t>
      </w:r>
      <w:r w:rsidRPr="00894779">
        <w:rPr>
          <w:rFonts w:asciiTheme="minorHAnsi" w:hAnsiTheme="minorHAnsi" w:cstheme="minorHAnsi"/>
          <w:sz w:val="22"/>
          <w:szCs w:val="22"/>
        </w:rPr>
        <w:t xml:space="preserve"> in PNG. In 2012 the Australian and PNG Governments signed a</w:t>
      </w:r>
      <w:r w:rsidR="00914776" w:rsidRPr="00894779">
        <w:rPr>
          <w:rFonts w:asciiTheme="minorHAnsi" w:hAnsiTheme="minorHAnsi" w:cstheme="minorHAnsi"/>
          <w:sz w:val="22"/>
          <w:szCs w:val="22"/>
        </w:rPr>
        <w:t xml:space="preserve"> commitment to</w:t>
      </w:r>
      <w:r w:rsidRPr="00894779">
        <w:rPr>
          <w:rFonts w:asciiTheme="minorHAnsi" w:hAnsiTheme="minorHAnsi" w:cstheme="minorHAnsi"/>
          <w:sz w:val="22"/>
          <w:szCs w:val="22"/>
        </w:rPr>
        <w:t xml:space="preserve"> ‘Zero </w:t>
      </w:r>
      <w:r w:rsidR="00914776" w:rsidRPr="00894779">
        <w:rPr>
          <w:rFonts w:asciiTheme="minorHAnsi" w:hAnsiTheme="minorHAnsi" w:cstheme="minorHAnsi"/>
          <w:sz w:val="22"/>
          <w:szCs w:val="22"/>
        </w:rPr>
        <w:t>t</w:t>
      </w:r>
      <w:r w:rsidRPr="00894779">
        <w:rPr>
          <w:rFonts w:asciiTheme="minorHAnsi" w:hAnsiTheme="minorHAnsi" w:cstheme="minorHAnsi"/>
          <w:sz w:val="22"/>
          <w:szCs w:val="22"/>
        </w:rPr>
        <w:t>olerance to fraud’ in the aid program, and this is communicated regularly with partners and the general public. A fraud forum was established to discuss and progress high level fraud cases with key partner government agencies. Fraud awareness training is provided to DFAT staff, partner agencies, multilateral partners and NGOs. A new fraud strategy was implemented and is supported by the Risk and Fraud Management Plans and program fiduciary risk assessments at post in Port Moresby.</w:t>
      </w:r>
    </w:p>
    <w:p w:rsidR="0027314C" w:rsidRPr="00886C43" w:rsidRDefault="0027314C" w:rsidP="00886C43">
      <w:pPr>
        <w:spacing w:after="120"/>
        <w:ind w:right="-187"/>
        <w:jc w:val="both"/>
        <w:rPr>
          <w:rFonts w:asciiTheme="minorHAnsi" w:hAnsiTheme="minorHAnsi" w:cstheme="minorHAnsi"/>
          <w:sz w:val="22"/>
          <w:szCs w:val="22"/>
        </w:rPr>
      </w:pPr>
      <w:r w:rsidRPr="00DB79A8">
        <w:rPr>
          <w:rFonts w:asciiTheme="minorHAnsi" w:hAnsiTheme="minorHAnsi" w:cstheme="minorHAnsi"/>
          <w:sz w:val="22"/>
          <w:szCs w:val="22"/>
        </w:rPr>
        <w:t>Post regularly updates its internal risk registers through periodic discussions coordinated by the Risk Section, Operations Team. Program Managers also discuss and monitor risk registers maintained by managing contractors. A visit to Post by the Director of DFAT’s Aid Risk Management team, in April 2014, recommended continuation of this, and further emphasised the ongoing improvement of risk management process and documentation in order to strengthen the Aid Program’s overall risk management culture</w:t>
      </w:r>
      <w:r w:rsidR="00C80894">
        <w:rPr>
          <w:rFonts w:asciiTheme="minorHAnsi" w:hAnsiTheme="minorHAnsi" w:cstheme="minorHAnsi"/>
          <w:sz w:val="22"/>
          <w:szCs w:val="22"/>
        </w:rPr>
        <w:t>.</w:t>
      </w:r>
    </w:p>
    <w:p w:rsidR="00886C43" w:rsidRDefault="00886C43" w:rsidP="00886C43">
      <w:pPr>
        <w:spacing w:after="120"/>
        <w:ind w:right="-187"/>
        <w:jc w:val="both"/>
        <w:rPr>
          <w:rFonts w:asciiTheme="minorHAnsi" w:hAnsiTheme="minorHAnsi" w:cstheme="minorHAnsi"/>
          <w:sz w:val="22"/>
          <w:szCs w:val="22"/>
        </w:rPr>
      </w:pPr>
      <w:r w:rsidRPr="00886C43">
        <w:rPr>
          <w:rFonts w:asciiTheme="minorHAnsi" w:hAnsiTheme="minorHAnsi" w:cstheme="minorHAnsi"/>
          <w:sz w:val="22"/>
          <w:szCs w:val="22"/>
        </w:rPr>
        <w:t xml:space="preserve">The risk matrix attached as Table 2 (below) indicates key risks at a country level. </w:t>
      </w:r>
    </w:p>
    <w:p w:rsidR="00C80894" w:rsidRDefault="00C80894">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67438A" w:rsidRPr="001B2F25" w:rsidRDefault="00BB245D" w:rsidP="00164E82">
      <w:pPr>
        <w:pStyle w:val="Heading3"/>
      </w:pPr>
      <w:r>
        <w:lastRenderedPageBreak/>
        <w:t>Table 2</w:t>
      </w:r>
      <w:r w:rsidR="0067438A" w:rsidRPr="001B2F25">
        <w:t>: Australian Aid Program Risks</w:t>
      </w:r>
    </w:p>
    <w:tbl>
      <w:tblPr>
        <w:tblStyle w:val="DFATTable1"/>
        <w:tblW w:w="5000" w:type="pct"/>
        <w:tblBorders>
          <w:top w:val="single" w:sz="8" w:space="0" w:color="auto"/>
          <w:bottom w:val="single" w:sz="8" w:space="0" w:color="auto"/>
          <w:insideH w:val="single" w:sz="8" w:space="0" w:color="auto"/>
        </w:tblBorders>
        <w:shd w:val="clear" w:color="auto" w:fill="FFFFFF" w:themeFill="background1"/>
        <w:tblLook w:val="0460" w:firstRow="1" w:lastRow="1" w:firstColumn="0" w:lastColumn="0" w:noHBand="0" w:noVBand="1"/>
      </w:tblPr>
      <w:tblGrid>
        <w:gridCol w:w="2518"/>
        <w:gridCol w:w="3393"/>
        <w:gridCol w:w="3332"/>
      </w:tblGrid>
      <w:tr w:rsidR="002B0F30" w:rsidRPr="00463D86" w:rsidTr="0000121A">
        <w:trPr>
          <w:trHeight w:val="20"/>
        </w:trPr>
        <w:tc>
          <w:tcPr>
            <w:tcW w:w="2518" w:type="dxa"/>
            <w:shd w:val="clear" w:color="auto" w:fill="FFFFFF" w:themeFill="background1"/>
            <w:hideMark/>
          </w:tcPr>
          <w:p w:rsidR="002B0F30" w:rsidRPr="00463D86" w:rsidRDefault="002B0F30" w:rsidP="00463D86">
            <w:pPr>
              <w:pStyle w:val="ListBullet"/>
              <w:numPr>
                <w:ilvl w:val="0"/>
                <w:numId w:val="0"/>
              </w:numPr>
              <w:tabs>
                <w:tab w:val="left" w:pos="0"/>
              </w:tabs>
              <w:spacing w:after="0" w:line="240" w:lineRule="auto"/>
              <w:rPr>
                <w:rFonts w:ascii="Times New Roman" w:hAnsi="Times New Roman"/>
                <w:b/>
                <w:sz w:val="17"/>
                <w:szCs w:val="17"/>
                <w:highlight w:val="magenta"/>
              </w:rPr>
            </w:pPr>
            <w:r w:rsidRPr="00463D86">
              <w:rPr>
                <w:rFonts w:ascii="Times New Roman" w:hAnsi="Times New Roman"/>
                <w:b/>
              </w:rPr>
              <w:t>Key risks</w:t>
            </w:r>
          </w:p>
          <w:p w:rsidR="002B0F30" w:rsidRPr="00463D86" w:rsidRDefault="002B0F30" w:rsidP="00463D86">
            <w:pPr>
              <w:pStyle w:val="ListBullet"/>
              <w:numPr>
                <w:ilvl w:val="0"/>
                <w:numId w:val="0"/>
              </w:numPr>
              <w:tabs>
                <w:tab w:val="left" w:pos="0"/>
              </w:tabs>
              <w:spacing w:after="0" w:line="240" w:lineRule="auto"/>
              <w:rPr>
                <w:rFonts w:ascii="Times New Roman" w:hAnsi="Times New Roman"/>
                <w:b/>
                <w:sz w:val="17"/>
                <w:szCs w:val="17"/>
                <w:highlight w:val="magenta"/>
              </w:rPr>
            </w:pPr>
          </w:p>
          <w:p w:rsidR="002B0F30" w:rsidRPr="00463D86" w:rsidRDefault="002B0F30" w:rsidP="00463D86">
            <w:pPr>
              <w:pStyle w:val="ListBullet"/>
              <w:numPr>
                <w:ilvl w:val="0"/>
                <w:numId w:val="0"/>
              </w:numPr>
              <w:tabs>
                <w:tab w:val="left" w:pos="0"/>
              </w:tabs>
              <w:spacing w:after="0" w:line="240" w:lineRule="auto"/>
              <w:rPr>
                <w:rFonts w:ascii="Times New Roman" w:hAnsi="Times New Roman"/>
                <w:sz w:val="17"/>
                <w:szCs w:val="17"/>
              </w:rPr>
            </w:pPr>
          </w:p>
        </w:tc>
        <w:tc>
          <w:tcPr>
            <w:tcW w:w="3393" w:type="dxa"/>
            <w:shd w:val="clear" w:color="auto" w:fill="FFFFFF" w:themeFill="background1"/>
          </w:tcPr>
          <w:p w:rsidR="002B0F30" w:rsidRPr="00463D86" w:rsidRDefault="002B0F30" w:rsidP="00463D86">
            <w:pPr>
              <w:pStyle w:val="TableTextEntries"/>
              <w:rPr>
                <w:rFonts w:ascii="Times New Roman" w:hAnsi="Times New Roman"/>
              </w:rPr>
            </w:pPr>
            <w:r w:rsidRPr="00463D86">
              <w:rPr>
                <w:rFonts w:ascii="Times New Roman" w:hAnsi="Times New Roman"/>
                <w:b/>
                <w:sz w:val="21"/>
                <w:szCs w:val="21"/>
              </w:rPr>
              <w:t>What actions were taken to manage the risks over the past year?</w:t>
            </w:r>
          </w:p>
        </w:tc>
        <w:tc>
          <w:tcPr>
            <w:tcW w:w="3332" w:type="dxa"/>
            <w:shd w:val="clear" w:color="auto" w:fill="FFFFFF" w:themeFill="background1"/>
          </w:tcPr>
          <w:p w:rsidR="002B0F30" w:rsidRPr="00463D86" w:rsidRDefault="002B0F30" w:rsidP="00463D86">
            <w:pPr>
              <w:pStyle w:val="TableTextEntries"/>
              <w:ind w:left="171"/>
              <w:rPr>
                <w:rFonts w:ascii="Times New Roman" w:hAnsi="Times New Roman"/>
              </w:rPr>
            </w:pPr>
            <w:r w:rsidRPr="00463D86">
              <w:rPr>
                <w:rFonts w:ascii="Times New Roman" w:hAnsi="Times New Roman"/>
                <w:b/>
                <w:sz w:val="21"/>
                <w:szCs w:val="21"/>
              </w:rPr>
              <w:t>What further actions will be taken to manage the risks in the coming year?</w:t>
            </w:r>
          </w:p>
        </w:tc>
      </w:tr>
      <w:tr w:rsidR="002B0F30" w:rsidRPr="0034479A" w:rsidTr="0000121A">
        <w:trPr>
          <w:trHeight w:val="20"/>
        </w:trPr>
        <w:tc>
          <w:tcPr>
            <w:tcW w:w="2518" w:type="dxa"/>
            <w:shd w:val="clear" w:color="auto" w:fill="FFFFFF" w:themeFill="background1"/>
          </w:tcPr>
          <w:p w:rsidR="002B0F30" w:rsidRPr="00894779" w:rsidRDefault="002B0F30" w:rsidP="00463D86">
            <w:pPr>
              <w:pStyle w:val="ListBullet"/>
              <w:numPr>
                <w:ilvl w:val="0"/>
                <w:numId w:val="0"/>
              </w:numPr>
              <w:tabs>
                <w:tab w:val="left" w:pos="0"/>
              </w:tabs>
              <w:spacing w:after="0" w:line="240" w:lineRule="auto"/>
              <w:rPr>
                <w:sz w:val="17"/>
                <w:szCs w:val="17"/>
              </w:rPr>
            </w:pPr>
            <w:r w:rsidRPr="00894779">
              <w:rPr>
                <w:sz w:val="17"/>
                <w:szCs w:val="17"/>
              </w:rPr>
              <w:t xml:space="preserve">Security environment in PNG continues to present serious concerns for staff safety. </w:t>
            </w:r>
          </w:p>
          <w:p w:rsidR="002B0F30" w:rsidRPr="00894779" w:rsidRDefault="002B0F30" w:rsidP="00463D86">
            <w:pPr>
              <w:pStyle w:val="ListBullet"/>
              <w:numPr>
                <w:ilvl w:val="0"/>
                <w:numId w:val="0"/>
              </w:numPr>
              <w:tabs>
                <w:tab w:val="left" w:pos="0"/>
              </w:tabs>
              <w:spacing w:after="0" w:line="240" w:lineRule="auto"/>
              <w:rPr>
                <w:b/>
                <w:color w:val="002060"/>
                <w:sz w:val="22"/>
                <w:szCs w:val="22"/>
              </w:rPr>
            </w:pPr>
          </w:p>
        </w:tc>
        <w:tc>
          <w:tcPr>
            <w:tcW w:w="3393" w:type="dxa"/>
            <w:shd w:val="clear" w:color="auto" w:fill="FFFFFF" w:themeFill="background1"/>
          </w:tcPr>
          <w:p w:rsidR="002B0F30" w:rsidRPr="00894779" w:rsidRDefault="002B0F30" w:rsidP="00463D86">
            <w:pPr>
              <w:pStyle w:val="TableTextEntries"/>
            </w:pPr>
            <w:r w:rsidRPr="00894779">
              <w:t>Continued robust security management framework in Port Moresby to mitigate risk exposure</w:t>
            </w:r>
          </w:p>
          <w:p w:rsidR="002B0F30" w:rsidRPr="00894779" w:rsidRDefault="009A760E" w:rsidP="0034479A">
            <w:pPr>
              <w:pStyle w:val="TableTextEntries"/>
            </w:pPr>
            <w:r w:rsidRPr="00894779">
              <w:t>Security awareness training is provided to staff travelling to PNG.</w:t>
            </w:r>
          </w:p>
        </w:tc>
        <w:tc>
          <w:tcPr>
            <w:tcW w:w="3332" w:type="dxa"/>
            <w:shd w:val="clear" w:color="auto" w:fill="FFFFFF" w:themeFill="background1"/>
          </w:tcPr>
          <w:p w:rsidR="009A760E" w:rsidRPr="00894779" w:rsidRDefault="009A760E" w:rsidP="009A760E">
            <w:pPr>
              <w:pStyle w:val="TableTextEntries"/>
            </w:pPr>
            <w:r w:rsidRPr="00894779">
              <w:t>Ongoing monitoring of the security risk environment to ensure the identification and implementation of appropriate risk controls.</w:t>
            </w:r>
          </w:p>
          <w:p w:rsidR="002B0F30" w:rsidRPr="00894779" w:rsidRDefault="009A760E" w:rsidP="009A760E">
            <w:pPr>
              <w:pStyle w:val="TableTextEntries"/>
            </w:pPr>
            <w:r w:rsidRPr="00894779">
              <w:t>Regular communication with staff to ensure the security environment is understood and policies and procedures are adhered to.</w:t>
            </w:r>
          </w:p>
        </w:tc>
      </w:tr>
      <w:tr w:rsidR="002B0F30" w:rsidRPr="0034479A" w:rsidTr="0000121A">
        <w:trPr>
          <w:trHeight w:val="20"/>
        </w:trPr>
        <w:tc>
          <w:tcPr>
            <w:tcW w:w="2518" w:type="dxa"/>
            <w:shd w:val="clear" w:color="auto" w:fill="FFFFFF" w:themeFill="background1"/>
          </w:tcPr>
          <w:p w:rsidR="002B0F30" w:rsidRPr="00894779" w:rsidRDefault="009A760E" w:rsidP="00221EC9">
            <w:pPr>
              <w:pStyle w:val="ListBullet"/>
              <w:numPr>
                <w:ilvl w:val="0"/>
                <w:numId w:val="0"/>
              </w:numPr>
              <w:tabs>
                <w:tab w:val="left" w:pos="0"/>
              </w:tabs>
              <w:spacing w:after="0" w:line="240" w:lineRule="auto"/>
              <w:rPr>
                <w:sz w:val="17"/>
                <w:szCs w:val="17"/>
              </w:rPr>
            </w:pPr>
            <w:r w:rsidRPr="00894779">
              <w:rPr>
                <w:sz w:val="17"/>
                <w:szCs w:val="17"/>
              </w:rPr>
              <w:t>Australian Aid Program (AAP) funds are mismanaged or lost through fraudulent means.</w:t>
            </w:r>
          </w:p>
          <w:p w:rsidR="006877C6" w:rsidRPr="00894779" w:rsidRDefault="006877C6" w:rsidP="00221EC9">
            <w:pPr>
              <w:pStyle w:val="ListBullet"/>
              <w:numPr>
                <w:ilvl w:val="0"/>
                <w:numId w:val="0"/>
              </w:numPr>
              <w:tabs>
                <w:tab w:val="left" w:pos="0"/>
              </w:tabs>
              <w:spacing w:after="0" w:line="240" w:lineRule="auto"/>
              <w:rPr>
                <w:sz w:val="17"/>
                <w:szCs w:val="17"/>
              </w:rPr>
            </w:pPr>
          </w:p>
          <w:p w:rsidR="006877C6" w:rsidRPr="00894779" w:rsidRDefault="006877C6" w:rsidP="00221EC9">
            <w:pPr>
              <w:pStyle w:val="ListBullet"/>
              <w:numPr>
                <w:ilvl w:val="0"/>
                <w:numId w:val="0"/>
              </w:numPr>
              <w:tabs>
                <w:tab w:val="left" w:pos="0"/>
              </w:tabs>
              <w:spacing w:after="0" w:line="240" w:lineRule="auto"/>
              <w:rPr>
                <w:sz w:val="17"/>
                <w:szCs w:val="17"/>
              </w:rPr>
            </w:pPr>
          </w:p>
          <w:p w:rsidR="006877C6" w:rsidRPr="00894779" w:rsidRDefault="006877C6" w:rsidP="00221EC9">
            <w:pPr>
              <w:pStyle w:val="ListBullet"/>
              <w:numPr>
                <w:ilvl w:val="0"/>
                <w:numId w:val="0"/>
              </w:numPr>
              <w:tabs>
                <w:tab w:val="left" w:pos="0"/>
              </w:tabs>
              <w:spacing w:after="0" w:line="240" w:lineRule="auto"/>
              <w:rPr>
                <w:sz w:val="17"/>
                <w:szCs w:val="17"/>
              </w:rPr>
            </w:pPr>
          </w:p>
          <w:p w:rsidR="006877C6" w:rsidRPr="00894779" w:rsidRDefault="006877C6" w:rsidP="00221EC9">
            <w:pPr>
              <w:pStyle w:val="ListBullet"/>
              <w:numPr>
                <w:ilvl w:val="0"/>
                <w:numId w:val="0"/>
              </w:numPr>
              <w:tabs>
                <w:tab w:val="left" w:pos="0"/>
              </w:tabs>
              <w:spacing w:after="0" w:line="240" w:lineRule="auto"/>
              <w:rPr>
                <w:sz w:val="17"/>
                <w:szCs w:val="17"/>
              </w:rPr>
            </w:pPr>
          </w:p>
          <w:p w:rsidR="006877C6" w:rsidRPr="00894779" w:rsidRDefault="006877C6" w:rsidP="00221EC9">
            <w:pPr>
              <w:pStyle w:val="ListBullet"/>
              <w:numPr>
                <w:ilvl w:val="0"/>
                <w:numId w:val="0"/>
              </w:numPr>
              <w:tabs>
                <w:tab w:val="left" w:pos="0"/>
              </w:tabs>
              <w:spacing w:after="0" w:line="240" w:lineRule="auto"/>
              <w:rPr>
                <w:sz w:val="17"/>
                <w:szCs w:val="17"/>
              </w:rPr>
            </w:pPr>
          </w:p>
          <w:p w:rsidR="006877C6" w:rsidRPr="00894779" w:rsidRDefault="006877C6" w:rsidP="00221EC9">
            <w:pPr>
              <w:pStyle w:val="ListBullet"/>
              <w:numPr>
                <w:ilvl w:val="0"/>
                <w:numId w:val="0"/>
              </w:numPr>
              <w:tabs>
                <w:tab w:val="left" w:pos="0"/>
              </w:tabs>
              <w:spacing w:after="0" w:line="240" w:lineRule="auto"/>
              <w:rPr>
                <w:sz w:val="17"/>
                <w:szCs w:val="17"/>
              </w:rPr>
            </w:pPr>
            <w:r w:rsidRPr="00894779">
              <w:rPr>
                <w:sz w:val="17"/>
                <w:szCs w:val="17"/>
              </w:rPr>
              <w:t>Reputational damage to the AAP by having large unresolved fraud cases.</w:t>
            </w:r>
          </w:p>
        </w:tc>
        <w:tc>
          <w:tcPr>
            <w:tcW w:w="3393" w:type="dxa"/>
            <w:shd w:val="clear" w:color="auto" w:fill="FFFFFF" w:themeFill="background1"/>
          </w:tcPr>
          <w:p w:rsidR="002B0F30" w:rsidRPr="00894779" w:rsidRDefault="009A760E" w:rsidP="00463D86">
            <w:pPr>
              <w:pStyle w:val="TableTextEntries"/>
            </w:pPr>
            <w:r w:rsidRPr="00894779">
              <w:t>Consistent</w:t>
            </w:r>
            <w:r w:rsidR="00FE7D11" w:rsidRPr="00894779">
              <w:t>ly applied the</w:t>
            </w:r>
            <w:r w:rsidRPr="00894779">
              <w:t xml:space="preserve"> </w:t>
            </w:r>
            <w:r w:rsidR="00CA0E6D">
              <w:t>‘zero t</w:t>
            </w:r>
            <w:r w:rsidR="002B0F30" w:rsidRPr="00894779">
              <w:t xml:space="preserve">olerance to fraud’ </w:t>
            </w:r>
            <w:r w:rsidR="00FE7D11" w:rsidRPr="00894779">
              <w:t>policy across the aid program;</w:t>
            </w:r>
          </w:p>
          <w:p w:rsidR="002B0F30" w:rsidRPr="00894779" w:rsidRDefault="002B0F30" w:rsidP="006877C6">
            <w:pPr>
              <w:pStyle w:val="TableTextEntries"/>
            </w:pPr>
            <w:r w:rsidRPr="00894779">
              <w:t>High level support</w:t>
            </w:r>
            <w:r w:rsidR="00886C43" w:rsidRPr="00894779">
              <w:t xml:space="preserve"> to </w:t>
            </w:r>
            <w:r w:rsidRPr="00894779">
              <w:t xml:space="preserve">PNG </w:t>
            </w:r>
            <w:r w:rsidR="00886C43" w:rsidRPr="00894779">
              <w:t xml:space="preserve">Government </w:t>
            </w:r>
            <w:r w:rsidRPr="00894779">
              <w:t>departments, NGOs, ISPs to fight fraud and corruption. Established the fraud forum to discuss and progress high level cases with key partner government agencies</w:t>
            </w:r>
            <w:r w:rsidR="006877C6" w:rsidRPr="00894779">
              <w:t>.</w:t>
            </w:r>
          </w:p>
          <w:p w:rsidR="006877C6" w:rsidRPr="00894779" w:rsidRDefault="006877C6" w:rsidP="006877C6">
            <w:pPr>
              <w:pStyle w:val="TableTextEntries"/>
            </w:pPr>
            <w:r w:rsidRPr="00894779">
              <w:t>Open and frequent dialogue between DFAT and DNPM will also help to reduce instances of large, unresolved fraud cases. Maintaining a zero</w:t>
            </w:r>
            <w:r w:rsidR="00CA0E6D">
              <w:t xml:space="preserve"> </w:t>
            </w:r>
            <w:r w:rsidRPr="00894779">
              <w:t>tolerance policy on fraud and ensure this is communicated regularly with partners and the general public.</w:t>
            </w:r>
          </w:p>
          <w:p w:rsidR="006877C6" w:rsidRPr="00894779" w:rsidRDefault="006877C6" w:rsidP="006877C6">
            <w:pPr>
              <w:pStyle w:val="TableTextEntries"/>
            </w:pPr>
          </w:p>
        </w:tc>
        <w:tc>
          <w:tcPr>
            <w:tcW w:w="3332" w:type="dxa"/>
            <w:shd w:val="clear" w:color="auto" w:fill="FFFFFF" w:themeFill="background1"/>
          </w:tcPr>
          <w:p w:rsidR="00EE7A97" w:rsidRPr="00894779" w:rsidRDefault="00EE7A97" w:rsidP="00574161">
            <w:pPr>
              <w:pStyle w:val="TableTextEntries"/>
            </w:pPr>
            <w:r w:rsidRPr="00894779">
              <w:t>Continued pursuit of outstanding f</w:t>
            </w:r>
            <w:r w:rsidR="009A760E" w:rsidRPr="00894779">
              <w:t>unds until they are returned, for example,</w:t>
            </w:r>
            <w:r w:rsidRPr="00894779">
              <w:t xml:space="preserve"> recent </w:t>
            </w:r>
            <w:r w:rsidR="00574161" w:rsidRPr="00894779">
              <w:t xml:space="preserve">agreements regarding a </w:t>
            </w:r>
            <w:r w:rsidRPr="00894779">
              <w:t>Law and Justice sector fraud</w:t>
            </w:r>
            <w:r w:rsidR="00574161" w:rsidRPr="00894779">
              <w:t xml:space="preserve"> case</w:t>
            </w:r>
            <w:r w:rsidRPr="00894779">
              <w:t>.</w:t>
            </w:r>
          </w:p>
          <w:p w:rsidR="006877C6" w:rsidRPr="00894779" w:rsidRDefault="006877C6" w:rsidP="006877C6">
            <w:pPr>
              <w:pStyle w:val="TableTextEntries"/>
            </w:pPr>
            <w:r w:rsidRPr="00894779">
              <w:t xml:space="preserve">Address unresolved fraud with partial and/or full suspension of activities. </w:t>
            </w:r>
          </w:p>
          <w:p w:rsidR="006877C6" w:rsidRPr="00894779" w:rsidRDefault="006877C6" w:rsidP="006877C6">
            <w:pPr>
              <w:pStyle w:val="TableTextEntries"/>
            </w:pPr>
            <w:r w:rsidRPr="00894779">
              <w:t xml:space="preserve">Pursue and prosecute offenders through due legal process. </w:t>
            </w:r>
          </w:p>
          <w:p w:rsidR="006877C6" w:rsidRPr="00894779" w:rsidRDefault="006877C6" w:rsidP="006877C6">
            <w:pPr>
              <w:pStyle w:val="TableTextEntries"/>
            </w:pPr>
            <w:r w:rsidRPr="00894779">
              <w:t xml:space="preserve">Prioritise anti-fraud measures in program delivery. </w:t>
            </w:r>
          </w:p>
          <w:p w:rsidR="006877C6" w:rsidRPr="00894779" w:rsidRDefault="006877C6" w:rsidP="006877C6">
            <w:pPr>
              <w:pStyle w:val="TableTextEntries"/>
            </w:pPr>
            <w:r w:rsidRPr="00894779">
              <w:t>Maintain our policy settings on fraud and continue to advocate with the Government of PNG on the need to address fraud in a timely manner when it arises.</w:t>
            </w:r>
          </w:p>
        </w:tc>
      </w:tr>
      <w:tr w:rsidR="006877C6" w:rsidRPr="0034479A" w:rsidTr="0000121A">
        <w:trPr>
          <w:trHeight w:val="1704"/>
        </w:trPr>
        <w:tc>
          <w:tcPr>
            <w:tcW w:w="2518" w:type="dxa"/>
            <w:shd w:val="clear" w:color="auto" w:fill="FFFFFF" w:themeFill="background1"/>
          </w:tcPr>
          <w:p w:rsidR="006877C6" w:rsidRPr="00894779" w:rsidRDefault="006877C6" w:rsidP="006877C6">
            <w:pPr>
              <w:pStyle w:val="TableTextEntries"/>
              <w:rPr>
                <w:u w:val="single"/>
              </w:rPr>
            </w:pPr>
            <w:r w:rsidRPr="00894779">
              <w:t xml:space="preserve">Australian Aid Program staff lack capacity to conduct or manage analysis to inform strategies and lead policy dialogue. </w:t>
            </w:r>
          </w:p>
        </w:tc>
        <w:tc>
          <w:tcPr>
            <w:tcW w:w="3393" w:type="dxa"/>
            <w:shd w:val="clear" w:color="auto" w:fill="FFFFFF" w:themeFill="background1"/>
          </w:tcPr>
          <w:p w:rsidR="006877C6" w:rsidRPr="00894779" w:rsidRDefault="006877C6" w:rsidP="00ED5424">
            <w:pPr>
              <w:pStyle w:val="TableTextEntries"/>
            </w:pPr>
            <w:r w:rsidRPr="00894779">
              <w:t xml:space="preserve">Partnership for Development (P4D) and Performance Assessment Framework (PAF) support better M&amp;E and data collection. </w:t>
            </w:r>
          </w:p>
          <w:p w:rsidR="006877C6" w:rsidRPr="00894779" w:rsidRDefault="006877C6" w:rsidP="00463D86">
            <w:pPr>
              <w:pStyle w:val="TableTextEntries"/>
            </w:pPr>
          </w:p>
        </w:tc>
        <w:tc>
          <w:tcPr>
            <w:tcW w:w="3332" w:type="dxa"/>
            <w:shd w:val="clear" w:color="auto" w:fill="FFFFFF" w:themeFill="background1"/>
          </w:tcPr>
          <w:p w:rsidR="00AE18FA" w:rsidRPr="00894779" w:rsidRDefault="00AE18FA" w:rsidP="00463D86">
            <w:pPr>
              <w:pStyle w:val="TableTextEntries"/>
            </w:pPr>
            <w:r w:rsidRPr="00894779">
              <w:t xml:space="preserve">Continue to focus on robust monitoring and evaluation across Australia’s aid investments in PNG, such as improving whole of government performance frameworks, building staff capabilities in M&amp;E and improving cohesion with and between sectoral investments; </w:t>
            </w:r>
          </w:p>
          <w:p w:rsidR="006877C6" w:rsidRPr="00894779" w:rsidRDefault="006877C6">
            <w:pPr>
              <w:pStyle w:val="TableTextEntries"/>
            </w:pPr>
            <w:r w:rsidRPr="00894779">
              <w:t>Bougainville will develop a standalone monitoring and evaluation framework.</w:t>
            </w:r>
          </w:p>
        </w:tc>
      </w:tr>
      <w:tr w:rsidR="006877C6" w:rsidRPr="0034479A" w:rsidTr="0000121A">
        <w:tblPrEx>
          <w:tblBorders>
            <w:top w:val="single" w:sz="12" w:space="0" w:color="auto"/>
            <w:bottom w:val="single" w:sz="12" w:space="0" w:color="auto"/>
            <w:insideH w:val="none" w:sz="0" w:space="0" w:color="auto"/>
          </w:tblBorders>
          <w:shd w:val="clear" w:color="auto" w:fill="auto"/>
          <w:tblLook w:val="04A0" w:firstRow="1" w:lastRow="0" w:firstColumn="1" w:lastColumn="0" w:noHBand="0" w:noVBand="1"/>
        </w:tblPrEx>
        <w:trPr>
          <w:trHeight w:val="20"/>
        </w:trPr>
        <w:tc>
          <w:tcPr>
            <w:tcW w:w="2518" w:type="dxa"/>
          </w:tcPr>
          <w:p w:rsidR="006877C6" w:rsidRPr="00894779" w:rsidRDefault="00B94CA6" w:rsidP="00A54338">
            <w:pPr>
              <w:pStyle w:val="TableTextEntries"/>
            </w:pPr>
            <w:r w:rsidRPr="00894779">
              <w:t>Perception by either Government (Australia or PNG) that they are failing to deliver on the Joint Understanding commitments (JU)</w:t>
            </w:r>
          </w:p>
        </w:tc>
        <w:tc>
          <w:tcPr>
            <w:tcW w:w="3393" w:type="dxa"/>
          </w:tcPr>
          <w:p w:rsidR="006877C6" w:rsidRPr="00894779" w:rsidRDefault="00B94CA6" w:rsidP="00A54338">
            <w:pPr>
              <w:pStyle w:val="TableTextEntries"/>
            </w:pPr>
            <w:r w:rsidRPr="00894779">
              <w:t>High level Australian liaison with senior PNG politicians and officials</w:t>
            </w:r>
          </w:p>
        </w:tc>
        <w:tc>
          <w:tcPr>
            <w:tcW w:w="3332" w:type="dxa"/>
          </w:tcPr>
          <w:p w:rsidR="006877C6" w:rsidRPr="00894779" w:rsidRDefault="00B94CA6" w:rsidP="00A54338">
            <w:pPr>
              <w:pStyle w:val="TableTextEntries"/>
            </w:pPr>
            <w:r w:rsidRPr="00894779">
              <w:t>Continued dialogue</w:t>
            </w:r>
          </w:p>
        </w:tc>
      </w:tr>
    </w:tbl>
    <w:p w:rsidR="006877C6" w:rsidRDefault="006877C6" w:rsidP="00164E82">
      <w:pPr>
        <w:pStyle w:val="Heading3"/>
      </w:pPr>
    </w:p>
    <w:p w:rsidR="006877C6" w:rsidRDefault="006877C6" w:rsidP="006877C6">
      <w:pPr>
        <w:rPr>
          <w:rFonts w:asciiTheme="minorHAnsi" w:eastAsia="Times New Roman" w:hAnsiTheme="minorHAnsi" w:cstheme="minorHAnsi"/>
          <w:color w:val="0070C0"/>
          <w:kern w:val="28"/>
          <w:sz w:val="22"/>
          <w:szCs w:val="22"/>
          <w:lang w:eastAsia="zh-CN"/>
        </w:rPr>
      </w:pPr>
      <w:r>
        <w:br w:type="page"/>
      </w:r>
    </w:p>
    <w:p w:rsidR="006877C6" w:rsidRPr="00B47B50" w:rsidRDefault="006877C6" w:rsidP="00164E82">
      <w:pPr>
        <w:pStyle w:val="Heading3"/>
      </w:pPr>
      <w:r>
        <w:lastRenderedPageBreak/>
        <w:t>Management Consequences</w:t>
      </w:r>
    </w:p>
    <w:p w:rsidR="006877C6" w:rsidRPr="00B70BB5" w:rsidRDefault="006877C6" w:rsidP="006877C6">
      <w:pPr>
        <w:spacing w:after="120"/>
        <w:ind w:right="-187"/>
        <w:jc w:val="both"/>
        <w:rPr>
          <w:rFonts w:asciiTheme="minorHAnsi" w:hAnsiTheme="minorHAnsi" w:cstheme="minorHAnsi"/>
          <w:sz w:val="22"/>
          <w:szCs w:val="22"/>
        </w:rPr>
      </w:pPr>
      <w:r w:rsidRPr="00B70BB5">
        <w:rPr>
          <w:rFonts w:asciiTheme="minorHAnsi" w:hAnsiTheme="minorHAnsi" w:cstheme="minorHAnsi"/>
          <w:sz w:val="22"/>
          <w:szCs w:val="22"/>
        </w:rPr>
        <w:t>In 2014-15, Australia will work towards achieving program objectives by:</w:t>
      </w:r>
    </w:p>
    <w:p w:rsidR="006877C6" w:rsidRPr="00894779" w:rsidRDefault="006877C6" w:rsidP="006877C6">
      <w:pPr>
        <w:numPr>
          <w:ilvl w:val="0"/>
          <w:numId w:val="30"/>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 xml:space="preserve">Developing a PNG Aid Investment Plan that will outline where, why and how Australian aid will be delivered in PNG </w:t>
      </w:r>
      <w:r w:rsidR="00A22A8D" w:rsidRPr="00894779">
        <w:rPr>
          <w:rFonts w:asciiTheme="minorHAnsi" w:hAnsiTheme="minorHAnsi" w:cstheme="minorHAnsi"/>
          <w:sz w:val="22"/>
          <w:szCs w:val="22"/>
        </w:rPr>
        <w:t xml:space="preserve">after the existing Partnership for Development concludes in mid-2015 </w:t>
      </w:r>
      <w:r w:rsidRPr="00894779">
        <w:rPr>
          <w:rFonts w:asciiTheme="minorHAnsi" w:hAnsiTheme="minorHAnsi" w:cstheme="minorHAnsi"/>
          <w:sz w:val="22"/>
          <w:szCs w:val="22"/>
        </w:rPr>
        <w:t xml:space="preserve">and the expected results to be achieved. The AIP </w:t>
      </w:r>
      <w:r w:rsidR="00914776" w:rsidRPr="00894779">
        <w:rPr>
          <w:rFonts w:asciiTheme="minorHAnsi" w:hAnsiTheme="minorHAnsi" w:cstheme="minorHAnsi"/>
          <w:sz w:val="22"/>
          <w:szCs w:val="22"/>
        </w:rPr>
        <w:t xml:space="preserve">will align to Australia and PNG’s shared objectives for the aid program, it </w:t>
      </w:r>
      <w:r w:rsidRPr="00894779">
        <w:rPr>
          <w:rFonts w:asciiTheme="minorHAnsi" w:hAnsiTheme="minorHAnsi" w:cstheme="minorHAnsi"/>
          <w:sz w:val="22"/>
          <w:szCs w:val="22"/>
        </w:rPr>
        <w:t xml:space="preserve">will be based on the recommendations from the aid assessment and </w:t>
      </w:r>
      <w:r w:rsidR="00A22A8D" w:rsidRPr="00894779">
        <w:rPr>
          <w:rFonts w:asciiTheme="minorHAnsi" w:hAnsiTheme="minorHAnsi" w:cstheme="minorHAnsi"/>
          <w:sz w:val="22"/>
          <w:szCs w:val="22"/>
        </w:rPr>
        <w:t xml:space="preserve">be </w:t>
      </w:r>
      <w:r w:rsidRPr="00894779">
        <w:rPr>
          <w:rFonts w:asciiTheme="minorHAnsi" w:hAnsiTheme="minorHAnsi" w:cstheme="minorHAnsi"/>
          <w:sz w:val="22"/>
          <w:szCs w:val="22"/>
        </w:rPr>
        <w:t xml:space="preserve">guided by the new </w:t>
      </w:r>
      <w:r w:rsidR="00914776" w:rsidRPr="00894779">
        <w:rPr>
          <w:rFonts w:asciiTheme="minorHAnsi" w:hAnsiTheme="minorHAnsi" w:cstheme="minorHAnsi"/>
          <w:sz w:val="22"/>
          <w:szCs w:val="22"/>
        </w:rPr>
        <w:t>A</w:t>
      </w:r>
      <w:r w:rsidRPr="00894779">
        <w:rPr>
          <w:rFonts w:asciiTheme="minorHAnsi" w:hAnsiTheme="minorHAnsi" w:cstheme="minorHAnsi"/>
          <w:sz w:val="22"/>
          <w:szCs w:val="22"/>
        </w:rPr>
        <w:t xml:space="preserve">id </w:t>
      </w:r>
      <w:r w:rsidR="00914776" w:rsidRPr="00894779">
        <w:rPr>
          <w:rFonts w:asciiTheme="minorHAnsi" w:hAnsiTheme="minorHAnsi" w:cstheme="minorHAnsi"/>
          <w:sz w:val="22"/>
          <w:szCs w:val="22"/>
        </w:rPr>
        <w:t>P</w:t>
      </w:r>
      <w:r w:rsidRPr="00894779">
        <w:rPr>
          <w:rFonts w:asciiTheme="minorHAnsi" w:hAnsiTheme="minorHAnsi" w:cstheme="minorHAnsi"/>
          <w:sz w:val="22"/>
          <w:szCs w:val="22"/>
        </w:rPr>
        <w:t>olicy</w:t>
      </w:r>
      <w:r w:rsidR="00A22A8D" w:rsidRPr="00894779">
        <w:rPr>
          <w:rFonts w:asciiTheme="minorHAnsi" w:hAnsiTheme="minorHAnsi" w:cstheme="minorHAnsi"/>
          <w:sz w:val="22"/>
          <w:szCs w:val="22"/>
        </w:rPr>
        <w:t xml:space="preserve"> and PNG’s Medium Term Development Program 2015-2018</w:t>
      </w:r>
      <w:r w:rsidR="00886C43" w:rsidRPr="00894779">
        <w:rPr>
          <w:rFonts w:asciiTheme="minorHAnsi" w:hAnsiTheme="minorHAnsi" w:cstheme="minorHAnsi"/>
          <w:sz w:val="22"/>
          <w:szCs w:val="22"/>
        </w:rPr>
        <w:t>;</w:t>
      </w:r>
    </w:p>
    <w:p w:rsidR="006877C6" w:rsidRPr="00894779" w:rsidRDefault="006877C6" w:rsidP="006877C6">
      <w:pPr>
        <w:numPr>
          <w:ilvl w:val="0"/>
          <w:numId w:val="30"/>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 xml:space="preserve">Developing jointly between Australia and PNG </w:t>
      </w:r>
      <w:r w:rsidR="00914776" w:rsidRPr="00894779">
        <w:rPr>
          <w:rFonts w:asciiTheme="minorHAnsi" w:hAnsiTheme="minorHAnsi" w:cstheme="minorHAnsi"/>
          <w:sz w:val="22"/>
          <w:szCs w:val="22"/>
        </w:rPr>
        <w:t xml:space="preserve">a set of robust </w:t>
      </w:r>
      <w:r w:rsidRPr="00894779">
        <w:rPr>
          <w:rFonts w:asciiTheme="minorHAnsi" w:hAnsiTheme="minorHAnsi" w:cstheme="minorHAnsi"/>
          <w:sz w:val="22"/>
          <w:szCs w:val="22"/>
        </w:rPr>
        <w:t xml:space="preserve">performance benchmarks and mutual obligations, including a concrete approach to gender.  </w:t>
      </w:r>
      <w:r w:rsidR="00914776" w:rsidRPr="00894779">
        <w:rPr>
          <w:rFonts w:asciiTheme="minorHAnsi" w:hAnsiTheme="minorHAnsi" w:cstheme="minorHAnsi"/>
          <w:sz w:val="22"/>
          <w:szCs w:val="22"/>
        </w:rPr>
        <w:t>Performance b</w:t>
      </w:r>
      <w:r w:rsidRPr="00894779">
        <w:rPr>
          <w:rFonts w:asciiTheme="minorHAnsi" w:hAnsiTheme="minorHAnsi" w:cstheme="minorHAnsi"/>
          <w:sz w:val="22"/>
          <w:szCs w:val="22"/>
        </w:rPr>
        <w:t>enchmarks will reflect expected results from Australia</w:t>
      </w:r>
      <w:r w:rsidR="00914776" w:rsidRPr="00894779">
        <w:rPr>
          <w:rFonts w:asciiTheme="minorHAnsi" w:hAnsiTheme="minorHAnsi" w:cstheme="minorHAnsi"/>
          <w:sz w:val="22"/>
          <w:szCs w:val="22"/>
        </w:rPr>
        <w:t>’s</w:t>
      </w:r>
      <w:r w:rsidRPr="00894779">
        <w:rPr>
          <w:rFonts w:asciiTheme="minorHAnsi" w:hAnsiTheme="minorHAnsi" w:cstheme="minorHAnsi"/>
          <w:sz w:val="22"/>
          <w:szCs w:val="22"/>
        </w:rPr>
        <w:t xml:space="preserve"> aid investments in PNG</w:t>
      </w:r>
      <w:r w:rsidR="00914776" w:rsidRPr="00894779">
        <w:rPr>
          <w:rFonts w:asciiTheme="minorHAnsi" w:hAnsiTheme="minorHAnsi" w:cstheme="minorHAnsi"/>
          <w:sz w:val="22"/>
          <w:szCs w:val="22"/>
        </w:rPr>
        <w:t xml:space="preserve"> as well as </w:t>
      </w:r>
      <w:r w:rsidRPr="00894779">
        <w:rPr>
          <w:rFonts w:asciiTheme="minorHAnsi" w:hAnsiTheme="minorHAnsi" w:cstheme="minorHAnsi"/>
          <w:sz w:val="22"/>
          <w:szCs w:val="22"/>
        </w:rPr>
        <w:t>significant milestones</w:t>
      </w:r>
      <w:r w:rsidR="00914776" w:rsidRPr="00894779">
        <w:rPr>
          <w:rFonts w:asciiTheme="minorHAnsi" w:hAnsiTheme="minorHAnsi" w:cstheme="minorHAnsi"/>
          <w:sz w:val="22"/>
          <w:szCs w:val="22"/>
        </w:rPr>
        <w:t>, and</w:t>
      </w:r>
      <w:r w:rsidRPr="00894779">
        <w:rPr>
          <w:rFonts w:asciiTheme="minorHAnsi" w:hAnsiTheme="minorHAnsi" w:cstheme="minorHAnsi"/>
          <w:sz w:val="22"/>
          <w:szCs w:val="22"/>
        </w:rPr>
        <w:t xml:space="preserve"> measures of improved operational effectiveness to assess progress </w:t>
      </w:r>
      <w:r w:rsidR="00914776" w:rsidRPr="00894779">
        <w:rPr>
          <w:rFonts w:asciiTheme="minorHAnsi" w:hAnsiTheme="minorHAnsi" w:cstheme="minorHAnsi"/>
          <w:sz w:val="22"/>
          <w:szCs w:val="22"/>
        </w:rPr>
        <w:t xml:space="preserve">against </w:t>
      </w:r>
      <w:r w:rsidRPr="00894779">
        <w:rPr>
          <w:rFonts w:asciiTheme="minorHAnsi" w:hAnsiTheme="minorHAnsi" w:cstheme="minorHAnsi"/>
          <w:sz w:val="22"/>
          <w:szCs w:val="22"/>
        </w:rPr>
        <w:t xml:space="preserve">the </w:t>
      </w:r>
      <w:r w:rsidR="00914776" w:rsidRPr="00894779">
        <w:rPr>
          <w:rFonts w:asciiTheme="minorHAnsi" w:hAnsiTheme="minorHAnsi" w:cstheme="minorHAnsi"/>
          <w:sz w:val="22"/>
          <w:szCs w:val="22"/>
        </w:rPr>
        <w:t xml:space="preserve">new </w:t>
      </w:r>
      <w:r w:rsidRPr="00894779">
        <w:rPr>
          <w:rFonts w:asciiTheme="minorHAnsi" w:hAnsiTheme="minorHAnsi" w:cstheme="minorHAnsi"/>
          <w:sz w:val="22"/>
          <w:szCs w:val="22"/>
        </w:rPr>
        <w:t xml:space="preserve">AIP.  Mutual obligations will outline the key </w:t>
      </w:r>
      <w:r w:rsidR="00914776" w:rsidRPr="00894779">
        <w:rPr>
          <w:rFonts w:asciiTheme="minorHAnsi" w:hAnsiTheme="minorHAnsi" w:cstheme="minorHAnsi"/>
          <w:sz w:val="22"/>
          <w:szCs w:val="22"/>
        </w:rPr>
        <w:t xml:space="preserve">commitments from </w:t>
      </w:r>
      <w:r w:rsidRPr="00894779">
        <w:rPr>
          <w:rFonts w:asciiTheme="minorHAnsi" w:hAnsiTheme="minorHAnsi" w:cstheme="minorHAnsi"/>
          <w:sz w:val="22"/>
          <w:szCs w:val="22"/>
        </w:rPr>
        <w:t>the partner government that contribute</w:t>
      </w:r>
      <w:r w:rsidR="00886C43" w:rsidRPr="00894779">
        <w:rPr>
          <w:rFonts w:asciiTheme="minorHAnsi" w:hAnsiTheme="minorHAnsi" w:cstheme="minorHAnsi"/>
          <w:sz w:val="22"/>
          <w:szCs w:val="22"/>
        </w:rPr>
        <w:t xml:space="preserve"> to shared development outcomes;</w:t>
      </w:r>
    </w:p>
    <w:p w:rsidR="00A22A8D" w:rsidRPr="00894779" w:rsidRDefault="00A22A8D" w:rsidP="00A22A8D">
      <w:pPr>
        <w:numPr>
          <w:ilvl w:val="0"/>
          <w:numId w:val="30"/>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Increasing Australia’s aid to Bougainville to up to $50 million in 2014-15 to include a focus on supporting implementation of the autonomy arrangements under the Bougainville Peace Agreement and the ABG’s capacity to deliver basic services such as policing and technical education ahead of the election</w:t>
      </w:r>
      <w:r w:rsidR="00CA0E6D">
        <w:rPr>
          <w:rFonts w:asciiTheme="minorHAnsi" w:hAnsiTheme="minorHAnsi" w:cstheme="minorHAnsi"/>
          <w:sz w:val="22"/>
          <w:szCs w:val="22"/>
        </w:rPr>
        <w:t>,</w:t>
      </w:r>
      <w:r w:rsidRPr="00894779">
        <w:rPr>
          <w:rFonts w:asciiTheme="minorHAnsi" w:hAnsiTheme="minorHAnsi" w:cstheme="minorHAnsi"/>
          <w:sz w:val="22"/>
          <w:szCs w:val="22"/>
        </w:rPr>
        <w:t xml:space="preserve"> and expand the aid program to Bougainville’s least developed areas – predominantly in the south; </w:t>
      </w:r>
    </w:p>
    <w:p w:rsidR="006877C6" w:rsidRPr="00894779" w:rsidRDefault="00FE402A" w:rsidP="006877C6">
      <w:pPr>
        <w:numPr>
          <w:ilvl w:val="0"/>
          <w:numId w:val="30"/>
        </w:numPr>
        <w:spacing w:after="120"/>
        <w:ind w:right="-187"/>
        <w:jc w:val="both"/>
        <w:rPr>
          <w:rFonts w:asciiTheme="minorHAnsi" w:hAnsiTheme="minorHAnsi" w:cstheme="minorHAnsi"/>
          <w:sz w:val="22"/>
          <w:szCs w:val="22"/>
        </w:rPr>
      </w:pPr>
      <w:r>
        <w:rPr>
          <w:rFonts w:asciiTheme="minorHAnsi" w:hAnsiTheme="minorHAnsi" w:cstheme="minorHAnsi"/>
          <w:sz w:val="22"/>
          <w:szCs w:val="22"/>
        </w:rPr>
        <w:t>Developing</w:t>
      </w:r>
      <w:r w:rsidR="006877C6" w:rsidRPr="00894779">
        <w:rPr>
          <w:rFonts w:asciiTheme="minorHAnsi" w:hAnsiTheme="minorHAnsi" w:cstheme="minorHAnsi"/>
          <w:sz w:val="22"/>
          <w:szCs w:val="22"/>
        </w:rPr>
        <w:t xml:space="preserve"> a monitoring and evaluation framework, performance benchmarks and mutual commitments as well as multi-year sector specific </w:t>
      </w:r>
      <w:r w:rsidR="00886C43" w:rsidRPr="00894779">
        <w:rPr>
          <w:rFonts w:asciiTheme="minorHAnsi" w:hAnsiTheme="minorHAnsi" w:cstheme="minorHAnsi"/>
          <w:sz w:val="22"/>
          <w:szCs w:val="22"/>
        </w:rPr>
        <w:t>work plans</w:t>
      </w:r>
      <w:r>
        <w:rPr>
          <w:rFonts w:asciiTheme="minorHAnsi" w:hAnsiTheme="minorHAnsi" w:cstheme="minorHAnsi"/>
          <w:sz w:val="22"/>
          <w:szCs w:val="22"/>
        </w:rPr>
        <w:t xml:space="preserve"> for Bougainville</w:t>
      </w:r>
      <w:r w:rsidR="00886C43" w:rsidRPr="00894779">
        <w:rPr>
          <w:rFonts w:asciiTheme="minorHAnsi" w:hAnsiTheme="minorHAnsi" w:cstheme="minorHAnsi"/>
          <w:sz w:val="22"/>
          <w:szCs w:val="22"/>
        </w:rPr>
        <w:t>;</w:t>
      </w:r>
    </w:p>
    <w:p w:rsidR="006877C6" w:rsidRPr="00894779" w:rsidRDefault="006877C6" w:rsidP="006877C6">
      <w:pPr>
        <w:numPr>
          <w:ilvl w:val="0"/>
          <w:numId w:val="30"/>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Expand support for women’s empowerment, including a focus on women’s effective participation in the economy; women’s leadership in public life; and improved security in public and private spaces, including a specific focus on these issues in Bougainville</w:t>
      </w:r>
      <w:r w:rsidR="00886C43" w:rsidRPr="00894779">
        <w:rPr>
          <w:rFonts w:asciiTheme="minorHAnsi" w:hAnsiTheme="minorHAnsi" w:cstheme="minorHAnsi"/>
          <w:sz w:val="22"/>
          <w:szCs w:val="22"/>
        </w:rPr>
        <w:t>;</w:t>
      </w:r>
    </w:p>
    <w:p w:rsidR="006877C6" w:rsidRPr="00894779" w:rsidRDefault="006877C6" w:rsidP="006877C6">
      <w:pPr>
        <w:numPr>
          <w:ilvl w:val="0"/>
          <w:numId w:val="30"/>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 xml:space="preserve">Agreeing a framework for implementing future private sector development programs, including in agriculture.  The Governments of Australia and PNG will establish a working group to develop an agreed approach prior </w:t>
      </w:r>
      <w:r w:rsidR="00886C43" w:rsidRPr="00894779">
        <w:rPr>
          <w:rFonts w:asciiTheme="minorHAnsi" w:hAnsiTheme="minorHAnsi" w:cstheme="minorHAnsi"/>
          <w:sz w:val="22"/>
          <w:szCs w:val="22"/>
        </w:rPr>
        <w:t xml:space="preserve">to the </w:t>
      </w:r>
      <w:r w:rsidR="00A22A8D" w:rsidRPr="00894779">
        <w:rPr>
          <w:rFonts w:asciiTheme="minorHAnsi" w:hAnsiTheme="minorHAnsi" w:cstheme="minorHAnsi"/>
          <w:sz w:val="22"/>
          <w:szCs w:val="22"/>
        </w:rPr>
        <w:t xml:space="preserve">2014 </w:t>
      </w:r>
      <w:r w:rsidR="00886C43" w:rsidRPr="00894779">
        <w:rPr>
          <w:rFonts w:asciiTheme="minorHAnsi" w:hAnsiTheme="minorHAnsi" w:cstheme="minorHAnsi"/>
          <w:sz w:val="22"/>
          <w:szCs w:val="22"/>
        </w:rPr>
        <w:t>Senior Officials Meeting;</w:t>
      </w:r>
    </w:p>
    <w:p w:rsidR="00132142" w:rsidRPr="00894779" w:rsidRDefault="00132142" w:rsidP="006877C6">
      <w:pPr>
        <w:numPr>
          <w:ilvl w:val="0"/>
          <w:numId w:val="30"/>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Supporting the PNG Government to build a</w:t>
      </w:r>
      <w:r w:rsidR="00A22A8D" w:rsidRPr="00894779">
        <w:rPr>
          <w:rFonts w:asciiTheme="minorHAnsi" w:hAnsiTheme="minorHAnsi" w:cstheme="minorHAnsi"/>
          <w:sz w:val="22"/>
          <w:szCs w:val="22"/>
        </w:rPr>
        <w:t xml:space="preserve"> more</w:t>
      </w:r>
      <w:r w:rsidRPr="00894779">
        <w:rPr>
          <w:rFonts w:asciiTheme="minorHAnsi" w:hAnsiTheme="minorHAnsi" w:cstheme="minorHAnsi"/>
          <w:sz w:val="22"/>
          <w:szCs w:val="22"/>
        </w:rPr>
        <w:t xml:space="preserve"> effective public service, by increasing investment in Government-to-Government advisory support through the Strongim Gavman Program and by partnering with the PNG Government to establish a new School of Government;</w:t>
      </w:r>
    </w:p>
    <w:p w:rsidR="00886C43" w:rsidRPr="00894779" w:rsidRDefault="00886C43" w:rsidP="00886C43">
      <w:pPr>
        <w:pStyle w:val="BodyText"/>
        <w:numPr>
          <w:ilvl w:val="0"/>
          <w:numId w:val="30"/>
        </w:numPr>
        <w:spacing w:after="120" w:line="240" w:lineRule="auto"/>
        <w:jc w:val="both"/>
        <w:rPr>
          <w:rFonts w:asciiTheme="minorHAnsi" w:hAnsiTheme="minorHAnsi" w:cstheme="minorHAnsi"/>
          <w:sz w:val="22"/>
          <w:szCs w:val="22"/>
        </w:rPr>
      </w:pPr>
      <w:r w:rsidRPr="00894779">
        <w:rPr>
          <w:rFonts w:asciiTheme="minorHAnsi" w:hAnsiTheme="minorHAnsi" w:cstheme="minorHAnsi"/>
          <w:sz w:val="22"/>
          <w:szCs w:val="22"/>
        </w:rPr>
        <w:t>Designing and commissioning a new phase of the Incentive Fund program (Phase 4). The new phase will build upon its success from the previous phases, incorporate lessons le</w:t>
      </w:r>
      <w:r w:rsidR="00DB79A8" w:rsidRPr="00894779">
        <w:rPr>
          <w:rFonts w:asciiTheme="minorHAnsi" w:hAnsiTheme="minorHAnsi" w:cstheme="minorHAnsi"/>
          <w:sz w:val="22"/>
          <w:szCs w:val="22"/>
        </w:rPr>
        <w:t>arned</w:t>
      </w:r>
      <w:r w:rsidRPr="00894779">
        <w:rPr>
          <w:rFonts w:asciiTheme="minorHAnsi" w:hAnsiTheme="minorHAnsi" w:cstheme="minorHAnsi"/>
          <w:sz w:val="22"/>
          <w:szCs w:val="22"/>
        </w:rPr>
        <w:t>, and will seek to leverage service delivery and economic development outcomes by engaging the private sector along with more traditional partners;</w:t>
      </w:r>
    </w:p>
    <w:p w:rsidR="00886C43" w:rsidRPr="00894779" w:rsidRDefault="00886C43" w:rsidP="00886C43">
      <w:pPr>
        <w:pStyle w:val="BodyText"/>
        <w:numPr>
          <w:ilvl w:val="0"/>
          <w:numId w:val="30"/>
        </w:numPr>
        <w:spacing w:after="120" w:line="240" w:lineRule="auto"/>
        <w:jc w:val="both"/>
        <w:rPr>
          <w:rFonts w:asciiTheme="minorHAnsi" w:hAnsiTheme="minorHAnsi" w:cstheme="minorHAnsi"/>
          <w:sz w:val="22"/>
          <w:szCs w:val="22"/>
        </w:rPr>
      </w:pPr>
      <w:r w:rsidRPr="00894779">
        <w:rPr>
          <w:rFonts w:asciiTheme="minorHAnsi" w:hAnsiTheme="minorHAnsi" w:cstheme="minorHAnsi"/>
          <w:sz w:val="22"/>
          <w:szCs w:val="22"/>
        </w:rPr>
        <w:t>Increasing engagement with the private sector to determine opportunities for developing partnerships with business to support sustainable and equitable growth in PNG;</w:t>
      </w:r>
    </w:p>
    <w:p w:rsidR="006877C6" w:rsidRPr="00894779" w:rsidRDefault="006877C6" w:rsidP="006877C6">
      <w:pPr>
        <w:numPr>
          <w:ilvl w:val="0"/>
          <w:numId w:val="30"/>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Addressing vulnerabilities of people with disabilities carefully in all future designs, including Law and Justice,</w:t>
      </w:r>
      <w:r w:rsidR="00886C43" w:rsidRPr="00894779">
        <w:rPr>
          <w:rFonts w:asciiTheme="minorHAnsi" w:hAnsiTheme="minorHAnsi" w:cstheme="minorHAnsi"/>
          <w:sz w:val="22"/>
          <w:szCs w:val="22"/>
        </w:rPr>
        <w:t xml:space="preserve"> Governance and Incentive Funds;</w:t>
      </w:r>
    </w:p>
    <w:p w:rsidR="006877C6" w:rsidRPr="00894779" w:rsidRDefault="006877C6" w:rsidP="006877C6">
      <w:pPr>
        <w:numPr>
          <w:ilvl w:val="0"/>
          <w:numId w:val="30"/>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Focussing on robust monitoring and evaluation across Australia’s aid investments in PNG, such as improving whole of government performance frameworks, building staff capabilities in M&amp;E and improving cohesion with an</w:t>
      </w:r>
      <w:r w:rsidR="00886C43" w:rsidRPr="00894779">
        <w:rPr>
          <w:rFonts w:asciiTheme="minorHAnsi" w:hAnsiTheme="minorHAnsi" w:cstheme="minorHAnsi"/>
          <w:sz w:val="22"/>
          <w:szCs w:val="22"/>
        </w:rPr>
        <w:t>d between sectoral investments; and</w:t>
      </w:r>
    </w:p>
    <w:p w:rsidR="006877C6" w:rsidRPr="00894779" w:rsidRDefault="00886C43" w:rsidP="006877C6">
      <w:pPr>
        <w:numPr>
          <w:ilvl w:val="0"/>
          <w:numId w:val="30"/>
        </w:numPr>
        <w:spacing w:after="120"/>
        <w:ind w:right="-187"/>
        <w:jc w:val="both"/>
        <w:rPr>
          <w:rFonts w:asciiTheme="minorHAnsi" w:hAnsiTheme="minorHAnsi" w:cstheme="minorHAnsi"/>
          <w:sz w:val="22"/>
          <w:szCs w:val="22"/>
        </w:rPr>
      </w:pPr>
      <w:r w:rsidRPr="00894779">
        <w:rPr>
          <w:rFonts w:asciiTheme="minorHAnsi" w:hAnsiTheme="minorHAnsi" w:cstheme="minorHAnsi"/>
          <w:sz w:val="22"/>
          <w:szCs w:val="22"/>
        </w:rPr>
        <w:t>Continuing the</w:t>
      </w:r>
      <w:r w:rsidR="006877C6" w:rsidRPr="00894779">
        <w:rPr>
          <w:rFonts w:asciiTheme="minorHAnsi" w:hAnsiTheme="minorHAnsi" w:cstheme="minorHAnsi"/>
          <w:sz w:val="22"/>
          <w:szCs w:val="22"/>
        </w:rPr>
        <w:t xml:space="preserve"> close monitoring of Australia’s aid investments and sustained emphasis on good governance, transparency and equity in PNG to manage risks facing the aid program. </w:t>
      </w:r>
    </w:p>
    <w:p w:rsidR="002B0F30" w:rsidRPr="00463D86" w:rsidRDefault="002B0F30" w:rsidP="00164E82">
      <w:pPr>
        <w:pStyle w:val="Heading3"/>
        <w:sectPr w:rsidR="002B0F30" w:rsidRPr="00463D86" w:rsidSect="00FE2BB5">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850" w:footer="567" w:gutter="0"/>
          <w:pgNumType w:start="1"/>
          <w:cols w:space="720"/>
          <w:docGrid w:linePitch="326"/>
        </w:sectPr>
      </w:pPr>
    </w:p>
    <w:p w:rsidR="002B0F30" w:rsidRPr="00DF39AC" w:rsidRDefault="002B0F30" w:rsidP="002B0F30">
      <w:pPr>
        <w:keepNext/>
        <w:spacing w:before="360" w:after="120"/>
        <w:outlineLvl w:val="1"/>
        <w:rPr>
          <w:rFonts w:ascii="Helvetica" w:eastAsia="Times New Roman" w:hAnsi="Helvetica" w:cs="Arial"/>
          <w:color w:val="007FAD"/>
          <w:kern w:val="28"/>
          <w:sz w:val="28"/>
          <w:szCs w:val="28"/>
        </w:rPr>
      </w:pPr>
      <w:r w:rsidRPr="00DF39AC">
        <w:rPr>
          <w:rFonts w:ascii="Helvetica" w:eastAsia="Times New Roman" w:hAnsi="Helvetica" w:cs="Arial"/>
          <w:color w:val="007FAD"/>
          <w:kern w:val="28"/>
          <w:sz w:val="28"/>
          <w:szCs w:val="28"/>
        </w:rPr>
        <w:lastRenderedPageBreak/>
        <w:t xml:space="preserve">Annex A </w:t>
      </w:r>
    </w:p>
    <w:p w:rsidR="00FE2BB5" w:rsidRPr="00424D05" w:rsidRDefault="002B0F30" w:rsidP="00424D05">
      <w:pPr>
        <w:keepNext/>
        <w:spacing w:before="360" w:after="120"/>
        <w:outlineLvl w:val="1"/>
        <w:rPr>
          <w:rFonts w:ascii="Helvetica" w:eastAsia="Times New Roman" w:hAnsi="Helvetica" w:cs="Arial"/>
          <w:color w:val="007FAD"/>
          <w:kern w:val="28"/>
          <w:sz w:val="28"/>
          <w:szCs w:val="28"/>
        </w:rPr>
      </w:pPr>
      <w:r w:rsidRPr="00DF39AC">
        <w:rPr>
          <w:rFonts w:ascii="Helvetica" w:eastAsia="Times New Roman" w:hAnsi="Helvetica" w:cs="Arial"/>
          <w:color w:val="007FAD"/>
          <w:kern w:val="28"/>
          <w:sz w:val="28"/>
          <w:szCs w:val="28"/>
        </w:rPr>
        <w:t>Progress in addressing 2012-13 management responses</w:t>
      </w:r>
    </w:p>
    <w:tbl>
      <w:tblPr>
        <w:tblStyle w:val="APPR1"/>
        <w:tblpPr w:leftFromText="180" w:rightFromText="180" w:vertAnchor="text" w:tblpY="1"/>
        <w:tblW w:w="5000" w:type="pct"/>
        <w:tblBorders>
          <w:top w:val="none" w:sz="0" w:space="0" w:color="auto"/>
          <w:bottom w:val="none" w:sz="0" w:space="0" w:color="auto"/>
        </w:tblBorders>
        <w:tblLayout w:type="fixed"/>
        <w:tblLook w:val="0600" w:firstRow="0" w:lastRow="0" w:firstColumn="0" w:lastColumn="0" w:noHBand="1" w:noVBand="1"/>
      </w:tblPr>
      <w:tblGrid>
        <w:gridCol w:w="7070"/>
        <w:gridCol w:w="1004"/>
        <w:gridCol w:w="7596"/>
      </w:tblGrid>
      <w:tr w:rsidR="002B0F30" w:rsidRPr="00DF39AC" w:rsidTr="000151DC">
        <w:tc>
          <w:tcPr>
            <w:tcW w:w="7028" w:type="dxa"/>
            <w:tcBorders>
              <w:top w:val="single" w:sz="4" w:space="0" w:color="auto"/>
              <w:bottom w:val="single" w:sz="4" w:space="0" w:color="auto"/>
            </w:tcBorders>
          </w:tcPr>
          <w:p w:rsidR="002B0F30" w:rsidRPr="00DF39AC" w:rsidRDefault="002B0F30" w:rsidP="000229E5">
            <w:pPr>
              <w:keepLines/>
              <w:spacing w:before="80" w:after="80" w:line="200" w:lineRule="atLeast"/>
              <w:rPr>
                <w:rFonts w:ascii="Franklin Gothic Medium" w:eastAsia="Times New Roman" w:hAnsi="Franklin Gothic Medium"/>
                <w:b/>
                <w:iCs/>
                <w:szCs w:val="20"/>
                <w:lang w:eastAsia="en-US"/>
              </w:rPr>
            </w:pPr>
            <w:r w:rsidRPr="00DF39AC">
              <w:rPr>
                <w:rFonts w:ascii="Franklin Gothic Medium" w:eastAsia="Times New Roman" w:hAnsi="Franklin Gothic Medium"/>
                <w:b/>
                <w:iCs/>
                <w:szCs w:val="20"/>
                <w:lang w:eastAsia="en-US"/>
              </w:rPr>
              <w:t>Management consequences identified in 2012-13 APPR</w:t>
            </w:r>
            <w:r w:rsidRPr="00DF39AC">
              <w:rPr>
                <w:rFonts w:ascii="Franklin Gothic Medium" w:eastAsia="Times New Roman" w:hAnsi="Franklin Gothic Medium"/>
                <w:b/>
                <w:iCs/>
                <w:szCs w:val="20"/>
                <w:lang w:eastAsia="en-US"/>
              </w:rPr>
              <w:tab/>
            </w:r>
          </w:p>
        </w:tc>
        <w:tc>
          <w:tcPr>
            <w:tcW w:w="976" w:type="dxa"/>
            <w:tcBorders>
              <w:top w:val="single" w:sz="4" w:space="0" w:color="auto"/>
              <w:bottom w:val="single" w:sz="4" w:space="0" w:color="auto"/>
            </w:tcBorders>
          </w:tcPr>
          <w:p w:rsidR="002B0F30" w:rsidRPr="00424D05" w:rsidRDefault="002B0F30" w:rsidP="000229E5">
            <w:pPr>
              <w:keepLines/>
              <w:spacing w:before="80" w:after="80" w:line="200" w:lineRule="atLeast"/>
              <w:rPr>
                <w:rFonts w:ascii="Franklin Gothic Medium" w:eastAsia="Times New Roman" w:hAnsi="Franklin Gothic Medium"/>
                <w:b/>
                <w:iCs/>
                <w:szCs w:val="20"/>
                <w:lang w:eastAsia="en-US"/>
              </w:rPr>
            </w:pPr>
            <w:r w:rsidRPr="00424D05">
              <w:rPr>
                <w:rFonts w:ascii="Franklin Gothic Medium" w:eastAsia="Times New Roman" w:hAnsi="Franklin Gothic Medium"/>
                <w:b/>
                <w:iCs/>
                <w:szCs w:val="20"/>
                <w:lang w:eastAsia="en-US"/>
              </w:rPr>
              <w:t>Rating</w:t>
            </w:r>
          </w:p>
        </w:tc>
        <w:tc>
          <w:tcPr>
            <w:tcW w:w="7554" w:type="dxa"/>
            <w:tcBorders>
              <w:top w:val="single" w:sz="4" w:space="0" w:color="auto"/>
              <w:bottom w:val="single" w:sz="4" w:space="0" w:color="auto"/>
            </w:tcBorders>
          </w:tcPr>
          <w:p w:rsidR="002B0F30" w:rsidRPr="00DF39AC" w:rsidRDefault="002B0F30" w:rsidP="000229E5">
            <w:pPr>
              <w:keepLines/>
              <w:spacing w:before="80" w:after="80" w:line="200" w:lineRule="atLeast"/>
              <w:rPr>
                <w:rFonts w:ascii="Franklin Gothic Medium" w:eastAsia="Times New Roman" w:hAnsi="Franklin Gothic Medium"/>
                <w:b/>
                <w:iCs/>
                <w:szCs w:val="20"/>
                <w:lang w:eastAsia="en-US"/>
              </w:rPr>
            </w:pPr>
            <w:r w:rsidRPr="00DF39AC">
              <w:rPr>
                <w:rFonts w:ascii="Franklin Gothic Medium" w:eastAsia="Times New Roman" w:hAnsi="Franklin Gothic Medium"/>
                <w:b/>
                <w:iCs/>
                <w:szCs w:val="20"/>
                <w:lang w:eastAsia="en-US"/>
              </w:rPr>
              <w:t>Progress made in 2013-14</w:t>
            </w:r>
          </w:p>
        </w:tc>
      </w:tr>
      <w:tr w:rsidR="002B0F30" w:rsidRPr="00DF39AC" w:rsidTr="000151DC">
        <w:trPr>
          <w:trHeight w:val="1179"/>
        </w:trPr>
        <w:tc>
          <w:tcPr>
            <w:tcW w:w="7028" w:type="dxa"/>
          </w:tcPr>
          <w:p w:rsidR="002B0F30" w:rsidRPr="00DF39AC" w:rsidRDefault="002B0F30" w:rsidP="000229E5">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 xml:space="preserve">Complete a country situation analysis and associated analytical work to consider the PNG country context and inform discussions between the Australian and PNG governments and other donors. The situation analysis is an Australian Government tool used to inform high-level development assistance priorities. Based on wide consultation and assessment of development, it will inform the program’s future direction. </w:t>
            </w:r>
          </w:p>
        </w:tc>
        <w:tc>
          <w:tcPr>
            <w:tcW w:w="976" w:type="dxa"/>
            <w:shd w:val="clear" w:color="auto" w:fill="9BBB59" w:themeFill="accent3"/>
          </w:tcPr>
          <w:p w:rsidR="002B0F30" w:rsidRPr="00424D05" w:rsidRDefault="002B0F30" w:rsidP="000229E5">
            <w:pPr>
              <w:keepLines/>
              <w:spacing w:before="40" w:after="40" w:line="200" w:lineRule="atLeast"/>
              <w:jc w:val="center"/>
              <w:rPr>
                <w:rFonts w:ascii="Franklin Gothic Book" w:eastAsia="Times New Roman" w:hAnsi="Franklin Gothic Book"/>
                <w:iCs/>
                <w:sz w:val="17"/>
                <w:szCs w:val="17"/>
                <w:lang w:eastAsia="en-US"/>
              </w:rPr>
            </w:pPr>
            <w:r w:rsidRPr="00424D05">
              <w:rPr>
                <w:rFonts w:ascii="Franklin Gothic Book" w:eastAsia="Times New Roman" w:hAnsi="Franklin Gothic Book"/>
                <w:iCs/>
                <w:sz w:val="17"/>
                <w:szCs w:val="17"/>
                <w:lang w:eastAsia="en-US"/>
              </w:rPr>
              <w:t>Achieved</w:t>
            </w:r>
          </w:p>
        </w:tc>
        <w:tc>
          <w:tcPr>
            <w:tcW w:w="7554" w:type="dxa"/>
          </w:tcPr>
          <w:p w:rsidR="002B0F30" w:rsidRPr="00DF39AC" w:rsidRDefault="002B0F30" w:rsidP="000229E5">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 xml:space="preserve">An aid assessment was undertaken in 2013-14 to determine whether key priorities of PNG and Australian Governments were </w:t>
            </w:r>
            <w:r>
              <w:rPr>
                <w:rFonts w:ascii="Franklin Gothic Book" w:eastAsia="Times New Roman" w:hAnsi="Franklin Gothic Book"/>
                <w:iCs/>
                <w:sz w:val="17"/>
                <w:szCs w:val="17"/>
                <w:lang w:eastAsia="en-US"/>
              </w:rPr>
              <w:t>aligned</w:t>
            </w:r>
            <w:r w:rsidRPr="00DF39AC">
              <w:rPr>
                <w:rFonts w:ascii="Franklin Gothic Book" w:eastAsia="Times New Roman" w:hAnsi="Franklin Gothic Book"/>
                <w:iCs/>
                <w:sz w:val="17"/>
                <w:szCs w:val="17"/>
                <w:lang w:eastAsia="en-US"/>
              </w:rPr>
              <w:t xml:space="preserve">. </w:t>
            </w:r>
          </w:p>
          <w:p w:rsidR="002B0F30" w:rsidRPr="00DF39AC" w:rsidRDefault="002B0F30" w:rsidP="000229E5">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 xml:space="preserve">An </w:t>
            </w:r>
            <w:r w:rsidRPr="00DF39AC">
              <w:rPr>
                <w:rFonts w:ascii="Franklin Gothic Book" w:eastAsia="Times New Roman" w:hAnsi="Franklin Gothic Book"/>
                <w:iCs/>
                <w:sz w:val="17"/>
                <w:szCs w:val="17"/>
                <w:lang w:eastAsia="en-US"/>
              </w:rPr>
              <w:t>Aid Investment Plan</w:t>
            </w:r>
            <w:r>
              <w:rPr>
                <w:rFonts w:ascii="Franklin Gothic Book" w:eastAsia="Times New Roman" w:hAnsi="Franklin Gothic Book"/>
                <w:iCs/>
                <w:sz w:val="17"/>
                <w:szCs w:val="17"/>
                <w:lang w:eastAsia="en-US"/>
              </w:rPr>
              <w:t xml:space="preserve"> is being developed</w:t>
            </w:r>
            <w:r w:rsidR="00AE3CE1">
              <w:rPr>
                <w:rFonts w:ascii="Franklin Gothic Book" w:eastAsia="Times New Roman" w:hAnsi="Franklin Gothic Book"/>
                <w:iCs/>
                <w:sz w:val="17"/>
                <w:szCs w:val="17"/>
                <w:lang w:eastAsia="en-US"/>
              </w:rPr>
              <w:t>.</w:t>
            </w:r>
            <w:r>
              <w:rPr>
                <w:rFonts w:ascii="Franklin Gothic Book" w:eastAsia="Times New Roman" w:hAnsi="Franklin Gothic Book"/>
                <w:iCs/>
                <w:sz w:val="17"/>
                <w:szCs w:val="17"/>
                <w:lang w:eastAsia="en-US"/>
              </w:rPr>
              <w:t xml:space="preserve"> </w:t>
            </w:r>
          </w:p>
        </w:tc>
      </w:tr>
      <w:tr w:rsidR="002B0F30" w:rsidRPr="00DF39AC" w:rsidTr="000151DC">
        <w:tc>
          <w:tcPr>
            <w:tcW w:w="7028" w:type="dxa"/>
            <w:tcBorders>
              <w:top w:val="single" w:sz="4" w:space="0" w:color="auto"/>
              <w:bottom w:val="single" w:sz="4" w:space="0" w:color="auto"/>
            </w:tcBorders>
          </w:tcPr>
          <w:p w:rsidR="002B0F30" w:rsidRPr="00DF39AC" w:rsidRDefault="002B0F30" w:rsidP="000229E5">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Continue to work on jointly identifying and supporting agreed priorities through the budget engagement process in 2013. Australia will provide technical assistance to PNG for proposed budget reforms (including introducing multi-year budgeting and integrating development and recurrent budgets).</w:t>
            </w:r>
          </w:p>
        </w:tc>
        <w:tc>
          <w:tcPr>
            <w:tcW w:w="976" w:type="dxa"/>
            <w:tcBorders>
              <w:top w:val="single" w:sz="4" w:space="0" w:color="auto"/>
              <w:bottom w:val="single" w:sz="4" w:space="0" w:color="auto"/>
            </w:tcBorders>
            <w:shd w:val="clear" w:color="auto" w:fill="9BBB59" w:themeFill="accent3"/>
          </w:tcPr>
          <w:p w:rsidR="002B0F30" w:rsidRPr="00424D05" w:rsidRDefault="002B0F30" w:rsidP="000229E5">
            <w:pPr>
              <w:keepLines/>
              <w:spacing w:before="40" w:after="40" w:line="200" w:lineRule="atLeast"/>
              <w:jc w:val="center"/>
              <w:rPr>
                <w:rFonts w:ascii="Franklin Gothic Book" w:eastAsia="Times New Roman" w:hAnsi="Franklin Gothic Book"/>
                <w:iCs/>
                <w:sz w:val="17"/>
                <w:szCs w:val="17"/>
                <w:lang w:eastAsia="en-US"/>
              </w:rPr>
            </w:pPr>
            <w:r w:rsidRPr="00424D05">
              <w:rPr>
                <w:rFonts w:ascii="Franklin Gothic Book" w:eastAsia="Times New Roman" w:hAnsi="Franklin Gothic Book"/>
                <w:iCs/>
                <w:sz w:val="17"/>
                <w:szCs w:val="17"/>
                <w:lang w:eastAsia="en-US"/>
              </w:rPr>
              <w:t>Achieved</w:t>
            </w:r>
            <w:r w:rsidRPr="00424D05">
              <w:rPr>
                <w:rFonts w:ascii="Franklin Gothic Book" w:eastAsia="Times New Roman" w:hAnsi="Franklin Gothic Book"/>
                <w:iCs/>
                <w:sz w:val="17"/>
                <w:szCs w:val="17"/>
                <w:lang w:eastAsia="en-US"/>
              </w:rPr>
              <w:fldChar w:fldCharType="begin"/>
            </w:r>
            <w:r w:rsidRPr="00424D05">
              <w:rPr>
                <w:rFonts w:ascii="Franklin Gothic Book" w:eastAsia="Times New Roman" w:hAnsi="Franklin Gothic Book"/>
                <w:iCs/>
                <w:sz w:val="17"/>
                <w:szCs w:val="17"/>
                <w:lang w:eastAsia="en-US"/>
              </w:rPr>
              <w:instrText xml:space="preserve"> AUTOTEXTLIST  \s "Rating bullet"\t "Right click to choose a rating" \* MERGEFORMAT </w:instrText>
            </w:r>
            <w:r w:rsidRPr="00424D05">
              <w:rPr>
                <w:rFonts w:ascii="Franklin Gothic Book" w:eastAsia="Times New Roman" w:hAnsi="Franklin Gothic Book"/>
                <w:iCs/>
                <w:sz w:val="17"/>
                <w:szCs w:val="17"/>
                <w:lang w:eastAsia="en-US"/>
              </w:rPr>
              <w:fldChar w:fldCharType="end"/>
            </w:r>
          </w:p>
        </w:tc>
        <w:tc>
          <w:tcPr>
            <w:tcW w:w="7554" w:type="dxa"/>
            <w:tcBorders>
              <w:top w:val="single" w:sz="4" w:space="0" w:color="auto"/>
              <w:bottom w:val="single" w:sz="4" w:space="0" w:color="auto"/>
            </w:tcBorders>
          </w:tcPr>
          <w:p w:rsidR="002B0F30" w:rsidRPr="0058265A" w:rsidRDefault="0058265A" w:rsidP="000229E5">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Support provided</w:t>
            </w:r>
          </w:p>
        </w:tc>
      </w:tr>
      <w:tr w:rsidR="002B0F30" w:rsidRPr="00DF39AC" w:rsidTr="00C6565D">
        <w:tc>
          <w:tcPr>
            <w:tcW w:w="7028" w:type="dxa"/>
          </w:tcPr>
          <w:p w:rsidR="002B0F30" w:rsidRPr="00DF39AC" w:rsidRDefault="002B0F30" w:rsidP="000229E5">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Progress a reform agenda with the Government of PNG to support improved service delivery outcomes for Papua New Guineans, including through:</w:t>
            </w:r>
          </w:p>
          <w:p w:rsidR="002B0F30" w:rsidRPr="00DF39AC" w:rsidRDefault="002B0F30" w:rsidP="008D6917">
            <w:pPr>
              <w:keepLines/>
              <w:numPr>
                <w:ilvl w:val="0"/>
                <w:numId w:val="20"/>
              </w:numPr>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Procurement systems reform</w:t>
            </w:r>
          </w:p>
          <w:p w:rsidR="002B0F30" w:rsidRPr="00DF39AC" w:rsidRDefault="002B0F30" w:rsidP="008D6917">
            <w:pPr>
              <w:keepLines/>
              <w:numPr>
                <w:ilvl w:val="0"/>
                <w:numId w:val="20"/>
              </w:numPr>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Greater, more targeted and effective investment in PNG’s service delivery workforce</w:t>
            </w:r>
          </w:p>
          <w:p w:rsidR="002B0F30" w:rsidRPr="00DF39AC" w:rsidRDefault="002B0F30" w:rsidP="008D6917">
            <w:pPr>
              <w:keepLines/>
              <w:numPr>
                <w:ilvl w:val="0"/>
                <w:numId w:val="20"/>
              </w:numPr>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Strengthened sub-national capacity to spend increased budgets effectively</w:t>
            </w:r>
          </w:p>
          <w:p w:rsidR="002B0F30" w:rsidRPr="00DF39AC" w:rsidRDefault="002B0F30" w:rsidP="008D6917">
            <w:pPr>
              <w:keepLines/>
              <w:numPr>
                <w:ilvl w:val="0"/>
                <w:numId w:val="20"/>
              </w:numPr>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Minimised risks and maximised opportunities in the Government on PNG’s infrastructure and education agendas</w:t>
            </w:r>
          </w:p>
          <w:p w:rsidR="002B0F30" w:rsidRPr="00DF39AC" w:rsidRDefault="002B0F30" w:rsidP="008D6917">
            <w:pPr>
              <w:keepLines/>
              <w:numPr>
                <w:ilvl w:val="0"/>
                <w:numId w:val="20"/>
              </w:numPr>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Greater progress on anti-corruption</w:t>
            </w:r>
          </w:p>
        </w:tc>
        <w:tc>
          <w:tcPr>
            <w:tcW w:w="976" w:type="dxa"/>
            <w:shd w:val="clear" w:color="auto" w:fill="FFC000"/>
          </w:tcPr>
          <w:p w:rsidR="002B0F30" w:rsidRPr="00424D05" w:rsidRDefault="00C6565D" w:rsidP="000229E5">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Partly a</w:t>
            </w:r>
            <w:r w:rsidR="002B0F30" w:rsidRPr="00424D05">
              <w:rPr>
                <w:rFonts w:ascii="Franklin Gothic Book" w:eastAsia="Times New Roman" w:hAnsi="Franklin Gothic Book"/>
                <w:iCs/>
                <w:sz w:val="17"/>
                <w:szCs w:val="17"/>
                <w:lang w:eastAsia="en-US"/>
              </w:rPr>
              <w:t>chieved</w:t>
            </w:r>
          </w:p>
        </w:tc>
        <w:tc>
          <w:tcPr>
            <w:tcW w:w="7554" w:type="dxa"/>
          </w:tcPr>
          <w:p w:rsidR="00C6565D" w:rsidRDefault="00C6565D" w:rsidP="00C6565D">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 xml:space="preserve">Procurement systems reform, including the establishment of an independent health procurement authority, has not progressed, and concerns remain on commitment to anti-corruption in light of the 2013 compromised medical supply kit tender process. </w:t>
            </w:r>
          </w:p>
          <w:p w:rsidR="00C6565D" w:rsidRDefault="00C6565D" w:rsidP="00C6565D">
            <w:pPr>
              <w:keepLines/>
              <w:spacing w:before="40" w:after="40" w:line="200" w:lineRule="atLeast"/>
              <w:rPr>
                <w:rFonts w:ascii="Franklin Gothic Book" w:eastAsia="Times New Roman" w:hAnsi="Franklin Gothic Book"/>
                <w:iCs/>
                <w:sz w:val="17"/>
                <w:szCs w:val="17"/>
                <w:lang w:eastAsia="en-US"/>
              </w:rPr>
            </w:pPr>
          </w:p>
          <w:p w:rsidR="002B0F30" w:rsidRPr="0058265A" w:rsidRDefault="00C6565D" w:rsidP="00C6565D">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Although the Government of PNG has funded most increases for the Christian Health Services workforce, this is still short of what is needed and funding for health worker training institutions is inadequate.</w:t>
            </w:r>
          </w:p>
        </w:tc>
      </w:tr>
      <w:tr w:rsidR="002B0F30" w:rsidRPr="00DF39AC" w:rsidTr="000151DC">
        <w:tc>
          <w:tcPr>
            <w:tcW w:w="7028" w:type="dxa"/>
            <w:tcBorders>
              <w:top w:val="single" w:sz="4" w:space="0" w:color="auto"/>
              <w:bottom w:val="single" w:sz="4" w:space="0" w:color="auto"/>
            </w:tcBorders>
          </w:tcPr>
          <w:p w:rsidR="002B0F30" w:rsidRPr="00DF39AC" w:rsidRDefault="002B0F30" w:rsidP="000229E5">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Embed deeper poverty analysis to inform better programming decisions.</w:t>
            </w:r>
          </w:p>
          <w:p w:rsidR="002B0F30" w:rsidRPr="00DF39AC" w:rsidRDefault="002B0F30" w:rsidP="000229E5">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Continue to strengthen the department’s analytical capability to better:</w:t>
            </w:r>
          </w:p>
          <w:p w:rsidR="002B0F30" w:rsidRPr="00DF39AC" w:rsidRDefault="002B0F30" w:rsidP="008D6917">
            <w:pPr>
              <w:keepLines/>
              <w:numPr>
                <w:ilvl w:val="0"/>
                <w:numId w:val="20"/>
              </w:numPr>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Engage in economic policy discussion with the PNG Government</w:t>
            </w:r>
          </w:p>
          <w:p w:rsidR="002B0F30" w:rsidRPr="00DF39AC" w:rsidRDefault="002B0F30" w:rsidP="008D6917">
            <w:pPr>
              <w:keepLines/>
              <w:numPr>
                <w:ilvl w:val="0"/>
                <w:numId w:val="20"/>
              </w:numPr>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Improve understanding of the political economy to identify where there is political will to support reforms and where Australia can opportunistically engage</w:t>
            </w:r>
          </w:p>
          <w:p w:rsidR="002B0F30" w:rsidRPr="00DF39AC" w:rsidRDefault="002B0F30" w:rsidP="008D6917">
            <w:pPr>
              <w:keepLines/>
              <w:numPr>
                <w:ilvl w:val="0"/>
                <w:numId w:val="20"/>
              </w:numPr>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Identify opportunities to support civil society to work more effectively with the PNG Government</w:t>
            </w:r>
          </w:p>
        </w:tc>
        <w:tc>
          <w:tcPr>
            <w:tcW w:w="976" w:type="dxa"/>
            <w:tcBorders>
              <w:top w:val="single" w:sz="4" w:space="0" w:color="auto"/>
              <w:bottom w:val="single" w:sz="4" w:space="0" w:color="auto"/>
            </w:tcBorders>
            <w:shd w:val="clear" w:color="auto" w:fill="FFC000"/>
          </w:tcPr>
          <w:p w:rsidR="002B0F30" w:rsidRPr="00424D05" w:rsidRDefault="002B0F30" w:rsidP="000229E5">
            <w:pPr>
              <w:keepLines/>
              <w:spacing w:before="40" w:after="40" w:line="200" w:lineRule="atLeast"/>
              <w:jc w:val="center"/>
              <w:rPr>
                <w:rFonts w:ascii="Franklin Gothic Book" w:eastAsia="Times New Roman" w:hAnsi="Franklin Gothic Book"/>
                <w:iCs/>
                <w:sz w:val="17"/>
                <w:szCs w:val="17"/>
                <w:lang w:eastAsia="en-US"/>
              </w:rPr>
            </w:pPr>
            <w:r w:rsidRPr="00424D05">
              <w:rPr>
                <w:rFonts w:ascii="Franklin Gothic Book" w:eastAsia="Times New Roman" w:hAnsi="Franklin Gothic Book"/>
                <w:iCs/>
                <w:sz w:val="17"/>
                <w:szCs w:val="17"/>
                <w:lang w:eastAsia="en-US"/>
              </w:rPr>
              <w:t>Partly achieved</w:t>
            </w:r>
          </w:p>
        </w:tc>
        <w:tc>
          <w:tcPr>
            <w:tcW w:w="7554" w:type="dxa"/>
            <w:tcBorders>
              <w:top w:val="single" w:sz="4" w:space="0" w:color="auto"/>
              <w:bottom w:val="single" w:sz="4" w:space="0" w:color="auto"/>
            </w:tcBorders>
          </w:tcPr>
          <w:p w:rsidR="002B0F30" w:rsidRPr="00DF39AC" w:rsidRDefault="00FE2BB5" w:rsidP="00FE2BB5">
            <w:pPr>
              <w:keepLines/>
              <w:spacing w:before="40" w:after="40" w:line="200" w:lineRule="atLeast"/>
              <w:rPr>
                <w:rFonts w:ascii="Franklin Gothic Book" w:eastAsia="Times New Roman" w:hAnsi="Franklin Gothic Book"/>
                <w:iCs/>
                <w:color w:val="F79646" w:themeColor="accent6"/>
                <w:sz w:val="17"/>
                <w:szCs w:val="17"/>
                <w:lang w:eastAsia="en-US"/>
              </w:rPr>
            </w:pPr>
            <w:r w:rsidRPr="00FE2BB5">
              <w:rPr>
                <w:rFonts w:ascii="Franklin Gothic Book" w:eastAsia="Times New Roman" w:hAnsi="Franklin Gothic Book"/>
                <w:iCs/>
                <w:sz w:val="17"/>
                <w:szCs w:val="17"/>
                <w:lang w:eastAsia="en-US"/>
              </w:rPr>
              <w:t>No poverty analysis undertaken within the reporting year. Sectors are undertaking more analytical work including impact studies.</w:t>
            </w:r>
          </w:p>
        </w:tc>
      </w:tr>
      <w:tr w:rsidR="00325222" w:rsidRPr="00DF39AC" w:rsidTr="000151DC">
        <w:tc>
          <w:tcPr>
            <w:tcW w:w="7028" w:type="dxa"/>
          </w:tcPr>
          <w:p w:rsidR="00325222" w:rsidRPr="00DF39AC" w:rsidRDefault="00325222" w:rsidP="00325222">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Introduce regular coordination mechanisms between Australia’s governance and sector programs, to ensure investments complement one another and ultimately reduce poverty.</w:t>
            </w:r>
          </w:p>
        </w:tc>
        <w:tc>
          <w:tcPr>
            <w:tcW w:w="976" w:type="dxa"/>
            <w:shd w:val="clear" w:color="auto" w:fill="9BBB59" w:themeFill="accent3"/>
          </w:tcPr>
          <w:p w:rsidR="00325222" w:rsidRPr="00424D05" w:rsidRDefault="00245ED7" w:rsidP="00325222">
            <w:pPr>
              <w:keepLines/>
              <w:spacing w:before="40" w:after="40" w:line="200" w:lineRule="atLeast"/>
              <w:jc w:val="center"/>
              <w:rPr>
                <w:rFonts w:ascii="Franklin Gothic Book" w:eastAsia="Times New Roman" w:hAnsi="Franklin Gothic Book"/>
                <w:iCs/>
                <w:sz w:val="17"/>
                <w:szCs w:val="17"/>
                <w:lang w:eastAsia="en-US"/>
              </w:rPr>
            </w:pPr>
            <w:r w:rsidRPr="00424D05">
              <w:rPr>
                <w:rFonts w:ascii="Franklin Gothic Book" w:eastAsia="Times New Roman" w:hAnsi="Franklin Gothic Book"/>
                <w:iCs/>
                <w:sz w:val="17"/>
                <w:szCs w:val="17"/>
                <w:lang w:eastAsia="en-US"/>
              </w:rPr>
              <w:t>Achieved</w:t>
            </w:r>
          </w:p>
        </w:tc>
        <w:tc>
          <w:tcPr>
            <w:tcW w:w="7554" w:type="dxa"/>
          </w:tcPr>
          <w:p w:rsidR="00325222" w:rsidRPr="00FE2BB5" w:rsidRDefault="0058265A" w:rsidP="00325222">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Progressing well</w:t>
            </w:r>
            <w:r w:rsidR="00AE3CE1">
              <w:rPr>
                <w:rFonts w:ascii="Franklin Gothic Book" w:eastAsia="Times New Roman" w:hAnsi="Franklin Gothic Book"/>
                <w:iCs/>
                <w:sz w:val="17"/>
                <w:szCs w:val="17"/>
                <w:lang w:eastAsia="en-US"/>
              </w:rPr>
              <w:t>.</w:t>
            </w:r>
          </w:p>
        </w:tc>
      </w:tr>
      <w:tr w:rsidR="00325222" w:rsidRPr="00DF39AC" w:rsidTr="000151DC">
        <w:tc>
          <w:tcPr>
            <w:tcW w:w="7028" w:type="dxa"/>
          </w:tcPr>
          <w:p w:rsidR="00325222" w:rsidRPr="00DF39AC" w:rsidRDefault="00325222" w:rsidP="00325222">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heme="minorHAnsi" w:hAnsi="Franklin Gothic Book" w:cstheme="minorBidi"/>
                <w:sz w:val="17"/>
                <w:szCs w:val="22"/>
              </w:rPr>
              <w:t>Strengthen coordination mechanisms between Australia and other donors to ensure policy messages and investments complement one another.</w:t>
            </w:r>
          </w:p>
        </w:tc>
        <w:tc>
          <w:tcPr>
            <w:tcW w:w="976" w:type="dxa"/>
            <w:shd w:val="clear" w:color="auto" w:fill="9BBB59" w:themeFill="accent3"/>
          </w:tcPr>
          <w:p w:rsidR="00325222" w:rsidRPr="00424D05" w:rsidRDefault="00245ED7" w:rsidP="00325222">
            <w:pPr>
              <w:keepLines/>
              <w:spacing w:before="40" w:after="40" w:line="200" w:lineRule="atLeast"/>
              <w:jc w:val="center"/>
              <w:rPr>
                <w:rFonts w:ascii="Franklin Gothic Book" w:eastAsia="Times New Roman" w:hAnsi="Franklin Gothic Book"/>
                <w:iCs/>
                <w:sz w:val="17"/>
                <w:szCs w:val="17"/>
                <w:lang w:eastAsia="en-US"/>
              </w:rPr>
            </w:pPr>
            <w:r w:rsidRPr="00424D05">
              <w:rPr>
                <w:rFonts w:ascii="Franklin Gothic Book" w:eastAsia="Times New Roman" w:hAnsi="Franklin Gothic Book"/>
                <w:iCs/>
                <w:sz w:val="17"/>
                <w:szCs w:val="17"/>
                <w:lang w:eastAsia="en-US"/>
              </w:rPr>
              <w:t>Achieved</w:t>
            </w:r>
          </w:p>
        </w:tc>
        <w:tc>
          <w:tcPr>
            <w:tcW w:w="7554" w:type="dxa"/>
          </w:tcPr>
          <w:p w:rsidR="00325222" w:rsidRPr="00FE2BB5" w:rsidRDefault="00325222" w:rsidP="00325222">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DFAT co-chairs monthly donor round table meetings.</w:t>
            </w:r>
          </w:p>
        </w:tc>
      </w:tr>
      <w:tr w:rsidR="00325222" w:rsidRPr="00DF39AC" w:rsidTr="00C6565D">
        <w:tc>
          <w:tcPr>
            <w:tcW w:w="7028" w:type="dxa"/>
            <w:tcBorders>
              <w:top w:val="single" w:sz="4" w:space="0" w:color="auto"/>
              <w:bottom w:val="single" w:sz="4" w:space="0" w:color="auto"/>
            </w:tcBorders>
          </w:tcPr>
          <w:p w:rsidR="00325222" w:rsidRPr="00325222" w:rsidRDefault="00325222" w:rsidP="00325222">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Cs/>
                <w:sz w:val="17"/>
                <w:szCs w:val="17"/>
                <w:lang w:eastAsia="en-US"/>
              </w:rPr>
              <w:t>Continue to hold high-level discussions with the PNG Government on the Infrastructure Development Authority, Sovereign Wealth Fund and Independent Health Procurement Authority, and provide technical assistance to ensure the effective planning and implementation of these mechanis</w:t>
            </w:r>
            <w:r>
              <w:rPr>
                <w:rFonts w:ascii="Franklin Gothic Book" w:eastAsia="Times New Roman" w:hAnsi="Franklin Gothic Book"/>
                <w:iCs/>
                <w:sz w:val="17"/>
                <w:szCs w:val="17"/>
                <w:lang w:eastAsia="en-US"/>
              </w:rPr>
              <w:t>ms.</w:t>
            </w:r>
          </w:p>
        </w:tc>
        <w:tc>
          <w:tcPr>
            <w:tcW w:w="976" w:type="dxa"/>
            <w:tcBorders>
              <w:top w:val="single" w:sz="4" w:space="0" w:color="auto"/>
              <w:bottom w:val="single" w:sz="4" w:space="0" w:color="auto"/>
            </w:tcBorders>
            <w:shd w:val="clear" w:color="auto" w:fill="FFC000"/>
          </w:tcPr>
          <w:p w:rsidR="00325222" w:rsidRPr="00424D05" w:rsidRDefault="00C6565D" w:rsidP="00325222">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Partly a</w:t>
            </w:r>
            <w:r w:rsidR="00245ED7" w:rsidRPr="00424D05">
              <w:rPr>
                <w:rFonts w:ascii="Franklin Gothic Book" w:eastAsia="Times New Roman" w:hAnsi="Franklin Gothic Book"/>
                <w:iCs/>
                <w:sz w:val="17"/>
                <w:szCs w:val="17"/>
                <w:lang w:eastAsia="en-US"/>
              </w:rPr>
              <w:t>chieved</w:t>
            </w:r>
          </w:p>
        </w:tc>
        <w:tc>
          <w:tcPr>
            <w:tcW w:w="7554" w:type="dxa"/>
            <w:tcBorders>
              <w:top w:val="single" w:sz="4" w:space="0" w:color="auto"/>
              <w:bottom w:val="single" w:sz="4" w:space="0" w:color="auto"/>
            </w:tcBorders>
          </w:tcPr>
          <w:p w:rsidR="00647DDD" w:rsidRDefault="00647DDD" w:rsidP="00647DDD">
            <w:pPr>
              <w:keepLines/>
              <w:spacing w:before="40" w:after="40" w:line="200" w:lineRule="atLeast"/>
              <w:rPr>
                <w:rFonts w:ascii="Franklin Gothic Book" w:eastAsia="Times New Roman" w:hAnsi="Franklin Gothic Book"/>
                <w:iCs/>
                <w:sz w:val="17"/>
                <w:szCs w:val="17"/>
                <w:lang w:eastAsia="en-US"/>
              </w:rPr>
            </w:pPr>
            <w:r w:rsidRPr="003E1A2C">
              <w:rPr>
                <w:rFonts w:ascii="Franklin Gothic Book" w:eastAsia="Times New Roman" w:hAnsi="Franklin Gothic Book"/>
                <w:iCs/>
                <w:sz w:val="17"/>
                <w:szCs w:val="17"/>
                <w:lang w:eastAsia="en-US"/>
              </w:rPr>
              <w:t xml:space="preserve">PNG publically committed to the </w:t>
            </w:r>
            <w:r w:rsidR="00C6565D" w:rsidRPr="003E1A2C">
              <w:rPr>
                <w:rFonts w:ascii="Franklin Gothic Book" w:eastAsia="Times New Roman" w:hAnsi="Franklin Gothic Book"/>
                <w:iCs/>
                <w:sz w:val="17"/>
                <w:szCs w:val="17"/>
                <w:lang w:eastAsia="en-US"/>
              </w:rPr>
              <w:t>establishment of an independent health procurement authority</w:t>
            </w:r>
            <w:r w:rsidRPr="003E1A2C">
              <w:rPr>
                <w:rFonts w:ascii="Franklin Gothic Book" w:eastAsia="Times New Roman" w:hAnsi="Franklin Gothic Book"/>
                <w:iCs/>
                <w:sz w:val="17"/>
                <w:szCs w:val="17"/>
                <w:lang w:eastAsia="en-US"/>
              </w:rPr>
              <w:t xml:space="preserve"> in January 2014, but this</w:t>
            </w:r>
            <w:r w:rsidR="00C6565D" w:rsidRPr="003E1A2C">
              <w:rPr>
                <w:rFonts w:ascii="Franklin Gothic Book" w:eastAsia="Times New Roman" w:hAnsi="Franklin Gothic Book"/>
                <w:iCs/>
                <w:sz w:val="17"/>
                <w:szCs w:val="17"/>
                <w:lang w:eastAsia="en-US"/>
              </w:rPr>
              <w:t xml:space="preserve"> did not progress </w:t>
            </w:r>
            <w:r w:rsidRPr="003E1A2C">
              <w:rPr>
                <w:rFonts w:ascii="Franklin Gothic Book" w:eastAsia="Times New Roman" w:hAnsi="Franklin Gothic Book"/>
                <w:iCs/>
                <w:sz w:val="17"/>
                <w:szCs w:val="17"/>
                <w:lang w:eastAsia="en-US"/>
              </w:rPr>
              <w:t xml:space="preserve">any further </w:t>
            </w:r>
            <w:r w:rsidR="00C6565D" w:rsidRPr="003E1A2C">
              <w:rPr>
                <w:rFonts w:ascii="Franklin Gothic Book" w:eastAsia="Times New Roman" w:hAnsi="Franklin Gothic Book"/>
                <w:iCs/>
                <w:sz w:val="17"/>
                <w:szCs w:val="17"/>
                <w:lang w:eastAsia="en-US"/>
              </w:rPr>
              <w:t>in 2013-14.</w:t>
            </w:r>
            <w:r>
              <w:rPr>
                <w:rFonts w:ascii="Franklin Gothic Book" w:eastAsia="Times New Roman" w:hAnsi="Franklin Gothic Book"/>
                <w:iCs/>
                <w:sz w:val="17"/>
                <w:szCs w:val="17"/>
                <w:lang w:eastAsia="en-US"/>
              </w:rPr>
              <w:t xml:space="preserve"> </w:t>
            </w:r>
          </w:p>
        </w:tc>
      </w:tr>
      <w:tr w:rsidR="00325222" w:rsidRPr="00DF39AC" w:rsidTr="000151DC">
        <w:tc>
          <w:tcPr>
            <w:tcW w:w="7028" w:type="dxa"/>
            <w:tcBorders>
              <w:bottom w:val="single" w:sz="4" w:space="0" w:color="auto"/>
            </w:tcBorders>
          </w:tcPr>
          <w:p w:rsidR="00325222" w:rsidRPr="00DF39AC" w:rsidRDefault="00325222" w:rsidP="00325222">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
                <w:iCs/>
                <w:sz w:val="17"/>
                <w:szCs w:val="17"/>
                <w:u w:val="single"/>
                <w:lang w:eastAsia="en-US"/>
              </w:rPr>
              <w:lastRenderedPageBreak/>
              <w:t>Health</w:t>
            </w:r>
            <w:r>
              <w:rPr>
                <w:rFonts w:ascii="Franklin Gothic Book" w:eastAsia="Times New Roman" w:hAnsi="Franklin Gothic Book"/>
                <w:i/>
                <w:iCs/>
                <w:sz w:val="17"/>
                <w:szCs w:val="17"/>
                <w:u w:val="single"/>
                <w:lang w:eastAsia="en-US"/>
              </w:rPr>
              <w:t xml:space="preserve"> - </w:t>
            </w:r>
            <w:r w:rsidRPr="00DF39AC">
              <w:rPr>
                <w:rFonts w:ascii="Franklin Gothic Book" w:eastAsia="Times New Roman" w:hAnsi="Franklin Gothic Book"/>
                <w:iCs/>
                <w:sz w:val="17"/>
                <w:szCs w:val="17"/>
                <w:lang w:eastAsia="en-US"/>
              </w:rPr>
              <w:t>Developing whole-of-government strategies for financing and reforming medical supply; deploying technical assistance to priority provinces; and addressing performance of multilateral partners through high level forums. Continuing to advocate for the PNG Government to prioritise and adequately fund its National TB Strategy.</w:t>
            </w:r>
          </w:p>
        </w:tc>
        <w:tc>
          <w:tcPr>
            <w:tcW w:w="976" w:type="dxa"/>
            <w:tcBorders>
              <w:bottom w:val="single" w:sz="4" w:space="0" w:color="auto"/>
            </w:tcBorders>
            <w:shd w:val="clear" w:color="auto" w:fill="FFC000"/>
          </w:tcPr>
          <w:p w:rsidR="00325222" w:rsidRPr="00424D05" w:rsidRDefault="00AE3CE1" w:rsidP="00325222">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Partly achieved</w:t>
            </w:r>
          </w:p>
        </w:tc>
        <w:tc>
          <w:tcPr>
            <w:tcW w:w="7554" w:type="dxa"/>
            <w:tcBorders>
              <w:bottom w:val="single" w:sz="4" w:space="0" w:color="auto"/>
            </w:tcBorders>
          </w:tcPr>
          <w:p w:rsidR="00325222" w:rsidRDefault="00325222" w:rsidP="00325222">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 xml:space="preserve">GoPNG while conceding the need for reform has </w:t>
            </w:r>
            <w:r w:rsidR="006766DE">
              <w:rPr>
                <w:rFonts w:ascii="Franklin Gothic Book" w:eastAsia="Times New Roman" w:hAnsi="Franklin Gothic Book"/>
                <w:iCs/>
                <w:sz w:val="17"/>
                <w:szCs w:val="17"/>
                <w:lang w:eastAsia="en-US"/>
              </w:rPr>
              <w:t xml:space="preserve">not yet </w:t>
            </w:r>
            <w:r>
              <w:rPr>
                <w:rFonts w:ascii="Franklin Gothic Book" w:eastAsia="Times New Roman" w:hAnsi="Franklin Gothic Book"/>
                <w:iCs/>
                <w:sz w:val="17"/>
                <w:szCs w:val="17"/>
                <w:lang w:eastAsia="en-US"/>
              </w:rPr>
              <w:t xml:space="preserve">shown committed to reform medical procurement. </w:t>
            </w:r>
          </w:p>
          <w:p w:rsidR="00325222" w:rsidRPr="00CA1E6E" w:rsidRDefault="00325222" w:rsidP="00325222">
            <w:pPr>
              <w:keepLines/>
              <w:spacing w:before="40" w:after="40" w:line="200" w:lineRule="atLeast"/>
              <w:rPr>
                <w:rFonts w:ascii="Franklin Gothic Book" w:eastAsia="Times New Roman" w:hAnsi="Franklin Gothic Book"/>
                <w:iCs/>
                <w:sz w:val="17"/>
                <w:szCs w:val="17"/>
                <w:lang w:eastAsia="en-US"/>
              </w:rPr>
            </w:pPr>
            <w:r w:rsidRPr="00CA1E6E">
              <w:rPr>
                <w:rFonts w:ascii="Franklin Gothic Book" w:eastAsia="Times New Roman" w:hAnsi="Franklin Gothic Book"/>
                <w:iCs/>
                <w:sz w:val="17"/>
                <w:szCs w:val="17"/>
                <w:lang w:eastAsia="en-US"/>
              </w:rPr>
              <w:t xml:space="preserve">The Government of PNG has recommitted to establishing an Independent Health Procurement Authority, but there is a lack of approval of the NEC submission. </w:t>
            </w:r>
          </w:p>
          <w:p w:rsidR="00325222" w:rsidRDefault="00325222" w:rsidP="00C6565D">
            <w:pPr>
              <w:keepLines/>
              <w:spacing w:before="40" w:after="40" w:line="200" w:lineRule="atLeast"/>
              <w:rPr>
                <w:rFonts w:ascii="Franklin Gothic Book" w:eastAsia="Times New Roman" w:hAnsi="Franklin Gothic Book"/>
                <w:iCs/>
                <w:sz w:val="17"/>
                <w:szCs w:val="17"/>
                <w:lang w:eastAsia="en-US"/>
              </w:rPr>
            </w:pPr>
            <w:r w:rsidRPr="00CA1E6E">
              <w:rPr>
                <w:rFonts w:ascii="Franklin Gothic Book" w:eastAsia="Times New Roman" w:hAnsi="Franklin Gothic Book"/>
                <w:iCs/>
                <w:sz w:val="17"/>
                <w:szCs w:val="17"/>
                <w:lang w:eastAsia="en-US"/>
              </w:rPr>
              <w:t>Budget engagement strategy has influenced increased funding by GoPNG f</w:t>
            </w:r>
            <w:r w:rsidR="00CA1E6E" w:rsidRPr="00CA1E6E">
              <w:rPr>
                <w:rFonts w:ascii="Franklin Gothic Book" w:eastAsia="Times New Roman" w:hAnsi="Franklin Gothic Book"/>
                <w:iCs/>
                <w:sz w:val="17"/>
                <w:szCs w:val="17"/>
                <w:lang w:eastAsia="en-US"/>
              </w:rPr>
              <w:t>or</w:t>
            </w:r>
            <w:r w:rsidR="00C6565D">
              <w:rPr>
                <w:rFonts w:ascii="Franklin Gothic Book" w:eastAsia="Times New Roman" w:hAnsi="Franklin Gothic Book"/>
                <w:iCs/>
                <w:sz w:val="17"/>
                <w:szCs w:val="17"/>
                <w:lang w:eastAsia="en-US"/>
              </w:rPr>
              <w:t xml:space="preserve"> CHS</w:t>
            </w:r>
            <w:r w:rsidRPr="00CA1E6E">
              <w:rPr>
                <w:rFonts w:ascii="Franklin Gothic Book" w:eastAsia="Times New Roman" w:hAnsi="Franklin Gothic Book"/>
                <w:iCs/>
                <w:sz w:val="17"/>
                <w:szCs w:val="17"/>
                <w:lang w:eastAsia="en-US"/>
              </w:rPr>
              <w:t>. The review of the National TB Strategy and the revision of the Health and HIV Delivery Strategy have been delayed due to reviews of aid architecture and the PNG program. Multi-year HIV plans have been put in place following the NHS Mid-Term review influencing HIV programming, but the quality is variable. Succession planning for the Health and HIV program has been affected as a result of the DFAT/AusAID integration. Technical health advisers have been deployed to priority provinces. An M&amp;E firm was contracted and mobilised in the second quarter of 2014 to provide services across the Health and HIV portfolio. All partners have undertaken performance reviews to improve multilateral partner performance.</w:t>
            </w:r>
          </w:p>
        </w:tc>
      </w:tr>
      <w:tr w:rsidR="00325222" w:rsidRPr="00DF39AC" w:rsidTr="000151DC">
        <w:tc>
          <w:tcPr>
            <w:tcW w:w="7028" w:type="dxa"/>
          </w:tcPr>
          <w:p w:rsidR="00CA1E6E" w:rsidRPr="00DF39AC" w:rsidRDefault="00CA1E6E" w:rsidP="00CA1E6E">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
                <w:iCs/>
                <w:sz w:val="17"/>
                <w:szCs w:val="17"/>
                <w:u w:val="single"/>
                <w:lang w:eastAsia="en-US"/>
              </w:rPr>
              <w:t>Education</w:t>
            </w:r>
            <w:r>
              <w:rPr>
                <w:rFonts w:ascii="Franklin Gothic Book" w:eastAsia="Times New Roman" w:hAnsi="Franklin Gothic Book"/>
                <w:i/>
                <w:iCs/>
                <w:sz w:val="17"/>
                <w:szCs w:val="17"/>
                <w:u w:val="single"/>
                <w:lang w:eastAsia="en-US"/>
              </w:rPr>
              <w:t xml:space="preserve"> -- </w:t>
            </w:r>
            <w:r w:rsidRPr="00DF39AC">
              <w:rPr>
                <w:rFonts w:ascii="Franklin Gothic Book" w:eastAsia="Times New Roman" w:hAnsi="Franklin Gothic Book"/>
                <w:iCs/>
                <w:sz w:val="17"/>
                <w:szCs w:val="17"/>
                <w:lang w:eastAsia="en-US"/>
              </w:rPr>
              <w:t>Through regular discussions between senior Australian and PNG gover</w:t>
            </w:r>
            <w:r>
              <w:rPr>
                <w:rFonts w:ascii="Franklin Gothic Book" w:eastAsia="Times New Roman" w:hAnsi="Franklin Gothic Book"/>
                <w:iCs/>
                <w:sz w:val="17"/>
                <w:szCs w:val="17"/>
                <w:lang w:eastAsia="en-US"/>
              </w:rPr>
              <w:t>nment officials, Australia will, p</w:t>
            </w:r>
            <w:r w:rsidRPr="00DF39AC">
              <w:rPr>
                <w:rFonts w:ascii="Franklin Gothic Book" w:eastAsia="Times New Roman" w:hAnsi="Franklin Gothic Book"/>
                <w:iCs/>
                <w:sz w:val="17"/>
                <w:szCs w:val="17"/>
                <w:lang w:eastAsia="en-US"/>
              </w:rPr>
              <w:t>rogress a basic and secondary education quality agenda focusing on critical issues such as training teachers, developing curriculum and enhancing accountability of the School Subsidies Scheme. Australia will contract M&amp;E for the Education Program to improve collection of program performance data.</w:t>
            </w:r>
          </w:p>
          <w:p w:rsidR="00325222" w:rsidRPr="00DF39AC" w:rsidRDefault="00CA1E6E" w:rsidP="00CA1E6E">
            <w:pPr>
              <w:keepLines/>
              <w:spacing w:before="40" w:after="40" w:line="200" w:lineRule="atLeast"/>
              <w:rPr>
                <w:rFonts w:ascii="Franklin Gothic Book" w:eastAsia="Times New Roman" w:hAnsi="Franklin Gothic Book"/>
                <w:i/>
                <w:iCs/>
                <w:sz w:val="17"/>
                <w:szCs w:val="17"/>
                <w:u w:val="single"/>
                <w:lang w:eastAsia="en-US"/>
              </w:rPr>
            </w:pPr>
            <w:r w:rsidRPr="00DF39AC">
              <w:rPr>
                <w:rFonts w:ascii="Franklin Gothic Book" w:eastAsia="Times New Roman" w:hAnsi="Franklin Gothic Book"/>
                <w:iCs/>
                <w:sz w:val="17"/>
                <w:szCs w:val="17"/>
                <w:lang w:eastAsia="en-US"/>
              </w:rPr>
              <w:t>Support PNG’s quality agenda for higher education and discuss ways to support post-secondary institutions to expand places to better meet demand, subject to quality assessments. This approach will make use of existing institutions, allow steady building of academic capacity and provide sufficient time to improve institutional readiness for increased enrolments.</w:t>
            </w:r>
          </w:p>
        </w:tc>
        <w:tc>
          <w:tcPr>
            <w:tcW w:w="976" w:type="dxa"/>
            <w:shd w:val="clear" w:color="auto" w:fill="9BBB59" w:themeFill="accent3"/>
          </w:tcPr>
          <w:p w:rsidR="00325222" w:rsidRPr="00424D05" w:rsidRDefault="00CA1E6E" w:rsidP="00325222">
            <w:pPr>
              <w:keepLines/>
              <w:spacing w:before="40" w:after="40" w:line="200" w:lineRule="atLeast"/>
              <w:jc w:val="center"/>
              <w:rPr>
                <w:rFonts w:ascii="Franklin Gothic Book" w:eastAsia="Times New Roman" w:hAnsi="Franklin Gothic Book"/>
                <w:iCs/>
                <w:sz w:val="17"/>
                <w:szCs w:val="17"/>
                <w:lang w:eastAsia="en-US"/>
              </w:rPr>
            </w:pPr>
            <w:r w:rsidRPr="00424D05">
              <w:rPr>
                <w:rFonts w:ascii="Franklin Gothic Book" w:eastAsia="Times New Roman" w:hAnsi="Franklin Gothic Book"/>
                <w:iCs/>
                <w:sz w:val="17"/>
                <w:szCs w:val="17"/>
                <w:lang w:eastAsia="en-US"/>
              </w:rPr>
              <w:t>Achieved</w:t>
            </w:r>
          </w:p>
        </w:tc>
        <w:tc>
          <w:tcPr>
            <w:tcW w:w="7554" w:type="dxa"/>
          </w:tcPr>
          <w:p w:rsidR="00CA1E6E" w:rsidRPr="003B042E" w:rsidRDefault="00CA1E6E" w:rsidP="00CA1E6E">
            <w:pPr>
              <w:contextualSpacing/>
              <w:rPr>
                <w:rFonts w:ascii="Franklin Gothic Book" w:hAnsi="Franklin Gothic Book"/>
                <w:iCs/>
                <w:sz w:val="17"/>
                <w:szCs w:val="17"/>
                <w:lang w:eastAsia="en-US"/>
              </w:rPr>
            </w:pPr>
            <w:r>
              <w:rPr>
                <w:rFonts w:ascii="Franklin Gothic Book" w:hAnsi="Franklin Gothic Book"/>
                <w:iCs/>
                <w:sz w:val="17"/>
                <w:szCs w:val="17"/>
                <w:lang w:eastAsia="en-US"/>
              </w:rPr>
              <w:t>A</w:t>
            </w:r>
            <w:r w:rsidRPr="003B042E">
              <w:rPr>
                <w:rFonts w:ascii="Franklin Gothic Book" w:hAnsi="Franklin Gothic Book"/>
                <w:iCs/>
                <w:sz w:val="17"/>
                <w:szCs w:val="17"/>
                <w:lang w:eastAsia="en-US"/>
              </w:rPr>
              <w:t>ccess</w:t>
            </w:r>
            <w:r>
              <w:rPr>
                <w:rFonts w:ascii="Franklin Gothic Book" w:hAnsi="Franklin Gothic Book"/>
                <w:iCs/>
                <w:sz w:val="17"/>
                <w:szCs w:val="17"/>
                <w:lang w:eastAsia="en-US"/>
              </w:rPr>
              <w:t xml:space="preserve"> to</w:t>
            </w:r>
            <w:r w:rsidRPr="003B042E">
              <w:rPr>
                <w:rFonts w:ascii="Franklin Gothic Book" w:hAnsi="Franklin Gothic Book"/>
                <w:iCs/>
                <w:sz w:val="17"/>
                <w:szCs w:val="17"/>
                <w:lang w:eastAsia="en-US"/>
              </w:rPr>
              <w:t xml:space="preserve"> the Minister and the Secretary of Education were limited. </w:t>
            </w:r>
            <w:r>
              <w:rPr>
                <w:rFonts w:ascii="Franklin Gothic Book" w:hAnsi="Franklin Gothic Book"/>
                <w:iCs/>
                <w:sz w:val="17"/>
                <w:szCs w:val="17"/>
                <w:lang w:eastAsia="en-US"/>
              </w:rPr>
              <w:t>W</w:t>
            </w:r>
            <w:r w:rsidRPr="003B042E">
              <w:rPr>
                <w:rFonts w:ascii="Franklin Gothic Book" w:hAnsi="Franklin Gothic Book"/>
                <w:iCs/>
                <w:sz w:val="17"/>
                <w:szCs w:val="17"/>
                <w:lang w:eastAsia="en-US"/>
              </w:rPr>
              <w:t xml:space="preserve">e have continued to engage with the </w:t>
            </w:r>
            <w:r>
              <w:rPr>
                <w:rFonts w:ascii="Franklin Gothic Book" w:hAnsi="Franklin Gothic Book"/>
                <w:iCs/>
                <w:sz w:val="17"/>
                <w:szCs w:val="17"/>
                <w:lang w:eastAsia="en-US"/>
              </w:rPr>
              <w:t>department</w:t>
            </w:r>
            <w:r w:rsidRPr="003B042E">
              <w:rPr>
                <w:rFonts w:ascii="Franklin Gothic Book" w:hAnsi="Franklin Gothic Book"/>
                <w:iCs/>
                <w:sz w:val="17"/>
                <w:szCs w:val="17"/>
                <w:lang w:eastAsia="en-US"/>
              </w:rPr>
              <w:t xml:space="preserve"> and our support has led to good progress in PNG’s participation in PaBER and EGRA, curriculum development of a national quality standards framework, teacher training and improved accountability of the school subsidies scheme.  </w:t>
            </w:r>
          </w:p>
          <w:p w:rsidR="00CA1E6E" w:rsidRPr="003B042E" w:rsidRDefault="00CA1E6E" w:rsidP="00CA1E6E">
            <w:pPr>
              <w:contextualSpacing/>
              <w:rPr>
                <w:rFonts w:ascii="Franklin Gothic Book" w:hAnsi="Franklin Gothic Book"/>
                <w:iCs/>
                <w:sz w:val="17"/>
                <w:szCs w:val="17"/>
                <w:lang w:eastAsia="en-US"/>
              </w:rPr>
            </w:pPr>
            <w:r w:rsidRPr="003B042E">
              <w:rPr>
                <w:rFonts w:ascii="Franklin Gothic Book" w:hAnsi="Franklin Gothic Book"/>
                <w:iCs/>
                <w:sz w:val="17"/>
                <w:szCs w:val="17"/>
                <w:lang w:eastAsia="en-US"/>
              </w:rPr>
              <w:t>A concept for improving the quality of teacher training is under development, with the design to be completed in the second half of 2014.</w:t>
            </w:r>
          </w:p>
          <w:p w:rsidR="00CA1E6E" w:rsidRPr="003B042E" w:rsidRDefault="00CA1E6E" w:rsidP="00CA1E6E">
            <w:pPr>
              <w:contextualSpacing/>
              <w:rPr>
                <w:rFonts w:ascii="Franklin Gothic Book" w:hAnsi="Franklin Gothic Book"/>
                <w:iCs/>
                <w:sz w:val="17"/>
                <w:szCs w:val="17"/>
                <w:lang w:eastAsia="en-US"/>
              </w:rPr>
            </w:pPr>
            <w:r w:rsidRPr="003B042E">
              <w:rPr>
                <w:rFonts w:ascii="Franklin Gothic Book" w:hAnsi="Franklin Gothic Book"/>
                <w:iCs/>
                <w:sz w:val="17"/>
                <w:szCs w:val="17"/>
                <w:lang w:eastAsia="en-US"/>
              </w:rPr>
              <w:t>The M&amp;E framework will be finalised with contracting to be undertaken in the second half of 2014.</w:t>
            </w:r>
          </w:p>
          <w:p w:rsidR="00325222" w:rsidRDefault="00CA1E6E" w:rsidP="00CA1E6E">
            <w:pPr>
              <w:keepLines/>
              <w:spacing w:before="40" w:after="40" w:line="200" w:lineRule="atLeast"/>
              <w:rPr>
                <w:rFonts w:ascii="Franklin Gothic Book" w:eastAsia="Times New Roman" w:hAnsi="Franklin Gothic Book"/>
                <w:iCs/>
                <w:sz w:val="17"/>
                <w:szCs w:val="17"/>
                <w:lang w:eastAsia="en-US"/>
              </w:rPr>
            </w:pPr>
            <w:r w:rsidRPr="003B042E">
              <w:rPr>
                <w:rFonts w:ascii="Franklin Gothic Book" w:hAnsi="Franklin Gothic Book"/>
                <w:iCs/>
                <w:sz w:val="17"/>
                <w:szCs w:val="17"/>
                <w:lang w:eastAsia="en-US"/>
              </w:rPr>
              <w:t>Dialogue on post-secondary education has been fruitful leading to significant progress on the quality agenda for all six PNG universities. This has been supported through the leadership of the Director General of the Office of Higher and the strong high level and working relationships between the Education Program, Director General, Vice Chancellors’ Committee, university Vice Chancellors and the Program’s Higher Education Adviser, embedded in the OHE playing a facilitative role.</w:t>
            </w:r>
          </w:p>
        </w:tc>
      </w:tr>
      <w:tr w:rsidR="00CA1E6E" w:rsidRPr="00DF39AC" w:rsidTr="000151DC">
        <w:tc>
          <w:tcPr>
            <w:tcW w:w="7028" w:type="dxa"/>
            <w:tcBorders>
              <w:top w:val="single" w:sz="4" w:space="0" w:color="auto"/>
              <w:bottom w:val="single" w:sz="4" w:space="0" w:color="auto"/>
            </w:tcBorders>
          </w:tcPr>
          <w:p w:rsidR="00CA1E6E" w:rsidRPr="00DF39AC" w:rsidRDefault="00CA1E6E" w:rsidP="00CA1E6E">
            <w:pPr>
              <w:keepLines/>
              <w:spacing w:before="40" w:after="40" w:line="200" w:lineRule="atLeast"/>
              <w:rPr>
                <w:rFonts w:ascii="Franklin Gothic Book" w:eastAsia="Times New Roman" w:hAnsi="Franklin Gothic Book"/>
                <w:i/>
                <w:iCs/>
                <w:sz w:val="17"/>
                <w:szCs w:val="17"/>
                <w:u w:val="single"/>
                <w:lang w:eastAsia="en-US"/>
              </w:rPr>
            </w:pPr>
            <w:r w:rsidRPr="00DF39AC">
              <w:rPr>
                <w:rFonts w:ascii="Franklin Gothic Book" w:eastAsia="Times New Roman" w:hAnsi="Franklin Gothic Book"/>
                <w:i/>
                <w:iCs/>
                <w:sz w:val="17"/>
                <w:szCs w:val="17"/>
                <w:u w:val="single"/>
                <w:lang w:eastAsia="en-US"/>
              </w:rPr>
              <w:t>Law and Justice</w:t>
            </w:r>
            <w:r>
              <w:rPr>
                <w:rFonts w:ascii="Franklin Gothic Book" w:eastAsia="Times New Roman" w:hAnsi="Franklin Gothic Book"/>
                <w:i/>
                <w:iCs/>
                <w:sz w:val="17"/>
                <w:szCs w:val="17"/>
                <w:u w:val="single"/>
                <w:lang w:eastAsia="en-US"/>
              </w:rPr>
              <w:t xml:space="preserve"> - </w:t>
            </w:r>
            <w:r w:rsidRPr="00DF39AC">
              <w:rPr>
                <w:rFonts w:ascii="Franklin Gothic Book" w:eastAsia="Times New Roman" w:hAnsi="Franklin Gothic Book"/>
                <w:iCs/>
                <w:sz w:val="17"/>
                <w:szCs w:val="17"/>
                <w:lang w:eastAsia="en-US"/>
              </w:rPr>
              <w:t>Developing a whole-of-government sector delivery strategy to frame the designs of new programs for Australia’s support to this sector through three agencies: the Department of Foreign Affairs and Trade, Australian Federal Police and Attorney General’s Department. These agencies will share a focus on supporting the delivery of more effective law and justice services to Papua New Guineans, reducing the impact of violence and conflict. They will also focus on improving M&amp;E of sector impacts.</w:t>
            </w:r>
          </w:p>
        </w:tc>
        <w:tc>
          <w:tcPr>
            <w:tcW w:w="976" w:type="dxa"/>
            <w:tcBorders>
              <w:top w:val="single" w:sz="4" w:space="0" w:color="auto"/>
              <w:bottom w:val="single" w:sz="4" w:space="0" w:color="auto"/>
            </w:tcBorders>
            <w:shd w:val="clear" w:color="auto" w:fill="FFC000"/>
          </w:tcPr>
          <w:p w:rsidR="00CA1E6E" w:rsidRPr="00424D05" w:rsidRDefault="00245ED7" w:rsidP="00325222">
            <w:pPr>
              <w:keepLines/>
              <w:spacing w:before="40" w:after="40" w:line="200" w:lineRule="atLeast"/>
              <w:jc w:val="center"/>
              <w:rPr>
                <w:rFonts w:ascii="Franklin Gothic Book" w:eastAsia="Times New Roman" w:hAnsi="Franklin Gothic Book"/>
                <w:iCs/>
                <w:sz w:val="17"/>
                <w:szCs w:val="17"/>
                <w:lang w:eastAsia="en-US"/>
              </w:rPr>
            </w:pPr>
            <w:r w:rsidRPr="00424D05">
              <w:rPr>
                <w:rFonts w:ascii="Franklin Gothic Book" w:eastAsia="Times New Roman" w:hAnsi="Franklin Gothic Book"/>
                <w:iCs/>
                <w:sz w:val="17"/>
                <w:szCs w:val="17"/>
                <w:lang w:eastAsia="en-US"/>
              </w:rPr>
              <w:t>Partly achieved</w:t>
            </w:r>
          </w:p>
        </w:tc>
        <w:tc>
          <w:tcPr>
            <w:tcW w:w="7554" w:type="dxa"/>
            <w:tcBorders>
              <w:top w:val="single" w:sz="4" w:space="0" w:color="auto"/>
              <w:bottom w:val="single" w:sz="4" w:space="0" w:color="auto"/>
            </w:tcBorders>
          </w:tcPr>
          <w:p w:rsidR="00CA1E6E" w:rsidRDefault="00CA1E6E" w:rsidP="00CA1E6E">
            <w:pPr>
              <w:contextualSpacing/>
              <w:rPr>
                <w:rFonts w:ascii="Franklin Gothic Book" w:hAnsi="Franklin Gothic Book"/>
                <w:iCs/>
                <w:sz w:val="17"/>
                <w:szCs w:val="17"/>
                <w:lang w:eastAsia="en-US"/>
              </w:rPr>
            </w:pPr>
            <w:r>
              <w:rPr>
                <w:rFonts w:ascii="Franklin Gothic Book" w:eastAsia="Times New Roman" w:hAnsi="Franklin Gothic Book"/>
                <w:iCs/>
                <w:sz w:val="17"/>
                <w:szCs w:val="17"/>
                <w:lang w:eastAsia="en-US"/>
              </w:rPr>
              <w:t>Australia made progress on a whole of government sector strategy which will guide Australia’s future support to the sector. Rebranded the Sector Investment Plan, this strategy will include performance benchmarks and reflect both Governments’ commitment to increasing the impact and effectiveness of Australia’s aid. It is expected to be finalised in the first quarter of 2014-15.</w:t>
            </w:r>
          </w:p>
        </w:tc>
      </w:tr>
      <w:tr w:rsidR="00CA1E6E" w:rsidRPr="00DF39AC" w:rsidTr="000151DC">
        <w:tc>
          <w:tcPr>
            <w:tcW w:w="7028" w:type="dxa"/>
          </w:tcPr>
          <w:p w:rsidR="00CA1E6E" w:rsidRPr="00DF39AC" w:rsidRDefault="00CA1E6E" w:rsidP="009535EA">
            <w:pPr>
              <w:keepLines/>
              <w:spacing w:before="40" w:after="40" w:line="200" w:lineRule="atLeast"/>
              <w:rPr>
                <w:rFonts w:ascii="Franklin Gothic Book" w:eastAsia="Times New Roman" w:hAnsi="Franklin Gothic Book"/>
                <w:i/>
                <w:iCs/>
                <w:sz w:val="17"/>
                <w:szCs w:val="17"/>
                <w:u w:val="single"/>
                <w:lang w:eastAsia="en-US"/>
              </w:rPr>
            </w:pPr>
            <w:r w:rsidRPr="00DF39AC">
              <w:rPr>
                <w:rFonts w:ascii="Franklin Gothic Book" w:eastAsia="Times New Roman" w:hAnsi="Franklin Gothic Book"/>
                <w:i/>
                <w:iCs/>
                <w:sz w:val="17"/>
                <w:szCs w:val="17"/>
                <w:u w:val="single"/>
                <w:lang w:eastAsia="en-US"/>
              </w:rPr>
              <w:t>Transport Infrastructure</w:t>
            </w:r>
            <w:r>
              <w:rPr>
                <w:rFonts w:ascii="Franklin Gothic Book" w:eastAsia="Times New Roman" w:hAnsi="Franklin Gothic Book"/>
                <w:iCs/>
                <w:sz w:val="17"/>
                <w:szCs w:val="17"/>
                <w:lang w:eastAsia="en-US"/>
              </w:rPr>
              <w:t xml:space="preserve"> -- </w:t>
            </w:r>
            <w:r w:rsidRPr="00DF39AC">
              <w:rPr>
                <w:rFonts w:ascii="Franklin Gothic Book" w:eastAsia="Times New Roman" w:hAnsi="Franklin Gothic Book"/>
                <w:iCs/>
                <w:sz w:val="17"/>
                <w:szCs w:val="17"/>
                <w:lang w:eastAsia="en-US"/>
              </w:rPr>
              <w:t>Advocating for more PNG government recurrent funding for road maintenance; addressing issues with the predictability of multi-year funding flows and systemic procurement constraints; securing commitment to enhanced performance monitoring of road maintenance; improving procurement processes</w:t>
            </w:r>
            <w:r w:rsidR="009535EA">
              <w:rPr>
                <w:rFonts w:ascii="Franklin Gothic Book" w:eastAsia="Times New Roman" w:hAnsi="Franklin Gothic Book"/>
                <w:iCs/>
                <w:sz w:val="17"/>
                <w:szCs w:val="17"/>
                <w:lang w:eastAsia="en-US"/>
              </w:rPr>
              <w:t xml:space="preserve">; </w:t>
            </w:r>
            <w:r w:rsidRPr="00DF39AC">
              <w:rPr>
                <w:rFonts w:ascii="Franklin Gothic Book" w:eastAsia="Times New Roman" w:hAnsi="Franklin Gothic Book"/>
                <w:iCs/>
                <w:sz w:val="17"/>
                <w:szCs w:val="17"/>
                <w:lang w:eastAsia="en-US"/>
              </w:rPr>
              <w:t>road safety; and ensuring Australia has capacity to manage large infrastructure projects and associated procurement reforms.</w:t>
            </w:r>
          </w:p>
        </w:tc>
        <w:tc>
          <w:tcPr>
            <w:tcW w:w="976" w:type="dxa"/>
            <w:shd w:val="clear" w:color="auto" w:fill="9BBB59" w:themeFill="accent3"/>
          </w:tcPr>
          <w:p w:rsidR="00CA1E6E" w:rsidRPr="00424D05" w:rsidRDefault="00245ED7" w:rsidP="00325222">
            <w:pPr>
              <w:keepLines/>
              <w:spacing w:before="40" w:after="40" w:line="200" w:lineRule="atLeast"/>
              <w:jc w:val="center"/>
              <w:rPr>
                <w:rFonts w:ascii="Franklin Gothic Book" w:eastAsia="Times New Roman" w:hAnsi="Franklin Gothic Book"/>
                <w:iCs/>
                <w:sz w:val="17"/>
                <w:szCs w:val="17"/>
                <w:lang w:eastAsia="en-US"/>
              </w:rPr>
            </w:pPr>
            <w:r w:rsidRPr="00424D05">
              <w:rPr>
                <w:rFonts w:ascii="Franklin Gothic Book" w:eastAsia="Times New Roman" w:hAnsi="Franklin Gothic Book"/>
                <w:iCs/>
                <w:sz w:val="17"/>
                <w:szCs w:val="17"/>
                <w:lang w:eastAsia="en-US"/>
              </w:rPr>
              <w:t>Achieved</w:t>
            </w:r>
          </w:p>
        </w:tc>
        <w:tc>
          <w:tcPr>
            <w:tcW w:w="7554" w:type="dxa"/>
          </w:tcPr>
          <w:p w:rsidR="009535EA" w:rsidRDefault="00CA1E6E" w:rsidP="009535EA">
            <w:pPr>
              <w:contextualSpacing/>
              <w:rPr>
                <w:rFonts w:ascii="Franklin Gothic Book" w:hAnsi="Franklin Gothic Book" w:cs="Calibri"/>
                <w:sz w:val="17"/>
                <w:szCs w:val="17"/>
              </w:rPr>
            </w:pPr>
            <w:r w:rsidRPr="00BD5E58">
              <w:rPr>
                <w:rFonts w:ascii="Franklin Gothic Book" w:hAnsi="Franklin Gothic Book" w:cs="Calibri"/>
                <w:sz w:val="17"/>
                <w:szCs w:val="17"/>
              </w:rPr>
              <w:t xml:space="preserve">TSSP Phase 2 </w:t>
            </w:r>
            <w:r w:rsidR="009535EA">
              <w:rPr>
                <w:rFonts w:ascii="Franklin Gothic Book" w:hAnsi="Franklin Gothic Book" w:cs="Calibri"/>
                <w:sz w:val="17"/>
                <w:szCs w:val="17"/>
              </w:rPr>
              <w:t xml:space="preserve">has flexibility to </w:t>
            </w:r>
            <w:r w:rsidRPr="00BD5E58">
              <w:rPr>
                <w:rFonts w:ascii="Franklin Gothic Book" w:hAnsi="Franklin Gothic Book" w:cs="Calibri"/>
                <w:sz w:val="17"/>
                <w:szCs w:val="17"/>
              </w:rPr>
              <w:t>support larger, more visible highway rehabilitation</w:t>
            </w:r>
            <w:r w:rsidR="00AE3CE1">
              <w:rPr>
                <w:rFonts w:ascii="Franklin Gothic Book" w:hAnsi="Franklin Gothic Book" w:cs="Calibri"/>
                <w:sz w:val="17"/>
                <w:szCs w:val="17"/>
              </w:rPr>
              <w:t xml:space="preserve"> projects.</w:t>
            </w:r>
          </w:p>
          <w:p w:rsidR="009535EA" w:rsidRDefault="00CA1E6E" w:rsidP="009535EA">
            <w:pPr>
              <w:contextualSpacing/>
              <w:rPr>
                <w:rFonts w:ascii="Franklin Gothic Book" w:hAnsi="Franklin Gothic Book" w:cs="Calibri"/>
                <w:sz w:val="17"/>
                <w:szCs w:val="17"/>
              </w:rPr>
            </w:pPr>
            <w:r w:rsidRPr="00BD5E58">
              <w:rPr>
                <w:rFonts w:ascii="Franklin Gothic Book" w:hAnsi="Franklin Gothic Book" w:cs="Calibri"/>
                <w:sz w:val="17"/>
                <w:szCs w:val="17"/>
              </w:rPr>
              <w:t xml:space="preserve">Australia </w:t>
            </w:r>
            <w:r w:rsidR="009535EA">
              <w:rPr>
                <w:rFonts w:ascii="Franklin Gothic Book" w:hAnsi="Franklin Gothic Book" w:cs="Calibri"/>
                <w:sz w:val="17"/>
                <w:szCs w:val="17"/>
              </w:rPr>
              <w:t xml:space="preserve">is negotiating with GoPNG a </w:t>
            </w:r>
            <w:r w:rsidR="00AE3CE1">
              <w:rPr>
                <w:rFonts w:ascii="Franklin Gothic Book" w:hAnsi="Franklin Gothic Book" w:cs="Calibri"/>
                <w:sz w:val="17"/>
                <w:szCs w:val="17"/>
              </w:rPr>
              <w:t xml:space="preserve">gradual </w:t>
            </w:r>
            <w:r w:rsidR="009535EA">
              <w:rPr>
                <w:rFonts w:ascii="Franklin Gothic Book" w:hAnsi="Franklin Gothic Book" w:cs="Calibri"/>
                <w:sz w:val="17"/>
                <w:szCs w:val="17"/>
              </w:rPr>
              <w:t>transition</w:t>
            </w:r>
            <w:r w:rsidRPr="00BD5E58">
              <w:rPr>
                <w:rFonts w:ascii="Franklin Gothic Book" w:hAnsi="Franklin Gothic Book" w:cs="Calibri"/>
                <w:sz w:val="17"/>
                <w:szCs w:val="17"/>
              </w:rPr>
              <w:t xml:space="preserve"> </w:t>
            </w:r>
            <w:r w:rsidR="00AE3CE1">
              <w:rPr>
                <w:rFonts w:ascii="Franklin Gothic Book" w:hAnsi="Franklin Gothic Book" w:cs="Calibri"/>
                <w:sz w:val="17"/>
                <w:szCs w:val="17"/>
              </w:rPr>
              <w:t>from</w:t>
            </w:r>
            <w:r w:rsidRPr="00BD5E58">
              <w:rPr>
                <w:rFonts w:ascii="Franklin Gothic Book" w:hAnsi="Franklin Gothic Book" w:cs="Calibri"/>
                <w:sz w:val="17"/>
                <w:szCs w:val="17"/>
              </w:rPr>
              <w:t xml:space="preserve"> routine road maintenance</w:t>
            </w:r>
            <w:r w:rsidR="00AE3CE1">
              <w:rPr>
                <w:rFonts w:ascii="Franklin Gothic Book" w:hAnsi="Franklin Gothic Book" w:cs="Calibri"/>
                <w:sz w:val="17"/>
                <w:szCs w:val="17"/>
              </w:rPr>
              <w:t xml:space="preserve"> to reconstruction.</w:t>
            </w:r>
          </w:p>
          <w:p w:rsidR="009535EA" w:rsidRDefault="00CA1E6E" w:rsidP="009535EA">
            <w:pPr>
              <w:contextualSpacing/>
              <w:rPr>
                <w:rFonts w:ascii="Franklin Gothic Book" w:hAnsi="Franklin Gothic Book" w:cs="Calibri"/>
                <w:sz w:val="17"/>
                <w:szCs w:val="17"/>
              </w:rPr>
            </w:pPr>
            <w:r w:rsidRPr="005A14BD">
              <w:rPr>
                <w:rFonts w:ascii="Franklin Gothic Book" w:hAnsi="Franklin Gothic Book" w:cs="Calibri"/>
                <w:sz w:val="17"/>
                <w:szCs w:val="17"/>
              </w:rPr>
              <w:t>TSSP is exerting influence through the Transport Sector Coordination Forum on sector agencies and Finan</w:t>
            </w:r>
            <w:r w:rsidR="009535EA">
              <w:rPr>
                <w:rFonts w:ascii="Franklin Gothic Book" w:hAnsi="Franklin Gothic Book" w:cs="Calibri"/>
                <w:sz w:val="17"/>
                <w:szCs w:val="17"/>
              </w:rPr>
              <w:t xml:space="preserve">ce and Treasury to speed up </w:t>
            </w:r>
            <w:r w:rsidR="00AE3CE1">
              <w:rPr>
                <w:rFonts w:ascii="Franklin Gothic Book" w:hAnsi="Franklin Gothic Book" w:cs="Calibri"/>
                <w:sz w:val="17"/>
                <w:szCs w:val="17"/>
              </w:rPr>
              <w:t xml:space="preserve">introduction of the </w:t>
            </w:r>
            <w:r w:rsidR="009535EA">
              <w:rPr>
                <w:rFonts w:ascii="Franklin Gothic Book" w:hAnsi="Franklin Gothic Book" w:cs="Calibri"/>
                <w:sz w:val="17"/>
                <w:szCs w:val="17"/>
              </w:rPr>
              <w:t>multi-year planning and budgeting</w:t>
            </w:r>
            <w:r w:rsidRPr="005A14BD">
              <w:rPr>
                <w:rFonts w:ascii="Franklin Gothic Book" w:hAnsi="Franklin Gothic Book" w:cs="Calibri"/>
                <w:sz w:val="17"/>
                <w:szCs w:val="17"/>
              </w:rPr>
              <w:t xml:space="preserve"> process. </w:t>
            </w:r>
          </w:p>
          <w:p w:rsidR="009535EA" w:rsidRDefault="009535EA" w:rsidP="009535EA">
            <w:pPr>
              <w:contextualSpacing/>
              <w:rPr>
                <w:rFonts w:ascii="Franklin Gothic Book" w:hAnsi="Franklin Gothic Book" w:cs="Calibri"/>
                <w:sz w:val="17"/>
                <w:szCs w:val="17"/>
              </w:rPr>
            </w:pPr>
            <w:r>
              <w:rPr>
                <w:rFonts w:ascii="Franklin Gothic Book" w:hAnsi="Franklin Gothic Book" w:cs="Calibri"/>
                <w:sz w:val="17"/>
                <w:szCs w:val="17"/>
              </w:rPr>
              <w:t>A</w:t>
            </w:r>
            <w:r w:rsidR="00CA1E6E" w:rsidRPr="005A14BD">
              <w:rPr>
                <w:rFonts w:ascii="Franklin Gothic Book" w:hAnsi="Franklin Gothic Book" w:cs="Calibri"/>
                <w:sz w:val="17"/>
                <w:szCs w:val="17"/>
              </w:rPr>
              <w:t xml:space="preserve"> high level review of the efficiency of centralised procurement procedures has recently been finalised and is now under consider</w:t>
            </w:r>
            <w:r w:rsidR="00AE3CE1">
              <w:rPr>
                <w:rFonts w:ascii="Franklin Gothic Book" w:hAnsi="Franklin Gothic Book" w:cs="Calibri"/>
                <w:sz w:val="17"/>
                <w:szCs w:val="17"/>
              </w:rPr>
              <w:t>ation by Ministers and the NEC.</w:t>
            </w:r>
          </w:p>
          <w:p w:rsidR="00CA1E6E" w:rsidRDefault="00CA1E6E" w:rsidP="003217E6">
            <w:pPr>
              <w:contextualSpacing/>
              <w:rPr>
                <w:rFonts w:ascii="Franklin Gothic Book" w:eastAsia="Times New Roman" w:hAnsi="Franklin Gothic Book"/>
                <w:iCs/>
                <w:sz w:val="17"/>
                <w:szCs w:val="17"/>
                <w:lang w:eastAsia="en-US"/>
              </w:rPr>
            </w:pPr>
            <w:r w:rsidRPr="005A14BD">
              <w:rPr>
                <w:rFonts w:ascii="Franklin Gothic Book" w:hAnsi="Franklin Gothic Book" w:cs="Calibri"/>
                <w:sz w:val="17"/>
                <w:szCs w:val="17"/>
              </w:rPr>
              <w:t xml:space="preserve">TSSP 2 brings together all of the aid programs transport sector expenditure, including </w:t>
            </w:r>
            <w:r w:rsidRPr="005A14BD">
              <w:rPr>
                <w:rFonts w:ascii="Franklin Gothic Book" w:hAnsi="Franklin Gothic Book" w:cs="Calibri"/>
                <w:i/>
                <w:sz w:val="17"/>
                <w:szCs w:val="17"/>
              </w:rPr>
              <w:t>Strongim Gavman Program</w:t>
            </w:r>
            <w:r w:rsidRPr="005A14BD">
              <w:rPr>
                <w:rFonts w:ascii="Franklin Gothic Book" w:hAnsi="Franklin Gothic Book" w:cs="Calibri"/>
                <w:sz w:val="17"/>
                <w:szCs w:val="17"/>
              </w:rPr>
              <w:t xml:space="preserve"> (SGP) and the Transport Sector MOU. </w:t>
            </w:r>
          </w:p>
        </w:tc>
      </w:tr>
      <w:tr w:rsidR="00CA1E6E" w:rsidRPr="00DF39AC" w:rsidTr="000151DC">
        <w:tc>
          <w:tcPr>
            <w:tcW w:w="7028" w:type="dxa"/>
            <w:tcBorders>
              <w:top w:val="single" w:sz="4" w:space="0" w:color="auto"/>
              <w:bottom w:val="single" w:sz="4" w:space="0" w:color="auto"/>
            </w:tcBorders>
          </w:tcPr>
          <w:p w:rsidR="00CA1E6E" w:rsidRPr="00DF39AC" w:rsidRDefault="00CA1E6E" w:rsidP="00CA1E6E">
            <w:pPr>
              <w:keepLines/>
              <w:spacing w:before="40" w:after="40" w:line="200" w:lineRule="atLeast"/>
              <w:rPr>
                <w:rFonts w:ascii="Franklin Gothic Book" w:eastAsia="Times New Roman" w:hAnsi="Franklin Gothic Book"/>
                <w:i/>
                <w:iCs/>
                <w:sz w:val="17"/>
                <w:szCs w:val="17"/>
                <w:u w:val="single"/>
                <w:lang w:eastAsia="en-US"/>
              </w:rPr>
            </w:pPr>
            <w:r w:rsidRPr="00DF39AC">
              <w:rPr>
                <w:rFonts w:ascii="Franklin Gothic Book" w:eastAsia="Times New Roman" w:hAnsi="Franklin Gothic Book"/>
                <w:i/>
                <w:iCs/>
                <w:sz w:val="17"/>
                <w:szCs w:val="17"/>
                <w:u w:val="single"/>
                <w:lang w:eastAsia="en-US"/>
              </w:rPr>
              <w:t>Governance</w:t>
            </w:r>
            <w:r>
              <w:rPr>
                <w:rFonts w:ascii="Franklin Gothic Book" w:eastAsia="Times New Roman" w:hAnsi="Franklin Gothic Book"/>
                <w:i/>
                <w:iCs/>
                <w:sz w:val="17"/>
                <w:szCs w:val="17"/>
                <w:u w:val="single"/>
                <w:lang w:eastAsia="en-US"/>
              </w:rPr>
              <w:t xml:space="preserve"> - </w:t>
            </w:r>
            <w:r w:rsidRPr="00DF39AC">
              <w:rPr>
                <w:rFonts w:ascii="Franklin Gothic Book" w:eastAsia="Times New Roman" w:hAnsi="Franklin Gothic Book"/>
                <w:iCs/>
                <w:sz w:val="17"/>
                <w:szCs w:val="17"/>
                <w:lang w:eastAsia="en-US"/>
              </w:rPr>
              <w:t>Implementing a new governance strategy including: focusing more on service delivery bottlenecks; developing incentives and accountability; expanding community-level governance interventions; and redesigning Australian electoral assistance. We will develop the new governance strategy in consultation with government and non-government actors using an approach that works within and beyond government.</w:t>
            </w:r>
          </w:p>
        </w:tc>
        <w:tc>
          <w:tcPr>
            <w:tcW w:w="976" w:type="dxa"/>
            <w:tcBorders>
              <w:top w:val="single" w:sz="4" w:space="0" w:color="auto"/>
              <w:bottom w:val="single" w:sz="4" w:space="0" w:color="auto"/>
            </w:tcBorders>
            <w:shd w:val="clear" w:color="auto" w:fill="FFC000"/>
          </w:tcPr>
          <w:p w:rsidR="00CA1E6E" w:rsidRPr="00424D05" w:rsidRDefault="00245ED7" w:rsidP="00325222">
            <w:pPr>
              <w:keepLines/>
              <w:spacing w:before="40" w:after="40" w:line="200" w:lineRule="atLeast"/>
              <w:jc w:val="center"/>
              <w:rPr>
                <w:rFonts w:ascii="Franklin Gothic Book" w:eastAsia="Times New Roman" w:hAnsi="Franklin Gothic Book"/>
                <w:iCs/>
                <w:sz w:val="17"/>
                <w:szCs w:val="17"/>
                <w:lang w:eastAsia="en-US"/>
              </w:rPr>
            </w:pPr>
            <w:r w:rsidRPr="00424D05">
              <w:rPr>
                <w:rFonts w:ascii="Franklin Gothic Book" w:eastAsia="Times New Roman" w:hAnsi="Franklin Gothic Book"/>
                <w:iCs/>
                <w:sz w:val="17"/>
                <w:szCs w:val="17"/>
                <w:lang w:eastAsia="en-US"/>
              </w:rPr>
              <w:t>Partly achieved</w:t>
            </w:r>
          </w:p>
        </w:tc>
        <w:tc>
          <w:tcPr>
            <w:tcW w:w="7554" w:type="dxa"/>
            <w:tcBorders>
              <w:top w:val="single" w:sz="4" w:space="0" w:color="auto"/>
              <w:bottom w:val="single" w:sz="4" w:space="0" w:color="auto"/>
            </w:tcBorders>
          </w:tcPr>
          <w:p w:rsidR="00CA1E6E" w:rsidRPr="00BD5E58" w:rsidRDefault="00111366" w:rsidP="00F94C61">
            <w:pPr>
              <w:contextualSpacing/>
              <w:rPr>
                <w:rFonts w:ascii="Franklin Gothic Book" w:hAnsi="Franklin Gothic Book" w:cs="Calibri"/>
                <w:sz w:val="17"/>
                <w:szCs w:val="17"/>
              </w:rPr>
            </w:pPr>
            <w:r>
              <w:rPr>
                <w:rFonts w:ascii="Franklin Gothic Book" w:hAnsi="Franklin Gothic Book" w:cs="Calibri"/>
                <w:sz w:val="17"/>
                <w:szCs w:val="17"/>
              </w:rPr>
              <w:t xml:space="preserve">While a new governance strategy was </w:t>
            </w:r>
            <w:r w:rsidR="00F94C61">
              <w:rPr>
                <w:rFonts w:ascii="Franklin Gothic Book" w:hAnsi="Franklin Gothic Book" w:cs="Calibri"/>
                <w:sz w:val="17"/>
                <w:szCs w:val="17"/>
              </w:rPr>
              <w:t>drafted</w:t>
            </w:r>
            <w:r>
              <w:rPr>
                <w:rFonts w:ascii="Franklin Gothic Book" w:hAnsi="Franklin Gothic Book" w:cs="Calibri"/>
                <w:sz w:val="17"/>
                <w:szCs w:val="17"/>
              </w:rPr>
              <w:t xml:space="preserve"> in the reporting period, the integration of AusAID into DFAT and the new aid policy launched on 18 June</w:t>
            </w:r>
            <w:r w:rsidR="00C67F27">
              <w:rPr>
                <w:rFonts w:ascii="Franklin Gothic Book" w:hAnsi="Franklin Gothic Book" w:cs="Calibri"/>
                <w:sz w:val="17"/>
                <w:szCs w:val="17"/>
              </w:rPr>
              <w:t xml:space="preserve"> </w:t>
            </w:r>
            <w:r w:rsidR="00806E64">
              <w:rPr>
                <w:rFonts w:ascii="Franklin Gothic Book" w:hAnsi="Franklin Gothic Book" w:cs="Calibri"/>
                <w:sz w:val="17"/>
                <w:szCs w:val="17"/>
              </w:rPr>
              <w:t>2014</w:t>
            </w:r>
            <w:r>
              <w:rPr>
                <w:rFonts w:ascii="Franklin Gothic Book" w:hAnsi="Franklin Gothic Book" w:cs="Calibri"/>
                <w:sz w:val="17"/>
                <w:szCs w:val="17"/>
              </w:rPr>
              <w:t xml:space="preserve"> requires changes to Australia’s future governance investments in PNG</w:t>
            </w:r>
            <w:r w:rsidR="00C67F27">
              <w:rPr>
                <w:rFonts w:ascii="Franklin Gothic Book" w:hAnsi="Franklin Gothic Book" w:cs="Calibri"/>
                <w:sz w:val="17"/>
                <w:szCs w:val="17"/>
              </w:rPr>
              <w:t>.</w:t>
            </w:r>
          </w:p>
        </w:tc>
      </w:tr>
      <w:tr w:rsidR="00245ED7" w:rsidRPr="00DF39AC" w:rsidTr="006C27AA">
        <w:tc>
          <w:tcPr>
            <w:tcW w:w="7028" w:type="dxa"/>
          </w:tcPr>
          <w:p w:rsidR="00245ED7" w:rsidRPr="00DF39AC" w:rsidRDefault="00245ED7" w:rsidP="00245ED7">
            <w:pPr>
              <w:keepLines/>
              <w:spacing w:before="40" w:after="40" w:line="200" w:lineRule="atLeast"/>
              <w:rPr>
                <w:rFonts w:ascii="Franklin Gothic Book" w:eastAsia="Times New Roman" w:hAnsi="Franklin Gothic Book"/>
                <w:iCs/>
                <w:sz w:val="17"/>
                <w:szCs w:val="17"/>
                <w:lang w:eastAsia="en-US"/>
              </w:rPr>
            </w:pPr>
            <w:r w:rsidRPr="00DF39AC">
              <w:rPr>
                <w:rFonts w:ascii="Franklin Gothic Book" w:eastAsia="Times New Roman" w:hAnsi="Franklin Gothic Book"/>
                <w:i/>
                <w:iCs/>
                <w:sz w:val="17"/>
                <w:szCs w:val="17"/>
                <w:u w:val="single"/>
                <w:lang w:eastAsia="en-US"/>
              </w:rPr>
              <w:lastRenderedPageBreak/>
              <w:t>Gender</w:t>
            </w:r>
            <w:r>
              <w:rPr>
                <w:rFonts w:ascii="Franklin Gothic Book" w:eastAsia="Times New Roman" w:hAnsi="Franklin Gothic Book"/>
                <w:i/>
                <w:iCs/>
                <w:sz w:val="17"/>
                <w:szCs w:val="17"/>
                <w:u w:val="single"/>
                <w:lang w:eastAsia="en-US"/>
              </w:rPr>
              <w:t xml:space="preserve"> </w:t>
            </w:r>
            <w:r w:rsidR="00806E64">
              <w:rPr>
                <w:rFonts w:ascii="Franklin Gothic Book" w:eastAsia="Times New Roman" w:hAnsi="Franklin Gothic Book"/>
                <w:i/>
                <w:iCs/>
                <w:sz w:val="17"/>
                <w:szCs w:val="17"/>
                <w:u w:val="single"/>
                <w:lang w:eastAsia="en-US"/>
              </w:rPr>
              <w:t>- More</w:t>
            </w:r>
            <w:r w:rsidRPr="00DF39AC">
              <w:rPr>
                <w:rFonts w:ascii="Franklin Gothic Book" w:eastAsia="Times New Roman" w:hAnsi="Franklin Gothic Book"/>
                <w:iCs/>
                <w:sz w:val="17"/>
                <w:szCs w:val="17"/>
                <w:lang w:eastAsia="en-US"/>
              </w:rPr>
              <w:t xml:space="preserve"> directly emphasising gender equality in sector strategies and making gender a more explicit objective in each Partnership for Development schedule. Advocating for greater PNG Government budget commitment to gender equality interventions; applying greater scrutiny to the implementation of agreed interventions; and improving our coordination and capacity for effective gender equality interventions in PNG.</w:t>
            </w:r>
          </w:p>
          <w:p w:rsidR="00245ED7" w:rsidRPr="00DF39AC" w:rsidRDefault="00806E64" w:rsidP="00245ED7">
            <w:pPr>
              <w:keepLines/>
              <w:spacing w:before="40" w:after="40" w:line="200" w:lineRule="atLeast"/>
              <w:rPr>
                <w:rFonts w:ascii="Franklin Gothic Book" w:eastAsia="Times New Roman" w:hAnsi="Franklin Gothic Book"/>
                <w:i/>
                <w:iCs/>
                <w:sz w:val="17"/>
                <w:szCs w:val="17"/>
                <w:u w:val="single"/>
                <w:lang w:eastAsia="en-US"/>
              </w:rPr>
            </w:pPr>
            <w:r w:rsidRPr="00DF39AC">
              <w:rPr>
                <w:rFonts w:ascii="Franklin Gothic Book" w:eastAsia="Times New Roman" w:hAnsi="Franklin Gothic Book"/>
                <w:iCs/>
                <w:sz w:val="17"/>
                <w:szCs w:val="17"/>
                <w:lang w:eastAsia="en-US"/>
              </w:rPr>
              <w:t>Procurement</w:t>
            </w:r>
            <w:r w:rsidR="00245ED7" w:rsidRPr="00DF39AC">
              <w:rPr>
                <w:rFonts w:ascii="Franklin Gothic Book" w:eastAsia="Times New Roman" w:hAnsi="Franklin Gothic Book"/>
                <w:iCs/>
                <w:sz w:val="17"/>
                <w:szCs w:val="17"/>
                <w:lang w:eastAsia="en-US"/>
              </w:rPr>
              <w:t xml:space="preserve"> reforms.</w:t>
            </w:r>
          </w:p>
        </w:tc>
        <w:tc>
          <w:tcPr>
            <w:tcW w:w="976" w:type="dxa"/>
            <w:shd w:val="clear" w:color="auto" w:fill="9BBB59" w:themeFill="accent3"/>
          </w:tcPr>
          <w:p w:rsidR="00245ED7" w:rsidRPr="00424D05" w:rsidRDefault="006C27AA" w:rsidP="00325222">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Achieved</w:t>
            </w:r>
          </w:p>
        </w:tc>
        <w:tc>
          <w:tcPr>
            <w:tcW w:w="7554" w:type="dxa"/>
          </w:tcPr>
          <w:p w:rsidR="003217E6" w:rsidRDefault="00245ED7" w:rsidP="003217E6">
            <w:pPr>
              <w:contextualSpacing/>
              <w:rPr>
                <w:rFonts w:ascii="Franklin Gothic Book" w:hAnsi="Franklin Gothic Book"/>
                <w:sz w:val="17"/>
                <w:szCs w:val="17"/>
              </w:rPr>
            </w:pPr>
            <w:r w:rsidRPr="00F709C5">
              <w:rPr>
                <w:rFonts w:ascii="Franklin Gothic Book" w:hAnsi="Franklin Gothic Book"/>
                <w:sz w:val="17"/>
                <w:szCs w:val="17"/>
              </w:rPr>
              <w:t xml:space="preserve">All Partnership schedules now have clearer targets for meeting gender equality. </w:t>
            </w:r>
          </w:p>
          <w:p w:rsidR="003217E6" w:rsidRDefault="003217E6" w:rsidP="003217E6">
            <w:pPr>
              <w:contextualSpacing/>
              <w:rPr>
                <w:rFonts w:ascii="Franklin Gothic Book" w:hAnsi="Franklin Gothic Book"/>
                <w:sz w:val="17"/>
                <w:szCs w:val="17"/>
              </w:rPr>
            </w:pPr>
            <w:r>
              <w:rPr>
                <w:rFonts w:ascii="Franklin Gothic Book" w:hAnsi="Franklin Gothic Book"/>
                <w:sz w:val="17"/>
                <w:szCs w:val="17"/>
              </w:rPr>
              <w:t xml:space="preserve">A more thorough review of the partnership </w:t>
            </w:r>
            <w:r w:rsidR="00245ED7" w:rsidRPr="00F709C5">
              <w:rPr>
                <w:rFonts w:ascii="Franklin Gothic Book" w:hAnsi="Franklin Gothic Book"/>
                <w:sz w:val="17"/>
                <w:szCs w:val="17"/>
              </w:rPr>
              <w:t xml:space="preserve">over the coming year </w:t>
            </w:r>
            <w:r>
              <w:rPr>
                <w:rFonts w:ascii="Franklin Gothic Book" w:hAnsi="Franklin Gothic Book"/>
                <w:sz w:val="17"/>
                <w:szCs w:val="17"/>
              </w:rPr>
              <w:t>to increase</w:t>
            </w:r>
            <w:r w:rsidR="00245ED7" w:rsidRPr="00F709C5">
              <w:rPr>
                <w:rFonts w:ascii="Franklin Gothic Book" w:hAnsi="Franklin Gothic Book"/>
                <w:sz w:val="17"/>
                <w:szCs w:val="17"/>
              </w:rPr>
              <w:t xml:space="preserve"> aid investments</w:t>
            </w:r>
            <w:r>
              <w:rPr>
                <w:rFonts w:ascii="Franklin Gothic Book" w:hAnsi="Franklin Gothic Book"/>
                <w:sz w:val="17"/>
                <w:szCs w:val="17"/>
              </w:rPr>
              <w:t xml:space="preserve"> in gender equality and women’s empowerment</w:t>
            </w:r>
            <w:r w:rsidR="00245ED7" w:rsidRPr="00F709C5">
              <w:rPr>
                <w:rFonts w:ascii="Franklin Gothic Book" w:hAnsi="Franklin Gothic Book"/>
                <w:sz w:val="17"/>
                <w:szCs w:val="17"/>
              </w:rPr>
              <w:t xml:space="preserve">. </w:t>
            </w:r>
          </w:p>
          <w:p w:rsidR="00245ED7" w:rsidRPr="00BD5E58" w:rsidRDefault="003217E6" w:rsidP="003217E6">
            <w:pPr>
              <w:contextualSpacing/>
              <w:rPr>
                <w:rFonts w:ascii="Franklin Gothic Book" w:hAnsi="Franklin Gothic Book" w:cs="Calibri"/>
                <w:sz w:val="17"/>
                <w:szCs w:val="17"/>
              </w:rPr>
            </w:pPr>
            <w:r>
              <w:rPr>
                <w:rFonts w:ascii="Franklin Gothic Book" w:hAnsi="Franklin Gothic Book"/>
                <w:sz w:val="17"/>
                <w:szCs w:val="17"/>
              </w:rPr>
              <w:t xml:space="preserve">There is a now </w:t>
            </w:r>
            <w:r w:rsidR="00245ED7" w:rsidRPr="00F709C5">
              <w:rPr>
                <w:rFonts w:ascii="Franklin Gothic Book" w:hAnsi="Franklin Gothic Book"/>
                <w:sz w:val="17"/>
                <w:szCs w:val="17"/>
              </w:rPr>
              <w:t>Counsellor responsible for gender</w:t>
            </w:r>
            <w:r>
              <w:rPr>
                <w:rFonts w:ascii="Franklin Gothic Book" w:hAnsi="Franklin Gothic Book"/>
                <w:sz w:val="17"/>
                <w:szCs w:val="17"/>
              </w:rPr>
              <w:t>. There is a budget to develop</w:t>
            </w:r>
            <w:r w:rsidR="00245ED7" w:rsidRPr="00F709C5">
              <w:rPr>
                <w:rFonts w:ascii="Franklin Gothic Book" w:hAnsi="Franklin Gothic Book"/>
                <w:sz w:val="17"/>
                <w:szCs w:val="17"/>
              </w:rPr>
              <w:t xml:space="preserve"> a monitoring and evaluation framework </w:t>
            </w:r>
            <w:r>
              <w:rPr>
                <w:rFonts w:ascii="Franklin Gothic Book" w:hAnsi="Franklin Gothic Book"/>
                <w:sz w:val="17"/>
                <w:szCs w:val="17"/>
              </w:rPr>
              <w:t xml:space="preserve">to allow </w:t>
            </w:r>
            <w:r w:rsidR="00245ED7" w:rsidRPr="00F709C5">
              <w:rPr>
                <w:rFonts w:ascii="Franklin Gothic Book" w:hAnsi="Franklin Gothic Book"/>
                <w:sz w:val="17"/>
                <w:szCs w:val="17"/>
              </w:rPr>
              <w:t>greater understanding and oversight</w:t>
            </w:r>
            <w:r>
              <w:rPr>
                <w:rFonts w:ascii="Franklin Gothic Book" w:hAnsi="Franklin Gothic Book"/>
                <w:sz w:val="17"/>
                <w:szCs w:val="17"/>
              </w:rPr>
              <w:t xml:space="preserve"> of gender work</w:t>
            </w:r>
            <w:r w:rsidR="00245ED7" w:rsidRPr="00F709C5">
              <w:rPr>
                <w:rFonts w:ascii="Franklin Gothic Book" w:hAnsi="Franklin Gothic Book"/>
                <w:sz w:val="17"/>
                <w:szCs w:val="17"/>
              </w:rPr>
              <w:t xml:space="preserve">. </w:t>
            </w:r>
          </w:p>
        </w:tc>
      </w:tr>
      <w:tr w:rsidR="00245ED7" w:rsidRPr="00DF39AC" w:rsidTr="003B06C4">
        <w:tc>
          <w:tcPr>
            <w:tcW w:w="7028" w:type="dxa"/>
            <w:tcBorders>
              <w:top w:val="single" w:sz="4" w:space="0" w:color="auto"/>
              <w:bottom w:val="single" w:sz="4" w:space="0" w:color="auto"/>
            </w:tcBorders>
          </w:tcPr>
          <w:p w:rsidR="00245ED7" w:rsidRPr="00DF39AC" w:rsidRDefault="00245ED7" w:rsidP="00245ED7">
            <w:pPr>
              <w:keepLines/>
              <w:spacing w:before="40" w:after="40" w:line="200" w:lineRule="atLeast"/>
              <w:rPr>
                <w:rFonts w:ascii="Franklin Gothic Book" w:eastAsia="Times New Roman" w:hAnsi="Franklin Gothic Book"/>
                <w:i/>
                <w:iCs/>
                <w:sz w:val="17"/>
                <w:szCs w:val="17"/>
                <w:u w:val="single"/>
                <w:lang w:eastAsia="en-US"/>
              </w:rPr>
            </w:pPr>
            <w:r w:rsidRPr="00DF39AC">
              <w:rPr>
                <w:rFonts w:ascii="Franklin Gothic Book" w:eastAsia="Times New Roman" w:hAnsi="Franklin Gothic Book"/>
                <w:i/>
                <w:iCs/>
                <w:sz w:val="17"/>
                <w:szCs w:val="17"/>
                <w:u w:val="single"/>
                <w:lang w:eastAsia="en-US"/>
              </w:rPr>
              <w:t>Bougainville</w:t>
            </w:r>
            <w:r>
              <w:rPr>
                <w:rFonts w:ascii="Franklin Gothic Book" w:eastAsia="Times New Roman" w:hAnsi="Franklin Gothic Book"/>
                <w:i/>
                <w:iCs/>
                <w:sz w:val="17"/>
                <w:szCs w:val="17"/>
                <w:u w:val="single"/>
                <w:lang w:eastAsia="en-US"/>
              </w:rPr>
              <w:t xml:space="preserve"> -- </w:t>
            </w:r>
            <w:r w:rsidRPr="00DF39AC">
              <w:rPr>
                <w:rFonts w:ascii="Franklin Gothic Book" w:eastAsia="Times New Roman" w:hAnsi="Franklin Gothic Book"/>
                <w:iCs/>
                <w:sz w:val="17"/>
                <w:szCs w:val="17"/>
                <w:lang w:eastAsia="en-US"/>
              </w:rPr>
              <w:t>Improving coordination between sector programs and the Bougainville Aid Framework to ensure programs are adapted to the Bougainville context. Monitoring progress against target outcomes in Bougainville; and expanding the program’s focus from reconstruction and peace-building to include stronger emphasis on enhancing service delivery in Bougainville.</w:t>
            </w:r>
          </w:p>
        </w:tc>
        <w:tc>
          <w:tcPr>
            <w:tcW w:w="976" w:type="dxa"/>
            <w:tcBorders>
              <w:top w:val="single" w:sz="4" w:space="0" w:color="auto"/>
              <w:bottom w:val="single" w:sz="4" w:space="0" w:color="auto"/>
            </w:tcBorders>
            <w:shd w:val="clear" w:color="auto" w:fill="FFC000"/>
          </w:tcPr>
          <w:p w:rsidR="00245ED7" w:rsidRPr="00424D05" w:rsidRDefault="003B06C4" w:rsidP="00325222">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Partly Achieved</w:t>
            </w:r>
          </w:p>
        </w:tc>
        <w:tc>
          <w:tcPr>
            <w:tcW w:w="7554" w:type="dxa"/>
            <w:tcBorders>
              <w:top w:val="single" w:sz="4" w:space="0" w:color="auto"/>
              <w:bottom w:val="single" w:sz="4" w:space="0" w:color="auto"/>
            </w:tcBorders>
          </w:tcPr>
          <w:p w:rsidR="003217E6" w:rsidRDefault="00245ED7" w:rsidP="00245ED7">
            <w:pPr>
              <w:rPr>
                <w:rFonts w:ascii="Franklin Gothic Book" w:hAnsi="Franklin Gothic Book" w:cs="Calibri"/>
                <w:bCs/>
                <w:iCs/>
                <w:sz w:val="17"/>
                <w:szCs w:val="17"/>
              </w:rPr>
            </w:pPr>
            <w:r w:rsidRPr="00620405">
              <w:rPr>
                <w:rFonts w:ascii="Franklin Gothic Book" w:hAnsi="Franklin Gothic Book" w:cs="Calibri"/>
                <w:bCs/>
                <w:iCs/>
                <w:sz w:val="17"/>
                <w:szCs w:val="17"/>
              </w:rPr>
              <w:t xml:space="preserve">Coordination has improved in </w:t>
            </w:r>
            <w:r w:rsidR="003217E6">
              <w:rPr>
                <w:rFonts w:ascii="Franklin Gothic Book" w:hAnsi="Franklin Gothic Book" w:cs="Calibri"/>
                <w:bCs/>
                <w:iCs/>
                <w:sz w:val="17"/>
                <w:szCs w:val="17"/>
              </w:rPr>
              <w:t>with sectors programs</w:t>
            </w:r>
            <w:r w:rsidRPr="00620405">
              <w:rPr>
                <w:rFonts w:ascii="Franklin Gothic Book" w:hAnsi="Franklin Gothic Book" w:cs="Calibri"/>
                <w:bCs/>
                <w:iCs/>
                <w:sz w:val="17"/>
                <w:szCs w:val="17"/>
              </w:rPr>
              <w:t xml:space="preserve">. Each program will now develop a Bougainville specific </w:t>
            </w:r>
            <w:r w:rsidR="00806E64" w:rsidRPr="00620405">
              <w:rPr>
                <w:rFonts w:ascii="Franklin Gothic Book" w:hAnsi="Franklin Gothic Book" w:cs="Calibri"/>
                <w:bCs/>
                <w:iCs/>
                <w:sz w:val="17"/>
                <w:szCs w:val="17"/>
              </w:rPr>
              <w:t>work plan</w:t>
            </w:r>
            <w:r w:rsidRPr="00620405">
              <w:rPr>
                <w:rFonts w:ascii="Franklin Gothic Book" w:hAnsi="Franklin Gothic Book" w:cs="Calibri"/>
                <w:bCs/>
                <w:iCs/>
                <w:sz w:val="17"/>
                <w:szCs w:val="17"/>
              </w:rPr>
              <w:t>.</w:t>
            </w:r>
            <w:r>
              <w:rPr>
                <w:rFonts w:ascii="Franklin Gothic Book" w:hAnsi="Franklin Gothic Book" w:cs="Calibri"/>
                <w:bCs/>
                <w:iCs/>
                <w:sz w:val="17"/>
                <w:szCs w:val="17"/>
              </w:rPr>
              <w:t xml:space="preserve"> </w:t>
            </w:r>
            <w:r w:rsidR="003217E6">
              <w:rPr>
                <w:rFonts w:ascii="Franklin Gothic Book" w:hAnsi="Franklin Gothic Book" w:cs="Calibri"/>
                <w:bCs/>
                <w:iCs/>
                <w:sz w:val="17"/>
                <w:szCs w:val="17"/>
              </w:rPr>
              <w:t>A</w:t>
            </w:r>
            <w:r w:rsidRPr="00620405">
              <w:rPr>
                <w:rFonts w:ascii="Franklin Gothic Book" w:hAnsi="Franklin Gothic Book" w:cs="Calibri"/>
                <w:bCs/>
                <w:iCs/>
                <w:sz w:val="17"/>
                <w:szCs w:val="17"/>
              </w:rPr>
              <w:t xml:space="preserve"> monitoring framework for Bougainville will be finalised by early 2015. </w:t>
            </w:r>
            <w:r>
              <w:rPr>
                <w:rFonts w:ascii="Franklin Gothic Book" w:hAnsi="Franklin Gothic Book" w:cs="Calibri"/>
                <w:bCs/>
                <w:iCs/>
                <w:sz w:val="17"/>
                <w:szCs w:val="17"/>
              </w:rPr>
              <w:t xml:space="preserve"> </w:t>
            </w:r>
          </w:p>
          <w:p w:rsidR="00245ED7" w:rsidRPr="00620405" w:rsidRDefault="003217E6" w:rsidP="00245ED7">
            <w:pPr>
              <w:rPr>
                <w:rFonts w:ascii="Franklin Gothic Book" w:hAnsi="Franklin Gothic Book" w:cs="Calibri"/>
                <w:bCs/>
                <w:iCs/>
                <w:sz w:val="17"/>
                <w:szCs w:val="17"/>
              </w:rPr>
            </w:pPr>
            <w:r>
              <w:rPr>
                <w:rFonts w:ascii="Franklin Gothic Book" w:hAnsi="Franklin Gothic Book" w:cs="Calibri"/>
                <w:bCs/>
                <w:iCs/>
                <w:sz w:val="17"/>
                <w:szCs w:val="17"/>
              </w:rPr>
              <w:t>S</w:t>
            </w:r>
            <w:r w:rsidR="00245ED7" w:rsidRPr="00620405">
              <w:rPr>
                <w:rFonts w:ascii="Franklin Gothic Book" w:hAnsi="Franklin Gothic Book" w:cs="Calibri"/>
                <w:bCs/>
                <w:iCs/>
                <w:sz w:val="17"/>
                <w:szCs w:val="17"/>
              </w:rPr>
              <w:t xml:space="preserve">ervice delivery </w:t>
            </w:r>
            <w:r>
              <w:rPr>
                <w:rFonts w:ascii="Franklin Gothic Book" w:hAnsi="Franklin Gothic Book" w:cs="Calibri"/>
                <w:bCs/>
                <w:iCs/>
                <w:sz w:val="17"/>
                <w:szCs w:val="17"/>
              </w:rPr>
              <w:t>will remain</w:t>
            </w:r>
            <w:r w:rsidR="00245ED7" w:rsidRPr="00620405">
              <w:rPr>
                <w:rFonts w:ascii="Franklin Gothic Book" w:hAnsi="Franklin Gothic Book" w:cs="Calibri"/>
                <w:bCs/>
                <w:iCs/>
                <w:sz w:val="17"/>
                <w:szCs w:val="17"/>
              </w:rPr>
              <w:t xml:space="preserve"> a key element of our assistance </w:t>
            </w:r>
            <w:r>
              <w:rPr>
                <w:rFonts w:ascii="Franklin Gothic Book" w:hAnsi="Franklin Gothic Book" w:cs="Calibri"/>
                <w:bCs/>
                <w:iCs/>
                <w:sz w:val="17"/>
                <w:szCs w:val="17"/>
              </w:rPr>
              <w:t>to</w:t>
            </w:r>
            <w:r w:rsidR="00245ED7" w:rsidRPr="00620405">
              <w:rPr>
                <w:rFonts w:ascii="Franklin Gothic Book" w:hAnsi="Franklin Gothic Book" w:cs="Calibri"/>
                <w:bCs/>
                <w:iCs/>
                <w:sz w:val="17"/>
                <w:szCs w:val="17"/>
              </w:rPr>
              <w:t xml:space="preserve"> Bougainville.</w:t>
            </w:r>
          </w:p>
          <w:p w:rsidR="00245ED7" w:rsidRPr="00F709C5" w:rsidRDefault="00245ED7" w:rsidP="00CA1E6E">
            <w:pPr>
              <w:contextualSpacing/>
              <w:rPr>
                <w:rFonts w:ascii="Franklin Gothic Book" w:hAnsi="Franklin Gothic Book"/>
                <w:sz w:val="17"/>
                <w:szCs w:val="17"/>
              </w:rPr>
            </w:pPr>
          </w:p>
        </w:tc>
      </w:tr>
    </w:tbl>
    <w:p w:rsidR="002B0F30" w:rsidRDefault="002B0F30" w:rsidP="002B0F30">
      <w:pPr>
        <w:pStyle w:val="BodyText"/>
      </w:pPr>
    </w:p>
    <w:p w:rsidR="002B0F30" w:rsidRDefault="002B0F30" w:rsidP="002B0F30">
      <w:pPr>
        <w:pStyle w:val="Heading2"/>
        <w:tabs>
          <w:tab w:val="left" w:pos="1560"/>
        </w:tabs>
        <w:rPr>
          <w:sz w:val="28"/>
        </w:rPr>
        <w:sectPr w:rsidR="002B0F30" w:rsidSect="00FE2BB5">
          <w:headerReference w:type="even" r:id="rId17"/>
          <w:headerReference w:type="default" r:id="rId18"/>
          <w:headerReference w:type="first" r:id="rId19"/>
          <w:footerReference w:type="first" r:id="rId20"/>
          <w:pgSz w:w="16838" w:h="11906" w:orient="landscape" w:code="9"/>
          <w:pgMar w:top="720" w:right="720" w:bottom="720" w:left="720" w:header="709" w:footer="425" w:gutter="0"/>
          <w:cols w:space="708"/>
          <w:docGrid w:linePitch="360"/>
        </w:sectPr>
      </w:pPr>
    </w:p>
    <w:p w:rsidR="00AB0FCA" w:rsidRDefault="00AB0FCA" w:rsidP="00AB0FCA">
      <w:pPr>
        <w:pStyle w:val="Heading2"/>
        <w:tabs>
          <w:tab w:val="left" w:pos="1560"/>
        </w:tabs>
        <w:rPr>
          <w:sz w:val="28"/>
        </w:rPr>
      </w:pPr>
      <w:r>
        <w:rPr>
          <w:sz w:val="28"/>
        </w:rPr>
        <w:lastRenderedPageBreak/>
        <w:t xml:space="preserve">Annex B </w:t>
      </w:r>
    </w:p>
    <w:p w:rsidR="00AB0FCA" w:rsidRDefault="00AB0FCA" w:rsidP="00AB0FCA">
      <w:pPr>
        <w:pStyle w:val="Heading2"/>
        <w:rPr>
          <w:sz w:val="28"/>
        </w:rPr>
      </w:pPr>
      <w:r>
        <w:rPr>
          <w:sz w:val="28"/>
        </w:rPr>
        <w:t>Quality at Implementation ratings</w:t>
      </w:r>
    </w:p>
    <w:tbl>
      <w:tblPr>
        <w:tblStyle w:val="APPR"/>
        <w:tblW w:w="4930" w:type="pct"/>
        <w:tblInd w:w="28" w:type="dxa"/>
        <w:tblBorders>
          <w:top w:val="single" w:sz="4" w:space="0" w:color="auto"/>
          <w:bottom w:val="single" w:sz="4" w:space="0" w:color="auto"/>
        </w:tblBorders>
        <w:tblLayout w:type="fixed"/>
        <w:tblLook w:val="04A0" w:firstRow="1" w:lastRow="0" w:firstColumn="1" w:lastColumn="0" w:noHBand="0" w:noVBand="1"/>
      </w:tblPr>
      <w:tblGrid>
        <w:gridCol w:w="2376"/>
        <w:gridCol w:w="2268"/>
        <w:gridCol w:w="1130"/>
        <w:gridCol w:w="567"/>
        <w:gridCol w:w="565"/>
        <w:gridCol w:w="567"/>
        <w:gridCol w:w="565"/>
        <w:gridCol w:w="565"/>
        <w:gridCol w:w="565"/>
      </w:tblGrid>
      <w:tr w:rsidR="00BA1C0D" w:rsidRPr="003217E6" w:rsidTr="006D05EB">
        <w:trPr>
          <w:cnfStyle w:val="100000000000" w:firstRow="1" w:lastRow="0" w:firstColumn="0" w:lastColumn="0" w:oddVBand="0" w:evenVBand="0" w:oddHBand="0" w:evenHBand="0" w:firstRowFirstColumn="0" w:firstRowLastColumn="0" w:lastRowFirstColumn="0" w:lastRowLastColumn="0"/>
          <w:trHeight w:val="1413"/>
        </w:trPr>
        <w:tc>
          <w:tcPr>
            <w:tcW w:w="1273" w:type="pct"/>
            <w:tcBorders>
              <w:top w:val="none" w:sz="0" w:space="0" w:color="auto"/>
              <w:bottom w:val="none" w:sz="0" w:space="0" w:color="auto"/>
            </w:tcBorders>
            <w:hideMark/>
          </w:tcPr>
          <w:p w:rsidR="00AB0FCA" w:rsidRPr="003217E6" w:rsidRDefault="00AB0FCA" w:rsidP="008264E9">
            <w:pPr>
              <w:pStyle w:val="TableTextColumnHeading"/>
              <w:rPr>
                <w:b/>
              </w:rPr>
            </w:pPr>
            <w:r w:rsidRPr="003217E6">
              <w:rPr>
                <w:noProof/>
                <w:szCs w:val="21"/>
              </w:rPr>
              <w:drawing>
                <wp:anchor distT="0" distB="0" distL="114300" distR="114300" simplePos="0" relativeHeight="251675648" behindDoc="0" locked="0" layoutInCell="1" allowOverlap="1" wp14:anchorId="7CF8EE6E" wp14:editId="74DFF6CE">
                  <wp:simplePos x="0" y="0"/>
                  <wp:positionH relativeFrom="column">
                    <wp:posOffset>0</wp:posOffset>
                  </wp:positionH>
                  <wp:positionV relativeFrom="paragraph">
                    <wp:posOffset>0</wp:posOffset>
                  </wp:positionV>
                  <wp:extent cx="1857375" cy="228600"/>
                  <wp:effectExtent l="0" t="0" r="9525" b="0"/>
                  <wp:wrapNone/>
                  <wp:docPr id="13" name="Picture 1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rsidRPr="003217E6">
              <w:rPr>
                <w:b/>
              </w:rPr>
              <w:t>Investment name</w:t>
            </w:r>
          </w:p>
        </w:tc>
        <w:tc>
          <w:tcPr>
            <w:tcW w:w="1221" w:type="pct"/>
            <w:tcBorders>
              <w:top w:val="none" w:sz="0" w:space="0" w:color="auto"/>
              <w:bottom w:val="none" w:sz="0" w:space="0" w:color="auto"/>
            </w:tcBorders>
            <w:textDirection w:val="btLr"/>
            <w:hideMark/>
          </w:tcPr>
          <w:p w:rsidR="00AB0FCA" w:rsidRPr="003217E6" w:rsidRDefault="00AB0FCA" w:rsidP="008264E9">
            <w:pPr>
              <w:pStyle w:val="TableTextColumnHeading"/>
              <w:rPr>
                <w:b/>
              </w:rPr>
            </w:pPr>
            <w:r w:rsidRPr="003217E6">
              <w:rPr>
                <w:b/>
              </w:rPr>
              <w:t>Approved budget and duration</w:t>
            </w:r>
          </w:p>
        </w:tc>
        <w:tc>
          <w:tcPr>
            <w:tcW w:w="601" w:type="pct"/>
            <w:tcBorders>
              <w:top w:val="none" w:sz="0" w:space="0" w:color="auto"/>
              <w:bottom w:val="none" w:sz="0" w:space="0" w:color="auto"/>
            </w:tcBorders>
            <w:textDirection w:val="btLr"/>
            <w:hideMark/>
          </w:tcPr>
          <w:p w:rsidR="00AB0FCA" w:rsidRPr="003217E6" w:rsidRDefault="003217E6" w:rsidP="008264E9">
            <w:pPr>
              <w:pStyle w:val="TableTextColumnHeading"/>
              <w:rPr>
                <w:b/>
              </w:rPr>
            </w:pPr>
            <w:r>
              <w:rPr>
                <w:b/>
              </w:rPr>
              <w:t>Y</w:t>
            </w:r>
            <w:r w:rsidR="00AB0FCA" w:rsidRPr="003217E6">
              <w:rPr>
                <w:b/>
              </w:rPr>
              <w:t>ear</w:t>
            </w:r>
          </w:p>
        </w:tc>
        <w:tc>
          <w:tcPr>
            <w:tcW w:w="294" w:type="pct"/>
            <w:tcBorders>
              <w:top w:val="none" w:sz="0" w:space="0" w:color="auto"/>
              <w:bottom w:val="none" w:sz="0" w:space="0" w:color="auto"/>
            </w:tcBorders>
            <w:textDirection w:val="btLr"/>
            <w:hideMark/>
          </w:tcPr>
          <w:p w:rsidR="00AB0FCA" w:rsidRPr="003217E6" w:rsidRDefault="00AB0FCA" w:rsidP="008264E9">
            <w:pPr>
              <w:pStyle w:val="TableTextColumnHeading"/>
              <w:rPr>
                <w:b/>
              </w:rPr>
            </w:pPr>
            <w:r w:rsidRPr="003217E6">
              <w:rPr>
                <w:b/>
              </w:rPr>
              <w:t>Relevance</w:t>
            </w:r>
          </w:p>
        </w:tc>
        <w:tc>
          <w:tcPr>
            <w:tcW w:w="293" w:type="pct"/>
            <w:tcBorders>
              <w:top w:val="none" w:sz="0" w:space="0" w:color="auto"/>
              <w:bottom w:val="none" w:sz="0" w:space="0" w:color="auto"/>
            </w:tcBorders>
            <w:textDirection w:val="btLr"/>
            <w:hideMark/>
          </w:tcPr>
          <w:p w:rsidR="00AB0FCA" w:rsidRPr="003217E6" w:rsidRDefault="00AB0FCA" w:rsidP="008264E9">
            <w:pPr>
              <w:pStyle w:val="TableTextColumnHeading"/>
              <w:rPr>
                <w:b/>
              </w:rPr>
            </w:pPr>
            <w:r w:rsidRPr="003217E6">
              <w:rPr>
                <w:b/>
              </w:rPr>
              <w:t>Effectiveness</w:t>
            </w:r>
          </w:p>
        </w:tc>
        <w:tc>
          <w:tcPr>
            <w:tcW w:w="294" w:type="pct"/>
            <w:tcBorders>
              <w:top w:val="none" w:sz="0" w:space="0" w:color="auto"/>
              <w:bottom w:val="none" w:sz="0" w:space="0" w:color="auto"/>
            </w:tcBorders>
            <w:textDirection w:val="btLr"/>
            <w:hideMark/>
          </w:tcPr>
          <w:p w:rsidR="00AB0FCA" w:rsidRPr="003217E6" w:rsidRDefault="00AB0FCA" w:rsidP="008264E9">
            <w:pPr>
              <w:pStyle w:val="TableTextColumnHeading"/>
              <w:rPr>
                <w:b/>
              </w:rPr>
            </w:pPr>
            <w:r w:rsidRPr="003217E6">
              <w:rPr>
                <w:b/>
              </w:rPr>
              <w:t>Efficiency</w:t>
            </w:r>
          </w:p>
        </w:tc>
        <w:tc>
          <w:tcPr>
            <w:tcW w:w="293" w:type="pct"/>
            <w:tcBorders>
              <w:top w:val="none" w:sz="0" w:space="0" w:color="auto"/>
              <w:bottom w:val="none" w:sz="0" w:space="0" w:color="auto"/>
            </w:tcBorders>
            <w:textDirection w:val="btLr"/>
            <w:hideMark/>
          </w:tcPr>
          <w:p w:rsidR="00AB0FCA" w:rsidRPr="003217E6" w:rsidRDefault="00BA1C0D" w:rsidP="008264E9">
            <w:pPr>
              <w:pStyle w:val="TableTextColumnHeading"/>
              <w:rPr>
                <w:b/>
              </w:rPr>
            </w:pPr>
            <w:r>
              <w:rPr>
                <w:b/>
              </w:rPr>
              <w:t xml:space="preserve">M&amp;E </w:t>
            </w:r>
          </w:p>
        </w:tc>
        <w:tc>
          <w:tcPr>
            <w:tcW w:w="293" w:type="pct"/>
            <w:tcBorders>
              <w:top w:val="none" w:sz="0" w:space="0" w:color="auto"/>
              <w:bottom w:val="none" w:sz="0" w:space="0" w:color="auto"/>
            </w:tcBorders>
            <w:textDirection w:val="btLr"/>
            <w:hideMark/>
          </w:tcPr>
          <w:p w:rsidR="00AB0FCA" w:rsidRPr="003217E6" w:rsidRDefault="00AB0FCA" w:rsidP="008264E9">
            <w:pPr>
              <w:pStyle w:val="TableTextColumnHeading"/>
              <w:rPr>
                <w:b/>
              </w:rPr>
            </w:pPr>
            <w:r w:rsidRPr="003217E6">
              <w:rPr>
                <w:b/>
              </w:rPr>
              <w:t>Sustainability</w:t>
            </w:r>
          </w:p>
        </w:tc>
        <w:tc>
          <w:tcPr>
            <w:tcW w:w="285" w:type="pct"/>
            <w:tcBorders>
              <w:top w:val="none" w:sz="0" w:space="0" w:color="auto"/>
              <w:bottom w:val="none" w:sz="0" w:space="0" w:color="auto"/>
            </w:tcBorders>
            <w:textDirection w:val="btLr"/>
            <w:hideMark/>
          </w:tcPr>
          <w:p w:rsidR="00AB0FCA" w:rsidRPr="003217E6" w:rsidRDefault="00AB0FCA" w:rsidP="008264E9">
            <w:pPr>
              <w:pStyle w:val="TableTextColumnHeading"/>
              <w:rPr>
                <w:b/>
              </w:rPr>
            </w:pPr>
            <w:r w:rsidRPr="003217E6">
              <w:rPr>
                <w:b/>
              </w:rPr>
              <w:t xml:space="preserve">Gender </w:t>
            </w:r>
          </w:p>
        </w:tc>
      </w:tr>
      <w:tr w:rsidR="00BA1C0D" w:rsidRPr="00BA1C0D"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BA1C0D" w:rsidRDefault="00AB0FCA">
            <w:pPr>
              <w:pStyle w:val="TableTextEntries"/>
              <w:rPr>
                <w:b w:val="0"/>
              </w:rPr>
            </w:pPr>
            <w:r w:rsidRPr="00BA1C0D">
              <w:rPr>
                <w:b w:val="0"/>
              </w:rPr>
              <w:t>PNG Australia Transport Sector Support Program (TSSP) (ING545)</w:t>
            </w:r>
          </w:p>
        </w:tc>
        <w:tc>
          <w:tcPr>
            <w:tcW w:w="1221" w:type="pct"/>
            <w:vMerge w:val="restart"/>
            <w:tcBorders>
              <w:top w:val="single" w:sz="4" w:space="0" w:color="auto"/>
            </w:tcBorders>
            <w:hideMark/>
          </w:tcPr>
          <w:p w:rsidR="00AB0FCA" w:rsidRPr="00BA1C0D" w:rsidRDefault="00AB0FCA">
            <w:pPr>
              <w:pStyle w:val="TableTextEntries"/>
              <w:rPr>
                <w:b w:val="0"/>
              </w:rPr>
            </w:pPr>
            <w:r w:rsidRPr="00BA1C0D">
              <w:rPr>
                <w:b w:val="0"/>
              </w:rPr>
              <w:t>$399,450,000</w:t>
            </w:r>
          </w:p>
          <w:p w:rsidR="00AB0FCA" w:rsidRPr="00BA1C0D" w:rsidRDefault="00A7707F" w:rsidP="00A7707F">
            <w:pPr>
              <w:pStyle w:val="TableTextEntries"/>
              <w:rPr>
                <w:b w:val="0"/>
              </w:rPr>
            </w:pPr>
            <w:r w:rsidRPr="00BA1C0D">
              <w:rPr>
                <w:b w:val="0"/>
              </w:rPr>
              <w:t>22/05/2006 – 31/12/</w:t>
            </w:r>
            <w:r w:rsidR="00AB0FCA" w:rsidRPr="00BA1C0D">
              <w:rPr>
                <w:b w:val="0"/>
              </w:rPr>
              <w:t>2014</w:t>
            </w:r>
          </w:p>
        </w:tc>
        <w:tc>
          <w:tcPr>
            <w:tcW w:w="601" w:type="pct"/>
            <w:tcBorders>
              <w:top w:val="single" w:sz="4" w:space="0" w:color="auto"/>
            </w:tcBorders>
            <w:hideMark/>
          </w:tcPr>
          <w:p w:rsidR="00AB0FCA" w:rsidRPr="00BA1C0D" w:rsidRDefault="00AB0FCA">
            <w:pPr>
              <w:pStyle w:val="TableTextEntries"/>
              <w:rPr>
                <w:b w:val="0"/>
              </w:rPr>
            </w:pPr>
            <w:r w:rsidRPr="00BA1C0D">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BA1C0D" w:rsidRDefault="00AB0FCA">
            <w:pPr>
              <w:pStyle w:val="TableTextEntries"/>
              <w:jc w:val="center"/>
              <w:rPr>
                <w:b w:val="0"/>
              </w:rPr>
            </w:pPr>
            <w:r w:rsidRPr="00BA1C0D">
              <w:rPr>
                <w:b w:val="0"/>
              </w:rPr>
              <w:t>5</w:t>
            </w:r>
          </w:p>
        </w:tc>
        <w:tc>
          <w:tcPr>
            <w:tcW w:w="293" w:type="pct"/>
            <w:tcBorders>
              <w:top w:val="single" w:sz="4" w:space="0" w:color="auto"/>
            </w:tcBorders>
            <w:shd w:val="clear" w:color="auto" w:fill="FFFF00"/>
            <w:noWrap/>
            <w:hideMark/>
          </w:tcPr>
          <w:p w:rsidR="00AB0FCA" w:rsidRPr="00BA1C0D" w:rsidRDefault="00AB0FCA">
            <w:pPr>
              <w:pStyle w:val="TableTextEntries"/>
              <w:jc w:val="center"/>
              <w:rPr>
                <w:b w:val="0"/>
              </w:rPr>
            </w:pPr>
            <w:r w:rsidRPr="00BA1C0D">
              <w:rPr>
                <w:b w:val="0"/>
              </w:rPr>
              <w:t>4</w:t>
            </w:r>
          </w:p>
        </w:tc>
        <w:tc>
          <w:tcPr>
            <w:tcW w:w="294" w:type="pct"/>
            <w:tcBorders>
              <w:top w:val="single" w:sz="4" w:space="0" w:color="auto"/>
            </w:tcBorders>
            <w:shd w:val="clear" w:color="auto" w:fill="FFFF00"/>
            <w:noWrap/>
            <w:hideMark/>
          </w:tcPr>
          <w:p w:rsidR="00AB0FCA" w:rsidRPr="00BA1C0D" w:rsidRDefault="00AB0FCA">
            <w:pPr>
              <w:pStyle w:val="TableTextEntries"/>
              <w:jc w:val="center"/>
              <w:rPr>
                <w:b w:val="0"/>
              </w:rPr>
            </w:pPr>
            <w:r w:rsidRPr="00BA1C0D">
              <w:rPr>
                <w:b w:val="0"/>
              </w:rPr>
              <w:t>4</w:t>
            </w:r>
          </w:p>
        </w:tc>
        <w:tc>
          <w:tcPr>
            <w:tcW w:w="293" w:type="pct"/>
            <w:tcBorders>
              <w:top w:val="single" w:sz="4" w:space="0" w:color="auto"/>
            </w:tcBorders>
            <w:shd w:val="clear" w:color="auto" w:fill="FFFF00"/>
            <w:noWrap/>
            <w:hideMark/>
          </w:tcPr>
          <w:p w:rsidR="00AB0FCA" w:rsidRPr="00BA1C0D" w:rsidRDefault="00AB0FCA">
            <w:pPr>
              <w:pStyle w:val="TableTextEntries"/>
              <w:jc w:val="center"/>
              <w:rPr>
                <w:b w:val="0"/>
              </w:rPr>
            </w:pPr>
            <w:r w:rsidRPr="00BA1C0D">
              <w:rPr>
                <w:b w:val="0"/>
              </w:rPr>
              <w:t>4</w:t>
            </w:r>
          </w:p>
        </w:tc>
        <w:tc>
          <w:tcPr>
            <w:tcW w:w="293" w:type="pct"/>
            <w:tcBorders>
              <w:top w:val="single" w:sz="4" w:space="0" w:color="auto"/>
            </w:tcBorders>
            <w:shd w:val="clear" w:color="auto" w:fill="FFFF00"/>
            <w:noWrap/>
            <w:hideMark/>
          </w:tcPr>
          <w:p w:rsidR="00AB0FCA" w:rsidRPr="00BA1C0D" w:rsidRDefault="00AB0FCA">
            <w:pPr>
              <w:pStyle w:val="TableTextEntries"/>
              <w:jc w:val="center"/>
              <w:rPr>
                <w:b w:val="0"/>
              </w:rPr>
            </w:pPr>
            <w:r w:rsidRPr="00BA1C0D">
              <w:rPr>
                <w:b w:val="0"/>
              </w:rPr>
              <w:t>4</w:t>
            </w:r>
          </w:p>
        </w:tc>
        <w:tc>
          <w:tcPr>
            <w:tcW w:w="285" w:type="pct"/>
            <w:tcBorders>
              <w:top w:val="single" w:sz="4" w:space="0" w:color="auto"/>
            </w:tcBorders>
            <w:shd w:val="clear" w:color="auto" w:fill="FFFF00"/>
            <w:noWrap/>
            <w:hideMark/>
          </w:tcPr>
          <w:p w:rsidR="00AB0FCA" w:rsidRPr="00BA1C0D" w:rsidRDefault="00AB0FCA">
            <w:pPr>
              <w:pStyle w:val="TableTextEntries"/>
              <w:jc w:val="center"/>
              <w:rPr>
                <w:b w:val="0"/>
              </w:rPr>
            </w:pPr>
            <w:r w:rsidRPr="00BA1C0D">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bottom w:val="single" w:sz="4"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bottom w:val="single" w:sz="4"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bottom w:val="single" w:sz="4"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bottom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6</w:t>
            </w:r>
          </w:p>
        </w:tc>
        <w:tc>
          <w:tcPr>
            <w:tcW w:w="293" w:type="pct"/>
            <w:tcBorders>
              <w:bottom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bottom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bottom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bottom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bottom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tcBorders>
              <w:top w:val="none" w:sz="0" w:space="0" w:color="auto"/>
              <w:bottom w:val="none" w:sz="0" w:space="0" w:color="auto"/>
            </w:tcBorders>
          </w:tcPr>
          <w:p w:rsidR="00AB0FCA" w:rsidRPr="003217E6" w:rsidRDefault="00AB0FCA">
            <w:pPr>
              <w:pStyle w:val="TableTextEntries"/>
              <w:rPr>
                <w:b w:val="0"/>
              </w:rPr>
            </w:pPr>
            <w:r w:rsidRPr="003217E6">
              <w:rPr>
                <w:b w:val="0"/>
              </w:rPr>
              <w:t>PNG Australia Transport Sector Support Pro</w:t>
            </w:r>
            <w:r w:rsidR="00CC4CCB">
              <w:rPr>
                <w:b w:val="0"/>
              </w:rPr>
              <w:t>gram Phase II (TSSPII) (INK081)</w:t>
            </w:r>
          </w:p>
        </w:tc>
        <w:tc>
          <w:tcPr>
            <w:tcW w:w="1221" w:type="pct"/>
            <w:tcBorders>
              <w:top w:val="none" w:sz="0" w:space="0" w:color="auto"/>
              <w:bottom w:val="none" w:sz="0" w:space="0" w:color="auto"/>
            </w:tcBorders>
            <w:hideMark/>
          </w:tcPr>
          <w:p w:rsidR="00AB0FCA" w:rsidRPr="003217E6" w:rsidRDefault="00AB0FCA" w:rsidP="00A7707F">
            <w:pPr>
              <w:pStyle w:val="TableTextEntries"/>
              <w:rPr>
                <w:b w:val="0"/>
              </w:rPr>
            </w:pPr>
            <w:r w:rsidRPr="003217E6">
              <w:rPr>
                <w:b w:val="0"/>
              </w:rPr>
              <w:t>$400,000,000 1</w:t>
            </w:r>
            <w:r w:rsidR="00A7707F">
              <w:rPr>
                <w:b w:val="0"/>
              </w:rPr>
              <w:t>/01/</w:t>
            </w:r>
            <w:r w:rsidRPr="003217E6">
              <w:rPr>
                <w:b w:val="0"/>
              </w:rPr>
              <w:t>2013 – 30</w:t>
            </w:r>
            <w:r w:rsidR="00A7707F">
              <w:rPr>
                <w:b w:val="0"/>
              </w:rPr>
              <w:t>/12/</w:t>
            </w:r>
            <w:r w:rsidRPr="003217E6">
              <w:rPr>
                <w:b w:val="0"/>
              </w:rPr>
              <w:t>2019</w:t>
            </w: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PNG Education Program and Interim Support to PNG TVET and Higher Education (INJ761 and INJ316)</w:t>
            </w:r>
          </w:p>
        </w:tc>
        <w:tc>
          <w:tcPr>
            <w:tcW w:w="1221" w:type="pct"/>
            <w:vMerge w:val="restart"/>
            <w:tcBorders>
              <w:top w:val="single" w:sz="4" w:space="0" w:color="auto"/>
            </w:tcBorders>
            <w:hideMark/>
          </w:tcPr>
          <w:p w:rsidR="00AB0FCA" w:rsidRPr="003217E6" w:rsidRDefault="00AB0FCA">
            <w:pPr>
              <w:pStyle w:val="TableTextEntries"/>
              <w:rPr>
                <w:b w:val="0"/>
              </w:rPr>
            </w:pPr>
            <w:r w:rsidRPr="003217E6">
              <w:rPr>
                <w:b w:val="0"/>
              </w:rPr>
              <w:t>$494,654,734</w:t>
            </w:r>
          </w:p>
          <w:p w:rsidR="00AB0FCA" w:rsidRPr="003217E6" w:rsidRDefault="00AB0FCA">
            <w:pPr>
              <w:pStyle w:val="TableTextEntries"/>
              <w:rPr>
                <w:b w:val="0"/>
              </w:rPr>
            </w:pPr>
            <w:r w:rsidRPr="003217E6">
              <w:rPr>
                <w:b w:val="0"/>
              </w:rPr>
              <w:t>1</w:t>
            </w:r>
            <w:r w:rsidR="00A7707F">
              <w:rPr>
                <w:b w:val="0"/>
              </w:rPr>
              <w:t>/06/</w:t>
            </w:r>
            <w:r w:rsidRPr="003217E6">
              <w:rPr>
                <w:b w:val="0"/>
              </w:rPr>
              <w:t>2011 – 30</w:t>
            </w:r>
            <w:r w:rsidR="00A7707F">
              <w:rPr>
                <w:b w:val="0"/>
              </w:rPr>
              <w:t>/06/</w:t>
            </w:r>
            <w:r w:rsidRPr="003217E6">
              <w:rPr>
                <w:b w:val="0"/>
              </w:rPr>
              <w:t>2016</w:t>
            </w:r>
          </w:p>
          <w:p w:rsidR="00AB0FCA" w:rsidRPr="003217E6" w:rsidRDefault="00AB0FCA">
            <w:pPr>
              <w:pStyle w:val="TableTextEntries"/>
              <w:rPr>
                <w:b w:val="0"/>
              </w:rPr>
            </w:pPr>
            <w:r w:rsidRPr="003217E6">
              <w:rPr>
                <w:b w:val="0"/>
              </w:rPr>
              <w:t>$10,384,192</w:t>
            </w:r>
          </w:p>
          <w:p w:rsidR="00AB0FCA" w:rsidRPr="003217E6" w:rsidRDefault="00AB0FCA" w:rsidP="00A7707F">
            <w:pPr>
              <w:pStyle w:val="TableTextEntries"/>
              <w:rPr>
                <w:b w:val="0"/>
              </w:rPr>
            </w:pPr>
            <w:r w:rsidRPr="003217E6">
              <w:rPr>
                <w:b w:val="0"/>
              </w:rPr>
              <w:t>1</w:t>
            </w:r>
            <w:r w:rsidR="00A7707F">
              <w:rPr>
                <w:b w:val="0"/>
              </w:rPr>
              <w:t>/08/</w:t>
            </w:r>
            <w:r w:rsidRPr="003217E6">
              <w:rPr>
                <w:b w:val="0"/>
              </w:rPr>
              <w:t>2010 – 31</w:t>
            </w:r>
            <w:r w:rsidR="00A7707F">
              <w:rPr>
                <w:b w:val="0"/>
              </w:rPr>
              <w:t>/01/</w:t>
            </w:r>
            <w:r w:rsidRPr="003217E6">
              <w:rPr>
                <w:b w:val="0"/>
              </w:rPr>
              <w:t>2014</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6</w:t>
            </w:r>
          </w:p>
        </w:tc>
        <w:tc>
          <w:tcPr>
            <w:tcW w:w="293"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bottom w:val="single" w:sz="4"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bottom w:val="single" w:sz="4"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bottom w:val="single" w:sz="4"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bottom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6</w:t>
            </w:r>
          </w:p>
        </w:tc>
        <w:tc>
          <w:tcPr>
            <w:tcW w:w="293" w:type="pct"/>
            <w:tcBorders>
              <w:bottom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4" w:type="pct"/>
            <w:tcBorders>
              <w:bottom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bottom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bottom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bottom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none" w:sz="0" w:space="0" w:color="auto"/>
              <w:bottom w:val="none" w:sz="0" w:space="0" w:color="auto"/>
            </w:tcBorders>
            <w:hideMark/>
          </w:tcPr>
          <w:p w:rsidR="00AB0FCA" w:rsidRPr="003217E6" w:rsidRDefault="00AB0FCA">
            <w:pPr>
              <w:pStyle w:val="TableTextEntries"/>
              <w:rPr>
                <w:b w:val="0"/>
              </w:rPr>
            </w:pPr>
            <w:r w:rsidRPr="003217E6">
              <w:rPr>
                <w:b w:val="0"/>
              </w:rPr>
              <w:t>Strongim Gavman Program</w:t>
            </w:r>
          </w:p>
          <w:p w:rsidR="00AB0FCA" w:rsidRPr="003217E6" w:rsidRDefault="00AB0FCA">
            <w:pPr>
              <w:pStyle w:val="TableTextEntries"/>
              <w:rPr>
                <w:b w:val="0"/>
              </w:rPr>
            </w:pPr>
            <w:r w:rsidRPr="003217E6">
              <w:rPr>
                <w:b w:val="0"/>
              </w:rPr>
              <w:t>(INI767 / INJ364)</w:t>
            </w:r>
          </w:p>
        </w:tc>
        <w:tc>
          <w:tcPr>
            <w:tcW w:w="1221" w:type="pct"/>
            <w:vMerge w:val="restart"/>
            <w:tcBorders>
              <w:top w:val="none" w:sz="0" w:space="0" w:color="auto"/>
              <w:bottom w:val="none" w:sz="0" w:space="0" w:color="auto"/>
            </w:tcBorders>
            <w:hideMark/>
          </w:tcPr>
          <w:p w:rsidR="00AB0FCA" w:rsidRPr="003217E6" w:rsidRDefault="00AB0FCA">
            <w:pPr>
              <w:pStyle w:val="TableTextEntries"/>
              <w:rPr>
                <w:b w:val="0"/>
              </w:rPr>
            </w:pPr>
            <w:r w:rsidRPr="003217E6">
              <w:rPr>
                <w:b w:val="0"/>
              </w:rPr>
              <w:t>$175,889,363</w:t>
            </w:r>
          </w:p>
          <w:p w:rsidR="00AB0FCA" w:rsidRPr="003217E6" w:rsidRDefault="00AB0FCA">
            <w:pPr>
              <w:pStyle w:val="TableTextEntries"/>
              <w:rPr>
                <w:b w:val="0"/>
              </w:rPr>
            </w:pPr>
            <w:r w:rsidRPr="003217E6">
              <w:rPr>
                <w:b w:val="0"/>
              </w:rPr>
              <w:t>1</w:t>
            </w:r>
            <w:r w:rsidR="00A7707F">
              <w:rPr>
                <w:b w:val="0"/>
              </w:rPr>
              <w:t>/07/</w:t>
            </w:r>
            <w:r w:rsidRPr="003217E6">
              <w:rPr>
                <w:b w:val="0"/>
              </w:rPr>
              <w:t>2009 – 31</w:t>
            </w:r>
            <w:r w:rsidR="00A7707F">
              <w:rPr>
                <w:b w:val="0"/>
              </w:rPr>
              <w:t>/12/</w:t>
            </w:r>
            <w:r w:rsidRPr="003217E6">
              <w:rPr>
                <w:b w:val="0"/>
              </w:rPr>
              <w:t>2015</w:t>
            </w:r>
          </w:p>
          <w:p w:rsidR="00AB0FCA" w:rsidRPr="003217E6" w:rsidRDefault="00AB0FCA">
            <w:pPr>
              <w:pStyle w:val="TableTextEntries"/>
              <w:rPr>
                <w:b w:val="0"/>
              </w:rPr>
            </w:pPr>
            <w:r w:rsidRPr="003217E6">
              <w:rPr>
                <w:b w:val="0"/>
              </w:rPr>
              <w:t>$16,712,006</w:t>
            </w:r>
          </w:p>
          <w:p w:rsidR="00AB0FCA" w:rsidRPr="003217E6" w:rsidRDefault="00AB0FCA" w:rsidP="00A7707F">
            <w:pPr>
              <w:pStyle w:val="TableTextEntries"/>
              <w:rPr>
                <w:b w:val="0"/>
              </w:rPr>
            </w:pPr>
            <w:r w:rsidRPr="003217E6">
              <w:rPr>
                <w:b w:val="0"/>
              </w:rPr>
              <w:t>1</w:t>
            </w:r>
            <w:r w:rsidR="00A7707F">
              <w:rPr>
                <w:b w:val="0"/>
              </w:rPr>
              <w:t>/07/</w:t>
            </w:r>
            <w:r w:rsidRPr="003217E6">
              <w:rPr>
                <w:b w:val="0"/>
              </w:rPr>
              <w:t>2010 – 31</w:t>
            </w:r>
            <w:r w:rsidR="00A7707F">
              <w:rPr>
                <w:b w:val="0"/>
              </w:rPr>
              <w:t>/12/</w:t>
            </w:r>
            <w:r w:rsidRPr="003217E6">
              <w:rPr>
                <w:b w:val="0"/>
              </w:rPr>
              <w:t>2014</w:t>
            </w: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85"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85"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PNG-Australia Law and Justice Partnership (INI194)</w:t>
            </w:r>
          </w:p>
        </w:tc>
        <w:tc>
          <w:tcPr>
            <w:tcW w:w="1221" w:type="pct"/>
            <w:vMerge w:val="restart"/>
            <w:tcBorders>
              <w:top w:val="single" w:sz="4" w:space="0" w:color="auto"/>
            </w:tcBorders>
            <w:hideMark/>
          </w:tcPr>
          <w:p w:rsidR="00AB0FCA" w:rsidRPr="003217E6" w:rsidRDefault="00AB0FCA">
            <w:pPr>
              <w:pStyle w:val="TableTextEntries"/>
              <w:rPr>
                <w:b w:val="0"/>
              </w:rPr>
            </w:pPr>
            <w:r w:rsidRPr="003217E6">
              <w:rPr>
                <w:b w:val="0"/>
              </w:rPr>
              <w:t>$1</w:t>
            </w:r>
            <w:r w:rsidR="00E53EC0">
              <w:rPr>
                <w:b w:val="0"/>
              </w:rPr>
              <w:t>83</w:t>
            </w:r>
            <w:r w:rsidRPr="003217E6">
              <w:rPr>
                <w:b w:val="0"/>
              </w:rPr>
              <w:t>,000</w:t>
            </w:r>
            <w:r w:rsidR="00574161">
              <w:rPr>
                <w:b w:val="0"/>
              </w:rPr>
              <w:t>,000</w:t>
            </w:r>
          </w:p>
          <w:p w:rsidR="00AB0FCA" w:rsidRPr="003217E6" w:rsidRDefault="00AB0FCA" w:rsidP="00A7707F">
            <w:pPr>
              <w:pStyle w:val="TableTextEntries"/>
              <w:rPr>
                <w:b w:val="0"/>
              </w:rPr>
            </w:pPr>
            <w:r w:rsidRPr="003217E6">
              <w:rPr>
                <w:b w:val="0"/>
              </w:rPr>
              <w:t>30</w:t>
            </w:r>
            <w:r w:rsidR="00A7707F">
              <w:rPr>
                <w:b w:val="0"/>
              </w:rPr>
              <w:t>/01/</w:t>
            </w:r>
            <w:r w:rsidRPr="003217E6">
              <w:rPr>
                <w:b w:val="0"/>
              </w:rPr>
              <w:t>2009 – 31</w:t>
            </w:r>
            <w:r w:rsidR="00A7707F">
              <w:rPr>
                <w:b w:val="0"/>
              </w:rPr>
              <w:t>/12/</w:t>
            </w:r>
            <w:r w:rsidRPr="003217E6">
              <w:rPr>
                <w:b w:val="0"/>
              </w:rPr>
              <w:t>2015</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single" w:sz="4" w:space="0" w:color="auto"/>
            </w:tcBorders>
            <w:shd w:val="clear" w:color="auto" w:fill="FF0000"/>
            <w:noWrap/>
            <w:hideMark/>
          </w:tcPr>
          <w:p w:rsidR="00AB0FCA" w:rsidRPr="003217E6" w:rsidRDefault="00AB0FCA">
            <w:pPr>
              <w:pStyle w:val="TableTextEntries"/>
              <w:jc w:val="center"/>
              <w:rPr>
                <w:b w:val="0"/>
              </w:rPr>
            </w:pPr>
            <w:r w:rsidRPr="003217E6">
              <w:rPr>
                <w:b w:val="0"/>
              </w:rPr>
              <w:t>2</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Health Service Provision Facility (INJ708)</w:t>
            </w:r>
          </w:p>
        </w:tc>
        <w:tc>
          <w:tcPr>
            <w:tcW w:w="1221" w:type="pct"/>
            <w:vMerge w:val="restart"/>
            <w:tcBorders>
              <w:top w:val="single" w:sz="4" w:space="0" w:color="auto"/>
            </w:tcBorders>
            <w:hideMark/>
          </w:tcPr>
          <w:p w:rsidR="00AB0FCA" w:rsidRPr="003217E6" w:rsidRDefault="00AB0FCA">
            <w:pPr>
              <w:pStyle w:val="TableTextEntries"/>
              <w:rPr>
                <w:b w:val="0"/>
              </w:rPr>
            </w:pPr>
            <w:r w:rsidRPr="003217E6">
              <w:rPr>
                <w:b w:val="0"/>
              </w:rPr>
              <w:t>$78,351,700</w:t>
            </w:r>
          </w:p>
          <w:p w:rsidR="00AB0FCA" w:rsidRPr="003217E6" w:rsidRDefault="00AB0FCA" w:rsidP="00A7707F">
            <w:pPr>
              <w:pStyle w:val="TableTextEntries"/>
              <w:rPr>
                <w:b w:val="0"/>
              </w:rPr>
            </w:pPr>
            <w:r w:rsidRPr="003217E6">
              <w:rPr>
                <w:b w:val="0"/>
              </w:rPr>
              <w:t>1</w:t>
            </w:r>
            <w:r w:rsidR="00A7707F">
              <w:rPr>
                <w:b w:val="0"/>
              </w:rPr>
              <w:t>/03/</w:t>
            </w:r>
            <w:r w:rsidRPr="003217E6">
              <w:rPr>
                <w:b w:val="0"/>
              </w:rPr>
              <w:t>2011 – 30</w:t>
            </w:r>
            <w:r w:rsidR="00A7707F">
              <w:rPr>
                <w:b w:val="0"/>
              </w:rPr>
              <w:t>/06/</w:t>
            </w:r>
            <w:r w:rsidRPr="003217E6">
              <w:rPr>
                <w:b w:val="0"/>
              </w:rPr>
              <w:t>2014</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4"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85"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6</w:t>
            </w:r>
          </w:p>
        </w:tc>
        <w:tc>
          <w:tcPr>
            <w:tcW w:w="293"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4"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634E4B" w:rsidRDefault="00AB0FCA">
            <w:pPr>
              <w:pStyle w:val="TableTextEntries"/>
              <w:rPr>
                <w:b w:val="0"/>
              </w:rPr>
            </w:pPr>
            <w:r w:rsidRPr="00634E4B">
              <w:rPr>
                <w:b w:val="0"/>
              </w:rPr>
              <w:t>PNG Health and HIV Multilateral Program (INJ858)</w:t>
            </w:r>
          </w:p>
        </w:tc>
        <w:tc>
          <w:tcPr>
            <w:tcW w:w="1221" w:type="pct"/>
            <w:vMerge w:val="restart"/>
            <w:tcBorders>
              <w:top w:val="single" w:sz="4" w:space="0" w:color="auto"/>
            </w:tcBorders>
            <w:hideMark/>
          </w:tcPr>
          <w:p w:rsidR="00AB0FCA" w:rsidRPr="003217E6" w:rsidRDefault="00AB0FCA">
            <w:pPr>
              <w:pStyle w:val="TableTextEntries"/>
              <w:rPr>
                <w:b w:val="0"/>
              </w:rPr>
            </w:pPr>
            <w:r w:rsidRPr="003217E6">
              <w:rPr>
                <w:b w:val="0"/>
              </w:rPr>
              <w:t>$66,709,905</w:t>
            </w:r>
          </w:p>
          <w:p w:rsidR="00AB0FCA" w:rsidRPr="003217E6" w:rsidRDefault="00AB0FCA" w:rsidP="00A7707F">
            <w:pPr>
              <w:pStyle w:val="TableTextEntries"/>
              <w:rPr>
                <w:b w:val="0"/>
              </w:rPr>
            </w:pPr>
            <w:r w:rsidRPr="003217E6">
              <w:rPr>
                <w:b w:val="0"/>
              </w:rPr>
              <w:t>2</w:t>
            </w:r>
            <w:r w:rsidR="00A7707F">
              <w:rPr>
                <w:b w:val="0"/>
              </w:rPr>
              <w:t>/05/2</w:t>
            </w:r>
            <w:r w:rsidRPr="003217E6">
              <w:rPr>
                <w:b w:val="0"/>
              </w:rPr>
              <w:t>011 – 30</w:t>
            </w:r>
            <w:r w:rsidR="00A7707F">
              <w:rPr>
                <w:b w:val="0"/>
              </w:rPr>
              <w:t>/06/</w:t>
            </w:r>
            <w:r w:rsidRPr="003217E6">
              <w:rPr>
                <w:b w:val="0"/>
              </w:rPr>
              <w:t>16</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4"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85"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Health Capacity and Development Service Delivery (INK214)</w:t>
            </w:r>
          </w:p>
        </w:tc>
        <w:tc>
          <w:tcPr>
            <w:tcW w:w="1221" w:type="pct"/>
            <w:vMerge w:val="restart"/>
            <w:tcBorders>
              <w:top w:val="single" w:sz="4" w:space="0" w:color="auto"/>
            </w:tcBorders>
            <w:hideMark/>
          </w:tcPr>
          <w:p w:rsidR="00AB0FCA" w:rsidRPr="003217E6" w:rsidRDefault="00AB0FCA">
            <w:pPr>
              <w:pStyle w:val="TableTextEntries"/>
              <w:rPr>
                <w:b w:val="0"/>
              </w:rPr>
            </w:pPr>
            <w:r w:rsidRPr="003217E6">
              <w:rPr>
                <w:b w:val="0"/>
              </w:rPr>
              <w:t>$235,068,977</w:t>
            </w:r>
          </w:p>
          <w:p w:rsidR="00AB0FCA" w:rsidRPr="003217E6" w:rsidRDefault="00AB0FCA" w:rsidP="00A7707F">
            <w:pPr>
              <w:pStyle w:val="TableTextEntries"/>
              <w:rPr>
                <w:b w:val="0"/>
              </w:rPr>
            </w:pPr>
            <w:r w:rsidRPr="003217E6">
              <w:rPr>
                <w:b w:val="0"/>
              </w:rPr>
              <w:t>3</w:t>
            </w:r>
            <w:r w:rsidR="00A7707F">
              <w:rPr>
                <w:b w:val="0"/>
              </w:rPr>
              <w:t>/10/</w:t>
            </w:r>
            <w:r w:rsidRPr="003217E6">
              <w:rPr>
                <w:b w:val="0"/>
              </w:rPr>
              <w:t>2011 – 30</w:t>
            </w:r>
            <w:r w:rsidR="00A7707F">
              <w:rPr>
                <w:b w:val="0"/>
              </w:rPr>
              <w:t>/06/</w:t>
            </w:r>
            <w:r w:rsidRPr="003217E6">
              <w:rPr>
                <w:b w:val="0"/>
              </w:rPr>
              <w:t>2015</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tcBorders>
              <w:top w:val="single" w:sz="4" w:space="0" w:color="auto"/>
            </w:tcBorders>
            <w:hideMark/>
          </w:tcPr>
          <w:p w:rsidR="00AB0FCA" w:rsidRPr="003217E6" w:rsidRDefault="00AB0FCA">
            <w:pPr>
              <w:pStyle w:val="TableTextEntries"/>
              <w:rPr>
                <w:b w:val="0"/>
              </w:rPr>
            </w:pPr>
            <w:r w:rsidRPr="003217E6">
              <w:rPr>
                <w:b w:val="0"/>
              </w:rPr>
              <w:t>CARE Integrated Community Development Program</w:t>
            </w:r>
          </w:p>
        </w:tc>
        <w:tc>
          <w:tcPr>
            <w:tcW w:w="1221" w:type="pct"/>
            <w:tcBorders>
              <w:top w:val="single" w:sz="4" w:space="0" w:color="auto"/>
            </w:tcBorders>
            <w:hideMark/>
          </w:tcPr>
          <w:p w:rsidR="00AB0FCA" w:rsidRPr="003217E6" w:rsidRDefault="00AB0FCA" w:rsidP="00A7707F">
            <w:pPr>
              <w:pStyle w:val="TableTextEntries"/>
              <w:rPr>
                <w:b w:val="0"/>
              </w:rPr>
            </w:pPr>
            <w:r w:rsidRPr="003217E6">
              <w:rPr>
                <w:b w:val="0"/>
              </w:rPr>
              <w:t>$5,593,655 1</w:t>
            </w:r>
            <w:r w:rsidR="00A7707F">
              <w:rPr>
                <w:b w:val="0"/>
              </w:rPr>
              <w:t>/02/</w:t>
            </w:r>
            <w:r w:rsidRPr="003217E6">
              <w:rPr>
                <w:b w:val="0"/>
              </w:rPr>
              <w:t>2010 – 30</w:t>
            </w:r>
            <w:r w:rsidR="00A7707F">
              <w:rPr>
                <w:b w:val="0"/>
              </w:rPr>
              <w:t>/06/</w:t>
            </w:r>
            <w:r w:rsidRPr="003217E6">
              <w:rPr>
                <w:b w:val="0"/>
              </w:rPr>
              <w:t>2016</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85"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6</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Western Province package of measures (novated to health service provision)  (INI046)</w:t>
            </w:r>
          </w:p>
        </w:tc>
        <w:tc>
          <w:tcPr>
            <w:tcW w:w="1221" w:type="pct"/>
            <w:vMerge w:val="restart"/>
            <w:tcBorders>
              <w:top w:val="single" w:sz="4" w:space="0" w:color="auto"/>
            </w:tcBorders>
            <w:hideMark/>
          </w:tcPr>
          <w:p w:rsidR="00AB0FCA" w:rsidRPr="003217E6" w:rsidRDefault="00AB0FCA">
            <w:pPr>
              <w:pStyle w:val="TableTextEntries"/>
              <w:rPr>
                <w:b w:val="0"/>
              </w:rPr>
            </w:pPr>
            <w:r w:rsidRPr="003217E6">
              <w:rPr>
                <w:b w:val="0"/>
              </w:rPr>
              <w:t>$4,410,613</w:t>
            </w:r>
          </w:p>
          <w:p w:rsidR="00AB0FCA" w:rsidRPr="003217E6" w:rsidRDefault="00AB0FCA" w:rsidP="00A7707F">
            <w:pPr>
              <w:pStyle w:val="TableTextEntries"/>
              <w:rPr>
                <w:b w:val="0"/>
              </w:rPr>
            </w:pPr>
            <w:r w:rsidRPr="003217E6">
              <w:rPr>
                <w:b w:val="0"/>
              </w:rPr>
              <w:t>25</w:t>
            </w:r>
            <w:r w:rsidR="00A7707F">
              <w:rPr>
                <w:b w:val="0"/>
              </w:rPr>
              <w:t>/06/</w:t>
            </w:r>
            <w:r w:rsidRPr="003217E6">
              <w:rPr>
                <w:b w:val="0"/>
              </w:rPr>
              <w:t>2008 – 31</w:t>
            </w:r>
            <w:r w:rsidR="00A7707F">
              <w:rPr>
                <w:b w:val="0"/>
              </w:rPr>
              <w:t>/08/</w:t>
            </w:r>
            <w:r w:rsidRPr="003217E6">
              <w:rPr>
                <w:b w:val="0"/>
              </w:rPr>
              <w:t>2015</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auto"/>
            <w:noWrap/>
            <w:hideMark/>
          </w:tcPr>
          <w:p w:rsidR="00AB0FCA" w:rsidRPr="003217E6" w:rsidRDefault="006D05EB">
            <w:pPr>
              <w:pStyle w:val="TableTextEntries"/>
              <w:jc w:val="center"/>
              <w:rPr>
                <w:b w:val="0"/>
              </w:rPr>
            </w:pPr>
            <w:r>
              <w:rPr>
                <w:b w:val="0"/>
              </w:rPr>
              <w:t>n/a</w:t>
            </w:r>
          </w:p>
        </w:tc>
        <w:tc>
          <w:tcPr>
            <w:tcW w:w="293" w:type="pct"/>
            <w:tcBorders>
              <w:top w:val="single" w:sz="4" w:space="0" w:color="auto"/>
            </w:tcBorders>
            <w:shd w:val="clear" w:color="auto" w:fill="auto"/>
            <w:noWrap/>
            <w:hideMark/>
          </w:tcPr>
          <w:p w:rsidR="00AB0FCA" w:rsidRPr="003217E6" w:rsidRDefault="006D05EB">
            <w:pPr>
              <w:pStyle w:val="TableTextEntries"/>
              <w:jc w:val="center"/>
              <w:rPr>
                <w:b w:val="0"/>
              </w:rPr>
            </w:pPr>
            <w:r>
              <w:rPr>
                <w:b w:val="0"/>
              </w:rPr>
              <w:t>n/a</w:t>
            </w:r>
          </w:p>
        </w:tc>
        <w:tc>
          <w:tcPr>
            <w:tcW w:w="294" w:type="pct"/>
            <w:tcBorders>
              <w:top w:val="single" w:sz="4" w:space="0" w:color="auto"/>
            </w:tcBorders>
            <w:shd w:val="clear" w:color="auto" w:fill="auto"/>
            <w:noWrap/>
            <w:hideMark/>
          </w:tcPr>
          <w:p w:rsidR="00AB0FCA" w:rsidRPr="003217E6" w:rsidRDefault="006D05EB">
            <w:pPr>
              <w:pStyle w:val="TableTextEntries"/>
              <w:jc w:val="center"/>
              <w:rPr>
                <w:b w:val="0"/>
              </w:rPr>
            </w:pPr>
            <w:r>
              <w:rPr>
                <w:b w:val="0"/>
              </w:rPr>
              <w:t>n/a</w:t>
            </w:r>
          </w:p>
        </w:tc>
        <w:tc>
          <w:tcPr>
            <w:tcW w:w="293" w:type="pct"/>
            <w:tcBorders>
              <w:top w:val="single" w:sz="4" w:space="0" w:color="auto"/>
            </w:tcBorders>
            <w:shd w:val="clear" w:color="auto" w:fill="auto"/>
            <w:noWrap/>
            <w:hideMark/>
          </w:tcPr>
          <w:p w:rsidR="00AB0FCA" w:rsidRPr="003217E6" w:rsidRDefault="006D05EB">
            <w:pPr>
              <w:pStyle w:val="TableTextEntries"/>
              <w:jc w:val="center"/>
              <w:rPr>
                <w:b w:val="0"/>
              </w:rPr>
            </w:pPr>
            <w:r>
              <w:rPr>
                <w:b w:val="0"/>
              </w:rPr>
              <w:t>n/a</w:t>
            </w:r>
          </w:p>
        </w:tc>
        <w:tc>
          <w:tcPr>
            <w:tcW w:w="293" w:type="pct"/>
            <w:tcBorders>
              <w:top w:val="single" w:sz="4" w:space="0" w:color="auto"/>
            </w:tcBorders>
            <w:shd w:val="clear" w:color="auto" w:fill="auto"/>
            <w:noWrap/>
            <w:hideMark/>
          </w:tcPr>
          <w:p w:rsidR="00AB0FCA" w:rsidRPr="003217E6" w:rsidRDefault="006D05EB">
            <w:pPr>
              <w:pStyle w:val="TableTextEntries"/>
              <w:jc w:val="center"/>
              <w:rPr>
                <w:b w:val="0"/>
              </w:rPr>
            </w:pPr>
            <w:r>
              <w:rPr>
                <w:b w:val="0"/>
              </w:rPr>
              <w:t>n/a</w:t>
            </w:r>
          </w:p>
        </w:tc>
        <w:tc>
          <w:tcPr>
            <w:tcW w:w="285" w:type="pct"/>
            <w:tcBorders>
              <w:top w:val="single" w:sz="4" w:space="0" w:color="auto"/>
            </w:tcBorders>
            <w:shd w:val="clear" w:color="auto" w:fill="auto"/>
            <w:noWrap/>
            <w:hideMark/>
          </w:tcPr>
          <w:p w:rsidR="00AB0FCA" w:rsidRPr="003217E6" w:rsidRDefault="006D05EB">
            <w:pPr>
              <w:pStyle w:val="TableTextEntries"/>
              <w:jc w:val="center"/>
              <w:rPr>
                <w:b w:val="0"/>
              </w:rPr>
            </w:pPr>
            <w:r>
              <w:rPr>
                <w:b w:val="0"/>
              </w:rPr>
              <w:t>n/a</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PNG Health Scholarship Awards (INK339)</w:t>
            </w:r>
          </w:p>
        </w:tc>
        <w:tc>
          <w:tcPr>
            <w:tcW w:w="1221" w:type="pct"/>
            <w:vMerge w:val="restart"/>
            <w:tcBorders>
              <w:top w:val="single" w:sz="4" w:space="0" w:color="auto"/>
            </w:tcBorders>
            <w:hideMark/>
          </w:tcPr>
          <w:p w:rsidR="00AB0FCA" w:rsidRPr="003217E6" w:rsidRDefault="00AB0FCA">
            <w:pPr>
              <w:pStyle w:val="TableTextEntries"/>
              <w:rPr>
                <w:b w:val="0"/>
              </w:rPr>
            </w:pPr>
            <w:r w:rsidRPr="003217E6">
              <w:rPr>
                <w:b w:val="0"/>
              </w:rPr>
              <w:t>$2,950,000</w:t>
            </w:r>
          </w:p>
          <w:p w:rsidR="00AB0FCA" w:rsidRPr="003217E6" w:rsidRDefault="00AB0FCA" w:rsidP="00A7707F">
            <w:pPr>
              <w:pStyle w:val="TableTextEntries"/>
              <w:rPr>
                <w:b w:val="0"/>
              </w:rPr>
            </w:pPr>
            <w:r w:rsidRPr="003217E6">
              <w:rPr>
                <w:b w:val="0"/>
              </w:rPr>
              <w:t>1</w:t>
            </w:r>
            <w:r w:rsidR="00A7707F">
              <w:rPr>
                <w:b w:val="0"/>
              </w:rPr>
              <w:t>/12/</w:t>
            </w:r>
            <w:r w:rsidRPr="003217E6">
              <w:rPr>
                <w:b w:val="0"/>
              </w:rPr>
              <w:t>2011 – 31</w:t>
            </w:r>
            <w:r w:rsidR="00A7707F">
              <w:rPr>
                <w:b w:val="0"/>
              </w:rPr>
              <w:t>/12/</w:t>
            </w:r>
            <w:r w:rsidRPr="003217E6">
              <w:rPr>
                <w:b w:val="0"/>
              </w:rPr>
              <w:t>2013</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85"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Scholarships Port Moresby ADS 2011 Intake</w:t>
            </w:r>
          </w:p>
        </w:tc>
        <w:tc>
          <w:tcPr>
            <w:tcW w:w="1221" w:type="pct"/>
            <w:vMerge w:val="restart"/>
            <w:tcBorders>
              <w:top w:val="single" w:sz="4" w:space="0" w:color="auto"/>
            </w:tcBorders>
            <w:hideMark/>
          </w:tcPr>
          <w:p w:rsidR="00AB0FCA" w:rsidRPr="003217E6" w:rsidRDefault="00AB0FCA">
            <w:pPr>
              <w:pStyle w:val="TableTextEntries"/>
              <w:rPr>
                <w:b w:val="0"/>
              </w:rPr>
            </w:pPr>
            <w:r w:rsidRPr="003217E6">
              <w:rPr>
                <w:b w:val="0"/>
              </w:rPr>
              <w:t>$13,551,449</w:t>
            </w:r>
          </w:p>
          <w:p w:rsidR="00AB0FCA" w:rsidRPr="003217E6" w:rsidRDefault="00AB0FCA" w:rsidP="004A22EF">
            <w:pPr>
              <w:pStyle w:val="TableTextEntries"/>
              <w:rPr>
                <w:b w:val="0"/>
              </w:rPr>
            </w:pPr>
            <w:r w:rsidRPr="003217E6">
              <w:rPr>
                <w:b w:val="0"/>
              </w:rPr>
              <w:t>1</w:t>
            </w:r>
            <w:r w:rsidR="004A22EF">
              <w:rPr>
                <w:b w:val="0"/>
              </w:rPr>
              <w:t>/07/</w:t>
            </w:r>
            <w:r w:rsidRPr="003217E6">
              <w:rPr>
                <w:b w:val="0"/>
              </w:rPr>
              <w:t>2010 – 30</w:t>
            </w:r>
            <w:r w:rsidR="004A22EF">
              <w:rPr>
                <w:b w:val="0"/>
              </w:rPr>
              <w:t>/06/</w:t>
            </w:r>
            <w:r w:rsidRPr="003217E6">
              <w:rPr>
                <w:b w:val="0"/>
              </w:rPr>
              <w:t>2017</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ind w:left="37"/>
              <w:jc w:val="center"/>
              <w:rPr>
                <w:b w:val="0"/>
              </w:rPr>
            </w:pPr>
            <w:r w:rsidRPr="003217E6">
              <w:rPr>
                <w:b w:val="0"/>
              </w:rPr>
              <w:t>5</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85"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ind w:left="37"/>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Strongim Pipol Strongim Nesen (INI382)</w:t>
            </w:r>
          </w:p>
        </w:tc>
        <w:tc>
          <w:tcPr>
            <w:tcW w:w="1221" w:type="pct"/>
            <w:vMerge w:val="restart"/>
            <w:tcBorders>
              <w:top w:val="single" w:sz="4" w:space="0" w:color="auto"/>
            </w:tcBorders>
            <w:hideMark/>
          </w:tcPr>
          <w:p w:rsidR="00AB0FCA" w:rsidRPr="003217E6" w:rsidRDefault="00AB0FCA">
            <w:pPr>
              <w:pStyle w:val="TableTextEntries"/>
              <w:rPr>
                <w:b w:val="0"/>
              </w:rPr>
            </w:pPr>
            <w:r w:rsidRPr="003217E6">
              <w:rPr>
                <w:b w:val="0"/>
              </w:rPr>
              <w:t>$109,448,862</w:t>
            </w:r>
          </w:p>
          <w:p w:rsidR="00AB0FCA" w:rsidRPr="003217E6" w:rsidRDefault="00AB0FCA" w:rsidP="004A22EF">
            <w:pPr>
              <w:pStyle w:val="TableTextEntries"/>
              <w:rPr>
                <w:b w:val="0"/>
              </w:rPr>
            </w:pPr>
            <w:r w:rsidRPr="003217E6">
              <w:rPr>
                <w:b w:val="0"/>
              </w:rPr>
              <w:t>1</w:t>
            </w:r>
            <w:r w:rsidR="004A22EF">
              <w:rPr>
                <w:b w:val="0"/>
              </w:rPr>
              <w:t>/07/</w:t>
            </w:r>
            <w:r w:rsidRPr="003217E6">
              <w:rPr>
                <w:b w:val="0"/>
              </w:rPr>
              <w:t>2009 – 30</w:t>
            </w:r>
            <w:r w:rsidR="004A22EF">
              <w:rPr>
                <w:b w:val="0"/>
              </w:rPr>
              <w:t>/06/</w:t>
            </w:r>
            <w:r w:rsidRPr="003217E6">
              <w:rPr>
                <w:b w:val="0"/>
              </w:rPr>
              <w:t>2016</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ind w:left="37"/>
              <w:jc w:val="center"/>
              <w:rPr>
                <w:b w:val="0"/>
              </w:rPr>
            </w:pPr>
            <w:r w:rsidRPr="003217E6">
              <w:rPr>
                <w:b w:val="0"/>
              </w:rPr>
              <w:t>5</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85"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6</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ind w:left="37"/>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Church Partnership Program Phase II</w:t>
            </w:r>
          </w:p>
        </w:tc>
        <w:tc>
          <w:tcPr>
            <w:tcW w:w="1221" w:type="pct"/>
            <w:vMerge w:val="restart"/>
            <w:tcBorders>
              <w:top w:val="single" w:sz="4" w:space="0" w:color="auto"/>
            </w:tcBorders>
            <w:hideMark/>
          </w:tcPr>
          <w:p w:rsidR="00AB0FCA" w:rsidRPr="003217E6" w:rsidRDefault="00AB0FCA" w:rsidP="004A22EF">
            <w:pPr>
              <w:pStyle w:val="TableTextEntries"/>
              <w:rPr>
                <w:b w:val="0"/>
              </w:rPr>
            </w:pPr>
            <w:r w:rsidRPr="003217E6">
              <w:rPr>
                <w:b w:val="0"/>
              </w:rPr>
              <w:t>$50,000,-000 1</w:t>
            </w:r>
            <w:r w:rsidR="004A22EF">
              <w:rPr>
                <w:b w:val="0"/>
              </w:rPr>
              <w:t>/07/</w:t>
            </w:r>
            <w:r w:rsidRPr="003217E6">
              <w:rPr>
                <w:b w:val="0"/>
              </w:rPr>
              <w:t>2010 – 30</w:t>
            </w:r>
            <w:r w:rsidR="004A22EF">
              <w:rPr>
                <w:b w:val="0"/>
              </w:rPr>
              <w:t>/06/</w:t>
            </w:r>
            <w:r w:rsidRPr="003217E6">
              <w:rPr>
                <w:b w:val="0"/>
              </w:rPr>
              <w:t>2017</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4</w:t>
            </w:r>
          </w:p>
        </w:tc>
        <w:tc>
          <w:tcPr>
            <w:tcW w:w="294"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6</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5</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85"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409"/>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PNG Electoral Support Program</w:t>
            </w:r>
          </w:p>
        </w:tc>
        <w:tc>
          <w:tcPr>
            <w:tcW w:w="1221" w:type="pct"/>
            <w:vMerge w:val="restart"/>
            <w:tcBorders>
              <w:top w:val="single" w:sz="4" w:space="0" w:color="auto"/>
            </w:tcBorders>
            <w:hideMark/>
          </w:tcPr>
          <w:p w:rsidR="00AB0FCA" w:rsidRPr="003217E6" w:rsidRDefault="00AB0FCA">
            <w:pPr>
              <w:pStyle w:val="TableTextEntries"/>
              <w:rPr>
                <w:b w:val="0"/>
              </w:rPr>
            </w:pPr>
            <w:r w:rsidRPr="003217E6">
              <w:rPr>
                <w:b w:val="0"/>
              </w:rPr>
              <w:t>$24,919,637</w:t>
            </w:r>
          </w:p>
          <w:p w:rsidR="00AB0FCA" w:rsidRPr="003217E6" w:rsidRDefault="00AB0FCA" w:rsidP="004A22EF">
            <w:pPr>
              <w:pStyle w:val="TableTextEntries"/>
              <w:rPr>
                <w:b w:val="0"/>
              </w:rPr>
            </w:pPr>
            <w:r w:rsidRPr="003217E6">
              <w:rPr>
                <w:b w:val="0"/>
              </w:rPr>
              <w:t>1</w:t>
            </w:r>
            <w:r w:rsidR="004A22EF">
              <w:rPr>
                <w:b w:val="0"/>
              </w:rPr>
              <w:t>/01/</w:t>
            </w:r>
            <w:r w:rsidRPr="003217E6">
              <w:rPr>
                <w:b w:val="0"/>
              </w:rPr>
              <w:t>2011 – 31</w:t>
            </w:r>
            <w:r w:rsidR="004A22EF">
              <w:rPr>
                <w:b w:val="0"/>
              </w:rPr>
              <w:t>/12/</w:t>
            </w:r>
            <w:r w:rsidRPr="003217E6">
              <w:rPr>
                <w:b w:val="0"/>
              </w:rPr>
              <w:t>2015</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noWrap/>
            <w:hideMark/>
          </w:tcPr>
          <w:p w:rsidR="00AB0FCA" w:rsidRPr="003217E6" w:rsidRDefault="00AB0FCA">
            <w:pPr>
              <w:pStyle w:val="TableTextEntries"/>
              <w:jc w:val="center"/>
              <w:rPr>
                <w:b w:val="0"/>
              </w:rPr>
            </w:pPr>
            <w:r w:rsidRPr="003217E6">
              <w:rPr>
                <w:b w:val="0"/>
              </w:rPr>
              <w:t>E</w:t>
            </w:r>
          </w:p>
        </w:tc>
        <w:tc>
          <w:tcPr>
            <w:tcW w:w="293" w:type="pct"/>
            <w:tcBorders>
              <w:top w:val="single" w:sz="4" w:space="0" w:color="auto"/>
            </w:tcBorders>
            <w:noWrap/>
            <w:hideMark/>
          </w:tcPr>
          <w:p w:rsidR="00AB0FCA" w:rsidRPr="003217E6" w:rsidRDefault="00AB0FCA">
            <w:pPr>
              <w:pStyle w:val="TableTextEntries"/>
              <w:jc w:val="center"/>
              <w:rPr>
                <w:b w:val="0"/>
              </w:rPr>
            </w:pPr>
            <w:r w:rsidRPr="003217E6">
              <w:rPr>
                <w:b w:val="0"/>
              </w:rPr>
              <w:t>E</w:t>
            </w:r>
          </w:p>
        </w:tc>
        <w:tc>
          <w:tcPr>
            <w:tcW w:w="294" w:type="pct"/>
            <w:tcBorders>
              <w:top w:val="single" w:sz="4" w:space="0" w:color="auto"/>
            </w:tcBorders>
            <w:noWrap/>
            <w:hideMark/>
          </w:tcPr>
          <w:p w:rsidR="00AB0FCA" w:rsidRPr="003217E6" w:rsidRDefault="00AB0FCA">
            <w:pPr>
              <w:pStyle w:val="TableTextEntries"/>
              <w:jc w:val="center"/>
              <w:rPr>
                <w:b w:val="0"/>
              </w:rPr>
            </w:pPr>
            <w:r w:rsidRPr="003217E6">
              <w:rPr>
                <w:b w:val="0"/>
              </w:rPr>
              <w:t>E</w:t>
            </w:r>
          </w:p>
        </w:tc>
        <w:tc>
          <w:tcPr>
            <w:tcW w:w="293" w:type="pct"/>
            <w:tcBorders>
              <w:top w:val="single" w:sz="4" w:space="0" w:color="auto"/>
            </w:tcBorders>
            <w:noWrap/>
            <w:hideMark/>
          </w:tcPr>
          <w:p w:rsidR="00AB0FCA" w:rsidRPr="003217E6" w:rsidRDefault="00AB0FCA">
            <w:pPr>
              <w:pStyle w:val="TableTextEntries"/>
              <w:jc w:val="center"/>
              <w:rPr>
                <w:b w:val="0"/>
              </w:rPr>
            </w:pPr>
            <w:r w:rsidRPr="003217E6">
              <w:rPr>
                <w:b w:val="0"/>
              </w:rPr>
              <w:t>E</w:t>
            </w:r>
          </w:p>
        </w:tc>
        <w:tc>
          <w:tcPr>
            <w:tcW w:w="293" w:type="pct"/>
            <w:tcBorders>
              <w:top w:val="single" w:sz="4" w:space="0" w:color="auto"/>
            </w:tcBorders>
            <w:noWrap/>
            <w:hideMark/>
          </w:tcPr>
          <w:p w:rsidR="00AB0FCA" w:rsidRPr="003217E6" w:rsidRDefault="00AB0FCA">
            <w:pPr>
              <w:pStyle w:val="TableTextEntries"/>
              <w:jc w:val="center"/>
              <w:rPr>
                <w:b w:val="0"/>
              </w:rPr>
            </w:pPr>
            <w:r w:rsidRPr="003217E6">
              <w:rPr>
                <w:b w:val="0"/>
              </w:rPr>
              <w:t>E</w:t>
            </w:r>
          </w:p>
        </w:tc>
        <w:tc>
          <w:tcPr>
            <w:tcW w:w="285" w:type="pct"/>
            <w:tcBorders>
              <w:top w:val="single" w:sz="4" w:space="0" w:color="auto"/>
            </w:tcBorders>
            <w:noWrap/>
            <w:hideMark/>
          </w:tcPr>
          <w:p w:rsidR="00AB0FCA" w:rsidRPr="003217E6" w:rsidRDefault="00AB0FCA">
            <w:pPr>
              <w:pStyle w:val="TableTextEntries"/>
              <w:rPr>
                <w:b w:val="0"/>
              </w:rPr>
            </w:pPr>
            <w:r w:rsidRPr="003217E6">
              <w:rPr>
                <w:b w:val="0"/>
              </w:rPr>
              <w:t>E</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none" w:sz="0" w:space="0" w:color="auto"/>
              <w:bottom w:val="none" w:sz="0" w:space="0" w:color="auto"/>
            </w:tcBorders>
            <w:hideMark/>
          </w:tcPr>
          <w:p w:rsidR="00AB0FCA" w:rsidRPr="003217E6" w:rsidRDefault="00AB0FCA">
            <w:pPr>
              <w:pStyle w:val="TableTextEntries"/>
              <w:rPr>
                <w:b w:val="0"/>
              </w:rPr>
            </w:pPr>
            <w:r w:rsidRPr="003217E6">
              <w:rPr>
                <w:b w:val="0"/>
              </w:rPr>
              <w:lastRenderedPageBreak/>
              <w:t>Scholarships PNG (INI815)</w:t>
            </w:r>
          </w:p>
        </w:tc>
        <w:tc>
          <w:tcPr>
            <w:tcW w:w="1221" w:type="pct"/>
            <w:vMerge w:val="restart"/>
            <w:tcBorders>
              <w:top w:val="none" w:sz="0" w:space="0" w:color="auto"/>
              <w:bottom w:val="none" w:sz="0" w:space="0" w:color="auto"/>
            </w:tcBorders>
            <w:hideMark/>
          </w:tcPr>
          <w:p w:rsidR="00AB0FCA" w:rsidRPr="003217E6" w:rsidRDefault="00AB0FCA" w:rsidP="004A22EF">
            <w:pPr>
              <w:pStyle w:val="TableTextEntries"/>
              <w:rPr>
                <w:b w:val="0"/>
              </w:rPr>
            </w:pPr>
            <w:r w:rsidRPr="003217E6">
              <w:rPr>
                <w:b w:val="0"/>
              </w:rPr>
              <w:t>$55,538,029, 1</w:t>
            </w:r>
            <w:r w:rsidR="004A22EF">
              <w:rPr>
                <w:b w:val="0"/>
              </w:rPr>
              <w:t>/07/</w:t>
            </w:r>
            <w:r w:rsidRPr="003217E6">
              <w:rPr>
                <w:b w:val="0"/>
              </w:rPr>
              <w:t>2009 – 30</w:t>
            </w:r>
            <w:r w:rsidR="004A22EF">
              <w:rPr>
                <w:b w:val="0"/>
              </w:rPr>
              <w:t>/06/</w:t>
            </w:r>
            <w:r w:rsidRPr="003217E6">
              <w:rPr>
                <w:b w:val="0"/>
              </w:rPr>
              <w:t>2015</w:t>
            </w: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85"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Economic and Public Sector Program (INI903)</w:t>
            </w:r>
          </w:p>
        </w:tc>
        <w:tc>
          <w:tcPr>
            <w:tcW w:w="1221" w:type="pct"/>
            <w:vMerge w:val="restart"/>
            <w:tcBorders>
              <w:top w:val="single" w:sz="4" w:space="0" w:color="auto"/>
            </w:tcBorders>
            <w:hideMark/>
          </w:tcPr>
          <w:p w:rsidR="00AB0FCA" w:rsidRPr="003217E6" w:rsidRDefault="00AB0FCA" w:rsidP="00BA1C0D">
            <w:pPr>
              <w:pStyle w:val="TableTextEntries"/>
              <w:rPr>
                <w:b w:val="0"/>
              </w:rPr>
            </w:pPr>
            <w:r w:rsidRPr="003217E6">
              <w:rPr>
                <w:b w:val="0"/>
              </w:rPr>
              <w:t>$106,171,534, 1</w:t>
            </w:r>
            <w:r w:rsidR="00BA1C0D">
              <w:rPr>
                <w:b w:val="0"/>
              </w:rPr>
              <w:t>/07/</w:t>
            </w:r>
            <w:r w:rsidRPr="003217E6">
              <w:rPr>
                <w:b w:val="0"/>
              </w:rPr>
              <w:t>2009 – 30</w:t>
            </w:r>
            <w:r w:rsidR="00BA1C0D">
              <w:rPr>
                <w:b w:val="0"/>
              </w:rPr>
              <w:t>/06/</w:t>
            </w:r>
            <w:r w:rsidRPr="003217E6">
              <w:rPr>
                <w:b w:val="0"/>
              </w:rPr>
              <w:t>2016</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4"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85"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4"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85"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A7027">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Health Program Response to HIV/AIDS)</w:t>
            </w:r>
          </w:p>
        </w:tc>
        <w:tc>
          <w:tcPr>
            <w:tcW w:w="1221" w:type="pct"/>
            <w:vMerge w:val="restart"/>
            <w:tcBorders>
              <w:top w:val="single" w:sz="4" w:space="0" w:color="auto"/>
            </w:tcBorders>
            <w:hideMark/>
          </w:tcPr>
          <w:p w:rsidR="00AB0FCA" w:rsidRPr="003217E6" w:rsidRDefault="00AB0FCA" w:rsidP="00BA1C0D">
            <w:pPr>
              <w:pStyle w:val="TableTextEntries"/>
              <w:rPr>
                <w:b w:val="0"/>
              </w:rPr>
            </w:pPr>
            <w:r w:rsidRPr="003217E6">
              <w:rPr>
                <w:b w:val="0"/>
              </w:rPr>
              <w:t>$55,538,029, 1</w:t>
            </w:r>
            <w:r w:rsidR="00BA1C0D">
              <w:rPr>
                <w:b w:val="0"/>
              </w:rPr>
              <w:t>/07/</w:t>
            </w:r>
            <w:r w:rsidRPr="003217E6">
              <w:rPr>
                <w:b w:val="0"/>
              </w:rPr>
              <w:t>2009 – 30</w:t>
            </w:r>
            <w:r w:rsidR="00BA1C0D">
              <w:rPr>
                <w:b w:val="0"/>
              </w:rPr>
              <w:t>/06/</w:t>
            </w:r>
            <w:r w:rsidRPr="003217E6">
              <w:rPr>
                <w:b w:val="0"/>
              </w:rPr>
              <w:t>2015</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auto"/>
            <w:noWrap/>
            <w:hideMark/>
          </w:tcPr>
          <w:p w:rsidR="00AB0FCA" w:rsidRPr="003217E6" w:rsidRDefault="006A7027">
            <w:pPr>
              <w:pStyle w:val="TableTextEntries"/>
              <w:jc w:val="center"/>
              <w:rPr>
                <w:b w:val="0"/>
              </w:rPr>
            </w:pPr>
            <w:r>
              <w:rPr>
                <w:b w:val="0"/>
              </w:rPr>
              <w:t>n/a</w:t>
            </w:r>
          </w:p>
        </w:tc>
        <w:tc>
          <w:tcPr>
            <w:tcW w:w="293" w:type="pct"/>
            <w:tcBorders>
              <w:top w:val="single" w:sz="4" w:space="0" w:color="auto"/>
            </w:tcBorders>
            <w:shd w:val="clear" w:color="auto" w:fill="auto"/>
            <w:noWrap/>
            <w:hideMark/>
          </w:tcPr>
          <w:p w:rsidR="00AB0FCA" w:rsidRPr="003217E6" w:rsidRDefault="006A7027">
            <w:pPr>
              <w:pStyle w:val="TableTextEntries"/>
              <w:jc w:val="center"/>
              <w:rPr>
                <w:b w:val="0"/>
              </w:rPr>
            </w:pPr>
            <w:r>
              <w:rPr>
                <w:b w:val="0"/>
              </w:rPr>
              <w:t>n/a</w:t>
            </w:r>
          </w:p>
        </w:tc>
        <w:tc>
          <w:tcPr>
            <w:tcW w:w="294" w:type="pct"/>
            <w:tcBorders>
              <w:top w:val="single" w:sz="4" w:space="0" w:color="auto"/>
            </w:tcBorders>
            <w:shd w:val="clear" w:color="auto" w:fill="auto"/>
            <w:noWrap/>
            <w:hideMark/>
          </w:tcPr>
          <w:p w:rsidR="00AB0FCA" w:rsidRPr="003217E6" w:rsidRDefault="006A7027">
            <w:pPr>
              <w:pStyle w:val="TableTextEntries"/>
              <w:jc w:val="center"/>
              <w:rPr>
                <w:b w:val="0"/>
              </w:rPr>
            </w:pPr>
            <w:r>
              <w:rPr>
                <w:b w:val="0"/>
              </w:rPr>
              <w:t>n/a</w:t>
            </w:r>
          </w:p>
        </w:tc>
        <w:tc>
          <w:tcPr>
            <w:tcW w:w="293" w:type="pct"/>
            <w:tcBorders>
              <w:top w:val="single" w:sz="4" w:space="0" w:color="auto"/>
            </w:tcBorders>
            <w:shd w:val="clear" w:color="auto" w:fill="auto"/>
            <w:noWrap/>
            <w:hideMark/>
          </w:tcPr>
          <w:p w:rsidR="00AB0FCA" w:rsidRPr="003217E6" w:rsidRDefault="006A7027">
            <w:pPr>
              <w:pStyle w:val="TableTextEntries"/>
              <w:jc w:val="center"/>
              <w:rPr>
                <w:b w:val="0"/>
              </w:rPr>
            </w:pPr>
            <w:r>
              <w:rPr>
                <w:b w:val="0"/>
              </w:rPr>
              <w:t>n/a</w:t>
            </w:r>
          </w:p>
        </w:tc>
        <w:tc>
          <w:tcPr>
            <w:tcW w:w="293" w:type="pct"/>
            <w:tcBorders>
              <w:top w:val="single" w:sz="4" w:space="0" w:color="auto"/>
            </w:tcBorders>
            <w:shd w:val="clear" w:color="auto" w:fill="auto"/>
            <w:noWrap/>
            <w:hideMark/>
          </w:tcPr>
          <w:p w:rsidR="00AB0FCA" w:rsidRPr="003217E6" w:rsidRDefault="006A7027">
            <w:pPr>
              <w:pStyle w:val="TableTextEntries"/>
              <w:jc w:val="center"/>
              <w:rPr>
                <w:b w:val="0"/>
              </w:rPr>
            </w:pPr>
            <w:r>
              <w:rPr>
                <w:b w:val="0"/>
              </w:rPr>
              <w:t>n/a</w:t>
            </w:r>
          </w:p>
        </w:tc>
        <w:tc>
          <w:tcPr>
            <w:tcW w:w="285" w:type="pct"/>
            <w:tcBorders>
              <w:top w:val="single" w:sz="4" w:space="0" w:color="auto"/>
            </w:tcBorders>
            <w:shd w:val="clear" w:color="auto" w:fill="auto"/>
            <w:noWrap/>
            <w:hideMark/>
          </w:tcPr>
          <w:p w:rsidR="00AB0FCA" w:rsidRPr="003217E6" w:rsidRDefault="006A7027">
            <w:pPr>
              <w:pStyle w:val="TableTextEntries"/>
              <w:jc w:val="center"/>
              <w:rPr>
                <w:b w:val="0"/>
              </w:rPr>
            </w:pPr>
            <w:r>
              <w:rPr>
                <w:b w:val="0"/>
              </w:rPr>
              <w:t>n/a</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Incentive Fund Phase III (INI793)</w:t>
            </w:r>
          </w:p>
        </w:tc>
        <w:tc>
          <w:tcPr>
            <w:tcW w:w="1221" w:type="pct"/>
            <w:vMerge w:val="restart"/>
            <w:tcBorders>
              <w:top w:val="single" w:sz="4" w:space="0" w:color="auto"/>
            </w:tcBorders>
            <w:hideMark/>
          </w:tcPr>
          <w:p w:rsidR="00AB0FCA" w:rsidRPr="003217E6" w:rsidRDefault="00AB0FCA" w:rsidP="00BA1C0D">
            <w:pPr>
              <w:pStyle w:val="TableTextEntries"/>
              <w:rPr>
                <w:b w:val="0"/>
              </w:rPr>
            </w:pPr>
            <w:r w:rsidRPr="003217E6">
              <w:rPr>
                <w:b w:val="0"/>
              </w:rPr>
              <w:t>$87,000,000, 1</w:t>
            </w:r>
            <w:r w:rsidR="00BA1C0D">
              <w:rPr>
                <w:b w:val="0"/>
              </w:rPr>
              <w:t>/07/</w:t>
            </w:r>
            <w:r w:rsidRPr="003217E6">
              <w:rPr>
                <w:b w:val="0"/>
              </w:rPr>
              <w:t>2009 – 30</w:t>
            </w:r>
            <w:r w:rsidR="00BA1C0D">
              <w:rPr>
                <w:b w:val="0"/>
              </w:rPr>
              <w:t>/06/201</w:t>
            </w:r>
            <w:r w:rsidRPr="003217E6">
              <w:rPr>
                <w:b w:val="0"/>
              </w:rPr>
              <w:t>5</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tcBorders>
              <w:top w:val="single" w:sz="4" w:space="0" w:color="auto"/>
            </w:tcBorders>
            <w:hideMark/>
          </w:tcPr>
          <w:p w:rsidR="00AB0FCA" w:rsidRPr="003217E6" w:rsidRDefault="00AB0FCA">
            <w:pPr>
              <w:pStyle w:val="TableTextEntries"/>
              <w:rPr>
                <w:b w:val="0"/>
              </w:rPr>
            </w:pPr>
            <w:r w:rsidRPr="003217E6">
              <w:rPr>
                <w:b w:val="0"/>
              </w:rPr>
              <w:t>PNG Disaster Risk Management Program (INJ302)</w:t>
            </w:r>
          </w:p>
        </w:tc>
        <w:tc>
          <w:tcPr>
            <w:tcW w:w="1221" w:type="pct"/>
            <w:tcBorders>
              <w:top w:val="single" w:sz="4" w:space="0" w:color="auto"/>
            </w:tcBorders>
            <w:hideMark/>
          </w:tcPr>
          <w:p w:rsidR="00AB0FCA" w:rsidRPr="003217E6" w:rsidRDefault="00AB0FCA" w:rsidP="00BA1C0D">
            <w:pPr>
              <w:pStyle w:val="TableTextEntries"/>
              <w:rPr>
                <w:b w:val="0"/>
                <w:i/>
              </w:rPr>
            </w:pPr>
            <w:r w:rsidRPr="003217E6">
              <w:rPr>
                <w:b w:val="0"/>
                <w:i/>
              </w:rPr>
              <w:t xml:space="preserve">$8,986,500 </w:t>
            </w:r>
            <w:r w:rsidRPr="00BA1C0D">
              <w:rPr>
                <w:b w:val="0"/>
              </w:rPr>
              <w:t>1</w:t>
            </w:r>
            <w:r w:rsidR="00BA1C0D" w:rsidRPr="00BA1C0D">
              <w:rPr>
                <w:b w:val="0"/>
              </w:rPr>
              <w:t>/07/</w:t>
            </w:r>
            <w:r w:rsidRPr="00BA1C0D">
              <w:rPr>
                <w:b w:val="0"/>
              </w:rPr>
              <w:t xml:space="preserve"> 2009 – 31</w:t>
            </w:r>
            <w:r w:rsidR="00BA1C0D" w:rsidRPr="00BA1C0D">
              <w:rPr>
                <w:b w:val="0"/>
              </w:rPr>
              <w:t>/12/</w:t>
            </w:r>
            <w:r w:rsidRPr="00BA1C0D">
              <w:rPr>
                <w:b w:val="0"/>
              </w:rPr>
              <w:t>2015</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4"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single" w:sz="4" w:space="0" w:color="auto"/>
            </w:tcBorders>
            <w:shd w:val="clear" w:color="auto" w:fill="FF0000"/>
            <w:noWrap/>
            <w:hideMark/>
          </w:tcPr>
          <w:p w:rsidR="00AB0FCA" w:rsidRPr="003217E6" w:rsidRDefault="00AB0FCA">
            <w:pPr>
              <w:pStyle w:val="TableTextEntries"/>
              <w:jc w:val="center"/>
              <w:rPr>
                <w:b w:val="0"/>
              </w:rPr>
            </w:pPr>
            <w:r w:rsidRPr="003217E6">
              <w:rPr>
                <w:b w:val="0"/>
              </w:rPr>
              <w:t>2</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85"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tcBorders>
              <w:top w:val="none" w:sz="0" w:space="0" w:color="auto"/>
              <w:bottom w:val="none" w:sz="0" w:space="0" w:color="auto"/>
            </w:tcBorders>
          </w:tcPr>
          <w:p w:rsidR="00AB0FCA" w:rsidRPr="003217E6" w:rsidRDefault="00AB0FCA">
            <w:pPr>
              <w:pStyle w:val="TableTextEntries"/>
              <w:rPr>
                <w:b w:val="0"/>
              </w:rPr>
            </w:pPr>
          </w:p>
        </w:tc>
        <w:tc>
          <w:tcPr>
            <w:tcW w:w="1221" w:type="pct"/>
            <w:tcBorders>
              <w:top w:val="none" w:sz="0" w:space="0" w:color="auto"/>
              <w:bottom w:val="none" w:sz="0" w:space="0" w:color="auto"/>
            </w:tcBorders>
          </w:tcPr>
          <w:p w:rsidR="00AB0FCA" w:rsidRPr="003217E6" w:rsidRDefault="00AB0FCA">
            <w:pPr>
              <w:pStyle w:val="TableTextEntries"/>
              <w:rPr>
                <w:b w:val="0"/>
              </w:rPr>
            </w:pPr>
          </w:p>
        </w:tc>
        <w:tc>
          <w:tcPr>
            <w:tcW w:w="601" w:type="pct"/>
            <w:tcBorders>
              <w:top w:val="none" w:sz="0" w:space="0" w:color="auto"/>
              <w:bottom w:val="none" w:sz="0" w:space="0" w:color="auto"/>
            </w:tcBorders>
            <w:hideMark/>
          </w:tcPr>
          <w:p w:rsidR="00AB0FCA" w:rsidRPr="003217E6" w:rsidRDefault="006D05EB">
            <w:pPr>
              <w:pStyle w:val="TableTextEntries"/>
              <w:rPr>
                <w:b w:val="0"/>
              </w:rPr>
            </w:pPr>
            <w:r>
              <w:rPr>
                <w:b w:val="0"/>
              </w:rPr>
              <w:t>2012-13</w:t>
            </w:r>
          </w:p>
        </w:tc>
        <w:tc>
          <w:tcPr>
            <w:tcW w:w="294"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F0000"/>
            <w:noWrap/>
            <w:hideMark/>
          </w:tcPr>
          <w:p w:rsidR="00AB0FCA" w:rsidRPr="003217E6" w:rsidRDefault="00AB0FCA">
            <w:pPr>
              <w:pStyle w:val="TableTextEntries"/>
              <w:jc w:val="center"/>
              <w:rPr>
                <w:b w:val="0"/>
              </w:rPr>
            </w:pPr>
            <w:r w:rsidRPr="003217E6">
              <w:rPr>
                <w:b w:val="0"/>
              </w:rPr>
              <w:t>2</w:t>
            </w:r>
          </w:p>
        </w:tc>
        <w:tc>
          <w:tcPr>
            <w:tcW w:w="293" w:type="pct"/>
            <w:tcBorders>
              <w:top w:val="none" w:sz="0" w:space="0" w:color="auto"/>
              <w:bottom w:val="none" w:sz="0" w:space="0" w:color="auto"/>
            </w:tcBorders>
            <w:shd w:val="clear" w:color="auto" w:fill="FF0000"/>
            <w:noWrap/>
            <w:hideMark/>
          </w:tcPr>
          <w:p w:rsidR="00AB0FCA" w:rsidRPr="003217E6" w:rsidRDefault="00AB0FCA">
            <w:pPr>
              <w:pStyle w:val="TableTextEntries"/>
              <w:jc w:val="center"/>
              <w:rPr>
                <w:b w:val="0"/>
              </w:rPr>
            </w:pPr>
            <w:r w:rsidRPr="003217E6">
              <w:rPr>
                <w:b w:val="0"/>
              </w:rPr>
              <w:t>2</w:t>
            </w:r>
          </w:p>
        </w:tc>
        <w:tc>
          <w:tcPr>
            <w:tcW w:w="285"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val="restart"/>
            <w:tcBorders>
              <w:top w:val="single" w:sz="4" w:space="0" w:color="auto"/>
            </w:tcBorders>
            <w:hideMark/>
          </w:tcPr>
          <w:p w:rsidR="00AB0FCA" w:rsidRPr="003217E6" w:rsidRDefault="00AB0FCA">
            <w:pPr>
              <w:pStyle w:val="TableTextEntries"/>
              <w:rPr>
                <w:b w:val="0"/>
              </w:rPr>
            </w:pPr>
            <w:r w:rsidRPr="003217E6">
              <w:rPr>
                <w:b w:val="0"/>
              </w:rPr>
              <w:t>Kokoda Track Initiative (INH843)</w:t>
            </w:r>
          </w:p>
        </w:tc>
        <w:tc>
          <w:tcPr>
            <w:tcW w:w="1221" w:type="pct"/>
            <w:vMerge w:val="restart"/>
            <w:tcBorders>
              <w:top w:val="single" w:sz="4" w:space="0" w:color="auto"/>
            </w:tcBorders>
            <w:hideMark/>
          </w:tcPr>
          <w:p w:rsidR="00AB0FCA" w:rsidRPr="003217E6" w:rsidRDefault="00AB0FCA" w:rsidP="00BA1C0D">
            <w:pPr>
              <w:pStyle w:val="TableTextEntries"/>
              <w:rPr>
                <w:b w:val="0"/>
              </w:rPr>
            </w:pPr>
            <w:r w:rsidRPr="003217E6">
              <w:rPr>
                <w:b w:val="0"/>
              </w:rPr>
              <w:t>$26,932,723, 21</w:t>
            </w:r>
            <w:r w:rsidR="00BA1C0D">
              <w:rPr>
                <w:b w:val="0"/>
              </w:rPr>
              <w:t>/03/</w:t>
            </w:r>
            <w:r w:rsidRPr="003217E6">
              <w:rPr>
                <w:b w:val="0"/>
              </w:rPr>
              <w:t>2008 – 30</w:t>
            </w:r>
            <w:r w:rsidR="00BA1C0D">
              <w:rPr>
                <w:b w:val="0"/>
              </w:rPr>
              <w:t>/06/</w:t>
            </w:r>
            <w:r w:rsidRPr="003217E6">
              <w:rPr>
                <w:b w:val="0"/>
              </w:rPr>
              <w:t>2016</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4"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85"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1221" w:type="pct"/>
            <w:vMerge/>
            <w:tcBorders>
              <w:top w:val="none" w:sz="0" w:space="0" w:color="auto"/>
              <w:bottom w:val="none" w:sz="0" w:space="0" w:color="auto"/>
            </w:tcBorders>
            <w:vAlign w:val="center"/>
            <w:hideMark/>
          </w:tcPr>
          <w:p w:rsidR="00AB0FCA" w:rsidRPr="003217E6" w:rsidRDefault="00AB0FCA">
            <w:pPr>
              <w:rPr>
                <w:rFonts w:ascii="Franklin Gothic Book" w:eastAsia="Times New Roman" w:hAnsi="Franklin Gothic Book"/>
                <w:b w:val="0"/>
                <w:iCs/>
                <w:sz w:val="17"/>
                <w:szCs w:val="17"/>
                <w:lang w:eastAsia="en-US"/>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85"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tcBorders>
              <w:top w:val="single" w:sz="4" w:space="0" w:color="auto"/>
            </w:tcBorders>
            <w:hideMark/>
          </w:tcPr>
          <w:p w:rsidR="00AB0FCA" w:rsidRPr="003217E6" w:rsidRDefault="00AB0FCA">
            <w:pPr>
              <w:pStyle w:val="TableTextEntries"/>
              <w:rPr>
                <w:b w:val="0"/>
              </w:rPr>
            </w:pPr>
            <w:r w:rsidRPr="003217E6">
              <w:rPr>
                <w:b w:val="0"/>
              </w:rPr>
              <w:t>PNG Provincial and Local-Level Governments Program (INK615)</w:t>
            </w:r>
          </w:p>
        </w:tc>
        <w:tc>
          <w:tcPr>
            <w:tcW w:w="1221" w:type="pct"/>
            <w:tcBorders>
              <w:top w:val="single" w:sz="4" w:space="0" w:color="auto"/>
            </w:tcBorders>
            <w:hideMark/>
          </w:tcPr>
          <w:p w:rsidR="00AB0FCA" w:rsidRPr="003217E6" w:rsidRDefault="00AB0FCA" w:rsidP="00BA1C0D">
            <w:pPr>
              <w:pStyle w:val="TableTextEntries"/>
              <w:rPr>
                <w:b w:val="0"/>
              </w:rPr>
            </w:pPr>
            <w:r w:rsidRPr="003217E6">
              <w:rPr>
                <w:b w:val="0"/>
              </w:rPr>
              <w:t>$76,744,761 1</w:t>
            </w:r>
            <w:r w:rsidR="00BA1C0D">
              <w:rPr>
                <w:b w:val="0"/>
              </w:rPr>
              <w:t>/06/</w:t>
            </w:r>
            <w:r w:rsidRPr="003217E6">
              <w:rPr>
                <w:b w:val="0"/>
              </w:rPr>
              <w:t>2012 – 30</w:t>
            </w:r>
            <w:r w:rsidR="00BA1C0D">
              <w:rPr>
                <w:b w:val="0"/>
              </w:rPr>
              <w:t>/06/</w:t>
            </w:r>
            <w:r w:rsidRPr="003217E6">
              <w:rPr>
                <w:b w:val="0"/>
              </w:rPr>
              <w:t>2016</w:t>
            </w:r>
          </w:p>
        </w:tc>
        <w:tc>
          <w:tcPr>
            <w:tcW w:w="601" w:type="pct"/>
            <w:tcBorders>
              <w:top w:val="single" w:sz="4" w:space="0" w:color="auto"/>
            </w:tcBorders>
            <w:hideMark/>
          </w:tcPr>
          <w:p w:rsidR="00AB0FCA" w:rsidRPr="003217E6" w:rsidRDefault="00AB0FCA">
            <w:pPr>
              <w:pStyle w:val="TableTextEntries"/>
              <w:rPr>
                <w:b w:val="0"/>
              </w:rPr>
            </w:pPr>
            <w:r w:rsidRPr="003217E6">
              <w:rPr>
                <w:b w:val="0"/>
              </w:rPr>
              <w:t>2013</w:t>
            </w:r>
            <w:r w:rsidR="006D05EB">
              <w:rPr>
                <w:b w:val="0"/>
              </w:rPr>
              <w:t>-14</w:t>
            </w:r>
          </w:p>
        </w:tc>
        <w:tc>
          <w:tcPr>
            <w:tcW w:w="294" w:type="pct"/>
            <w:tcBorders>
              <w:top w:val="single" w:sz="4"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single" w:sz="4"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85" w:type="pct"/>
            <w:tcBorders>
              <w:top w:val="single" w:sz="4"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r w:rsidR="00BA1C0D" w:rsidRPr="003217E6" w:rsidTr="006D05EB">
        <w:trPr>
          <w:cnfStyle w:val="100000000000" w:firstRow="1" w:lastRow="0" w:firstColumn="0" w:lastColumn="0" w:oddVBand="0" w:evenVBand="0" w:oddHBand="0" w:evenHBand="0" w:firstRowFirstColumn="0" w:firstRowLastColumn="0" w:lastRowFirstColumn="0" w:lastRowLastColumn="0"/>
          <w:trHeight w:val="284"/>
        </w:trPr>
        <w:tc>
          <w:tcPr>
            <w:tcW w:w="1273" w:type="pct"/>
            <w:tcBorders>
              <w:top w:val="none" w:sz="0" w:space="0" w:color="auto"/>
              <w:bottom w:val="none" w:sz="0" w:space="0" w:color="auto"/>
            </w:tcBorders>
          </w:tcPr>
          <w:p w:rsidR="00AB0FCA" w:rsidRPr="003217E6" w:rsidRDefault="00AB0FCA">
            <w:pPr>
              <w:pStyle w:val="TableTextEntries"/>
              <w:rPr>
                <w:b w:val="0"/>
              </w:rPr>
            </w:pPr>
          </w:p>
        </w:tc>
        <w:tc>
          <w:tcPr>
            <w:tcW w:w="1221" w:type="pct"/>
            <w:tcBorders>
              <w:top w:val="none" w:sz="0" w:space="0" w:color="auto"/>
              <w:bottom w:val="none" w:sz="0" w:space="0" w:color="auto"/>
            </w:tcBorders>
          </w:tcPr>
          <w:p w:rsidR="00AB0FCA" w:rsidRPr="003217E6" w:rsidRDefault="00AB0FCA">
            <w:pPr>
              <w:pStyle w:val="TableTextEntries"/>
              <w:rPr>
                <w:b w:val="0"/>
              </w:rPr>
            </w:pPr>
          </w:p>
        </w:tc>
        <w:tc>
          <w:tcPr>
            <w:tcW w:w="601" w:type="pct"/>
            <w:tcBorders>
              <w:top w:val="none" w:sz="0" w:space="0" w:color="auto"/>
              <w:bottom w:val="none" w:sz="0" w:space="0" w:color="auto"/>
            </w:tcBorders>
            <w:hideMark/>
          </w:tcPr>
          <w:p w:rsidR="00AB0FCA" w:rsidRPr="003217E6" w:rsidRDefault="00AB0FCA">
            <w:pPr>
              <w:pStyle w:val="TableTextEntries"/>
              <w:rPr>
                <w:b w:val="0"/>
              </w:rPr>
            </w:pPr>
            <w:r w:rsidRPr="003217E6">
              <w:rPr>
                <w:b w:val="0"/>
              </w:rPr>
              <w:t>2012</w:t>
            </w:r>
            <w:r w:rsidR="006D05EB">
              <w:rPr>
                <w:b w:val="0"/>
              </w:rPr>
              <w:t>-13</w:t>
            </w:r>
          </w:p>
        </w:tc>
        <w:tc>
          <w:tcPr>
            <w:tcW w:w="294" w:type="pct"/>
            <w:tcBorders>
              <w:top w:val="none" w:sz="0" w:space="0" w:color="auto"/>
              <w:bottom w:val="none" w:sz="0" w:space="0" w:color="auto"/>
            </w:tcBorders>
            <w:shd w:val="clear" w:color="auto" w:fill="9BBB59" w:themeFill="accent3"/>
            <w:noWrap/>
            <w:hideMark/>
          </w:tcPr>
          <w:p w:rsidR="00AB0FCA" w:rsidRPr="003217E6" w:rsidRDefault="00AB0FCA">
            <w:pPr>
              <w:pStyle w:val="TableTextEntries"/>
              <w:jc w:val="center"/>
              <w:rPr>
                <w:b w:val="0"/>
              </w:rPr>
            </w:pPr>
            <w:r w:rsidRPr="003217E6">
              <w:rPr>
                <w:b w:val="0"/>
              </w:rPr>
              <w:t>5</w:t>
            </w:r>
          </w:p>
        </w:tc>
        <w:tc>
          <w:tcPr>
            <w:tcW w:w="293"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c>
          <w:tcPr>
            <w:tcW w:w="294"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93" w:type="pct"/>
            <w:tcBorders>
              <w:top w:val="none" w:sz="0" w:space="0" w:color="auto"/>
              <w:bottom w:val="none" w:sz="0" w:space="0" w:color="auto"/>
            </w:tcBorders>
            <w:shd w:val="clear" w:color="auto" w:fill="F79646" w:themeFill="accent6"/>
            <w:noWrap/>
            <w:hideMark/>
          </w:tcPr>
          <w:p w:rsidR="00AB0FCA" w:rsidRPr="003217E6" w:rsidRDefault="00AB0FCA">
            <w:pPr>
              <w:pStyle w:val="TableTextEntries"/>
              <w:jc w:val="center"/>
              <w:rPr>
                <w:b w:val="0"/>
              </w:rPr>
            </w:pPr>
            <w:r w:rsidRPr="003217E6">
              <w:rPr>
                <w:b w:val="0"/>
              </w:rPr>
              <w:t>3</w:t>
            </w:r>
          </w:p>
        </w:tc>
        <w:tc>
          <w:tcPr>
            <w:tcW w:w="285" w:type="pct"/>
            <w:tcBorders>
              <w:top w:val="none" w:sz="0" w:space="0" w:color="auto"/>
              <w:bottom w:val="none" w:sz="0" w:space="0" w:color="auto"/>
            </w:tcBorders>
            <w:shd w:val="clear" w:color="auto" w:fill="FFFF00"/>
            <w:noWrap/>
            <w:hideMark/>
          </w:tcPr>
          <w:p w:rsidR="00AB0FCA" w:rsidRPr="003217E6" w:rsidRDefault="00AB0FCA">
            <w:pPr>
              <w:pStyle w:val="TableTextEntries"/>
              <w:jc w:val="center"/>
              <w:rPr>
                <w:b w:val="0"/>
              </w:rPr>
            </w:pPr>
            <w:r w:rsidRPr="003217E6">
              <w:rPr>
                <w:b w:val="0"/>
              </w:rPr>
              <w:t>4</w:t>
            </w:r>
          </w:p>
        </w:tc>
      </w:tr>
    </w:tbl>
    <w:p w:rsidR="002B0F30" w:rsidRDefault="002B0F30" w:rsidP="002B0F30">
      <w:pPr>
        <w:pStyle w:val="Note"/>
      </w:pPr>
      <w:r>
        <w:t>Definitions of rating scale:</w:t>
      </w:r>
      <w:r>
        <w:tab/>
      </w:r>
    </w:p>
    <w:p w:rsidR="002B0F30" w:rsidRDefault="002B0F30" w:rsidP="002B0F30">
      <w:pPr>
        <w:pStyle w:val="Note"/>
      </w:pPr>
      <w:r>
        <w:t>Satisfactory (4, 5 and 6)</w:t>
      </w:r>
    </w:p>
    <w:p w:rsidR="002B0F30" w:rsidRDefault="002B0F30" w:rsidP="002B0F30">
      <w:pPr>
        <w:pStyle w:val="Note"/>
      </w:pPr>
      <w:r w:rsidRPr="00593946">
        <w:rPr>
          <w:color w:val="72AF2F"/>
        </w:rPr>
        <w:sym w:font="Webdings" w:char="F067"/>
      </w:r>
      <w:r>
        <w:t xml:space="preserve"> </w:t>
      </w:r>
      <w:r w:rsidR="007E07CF">
        <w:t xml:space="preserve"> </w:t>
      </w:r>
      <w:r>
        <w:t>= 6 = Very high quality</w:t>
      </w:r>
    </w:p>
    <w:p w:rsidR="002B0F30" w:rsidRDefault="002B0F30" w:rsidP="002B0F30">
      <w:pPr>
        <w:pStyle w:val="Note"/>
      </w:pPr>
      <w:r w:rsidRPr="00593946">
        <w:rPr>
          <w:color w:val="72AF2F"/>
        </w:rPr>
        <w:sym w:font="Webdings" w:char="F067"/>
      </w:r>
      <w:r>
        <w:t xml:space="preserve"> </w:t>
      </w:r>
      <w:r w:rsidR="007E07CF">
        <w:t xml:space="preserve"> </w:t>
      </w:r>
      <w:r>
        <w:t>= 5 = Good quality</w:t>
      </w:r>
    </w:p>
    <w:p w:rsidR="002B0F30" w:rsidRDefault="002B0F30" w:rsidP="002B0F30">
      <w:pPr>
        <w:pStyle w:val="Note"/>
      </w:pPr>
      <w:r w:rsidRPr="000774FD">
        <w:rPr>
          <w:color w:val="FFFF00"/>
        </w:rPr>
        <w:sym w:font="Webdings" w:char="F067"/>
      </w:r>
      <w:r>
        <w:t xml:space="preserve"> </w:t>
      </w:r>
      <w:r w:rsidR="007E07CF">
        <w:t xml:space="preserve"> </w:t>
      </w:r>
      <w:r>
        <w:t>= 4 = Adequate quality, needs some work</w:t>
      </w:r>
    </w:p>
    <w:p w:rsidR="002B0F30" w:rsidRDefault="002B0F30" w:rsidP="002B0F30">
      <w:pPr>
        <w:pStyle w:val="Note"/>
      </w:pPr>
      <w:r>
        <w:t>Less than satisfactory (1, 2 and 3)</w:t>
      </w:r>
    </w:p>
    <w:p w:rsidR="002B0F30" w:rsidRDefault="002B0F30" w:rsidP="002B0F30">
      <w:pPr>
        <w:pStyle w:val="Note"/>
      </w:pPr>
      <w:r w:rsidRPr="00593946">
        <w:rPr>
          <w:color w:val="E36C0A"/>
        </w:rPr>
        <w:sym w:font="Webdings" w:char="F067"/>
      </w:r>
      <w:r w:rsidRPr="00593946">
        <w:rPr>
          <w:color w:val="E36C0A"/>
        </w:rPr>
        <w:t xml:space="preserve"> </w:t>
      </w:r>
      <w:r w:rsidR="007E07CF">
        <w:rPr>
          <w:color w:val="E36C0A"/>
        </w:rPr>
        <w:t xml:space="preserve"> </w:t>
      </w:r>
      <w:r>
        <w:t>= 3 = Less than adequate quality; needs significant work</w:t>
      </w:r>
    </w:p>
    <w:p w:rsidR="002B0F30" w:rsidRDefault="002B0F30" w:rsidP="002B0F30">
      <w:pPr>
        <w:pStyle w:val="Note"/>
      </w:pPr>
      <w:r w:rsidRPr="000774FD">
        <w:rPr>
          <w:color w:val="FF0000"/>
        </w:rPr>
        <w:sym w:font="Webdings" w:char="F067"/>
      </w:r>
      <w:r>
        <w:t xml:space="preserve"> </w:t>
      </w:r>
      <w:r w:rsidR="007E07CF">
        <w:t xml:space="preserve"> </w:t>
      </w:r>
      <w:r>
        <w:t>= 2 = Poor quality; needs major work to improve</w:t>
      </w:r>
    </w:p>
    <w:p w:rsidR="002B0F30" w:rsidRDefault="002B0F30" w:rsidP="007E07CF">
      <w:pPr>
        <w:pStyle w:val="Note"/>
        <w:spacing w:line="240" w:lineRule="auto"/>
      </w:pPr>
      <w:r w:rsidRPr="000774FD">
        <w:rPr>
          <w:color w:val="FF0000"/>
        </w:rPr>
        <w:sym w:font="Webdings" w:char="F067"/>
      </w:r>
      <w:r>
        <w:t xml:space="preserve"> </w:t>
      </w:r>
      <w:r w:rsidR="007E07CF">
        <w:t xml:space="preserve"> </w:t>
      </w:r>
      <w:r>
        <w:t>= 1 = Very poor quality; needs major overhaul</w:t>
      </w:r>
    </w:p>
    <w:p w:rsidR="007E07CF" w:rsidRDefault="007E07CF" w:rsidP="007E07CF">
      <w:pPr>
        <w:pStyle w:val="BodyText"/>
        <w:spacing w:after="0" w:line="240" w:lineRule="auto"/>
        <w:rPr>
          <w:sz w:val="14"/>
          <w:szCs w:val="14"/>
        </w:rPr>
      </w:pPr>
      <w:r w:rsidRPr="007E07CF">
        <w:rPr>
          <w:sz w:val="14"/>
          <w:szCs w:val="14"/>
        </w:rPr>
        <w:t>E</w:t>
      </w:r>
      <w:r>
        <w:rPr>
          <w:sz w:val="14"/>
          <w:szCs w:val="14"/>
        </w:rPr>
        <w:t xml:space="preserve">    = Exempt</w:t>
      </w:r>
    </w:p>
    <w:p w:rsidR="007E07CF" w:rsidRPr="007E07CF" w:rsidRDefault="007E07CF" w:rsidP="007E07CF">
      <w:pPr>
        <w:pStyle w:val="BodyText"/>
        <w:spacing w:after="0" w:line="240" w:lineRule="auto"/>
        <w:rPr>
          <w:sz w:val="14"/>
          <w:szCs w:val="14"/>
        </w:rPr>
      </w:pPr>
      <w:r>
        <w:rPr>
          <w:sz w:val="14"/>
          <w:szCs w:val="14"/>
        </w:rPr>
        <w:t>n/a = not applicable</w:t>
      </w:r>
    </w:p>
    <w:p w:rsidR="002B0F30" w:rsidRDefault="002B0F30" w:rsidP="007E07CF">
      <w:pPr>
        <w:pStyle w:val="Note"/>
        <w:spacing w:line="240" w:lineRule="auto"/>
      </w:pPr>
    </w:p>
    <w:p w:rsidR="002B0F30" w:rsidRDefault="002B0F30" w:rsidP="002B0F30">
      <w:pPr>
        <w:pStyle w:val="Heading2"/>
        <w:rPr>
          <w:sz w:val="28"/>
        </w:rPr>
        <w:sectPr w:rsidR="002B0F30" w:rsidSect="00BA1C0D">
          <w:pgSz w:w="11906" w:h="16838" w:code="9"/>
          <w:pgMar w:top="1440" w:right="1440" w:bottom="1440" w:left="1440" w:header="709" w:footer="425" w:gutter="0"/>
          <w:cols w:space="708"/>
          <w:docGrid w:linePitch="360"/>
        </w:sectPr>
      </w:pPr>
    </w:p>
    <w:p w:rsidR="002B0F30" w:rsidRPr="009E38C1" w:rsidRDefault="002B0F30" w:rsidP="002B0F30">
      <w:pPr>
        <w:pStyle w:val="Heading2"/>
        <w:rPr>
          <w:sz w:val="28"/>
        </w:rPr>
      </w:pPr>
      <w:r w:rsidRPr="009E38C1">
        <w:rPr>
          <w:sz w:val="28"/>
        </w:rPr>
        <w:lastRenderedPageBreak/>
        <w:t>Annex C</w:t>
      </w:r>
    </w:p>
    <w:p w:rsidR="002B0F30" w:rsidRPr="009E38C1" w:rsidRDefault="002B0F30" w:rsidP="002B0F30">
      <w:pPr>
        <w:pStyle w:val="Heading2"/>
        <w:rPr>
          <w:sz w:val="28"/>
        </w:rPr>
      </w:pPr>
      <w:r w:rsidRPr="009E38C1">
        <w:rPr>
          <w:sz w:val="28"/>
        </w:rPr>
        <w:t>Evaluation and Review Pipeline Planning</w:t>
      </w:r>
    </w:p>
    <w:p w:rsidR="002B0F30" w:rsidRPr="00771955" w:rsidRDefault="002B0F30" w:rsidP="00771955">
      <w:pPr>
        <w:pStyle w:val="Caption"/>
      </w:pPr>
      <w:r w:rsidRPr="00771955">
        <w:t xml:space="preserve">List of evaluations completed in the reporting period </w:t>
      </w:r>
    </w:p>
    <w:tbl>
      <w:tblPr>
        <w:tblStyle w:val="APPR"/>
        <w:tblW w:w="0" w:type="auto"/>
        <w:tblLook w:val="04A0" w:firstRow="1" w:lastRow="0" w:firstColumn="1" w:lastColumn="0" w:noHBand="0" w:noVBand="1"/>
      </w:tblPr>
      <w:tblGrid>
        <w:gridCol w:w="3822"/>
        <w:gridCol w:w="1417"/>
        <w:gridCol w:w="2552"/>
        <w:gridCol w:w="1417"/>
        <w:gridCol w:w="1701"/>
        <w:gridCol w:w="1479"/>
        <w:gridCol w:w="1417"/>
      </w:tblGrid>
      <w:tr w:rsidR="002B0F30" w:rsidRPr="00071B95" w:rsidTr="00C6565D">
        <w:trPr>
          <w:cnfStyle w:val="100000000000" w:firstRow="1" w:lastRow="0" w:firstColumn="0" w:lastColumn="0" w:oddVBand="0" w:evenVBand="0" w:oddHBand="0" w:evenHBand="0" w:firstRowFirstColumn="0" w:firstRowLastColumn="0" w:lastRowFirstColumn="0" w:lastRowLastColumn="0"/>
        </w:trPr>
        <w:tc>
          <w:tcPr>
            <w:tcW w:w="3780" w:type="dxa"/>
            <w:tcBorders>
              <w:top w:val="single" w:sz="12" w:space="0" w:color="000000" w:themeColor="text1"/>
              <w:bottom w:val="single" w:sz="4" w:space="0" w:color="auto"/>
            </w:tcBorders>
          </w:tcPr>
          <w:p w:rsidR="002B0F30" w:rsidRPr="00BB245D" w:rsidRDefault="002B0F30" w:rsidP="008264E9">
            <w:pPr>
              <w:pStyle w:val="TableTextColumnHeading"/>
              <w:rPr>
                <w:b/>
              </w:rPr>
            </w:pPr>
            <w:r w:rsidRPr="00BB245D">
              <w:rPr>
                <w:b/>
              </w:rPr>
              <w:t>Name of Investment</w:t>
            </w:r>
          </w:p>
        </w:tc>
        <w:tc>
          <w:tcPr>
            <w:tcW w:w="1389" w:type="dxa"/>
            <w:tcBorders>
              <w:top w:val="single" w:sz="12" w:space="0" w:color="000000" w:themeColor="text1"/>
              <w:bottom w:val="single" w:sz="4" w:space="0" w:color="auto"/>
            </w:tcBorders>
          </w:tcPr>
          <w:p w:rsidR="002B0F30" w:rsidRPr="00BB245D" w:rsidRDefault="002B0F30" w:rsidP="008264E9">
            <w:pPr>
              <w:pStyle w:val="TableTextColumnHeading"/>
              <w:rPr>
                <w:b/>
              </w:rPr>
            </w:pPr>
            <w:r w:rsidRPr="00BB245D">
              <w:rPr>
                <w:b/>
              </w:rPr>
              <w:t>Aidworks number</w:t>
            </w:r>
          </w:p>
        </w:tc>
        <w:tc>
          <w:tcPr>
            <w:tcW w:w="2524" w:type="dxa"/>
            <w:tcBorders>
              <w:top w:val="single" w:sz="12" w:space="0" w:color="000000" w:themeColor="text1"/>
              <w:bottom w:val="single" w:sz="4" w:space="0" w:color="auto"/>
            </w:tcBorders>
          </w:tcPr>
          <w:p w:rsidR="002B0F30" w:rsidRPr="00BB245D" w:rsidRDefault="002B0F30" w:rsidP="008264E9">
            <w:pPr>
              <w:pStyle w:val="TableTextColumnHeading"/>
              <w:rPr>
                <w:b/>
              </w:rPr>
            </w:pPr>
            <w:r w:rsidRPr="00BB245D">
              <w:rPr>
                <w:b/>
              </w:rPr>
              <w:t>Name of evaluation</w:t>
            </w:r>
          </w:p>
        </w:tc>
        <w:tc>
          <w:tcPr>
            <w:tcW w:w="1389" w:type="dxa"/>
            <w:tcBorders>
              <w:top w:val="single" w:sz="12" w:space="0" w:color="000000" w:themeColor="text1"/>
              <w:bottom w:val="single" w:sz="4" w:space="0" w:color="auto"/>
            </w:tcBorders>
          </w:tcPr>
          <w:p w:rsidR="002B0F30" w:rsidRPr="00BB245D" w:rsidRDefault="002B0F30" w:rsidP="008264E9">
            <w:pPr>
              <w:pStyle w:val="TableTextColumnHeading"/>
              <w:rPr>
                <w:b/>
              </w:rPr>
            </w:pPr>
            <w:r w:rsidRPr="00BB245D">
              <w:rPr>
                <w:b/>
              </w:rPr>
              <w:t>Date finalised</w:t>
            </w:r>
          </w:p>
        </w:tc>
        <w:tc>
          <w:tcPr>
            <w:tcW w:w="1673" w:type="dxa"/>
            <w:tcBorders>
              <w:top w:val="single" w:sz="12" w:space="0" w:color="000000" w:themeColor="text1"/>
              <w:bottom w:val="single" w:sz="4" w:space="0" w:color="auto"/>
            </w:tcBorders>
          </w:tcPr>
          <w:p w:rsidR="002B0F30" w:rsidRPr="00BB245D" w:rsidRDefault="002B0F30" w:rsidP="008264E9">
            <w:pPr>
              <w:pStyle w:val="TableTextColumnHeading"/>
              <w:rPr>
                <w:b/>
              </w:rPr>
            </w:pPr>
            <w:r w:rsidRPr="00BB245D">
              <w:rPr>
                <w:b/>
              </w:rPr>
              <w:t>Date Evaluation report Uploaded into Aidworks</w:t>
            </w:r>
          </w:p>
        </w:tc>
        <w:tc>
          <w:tcPr>
            <w:tcW w:w="1451" w:type="dxa"/>
            <w:tcBorders>
              <w:top w:val="single" w:sz="12" w:space="0" w:color="000000" w:themeColor="text1"/>
              <w:bottom w:val="single" w:sz="4" w:space="0" w:color="auto"/>
            </w:tcBorders>
          </w:tcPr>
          <w:p w:rsidR="002B0F30" w:rsidRPr="00BB245D" w:rsidRDefault="002B0F30" w:rsidP="008264E9">
            <w:pPr>
              <w:pStyle w:val="TableTextColumnHeading"/>
              <w:rPr>
                <w:b/>
              </w:rPr>
            </w:pPr>
            <w:r w:rsidRPr="00BB245D">
              <w:rPr>
                <w:b/>
              </w:rPr>
              <w:t>Date Management response uploaded into Aidworks</w:t>
            </w:r>
          </w:p>
        </w:tc>
        <w:tc>
          <w:tcPr>
            <w:tcW w:w="1375" w:type="dxa"/>
            <w:tcBorders>
              <w:top w:val="single" w:sz="12" w:space="0" w:color="000000" w:themeColor="text1"/>
              <w:bottom w:val="single" w:sz="4" w:space="0" w:color="auto"/>
            </w:tcBorders>
          </w:tcPr>
          <w:p w:rsidR="002B0F30" w:rsidRPr="00BB245D" w:rsidRDefault="002B0F30" w:rsidP="008264E9">
            <w:pPr>
              <w:pStyle w:val="TableTextColumnHeading"/>
              <w:rPr>
                <w:b/>
              </w:rPr>
            </w:pPr>
            <w:r w:rsidRPr="00BB245D">
              <w:rPr>
                <w:b/>
              </w:rPr>
              <w:t>Published on website</w:t>
            </w:r>
          </w:p>
        </w:tc>
      </w:tr>
      <w:tr w:rsidR="002B0F30" w:rsidRPr="00071B95" w:rsidTr="00C6565D">
        <w:trPr>
          <w:cnfStyle w:val="100000000000" w:firstRow="1" w:lastRow="0" w:firstColumn="0" w:lastColumn="0" w:oddVBand="0" w:evenVBand="0" w:oddHBand="0" w:evenHBand="0" w:firstRowFirstColumn="0" w:firstRowLastColumn="0" w:lastRowFirstColumn="0" w:lastRowLastColumn="0"/>
        </w:trPr>
        <w:tc>
          <w:tcPr>
            <w:tcW w:w="3780" w:type="dxa"/>
          </w:tcPr>
          <w:p w:rsidR="002B0F30" w:rsidRPr="00AC525B" w:rsidRDefault="002B0F30" w:rsidP="000229E5">
            <w:pPr>
              <w:pStyle w:val="TableTextEntries"/>
              <w:rPr>
                <w:b w:val="0"/>
              </w:rPr>
            </w:pPr>
            <w:r>
              <w:rPr>
                <w:b w:val="0"/>
              </w:rPr>
              <w:t>Church Partnership Program Phase 2</w:t>
            </w:r>
          </w:p>
        </w:tc>
        <w:tc>
          <w:tcPr>
            <w:tcW w:w="1389" w:type="dxa"/>
          </w:tcPr>
          <w:p w:rsidR="002B0F30" w:rsidRPr="00AC525B" w:rsidRDefault="002B0F30" w:rsidP="000229E5">
            <w:pPr>
              <w:pStyle w:val="TableTextEntries"/>
              <w:rPr>
                <w:b w:val="0"/>
              </w:rPr>
            </w:pPr>
            <w:r>
              <w:rPr>
                <w:b w:val="0"/>
              </w:rPr>
              <w:t>INJ313</w:t>
            </w:r>
          </w:p>
        </w:tc>
        <w:tc>
          <w:tcPr>
            <w:tcW w:w="2524" w:type="dxa"/>
          </w:tcPr>
          <w:p w:rsidR="002B0F30" w:rsidRPr="00AC525B" w:rsidRDefault="002B0F30" w:rsidP="000229E5">
            <w:pPr>
              <w:pStyle w:val="TableTextEntries"/>
              <w:rPr>
                <w:b w:val="0"/>
              </w:rPr>
            </w:pPr>
            <w:r>
              <w:rPr>
                <w:b w:val="0"/>
              </w:rPr>
              <w:t>Cluster review</w:t>
            </w:r>
          </w:p>
        </w:tc>
        <w:tc>
          <w:tcPr>
            <w:tcW w:w="1389" w:type="dxa"/>
          </w:tcPr>
          <w:p w:rsidR="002B0F30" w:rsidRPr="00AC525B" w:rsidRDefault="002B0F30" w:rsidP="000229E5">
            <w:pPr>
              <w:pStyle w:val="TableTextEntries"/>
              <w:rPr>
                <w:b w:val="0"/>
              </w:rPr>
            </w:pPr>
            <w:r>
              <w:rPr>
                <w:b w:val="0"/>
              </w:rPr>
              <w:t>Jan 2013</w:t>
            </w:r>
          </w:p>
        </w:tc>
        <w:tc>
          <w:tcPr>
            <w:tcW w:w="1673" w:type="dxa"/>
          </w:tcPr>
          <w:p w:rsidR="002B0F30" w:rsidRPr="00AC525B" w:rsidRDefault="002B0F30" w:rsidP="000229E5">
            <w:pPr>
              <w:pStyle w:val="TableTextEntries"/>
              <w:rPr>
                <w:b w:val="0"/>
              </w:rPr>
            </w:pPr>
            <w:r>
              <w:rPr>
                <w:b w:val="0"/>
              </w:rPr>
              <w:t>Not uploaded</w:t>
            </w:r>
          </w:p>
        </w:tc>
        <w:tc>
          <w:tcPr>
            <w:tcW w:w="1451" w:type="dxa"/>
          </w:tcPr>
          <w:p w:rsidR="002B0F30" w:rsidRPr="00AC525B" w:rsidRDefault="002B0F30" w:rsidP="000229E5">
            <w:pPr>
              <w:pStyle w:val="TableTextEntries"/>
              <w:rPr>
                <w:b w:val="0"/>
              </w:rPr>
            </w:pPr>
          </w:p>
        </w:tc>
        <w:tc>
          <w:tcPr>
            <w:tcW w:w="1375" w:type="dxa"/>
          </w:tcPr>
          <w:p w:rsidR="002B0F30" w:rsidRPr="00F0404A" w:rsidRDefault="002B0F30" w:rsidP="000229E5">
            <w:pPr>
              <w:pStyle w:val="TableTextEntries"/>
              <w:rPr>
                <w:b w:val="0"/>
              </w:rPr>
            </w:pPr>
            <w:r>
              <w:rPr>
                <w:b w:val="0"/>
              </w:rPr>
              <w:t>Yes</w:t>
            </w:r>
          </w:p>
        </w:tc>
      </w:tr>
      <w:tr w:rsidR="002B0F30" w:rsidTr="00C6565D">
        <w:trPr>
          <w:cnfStyle w:val="100000000000" w:firstRow="1" w:lastRow="0" w:firstColumn="0" w:lastColumn="0" w:oddVBand="0" w:evenVBand="0" w:oddHBand="0" w:evenHBand="0" w:firstRowFirstColumn="0" w:firstRowLastColumn="0" w:lastRowFirstColumn="0" w:lastRowLastColumn="0"/>
        </w:trPr>
        <w:tc>
          <w:tcPr>
            <w:tcW w:w="3780" w:type="dxa"/>
            <w:tcBorders>
              <w:top w:val="single" w:sz="4" w:space="0" w:color="auto"/>
              <w:bottom w:val="single" w:sz="4" w:space="0" w:color="auto"/>
            </w:tcBorders>
            <w:hideMark/>
          </w:tcPr>
          <w:p w:rsidR="002B0F30" w:rsidRPr="00D25AFB" w:rsidRDefault="002B0F30" w:rsidP="000229E5">
            <w:pPr>
              <w:pStyle w:val="TableTextEntries"/>
              <w:rPr>
                <w:b w:val="0"/>
              </w:rPr>
            </w:pPr>
            <w:r w:rsidRPr="00D25AFB">
              <w:rPr>
                <w:b w:val="0"/>
              </w:rPr>
              <w:t>P</w:t>
            </w:r>
            <w:r>
              <w:rPr>
                <w:b w:val="0"/>
              </w:rPr>
              <w:t>NG-Australia Law and Justice Partnership</w:t>
            </w:r>
          </w:p>
        </w:tc>
        <w:tc>
          <w:tcPr>
            <w:tcW w:w="1389" w:type="dxa"/>
            <w:tcBorders>
              <w:top w:val="single" w:sz="4" w:space="0" w:color="auto"/>
              <w:bottom w:val="single" w:sz="4" w:space="0" w:color="auto"/>
            </w:tcBorders>
            <w:hideMark/>
          </w:tcPr>
          <w:p w:rsidR="002B0F30" w:rsidRPr="00D25AFB" w:rsidRDefault="002B0F30" w:rsidP="000229E5">
            <w:pPr>
              <w:pStyle w:val="TableTextEntries"/>
              <w:rPr>
                <w:b w:val="0"/>
              </w:rPr>
            </w:pPr>
            <w:r w:rsidRPr="00D25AFB">
              <w:rPr>
                <w:b w:val="0"/>
              </w:rPr>
              <w:t>IN194</w:t>
            </w:r>
          </w:p>
        </w:tc>
        <w:tc>
          <w:tcPr>
            <w:tcW w:w="2524" w:type="dxa"/>
            <w:tcBorders>
              <w:top w:val="single" w:sz="4" w:space="0" w:color="auto"/>
              <w:bottom w:val="single" w:sz="4" w:space="0" w:color="auto"/>
            </w:tcBorders>
            <w:hideMark/>
          </w:tcPr>
          <w:p w:rsidR="002B0F30" w:rsidRPr="00D25AFB" w:rsidRDefault="002B0F30" w:rsidP="000229E5">
            <w:pPr>
              <w:pStyle w:val="TableTextEntries"/>
              <w:rPr>
                <w:b w:val="0"/>
              </w:rPr>
            </w:pPr>
            <w:r w:rsidRPr="00D25AFB">
              <w:rPr>
                <w:b w:val="0"/>
              </w:rPr>
              <w:t>Law and Justice Infrastructure Investment Evaluation</w:t>
            </w:r>
          </w:p>
        </w:tc>
        <w:tc>
          <w:tcPr>
            <w:tcW w:w="1389" w:type="dxa"/>
            <w:tcBorders>
              <w:top w:val="single" w:sz="4" w:space="0" w:color="auto"/>
              <w:bottom w:val="single" w:sz="4" w:space="0" w:color="auto"/>
            </w:tcBorders>
            <w:hideMark/>
          </w:tcPr>
          <w:p w:rsidR="002B0F30" w:rsidRPr="00D25AFB" w:rsidRDefault="002B0F30" w:rsidP="000229E5">
            <w:pPr>
              <w:pStyle w:val="TableTextEntries"/>
              <w:rPr>
                <w:b w:val="0"/>
              </w:rPr>
            </w:pPr>
            <w:r w:rsidRPr="00D25AFB">
              <w:rPr>
                <w:b w:val="0"/>
              </w:rPr>
              <w:t>October 2013</w:t>
            </w:r>
          </w:p>
        </w:tc>
        <w:tc>
          <w:tcPr>
            <w:tcW w:w="1673" w:type="dxa"/>
            <w:tcBorders>
              <w:top w:val="single" w:sz="4" w:space="0" w:color="auto"/>
              <w:bottom w:val="single" w:sz="4" w:space="0" w:color="auto"/>
            </w:tcBorders>
            <w:hideMark/>
          </w:tcPr>
          <w:p w:rsidR="002B0F30" w:rsidRPr="00D25AFB" w:rsidRDefault="009E6436" w:rsidP="000229E5">
            <w:pPr>
              <w:pStyle w:val="TableTextEntries"/>
              <w:rPr>
                <w:b w:val="0"/>
              </w:rPr>
            </w:pPr>
            <w:r>
              <w:rPr>
                <w:b w:val="0"/>
              </w:rPr>
              <w:t>22 April 2014</w:t>
            </w:r>
          </w:p>
        </w:tc>
        <w:tc>
          <w:tcPr>
            <w:tcW w:w="1451" w:type="dxa"/>
            <w:tcBorders>
              <w:top w:val="single" w:sz="4" w:space="0" w:color="auto"/>
              <w:bottom w:val="single" w:sz="4" w:space="0" w:color="auto"/>
            </w:tcBorders>
            <w:hideMark/>
          </w:tcPr>
          <w:p w:rsidR="002B0F30" w:rsidRPr="00D25AFB" w:rsidRDefault="009E6436" w:rsidP="000229E5">
            <w:pPr>
              <w:pStyle w:val="TableTextEntries"/>
              <w:rPr>
                <w:b w:val="0"/>
              </w:rPr>
            </w:pPr>
            <w:r>
              <w:rPr>
                <w:b w:val="0"/>
              </w:rPr>
              <w:t>22 April 2014</w:t>
            </w:r>
          </w:p>
        </w:tc>
        <w:tc>
          <w:tcPr>
            <w:tcW w:w="1375" w:type="dxa"/>
            <w:tcBorders>
              <w:top w:val="single" w:sz="4" w:space="0" w:color="auto"/>
              <w:bottom w:val="single" w:sz="4" w:space="0" w:color="auto"/>
            </w:tcBorders>
            <w:hideMark/>
          </w:tcPr>
          <w:p w:rsidR="002B0F30" w:rsidRPr="00D25AFB" w:rsidRDefault="002B0F30" w:rsidP="000229E5">
            <w:pPr>
              <w:pStyle w:val="TableTextEntries"/>
              <w:rPr>
                <w:b w:val="0"/>
              </w:rPr>
            </w:pPr>
            <w:r>
              <w:rPr>
                <w:b w:val="0"/>
              </w:rPr>
              <w:t>Yes</w:t>
            </w:r>
          </w:p>
        </w:tc>
      </w:tr>
      <w:tr w:rsidR="002B0F30" w:rsidRPr="00071B95" w:rsidTr="00C6565D">
        <w:trPr>
          <w:cnfStyle w:val="100000000000" w:firstRow="1" w:lastRow="0" w:firstColumn="0" w:lastColumn="0" w:oddVBand="0" w:evenVBand="0" w:oddHBand="0" w:evenHBand="0" w:firstRowFirstColumn="0" w:firstRowLastColumn="0" w:lastRowFirstColumn="0" w:lastRowLastColumn="0"/>
        </w:trPr>
        <w:tc>
          <w:tcPr>
            <w:tcW w:w="3780" w:type="dxa"/>
          </w:tcPr>
          <w:p w:rsidR="002B0F30" w:rsidRPr="00AC525B" w:rsidRDefault="002B0F30" w:rsidP="000229E5">
            <w:pPr>
              <w:pStyle w:val="TableTextEntries"/>
              <w:rPr>
                <w:b w:val="0"/>
              </w:rPr>
            </w:pPr>
            <w:r>
              <w:rPr>
                <w:b w:val="0"/>
              </w:rPr>
              <w:t>Strongim Pipol Strongim Nesen</w:t>
            </w:r>
          </w:p>
        </w:tc>
        <w:tc>
          <w:tcPr>
            <w:tcW w:w="1389" w:type="dxa"/>
          </w:tcPr>
          <w:p w:rsidR="002B0F30" w:rsidRPr="00AC525B" w:rsidRDefault="002B0F30" w:rsidP="000229E5">
            <w:pPr>
              <w:pStyle w:val="TableTextEntries"/>
              <w:rPr>
                <w:b w:val="0"/>
              </w:rPr>
            </w:pPr>
            <w:r>
              <w:rPr>
                <w:b w:val="0"/>
              </w:rPr>
              <w:t>INI382</w:t>
            </w:r>
          </w:p>
        </w:tc>
        <w:tc>
          <w:tcPr>
            <w:tcW w:w="2524" w:type="dxa"/>
          </w:tcPr>
          <w:p w:rsidR="002B0F30" w:rsidRPr="00AC525B" w:rsidRDefault="002B0F30" w:rsidP="000229E5">
            <w:pPr>
              <w:pStyle w:val="TableTextEntries"/>
              <w:rPr>
                <w:b w:val="0"/>
              </w:rPr>
            </w:pPr>
            <w:r>
              <w:rPr>
                <w:b w:val="0"/>
              </w:rPr>
              <w:t>Cluster review</w:t>
            </w:r>
          </w:p>
        </w:tc>
        <w:tc>
          <w:tcPr>
            <w:tcW w:w="1389" w:type="dxa"/>
          </w:tcPr>
          <w:p w:rsidR="002B0F30" w:rsidRPr="00AC525B" w:rsidRDefault="002B0F30" w:rsidP="000229E5">
            <w:pPr>
              <w:pStyle w:val="TableTextEntries"/>
              <w:rPr>
                <w:b w:val="0"/>
              </w:rPr>
            </w:pPr>
            <w:r>
              <w:rPr>
                <w:b w:val="0"/>
              </w:rPr>
              <w:t>Jan 2013</w:t>
            </w:r>
          </w:p>
        </w:tc>
        <w:tc>
          <w:tcPr>
            <w:tcW w:w="1673" w:type="dxa"/>
          </w:tcPr>
          <w:p w:rsidR="002B0F30" w:rsidRPr="00AC525B" w:rsidRDefault="002B0F30" w:rsidP="000229E5">
            <w:pPr>
              <w:pStyle w:val="TableTextEntries"/>
              <w:rPr>
                <w:b w:val="0"/>
              </w:rPr>
            </w:pPr>
            <w:r>
              <w:rPr>
                <w:b w:val="0"/>
              </w:rPr>
              <w:t>Not uploaded</w:t>
            </w:r>
          </w:p>
        </w:tc>
        <w:tc>
          <w:tcPr>
            <w:tcW w:w="1451" w:type="dxa"/>
          </w:tcPr>
          <w:p w:rsidR="002B0F30" w:rsidRPr="00AC525B" w:rsidRDefault="002B0F30" w:rsidP="000229E5">
            <w:pPr>
              <w:pStyle w:val="TableTextEntries"/>
              <w:rPr>
                <w:b w:val="0"/>
              </w:rPr>
            </w:pPr>
          </w:p>
        </w:tc>
        <w:tc>
          <w:tcPr>
            <w:tcW w:w="1375" w:type="dxa"/>
          </w:tcPr>
          <w:p w:rsidR="002B0F30" w:rsidRPr="00F0404A" w:rsidRDefault="002B0F30" w:rsidP="000229E5">
            <w:pPr>
              <w:pStyle w:val="TableTextEntries"/>
              <w:rPr>
                <w:b w:val="0"/>
              </w:rPr>
            </w:pPr>
            <w:r>
              <w:rPr>
                <w:b w:val="0"/>
              </w:rPr>
              <w:t>Yes</w:t>
            </w:r>
          </w:p>
        </w:tc>
      </w:tr>
      <w:tr w:rsidR="002B0F30" w:rsidRPr="00071B95" w:rsidTr="00C6565D">
        <w:trPr>
          <w:cnfStyle w:val="100000000000" w:firstRow="1" w:lastRow="0" w:firstColumn="0" w:lastColumn="0" w:oddVBand="0" w:evenVBand="0" w:oddHBand="0" w:evenHBand="0" w:firstRowFirstColumn="0" w:firstRowLastColumn="0" w:lastRowFirstColumn="0" w:lastRowLastColumn="0"/>
        </w:trPr>
        <w:tc>
          <w:tcPr>
            <w:tcW w:w="3780" w:type="dxa"/>
          </w:tcPr>
          <w:p w:rsidR="002B0F30" w:rsidRPr="00AC525B" w:rsidRDefault="002B0F30" w:rsidP="000229E5">
            <w:pPr>
              <w:pStyle w:val="TableTextEntries"/>
              <w:rPr>
                <w:b w:val="0"/>
              </w:rPr>
            </w:pPr>
            <w:r>
              <w:rPr>
                <w:b w:val="0"/>
              </w:rPr>
              <w:t>Scholarships PNG</w:t>
            </w:r>
          </w:p>
        </w:tc>
        <w:tc>
          <w:tcPr>
            <w:tcW w:w="1389" w:type="dxa"/>
          </w:tcPr>
          <w:p w:rsidR="002B0F30" w:rsidRPr="00AC525B" w:rsidRDefault="002B0F30" w:rsidP="000229E5">
            <w:pPr>
              <w:pStyle w:val="TableTextEntries"/>
              <w:rPr>
                <w:b w:val="0"/>
              </w:rPr>
            </w:pPr>
            <w:r>
              <w:rPr>
                <w:b w:val="0"/>
              </w:rPr>
              <w:t>INJ815</w:t>
            </w:r>
          </w:p>
        </w:tc>
        <w:tc>
          <w:tcPr>
            <w:tcW w:w="2524" w:type="dxa"/>
          </w:tcPr>
          <w:p w:rsidR="002B0F30" w:rsidRPr="00AC525B" w:rsidRDefault="002B0F30" w:rsidP="000229E5">
            <w:pPr>
              <w:pStyle w:val="TableTextEntries"/>
              <w:rPr>
                <w:b w:val="0"/>
              </w:rPr>
            </w:pPr>
            <w:r>
              <w:rPr>
                <w:b w:val="0"/>
              </w:rPr>
              <w:t>Independent Progress Report</w:t>
            </w:r>
          </w:p>
        </w:tc>
        <w:tc>
          <w:tcPr>
            <w:tcW w:w="1389" w:type="dxa"/>
          </w:tcPr>
          <w:p w:rsidR="002B0F30" w:rsidRPr="00AC525B" w:rsidRDefault="002B0F30" w:rsidP="000229E5">
            <w:pPr>
              <w:pStyle w:val="TableTextEntries"/>
              <w:rPr>
                <w:b w:val="0"/>
              </w:rPr>
            </w:pPr>
          </w:p>
        </w:tc>
        <w:tc>
          <w:tcPr>
            <w:tcW w:w="1673" w:type="dxa"/>
          </w:tcPr>
          <w:p w:rsidR="002B0F30" w:rsidRPr="00AC525B" w:rsidRDefault="002B0F30" w:rsidP="000229E5">
            <w:pPr>
              <w:pStyle w:val="TableTextEntries"/>
              <w:rPr>
                <w:b w:val="0"/>
              </w:rPr>
            </w:pPr>
            <w:r>
              <w:rPr>
                <w:b w:val="0"/>
              </w:rPr>
              <w:t>Not uploaded</w:t>
            </w:r>
          </w:p>
        </w:tc>
        <w:tc>
          <w:tcPr>
            <w:tcW w:w="1451" w:type="dxa"/>
          </w:tcPr>
          <w:p w:rsidR="002B0F30" w:rsidRPr="00AC525B" w:rsidRDefault="002B0F30" w:rsidP="000229E5">
            <w:pPr>
              <w:pStyle w:val="TableTextEntries"/>
              <w:rPr>
                <w:b w:val="0"/>
              </w:rPr>
            </w:pPr>
          </w:p>
        </w:tc>
        <w:tc>
          <w:tcPr>
            <w:tcW w:w="1375" w:type="dxa"/>
          </w:tcPr>
          <w:p w:rsidR="002B0F30" w:rsidRPr="00F0404A" w:rsidRDefault="002B0F30" w:rsidP="000229E5">
            <w:pPr>
              <w:pStyle w:val="TableTextEntries"/>
              <w:rPr>
                <w:b w:val="0"/>
              </w:rPr>
            </w:pPr>
            <w:r>
              <w:rPr>
                <w:b w:val="0"/>
              </w:rPr>
              <w:t>No</w:t>
            </w:r>
          </w:p>
        </w:tc>
      </w:tr>
      <w:tr w:rsidR="002B0F30" w:rsidRPr="00071B95" w:rsidTr="00C6565D">
        <w:trPr>
          <w:cnfStyle w:val="100000000000" w:firstRow="1" w:lastRow="0" w:firstColumn="0" w:lastColumn="0" w:oddVBand="0" w:evenVBand="0" w:oddHBand="0" w:evenHBand="0" w:firstRowFirstColumn="0" w:firstRowLastColumn="0" w:lastRowFirstColumn="0" w:lastRowLastColumn="0"/>
        </w:trPr>
        <w:tc>
          <w:tcPr>
            <w:tcW w:w="3780" w:type="dxa"/>
            <w:tcBorders>
              <w:top w:val="single" w:sz="4" w:space="0" w:color="auto"/>
              <w:bottom w:val="single" w:sz="4" w:space="0" w:color="auto"/>
            </w:tcBorders>
          </w:tcPr>
          <w:p w:rsidR="002B0F30" w:rsidRPr="00AC525B" w:rsidRDefault="002B0F30" w:rsidP="000229E5">
            <w:pPr>
              <w:pStyle w:val="TableTextEntries"/>
              <w:rPr>
                <w:b w:val="0"/>
              </w:rPr>
            </w:pPr>
            <w:r>
              <w:rPr>
                <w:b w:val="0"/>
              </w:rPr>
              <w:t>Electoral Support Program</w:t>
            </w:r>
          </w:p>
        </w:tc>
        <w:tc>
          <w:tcPr>
            <w:tcW w:w="1389" w:type="dxa"/>
            <w:tcBorders>
              <w:top w:val="single" w:sz="4" w:space="0" w:color="auto"/>
              <w:bottom w:val="single" w:sz="4" w:space="0" w:color="auto"/>
            </w:tcBorders>
          </w:tcPr>
          <w:p w:rsidR="002B0F30" w:rsidRPr="00AC525B" w:rsidRDefault="002B0F30" w:rsidP="000229E5">
            <w:pPr>
              <w:pStyle w:val="TableTextEntries"/>
              <w:rPr>
                <w:b w:val="0"/>
              </w:rPr>
            </w:pPr>
            <w:r>
              <w:rPr>
                <w:b w:val="0"/>
              </w:rPr>
              <w:t>INJ466</w:t>
            </w:r>
          </w:p>
        </w:tc>
        <w:tc>
          <w:tcPr>
            <w:tcW w:w="2524" w:type="dxa"/>
            <w:tcBorders>
              <w:top w:val="single" w:sz="4" w:space="0" w:color="auto"/>
              <w:bottom w:val="single" w:sz="4" w:space="0" w:color="auto"/>
            </w:tcBorders>
          </w:tcPr>
          <w:p w:rsidR="002B0F30" w:rsidRPr="00AC525B" w:rsidRDefault="002B0F30" w:rsidP="000229E5">
            <w:pPr>
              <w:pStyle w:val="TableTextEntries"/>
              <w:rPr>
                <w:b w:val="0"/>
              </w:rPr>
            </w:pPr>
            <w:r>
              <w:rPr>
                <w:b w:val="0"/>
              </w:rPr>
              <w:t>Independent Progress Report</w:t>
            </w:r>
          </w:p>
        </w:tc>
        <w:tc>
          <w:tcPr>
            <w:tcW w:w="1389" w:type="dxa"/>
            <w:tcBorders>
              <w:top w:val="single" w:sz="4" w:space="0" w:color="auto"/>
              <w:bottom w:val="single" w:sz="4" w:space="0" w:color="auto"/>
            </w:tcBorders>
          </w:tcPr>
          <w:p w:rsidR="002B0F30" w:rsidRPr="00AC525B" w:rsidRDefault="002B0F30" w:rsidP="000229E5">
            <w:pPr>
              <w:pStyle w:val="TableTextEntries"/>
              <w:rPr>
                <w:b w:val="0"/>
              </w:rPr>
            </w:pPr>
            <w:r>
              <w:rPr>
                <w:b w:val="0"/>
              </w:rPr>
              <w:t>March 2013</w:t>
            </w:r>
          </w:p>
        </w:tc>
        <w:tc>
          <w:tcPr>
            <w:tcW w:w="1673" w:type="dxa"/>
            <w:tcBorders>
              <w:top w:val="single" w:sz="4" w:space="0" w:color="auto"/>
              <w:bottom w:val="single" w:sz="4" w:space="0" w:color="auto"/>
            </w:tcBorders>
          </w:tcPr>
          <w:p w:rsidR="002B0F30" w:rsidRPr="00AC525B" w:rsidRDefault="002B0F30" w:rsidP="000229E5">
            <w:pPr>
              <w:pStyle w:val="TableTextEntries"/>
              <w:rPr>
                <w:b w:val="0"/>
              </w:rPr>
            </w:pPr>
            <w:r>
              <w:rPr>
                <w:b w:val="0"/>
              </w:rPr>
              <w:t>Not uploaded</w:t>
            </w:r>
          </w:p>
        </w:tc>
        <w:tc>
          <w:tcPr>
            <w:tcW w:w="1451" w:type="dxa"/>
            <w:tcBorders>
              <w:top w:val="single" w:sz="4" w:space="0" w:color="auto"/>
              <w:bottom w:val="single" w:sz="4" w:space="0" w:color="auto"/>
            </w:tcBorders>
          </w:tcPr>
          <w:p w:rsidR="002B0F30" w:rsidRPr="00AC525B" w:rsidRDefault="002B0F30" w:rsidP="000229E5">
            <w:pPr>
              <w:pStyle w:val="TableTextEntries"/>
              <w:rPr>
                <w:b w:val="0"/>
              </w:rPr>
            </w:pPr>
          </w:p>
        </w:tc>
        <w:tc>
          <w:tcPr>
            <w:tcW w:w="1375" w:type="dxa"/>
            <w:tcBorders>
              <w:top w:val="single" w:sz="4" w:space="0" w:color="auto"/>
              <w:bottom w:val="single" w:sz="4" w:space="0" w:color="auto"/>
            </w:tcBorders>
          </w:tcPr>
          <w:p w:rsidR="002B0F30" w:rsidRPr="00F0404A" w:rsidRDefault="002B0F30" w:rsidP="000229E5">
            <w:pPr>
              <w:pStyle w:val="TableTextEntries"/>
              <w:rPr>
                <w:b w:val="0"/>
              </w:rPr>
            </w:pPr>
            <w:r>
              <w:rPr>
                <w:b w:val="0"/>
              </w:rPr>
              <w:t>Yes</w:t>
            </w:r>
          </w:p>
        </w:tc>
      </w:tr>
      <w:tr w:rsidR="002B0F30" w:rsidRPr="00071B95" w:rsidTr="00C6565D">
        <w:trPr>
          <w:cnfStyle w:val="100000000000" w:firstRow="1" w:lastRow="0" w:firstColumn="0" w:lastColumn="0" w:oddVBand="0" w:evenVBand="0" w:oddHBand="0" w:evenHBand="0" w:firstRowFirstColumn="0" w:firstRowLastColumn="0" w:lastRowFirstColumn="0" w:lastRowLastColumn="0"/>
        </w:trPr>
        <w:tc>
          <w:tcPr>
            <w:tcW w:w="3780" w:type="dxa"/>
          </w:tcPr>
          <w:p w:rsidR="002B0F30" w:rsidRPr="00AC525B" w:rsidRDefault="002B0F30" w:rsidP="000229E5">
            <w:pPr>
              <w:pStyle w:val="TableTextEntries"/>
              <w:rPr>
                <w:b w:val="0"/>
              </w:rPr>
            </w:pPr>
            <w:r>
              <w:rPr>
                <w:b w:val="0"/>
              </w:rPr>
              <w:t>Incentive Fund Phase III</w:t>
            </w:r>
          </w:p>
        </w:tc>
        <w:tc>
          <w:tcPr>
            <w:tcW w:w="1389" w:type="dxa"/>
          </w:tcPr>
          <w:p w:rsidR="002B0F30" w:rsidRPr="00AC525B" w:rsidRDefault="002B0F30" w:rsidP="000229E5">
            <w:pPr>
              <w:pStyle w:val="TableTextEntries"/>
              <w:rPr>
                <w:b w:val="0"/>
              </w:rPr>
            </w:pPr>
            <w:r>
              <w:rPr>
                <w:b w:val="0"/>
              </w:rPr>
              <w:t>INI793</w:t>
            </w:r>
          </w:p>
        </w:tc>
        <w:tc>
          <w:tcPr>
            <w:tcW w:w="2524" w:type="dxa"/>
          </w:tcPr>
          <w:p w:rsidR="002B0F30" w:rsidRPr="00AC525B" w:rsidRDefault="002B0F30" w:rsidP="000229E5">
            <w:pPr>
              <w:pStyle w:val="TableTextEntries"/>
              <w:rPr>
                <w:b w:val="0"/>
              </w:rPr>
            </w:pPr>
            <w:r>
              <w:rPr>
                <w:b w:val="0"/>
              </w:rPr>
              <w:t>Activity Completion Report</w:t>
            </w:r>
          </w:p>
        </w:tc>
        <w:tc>
          <w:tcPr>
            <w:tcW w:w="1389" w:type="dxa"/>
          </w:tcPr>
          <w:p w:rsidR="002B0F30" w:rsidRPr="00AC525B" w:rsidRDefault="002B0F30" w:rsidP="000229E5">
            <w:pPr>
              <w:pStyle w:val="TableTextEntries"/>
              <w:rPr>
                <w:b w:val="0"/>
              </w:rPr>
            </w:pPr>
            <w:r>
              <w:rPr>
                <w:b w:val="0"/>
              </w:rPr>
              <w:t>June 2013</w:t>
            </w:r>
          </w:p>
        </w:tc>
        <w:tc>
          <w:tcPr>
            <w:tcW w:w="1673" w:type="dxa"/>
          </w:tcPr>
          <w:p w:rsidR="002B0F30" w:rsidRPr="00AC525B" w:rsidRDefault="002B0F30" w:rsidP="000229E5">
            <w:pPr>
              <w:pStyle w:val="TableTextEntries"/>
              <w:rPr>
                <w:b w:val="0"/>
              </w:rPr>
            </w:pPr>
            <w:r>
              <w:rPr>
                <w:b w:val="0"/>
              </w:rPr>
              <w:t>July 2013</w:t>
            </w:r>
          </w:p>
        </w:tc>
        <w:tc>
          <w:tcPr>
            <w:tcW w:w="1451" w:type="dxa"/>
          </w:tcPr>
          <w:p w:rsidR="002B0F30" w:rsidRPr="00AC525B" w:rsidRDefault="002B0F30" w:rsidP="000229E5">
            <w:pPr>
              <w:pStyle w:val="TableTextEntries"/>
              <w:rPr>
                <w:b w:val="0"/>
              </w:rPr>
            </w:pPr>
          </w:p>
        </w:tc>
        <w:tc>
          <w:tcPr>
            <w:tcW w:w="1375" w:type="dxa"/>
          </w:tcPr>
          <w:p w:rsidR="002B0F30" w:rsidRPr="00F0404A" w:rsidRDefault="002B0F30" w:rsidP="000229E5">
            <w:pPr>
              <w:pStyle w:val="TableTextEntries"/>
              <w:rPr>
                <w:b w:val="0"/>
              </w:rPr>
            </w:pPr>
            <w:r>
              <w:rPr>
                <w:b w:val="0"/>
              </w:rPr>
              <w:t>Not uploaded</w:t>
            </w:r>
          </w:p>
        </w:tc>
      </w:tr>
      <w:tr w:rsidR="002B0F30" w:rsidRPr="00071B95" w:rsidTr="00C6565D">
        <w:trPr>
          <w:cnfStyle w:val="100000000000" w:firstRow="1" w:lastRow="0" w:firstColumn="0" w:lastColumn="0" w:oddVBand="0" w:evenVBand="0" w:oddHBand="0" w:evenHBand="0" w:firstRowFirstColumn="0" w:firstRowLastColumn="0" w:lastRowFirstColumn="0" w:lastRowLastColumn="0"/>
        </w:trPr>
        <w:tc>
          <w:tcPr>
            <w:tcW w:w="3780" w:type="dxa"/>
            <w:tcBorders>
              <w:top w:val="single" w:sz="4" w:space="0" w:color="auto"/>
              <w:bottom w:val="single" w:sz="4" w:space="0" w:color="auto"/>
            </w:tcBorders>
          </w:tcPr>
          <w:p w:rsidR="002B0F30" w:rsidRPr="00AC525B" w:rsidRDefault="002B0F30" w:rsidP="000229E5">
            <w:pPr>
              <w:pStyle w:val="TableTextEntries"/>
              <w:rPr>
                <w:b w:val="0"/>
              </w:rPr>
            </w:pPr>
            <w:r>
              <w:rPr>
                <w:b w:val="0"/>
              </w:rPr>
              <w:t>PNG-Australia EPSG Twinning Initiative Phase II</w:t>
            </w:r>
          </w:p>
        </w:tc>
        <w:tc>
          <w:tcPr>
            <w:tcW w:w="1389" w:type="dxa"/>
            <w:tcBorders>
              <w:top w:val="single" w:sz="4" w:space="0" w:color="auto"/>
              <w:bottom w:val="single" w:sz="4" w:space="0" w:color="auto"/>
            </w:tcBorders>
          </w:tcPr>
          <w:p w:rsidR="002B0F30" w:rsidRPr="00AC525B" w:rsidRDefault="002B0F30" w:rsidP="000229E5">
            <w:pPr>
              <w:pStyle w:val="TableTextEntries"/>
              <w:rPr>
                <w:b w:val="0"/>
              </w:rPr>
            </w:pPr>
            <w:r>
              <w:rPr>
                <w:b w:val="0"/>
              </w:rPr>
              <w:t>INJ364</w:t>
            </w:r>
          </w:p>
        </w:tc>
        <w:tc>
          <w:tcPr>
            <w:tcW w:w="2524" w:type="dxa"/>
            <w:tcBorders>
              <w:top w:val="single" w:sz="4" w:space="0" w:color="auto"/>
              <w:bottom w:val="single" w:sz="4" w:space="0" w:color="auto"/>
            </w:tcBorders>
          </w:tcPr>
          <w:p w:rsidR="002B0F30" w:rsidRPr="00AC525B" w:rsidRDefault="002B0F30" w:rsidP="000229E5">
            <w:pPr>
              <w:pStyle w:val="TableTextEntries"/>
              <w:rPr>
                <w:b w:val="0"/>
              </w:rPr>
            </w:pPr>
            <w:r>
              <w:rPr>
                <w:b w:val="0"/>
              </w:rPr>
              <w:t>Independent Completion Report</w:t>
            </w:r>
          </w:p>
        </w:tc>
        <w:tc>
          <w:tcPr>
            <w:tcW w:w="1389" w:type="dxa"/>
            <w:tcBorders>
              <w:top w:val="single" w:sz="4" w:space="0" w:color="auto"/>
              <w:bottom w:val="single" w:sz="4" w:space="0" w:color="auto"/>
            </w:tcBorders>
          </w:tcPr>
          <w:p w:rsidR="002B0F30" w:rsidRPr="00AC525B" w:rsidRDefault="002B0F30" w:rsidP="000229E5">
            <w:pPr>
              <w:pStyle w:val="TableTextEntries"/>
              <w:rPr>
                <w:b w:val="0"/>
              </w:rPr>
            </w:pPr>
            <w:r>
              <w:rPr>
                <w:b w:val="0"/>
              </w:rPr>
              <w:t>2013</w:t>
            </w:r>
          </w:p>
        </w:tc>
        <w:tc>
          <w:tcPr>
            <w:tcW w:w="1673" w:type="dxa"/>
            <w:tcBorders>
              <w:top w:val="single" w:sz="4" w:space="0" w:color="auto"/>
              <w:bottom w:val="single" w:sz="4" w:space="0" w:color="auto"/>
            </w:tcBorders>
          </w:tcPr>
          <w:p w:rsidR="002B0F30" w:rsidRPr="00AC525B" w:rsidRDefault="002B0F30" w:rsidP="000229E5">
            <w:pPr>
              <w:pStyle w:val="TableTextEntries"/>
              <w:rPr>
                <w:b w:val="0"/>
              </w:rPr>
            </w:pPr>
            <w:r>
              <w:rPr>
                <w:b w:val="0"/>
              </w:rPr>
              <w:t>Not uploaded</w:t>
            </w:r>
          </w:p>
        </w:tc>
        <w:tc>
          <w:tcPr>
            <w:tcW w:w="1451" w:type="dxa"/>
            <w:tcBorders>
              <w:top w:val="single" w:sz="4" w:space="0" w:color="auto"/>
              <w:bottom w:val="single" w:sz="4" w:space="0" w:color="auto"/>
            </w:tcBorders>
          </w:tcPr>
          <w:p w:rsidR="002B0F30" w:rsidRPr="00AC525B" w:rsidRDefault="002B0F30" w:rsidP="000229E5">
            <w:pPr>
              <w:pStyle w:val="TableTextEntries"/>
              <w:rPr>
                <w:b w:val="0"/>
              </w:rPr>
            </w:pPr>
          </w:p>
        </w:tc>
        <w:tc>
          <w:tcPr>
            <w:tcW w:w="1375" w:type="dxa"/>
            <w:tcBorders>
              <w:top w:val="single" w:sz="4" w:space="0" w:color="auto"/>
              <w:bottom w:val="single" w:sz="4" w:space="0" w:color="auto"/>
            </w:tcBorders>
          </w:tcPr>
          <w:p w:rsidR="002B0F30" w:rsidRPr="00F0404A" w:rsidRDefault="002B0F30" w:rsidP="000229E5">
            <w:pPr>
              <w:pStyle w:val="TableTextEntries"/>
              <w:rPr>
                <w:b w:val="0"/>
              </w:rPr>
            </w:pPr>
            <w:r>
              <w:rPr>
                <w:b w:val="0"/>
              </w:rPr>
              <w:t>Not uploaded</w:t>
            </w:r>
          </w:p>
        </w:tc>
      </w:tr>
      <w:tr w:rsidR="002B0F30" w:rsidRPr="00071B95" w:rsidTr="00C6565D">
        <w:trPr>
          <w:cnfStyle w:val="100000000000" w:firstRow="1" w:lastRow="0" w:firstColumn="0" w:lastColumn="0" w:oddVBand="0" w:evenVBand="0" w:oddHBand="0" w:evenHBand="0" w:firstRowFirstColumn="0" w:firstRowLastColumn="0" w:lastRowFirstColumn="0" w:lastRowLastColumn="0"/>
        </w:trPr>
        <w:tc>
          <w:tcPr>
            <w:tcW w:w="3780" w:type="dxa"/>
          </w:tcPr>
          <w:p w:rsidR="002B0F30" w:rsidRPr="00AC525B" w:rsidRDefault="002B0F30" w:rsidP="000229E5">
            <w:pPr>
              <w:pStyle w:val="TableTextEntries"/>
              <w:rPr>
                <w:b w:val="0"/>
              </w:rPr>
            </w:pPr>
            <w:r>
              <w:rPr>
                <w:b w:val="0"/>
              </w:rPr>
              <w:t>PNG Disaster Risk Management (10-14)</w:t>
            </w:r>
          </w:p>
        </w:tc>
        <w:tc>
          <w:tcPr>
            <w:tcW w:w="1389" w:type="dxa"/>
          </w:tcPr>
          <w:p w:rsidR="002B0F30" w:rsidRPr="00AC525B" w:rsidRDefault="002B0F30" w:rsidP="000229E5">
            <w:pPr>
              <w:pStyle w:val="TableTextEntries"/>
              <w:rPr>
                <w:b w:val="0"/>
              </w:rPr>
            </w:pPr>
            <w:r>
              <w:rPr>
                <w:b w:val="0"/>
              </w:rPr>
              <w:t>INJ302</w:t>
            </w:r>
          </w:p>
        </w:tc>
        <w:tc>
          <w:tcPr>
            <w:tcW w:w="2524" w:type="dxa"/>
          </w:tcPr>
          <w:p w:rsidR="002B0F30" w:rsidRPr="00AC525B" w:rsidRDefault="002B0F30" w:rsidP="000229E5">
            <w:pPr>
              <w:pStyle w:val="TableTextEntries"/>
              <w:rPr>
                <w:b w:val="0"/>
              </w:rPr>
            </w:pPr>
            <w:r>
              <w:rPr>
                <w:b w:val="0"/>
              </w:rPr>
              <w:t>Independent Progress Report</w:t>
            </w:r>
          </w:p>
        </w:tc>
        <w:tc>
          <w:tcPr>
            <w:tcW w:w="1389" w:type="dxa"/>
          </w:tcPr>
          <w:p w:rsidR="002B0F30" w:rsidRPr="00AC525B" w:rsidRDefault="002B0F30" w:rsidP="000229E5">
            <w:pPr>
              <w:pStyle w:val="TableTextEntries"/>
              <w:rPr>
                <w:b w:val="0"/>
              </w:rPr>
            </w:pPr>
            <w:r>
              <w:rPr>
                <w:b w:val="0"/>
              </w:rPr>
              <w:t>June 2013</w:t>
            </w:r>
          </w:p>
        </w:tc>
        <w:tc>
          <w:tcPr>
            <w:tcW w:w="1673" w:type="dxa"/>
          </w:tcPr>
          <w:p w:rsidR="002B0F30" w:rsidRPr="00AC525B" w:rsidRDefault="002B0F30" w:rsidP="000229E5">
            <w:pPr>
              <w:pStyle w:val="TableTextEntries"/>
              <w:rPr>
                <w:b w:val="0"/>
              </w:rPr>
            </w:pPr>
            <w:r>
              <w:rPr>
                <w:b w:val="0"/>
              </w:rPr>
              <w:t>July 2013</w:t>
            </w:r>
          </w:p>
        </w:tc>
        <w:tc>
          <w:tcPr>
            <w:tcW w:w="1451" w:type="dxa"/>
          </w:tcPr>
          <w:p w:rsidR="002B0F30" w:rsidRPr="00AC525B" w:rsidRDefault="002B0F30" w:rsidP="000229E5">
            <w:pPr>
              <w:pStyle w:val="TableTextEntries"/>
              <w:rPr>
                <w:b w:val="0"/>
              </w:rPr>
            </w:pPr>
          </w:p>
        </w:tc>
        <w:tc>
          <w:tcPr>
            <w:tcW w:w="1375" w:type="dxa"/>
          </w:tcPr>
          <w:p w:rsidR="002B0F30" w:rsidRPr="00F0404A" w:rsidRDefault="002B0F30" w:rsidP="000229E5">
            <w:pPr>
              <w:pStyle w:val="TableTextEntries"/>
              <w:rPr>
                <w:b w:val="0"/>
              </w:rPr>
            </w:pPr>
            <w:r>
              <w:rPr>
                <w:b w:val="0"/>
              </w:rPr>
              <w:t>Not uploaded</w:t>
            </w:r>
          </w:p>
        </w:tc>
      </w:tr>
      <w:tr w:rsidR="002B0F30" w:rsidRPr="00071B95" w:rsidTr="00C6565D">
        <w:trPr>
          <w:cnfStyle w:val="100000000000" w:firstRow="1" w:lastRow="0" w:firstColumn="0" w:lastColumn="0" w:oddVBand="0" w:evenVBand="0" w:oddHBand="0" w:evenHBand="0" w:firstRowFirstColumn="0" w:firstRowLastColumn="0" w:lastRowFirstColumn="0" w:lastRowLastColumn="0"/>
        </w:trPr>
        <w:tc>
          <w:tcPr>
            <w:tcW w:w="3780" w:type="dxa"/>
            <w:tcBorders>
              <w:top w:val="single" w:sz="4" w:space="0" w:color="auto"/>
              <w:bottom w:val="single" w:sz="4" w:space="0" w:color="auto"/>
            </w:tcBorders>
          </w:tcPr>
          <w:p w:rsidR="002B0F30" w:rsidRPr="00673A6F" w:rsidRDefault="002B0F30" w:rsidP="000229E5">
            <w:pPr>
              <w:pStyle w:val="TableTextEntries"/>
              <w:rPr>
                <w:b w:val="0"/>
              </w:rPr>
            </w:pPr>
            <w:r>
              <w:rPr>
                <w:b w:val="0"/>
              </w:rPr>
              <w:t>PNG Health and HIV Procurement Programs</w:t>
            </w:r>
          </w:p>
          <w:p w:rsidR="002B0F30" w:rsidRDefault="002B0F30" w:rsidP="000229E5">
            <w:pPr>
              <w:pStyle w:val="TableTextEntries"/>
            </w:pPr>
          </w:p>
        </w:tc>
        <w:tc>
          <w:tcPr>
            <w:tcW w:w="1389" w:type="dxa"/>
            <w:tcBorders>
              <w:top w:val="single" w:sz="4" w:space="0" w:color="auto"/>
              <w:bottom w:val="single" w:sz="4" w:space="0" w:color="auto"/>
            </w:tcBorders>
          </w:tcPr>
          <w:p w:rsidR="002B0F30" w:rsidRPr="00673A6F" w:rsidRDefault="002B0F30" w:rsidP="000229E5">
            <w:pPr>
              <w:pStyle w:val="TableTextEntries"/>
              <w:rPr>
                <w:b w:val="0"/>
              </w:rPr>
            </w:pPr>
            <w:r w:rsidRPr="00673A6F">
              <w:rPr>
                <w:b w:val="0"/>
              </w:rPr>
              <w:t>INJ708 and INK212</w:t>
            </w:r>
          </w:p>
        </w:tc>
        <w:tc>
          <w:tcPr>
            <w:tcW w:w="2524" w:type="dxa"/>
            <w:tcBorders>
              <w:top w:val="single" w:sz="4" w:space="0" w:color="auto"/>
              <w:bottom w:val="single" w:sz="4" w:space="0" w:color="auto"/>
            </w:tcBorders>
          </w:tcPr>
          <w:p w:rsidR="002B0F30" w:rsidRPr="00AC525B" w:rsidRDefault="00C6565D" w:rsidP="000229E5">
            <w:pPr>
              <w:pStyle w:val="TableTextEntries"/>
              <w:rPr>
                <w:b w:val="0"/>
              </w:rPr>
            </w:pPr>
            <w:r>
              <w:rPr>
                <w:b w:val="0"/>
              </w:rPr>
              <w:t xml:space="preserve">PNG Medical Supplies Impact </w:t>
            </w:r>
            <w:r w:rsidR="002B0F30">
              <w:rPr>
                <w:b w:val="0"/>
              </w:rPr>
              <w:t>Evaluation</w:t>
            </w:r>
          </w:p>
        </w:tc>
        <w:tc>
          <w:tcPr>
            <w:tcW w:w="1389" w:type="dxa"/>
            <w:tcBorders>
              <w:top w:val="single" w:sz="4" w:space="0" w:color="auto"/>
              <w:bottom w:val="single" w:sz="4" w:space="0" w:color="auto"/>
            </w:tcBorders>
          </w:tcPr>
          <w:p w:rsidR="002B0F30" w:rsidRPr="00673A6F" w:rsidRDefault="00C6565D" w:rsidP="000229E5">
            <w:pPr>
              <w:pStyle w:val="TableTextEntries"/>
              <w:rPr>
                <w:b w:val="0"/>
              </w:rPr>
            </w:pPr>
            <w:r>
              <w:rPr>
                <w:b w:val="0"/>
              </w:rPr>
              <w:t>December</w:t>
            </w:r>
            <w:r w:rsidR="002B0F30" w:rsidRPr="00673A6F">
              <w:rPr>
                <w:b w:val="0"/>
              </w:rPr>
              <w:t xml:space="preserve"> 2013</w:t>
            </w:r>
          </w:p>
        </w:tc>
        <w:tc>
          <w:tcPr>
            <w:tcW w:w="1673" w:type="dxa"/>
            <w:tcBorders>
              <w:top w:val="single" w:sz="4" w:space="0" w:color="auto"/>
              <w:bottom w:val="single" w:sz="4" w:space="0" w:color="auto"/>
            </w:tcBorders>
          </w:tcPr>
          <w:p w:rsidR="002B0F30" w:rsidRPr="00AC525B" w:rsidRDefault="00C6565D" w:rsidP="000229E5">
            <w:pPr>
              <w:pStyle w:val="TableTextEntries"/>
              <w:rPr>
                <w:b w:val="0"/>
              </w:rPr>
            </w:pPr>
            <w:r>
              <w:rPr>
                <w:b w:val="0"/>
              </w:rPr>
              <w:t>January 2014</w:t>
            </w:r>
          </w:p>
        </w:tc>
        <w:tc>
          <w:tcPr>
            <w:tcW w:w="1451" w:type="dxa"/>
            <w:tcBorders>
              <w:top w:val="single" w:sz="4" w:space="0" w:color="auto"/>
              <w:bottom w:val="single" w:sz="4" w:space="0" w:color="auto"/>
            </w:tcBorders>
          </w:tcPr>
          <w:p w:rsidR="002B0F30" w:rsidRPr="00AC525B" w:rsidRDefault="002B0F30" w:rsidP="000229E5">
            <w:pPr>
              <w:pStyle w:val="TableTextEntries"/>
              <w:rPr>
                <w:b w:val="0"/>
              </w:rPr>
            </w:pPr>
          </w:p>
        </w:tc>
        <w:tc>
          <w:tcPr>
            <w:tcW w:w="1375" w:type="dxa"/>
            <w:tcBorders>
              <w:top w:val="single" w:sz="4" w:space="0" w:color="auto"/>
              <w:bottom w:val="single" w:sz="4" w:space="0" w:color="auto"/>
            </w:tcBorders>
          </w:tcPr>
          <w:p w:rsidR="002B0F30" w:rsidRDefault="002B0F30" w:rsidP="000229E5">
            <w:pPr>
              <w:pStyle w:val="TableTextEntries"/>
              <w:rPr>
                <w:b w:val="0"/>
              </w:rPr>
            </w:pPr>
            <w:r>
              <w:rPr>
                <w:b w:val="0"/>
              </w:rPr>
              <w:t>Yes</w:t>
            </w:r>
          </w:p>
        </w:tc>
      </w:tr>
    </w:tbl>
    <w:p w:rsidR="002B0F30" w:rsidRPr="00071B95" w:rsidRDefault="002B0F30" w:rsidP="002B0F30">
      <w:pPr>
        <w:rPr>
          <w:b/>
        </w:rPr>
      </w:pPr>
    </w:p>
    <w:p w:rsidR="002B0F30" w:rsidRDefault="002B0F30" w:rsidP="00771955">
      <w:pPr>
        <w:pStyle w:val="Caption"/>
      </w:pPr>
      <w:r w:rsidRPr="00071B95">
        <w:t xml:space="preserve">List of evaluations planned in the next 12 months </w:t>
      </w:r>
    </w:p>
    <w:tbl>
      <w:tblPr>
        <w:tblStyle w:val="APPR2"/>
        <w:tblW w:w="0" w:type="auto"/>
        <w:tblLook w:val="04A0" w:firstRow="1" w:lastRow="0" w:firstColumn="1" w:lastColumn="0" w:noHBand="0" w:noVBand="1"/>
      </w:tblPr>
      <w:tblGrid>
        <w:gridCol w:w="3964"/>
        <w:gridCol w:w="1417"/>
        <w:gridCol w:w="3119"/>
        <w:gridCol w:w="2693"/>
        <w:gridCol w:w="2551"/>
      </w:tblGrid>
      <w:tr w:rsidR="004F3AF9" w:rsidTr="00361D19">
        <w:trPr>
          <w:cnfStyle w:val="100000000000" w:firstRow="1" w:lastRow="0" w:firstColumn="0" w:lastColumn="0" w:oddVBand="0" w:evenVBand="0" w:oddHBand="0" w:evenHBand="0" w:firstRowFirstColumn="0" w:firstRowLastColumn="0" w:lastRowFirstColumn="0" w:lastRowLastColumn="0"/>
        </w:trPr>
        <w:tc>
          <w:tcPr>
            <w:tcW w:w="3922" w:type="dxa"/>
            <w:hideMark/>
          </w:tcPr>
          <w:p w:rsidR="004F3AF9" w:rsidRPr="00DB79A8" w:rsidRDefault="004F3AF9" w:rsidP="008264E9">
            <w:pPr>
              <w:pStyle w:val="TableTextColumnHeading"/>
              <w:rPr>
                <w:b/>
              </w:rPr>
            </w:pPr>
            <w:r w:rsidRPr="00DB79A8">
              <w:rPr>
                <w:b/>
              </w:rPr>
              <w:t>Name of Investment</w:t>
            </w:r>
          </w:p>
        </w:tc>
        <w:tc>
          <w:tcPr>
            <w:tcW w:w="1389" w:type="dxa"/>
            <w:hideMark/>
          </w:tcPr>
          <w:p w:rsidR="004F3AF9" w:rsidRPr="00DB79A8" w:rsidRDefault="004F3AF9" w:rsidP="008264E9">
            <w:pPr>
              <w:pStyle w:val="TableTextColumnHeading"/>
              <w:rPr>
                <w:b/>
              </w:rPr>
            </w:pPr>
            <w:r w:rsidRPr="00DB79A8">
              <w:rPr>
                <w:b/>
              </w:rPr>
              <w:t>Aidworks number</w:t>
            </w:r>
          </w:p>
        </w:tc>
        <w:tc>
          <w:tcPr>
            <w:tcW w:w="3091" w:type="dxa"/>
            <w:hideMark/>
          </w:tcPr>
          <w:p w:rsidR="004F3AF9" w:rsidRPr="00DB79A8" w:rsidRDefault="004F3AF9" w:rsidP="008264E9">
            <w:pPr>
              <w:pStyle w:val="TableTextColumnHeading"/>
              <w:rPr>
                <w:b/>
              </w:rPr>
            </w:pPr>
            <w:r w:rsidRPr="00DB79A8">
              <w:rPr>
                <w:b/>
              </w:rPr>
              <w:t>Type of evaluation</w:t>
            </w:r>
          </w:p>
        </w:tc>
        <w:tc>
          <w:tcPr>
            <w:tcW w:w="2665" w:type="dxa"/>
            <w:hideMark/>
          </w:tcPr>
          <w:p w:rsidR="004F3AF9" w:rsidRPr="00DB79A8" w:rsidRDefault="004F3AF9" w:rsidP="008264E9">
            <w:pPr>
              <w:pStyle w:val="TableTextColumnHeading"/>
              <w:rPr>
                <w:b/>
              </w:rPr>
            </w:pPr>
            <w:r w:rsidRPr="00DB79A8">
              <w:rPr>
                <w:b/>
              </w:rPr>
              <w:t>Purpose of evaluation</w:t>
            </w:r>
          </w:p>
        </w:tc>
        <w:tc>
          <w:tcPr>
            <w:tcW w:w="2509" w:type="dxa"/>
            <w:hideMark/>
          </w:tcPr>
          <w:p w:rsidR="004F3AF9" w:rsidRPr="00DB79A8" w:rsidRDefault="004F3AF9" w:rsidP="008264E9">
            <w:pPr>
              <w:pStyle w:val="TableTextColumnHeading"/>
              <w:rPr>
                <w:b/>
              </w:rPr>
            </w:pPr>
            <w:r w:rsidRPr="00DB79A8">
              <w:rPr>
                <w:b/>
              </w:rPr>
              <w:t>Expected completion date</w:t>
            </w:r>
          </w:p>
        </w:tc>
      </w:tr>
      <w:tr w:rsidR="004F3AF9" w:rsidTr="00361D19">
        <w:trPr>
          <w:cnfStyle w:val="100000000000" w:firstRow="1" w:lastRow="0" w:firstColumn="0" w:lastColumn="0" w:oddVBand="0" w:evenVBand="0" w:oddHBand="0" w:evenHBand="0" w:firstRowFirstColumn="0" w:firstRowLastColumn="0" w:lastRowFirstColumn="0" w:lastRowLastColumn="0"/>
        </w:trPr>
        <w:tc>
          <w:tcPr>
            <w:tcW w:w="3922" w:type="dxa"/>
            <w:tcBorders>
              <w:bottom w:val="single" w:sz="4" w:space="0" w:color="auto"/>
            </w:tcBorders>
            <w:hideMark/>
          </w:tcPr>
          <w:p w:rsidR="004F3AF9" w:rsidRPr="00361D19" w:rsidRDefault="004F3AF9" w:rsidP="008769F8">
            <w:pPr>
              <w:pStyle w:val="TableTextEntries"/>
              <w:rPr>
                <w:b w:val="0"/>
              </w:rPr>
            </w:pPr>
            <w:r w:rsidRPr="00361D19">
              <w:rPr>
                <w:b w:val="0"/>
              </w:rPr>
              <w:t>PNG-Australia Law and Justice Partnership – Transition Program</w:t>
            </w:r>
          </w:p>
        </w:tc>
        <w:tc>
          <w:tcPr>
            <w:tcW w:w="1389" w:type="dxa"/>
            <w:tcBorders>
              <w:bottom w:val="single" w:sz="4" w:space="0" w:color="auto"/>
            </w:tcBorders>
            <w:hideMark/>
          </w:tcPr>
          <w:p w:rsidR="004F3AF9" w:rsidRPr="00361D19" w:rsidRDefault="004F3AF9" w:rsidP="008769F8">
            <w:pPr>
              <w:pStyle w:val="TableTextEntries"/>
              <w:rPr>
                <w:b w:val="0"/>
              </w:rPr>
            </w:pPr>
            <w:r w:rsidRPr="00361D19">
              <w:rPr>
                <w:b w:val="0"/>
              </w:rPr>
              <w:t>INI194</w:t>
            </w:r>
          </w:p>
        </w:tc>
        <w:tc>
          <w:tcPr>
            <w:tcW w:w="3091" w:type="dxa"/>
            <w:tcBorders>
              <w:bottom w:val="single" w:sz="4" w:space="0" w:color="auto"/>
            </w:tcBorders>
            <w:hideMark/>
          </w:tcPr>
          <w:p w:rsidR="004F3AF9" w:rsidRPr="00361D19" w:rsidRDefault="004F3AF9" w:rsidP="008769F8">
            <w:pPr>
              <w:pStyle w:val="TableTextEntries"/>
              <w:rPr>
                <w:b w:val="0"/>
              </w:rPr>
            </w:pPr>
            <w:r w:rsidRPr="00361D19">
              <w:rPr>
                <w:b w:val="0"/>
              </w:rPr>
              <w:t>Evaluation of Training  Effectiveness</w:t>
            </w:r>
          </w:p>
        </w:tc>
        <w:tc>
          <w:tcPr>
            <w:tcW w:w="2665" w:type="dxa"/>
            <w:tcBorders>
              <w:bottom w:val="single" w:sz="4" w:space="0" w:color="auto"/>
            </w:tcBorders>
            <w:hideMark/>
          </w:tcPr>
          <w:p w:rsidR="004F3AF9" w:rsidRPr="00361D19" w:rsidRDefault="004F3AF9" w:rsidP="008769F8">
            <w:pPr>
              <w:pStyle w:val="TableTextEntries"/>
              <w:rPr>
                <w:b w:val="0"/>
              </w:rPr>
            </w:pPr>
            <w:r w:rsidRPr="00361D19">
              <w:rPr>
                <w:b w:val="0"/>
              </w:rPr>
              <w:t xml:space="preserve">Assess effectiveness of training approaches to capacity development </w:t>
            </w:r>
          </w:p>
        </w:tc>
        <w:tc>
          <w:tcPr>
            <w:tcW w:w="2509" w:type="dxa"/>
            <w:tcBorders>
              <w:bottom w:val="single" w:sz="4" w:space="0" w:color="auto"/>
            </w:tcBorders>
            <w:hideMark/>
          </w:tcPr>
          <w:p w:rsidR="004F3AF9" w:rsidRPr="00361D19" w:rsidRDefault="004F3AF9" w:rsidP="008769F8">
            <w:pPr>
              <w:pStyle w:val="TableTextEntries"/>
              <w:rPr>
                <w:b w:val="0"/>
              </w:rPr>
            </w:pPr>
            <w:r w:rsidRPr="00361D19">
              <w:rPr>
                <w:b w:val="0"/>
              </w:rPr>
              <w:t>October 2014 (draft provided 27 June 2014)</w:t>
            </w:r>
          </w:p>
        </w:tc>
      </w:tr>
      <w:tr w:rsidR="004F3AF9" w:rsidTr="00361D19">
        <w:trPr>
          <w:cnfStyle w:val="100000000000" w:firstRow="1" w:lastRow="0" w:firstColumn="0" w:lastColumn="0" w:oddVBand="0" w:evenVBand="0" w:oddHBand="0" w:evenHBand="0" w:firstRowFirstColumn="0" w:firstRowLastColumn="0" w:lastRowFirstColumn="0" w:lastRowLastColumn="0"/>
        </w:trPr>
        <w:tc>
          <w:tcPr>
            <w:tcW w:w="3922" w:type="dxa"/>
            <w:tcBorders>
              <w:bottom w:val="single" w:sz="4" w:space="0" w:color="auto"/>
            </w:tcBorders>
            <w:hideMark/>
          </w:tcPr>
          <w:p w:rsidR="004F3AF9" w:rsidRPr="00361D19" w:rsidRDefault="004F3AF9" w:rsidP="008769F8">
            <w:pPr>
              <w:pStyle w:val="TableTextEntries"/>
              <w:rPr>
                <w:b w:val="0"/>
              </w:rPr>
            </w:pPr>
            <w:r w:rsidRPr="00361D19">
              <w:rPr>
                <w:b w:val="0"/>
              </w:rPr>
              <w:t>PNG-Australia Law and Justice Partnership – Transition Program</w:t>
            </w:r>
          </w:p>
        </w:tc>
        <w:tc>
          <w:tcPr>
            <w:tcW w:w="1389" w:type="dxa"/>
            <w:tcBorders>
              <w:bottom w:val="single" w:sz="4" w:space="0" w:color="auto"/>
            </w:tcBorders>
            <w:hideMark/>
          </w:tcPr>
          <w:p w:rsidR="004F3AF9" w:rsidRPr="00361D19" w:rsidRDefault="004F3AF9" w:rsidP="008769F8">
            <w:pPr>
              <w:pStyle w:val="TableTextEntries"/>
              <w:rPr>
                <w:b w:val="0"/>
              </w:rPr>
            </w:pPr>
            <w:r w:rsidRPr="00361D19">
              <w:rPr>
                <w:b w:val="0"/>
              </w:rPr>
              <w:t>INI194</w:t>
            </w:r>
          </w:p>
        </w:tc>
        <w:tc>
          <w:tcPr>
            <w:tcW w:w="3091" w:type="dxa"/>
            <w:tcBorders>
              <w:bottom w:val="single" w:sz="4" w:space="0" w:color="auto"/>
            </w:tcBorders>
            <w:hideMark/>
          </w:tcPr>
          <w:p w:rsidR="004F3AF9" w:rsidRPr="00361D19" w:rsidRDefault="004F3AF9" w:rsidP="008769F8">
            <w:pPr>
              <w:pStyle w:val="TableTextEntries"/>
              <w:rPr>
                <w:b w:val="0"/>
              </w:rPr>
            </w:pPr>
            <w:r w:rsidRPr="00361D19">
              <w:rPr>
                <w:b w:val="0"/>
              </w:rPr>
              <w:t>Independent Completion Evaluation</w:t>
            </w:r>
          </w:p>
        </w:tc>
        <w:tc>
          <w:tcPr>
            <w:tcW w:w="2665" w:type="dxa"/>
            <w:tcBorders>
              <w:bottom w:val="single" w:sz="4" w:space="0" w:color="auto"/>
            </w:tcBorders>
            <w:hideMark/>
          </w:tcPr>
          <w:p w:rsidR="004F3AF9" w:rsidRPr="00361D19" w:rsidRDefault="004F3AF9" w:rsidP="008769F8">
            <w:pPr>
              <w:pStyle w:val="TableTextEntries"/>
              <w:rPr>
                <w:b w:val="0"/>
              </w:rPr>
            </w:pPr>
            <w:r w:rsidRPr="00361D19">
              <w:rPr>
                <w:b w:val="0"/>
              </w:rPr>
              <w:t>Look at specific issues from experience of PALJP delivery.</w:t>
            </w:r>
          </w:p>
        </w:tc>
        <w:tc>
          <w:tcPr>
            <w:tcW w:w="2509" w:type="dxa"/>
            <w:tcBorders>
              <w:bottom w:val="single" w:sz="4" w:space="0" w:color="auto"/>
            </w:tcBorders>
            <w:hideMark/>
          </w:tcPr>
          <w:p w:rsidR="004F3AF9" w:rsidRPr="00361D19" w:rsidRDefault="004F3AF9" w:rsidP="008769F8">
            <w:pPr>
              <w:pStyle w:val="TableTextEntries"/>
              <w:rPr>
                <w:b w:val="0"/>
              </w:rPr>
            </w:pPr>
            <w:r w:rsidRPr="00361D19">
              <w:rPr>
                <w:b w:val="0"/>
              </w:rPr>
              <w:t>End June 2015</w:t>
            </w:r>
          </w:p>
        </w:tc>
      </w:tr>
      <w:tr w:rsidR="004F3AF9" w:rsidTr="00361D19">
        <w:trPr>
          <w:cnfStyle w:val="100000000000" w:firstRow="1" w:lastRow="0" w:firstColumn="0" w:lastColumn="0" w:oddVBand="0" w:evenVBand="0" w:oddHBand="0" w:evenHBand="0" w:firstRowFirstColumn="0" w:firstRowLastColumn="0" w:lastRowFirstColumn="0" w:lastRowLastColumn="0"/>
        </w:trPr>
        <w:tc>
          <w:tcPr>
            <w:tcW w:w="3922" w:type="dxa"/>
            <w:hideMark/>
          </w:tcPr>
          <w:p w:rsidR="004F3AF9" w:rsidRPr="00361D19" w:rsidRDefault="004F3AF9" w:rsidP="008769F8">
            <w:pPr>
              <w:pStyle w:val="TableTextEntries"/>
              <w:rPr>
                <w:b w:val="0"/>
              </w:rPr>
            </w:pPr>
            <w:r w:rsidRPr="00361D19">
              <w:rPr>
                <w:b w:val="0"/>
              </w:rPr>
              <w:t>PNG-Australia Law and Justice Partnership – Transition Program</w:t>
            </w:r>
          </w:p>
        </w:tc>
        <w:tc>
          <w:tcPr>
            <w:tcW w:w="1389" w:type="dxa"/>
            <w:hideMark/>
          </w:tcPr>
          <w:p w:rsidR="004F3AF9" w:rsidRPr="00361D19" w:rsidRDefault="004F3AF9" w:rsidP="008769F8">
            <w:pPr>
              <w:pStyle w:val="TableTextEntries"/>
              <w:rPr>
                <w:b w:val="0"/>
              </w:rPr>
            </w:pPr>
            <w:r w:rsidRPr="00361D19">
              <w:rPr>
                <w:b w:val="0"/>
              </w:rPr>
              <w:t>INI194</w:t>
            </w:r>
          </w:p>
        </w:tc>
        <w:tc>
          <w:tcPr>
            <w:tcW w:w="3091" w:type="dxa"/>
            <w:hideMark/>
          </w:tcPr>
          <w:p w:rsidR="004F3AF9" w:rsidRPr="00361D19" w:rsidRDefault="004F3AF9" w:rsidP="008769F8">
            <w:pPr>
              <w:pStyle w:val="TableTextEntries"/>
              <w:rPr>
                <w:b w:val="0"/>
              </w:rPr>
            </w:pPr>
            <w:r w:rsidRPr="00361D19">
              <w:rPr>
                <w:b w:val="0"/>
              </w:rPr>
              <w:t>Impact evaluation</w:t>
            </w:r>
          </w:p>
        </w:tc>
        <w:tc>
          <w:tcPr>
            <w:tcW w:w="2665" w:type="dxa"/>
            <w:hideMark/>
          </w:tcPr>
          <w:p w:rsidR="004F3AF9" w:rsidRPr="00361D19" w:rsidRDefault="004F3AF9" w:rsidP="008769F8">
            <w:pPr>
              <w:pStyle w:val="TableTextEntries"/>
              <w:rPr>
                <w:b w:val="0"/>
                <w:color w:val="000000" w:themeColor="text1" w:themeShade="BF"/>
              </w:rPr>
            </w:pPr>
            <w:r w:rsidRPr="00361D19">
              <w:rPr>
                <w:b w:val="0"/>
              </w:rPr>
              <w:t xml:space="preserve">To assess impacts of Australian support to village courts. </w:t>
            </w:r>
          </w:p>
        </w:tc>
        <w:tc>
          <w:tcPr>
            <w:tcW w:w="2509" w:type="dxa"/>
            <w:hideMark/>
          </w:tcPr>
          <w:p w:rsidR="004F3AF9" w:rsidRPr="00361D19" w:rsidRDefault="004F3AF9" w:rsidP="008769F8">
            <w:pPr>
              <w:pStyle w:val="TableTextEntries"/>
              <w:rPr>
                <w:b w:val="0"/>
              </w:rPr>
            </w:pPr>
            <w:r w:rsidRPr="00361D19">
              <w:rPr>
                <w:b w:val="0"/>
              </w:rPr>
              <w:t>September 2015</w:t>
            </w:r>
          </w:p>
        </w:tc>
      </w:tr>
      <w:tr w:rsidR="004F3AF9" w:rsidTr="00361D19">
        <w:trPr>
          <w:cnfStyle w:val="100000000000" w:firstRow="1" w:lastRow="0" w:firstColumn="0" w:lastColumn="0" w:oddVBand="0" w:evenVBand="0" w:oddHBand="0" w:evenHBand="0" w:firstRowFirstColumn="0" w:firstRowLastColumn="0" w:lastRowFirstColumn="0" w:lastRowLastColumn="0"/>
        </w:trPr>
        <w:tc>
          <w:tcPr>
            <w:tcW w:w="3922" w:type="dxa"/>
            <w:tcBorders>
              <w:top w:val="single" w:sz="4" w:space="0" w:color="auto"/>
              <w:bottom w:val="single" w:sz="4" w:space="0" w:color="auto"/>
            </w:tcBorders>
          </w:tcPr>
          <w:p w:rsidR="004F3AF9" w:rsidRPr="00894779" w:rsidRDefault="004F3AF9" w:rsidP="008769F8">
            <w:pPr>
              <w:pStyle w:val="TableTextEntries"/>
              <w:rPr>
                <w:b w:val="0"/>
              </w:rPr>
            </w:pPr>
            <w:r w:rsidRPr="00894779">
              <w:rPr>
                <w:b w:val="0"/>
              </w:rPr>
              <w:lastRenderedPageBreak/>
              <w:t>PNG-Australia Policing Partner</w:t>
            </w:r>
            <w:r w:rsidR="00DB79A8" w:rsidRPr="00894779">
              <w:rPr>
                <w:b w:val="0"/>
              </w:rPr>
              <w:t>s</w:t>
            </w:r>
            <w:r w:rsidRPr="00894779">
              <w:rPr>
                <w:b w:val="0"/>
              </w:rPr>
              <w:t>hip</w:t>
            </w:r>
          </w:p>
        </w:tc>
        <w:tc>
          <w:tcPr>
            <w:tcW w:w="1389" w:type="dxa"/>
            <w:tcBorders>
              <w:top w:val="single" w:sz="4" w:space="0" w:color="auto"/>
              <w:bottom w:val="single" w:sz="4" w:space="0" w:color="auto"/>
            </w:tcBorders>
          </w:tcPr>
          <w:p w:rsidR="004F3AF9" w:rsidRPr="00894779" w:rsidRDefault="00361D19" w:rsidP="008769F8">
            <w:pPr>
              <w:pStyle w:val="TableTextEntries"/>
              <w:rPr>
                <w:b w:val="0"/>
              </w:rPr>
            </w:pPr>
            <w:r w:rsidRPr="00894779">
              <w:rPr>
                <w:b w:val="0"/>
              </w:rPr>
              <w:t>n/a</w:t>
            </w:r>
          </w:p>
        </w:tc>
        <w:tc>
          <w:tcPr>
            <w:tcW w:w="3091" w:type="dxa"/>
            <w:tcBorders>
              <w:top w:val="single" w:sz="4" w:space="0" w:color="auto"/>
              <w:bottom w:val="single" w:sz="4" w:space="0" w:color="auto"/>
            </w:tcBorders>
          </w:tcPr>
          <w:p w:rsidR="004F3AF9" w:rsidRPr="00894779" w:rsidRDefault="004F3AF9" w:rsidP="008769F8">
            <w:pPr>
              <w:pStyle w:val="TableTextEntries"/>
              <w:rPr>
                <w:b w:val="0"/>
              </w:rPr>
            </w:pPr>
            <w:r w:rsidRPr="00894779">
              <w:rPr>
                <w:b w:val="0"/>
              </w:rPr>
              <w:t>Independent mid-term review</w:t>
            </w:r>
          </w:p>
        </w:tc>
        <w:tc>
          <w:tcPr>
            <w:tcW w:w="2665" w:type="dxa"/>
            <w:tcBorders>
              <w:top w:val="single" w:sz="4" w:space="0" w:color="auto"/>
              <w:bottom w:val="single" w:sz="4" w:space="0" w:color="auto"/>
            </w:tcBorders>
          </w:tcPr>
          <w:p w:rsidR="004F3AF9" w:rsidRPr="00894779" w:rsidRDefault="004F3AF9" w:rsidP="008769F8">
            <w:pPr>
              <w:pStyle w:val="TableTextEntries"/>
              <w:rPr>
                <w:b w:val="0"/>
              </w:rPr>
            </w:pPr>
            <w:r w:rsidRPr="00894779">
              <w:rPr>
                <w:b w:val="0"/>
              </w:rPr>
              <w:t>To assess relevance, effectiveness and efficiency of the deployment</w:t>
            </w:r>
          </w:p>
        </w:tc>
        <w:tc>
          <w:tcPr>
            <w:tcW w:w="2509" w:type="dxa"/>
            <w:tcBorders>
              <w:top w:val="single" w:sz="4" w:space="0" w:color="auto"/>
              <w:bottom w:val="single" w:sz="4" w:space="0" w:color="auto"/>
            </w:tcBorders>
          </w:tcPr>
          <w:p w:rsidR="004F3AF9" w:rsidRPr="00894779" w:rsidRDefault="004F3AF9" w:rsidP="008769F8">
            <w:pPr>
              <w:pStyle w:val="TableTextEntries"/>
              <w:rPr>
                <w:b w:val="0"/>
              </w:rPr>
            </w:pPr>
            <w:r w:rsidRPr="00894779">
              <w:rPr>
                <w:b w:val="0"/>
              </w:rPr>
              <w:t>Second half 2015</w:t>
            </w:r>
          </w:p>
        </w:tc>
      </w:tr>
      <w:tr w:rsidR="004F3AF9" w:rsidTr="00361D19">
        <w:trPr>
          <w:cnfStyle w:val="100000000000" w:firstRow="1" w:lastRow="0" w:firstColumn="0" w:lastColumn="0" w:oddVBand="0" w:evenVBand="0" w:oddHBand="0" w:evenHBand="0" w:firstRowFirstColumn="0" w:firstRowLastColumn="0" w:lastRowFirstColumn="0" w:lastRowLastColumn="0"/>
        </w:trPr>
        <w:tc>
          <w:tcPr>
            <w:tcW w:w="3922" w:type="dxa"/>
          </w:tcPr>
          <w:p w:rsidR="004F3AF9" w:rsidRPr="00876E88" w:rsidRDefault="004F3AF9" w:rsidP="008769F8">
            <w:pPr>
              <w:pStyle w:val="TableTextEntries"/>
              <w:rPr>
                <w:b w:val="0"/>
              </w:rPr>
            </w:pPr>
            <w:r>
              <w:rPr>
                <w:b w:val="0"/>
              </w:rPr>
              <w:t>Church Partnerships Program</w:t>
            </w:r>
          </w:p>
        </w:tc>
        <w:tc>
          <w:tcPr>
            <w:tcW w:w="1389" w:type="dxa"/>
          </w:tcPr>
          <w:p w:rsidR="004F3AF9" w:rsidRPr="00876E88" w:rsidRDefault="004F3AF9" w:rsidP="008769F8">
            <w:pPr>
              <w:pStyle w:val="TableTextEntries"/>
              <w:rPr>
                <w:b w:val="0"/>
              </w:rPr>
            </w:pPr>
            <w:r w:rsidRPr="00876E88">
              <w:rPr>
                <w:b w:val="0"/>
              </w:rPr>
              <w:t>IN</w:t>
            </w:r>
            <w:r>
              <w:rPr>
                <w:b w:val="0"/>
              </w:rPr>
              <w:t>J313</w:t>
            </w:r>
          </w:p>
        </w:tc>
        <w:tc>
          <w:tcPr>
            <w:tcW w:w="3091" w:type="dxa"/>
          </w:tcPr>
          <w:p w:rsidR="004F3AF9" w:rsidRPr="00876E88" w:rsidRDefault="004F3AF9" w:rsidP="008769F8">
            <w:pPr>
              <w:pStyle w:val="TableTextEntries"/>
              <w:rPr>
                <w:b w:val="0"/>
              </w:rPr>
            </w:pPr>
            <w:r w:rsidRPr="00531B5B">
              <w:rPr>
                <w:b w:val="0"/>
              </w:rPr>
              <w:t xml:space="preserve">Impact </w:t>
            </w:r>
            <w:r>
              <w:rPr>
                <w:b w:val="0"/>
              </w:rPr>
              <w:t>Evaluation</w:t>
            </w:r>
          </w:p>
        </w:tc>
        <w:tc>
          <w:tcPr>
            <w:tcW w:w="2665" w:type="dxa"/>
          </w:tcPr>
          <w:p w:rsidR="004F3AF9" w:rsidRPr="00876E88" w:rsidRDefault="00243E24" w:rsidP="008769F8">
            <w:pPr>
              <w:pStyle w:val="TableTextEntries"/>
              <w:rPr>
                <w:b w:val="0"/>
              </w:rPr>
            </w:pPr>
            <w:r>
              <w:rPr>
                <w:b w:val="0"/>
              </w:rPr>
              <w:t>Assess the change that CPP has contributed to over the life of the program</w:t>
            </w:r>
          </w:p>
        </w:tc>
        <w:tc>
          <w:tcPr>
            <w:tcW w:w="2509" w:type="dxa"/>
          </w:tcPr>
          <w:p w:rsidR="004F3AF9" w:rsidRPr="00876E88" w:rsidRDefault="004F3AF9" w:rsidP="008769F8">
            <w:pPr>
              <w:pStyle w:val="TableTextEntries"/>
              <w:rPr>
                <w:b w:val="0"/>
              </w:rPr>
            </w:pPr>
            <w:r w:rsidRPr="00876E88">
              <w:rPr>
                <w:b w:val="0"/>
              </w:rPr>
              <w:t>June 2015</w:t>
            </w:r>
          </w:p>
        </w:tc>
      </w:tr>
      <w:tr w:rsidR="004F3AF9" w:rsidTr="00361D19">
        <w:trPr>
          <w:cnfStyle w:val="100000000000" w:firstRow="1" w:lastRow="0" w:firstColumn="0" w:lastColumn="0" w:oddVBand="0" w:evenVBand="0" w:oddHBand="0" w:evenHBand="0" w:firstRowFirstColumn="0" w:firstRowLastColumn="0" w:lastRowFirstColumn="0" w:lastRowLastColumn="0"/>
          <w:trHeight w:val="292"/>
        </w:trPr>
        <w:tc>
          <w:tcPr>
            <w:tcW w:w="3922" w:type="dxa"/>
            <w:tcBorders>
              <w:top w:val="single" w:sz="4" w:space="0" w:color="auto"/>
              <w:bottom w:val="single" w:sz="4" w:space="0" w:color="auto"/>
            </w:tcBorders>
          </w:tcPr>
          <w:p w:rsidR="004F3AF9" w:rsidRPr="00876E88" w:rsidRDefault="004F3AF9" w:rsidP="008769F8">
            <w:pPr>
              <w:pStyle w:val="TableTextEntries"/>
              <w:rPr>
                <w:b w:val="0"/>
              </w:rPr>
            </w:pPr>
            <w:r>
              <w:rPr>
                <w:b w:val="0"/>
              </w:rPr>
              <w:t>Strongim Pipol Strongim Nesen</w:t>
            </w:r>
          </w:p>
        </w:tc>
        <w:tc>
          <w:tcPr>
            <w:tcW w:w="1389" w:type="dxa"/>
            <w:tcBorders>
              <w:top w:val="single" w:sz="4" w:space="0" w:color="auto"/>
              <w:bottom w:val="single" w:sz="4" w:space="0" w:color="auto"/>
            </w:tcBorders>
          </w:tcPr>
          <w:p w:rsidR="004F3AF9" w:rsidRPr="00876E88" w:rsidRDefault="004F3AF9" w:rsidP="008769F8">
            <w:pPr>
              <w:pStyle w:val="TableTextEntries"/>
              <w:rPr>
                <w:b w:val="0"/>
              </w:rPr>
            </w:pPr>
            <w:r w:rsidRPr="00876E88">
              <w:rPr>
                <w:b w:val="0"/>
              </w:rPr>
              <w:t>ING</w:t>
            </w:r>
            <w:r>
              <w:rPr>
                <w:b w:val="0"/>
              </w:rPr>
              <w:t>382</w:t>
            </w:r>
          </w:p>
        </w:tc>
        <w:tc>
          <w:tcPr>
            <w:tcW w:w="3091" w:type="dxa"/>
            <w:tcBorders>
              <w:top w:val="single" w:sz="4" w:space="0" w:color="auto"/>
              <w:bottom w:val="single" w:sz="4" w:space="0" w:color="auto"/>
            </w:tcBorders>
          </w:tcPr>
          <w:p w:rsidR="004F3AF9" w:rsidRPr="00876E88" w:rsidRDefault="004F3AF9" w:rsidP="008769F8">
            <w:pPr>
              <w:pStyle w:val="TableTextEntries"/>
              <w:rPr>
                <w:b w:val="0"/>
              </w:rPr>
            </w:pPr>
            <w:r>
              <w:rPr>
                <w:b w:val="0"/>
              </w:rPr>
              <w:t>Impact Evaluation</w:t>
            </w:r>
          </w:p>
        </w:tc>
        <w:tc>
          <w:tcPr>
            <w:tcW w:w="2665" w:type="dxa"/>
            <w:tcBorders>
              <w:top w:val="single" w:sz="4" w:space="0" w:color="auto"/>
              <w:bottom w:val="single" w:sz="4" w:space="0" w:color="auto"/>
            </w:tcBorders>
          </w:tcPr>
          <w:p w:rsidR="004F3AF9" w:rsidRPr="00876E88" w:rsidRDefault="00243E24" w:rsidP="008769F8">
            <w:pPr>
              <w:pStyle w:val="TableTextEntries"/>
              <w:rPr>
                <w:b w:val="0"/>
              </w:rPr>
            </w:pPr>
            <w:r>
              <w:rPr>
                <w:b w:val="0"/>
              </w:rPr>
              <w:t>Assess how the program performed against its goals, draw on lessons learned to improve community driven development</w:t>
            </w:r>
          </w:p>
        </w:tc>
        <w:tc>
          <w:tcPr>
            <w:tcW w:w="2509" w:type="dxa"/>
            <w:tcBorders>
              <w:top w:val="single" w:sz="4" w:space="0" w:color="auto"/>
              <w:bottom w:val="single" w:sz="4" w:space="0" w:color="auto"/>
            </w:tcBorders>
          </w:tcPr>
          <w:p w:rsidR="004F3AF9" w:rsidRPr="00876E88" w:rsidRDefault="004F3AF9" w:rsidP="008769F8">
            <w:pPr>
              <w:pStyle w:val="TableTextEntries"/>
              <w:rPr>
                <w:b w:val="0"/>
              </w:rPr>
            </w:pPr>
            <w:r w:rsidRPr="00876E88">
              <w:rPr>
                <w:b w:val="0"/>
              </w:rPr>
              <w:t>June 2015</w:t>
            </w:r>
          </w:p>
        </w:tc>
      </w:tr>
      <w:tr w:rsidR="004F3AF9" w:rsidRPr="00876E88" w:rsidTr="00361D19">
        <w:trPr>
          <w:cnfStyle w:val="100000000000" w:firstRow="1" w:lastRow="0" w:firstColumn="0" w:lastColumn="0" w:oddVBand="0" w:evenVBand="0" w:oddHBand="0" w:evenHBand="0" w:firstRowFirstColumn="0" w:firstRowLastColumn="0" w:lastRowFirstColumn="0" w:lastRowLastColumn="0"/>
          <w:trHeight w:val="544"/>
        </w:trPr>
        <w:tc>
          <w:tcPr>
            <w:tcW w:w="3922" w:type="dxa"/>
          </w:tcPr>
          <w:p w:rsidR="004F3AF9" w:rsidRDefault="004F3AF9" w:rsidP="008769F8">
            <w:pPr>
              <w:pStyle w:val="TableTextEntries"/>
              <w:rPr>
                <w:b w:val="0"/>
              </w:rPr>
            </w:pPr>
            <w:r>
              <w:rPr>
                <w:b w:val="0"/>
              </w:rPr>
              <w:t>PNG Health and HIV Program</w:t>
            </w:r>
          </w:p>
          <w:p w:rsidR="004F3AF9" w:rsidRPr="00876E88" w:rsidRDefault="004F3AF9" w:rsidP="008769F8">
            <w:pPr>
              <w:pStyle w:val="TableTextEntries"/>
              <w:rPr>
                <w:b w:val="0"/>
              </w:rPr>
            </w:pPr>
          </w:p>
        </w:tc>
        <w:tc>
          <w:tcPr>
            <w:tcW w:w="1389" w:type="dxa"/>
          </w:tcPr>
          <w:p w:rsidR="004F3AF9" w:rsidRPr="00876E88" w:rsidRDefault="004F3AF9" w:rsidP="008769F8">
            <w:pPr>
              <w:pStyle w:val="TableTextEntries"/>
              <w:rPr>
                <w:b w:val="0"/>
              </w:rPr>
            </w:pPr>
            <w:r>
              <w:rPr>
                <w:b w:val="0"/>
              </w:rPr>
              <w:t>whole of Health and HIV portfolio</w:t>
            </w:r>
          </w:p>
        </w:tc>
        <w:tc>
          <w:tcPr>
            <w:tcW w:w="3091" w:type="dxa"/>
          </w:tcPr>
          <w:p w:rsidR="004F3AF9" w:rsidRPr="00876E88" w:rsidRDefault="004F3AF9" w:rsidP="008769F8">
            <w:pPr>
              <w:pStyle w:val="TableTextEntries"/>
              <w:rPr>
                <w:b w:val="0"/>
              </w:rPr>
            </w:pPr>
            <w:r>
              <w:rPr>
                <w:b w:val="0"/>
              </w:rPr>
              <w:t xml:space="preserve">Independent Evaluation </w:t>
            </w:r>
          </w:p>
        </w:tc>
        <w:tc>
          <w:tcPr>
            <w:tcW w:w="2665" w:type="dxa"/>
          </w:tcPr>
          <w:p w:rsidR="004F3AF9" w:rsidRPr="00876E88" w:rsidRDefault="004F3AF9" w:rsidP="008769F8">
            <w:pPr>
              <w:pStyle w:val="TableTextEntries"/>
              <w:rPr>
                <w:b w:val="0"/>
              </w:rPr>
            </w:pPr>
            <w:r>
              <w:rPr>
                <w:b w:val="0"/>
              </w:rPr>
              <w:t>To improve performance of existing programs</w:t>
            </w:r>
          </w:p>
        </w:tc>
        <w:tc>
          <w:tcPr>
            <w:tcW w:w="2509" w:type="dxa"/>
          </w:tcPr>
          <w:p w:rsidR="004F3AF9" w:rsidRPr="00876E88" w:rsidRDefault="004F3AF9" w:rsidP="008769F8">
            <w:pPr>
              <w:pStyle w:val="TableTextEntries"/>
              <w:rPr>
                <w:b w:val="0"/>
              </w:rPr>
            </w:pPr>
            <w:r>
              <w:rPr>
                <w:b w:val="0"/>
              </w:rPr>
              <w:t>January</w:t>
            </w:r>
            <w:r w:rsidRPr="00876E88">
              <w:rPr>
                <w:b w:val="0"/>
              </w:rPr>
              <w:t xml:space="preserve"> 2015</w:t>
            </w:r>
          </w:p>
        </w:tc>
      </w:tr>
    </w:tbl>
    <w:p w:rsidR="002B0F30" w:rsidRDefault="002B0F30" w:rsidP="002B0F30">
      <w:pPr>
        <w:rPr>
          <w:b/>
        </w:rPr>
      </w:pPr>
    </w:p>
    <w:p w:rsidR="002B0F30" w:rsidRDefault="002B0F30" w:rsidP="002B0F30">
      <w:pPr>
        <w:rPr>
          <w:b/>
        </w:rPr>
        <w:sectPr w:rsidR="002B0F30" w:rsidSect="009B75BD">
          <w:footnotePr>
            <w:numRestart w:val="eachPage"/>
          </w:footnotePr>
          <w:pgSz w:w="16838" w:h="11906" w:orient="landscape" w:code="9"/>
          <w:pgMar w:top="720" w:right="720" w:bottom="720" w:left="720" w:header="709" w:footer="425" w:gutter="0"/>
          <w:cols w:space="708"/>
          <w:titlePg/>
          <w:docGrid w:linePitch="360"/>
        </w:sectPr>
      </w:pPr>
    </w:p>
    <w:p w:rsidR="008D6917" w:rsidRPr="009E38C1" w:rsidRDefault="008D6917" w:rsidP="008D6917">
      <w:pPr>
        <w:pStyle w:val="Heading2"/>
        <w:rPr>
          <w:sz w:val="28"/>
        </w:rPr>
      </w:pPr>
      <w:r w:rsidRPr="009E38C1">
        <w:rPr>
          <w:sz w:val="28"/>
        </w:rPr>
        <w:lastRenderedPageBreak/>
        <w:t>Annex D</w:t>
      </w:r>
    </w:p>
    <w:p w:rsidR="008D6917" w:rsidRPr="009E38C1" w:rsidRDefault="008D6917" w:rsidP="008D6917">
      <w:pPr>
        <w:pStyle w:val="Heading2"/>
        <w:rPr>
          <w:sz w:val="28"/>
        </w:rPr>
      </w:pPr>
      <w:r w:rsidRPr="009E38C1">
        <w:rPr>
          <w:sz w:val="28"/>
        </w:rPr>
        <w:t>Performance Benchmarks 2014 -15</w:t>
      </w:r>
    </w:p>
    <w:p w:rsidR="008D6917" w:rsidRPr="00F65DAF" w:rsidRDefault="00B823AD" w:rsidP="008D6917">
      <w:pPr>
        <w:pStyle w:val="BodyText"/>
        <w:rPr>
          <w:i/>
        </w:rPr>
      </w:pPr>
      <w:r w:rsidRPr="003E1A2C">
        <w:rPr>
          <w:i/>
        </w:rPr>
        <w:t>The 2014-15</w:t>
      </w:r>
      <w:r w:rsidR="008D6917" w:rsidRPr="003E1A2C">
        <w:rPr>
          <w:i/>
        </w:rPr>
        <w:t xml:space="preserve"> benchmarks reflect </w:t>
      </w:r>
      <w:r w:rsidR="002045D1" w:rsidRPr="003E1A2C">
        <w:rPr>
          <w:i/>
        </w:rPr>
        <w:t xml:space="preserve">existing targets. </w:t>
      </w:r>
      <w:r w:rsidRPr="003E1A2C">
        <w:rPr>
          <w:i/>
        </w:rPr>
        <w:t>It has been agreed with the Government of PNG that new benchmarks will be negotiated under a new partnership agreement.</w:t>
      </w:r>
      <w:r>
        <w:rPr>
          <w:i/>
        </w:rPr>
        <w:t xml:space="preserve"> </w:t>
      </w:r>
    </w:p>
    <w:tbl>
      <w:tblPr>
        <w:tblStyle w:val="DFAT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3155"/>
        <w:gridCol w:w="3889"/>
      </w:tblGrid>
      <w:tr w:rsidR="008D6917" w:rsidRPr="00C74F2D" w:rsidTr="00FC6559">
        <w:trPr>
          <w:tblHeader/>
        </w:trPr>
        <w:tc>
          <w:tcPr>
            <w:tcW w:w="1189" w:type="pct"/>
            <w:tcMar>
              <w:top w:w="57" w:type="dxa"/>
              <w:left w:w="108" w:type="dxa"/>
              <w:bottom w:w="57" w:type="dxa"/>
              <w:right w:w="108" w:type="dxa"/>
            </w:tcMar>
            <w:hideMark/>
          </w:tcPr>
          <w:p w:rsidR="008D6917" w:rsidRPr="006C3C05" w:rsidRDefault="008D6917" w:rsidP="00FC6559">
            <w:pPr>
              <w:keepLines/>
              <w:spacing w:before="80" w:after="80" w:line="200" w:lineRule="atLeast"/>
              <w:rPr>
                <w:rFonts w:asciiTheme="minorHAnsi" w:eastAsia="Times New Roman" w:hAnsiTheme="minorHAnsi"/>
                <w:b/>
                <w:iCs/>
                <w:szCs w:val="20"/>
              </w:rPr>
            </w:pPr>
            <w:r w:rsidRPr="006C3C05">
              <w:rPr>
                <w:rFonts w:asciiTheme="minorHAnsi" w:eastAsia="Times New Roman" w:hAnsiTheme="minorHAnsi"/>
                <w:b/>
                <w:iCs/>
                <w:szCs w:val="20"/>
              </w:rPr>
              <w:t>Aid objective</w:t>
            </w:r>
          </w:p>
        </w:tc>
        <w:tc>
          <w:tcPr>
            <w:tcW w:w="1707" w:type="pct"/>
            <w:hideMark/>
          </w:tcPr>
          <w:p w:rsidR="008D6917" w:rsidRPr="006C3C05" w:rsidRDefault="008D6917" w:rsidP="00FC6559">
            <w:pPr>
              <w:keepLines/>
              <w:spacing w:before="80" w:after="80" w:line="200" w:lineRule="atLeast"/>
              <w:rPr>
                <w:rFonts w:asciiTheme="minorHAnsi" w:eastAsia="Times New Roman" w:hAnsiTheme="minorHAnsi"/>
                <w:b/>
                <w:iCs/>
                <w:szCs w:val="20"/>
              </w:rPr>
            </w:pPr>
            <w:r w:rsidRPr="006C3C05">
              <w:rPr>
                <w:rFonts w:asciiTheme="minorHAnsi" w:eastAsia="Times New Roman" w:hAnsiTheme="minorHAnsi"/>
                <w:b/>
                <w:iCs/>
                <w:szCs w:val="20"/>
              </w:rPr>
              <w:t xml:space="preserve">2014-15 benchmark </w:t>
            </w:r>
          </w:p>
        </w:tc>
        <w:tc>
          <w:tcPr>
            <w:tcW w:w="2104" w:type="pct"/>
            <w:hideMark/>
          </w:tcPr>
          <w:p w:rsidR="008D6917" w:rsidRPr="006C3C05" w:rsidRDefault="008D6917" w:rsidP="00FC6559">
            <w:pPr>
              <w:keepLines/>
              <w:spacing w:before="80" w:after="80" w:line="200" w:lineRule="atLeast"/>
              <w:rPr>
                <w:rFonts w:asciiTheme="minorHAnsi" w:eastAsia="Times New Roman" w:hAnsiTheme="minorHAnsi"/>
                <w:b/>
                <w:iCs/>
                <w:szCs w:val="20"/>
              </w:rPr>
            </w:pPr>
            <w:r w:rsidRPr="006C3C05">
              <w:rPr>
                <w:rFonts w:asciiTheme="minorHAnsi" w:eastAsia="Times New Roman" w:hAnsiTheme="minorHAnsi"/>
                <w:b/>
                <w:iCs/>
                <w:szCs w:val="20"/>
              </w:rPr>
              <w:t>Rationale for selecting this performance benchmark</w:t>
            </w:r>
          </w:p>
        </w:tc>
      </w:tr>
      <w:tr w:rsidR="008D6917" w:rsidRPr="00C74F2D" w:rsidTr="008D6917">
        <w:tc>
          <w:tcPr>
            <w:tcW w:w="5000" w:type="pct"/>
            <w:gridSpan w:val="3"/>
            <w:tcMar>
              <w:top w:w="57" w:type="dxa"/>
              <w:left w:w="108" w:type="dxa"/>
              <w:bottom w:w="57" w:type="dxa"/>
              <w:right w:w="108" w:type="dxa"/>
            </w:tcMar>
          </w:tcPr>
          <w:p w:rsidR="008D6917" w:rsidRPr="008D6917" w:rsidRDefault="008D6917" w:rsidP="00FC6559">
            <w:pPr>
              <w:spacing w:after="200" w:line="276" w:lineRule="auto"/>
              <w:contextualSpacing/>
              <w:rPr>
                <w:rFonts w:asciiTheme="minorHAnsi" w:hAnsiTheme="minorHAnsi" w:cs="Calibri"/>
                <w:b/>
                <w:color w:val="C00000"/>
                <w:szCs w:val="20"/>
              </w:rPr>
            </w:pPr>
            <w:r w:rsidRPr="00CF065F">
              <w:rPr>
                <w:rFonts w:asciiTheme="minorHAnsi" w:hAnsiTheme="minorHAnsi" w:cs="Calibri"/>
                <w:b/>
                <w:color w:val="C00000"/>
                <w:szCs w:val="20"/>
              </w:rPr>
              <w:t>Objective 1 – Improved health and HIV outcomes</w:t>
            </w:r>
          </w:p>
        </w:tc>
      </w:tr>
      <w:tr w:rsidR="008D6917" w:rsidRPr="006C3C05" w:rsidTr="00FC6559">
        <w:tc>
          <w:tcPr>
            <w:tcW w:w="1189" w:type="pct"/>
            <w:tcMar>
              <w:top w:w="57" w:type="dxa"/>
              <w:left w:w="108" w:type="dxa"/>
              <w:bottom w:w="57" w:type="dxa"/>
              <w:right w:w="108" w:type="dxa"/>
            </w:tcMar>
          </w:tcPr>
          <w:p w:rsidR="008D6917" w:rsidRPr="00894779" w:rsidRDefault="008D6917" w:rsidP="00FC6559">
            <w:pPr>
              <w:spacing w:after="200" w:line="276" w:lineRule="auto"/>
              <w:contextualSpacing/>
              <w:rPr>
                <w:rFonts w:asciiTheme="minorHAnsi" w:eastAsia="Times New Roman" w:hAnsiTheme="minorHAnsi" w:cstheme="minorHAnsi"/>
                <w:b/>
                <w:szCs w:val="20"/>
              </w:rPr>
            </w:pPr>
          </w:p>
          <w:p w:rsidR="008D6917" w:rsidRPr="00894779" w:rsidRDefault="00C6565D" w:rsidP="00FC6559">
            <w:pPr>
              <w:spacing w:after="200" w:line="276" w:lineRule="auto"/>
              <w:contextualSpacing/>
              <w:rPr>
                <w:rFonts w:asciiTheme="minorHAnsi" w:eastAsia="Times New Roman" w:hAnsiTheme="minorHAnsi" w:cstheme="minorHAnsi"/>
                <w:b/>
                <w:i/>
                <w:szCs w:val="20"/>
              </w:rPr>
            </w:pPr>
            <w:r w:rsidRPr="00894779">
              <w:rPr>
                <w:rFonts w:asciiTheme="minorHAnsi" w:eastAsia="Times New Roman" w:hAnsiTheme="minorHAnsi" w:cstheme="minorHAnsi"/>
                <w:i/>
                <w:iCs/>
                <w:szCs w:val="20"/>
              </w:rPr>
              <w:t>Reduce the Burden of Communicable Diseases (</w:t>
            </w:r>
            <w:r w:rsidRPr="00894779">
              <w:rPr>
                <w:rFonts w:asciiTheme="minorHAnsi" w:eastAsia="Times New Roman" w:hAnsiTheme="minorHAnsi" w:cstheme="minorHAnsi"/>
                <w:i/>
                <w:szCs w:val="20"/>
              </w:rPr>
              <w:t>Tuberculosis</w:t>
            </w:r>
            <w:r w:rsidR="00A22A8D" w:rsidRPr="00894779">
              <w:rPr>
                <w:rFonts w:asciiTheme="minorHAnsi" w:eastAsia="Times New Roman" w:hAnsiTheme="minorHAnsi" w:cstheme="minorHAnsi"/>
                <w:i/>
                <w:szCs w:val="20"/>
              </w:rPr>
              <w:t xml:space="preserve"> &amp; HIV</w:t>
            </w:r>
            <w:r w:rsidRPr="00894779">
              <w:rPr>
                <w:rFonts w:asciiTheme="minorHAnsi" w:eastAsia="Times New Roman" w:hAnsiTheme="minorHAnsi" w:cstheme="minorHAnsi"/>
                <w:i/>
                <w:szCs w:val="20"/>
              </w:rPr>
              <w:t>)</w:t>
            </w:r>
          </w:p>
        </w:tc>
        <w:tc>
          <w:tcPr>
            <w:tcW w:w="1707" w:type="pct"/>
          </w:tcPr>
          <w:p w:rsidR="00A22A8D" w:rsidRPr="00894779" w:rsidRDefault="00C6565D">
            <w:pPr>
              <w:pStyle w:val="ListParagraph"/>
              <w:numPr>
                <w:ilvl w:val="0"/>
                <w:numId w:val="35"/>
              </w:numPr>
              <w:spacing w:after="200" w:line="276" w:lineRule="auto"/>
              <w:contextualSpacing/>
              <w:rPr>
                <w:rFonts w:asciiTheme="minorHAnsi" w:eastAsia="Calibri" w:hAnsiTheme="minorHAnsi" w:cstheme="minorHAnsi"/>
                <w:sz w:val="20"/>
                <w:szCs w:val="20"/>
                <w:lang w:eastAsia="en-US"/>
              </w:rPr>
            </w:pPr>
            <w:r w:rsidRPr="00894779">
              <w:rPr>
                <w:rFonts w:asciiTheme="minorHAnsi" w:eastAsia="Calibri" w:hAnsiTheme="minorHAnsi" w:cstheme="minorHAnsi"/>
                <w:sz w:val="20"/>
                <w:szCs w:val="20"/>
                <w:lang w:eastAsia="en-US"/>
              </w:rPr>
              <w:t xml:space="preserve">Australia to significantly increase its national investments in TB in </w:t>
            </w:r>
            <w:r w:rsidR="004B64CE" w:rsidRPr="00894779">
              <w:rPr>
                <w:rFonts w:asciiTheme="minorHAnsi" w:eastAsia="Calibri" w:hAnsiTheme="minorHAnsi" w:cstheme="minorHAnsi"/>
                <w:sz w:val="20"/>
                <w:szCs w:val="20"/>
                <w:lang w:eastAsia="en-US"/>
              </w:rPr>
              <w:t xml:space="preserve">line with </w:t>
            </w:r>
            <w:r w:rsidRPr="00894779">
              <w:rPr>
                <w:rFonts w:asciiTheme="minorHAnsi" w:eastAsia="Calibri" w:hAnsiTheme="minorHAnsi" w:cstheme="minorHAnsi"/>
                <w:sz w:val="20"/>
                <w:szCs w:val="20"/>
                <w:lang w:eastAsia="en-US"/>
              </w:rPr>
              <w:t>PNG</w:t>
            </w:r>
            <w:r w:rsidR="004B64CE" w:rsidRPr="00894779">
              <w:rPr>
                <w:rFonts w:asciiTheme="minorHAnsi" w:eastAsia="Calibri" w:hAnsiTheme="minorHAnsi" w:cstheme="minorHAnsi"/>
                <w:sz w:val="20"/>
                <w:szCs w:val="20"/>
                <w:lang w:eastAsia="en-US"/>
              </w:rPr>
              <w:t xml:space="preserve"> Government</w:t>
            </w:r>
            <w:r w:rsidR="00CA0E6D">
              <w:rPr>
                <w:rFonts w:asciiTheme="minorHAnsi" w:eastAsia="Calibri" w:hAnsiTheme="minorHAnsi" w:cstheme="minorHAnsi"/>
                <w:sz w:val="20"/>
                <w:szCs w:val="20"/>
                <w:lang w:eastAsia="en-US"/>
              </w:rPr>
              <w:t xml:space="preserve"> </w:t>
            </w:r>
            <w:r w:rsidRPr="00894779">
              <w:rPr>
                <w:rFonts w:asciiTheme="minorHAnsi" w:eastAsia="Calibri" w:hAnsiTheme="minorHAnsi" w:cstheme="minorHAnsi"/>
                <w:sz w:val="20"/>
                <w:szCs w:val="20"/>
                <w:lang w:eastAsia="en-US"/>
              </w:rPr>
              <w:t>implementation of a National TB Taskforce and increased resourcing and leadership</w:t>
            </w:r>
            <w:r w:rsidR="004B64CE" w:rsidRPr="00894779">
              <w:rPr>
                <w:rFonts w:asciiTheme="minorHAnsi" w:eastAsia="Calibri" w:hAnsiTheme="minorHAnsi" w:cstheme="minorHAnsi"/>
                <w:sz w:val="20"/>
                <w:szCs w:val="20"/>
                <w:lang w:eastAsia="en-US"/>
              </w:rPr>
              <w:t>.</w:t>
            </w:r>
            <w:r w:rsidR="00A22A8D" w:rsidRPr="00894779">
              <w:rPr>
                <w:rFonts w:asciiTheme="minorHAnsi" w:eastAsia="Calibri" w:hAnsiTheme="minorHAnsi" w:cstheme="minorHAnsi"/>
                <w:sz w:val="20"/>
                <w:szCs w:val="20"/>
                <w:lang w:eastAsia="en-US"/>
              </w:rPr>
              <w:t xml:space="preserve"> </w:t>
            </w:r>
          </w:p>
          <w:p w:rsidR="00A22A8D" w:rsidRPr="00894779" w:rsidRDefault="00A22A8D">
            <w:pPr>
              <w:pStyle w:val="ListParagraph"/>
              <w:numPr>
                <w:ilvl w:val="0"/>
                <w:numId w:val="35"/>
              </w:numPr>
              <w:spacing w:after="200" w:line="276" w:lineRule="auto"/>
              <w:contextualSpacing/>
              <w:rPr>
                <w:rFonts w:asciiTheme="minorHAnsi" w:eastAsia="Calibri" w:hAnsiTheme="minorHAnsi" w:cstheme="minorHAnsi"/>
                <w:sz w:val="20"/>
                <w:szCs w:val="20"/>
                <w:lang w:eastAsia="en-US"/>
              </w:rPr>
            </w:pPr>
            <w:r w:rsidRPr="00894779">
              <w:rPr>
                <w:rFonts w:asciiTheme="minorHAnsi" w:eastAsia="Calibri" w:hAnsiTheme="minorHAnsi" w:cstheme="minorHAnsi"/>
                <w:sz w:val="20"/>
                <w:szCs w:val="20"/>
                <w:lang w:eastAsia="en-US"/>
              </w:rPr>
              <w:t>Australian funded NGOs have 6,000 people on ART and 130,000 tested for HIV, with PNG Government to take on funding responsibility for Anglicare and Catholic HIV/AIDS Services .</w:t>
            </w:r>
          </w:p>
        </w:tc>
        <w:tc>
          <w:tcPr>
            <w:tcW w:w="2104" w:type="pct"/>
          </w:tcPr>
          <w:p w:rsidR="00A22A8D" w:rsidRPr="00894779" w:rsidRDefault="00C6565D" w:rsidP="00FC6559">
            <w:pPr>
              <w:spacing w:after="200" w:line="276" w:lineRule="auto"/>
              <w:rPr>
                <w:rFonts w:asciiTheme="minorHAnsi" w:eastAsia="Calibri" w:hAnsiTheme="minorHAnsi" w:cstheme="minorHAnsi"/>
                <w:szCs w:val="20"/>
                <w:lang w:eastAsia="en-US"/>
              </w:rPr>
            </w:pPr>
            <w:r w:rsidRPr="00894779">
              <w:rPr>
                <w:rFonts w:asciiTheme="minorHAnsi" w:eastAsia="Calibri" w:hAnsiTheme="minorHAnsi" w:cstheme="minorHAnsi"/>
                <w:szCs w:val="20"/>
                <w:lang w:eastAsia="en-US"/>
              </w:rPr>
              <w:t>Recognises the rising TB epidemic in PNG and risks of drug resistant TB for both countries.</w:t>
            </w:r>
            <w:r w:rsidR="00A22A8D" w:rsidRPr="00894779">
              <w:rPr>
                <w:rFonts w:asciiTheme="minorHAnsi" w:eastAsia="Calibri" w:hAnsiTheme="minorHAnsi" w:cstheme="minorHAnsi"/>
                <w:szCs w:val="20"/>
                <w:lang w:eastAsia="en-US"/>
              </w:rPr>
              <w:t xml:space="preserve"> </w:t>
            </w:r>
          </w:p>
          <w:p w:rsidR="008D6917" w:rsidRPr="00894779" w:rsidRDefault="00A22A8D" w:rsidP="00FC6559">
            <w:pPr>
              <w:spacing w:after="200" w:line="276" w:lineRule="auto"/>
              <w:rPr>
                <w:rFonts w:asciiTheme="minorHAnsi" w:eastAsia="Calibri" w:hAnsiTheme="minorHAnsi" w:cstheme="minorHAnsi"/>
                <w:szCs w:val="20"/>
                <w:lang w:eastAsia="en-US"/>
              </w:rPr>
            </w:pPr>
            <w:r w:rsidRPr="00894779">
              <w:rPr>
                <w:rFonts w:asciiTheme="minorHAnsi" w:eastAsia="Calibri" w:hAnsiTheme="minorHAnsi" w:cstheme="minorHAnsi"/>
                <w:szCs w:val="20"/>
                <w:lang w:eastAsia="en-US"/>
              </w:rPr>
              <w:t>Reflects the importance of Australia’s role in the HIV response but also the requirement for the Government of PNG to increase its long term funding and commitment in this area.</w:t>
            </w:r>
          </w:p>
        </w:tc>
      </w:tr>
      <w:tr w:rsidR="008D6917" w:rsidRPr="006C3C05" w:rsidTr="00FC6559">
        <w:tc>
          <w:tcPr>
            <w:tcW w:w="1189" w:type="pct"/>
            <w:tcMar>
              <w:top w:w="57" w:type="dxa"/>
              <w:left w:w="108" w:type="dxa"/>
              <w:bottom w:w="57" w:type="dxa"/>
              <w:right w:w="108" w:type="dxa"/>
            </w:tcMar>
          </w:tcPr>
          <w:p w:rsidR="008D6917" w:rsidRPr="00894779" w:rsidRDefault="008D6917" w:rsidP="00FC6559">
            <w:pPr>
              <w:keepLines/>
              <w:spacing w:before="40" w:after="40" w:line="200" w:lineRule="atLeast"/>
              <w:rPr>
                <w:rFonts w:asciiTheme="minorHAnsi" w:eastAsia="Times New Roman" w:hAnsiTheme="minorHAnsi" w:cstheme="minorHAnsi"/>
                <w:i/>
                <w:iCs/>
                <w:szCs w:val="20"/>
              </w:rPr>
            </w:pPr>
            <w:r w:rsidRPr="00894779">
              <w:rPr>
                <w:rFonts w:asciiTheme="minorHAnsi" w:eastAsia="Times New Roman" w:hAnsiTheme="minorHAnsi" w:cstheme="minorHAnsi"/>
                <w:i/>
                <w:iCs/>
                <w:szCs w:val="20"/>
              </w:rPr>
              <w:t>Strengthen Health Systems (Health Workforce</w:t>
            </w:r>
            <w:r w:rsidR="00A22A8D" w:rsidRPr="00894779">
              <w:rPr>
                <w:rFonts w:asciiTheme="minorHAnsi" w:eastAsia="Times New Roman" w:hAnsiTheme="minorHAnsi" w:cstheme="minorHAnsi"/>
                <w:i/>
                <w:iCs/>
                <w:szCs w:val="20"/>
              </w:rPr>
              <w:t xml:space="preserve"> &amp; Infrastructure</w:t>
            </w:r>
            <w:r w:rsidRPr="00894779">
              <w:rPr>
                <w:rFonts w:asciiTheme="minorHAnsi" w:eastAsia="Times New Roman" w:hAnsiTheme="minorHAnsi" w:cstheme="minorHAnsi"/>
                <w:i/>
                <w:iCs/>
                <w:szCs w:val="20"/>
              </w:rPr>
              <w:t>)</w:t>
            </w:r>
          </w:p>
        </w:tc>
        <w:tc>
          <w:tcPr>
            <w:tcW w:w="1707" w:type="pct"/>
          </w:tcPr>
          <w:p w:rsidR="008D6917" w:rsidRPr="00894779" w:rsidRDefault="006D05EB" w:rsidP="008D6917">
            <w:pPr>
              <w:pStyle w:val="ListParagraph"/>
              <w:numPr>
                <w:ilvl w:val="0"/>
                <w:numId w:val="35"/>
              </w:numPr>
              <w:spacing w:after="200" w:line="276" w:lineRule="auto"/>
              <w:contextualSpacing/>
              <w:rPr>
                <w:rFonts w:asciiTheme="minorHAnsi" w:eastAsia="Calibri" w:hAnsiTheme="minorHAnsi" w:cstheme="minorHAnsi"/>
                <w:sz w:val="20"/>
                <w:szCs w:val="20"/>
                <w:lang w:eastAsia="en-US"/>
              </w:rPr>
            </w:pPr>
            <w:r w:rsidRPr="00894779">
              <w:rPr>
                <w:rFonts w:asciiTheme="minorHAnsi" w:eastAsia="Calibri" w:hAnsiTheme="minorHAnsi" w:cstheme="minorHAnsi"/>
                <w:sz w:val="20"/>
                <w:szCs w:val="20"/>
                <w:lang w:eastAsia="en-US"/>
              </w:rPr>
              <w:t>450 health workforce scholarships for nurses, mi</w:t>
            </w:r>
            <w:r w:rsidR="004B64CE" w:rsidRPr="00894779">
              <w:rPr>
                <w:rFonts w:asciiTheme="minorHAnsi" w:eastAsia="Calibri" w:hAnsiTheme="minorHAnsi" w:cstheme="minorHAnsi"/>
                <w:sz w:val="20"/>
                <w:szCs w:val="20"/>
                <w:lang w:eastAsia="en-US"/>
              </w:rPr>
              <w:t xml:space="preserve">dwives and CHWs, supported by </w:t>
            </w:r>
            <w:r w:rsidRPr="00894779">
              <w:rPr>
                <w:rFonts w:asciiTheme="minorHAnsi" w:eastAsia="Calibri" w:hAnsiTheme="minorHAnsi" w:cstheme="minorHAnsi"/>
                <w:sz w:val="20"/>
                <w:szCs w:val="20"/>
                <w:lang w:eastAsia="en-US"/>
              </w:rPr>
              <w:t>PNG</w:t>
            </w:r>
            <w:r w:rsidR="004B64CE" w:rsidRPr="00894779">
              <w:rPr>
                <w:rFonts w:asciiTheme="minorHAnsi" w:eastAsia="Calibri" w:hAnsiTheme="minorHAnsi" w:cstheme="minorHAnsi"/>
                <w:sz w:val="20"/>
                <w:szCs w:val="20"/>
                <w:lang w:eastAsia="en-US"/>
              </w:rPr>
              <w:t xml:space="preserve"> Government</w:t>
            </w:r>
            <w:r w:rsidRPr="00894779">
              <w:rPr>
                <w:rFonts w:asciiTheme="minorHAnsi" w:eastAsia="Calibri" w:hAnsiTheme="minorHAnsi" w:cstheme="minorHAnsi"/>
                <w:sz w:val="20"/>
                <w:szCs w:val="20"/>
                <w:lang w:eastAsia="en-US"/>
              </w:rPr>
              <w:t xml:space="preserve"> increasing funding for health worker training institutions and Christian Health Services</w:t>
            </w:r>
            <w:r w:rsidR="004B64CE" w:rsidRPr="00894779">
              <w:rPr>
                <w:rFonts w:asciiTheme="minorHAnsi" w:eastAsia="Calibri" w:hAnsiTheme="minorHAnsi" w:cstheme="minorHAnsi"/>
                <w:sz w:val="20"/>
                <w:szCs w:val="20"/>
                <w:lang w:eastAsia="en-US"/>
              </w:rPr>
              <w:t>.</w:t>
            </w:r>
          </w:p>
          <w:p w:rsidR="00A22A8D" w:rsidRPr="00894779" w:rsidRDefault="00A22A8D" w:rsidP="00A22A8D">
            <w:pPr>
              <w:pStyle w:val="ListParagraph"/>
              <w:numPr>
                <w:ilvl w:val="0"/>
                <w:numId w:val="35"/>
              </w:numPr>
              <w:spacing w:after="200" w:line="276" w:lineRule="auto"/>
              <w:contextualSpacing/>
              <w:rPr>
                <w:rFonts w:asciiTheme="minorHAnsi" w:eastAsia="Calibri" w:hAnsiTheme="minorHAnsi" w:cstheme="minorHAnsi"/>
                <w:sz w:val="20"/>
                <w:szCs w:val="20"/>
                <w:lang w:eastAsia="en-US"/>
              </w:rPr>
            </w:pPr>
            <w:r w:rsidRPr="00894779">
              <w:rPr>
                <w:rFonts w:asciiTheme="minorHAnsi" w:eastAsia="Calibri" w:hAnsiTheme="minorHAnsi" w:cstheme="minorHAnsi"/>
                <w:sz w:val="20"/>
                <w:szCs w:val="20"/>
                <w:lang w:eastAsia="en-US"/>
              </w:rPr>
              <w:t>Increased number of health facilities in priority provinces and disadvantaged districts, and health worker training institutions, refurbished on a kina-for-kina basis.</w:t>
            </w:r>
          </w:p>
          <w:p w:rsidR="00A22A8D" w:rsidRPr="00894779" w:rsidRDefault="00A22A8D" w:rsidP="00A22A8D">
            <w:pPr>
              <w:pStyle w:val="ListParagraph"/>
              <w:numPr>
                <w:ilvl w:val="0"/>
                <w:numId w:val="35"/>
              </w:numPr>
              <w:spacing w:after="200" w:line="276" w:lineRule="auto"/>
              <w:contextualSpacing/>
              <w:rPr>
                <w:rFonts w:asciiTheme="minorHAnsi" w:eastAsia="Calibri" w:hAnsiTheme="minorHAnsi" w:cstheme="minorHAnsi"/>
                <w:sz w:val="20"/>
                <w:szCs w:val="20"/>
                <w:lang w:eastAsia="en-US"/>
              </w:rPr>
            </w:pPr>
            <w:r w:rsidRPr="00894779">
              <w:rPr>
                <w:rFonts w:asciiTheme="minorHAnsi" w:eastAsia="Calibri" w:hAnsiTheme="minorHAnsi" w:cstheme="minorHAnsi"/>
                <w:sz w:val="20"/>
                <w:szCs w:val="20"/>
                <w:lang w:eastAsia="en-US"/>
              </w:rPr>
              <w:t>Master planning phase of ANGAU Hospital completed and approved by DFAT and PNG Government stakeholders by mid-2015.</w:t>
            </w:r>
          </w:p>
        </w:tc>
        <w:tc>
          <w:tcPr>
            <w:tcW w:w="2104" w:type="pct"/>
          </w:tcPr>
          <w:p w:rsidR="008D6917" w:rsidRPr="00894779" w:rsidRDefault="006D05EB" w:rsidP="00FC6559">
            <w:pPr>
              <w:spacing w:after="200" w:line="276" w:lineRule="auto"/>
              <w:contextualSpacing/>
              <w:rPr>
                <w:rFonts w:asciiTheme="minorHAnsi" w:eastAsia="Calibri" w:hAnsiTheme="minorHAnsi" w:cstheme="minorHAnsi"/>
                <w:szCs w:val="20"/>
                <w:lang w:eastAsia="en-US"/>
              </w:rPr>
            </w:pPr>
            <w:r w:rsidRPr="00894779">
              <w:rPr>
                <w:rFonts w:asciiTheme="minorHAnsi" w:eastAsia="Calibri" w:hAnsiTheme="minorHAnsi" w:cstheme="minorHAnsi"/>
                <w:szCs w:val="20"/>
                <w:lang w:eastAsia="en-US"/>
              </w:rPr>
              <w:t>Reflects concerns with existing quality of health worker training institutions and the need to expand health worker training places to address an insufficient and ageing health workforce.</w:t>
            </w:r>
          </w:p>
          <w:p w:rsidR="00A22A8D" w:rsidRPr="00894779" w:rsidRDefault="00A22A8D" w:rsidP="00FC6559">
            <w:pPr>
              <w:spacing w:after="200" w:line="276" w:lineRule="auto"/>
              <w:contextualSpacing/>
              <w:rPr>
                <w:rFonts w:asciiTheme="minorHAnsi" w:eastAsia="Calibri" w:hAnsiTheme="minorHAnsi" w:cstheme="minorHAnsi"/>
                <w:szCs w:val="20"/>
                <w:lang w:eastAsia="en-US"/>
              </w:rPr>
            </w:pPr>
            <w:r w:rsidRPr="00894779">
              <w:rPr>
                <w:rFonts w:asciiTheme="minorHAnsi" w:eastAsia="Calibri" w:hAnsiTheme="minorHAnsi" w:cstheme="minorHAnsi"/>
                <w:szCs w:val="20"/>
                <w:lang w:eastAsia="en-US"/>
              </w:rPr>
              <w:t xml:space="preserve">Acknowledges the need to continue to progress with priority health infrastructure planning and upgrades, and the PNG Australia commitment to refurbish ANGAU Hospital under the Joint Understanding commitments.  </w:t>
            </w:r>
          </w:p>
        </w:tc>
      </w:tr>
      <w:tr w:rsidR="008D6917" w:rsidRPr="006C3C05" w:rsidTr="00FC6559">
        <w:tc>
          <w:tcPr>
            <w:tcW w:w="1189" w:type="pct"/>
            <w:tcMar>
              <w:top w:w="57" w:type="dxa"/>
              <w:left w:w="108" w:type="dxa"/>
              <w:bottom w:w="57" w:type="dxa"/>
              <w:right w:w="108" w:type="dxa"/>
            </w:tcMar>
          </w:tcPr>
          <w:p w:rsidR="008D6917" w:rsidRPr="00894779" w:rsidRDefault="008D6917" w:rsidP="00FC6559">
            <w:pPr>
              <w:keepLines/>
              <w:spacing w:before="40" w:after="40" w:line="200" w:lineRule="atLeast"/>
              <w:rPr>
                <w:rFonts w:asciiTheme="minorHAnsi" w:eastAsia="Times New Roman" w:hAnsiTheme="minorHAnsi" w:cstheme="minorHAnsi"/>
                <w:i/>
                <w:iCs/>
                <w:szCs w:val="20"/>
              </w:rPr>
            </w:pPr>
            <w:r w:rsidRPr="00894779">
              <w:rPr>
                <w:rFonts w:asciiTheme="minorHAnsi" w:eastAsia="Times New Roman" w:hAnsiTheme="minorHAnsi" w:cstheme="minorHAnsi"/>
                <w:i/>
                <w:iCs/>
                <w:szCs w:val="20"/>
              </w:rPr>
              <w:t xml:space="preserve">Strengthen Partnerships and Coordination with </w:t>
            </w:r>
            <w:r w:rsidRPr="00894779">
              <w:rPr>
                <w:rFonts w:asciiTheme="minorHAnsi" w:eastAsia="Times New Roman" w:hAnsiTheme="minorHAnsi" w:cstheme="minorHAnsi"/>
                <w:i/>
                <w:iCs/>
                <w:szCs w:val="20"/>
              </w:rPr>
              <w:lastRenderedPageBreak/>
              <w:t>Partners</w:t>
            </w:r>
          </w:p>
        </w:tc>
        <w:tc>
          <w:tcPr>
            <w:tcW w:w="1707" w:type="pct"/>
          </w:tcPr>
          <w:p w:rsidR="008D6917" w:rsidRPr="00894779" w:rsidRDefault="006D05EB" w:rsidP="008D6917">
            <w:pPr>
              <w:pStyle w:val="ListParagraph"/>
              <w:numPr>
                <w:ilvl w:val="0"/>
                <w:numId w:val="35"/>
              </w:numPr>
              <w:spacing w:after="200" w:line="276" w:lineRule="auto"/>
              <w:contextualSpacing/>
              <w:rPr>
                <w:rFonts w:asciiTheme="minorHAnsi" w:eastAsia="Calibri" w:hAnsiTheme="minorHAnsi" w:cstheme="minorHAnsi"/>
                <w:sz w:val="20"/>
                <w:szCs w:val="20"/>
                <w:lang w:eastAsia="en-US"/>
              </w:rPr>
            </w:pPr>
            <w:r w:rsidRPr="00894779">
              <w:rPr>
                <w:rFonts w:asciiTheme="minorHAnsi" w:eastAsia="Calibri" w:hAnsiTheme="minorHAnsi" w:cstheme="minorHAnsi"/>
                <w:sz w:val="20"/>
                <w:szCs w:val="20"/>
                <w:lang w:eastAsia="en-US"/>
              </w:rPr>
              <w:lastRenderedPageBreak/>
              <w:t>Effective g</w:t>
            </w:r>
            <w:r w:rsidR="004B64CE" w:rsidRPr="00894779">
              <w:rPr>
                <w:rFonts w:asciiTheme="minorHAnsi" w:eastAsia="Calibri" w:hAnsiTheme="minorHAnsi" w:cstheme="minorHAnsi"/>
                <w:sz w:val="20"/>
                <w:szCs w:val="20"/>
                <w:lang w:eastAsia="en-US"/>
              </w:rPr>
              <w:t xml:space="preserve">overnance in three PHAs, with </w:t>
            </w:r>
            <w:r w:rsidRPr="00894779">
              <w:rPr>
                <w:rFonts w:asciiTheme="minorHAnsi" w:eastAsia="Calibri" w:hAnsiTheme="minorHAnsi" w:cstheme="minorHAnsi"/>
                <w:sz w:val="20"/>
                <w:szCs w:val="20"/>
                <w:lang w:eastAsia="en-US"/>
              </w:rPr>
              <w:t>PNG</w:t>
            </w:r>
            <w:r w:rsidR="004B64CE" w:rsidRPr="00894779">
              <w:rPr>
                <w:rFonts w:asciiTheme="minorHAnsi" w:eastAsia="Calibri" w:hAnsiTheme="minorHAnsi" w:cstheme="minorHAnsi"/>
                <w:sz w:val="20"/>
                <w:szCs w:val="20"/>
                <w:lang w:eastAsia="en-US"/>
              </w:rPr>
              <w:t xml:space="preserve"> Government</w:t>
            </w:r>
            <w:r w:rsidRPr="00894779">
              <w:rPr>
                <w:rFonts w:asciiTheme="minorHAnsi" w:eastAsia="Calibri" w:hAnsiTheme="minorHAnsi" w:cstheme="minorHAnsi"/>
                <w:sz w:val="20"/>
                <w:szCs w:val="20"/>
                <w:lang w:eastAsia="en-US"/>
              </w:rPr>
              <w:t xml:space="preserve"> </w:t>
            </w:r>
            <w:r w:rsidRPr="00894779">
              <w:rPr>
                <w:rFonts w:asciiTheme="minorHAnsi" w:eastAsia="Calibri" w:hAnsiTheme="minorHAnsi" w:cstheme="minorHAnsi"/>
                <w:sz w:val="20"/>
                <w:szCs w:val="20"/>
                <w:lang w:eastAsia="en-US"/>
              </w:rPr>
              <w:lastRenderedPageBreak/>
              <w:t>resolving central agency bottlenecks in the areas of legal, human resources and financial management</w:t>
            </w:r>
            <w:r w:rsidR="004B64CE" w:rsidRPr="00894779">
              <w:rPr>
                <w:rFonts w:asciiTheme="minorHAnsi" w:eastAsia="Calibri" w:hAnsiTheme="minorHAnsi" w:cstheme="minorHAnsi"/>
                <w:sz w:val="20"/>
                <w:szCs w:val="20"/>
                <w:lang w:eastAsia="en-US"/>
              </w:rPr>
              <w:t>.</w:t>
            </w:r>
          </w:p>
        </w:tc>
        <w:tc>
          <w:tcPr>
            <w:tcW w:w="2104" w:type="pct"/>
          </w:tcPr>
          <w:p w:rsidR="008D6917" w:rsidRPr="00894779" w:rsidRDefault="006D05EB" w:rsidP="00FC6559">
            <w:pPr>
              <w:spacing w:after="200" w:line="276" w:lineRule="auto"/>
              <w:contextualSpacing/>
              <w:rPr>
                <w:rFonts w:asciiTheme="minorHAnsi" w:eastAsia="Calibri" w:hAnsiTheme="minorHAnsi" w:cstheme="minorHAnsi"/>
                <w:szCs w:val="20"/>
                <w:lang w:eastAsia="en-US"/>
              </w:rPr>
            </w:pPr>
            <w:r w:rsidRPr="00894779">
              <w:rPr>
                <w:rFonts w:asciiTheme="minorHAnsi" w:eastAsia="Calibri" w:hAnsiTheme="minorHAnsi" w:cstheme="minorHAnsi"/>
                <w:szCs w:val="20"/>
                <w:lang w:eastAsia="en-US"/>
              </w:rPr>
              <w:lastRenderedPageBreak/>
              <w:t>PHA reform is one of the most critical health reforms in PNG and requires effective multi-</w:t>
            </w:r>
            <w:r w:rsidRPr="00894779">
              <w:rPr>
                <w:rFonts w:asciiTheme="minorHAnsi" w:eastAsia="Calibri" w:hAnsiTheme="minorHAnsi" w:cstheme="minorHAnsi"/>
                <w:szCs w:val="20"/>
                <w:lang w:eastAsia="en-US"/>
              </w:rPr>
              <w:lastRenderedPageBreak/>
              <w:t>sectoral commitment to be effective or risks undermining existing health system.</w:t>
            </w:r>
          </w:p>
        </w:tc>
      </w:tr>
      <w:tr w:rsidR="008D6917" w:rsidRPr="006C3C05" w:rsidTr="008D6917">
        <w:tc>
          <w:tcPr>
            <w:tcW w:w="5000" w:type="pct"/>
            <w:gridSpan w:val="3"/>
            <w:tcMar>
              <w:top w:w="57" w:type="dxa"/>
              <w:left w:w="108" w:type="dxa"/>
              <w:bottom w:w="57" w:type="dxa"/>
              <w:right w:w="108" w:type="dxa"/>
            </w:tcMar>
          </w:tcPr>
          <w:p w:rsidR="008D6917" w:rsidRPr="00894779" w:rsidRDefault="008D6917" w:rsidP="00FC6559">
            <w:pPr>
              <w:spacing w:after="200" w:line="276" w:lineRule="auto"/>
              <w:contextualSpacing/>
              <w:rPr>
                <w:rFonts w:asciiTheme="minorHAnsi" w:eastAsia="Calibri" w:hAnsiTheme="minorHAnsi" w:cstheme="minorHAnsi"/>
                <w:szCs w:val="20"/>
                <w:lang w:eastAsia="en-US"/>
              </w:rPr>
            </w:pPr>
            <w:r w:rsidRPr="00894779">
              <w:rPr>
                <w:rFonts w:asciiTheme="minorHAnsi" w:hAnsiTheme="minorHAnsi" w:cstheme="minorHAnsi"/>
                <w:b/>
                <w:color w:val="C00000"/>
                <w:szCs w:val="20"/>
              </w:rPr>
              <w:lastRenderedPageBreak/>
              <w:t>Objective 2 – Improved access to quality education at all levels – by 2015</w:t>
            </w:r>
          </w:p>
        </w:tc>
      </w:tr>
      <w:tr w:rsidR="008D6917" w:rsidRPr="006C3C05" w:rsidTr="00FC6559">
        <w:tc>
          <w:tcPr>
            <w:tcW w:w="1189" w:type="pct"/>
            <w:tcMar>
              <w:top w:w="57" w:type="dxa"/>
              <w:left w:w="108" w:type="dxa"/>
              <w:bottom w:w="57" w:type="dxa"/>
              <w:right w:w="108" w:type="dxa"/>
            </w:tcMar>
          </w:tcPr>
          <w:p w:rsidR="008D6917" w:rsidRPr="00894779" w:rsidRDefault="008D6917" w:rsidP="00FC6559">
            <w:pPr>
              <w:spacing w:after="200" w:line="276" w:lineRule="auto"/>
              <w:contextualSpacing/>
              <w:rPr>
                <w:rFonts w:asciiTheme="minorHAnsi" w:eastAsia="Times New Roman" w:hAnsiTheme="minorHAnsi" w:cstheme="minorHAnsi"/>
                <w:i/>
                <w:iCs/>
                <w:szCs w:val="20"/>
              </w:rPr>
            </w:pPr>
            <w:r w:rsidRPr="00894779">
              <w:rPr>
                <w:rFonts w:asciiTheme="minorHAnsi" w:eastAsia="Times New Roman" w:hAnsiTheme="minorHAnsi" w:cstheme="minorHAnsi"/>
                <w:i/>
                <w:iCs/>
                <w:szCs w:val="20"/>
              </w:rPr>
              <w:t>Improved Access and Quality - Basic Education</w:t>
            </w:r>
          </w:p>
          <w:p w:rsidR="008D6917" w:rsidRPr="00894779" w:rsidRDefault="008D6917" w:rsidP="00FC6559">
            <w:pPr>
              <w:spacing w:after="200" w:line="276" w:lineRule="auto"/>
              <w:contextualSpacing/>
              <w:rPr>
                <w:rFonts w:asciiTheme="minorHAnsi" w:eastAsia="Times New Roman" w:hAnsiTheme="minorHAnsi" w:cstheme="minorHAnsi"/>
                <w:i/>
                <w:iCs/>
                <w:szCs w:val="20"/>
              </w:rPr>
            </w:pPr>
          </w:p>
          <w:p w:rsidR="008D6917" w:rsidRPr="00894779" w:rsidRDefault="008D6917" w:rsidP="00FC6559">
            <w:pPr>
              <w:spacing w:after="200" w:line="276" w:lineRule="auto"/>
              <w:contextualSpacing/>
              <w:rPr>
                <w:rFonts w:asciiTheme="minorHAnsi" w:eastAsia="Times New Roman" w:hAnsiTheme="minorHAnsi" w:cstheme="minorHAnsi"/>
                <w:i/>
                <w:iCs/>
                <w:szCs w:val="20"/>
              </w:rPr>
            </w:pPr>
          </w:p>
        </w:tc>
        <w:tc>
          <w:tcPr>
            <w:tcW w:w="1707" w:type="pct"/>
          </w:tcPr>
          <w:p w:rsidR="008D6917" w:rsidRPr="00894779" w:rsidRDefault="0013743C" w:rsidP="008D6917">
            <w:pPr>
              <w:pStyle w:val="ListParagraph"/>
              <w:numPr>
                <w:ilvl w:val="0"/>
                <w:numId w:val="34"/>
              </w:numPr>
              <w:spacing w:after="200" w:line="276" w:lineRule="auto"/>
              <w:contextualSpacing/>
              <w:rPr>
                <w:rFonts w:asciiTheme="minorHAnsi" w:hAnsiTheme="minorHAnsi" w:cstheme="minorHAnsi"/>
                <w:color w:val="000000"/>
                <w:sz w:val="20"/>
                <w:szCs w:val="20"/>
              </w:rPr>
            </w:pPr>
            <w:r w:rsidRPr="00894779">
              <w:rPr>
                <w:rFonts w:asciiTheme="minorHAnsi" w:hAnsiTheme="minorHAnsi" w:cstheme="minorHAnsi"/>
                <w:color w:val="000000"/>
                <w:sz w:val="20"/>
                <w:szCs w:val="20"/>
              </w:rPr>
              <w:t xml:space="preserve">Increased access: </w:t>
            </w:r>
            <w:r w:rsidR="008D6917" w:rsidRPr="00894779">
              <w:rPr>
                <w:rFonts w:asciiTheme="minorHAnsi" w:hAnsiTheme="minorHAnsi" w:cstheme="minorHAnsi"/>
                <w:color w:val="000000"/>
                <w:sz w:val="20"/>
                <w:szCs w:val="20"/>
              </w:rPr>
              <w:t>80 per cent net enrolment rate in basic education by 2015</w:t>
            </w:r>
            <w:r w:rsidR="004B64CE" w:rsidRPr="00894779">
              <w:rPr>
                <w:rFonts w:asciiTheme="minorHAnsi" w:hAnsiTheme="minorHAnsi" w:cstheme="minorHAnsi"/>
                <w:color w:val="000000"/>
                <w:sz w:val="20"/>
                <w:szCs w:val="20"/>
              </w:rPr>
              <w:t>.</w:t>
            </w:r>
          </w:p>
          <w:p w:rsidR="00683656" w:rsidRPr="00894779" w:rsidRDefault="0013743C" w:rsidP="0013743C">
            <w:pPr>
              <w:pStyle w:val="ListParagraph"/>
              <w:numPr>
                <w:ilvl w:val="0"/>
                <w:numId w:val="34"/>
              </w:numPr>
              <w:spacing w:after="200" w:line="276" w:lineRule="auto"/>
              <w:contextualSpacing/>
              <w:rPr>
                <w:rFonts w:asciiTheme="minorHAnsi" w:hAnsiTheme="minorHAnsi" w:cstheme="minorHAnsi"/>
                <w:color w:val="000000"/>
                <w:sz w:val="20"/>
                <w:szCs w:val="20"/>
              </w:rPr>
            </w:pPr>
            <w:r w:rsidRPr="00894779">
              <w:rPr>
                <w:rFonts w:asciiTheme="minorHAnsi" w:hAnsiTheme="minorHAnsi" w:cstheme="minorHAnsi"/>
                <w:color w:val="000000"/>
                <w:sz w:val="20"/>
                <w:szCs w:val="20"/>
              </w:rPr>
              <w:t>Improved quality: Participation in an internationally recognised quality assessment process by 2016 and the development of a joint action plan, with all development partners invited to participate in the implementation of its recommendations to improve literacy, numeracy, and management in education, and the development of a standardised examinations program for assessing learning in PNG.</w:t>
            </w:r>
          </w:p>
          <w:p w:rsidR="0013743C" w:rsidRPr="00894779" w:rsidRDefault="0013743C" w:rsidP="0013743C">
            <w:pPr>
              <w:pStyle w:val="ListParagraph"/>
              <w:numPr>
                <w:ilvl w:val="0"/>
                <w:numId w:val="34"/>
              </w:numPr>
              <w:spacing w:after="200" w:line="276" w:lineRule="auto"/>
              <w:contextualSpacing/>
              <w:rPr>
                <w:rFonts w:asciiTheme="minorHAnsi" w:hAnsiTheme="minorHAnsi" w:cstheme="minorHAnsi"/>
                <w:color w:val="000000"/>
                <w:sz w:val="20"/>
                <w:szCs w:val="20"/>
              </w:rPr>
            </w:pPr>
            <w:r w:rsidRPr="00894779">
              <w:rPr>
                <w:rFonts w:asciiTheme="minorHAnsi" w:hAnsiTheme="minorHAnsi" w:cstheme="minorHAnsi"/>
                <w:color w:val="000000"/>
                <w:sz w:val="20"/>
                <w:szCs w:val="20"/>
              </w:rPr>
              <w:t>Increased access for girls: Five percentage points improvement in basic education gender parity index (from 0.81 in 2010 to 0.86 in 2015).</w:t>
            </w:r>
          </w:p>
          <w:p w:rsidR="0013743C" w:rsidRPr="00894779" w:rsidRDefault="0013743C" w:rsidP="0013743C">
            <w:pPr>
              <w:pStyle w:val="ListParagraph"/>
              <w:numPr>
                <w:ilvl w:val="0"/>
                <w:numId w:val="34"/>
              </w:numPr>
              <w:spacing w:after="200" w:line="276" w:lineRule="auto"/>
              <w:contextualSpacing/>
              <w:rPr>
                <w:rFonts w:asciiTheme="minorHAnsi" w:hAnsiTheme="minorHAnsi" w:cstheme="minorHAnsi"/>
                <w:color w:val="000000"/>
                <w:sz w:val="20"/>
                <w:szCs w:val="20"/>
              </w:rPr>
            </w:pPr>
            <w:r w:rsidRPr="00894779">
              <w:rPr>
                <w:rFonts w:asciiTheme="minorHAnsi" w:hAnsiTheme="minorHAnsi" w:cstheme="minorHAnsi"/>
                <w:color w:val="000000"/>
                <w:sz w:val="20"/>
                <w:szCs w:val="20"/>
              </w:rPr>
              <w:t>Five percentage points improvement in secondary education parity index (from 0.74 in 2010, to 0.79 in 2015)</w:t>
            </w:r>
          </w:p>
        </w:tc>
        <w:tc>
          <w:tcPr>
            <w:tcW w:w="2104" w:type="pct"/>
          </w:tcPr>
          <w:p w:rsidR="008D6917" w:rsidRPr="00894779" w:rsidRDefault="008D6917" w:rsidP="00762CAD">
            <w:pPr>
              <w:spacing w:after="200" w:line="276" w:lineRule="auto"/>
              <w:contextualSpacing/>
              <w:rPr>
                <w:rFonts w:asciiTheme="minorHAnsi" w:eastAsia="Calibri" w:hAnsiTheme="minorHAnsi" w:cstheme="minorHAnsi"/>
                <w:szCs w:val="20"/>
                <w:lang w:eastAsia="en-US"/>
              </w:rPr>
            </w:pPr>
            <w:r w:rsidRPr="00894779">
              <w:rPr>
                <w:rFonts w:asciiTheme="minorHAnsi" w:eastAsia="Calibri" w:hAnsiTheme="minorHAnsi" w:cstheme="minorHAnsi"/>
                <w:szCs w:val="20"/>
                <w:lang w:eastAsia="en-US"/>
              </w:rPr>
              <w:t xml:space="preserve">Contributes to PNG’s policy of tuition free education for all students to year </w:t>
            </w:r>
            <w:r w:rsidR="00762CAD" w:rsidRPr="00894779">
              <w:rPr>
                <w:rFonts w:asciiTheme="minorHAnsi" w:eastAsia="Calibri" w:hAnsiTheme="minorHAnsi" w:cstheme="minorHAnsi"/>
                <w:szCs w:val="20"/>
                <w:lang w:eastAsia="en-US"/>
              </w:rPr>
              <w:t>12</w:t>
            </w:r>
            <w:r w:rsidRPr="00894779">
              <w:rPr>
                <w:rFonts w:asciiTheme="minorHAnsi" w:eastAsia="Calibri" w:hAnsiTheme="minorHAnsi" w:cstheme="minorHAnsi"/>
                <w:szCs w:val="20"/>
                <w:lang w:eastAsia="en-US"/>
              </w:rPr>
              <w:t xml:space="preserve"> and reflects shared PNG-Australia priority to increasing access to education for girls.</w:t>
            </w:r>
          </w:p>
        </w:tc>
      </w:tr>
      <w:tr w:rsidR="008D6917" w:rsidRPr="006C3C05" w:rsidTr="008D6917">
        <w:trPr>
          <w:trHeight w:val="4231"/>
        </w:trPr>
        <w:tc>
          <w:tcPr>
            <w:tcW w:w="1189" w:type="pct"/>
            <w:tcMar>
              <w:top w:w="57" w:type="dxa"/>
              <w:left w:w="108" w:type="dxa"/>
              <w:bottom w:w="57" w:type="dxa"/>
              <w:right w:w="108" w:type="dxa"/>
            </w:tcMar>
          </w:tcPr>
          <w:p w:rsidR="008D6917" w:rsidRPr="00894779" w:rsidRDefault="008D6917" w:rsidP="00FC6559">
            <w:pPr>
              <w:spacing w:after="200" w:line="276" w:lineRule="auto"/>
              <w:contextualSpacing/>
              <w:rPr>
                <w:rFonts w:asciiTheme="minorHAnsi" w:hAnsiTheme="minorHAnsi" w:cstheme="minorHAnsi"/>
                <w:i/>
                <w:color w:val="000000"/>
                <w:szCs w:val="20"/>
              </w:rPr>
            </w:pPr>
            <w:r w:rsidRPr="00894779">
              <w:rPr>
                <w:rFonts w:asciiTheme="minorHAnsi" w:hAnsiTheme="minorHAnsi" w:cstheme="minorHAnsi"/>
                <w:i/>
                <w:color w:val="000000"/>
                <w:szCs w:val="20"/>
              </w:rPr>
              <w:lastRenderedPageBreak/>
              <w:t>Improved Access and Quality - Technical and Higher Education</w:t>
            </w:r>
          </w:p>
        </w:tc>
        <w:tc>
          <w:tcPr>
            <w:tcW w:w="1707" w:type="pct"/>
          </w:tcPr>
          <w:p w:rsidR="008D6917" w:rsidRPr="00894779" w:rsidRDefault="0013743C" w:rsidP="008D6917">
            <w:pPr>
              <w:pStyle w:val="ListParagraph"/>
              <w:numPr>
                <w:ilvl w:val="0"/>
                <w:numId w:val="34"/>
              </w:numPr>
              <w:spacing w:after="200" w:line="276" w:lineRule="auto"/>
              <w:contextualSpacing/>
              <w:rPr>
                <w:rFonts w:asciiTheme="minorHAnsi" w:hAnsiTheme="minorHAnsi" w:cstheme="minorHAnsi"/>
                <w:color w:val="000000"/>
                <w:sz w:val="20"/>
                <w:szCs w:val="20"/>
              </w:rPr>
            </w:pPr>
            <w:r w:rsidRPr="00894779">
              <w:rPr>
                <w:rFonts w:asciiTheme="minorHAnsi" w:hAnsiTheme="minorHAnsi" w:cstheme="minorHAnsi"/>
                <w:color w:val="000000"/>
                <w:sz w:val="20"/>
                <w:szCs w:val="20"/>
              </w:rPr>
              <w:t xml:space="preserve">Increased access: </w:t>
            </w:r>
            <w:r w:rsidR="008D6917" w:rsidRPr="00894779">
              <w:rPr>
                <w:rFonts w:asciiTheme="minorHAnsi" w:hAnsiTheme="minorHAnsi" w:cstheme="minorHAnsi"/>
                <w:color w:val="000000"/>
                <w:sz w:val="20"/>
                <w:szCs w:val="20"/>
              </w:rPr>
              <w:t>52,000 graduates from higher education institutions between 2011 and 2015</w:t>
            </w:r>
            <w:r w:rsidR="004B64CE" w:rsidRPr="00894779">
              <w:rPr>
                <w:rFonts w:asciiTheme="minorHAnsi" w:hAnsiTheme="minorHAnsi" w:cstheme="minorHAnsi"/>
                <w:color w:val="000000"/>
                <w:sz w:val="20"/>
                <w:szCs w:val="20"/>
              </w:rPr>
              <w:t>.</w:t>
            </w:r>
          </w:p>
          <w:p w:rsidR="008D6917" w:rsidRPr="00894779" w:rsidRDefault="0013743C" w:rsidP="0013743C">
            <w:pPr>
              <w:pStyle w:val="ListParagraph"/>
              <w:numPr>
                <w:ilvl w:val="0"/>
                <w:numId w:val="34"/>
              </w:numPr>
              <w:spacing w:after="200" w:line="276" w:lineRule="auto"/>
              <w:contextualSpacing/>
              <w:rPr>
                <w:rFonts w:asciiTheme="minorHAnsi" w:hAnsiTheme="minorHAnsi" w:cstheme="minorHAnsi"/>
                <w:color w:val="000000"/>
                <w:szCs w:val="20"/>
              </w:rPr>
            </w:pPr>
            <w:r w:rsidRPr="00894779">
              <w:rPr>
                <w:rFonts w:asciiTheme="minorHAnsi" w:hAnsiTheme="minorHAnsi" w:cstheme="minorHAnsi"/>
                <w:color w:val="000000"/>
                <w:sz w:val="20"/>
                <w:szCs w:val="20"/>
              </w:rPr>
              <w:t>Improved quality: a more effective quality assessment framework used for institutional quality assessments of all tertiary education institutions by 2015 and a commitment to improving quality in universities and technical institutions through PNG Government budget allocations, allowing activation of an adjusted kina-for-kina mechanism.</w:t>
            </w:r>
          </w:p>
          <w:p w:rsidR="006A4D34" w:rsidRPr="00894779" w:rsidRDefault="0013743C" w:rsidP="00AF7EAB">
            <w:pPr>
              <w:pStyle w:val="ListParagraph"/>
              <w:numPr>
                <w:ilvl w:val="0"/>
                <w:numId w:val="34"/>
              </w:numPr>
              <w:spacing w:after="200" w:line="276" w:lineRule="auto"/>
              <w:contextualSpacing/>
              <w:rPr>
                <w:rFonts w:asciiTheme="minorHAnsi" w:hAnsiTheme="minorHAnsi" w:cstheme="minorHAnsi"/>
                <w:color w:val="000000"/>
                <w:szCs w:val="20"/>
              </w:rPr>
            </w:pPr>
            <w:r w:rsidRPr="00894779">
              <w:rPr>
                <w:rFonts w:asciiTheme="minorHAnsi" w:hAnsiTheme="minorHAnsi" w:cstheme="minorHAnsi"/>
                <w:color w:val="000000"/>
                <w:sz w:val="20"/>
                <w:szCs w:val="20"/>
              </w:rPr>
              <w:t>Increased access for women: gender parity index of 0.73 by 2015, from 0.69 in 2011.</w:t>
            </w:r>
          </w:p>
        </w:tc>
        <w:tc>
          <w:tcPr>
            <w:tcW w:w="2104" w:type="pct"/>
          </w:tcPr>
          <w:p w:rsidR="008D6917" w:rsidRPr="00894779" w:rsidRDefault="008D6917" w:rsidP="00FC6559">
            <w:pPr>
              <w:spacing w:after="200" w:line="276" w:lineRule="auto"/>
              <w:contextualSpacing/>
              <w:rPr>
                <w:rFonts w:asciiTheme="minorHAnsi" w:eastAsia="Calibri" w:hAnsiTheme="minorHAnsi" w:cstheme="minorHAnsi"/>
                <w:szCs w:val="20"/>
                <w:lang w:eastAsia="en-US"/>
              </w:rPr>
            </w:pPr>
            <w:r w:rsidRPr="00894779">
              <w:rPr>
                <w:rFonts w:asciiTheme="minorHAnsi" w:eastAsia="Calibri" w:hAnsiTheme="minorHAnsi" w:cstheme="minorHAnsi"/>
                <w:szCs w:val="20"/>
                <w:lang w:eastAsia="en-US"/>
              </w:rPr>
              <w:t>Reflects priority in education and human capital in PNG development plans, and is aligned with Australian priorities to education quality in PNG and women’s access.</w:t>
            </w:r>
          </w:p>
        </w:tc>
      </w:tr>
      <w:tr w:rsidR="008D6917" w:rsidRPr="006C3C05" w:rsidTr="00683656">
        <w:trPr>
          <w:trHeight w:val="372"/>
        </w:trPr>
        <w:tc>
          <w:tcPr>
            <w:tcW w:w="5000" w:type="pct"/>
            <w:gridSpan w:val="3"/>
            <w:tcMar>
              <w:top w:w="57" w:type="dxa"/>
              <w:left w:w="108" w:type="dxa"/>
              <w:bottom w:w="57" w:type="dxa"/>
              <w:right w:w="108" w:type="dxa"/>
            </w:tcMar>
          </w:tcPr>
          <w:p w:rsidR="008D6917" w:rsidRPr="008D6917" w:rsidRDefault="008D6917" w:rsidP="00FC6559">
            <w:pPr>
              <w:spacing w:after="200" w:line="276" w:lineRule="auto"/>
              <w:contextualSpacing/>
              <w:rPr>
                <w:rFonts w:asciiTheme="minorHAnsi" w:hAnsiTheme="minorHAnsi" w:cstheme="minorHAnsi"/>
                <w:b/>
                <w:color w:val="C00000"/>
                <w:szCs w:val="20"/>
              </w:rPr>
            </w:pPr>
            <w:r w:rsidRPr="006C3C05">
              <w:rPr>
                <w:rFonts w:asciiTheme="minorHAnsi" w:hAnsiTheme="minorHAnsi" w:cstheme="minorHAnsi"/>
                <w:b/>
                <w:color w:val="C00000"/>
                <w:szCs w:val="20"/>
              </w:rPr>
              <w:t xml:space="preserve">Objective 3 – Improved law and justice </w:t>
            </w:r>
          </w:p>
        </w:tc>
      </w:tr>
      <w:tr w:rsidR="008D6917" w:rsidRPr="006C3C05" w:rsidTr="00FC6559">
        <w:trPr>
          <w:trHeight w:val="2120"/>
        </w:trPr>
        <w:tc>
          <w:tcPr>
            <w:tcW w:w="1189" w:type="pct"/>
            <w:tcMar>
              <w:top w:w="57" w:type="dxa"/>
              <w:left w:w="108" w:type="dxa"/>
              <w:bottom w:w="57" w:type="dxa"/>
              <w:right w:w="108" w:type="dxa"/>
            </w:tcMar>
            <w:hideMark/>
          </w:tcPr>
          <w:p w:rsidR="008D6917" w:rsidRPr="00A94C5D" w:rsidRDefault="008D6917" w:rsidP="00FC6559">
            <w:pPr>
              <w:spacing w:after="200" w:line="276" w:lineRule="auto"/>
              <w:contextualSpacing/>
              <w:rPr>
                <w:rFonts w:asciiTheme="minorHAnsi" w:hAnsiTheme="minorHAnsi" w:cstheme="minorHAnsi"/>
                <w:i/>
                <w:color w:val="000000"/>
                <w:szCs w:val="20"/>
              </w:rPr>
            </w:pPr>
            <w:r w:rsidRPr="00A94C5D">
              <w:rPr>
                <w:rFonts w:asciiTheme="minorHAnsi" w:hAnsiTheme="minorHAnsi" w:cstheme="minorHAnsi"/>
                <w:i/>
                <w:color w:val="000000"/>
                <w:szCs w:val="20"/>
              </w:rPr>
              <w:t>State services delivered in a manner more accessible, effective, ethical, accountable and service-focused</w:t>
            </w:r>
          </w:p>
          <w:p w:rsidR="008D6917" w:rsidRPr="006C3C05" w:rsidRDefault="008D6917" w:rsidP="00FC6559">
            <w:pPr>
              <w:keepLines/>
              <w:spacing w:before="40" w:after="40" w:line="200" w:lineRule="atLeast"/>
              <w:rPr>
                <w:rFonts w:asciiTheme="minorHAnsi" w:eastAsia="Times New Roman" w:hAnsiTheme="minorHAnsi" w:cstheme="minorHAnsi"/>
                <w:iCs/>
                <w:szCs w:val="20"/>
              </w:rPr>
            </w:pPr>
          </w:p>
        </w:tc>
        <w:tc>
          <w:tcPr>
            <w:tcW w:w="1707" w:type="pct"/>
          </w:tcPr>
          <w:p w:rsidR="008D6917" w:rsidRPr="006C3C05" w:rsidRDefault="00B0578B" w:rsidP="008D6917">
            <w:pPr>
              <w:pStyle w:val="ListParagraph"/>
              <w:numPr>
                <w:ilvl w:val="0"/>
                <w:numId w:val="32"/>
              </w:numPr>
              <w:spacing w:after="200" w:line="276" w:lineRule="auto"/>
              <w:ind w:left="360"/>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Infrastructure investments in </w:t>
            </w:r>
            <w:r w:rsidR="00361D19">
              <w:rPr>
                <w:rFonts w:asciiTheme="minorHAnsi" w:eastAsia="Calibri" w:hAnsiTheme="minorHAnsi" w:cstheme="minorHAnsi"/>
                <w:sz w:val="20"/>
                <w:szCs w:val="20"/>
                <w:lang w:eastAsia="en-US"/>
              </w:rPr>
              <w:t xml:space="preserve">Lae, </w:t>
            </w:r>
            <w:r w:rsidR="008D6917" w:rsidRPr="006C3C05">
              <w:rPr>
                <w:rFonts w:asciiTheme="minorHAnsi" w:eastAsia="Calibri" w:hAnsiTheme="minorHAnsi" w:cstheme="minorHAnsi"/>
                <w:sz w:val="20"/>
                <w:szCs w:val="20"/>
                <w:lang w:eastAsia="en-US"/>
              </w:rPr>
              <w:t xml:space="preserve">Manus </w:t>
            </w:r>
            <w:r w:rsidR="00A7661E">
              <w:rPr>
                <w:rFonts w:asciiTheme="minorHAnsi" w:eastAsia="Calibri" w:hAnsiTheme="minorHAnsi" w:cstheme="minorHAnsi"/>
                <w:sz w:val="20"/>
                <w:szCs w:val="20"/>
                <w:lang w:eastAsia="en-US"/>
              </w:rPr>
              <w:t xml:space="preserve">and Bougainville </w:t>
            </w:r>
            <w:r>
              <w:rPr>
                <w:rFonts w:asciiTheme="minorHAnsi" w:eastAsia="Calibri" w:hAnsiTheme="minorHAnsi" w:cstheme="minorHAnsi"/>
                <w:sz w:val="20"/>
                <w:szCs w:val="20"/>
                <w:lang w:eastAsia="en-US"/>
              </w:rPr>
              <w:t>(</w:t>
            </w:r>
            <w:r w:rsidR="008D6917" w:rsidRPr="006C3C05">
              <w:rPr>
                <w:rFonts w:asciiTheme="minorHAnsi" w:eastAsia="Calibri" w:hAnsiTheme="minorHAnsi" w:cstheme="minorHAnsi"/>
                <w:sz w:val="20"/>
                <w:szCs w:val="20"/>
                <w:lang w:eastAsia="en-US"/>
              </w:rPr>
              <w:t xml:space="preserve">police </w:t>
            </w:r>
            <w:r w:rsidR="00A7661E">
              <w:rPr>
                <w:rFonts w:asciiTheme="minorHAnsi" w:eastAsia="Calibri" w:hAnsiTheme="minorHAnsi" w:cstheme="minorHAnsi"/>
                <w:sz w:val="20"/>
                <w:szCs w:val="20"/>
                <w:lang w:eastAsia="en-US"/>
              </w:rPr>
              <w:t>related)</w:t>
            </w:r>
            <w:r>
              <w:rPr>
                <w:rFonts w:asciiTheme="minorHAnsi" w:eastAsia="Calibri" w:hAnsiTheme="minorHAnsi" w:cstheme="minorHAnsi"/>
                <w:sz w:val="20"/>
                <w:szCs w:val="20"/>
                <w:lang w:eastAsia="en-US"/>
              </w:rPr>
              <w:t xml:space="preserve">; </w:t>
            </w:r>
            <w:r w:rsidR="00A7661E">
              <w:rPr>
                <w:rFonts w:asciiTheme="minorHAnsi" w:eastAsia="Calibri" w:hAnsiTheme="minorHAnsi" w:cstheme="minorHAnsi"/>
                <w:sz w:val="20"/>
                <w:szCs w:val="20"/>
                <w:lang w:eastAsia="en-US"/>
              </w:rPr>
              <w:t>Port Moresby (</w:t>
            </w:r>
            <w:r w:rsidR="008D6917" w:rsidRPr="006C3C05">
              <w:rPr>
                <w:rFonts w:asciiTheme="minorHAnsi" w:eastAsia="Calibri" w:hAnsiTheme="minorHAnsi" w:cstheme="minorHAnsi"/>
                <w:sz w:val="20"/>
                <w:szCs w:val="20"/>
                <w:lang w:eastAsia="en-US"/>
              </w:rPr>
              <w:t>Ma</w:t>
            </w:r>
            <w:r w:rsidR="00A7661E">
              <w:rPr>
                <w:rFonts w:asciiTheme="minorHAnsi" w:eastAsia="Calibri" w:hAnsiTheme="minorHAnsi" w:cstheme="minorHAnsi"/>
                <w:sz w:val="20"/>
                <w:szCs w:val="20"/>
                <w:lang w:eastAsia="en-US"/>
              </w:rPr>
              <w:t xml:space="preserve">gisterial </w:t>
            </w:r>
            <w:r w:rsidR="008D6917" w:rsidRPr="006C3C05">
              <w:rPr>
                <w:rFonts w:asciiTheme="minorHAnsi" w:eastAsia="Calibri" w:hAnsiTheme="minorHAnsi" w:cstheme="minorHAnsi"/>
                <w:sz w:val="20"/>
                <w:szCs w:val="20"/>
                <w:lang w:eastAsia="en-US"/>
              </w:rPr>
              <w:t>Services</w:t>
            </w:r>
            <w:r w:rsidR="00A7661E">
              <w:rPr>
                <w:rFonts w:asciiTheme="minorHAnsi" w:eastAsia="Calibri" w:hAnsiTheme="minorHAnsi" w:cstheme="minorHAnsi"/>
                <w:sz w:val="20"/>
                <w:szCs w:val="20"/>
                <w:lang w:eastAsia="en-US"/>
              </w:rPr>
              <w:t xml:space="preserve">) are </w:t>
            </w:r>
            <w:r>
              <w:rPr>
                <w:rFonts w:asciiTheme="minorHAnsi" w:eastAsia="Calibri" w:hAnsiTheme="minorHAnsi" w:cstheme="minorHAnsi"/>
                <w:sz w:val="20"/>
                <w:szCs w:val="20"/>
                <w:lang w:eastAsia="en-US"/>
              </w:rPr>
              <w:t xml:space="preserve">on track. </w:t>
            </w:r>
          </w:p>
          <w:p w:rsidR="008D6917" w:rsidRPr="006C3C05" w:rsidRDefault="008D6917" w:rsidP="008D6917">
            <w:pPr>
              <w:pStyle w:val="ListParagraph"/>
              <w:numPr>
                <w:ilvl w:val="0"/>
                <w:numId w:val="32"/>
              </w:numPr>
              <w:spacing w:after="200" w:line="276" w:lineRule="auto"/>
              <w:ind w:left="360"/>
              <w:contextualSpacing/>
              <w:rPr>
                <w:rFonts w:asciiTheme="minorHAnsi" w:eastAsia="Calibri" w:hAnsiTheme="minorHAnsi" w:cstheme="minorHAnsi"/>
                <w:sz w:val="20"/>
                <w:szCs w:val="20"/>
                <w:lang w:eastAsia="en-US"/>
              </w:rPr>
            </w:pPr>
            <w:r w:rsidRPr="006C3C05">
              <w:rPr>
                <w:rFonts w:asciiTheme="minorHAnsi" w:eastAsia="Calibri" w:hAnsiTheme="minorHAnsi" w:cstheme="minorHAnsi"/>
                <w:sz w:val="20"/>
                <w:szCs w:val="20"/>
                <w:lang w:eastAsia="en-US"/>
              </w:rPr>
              <w:t>Sector Serv</w:t>
            </w:r>
            <w:r w:rsidR="004B64CE">
              <w:rPr>
                <w:rFonts w:asciiTheme="minorHAnsi" w:eastAsia="Calibri" w:hAnsiTheme="minorHAnsi" w:cstheme="minorHAnsi"/>
                <w:sz w:val="20"/>
                <w:szCs w:val="20"/>
                <w:lang w:eastAsia="en-US"/>
              </w:rPr>
              <w:t>ice Delivery Strategy completed.</w:t>
            </w:r>
          </w:p>
          <w:p w:rsidR="008D6917" w:rsidRPr="006C3C05" w:rsidRDefault="008D6917" w:rsidP="008D6917">
            <w:pPr>
              <w:pStyle w:val="ListParagraph"/>
              <w:numPr>
                <w:ilvl w:val="0"/>
                <w:numId w:val="32"/>
              </w:numPr>
              <w:spacing w:after="200" w:line="276" w:lineRule="auto"/>
              <w:ind w:left="360"/>
              <w:contextualSpacing/>
              <w:rPr>
                <w:rFonts w:asciiTheme="minorHAnsi" w:eastAsia="Calibri" w:hAnsiTheme="minorHAnsi" w:cstheme="minorHAnsi"/>
                <w:sz w:val="20"/>
                <w:szCs w:val="20"/>
                <w:lang w:eastAsia="en-US"/>
              </w:rPr>
            </w:pPr>
            <w:r w:rsidRPr="006C3C05">
              <w:rPr>
                <w:rFonts w:asciiTheme="minorHAnsi" w:eastAsia="Calibri" w:hAnsiTheme="minorHAnsi" w:cstheme="minorHAnsi"/>
                <w:sz w:val="20"/>
                <w:szCs w:val="20"/>
                <w:lang w:eastAsia="en-US"/>
              </w:rPr>
              <w:t xml:space="preserve">Training targeting key technical, </w:t>
            </w:r>
            <w:r w:rsidR="00A7661E">
              <w:rPr>
                <w:rFonts w:asciiTheme="minorHAnsi" w:eastAsia="Calibri" w:hAnsiTheme="minorHAnsi" w:cstheme="minorHAnsi"/>
                <w:sz w:val="20"/>
                <w:szCs w:val="20"/>
                <w:lang w:eastAsia="en-US"/>
              </w:rPr>
              <w:t xml:space="preserve">legal, </w:t>
            </w:r>
            <w:r w:rsidRPr="006C3C05">
              <w:rPr>
                <w:rFonts w:asciiTheme="minorHAnsi" w:eastAsia="Calibri" w:hAnsiTheme="minorHAnsi" w:cstheme="minorHAnsi"/>
                <w:sz w:val="20"/>
                <w:szCs w:val="20"/>
                <w:lang w:eastAsia="en-US"/>
              </w:rPr>
              <w:t>administrative and management skills undertaken.</w:t>
            </w:r>
          </w:p>
        </w:tc>
        <w:tc>
          <w:tcPr>
            <w:tcW w:w="2104" w:type="pct"/>
          </w:tcPr>
          <w:p w:rsidR="008D6917" w:rsidRPr="006C3C05" w:rsidRDefault="008D6917" w:rsidP="00FC6559">
            <w:pPr>
              <w:spacing w:after="200" w:line="276" w:lineRule="auto"/>
              <w:contextualSpacing/>
              <w:rPr>
                <w:rFonts w:asciiTheme="minorHAnsi" w:eastAsia="Calibri" w:hAnsiTheme="minorHAnsi" w:cstheme="minorHAnsi"/>
                <w:szCs w:val="20"/>
                <w:lang w:eastAsia="en-US"/>
              </w:rPr>
            </w:pPr>
            <w:r w:rsidRPr="006C3C05">
              <w:rPr>
                <w:rFonts w:asciiTheme="minorHAnsi" w:eastAsia="Calibri" w:hAnsiTheme="minorHAnsi" w:cstheme="minorHAnsi"/>
                <w:szCs w:val="20"/>
                <w:lang w:eastAsia="en-US"/>
              </w:rPr>
              <w:t>Relevant to a number of PNG’s law and justice sector strategic framework strategies to deliver more accessible and effective state services to help meet community expectations, use resources more effectively and improve sector cooperation.</w:t>
            </w:r>
          </w:p>
        </w:tc>
      </w:tr>
      <w:tr w:rsidR="008D6917" w:rsidRPr="006C3C05" w:rsidTr="00FC6559">
        <w:trPr>
          <w:trHeight w:val="2120"/>
        </w:trPr>
        <w:tc>
          <w:tcPr>
            <w:tcW w:w="1189" w:type="pct"/>
            <w:tcMar>
              <w:top w:w="57" w:type="dxa"/>
              <w:left w:w="108" w:type="dxa"/>
              <w:bottom w:w="57" w:type="dxa"/>
              <w:right w:w="108" w:type="dxa"/>
            </w:tcMar>
          </w:tcPr>
          <w:p w:rsidR="008D6917" w:rsidRPr="00A94C5D" w:rsidRDefault="008D6917" w:rsidP="00FA3919">
            <w:pPr>
              <w:spacing w:after="200" w:line="276" w:lineRule="auto"/>
              <w:contextualSpacing/>
              <w:rPr>
                <w:rFonts w:asciiTheme="minorHAnsi" w:hAnsiTheme="minorHAnsi" w:cstheme="minorHAnsi"/>
                <w:i/>
                <w:color w:val="000000"/>
                <w:szCs w:val="20"/>
              </w:rPr>
            </w:pPr>
            <w:r w:rsidRPr="00A94C5D">
              <w:rPr>
                <w:rFonts w:asciiTheme="minorHAnsi" w:hAnsiTheme="minorHAnsi" w:cstheme="minorHAnsi"/>
                <w:i/>
                <w:color w:val="000000"/>
                <w:szCs w:val="20"/>
              </w:rPr>
              <w:t>Police are more effective, legitimate and accountable to the people they serve</w:t>
            </w:r>
          </w:p>
        </w:tc>
        <w:tc>
          <w:tcPr>
            <w:tcW w:w="1707" w:type="pct"/>
          </w:tcPr>
          <w:p w:rsidR="008D6917" w:rsidRPr="006C3C05" w:rsidRDefault="008D6917" w:rsidP="008D6917">
            <w:pPr>
              <w:pStyle w:val="ListParagraph"/>
              <w:numPr>
                <w:ilvl w:val="0"/>
                <w:numId w:val="33"/>
              </w:numPr>
              <w:spacing w:after="200" w:line="276" w:lineRule="auto"/>
              <w:contextualSpacing/>
              <w:rPr>
                <w:rFonts w:asciiTheme="minorHAnsi" w:eastAsia="Calibri" w:hAnsiTheme="minorHAnsi" w:cstheme="minorHAnsi"/>
                <w:sz w:val="20"/>
                <w:szCs w:val="20"/>
                <w:lang w:eastAsia="en-US"/>
              </w:rPr>
            </w:pPr>
            <w:r w:rsidRPr="006C3C05">
              <w:rPr>
                <w:rFonts w:asciiTheme="minorHAnsi" w:eastAsia="Calibri" w:hAnsiTheme="minorHAnsi" w:cstheme="minorHAnsi"/>
                <w:sz w:val="20"/>
                <w:szCs w:val="20"/>
                <w:lang w:eastAsia="en-US"/>
              </w:rPr>
              <w:t xml:space="preserve">Improvements in public perceptions of police in </w:t>
            </w:r>
            <w:r w:rsidR="004B64CE">
              <w:rPr>
                <w:rFonts w:asciiTheme="minorHAnsi" w:eastAsia="Calibri" w:hAnsiTheme="minorHAnsi" w:cstheme="minorHAnsi"/>
                <w:sz w:val="20"/>
                <w:szCs w:val="20"/>
                <w:lang w:eastAsia="en-US"/>
              </w:rPr>
              <w:t>Port Moresby</w:t>
            </w:r>
            <w:r w:rsidR="00B0578B">
              <w:rPr>
                <w:rFonts w:asciiTheme="minorHAnsi" w:eastAsia="Calibri" w:hAnsiTheme="minorHAnsi" w:cstheme="minorHAnsi"/>
                <w:sz w:val="20"/>
                <w:szCs w:val="20"/>
                <w:lang w:eastAsia="en-US"/>
              </w:rPr>
              <w:t xml:space="preserve"> and Lae</w:t>
            </w:r>
            <w:r w:rsidR="004B64CE">
              <w:rPr>
                <w:rFonts w:asciiTheme="minorHAnsi" w:eastAsia="Calibri" w:hAnsiTheme="minorHAnsi" w:cstheme="minorHAnsi"/>
                <w:sz w:val="20"/>
                <w:szCs w:val="20"/>
                <w:lang w:eastAsia="en-US"/>
              </w:rPr>
              <w:t>.</w:t>
            </w:r>
          </w:p>
          <w:p w:rsidR="00A7661E" w:rsidRDefault="00B0578B" w:rsidP="00B0578B">
            <w:pPr>
              <w:pStyle w:val="ListParagraph"/>
              <w:numPr>
                <w:ilvl w:val="0"/>
                <w:numId w:val="33"/>
              </w:numPr>
              <w:spacing w:after="200" w:line="276" w:lineRule="auto"/>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Increase in the numbers of </w:t>
            </w:r>
            <w:r w:rsidR="008D6917" w:rsidRPr="006C3C05">
              <w:rPr>
                <w:rFonts w:asciiTheme="minorHAnsi" w:eastAsia="Calibri" w:hAnsiTheme="minorHAnsi" w:cstheme="minorHAnsi"/>
                <w:sz w:val="20"/>
                <w:szCs w:val="20"/>
                <w:lang w:eastAsia="en-US"/>
              </w:rPr>
              <w:t>police recruits graduat</w:t>
            </w:r>
            <w:r w:rsidR="00A7661E">
              <w:rPr>
                <w:rFonts w:asciiTheme="minorHAnsi" w:eastAsia="Calibri" w:hAnsiTheme="minorHAnsi" w:cstheme="minorHAnsi"/>
                <w:sz w:val="20"/>
                <w:szCs w:val="20"/>
                <w:lang w:eastAsia="en-US"/>
              </w:rPr>
              <w:t>ing</w:t>
            </w:r>
            <w:r w:rsidR="008D6917" w:rsidRPr="006C3C05">
              <w:rPr>
                <w:rFonts w:asciiTheme="minorHAnsi" w:eastAsia="Calibri" w:hAnsiTheme="minorHAnsi" w:cstheme="minorHAnsi"/>
                <w:sz w:val="20"/>
                <w:szCs w:val="20"/>
                <w:lang w:eastAsia="en-US"/>
              </w:rPr>
              <w:t xml:space="preserve"> in 2014</w:t>
            </w:r>
            <w:r w:rsidR="004B64CE">
              <w:rPr>
                <w:rFonts w:asciiTheme="minorHAnsi" w:eastAsia="Calibri" w:hAnsiTheme="minorHAnsi" w:cstheme="minorHAnsi"/>
                <w:sz w:val="20"/>
                <w:szCs w:val="20"/>
                <w:lang w:eastAsia="en-US"/>
              </w:rPr>
              <w:t>.</w:t>
            </w:r>
            <w:r>
              <w:rPr>
                <w:rFonts w:asciiTheme="minorHAnsi" w:eastAsia="Calibri" w:hAnsiTheme="minorHAnsi" w:cstheme="minorHAnsi"/>
                <w:sz w:val="20"/>
                <w:szCs w:val="20"/>
                <w:lang w:eastAsia="en-US"/>
              </w:rPr>
              <w:t xml:space="preserve"> </w:t>
            </w:r>
          </w:p>
          <w:p w:rsidR="008D6917" w:rsidRPr="006C3C05" w:rsidRDefault="008D6917" w:rsidP="00B0578B">
            <w:pPr>
              <w:pStyle w:val="ListParagraph"/>
              <w:numPr>
                <w:ilvl w:val="0"/>
                <w:numId w:val="33"/>
              </w:numPr>
              <w:spacing w:after="200" w:line="276" w:lineRule="auto"/>
              <w:contextualSpacing/>
              <w:rPr>
                <w:rFonts w:asciiTheme="minorHAnsi" w:eastAsia="Calibri" w:hAnsiTheme="minorHAnsi" w:cstheme="minorHAnsi"/>
                <w:sz w:val="20"/>
                <w:szCs w:val="20"/>
                <w:lang w:eastAsia="en-US"/>
              </w:rPr>
            </w:pPr>
            <w:r w:rsidRPr="006C3C05">
              <w:rPr>
                <w:rFonts w:asciiTheme="minorHAnsi" w:eastAsia="Calibri" w:hAnsiTheme="minorHAnsi" w:cstheme="minorHAnsi"/>
                <w:sz w:val="20"/>
                <w:szCs w:val="20"/>
                <w:lang w:eastAsia="en-US"/>
              </w:rPr>
              <w:t xml:space="preserve">30 Bougainvillean recruits </w:t>
            </w:r>
            <w:r w:rsidR="00B0578B">
              <w:rPr>
                <w:rFonts w:asciiTheme="minorHAnsi" w:eastAsia="Calibri" w:hAnsiTheme="minorHAnsi" w:cstheme="minorHAnsi"/>
                <w:sz w:val="20"/>
                <w:szCs w:val="20"/>
                <w:lang w:eastAsia="en-US"/>
              </w:rPr>
              <w:t>in</w:t>
            </w:r>
            <w:r w:rsidR="00A7661E">
              <w:rPr>
                <w:rFonts w:asciiTheme="minorHAnsi" w:eastAsia="Calibri" w:hAnsiTheme="minorHAnsi" w:cstheme="minorHAnsi"/>
                <w:sz w:val="20"/>
                <w:szCs w:val="20"/>
                <w:lang w:eastAsia="en-US"/>
              </w:rPr>
              <w:t>cluded</w:t>
            </w:r>
            <w:r w:rsidR="00B0578B">
              <w:rPr>
                <w:rFonts w:asciiTheme="minorHAnsi" w:eastAsia="Calibri" w:hAnsiTheme="minorHAnsi" w:cstheme="minorHAnsi"/>
                <w:sz w:val="20"/>
                <w:szCs w:val="20"/>
                <w:lang w:eastAsia="en-US"/>
              </w:rPr>
              <w:t xml:space="preserve"> </w:t>
            </w:r>
            <w:r w:rsidRPr="006C3C05">
              <w:rPr>
                <w:rFonts w:asciiTheme="minorHAnsi" w:eastAsia="Calibri" w:hAnsiTheme="minorHAnsi" w:cstheme="minorHAnsi"/>
                <w:sz w:val="20"/>
                <w:szCs w:val="20"/>
                <w:lang w:eastAsia="en-US"/>
              </w:rPr>
              <w:t xml:space="preserve">2015 </w:t>
            </w:r>
            <w:r w:rsidR="00B0578B">
              <w:rPr>
                <w:rFonts w:asciiTheme="minorHAnsi" w:eastAsia="Calibri" w:hAnsiTheme="minorHAnsi" w:cstheme="minorHAnsi"/>
                <w:sz w:val="20"/>
                <w:szCs w:val="20"/>
                <w:lang w:eastAsia="en-US"/>
              </w:rPr>
              <w:t>– noting BPS target of 30% female.</w:t>
            </w:r>
          </w:p>
        </w:tc>
        <w:tc>
          <w:tcPr>
            <w:tcW w:w="2104" w:type="pct"/>
          </w:tcPr>
          <w:p w:rsidR="008D6917" w:rsidRPr="006C3C05" w:rsidRDefault="008D6917" w:rsidP="00FC6559">
            <w:pPr>
              <w:spacing w:after="200" w:line="276" w:lineRule="auto"/>
              <w:contextualSpacing/>
              <w:rPr>
                <w:rFonts w:asciiTheme="minorHAnsi" w:eastAsia="Calibri" w:hAnsiTheme="minorHAnsi" w:cstheme="minorHAnsi"/>
                <w:szCs w:val="20"/>
                <w:lang w:eastAsia="en-US"/>
              </w:rPr>
            </w:pPr>
            <w:r w:rsidRPr="006C3C05">
              <w:rPr>
                <w:rFonts w:asciiTheme="minorHAnsi" w:eastAsia="Calibri" w:hAnsiTheme="minorHAnsi" w:cstheme="minorHAnsi"/>
                <w:szCs w:val="20"/>
                <w:lang w:eastAsia="en-US"/>
              </w:rPr>
              <w:t>Relevant to PNG’s Sector Strategic Framework Goal 1 of improved policing, security, safety and crime prevention.</w:t>
            </w:r>
          </w:p>
        </w:tc>
      </w:tr>
      <w:tr w:rsidR="008D6917" w:rsidRPr="006C3C05" w:rsidTr="00FC6559">
        <w:trPr>
          <w:trHeight w:val="2120"/>
        </w:trPr>
        <w:tc>
          <w:tcPr>
            <w:tcW w:w="1189" w:type="pct"/>
            <w:tcMar>
              <w:top w:w="57" w:type="dxa"/>
              <w:left w:w="108" w:type="dxa"/>
              <w:bottom w:w="57" w:type="dxa"/>
              <w:right w:w="108" w:type="dxa"/>
            </w:tcMar>
          </w:tcPr>
          <w:p w:rsidR="008D6917" w:rsidRPr="00A94C5D" w:rsidRDefault="008D6917" w:rsidP="00FC6559">
            <w:pPr>
              <w:spacing w:after="200" w:line="276" w:lineRule="auto"/>
              <w:contextualSpacing/>
              <w:rPr>
                <w:rFonts w:asciiTheme="minorHAnsi" w:hAnsiTheme="minorHAnsi" w:cstheme="minorHAnsi"/>
                <w:i/>
                <w:color w:val="000000"/>
                <w:szCs w:val="20"/>
              </w:rPr>
            </w:pPr>
            <w:r w:rsidRPr="00A94C5D">
              <w:rPr>
                <w:rFonts w:asciiTheme="minorHAnsi" w:hAnsiTheme="minorHAnsi" w:cstheme="minorHAnsi"/>
                <w:i/>
                <w:color w:val="000000"/>
                <w:szCs w:val="20"/>
              </w:rPr>
              <w:lastRenderedPageBreak/>
              <w:t>Local Level conflict resolution working, more legitimate and available</w:t>
            </w:r>
          </w:p>
        </w:tc>
        <w:tc>
          <w:tcPr>
            <w:tcW w:w="1707" w:type="pct"/>
          </w:tcPr>
          <w:p w:rsidR="008D6917" w:rsidRPr="00361D19" w:rsidRDefault="00FA3919" w:rsidP="00361D19">
            <w:pPr>
              <w:pStyle w:val="ListParagraph"/>
              <w:numPr>
                <w:ilvl w:val="0"/>
                <w:numId w:val="33"/>
              </w:numPr>
              <w:spacing w:after="200" w:line="276" w:lineRule="auto"/>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30% of v</w:t>
            </w:r>
            <w:r w:rsidR="008D6917" w:rsidRPr="006C3C05">
              <w:rPr>
                <w:rFonts w:asciiTheme="minorHAnsi" w:eastAsia="Calibri" w:hAnsiTheme="minorHAnsi" w:cstheme="minorHAnsi"/>
                <w:sz w:val="20"/>
                <w:szCs w:val="20"/>
                <w:lang w:eastAsia="en-US"/>
              </w:rPr>
              <w:t xml:space="preserve">illage court </w:t>
            </w:r>
            <w:r>
              <w:rPr>
                <w:rFonts w:asciiTheme="minorHAnsi" w:eastAsia="Calibri" w:hAnsiTheme="minorHAnsi" w:cstheme="minorHAnsi"/>
                <w:sz w:val="20"/>
                <w:szCs w:val="20"/>
                <w:lang w:eastAsia="en-US"/>
              </w:rPr>
              <w:t xml:space="preserve">officials in </w:t>
            </w:r>
            <w:r w:rsidRPr="006C3C05">
              <w:rPr>
                <w:rFonts w:asciiTheme="minorHAnsi" w:eastAsia="Calibri" w:hAnsiTheme="minorHAnsi" w:cstheme="minorHAnsi"/>
                <w:sz w:val="20"/>
                <w:szCs w:val="20"/>
                <w:lang w:eastAsia="en-US"/>
              </w:rPr>
              <w:t>priority provinces</w:t>
            </w:r>
            <w:r>
              <w:rPr>
                <w:rFonts w:asciiTheme="minorHAnsi" w:eastAsia="Calibri" w:hAnsiTheme="minorHAnsi" w:cstheme="minorHAnsi"/>
                <w:sz w:val="20"/>
                <w:szCs w:val="20"/>
                <w:lang w:eastAsia="en-US"/>
              </w:rPr>
              <w:t xml:space="preserve"> have participated in the </w:t>
            </w:r>
            <w:r w:rsidR="008D6917" w:rsidRPr="006C3C05">
              <w:rPr>
                <w:rFonts w:asciiTheme="minorHAnsi" w:eastAsia="Calibri" w:hAnsiTheme="minorHAnsi" w:cstheme="minorHAnsi"/>
                <w:sz w:val="20"/>
                <w:szCs w:val="20"/>
                <w:lang w:eastAsia="en-US"/>
              </w:rPr>
              <w:t>competency</w:t>
            </w:r>
            <w:r w:rsidR="00B0578B">
              <w:rPr>
                <w:rFonts w:asciiTheme="minorHAnsi" w:eastAsia="Calibri" w:hAnsiTheme="minorHAnsi" w:cstheme="minorHAnsi"/>
                <w:sz w:val="20"/>
                <w:szCs w:val="20"/>
                <w:lang w:eastAsia="en-US"/>
              </w:rPr>
              <w:t>-</w:t>
            </w:r>
            <w:r w:rsidR="008D6917" w:rsidRPr="006C3C05">
              <w:rPr>
                <w:rFonts w:asciiTheme="minorHAnsi" w:eastAsia="Calibri" w:hAnsiTheme="minorHAnsi" w:cstheme="minorHAnsi"/>
                <w:sz w:val="20"/>
                <w:szCs w:val="20"/>
                <w:lang w:eastAsia="en-US"/>
              </w:rPr>
              <w:t xml:space="preserve">based training </w:t>
            </w:r>
            <w:r w:rsidR="00361D19">
              <w:rPr>
                <w:rFonts w:asciiTheme="minorHAnsi" w:eastAsia="Calibri" w:hAnsiTheme="minorHAnsi" w:cstheme="minorHAnsi"/>
                <w:sz w:val="20"/>
                <w:szCs w:val="20"/>
                <w:lang w:eastAsia="en-US"/>
              </w:rPr>
              <w:t>by July 2015</w:t>
            </w:r>
            <w:r w:rsidR="004B64CE">
              <w:rPr>
                <w:rFonts w:asciiTheme="minorHAnsi" w:eastAsia="Calibri" w:hAnsiTheme="minorHAnsi" w:cstheme="minorHAnsi"/>
                <w:sz w:val="20"/>
                <w:szCs w:val="20"/>
                <w:lang w:eastAsia="en-US"/>
              </w:rPr>
              <w:t>.</w:t>
            </w:r>
          </w:p>
        </w:tc>
        <w:tc>
          <w:tcPr>
            <w:tcW w:w="2104" w:type="pct"/>
          </w:tcPr>
          <w:p w:rsidR="008D6917" w:rsidRPr="006C3C05" w:rsidRDefault="008D6917" w:rsidP="00361D19">
            <w:pPr>
              <w:spacing w:after="200" w:line="276" w:lineRule="auto"/>
              <w:contextualSpacing/>
              <w:rPr>
                <w:rFonts w:asciiTheme="minorHAnsi" w:eastAsia="Calibri" w:hAnsiTheme="minorHAnsi" w:cstheme="minorHAnsi"/>
                <w:szCs w:val="20"/>
                <w:lang w:eastAsia="en-US"/>
              </w:rPr>
            </w:pPr>
            <w:r w:rsidRPr="006C3C05">
              <w:rPr>
                <w:rFonts w:asciiTheme="minorHAnsi" w:eastAsia="Calibri" w:hAnsiTheme="minorHAnsi" w:cstheme="minorHAnsi"/>
                <w:szCs w:val="20"/>
                <w:lang w:eastAsia="en-US"/>
              </w:rPr>
              <w:t xml:space="preserve">Relevant to PNG’s Sector Strategic Framework strategies to increase support </w:t>
            </w:r>
            <w:r w:rsidR="00361D19">
              <w:rPr>
                <w:rFonts w:asciiTheme="minorHAnsi" w:eastAsia="Calibri" w:hAnsiTheme="minorHAnsi" w:cstheme="minorHAnsi"/>
                <w:szCs w:val="20"/>
                <w:lang w:eastAsia="en-US"/>
              </w:rPr>
              <w:t>to strengthen</w:t>
            </w:r>
            <w:r w:rsidRPr="006C3C05">
              <w:rPr>
                <w:rFonts w:asciiTheme="minorHAnsi" w:eastAsia="Calibri" w:hAnsiTheme="minorHAnsi" w:cstheme="minorHAnsi"/>
                <w:szCs w:val="20"/>
                <w:lang w:eastAsia="en-US"/>
              </w:rPr>
              <w:t xml:space="preserve"> locally-based, non</w:t>
            </w:r>
            <w:r w:rsidR="00B0578B">
              <w:rPr>
                <w:rFonts w:asciiTheme="minorHAnsi" w:eastAsia="Calibri" w:hAnsiTheme="minorHAnsi" w:cstheme="minorHAnsi"/>
                <w:szCs w:val="20"/>
                <w:lang w:eastAsia="en-US"/>
              </w:rPr>
              <w:t>-</w:t>
            </w:r>
            <w:r w:rsidRPr="006C3C05">
              <w:rPr>
                <w:rFonts w:asciiTheme="minorHAnsi" w:eastAsia="Calibri" w:hAnsiTheme="minorHAnsi" w:cstheme="minorHAnsi"/>
                <w:szCs w:val="20"/>
                <w:lang w:eastAsia="en-US"/>
              </w:rPr>
              <w:t>violent dispute resolution.</w:t>
            </w:r>
          </w:p>
        </w:tc>
      </w:tr>
      <w:tr w:rsidR="008D6917" w:rsidRPr="006C3C05" w:rsidTr="00FC6559">
        <w:trPr>
          <w:trHeight w:val="865"/>
        </w:trPr>
        <w:tc>
          <w:tcPr>
            <w:tcW w:w="1189" w:type="pct"/>
            <w:tcMar>
              <w:top w:w="57" w:type="dxa"/>
              <w:left w:w="108" w:type="dxa"/>
              <w:bottom w:w="57" w:type="dxa"/>
              <w:right w:w="108" w:type="dxa"/>
            </w:tcMar>
          </w:tcPr>
          <w:p w:rsidR="008D6917" w:rsidRPr="00A94C5D" w:rsidRDefault="008D6917" w:rsidP="00FA3919">
            <w:pPr>
              <w:spacing w:after="200" w:line="276" w:lineRule="auto"/>
              <w:contextualSpacing/>
              <w:rPr>
                <w:rFonts w:asciiTheme="minorHAnsi" w:hAnsiTheme="minorHAnsi" w:cstheme="minorHAnsi"/>
                <w:i/>
                <w:color w:val="000000"/>
                <w:szCs w:val="20"/>
              </w:rPr>
            </w:pPr>
            <w:r w:rsidRPr="00A94C5D">
              <w:rPr>
                <w:rFonts w:asciiTheme="minorHAnsi" w:hAnsiTheme="minorHAnsi" w:cstheme="minorHAnsi"/>
                <w:i/>
                <w:color w:val="000000"/>
                <w:szCs w:val="20"/>
              </w:rPr>
              <w:t>Women and others vulnerable to family and sexual violence have greater access to justice, legal protection and support services</w:t>
            </w:r>
          </w:p>
        </w:tc>
        <w:tc>
          <w:tcPr>
            <w:tcW w:w="1707" w:type="pct"/>
          </w:tcPr>
          <w:p w:rsidR="008D6917" w:rsidRPr="006C3C05" w:rsidRDefault="008D6917" w:rsidP="008D6917">
            <w:pPr>
              <w:pStyle w:val="ListParagraph"/>
              <w:numPr>
                <w:ilvl w:val="0"/>
                <w:numId w:val="33"/>
              </w:numPr>
              <w:spacing w:after="200" w:line="276" w:lineRule="auto"/>
              <w:contextualSpacing/>
              <w:rPr>
                <w:rFonts w:asciiTheme="minorHAnsi" w:eastAsia="Calibri" w:hAnsiTheme="minorHAnsi" w:cstheme="minorHAnsi"/>
                <w:sz w:val="20"/>
                <w:szCs w:val="20"/>
                <w:lang w:eastAsia="en-US"/>
              </w:rPr>
            </w:pPr>
            <w:r w:rsidRPr="006C3C05">
              <w:rPr>
                <w:rFonts w:asciiTheme="minorHAnsi" w:eastAsia="Calibri" w:hAnsiTheme="minorHAnsi" w:cstheme="minorHAnsi"/>
                <w:sz w:val="20"/>
                <w:szCs w:val="20"/>
                <w:lang w:eastAsia="en-US"/>
              </w:rPr>
              <w:t xml:space="preserve">Increasing numbers of </w:t>
            </w:r>
            <w:r w:rsidR="00B0578B">
              <w:rPr>
                <w:rFonts w:asciiTheme="minorHAnsi" w:eastAsia="Calibri" w:hAnsiTheme="minorHAnsi" w:cstheme="minorHAnsi"/>
                <w:sz w:val="20"/>
                <w:szCs w:val="20"/>
                <w:lang w:eastAsia="en-US"/>
              </w:rPr>
              <w:t xml:space="preserve">clients seeking help from </w:t>
            </w:r>
            <w:r w:rsidRPr="006C3C05">
              <w:rPr>
                <w:rFonts w:asciiTheme="minorHAnsi" w:eastAsia="Calibri" w:hAnsiTheme="minorHAnsi" w:cstheme="minorHAnsi"/>
                <w:sz w:val="20"/>
                <w:szCs w:val="20"/>
                <w:lang w:eastAsia="en-US"/>
              </w:rPr>
              <w:t>Family and Sexual Violence Units</w:t>
            </w:r>
            <w:r w:rsidR="004B64CE">
              <w:rPr>
                <w:rFonts w:asciiTheme="minorHAnsi" w:eastAsia="Calibri" w:hAnsiTheme="minorHAnsi" w:cstheme="minorHAnsi"/>
                <w:sz w:val="20"/>
                <w:szCs w:val="20"/>
                <w:lang w:eastAsia="en-US"/>
              </w:rPr>
              <w:t>.</w:t>
            </w:r>
            <w:r w:rsidRPr="006C3C05">
              <w:rPr>
                <w:rFonts w:asciiTheme="minorHAnsi" w:eastAsia="Calibri" w:hAnsiTheme="minorHAnsi" w:cstheme="minorHAnsi"/>
                <w:sz w:val="20"/>
                <w:szCs w:val="20"/>
                <w:lang w:eastAsia="en-US"/>
              </w:rPr>
              <w:t xml:space="preserve"> </w:t>
            </w:r>
          </w:p>
          <w:p w:rsidR="008D6917" w:rsidRPr="006C3C05" w:rsidRDefault="00B0578B" w:rsidP="008D6917">
            <w:pPr>
              <w:pStyle w:val="ListParagraph"/>
              <w:numPr>
                <w:ilvl w:val="0"/>
                <w:numId w:val="33"/>
              </w:numPr>
              <w:spacing w:after="200" w:line="276" w:lineRule="auto"/>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District Court </w:t>
            </w:r>
            <w:r w:rsidR="008D6917" w:rsidRPr="006C3C05">
              <w:rPr>
                <w:rFonts w:asciiTheme="minorHAnsi" w:eastAsia="Calibri" w:hAnsiTheme="minorHAnsi" w:cstheme="minorHAnsi"/>
                <w:sz w:val="20"/>
                <w:szCs w:val="20"/>
                <w:lang w:eastAsia="en-US"/>
              </w:rPr>
              <w:t xml:space="preserve">and Village Court </w:t>
            </w:r>
            <w:r>
              <w:rPr>
                <w:rFonts w:asciiTheme="minorHAnsi" w:eastAsia="Calibri" w:hAnsiTheme="minorHAnsi" w:cstheme="minorHAnsi"/>
                <w:sz w:val="20"/>
                <w:szCs w:val="20"/>
                <w:lang w:eastAsia="en-US"/>
              </w:rPr>
              <w:t>magistrates increasingly providing p</w:t>
            </w:r>
            <w:r w:rsidR="008D6917" w:rsidRPr="006C3C05">
              <w:rPr>
                <w:rFonts w:asciiTheme="minorHAnsi" w:eastAsia="Calibri" w:hAnsiTheme="minorHAnsi" w:cstheme="minorHAnsi"/>
                <w:sz w:val="20"/>
                <w:szCs w:val="20"/>
                <w:lang w:eastAsia="en-US"/>
              </w:rPr>
              <w:t xml:space="preserve">rotection </w:t>
            </w:r>
            <w:r>
              <w:rPr>
                <w:rFonts w:asciiTheme="minorHAnsi" w:eastAsia="Calibri" w:hAnsiTheme="minorHAnsi" w:cstheme="minorHAnsi"/>
                <w:sz w:val="20"/>
                <w:szCs w:val="20"/>
                <w:lang w:eastAsia="en-US"/>
              </w:rPr>
              <w:t>orders</w:t>
            </w:r>
            <w:r w:rsidR="004B64CE">
              <w:rPr>
                <w:rFonts w:asciiTheme="minorHAnsi" w:eastAsia="Calibri" w:hAnsiTheme="minorHAnsi" w:cstheme="minorHAnsi"/>
                <w:sz w:val="20"/>
                <w:szCs w:val="20"/>
                <w:lang w:eastAsia="en-US"/>
              </w:rPr>
              <w:t>.</w:t>
            </w:r>
          </w:p>
          <w:p w:rsidR="008D6917" w:rsidRPr="006C3C05" w:rsidRDefault="008D6917" w:rsidP="00FA3919">
            <w:pPr>
              <w:pStyle w:val="ListParagraph"/>
              <w:numPr>
                <w:ilvl w:val="0"/>
                <w:numId w:val="33"/>
              </w:numPr>
              <w:spacing w:after="200" w:line="276" w:lineRule="auto"/>
              <w:contextualSpacing/>
              <w:rPr>
                <w:rFonts w:asciiTheme="minorHAnsi" w:eastAsia="Calibri" w:hAnsiTheme="minorHAnsi" w:cstheme="minorHAnsi"/>
                <w:sz w:val="20"/>
                <w:szCs w:val="20"/>
                <w:lang w:eastAsia="en-US"/>
              </w:rPr>
            </w:pPr>
            <w:r w:rsidRPr="006C3C05">
              <w:rPr>
                <w:rFonts w:asciiTheme="minorHAnsi" w:eastAsia="Calibri" w:hAnsiTheme="minorHAnsi" w:cstheme="minorHAnsi"/>
                <w:sz w:val="20"/>
                <w:szCs w:val="20"/>
                <w:lang w:eastAsia="en-US"/>
              </w:rPr>
              <w:t xml:space="preserve">Increasing number of FSV related cases reaching </w:t>
            </w:r>
            <w:r w:rsidR="00FA3919">
              <w:rPr>
                <w:rFonts w:asciiTheme="minorHAnsi" w:eastAsia="Calibri" w:hAnsiTheme="minorHAnsi" w:cstheme="minorHAnsi"/>
                <w:sz w:val="20"/>
                <w:szCs w:val="20"/>
                <w:lang w:eastAsia="en-US"/>
              </w:rPr>
              <w:t>the Office of Public Prosecutor</w:t>
            </w:r>
            <w:r w:rsidR="004B64CE">
              <w:rPr>
                <w:rFonts w:asciiTheme="minorHAnsi" w:eastAsia="Calibri" w:hAnsiTheme="minorHAnsi" w:cstheme="minorHAnsi"/>
                <w:sz w:val="20"/>
                <w:szCs w:val="20"/>
                <w:lang w:eastAsia="en-US"/>
              </w:rPr>
              <w:t>.</w:t>
            </w:r>
            <w:r w:rsidR="00FA3919">
              <w:rPr>
                <w:rFonts w:asciiTheme="minorHAnsi" w:eastAsia="Calibri" w:hAnsiTheme="minorHAnsi" w:cstheme="minorHAnsi"/>
                <w:sz w:val="20"/>
                <w:szCs w:val="20"/>
                <w:lang w:eastAsia="en-US"/>
              </w:rPr>
              <w:t xml:space="preserve"> </w:t>
            </w:r>
          </w:p>
        </w:tc>
        <w:tc>
          <w:tcPr>
            <w:tcW w:w="2104" w:type="pct"/>
          </w:tcPr>
          <w:p w:rsidR="008D6917" w:rsidRPr="006C3C05" w:rsidRDefault="008D6917" w:rsidP="00FC6559">
            <w:pPr>
              <w:spacing w:after="200" w:line="276" w:lineRule="auto"/>
              <w:contextualSpacing/>
              <w:rPr>
                <w:rFonts w:asciiTheme="minorHAnsi" w:eastAsia="Calibri" w:hAnsiTheme="minorHAnsi" w:cstheme="minorHAnsi"/>
                <w:szCs w:val="20"/>
                <w:lang w:eastAsia="en-US"/>
              </w:rPr>
            </w:pPr>
            <w:r w:rsidRPr="006C3C05">
              <w:rPr>
                <w:rFonts w:asciiTheme="minorHAnsi" w:eastAsia="Calibri" w:hAnsiTheme="minorHAnsi" w:cstheme="minorHAnsi"/>
                <w:szCs w:val="20"/>
                <w:lang w:eastAsia="en-US"/>
              </w:rPr>
              <w:t>Promotes Australian and PNG priorities for gender equality and social inclusion</w:t>
            </w:r>
            <w:r>
              <w:rPr>
                <w:rFonts w:asciiTheme="minorHAnsi" w:eastAsia="Calibri" w:hAnsiTheme="minorHAnsi" w:cstheme="minorHAnsi"/>
                <w:szCs w:val="20"/>
                <w:lang w:eastAsia="en-US"/>
              </w:rPr>
              <w:t>, and to support those affected by family and sexual violence.</w:t>
            </w:r>
          </w:p>
        </w:tc>
      </w:tr>
      <w:tr w:rsidR="008D6917" w:rsidRPr="006C3C05" w:rsidTr="00FC6559">
        <w:trPr>
          <w:trHeight w:val="2120"/>
        </w:trPr>
        <w:tc>
          <w:tcPr>
            <w:tcW w:w="1189" w:type="pct"/>
            <w:tcMar>
              <w:top w:w="57" w:type="dxa"/>
              <w:left w:w="108" w:type="dxa"/>
              <w:bottom w:w="57" w:type="dxa"/>
              <w:right w:w="108" w:type="dxa"/>
            </w:tcMar>
          </w:tcPr>
          <w:p w:rsidR="008D6917" w:rsidRPr="00A94C5D" w:rsidRDefault="008D6917" w:rsidP="00FC6559">
            <w:pPr>
              <w:spacing w:after="200" w:line="276" w:lineRule="auto"/>
              <w:contextualSpacing/>
              <w:rPr>
                <w:rFonts w:asciiTheme="minorHAnsi" w:hAnsiTheme="minorHAnsi" w:cstheme="minorHAnsi"/>
                <w:i/>
                <w:color w:val="000000"/>
                <w:szCs w:val="20"/>
              </w:rPr>
            </w:pPr>
            <w:r w:rsidRPr="00A94C5D">
              <w:rPr>
                <w:rFonts w:asciiTheme="minorHAnsi" w:hAnsiTheme="minorHAnsi" w:cstheme="minorHAnsi"/>
                <w:i/>
                <w:color w:val="000000"/>
                <w:szCs w:val="20"/>
              </w:rPr>
              <w:t>Improved resistance, detection, investigation and prosecution of corruption</w:t>
            </w:r>
          </w:p>
        </w:tc>
        <w:tc>
          <w:tcPr>
            <w:tcW w:w="1707" w:type="pct"/>
          </w:tcPr>
          <w:p w:rsidR="00A7661E" w:rsidRPr="00DB4B39" w:rsidRDefault="00A7661E" w:rsidP="00A7661E">
            <w:pPr>
              <w:pStyle w:val="ListParagraph"/>
              <w:numPr>
                <w:ilvl w:val="0"/>
                <w:numId w:val="33"/>
              </w:numPr>
              <w:spacing w:after="200" w:line="276" w:lineRule="auto"/>
              <w:contextualSpacing/>
              <w:rPr>
                <w:rFonts w:asciiTheme="minorHAnsi" w:eastAsia="Calibri" w:hAnsiTheme="minorHAnsi" w:cstheme="minorHAnsi"/>
                <w:sz w:val="20"/>
                <w:szCs w:val="20"/>
                <w:lang w:eastAsia="en-US"/>
              </w:rPr>
            </w:pPr>
            <w:r w:rsidRPr="00DB4B39">
              <w:rPr>
                <w:rFonts w:asciiTheme="minorHAnsi" w:eastAsia="Calibri" w:hAnsiTheme="minorHAnsi" w:cstheme="minorHAnsi"/>
                <w:sz w:val="20"/>
                <w:szCs w:val="20"/>
                <w:lang w:eastAsia="en-US"/>
              </w:rPr>
              <w:t>Measurable progress on FATF Action Plan (assessed by APG Regional Review Group)</w:t>
            </w:r>
            <w:r w:rsidR="004B64CE">
              <w:rPr>
                <w:rFonts w:asciiTheme="minorHAnsi" w:eastAsia="Calibri" w:hAnsiTheme="minorHAnsi" w:cstheme="minorHAnsi"/>
                <w:sz w:val="20"/>
                <w:szCs w:val="20"/>
                <w:lang w:eastAsia="en-US"/>
              </w:rPr>
              <w:t>.</w:t>
            </w:r>
          </w:p>
          <w:p w:rsidR="008D6917" w:rsidRPr="00A7661E" w:rsidRDefault="00A7661E" w:rsidP="00A7661E">
            <w:pPr>
              <w:pStyle w:val="ListParagraph"/>
              <w:numPr>
                <w:ilvl w:val="0"/>
                <w:numId w:val="33"/>
              </w:numPr>
              <w:spacing w:after="200" w:line="276" w:lineRule="auto"/>
              <w:contextualSpacing/>
              <w:rPr>
                <w:rFonts w:asciiTheme="minorHAnsi" w:eastAsia="Calibri" w:hAnsiTheme="minorHAnsi" w:cstheme="minorHAnsi"/>
                <w:sz w:val="20"/>
                <w:szCs w:val="20"/>
                <w:lang w:eastAsia="en-US"/>
              </w:rPr>
            </w:pPr>
            <w:r w:rsidRPr="00A7661E">
              <w:rPr>
                <w:rFonts w:asciiTheme="minorHAnsi" w:eastAsia="Calibri" w:hAnsiTheme="minorHAnsi" w:cstheme="minorHAnsi"/>
                <w:sz w:val="20"/>
                <w:szCs w:val="20"/>
                <w:lang w:eastAsia="en-US"/>
              </w:rPr>
              <w:t>I</w:t>
            </w:r>
            <w:r w:rsidR="008D6917" w:rsidRPr="00A7661E">
              <w:rPr>
                <w:rFonts w:asciiTheme="minorHAnsi" w:eastAsia="Calibri" w:hAnsiTheme="minorHAnsi" w:cstheme="minorHAnsi"/>
                <w:sz w:val="20"/>
                <w:szCs w:val="20"/>
                <w:lang w:eastAsia="en-US"/>
              </w:rPr>
              <w:t xml:space="preserve">ncrease in the number and value of restraint of proceeds of crime cases referred to </w:t>
            </w:r>
            <w:r w:rsidR="00FA3919">
              <w:rPr>
                <w:rFonts w:asciiTheme="minorHAnsi" w:eastAsia="Calibri" w:hAnsiTheme="minorHAnsi" w:cstheme="minorHAnsi"/>
                <w:sz w:val="20"/>
                <w:szCs w:val="20"/>
                <w:lang w:eastAsia="en-US"/>
              </w:rPr>
              <w:t>the Office of Public Prosecutor</w:t>
            </w:r>
            <w:r w:rsidR="004B64CE">
              <w:rPr>
                <w:rFonts w:asciiTheme="minorHAnsi" w:eastAsia="Calibri" w:hAnsiTheme="minorHAnsi" w:cstheme="minorHAnsi"/>
                <w:sz w:val="20"/>
                <w:szCs w:val="20"/>
                <w:lang w:eastAsia="en-US"/>
              </w:rPr>
              <w:t>.</w:t>
            </w:r>
          </w:p>
          <w:p w:rsidR="008D6917" w:rsidRPr="006C3C05" w:rsidRDefault="008D6917" w:rsidP="00A7661E">
            <w:pPr>
              <w:pStyle w:val="ListParagraph"/>
              <w:numPr>
                <w:ilvl w:val="0"/>
                <w:numId w:val="33"/>
              </w:numPr>
              <w:spacing w:after="200" w:line="276" w:lineRule="auto"/>
              <w:contextualSpacing/>
              <w:rPr>
                <w:rFonts w:asciiTheme="minorHAnsi" w:eastAsia="Calibri" w:hAnsiTheme="minorHAnsi" w:cstheme="minorHAnsi"/>
                <w:sz w:val="20"/>
                <w:szCs w:val="20"/>
                <w:lang w:eastAsia="en-US"/>
              </w:rPr>
            </w:pPr>
            <w:r w:rsidRPr="006C3C05">
              <w:rPr>
                <w:rFonts w:asciiTheme="minorHAnsi" w:eastAsia="Calibri" w:hAnsiTheme="minorHAnsi" w:cstheme="minorHAnsi"/>
                <w:sz w:val="20"/>
                <w:szCs w:val="20"/>
                <w:lang w:eastAsia="en-US"/>
              </w:rPr>
              <w:t>ICAC on track to be established</w:t>
            </w:r>
            <w:r w:rsidR="004B64CE">
              <w:rPr>
                <w:rFonts w:asciiTheme="minorHAnsi" w:eastAsia="Calibri" w:hAnsiTheme="minorHAnsi" w:cstheme="minorHAnsi"/>
                <w:sz w:val="20"/>
                <w:szCs w:val="20"/>
                <w:lang w:eastAsia="en-US"/>
              </w:rPr>
              <w:t>.</w:t>
            </w:r>
          </w:p>
        </w:tc>
        <w:tc>
          <w:tcPr>
            <w:tcW w:w="2104" w:type="pct"/>
          </w:tcPr>
          <w:p w:rsidR="008D6917" w:rsidRPr="006C3C05" w:rsidRDefault="00A7661E" w:rsidP="00FA3919">
            <w:pPr>
              <w:spacing w:after="200" w:line="276" w:lineRule="auto"/>
              <w:contextualSpacing/>
              <w:rPr>
                <w:rFonts w:asciiTheme="minorHAnsi" w:eastAsia="Calibri" w:hAnsiTheme="minorHAnsi" w:cstheme="minorHAnsi"/>
                <w:szCs w:val="20"/>
                <w:lang w:eastAsia="en-US"/>
              </w:rPr>
            </w:pPr>
            <w:r>
              <w:rPr>
                <w:rFonts w:asciiTheme="minorHAnsi" w:eastAsia="Calibri" w:hAnsiTheme="minorHAnsi" w:cstheme="minorHAnsi"/>
                <w:szCs w:val="20"/>
                <w:lang w:eastAsia="en-US"/>
              </w:rPr>
              <w:t xml:space="preserve">Required to meet PNG’s international commitments following ‘grey-listing’ by the Financial Action Task Force </w:t>
            </w:r>
            <w:r w:rsidR="008D6917" w:rsidRPr="006C3C05">
              <w:rPr>
                <w:rFonts w:asciiTheme="minorHAnsi" w:eastAsia="Calibri" w:hAnsiTheme="minorHAnsi" w:cstheme="minorHAnsi"/>
                <w:szCs w:val="20"/>
                <w:lang w:eastAsia="en-US"/>
              </w:rPr>
              <w:t xml:space="preserve">and to Australia’s </w:t>
            </w:r>
            <w:r w:rsidR="008D6917">
              <w:rPr>
                <w:rFonts w:asciiTheme="minorHAnsi" w:eastAsia="Calibri" w:hAnsiTheme="minorHAnsi" w:cstheme="minorHAnsi"/>
                <w:szCs w:val="20"/>
                <w:lang w:eastAsia="en-US"/>
              </w:rPr>
              <w:t xml:space="preserve">strong </w:t>
            </w:r>
            <w:r w:rsidR="008D6917" w:rsidRPr="006C3C05">
              <w:rPr>
                <w:rFonts w:asciiTheme="minorHAnsi" w:eastAsia="Calibri" w:hAnsiTheme="minorHAnsi" w:cstheme="minorHAnsi"/>
                <w:szCs w:val="20"/>
                <w:lang w:eastAsia="en-US"/>
              </w:rPr>
              <w:t>anti-corruption focus</w:t>
            </w:r>
            <w:r w:rsidR="008D6917">
              <w:rPr>
                <w:rFonts w:asciiTheme="minorHAnsi" w:eastAsia="Calibri" w:hAnsiTheme="minorHAnsi" w:cstheme="minorHAnsi"/>
                <w:szCs w:val="20"/>
                <w:lang w:eastAsia="en-US"/>
              </w:rPr>
              <w:t xml:space="preserve"> in the aid program</w:t>
            </w:r>
            <w:r w:rsidR="008D6917" w:rsidRPr="006C3C05">
              <w:rPr>
                <w:rFonts w:asciiTheme="minorHAnsi" w:eastAsia="Calibri" w:hAnsiTheme="minorHAnsi" w:cstheme="minorHAnsi"/>
                <w:szCs w:val="20"/>
                <w:lang w:eastAsia="en-US"/>
              </w:rPr>
              <w:t>.</w:t>
            </w:r>
            <w:r>
              <w:rPr>
                <w:rFonts w:asciiTheme="minorHAnsi" w:eastAsia="Calibri" w:hAnsiTheme="minorHAnsi" w:cstheme="minorHAnsi"/>
                <w:szCs w:val="20"/>
                <w:lang w:eastAsia="en-US"/>
              </w:rPr>
              <w:t xml:space="preserve"> </w:t>
            </w:r>
          </w:p>
        </w:tc>
      </w:tr>
      <w:tr w:rsidR="008D6917" w:rsidRPr="006C3C05" w:rsidTr="008D6917">
        <w:tc>
          <w:tcPr>
            <w:tcW w:w="5000" w:type="pct"/>
            <w:gridSpan w:val="3"/>
            <w:tcMar>
              <w:top w:w="57" w:type="dxa"/>
              <w:left w:w="108" w:type="dxa"/>
              <w:bottom w:w="57" w:type="dxa"/>
              <w:right w:w="108" w:type="dxa"/>
            </w:tcMar>
          </w:tcPr>
          <w:p w:rsidR="008D6917" w:rsidRPr="006C3C05" w:rsidRDefault="00FC6559" w:rsidP="00FC6559">
            <w:pPr>
              <w:keepNext/>
              <w:keepLines/>
              <w:spacing w:before="200"/>
              <w:outlineLvl w:val="2"/>
              <w:rPr>
                <w:rFonts w:asciiTheme="minorHAnsi" w:eastAsiaTheme="majorEastAsia" w:hAnsiTheme="minorHAnsi" w:cstheme="minorHAnsi"/>
                <w:b/>
                <w:bCs/>
                <w:color w:val="C00000"/>
                <w:szCs w:val="20"/>
              </w:rPr>
            </w:pPr>
            <w:r>
              <w:rPr>
                <w:rFonts w:asciiTheme="minorHAnsi" w:hAnsiTheme="minorHAnsi" w:cstheme="minorHAnsi"/>
                <w:b/>
                <w:color w:val="C00000"/>
                <w:szCs w:val="20"/>
              </w:rPr>
              <w:t>Objective 4</w:t>
            </w:r>
            <w:r w:rsidR="008D6917" w:rsidRPr="006C3C05">
              <w:rPr>
                <w:rFonts w:asciiTheme="minorHAnsi" w:hAnsiTheme="minorHAnsi" w:cstheme="minorHAnsi"/>
                <w:b/>
                <w:color w:val="C00000"/>
                <w:szCs w:val="20"/>
              </w:rPr>
              <w:t xml:space="preserve"> – Improved transport outcomes</w:t>
            </w:r>
          </w:p>
          <w:p w:rsidR="008D6917" w:rsidRPr="006C3C05" w:rsidRDefault="008D6917" w:rsidP="00FC6559">
            <w:pPr>
              <w:keepLines/>
              <w:spacing w:after="200" w:line="276" w:lineRule="auto"/>
              <w:contextualSpacing/>
              <w:rPr>
                <w:rFonts w:asciiTheme="minorHAnsi" w:eastAsia="Calibri" w:hAnsiTheme="minorHAnsi" w:cstheme="minorHAnsi"/>
                <w:szCs w:val="20"/>
                <w:lang w:eastAsia="en-US"/>
              </w:rPr>
            </w:pPr>
          </w:p>
        </w:tc>
      </w:tr>
      <w:tr w:rsidR="008D6917" w:rsidRPr="006C3C05" w:rsidTr="00FC6559">
        <w:tc>
          <w:tcPr>
            <w:tcW w:w="1189" w:type="pct"/>
            <w:tcMar>
              <w:top w:w="57" w:type="dxa"/>
              <w:left w:w="108" w:type="dxa"/>
              <w:bottom w:w="57" w:type="dxa"/>
              <w:right w:w="108" w:type="dxa"/>
            </w:tcMar>
          </w:tcPr>
          <w:p w:rsidR="008D6917" w:rsidRPr="00AF16DE" w:rsidRDefault="008D6917" w:rsidP="00FC6559">
            <w:pPr>
              <w:keepLines/>
              <w:spacing w:before="40" w:after="40" w:line="200" w:lineRule="atLeast"/>
              <w:rPr>
                <w:rFonts w:asciiTheme="minorHAnsi" w:eastAsia="Times New Roman" w:hAnsiTheme="minorHAnsi" w:cstheme="minorHAnsi"/>
                <w:i/>
                <w:iCs/>
                <w:color w:val="000000"/>
                <w:szCs w:val="20"/>
              </w:rPr>
            </w:pPr>
            <w:r w:rsidRPr="00AF16DE">
              <w:rPr>
                <w:rFonts w:asciiTheme="minorHAnsi" w:eastAsia="Times New Roman" w:hAnsiTheme="minorHAnsi" w:cstheme="minorHAnsi"/>
                <w:i/>
                <w:iCs/>
                <w:color w:val="000000"/>
                <w:szCs w:val="20"/>
              </w:rPr>
              <w:t xml:space="preserve">Improved Road Infrastructure </w:t>
            </w:r>
          </w:p>
        </w:tc>
        <w:tc>
          <w:tcPr>
            <w:tcW w:w="1707" w:type="pct"/>
          </w:tcPr>
          <w:p w:rsidR="008D6917" w:rsidRPr="00762E3A" w:rsidRDefault="008D6917" w:rsidP="008D6917">
            <w:pPr>
              <w:pStyle w:val="ListParagraph"/>
              <w:numPr>
                <w:ilvl w:val="0"/>
                <w:numId w:val="37"/>
              </w:numPr>
              <w:spacing w:after="200" w:line="276" w:lineRule="auto"/>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75 per cent </w:t>
            </w:r>
            <w:r w:rsidRPr="00762E3A">
              <w:rPr>
                <w:rFonts w:asciiTheme="minorHAnsi" w:eastAsia="Calibri" w:hAnsiTheme="minorHAnsi" w:cstheme="minorHAnsi"/>
                <w:sz w:val="20"/>
                <w:szCs w:val="20"/>
                <w:lang w:eastAsia="en-US"/>
              </w:rPr>
              <w:t xml:space="preserve">of </w:t>
            </w:r>
            <w:r>
              <w:rPr>
                <w:rFonts w:asciiTheme="minorHAnsi" w:eastAsia="Calibri" w:hAnsiTheme="minorHAnsi" w:cstheme="minorHAnsi"/>
                <w:sz w:val="20"/>
                <w:szCs w:val="20"/>
                <w:lang w:eastAsia="en-US"/>
              </w:rPr>
              <w:t xml:space="preserve">the </w:t>
            </w:r>
            <w:r w:rsidRPr="00762E3A">
              <w:rPr>
                <w:rFonts w:asciiTheme="minorHAnsi" w:eastAsia="Calibri" w:hAnsiTheme="minorHAnsi" w:cstheme="minorHAnsi"/>
                <w:sz w:val="20"/>
                <w:szCs w:val="20"/>
                <w:lang w:eastAsia="en-US"/>
              </w:rPr>
              <w:t>16 national priority roads in good condition</w:t>
            </w:r>
            <w:r>
              <w:rPr>
                <w:rFonts w:asciiTheme="minorHAnsi" w:eastAsia="Calibri" w:hAnsiTheme="minorHAnsi" w:cstheme="minorHAnsi"/>
                <w:sz w:val="20"/>
                <w:szCs w:val="20"/>
                <w:lang w:eastAsia="en-US"/>
              </w:rPr>
              <w:t xml:space="preserve"> (as rated in PNG’s Road Asset Maintenance System)</w:t>
            </w:r>
            <w:r w:rsidR="004B64CE">
              <w:rPr>
                <w:rFonts w:asciiTheme="minorHAnsi" w:eastAsia="Calibri" w:hAnsiTheme="minorHAnsi" w:cstheme="minorHAnsi"/>
                <w:sz w:val="20"/>
                <w:szCs w:val="20"/>
                <w:lang w:eastAsia="en-US"/>
              </w:rPr>
              <w:t>.</w:t>
            </w:r>
          </w:p>
        </w:tc>
        <w:tc>
          <w:tcPr>
            <w:tcW w:w="2104" w:type="pct"/>
          </w:tcPr>
          <w:p w:rsidR="008D6917" w:rsidRPr="006C3C05" w:rsidRDefault="008D6917" w:rsidP="00FC6559">
            <w:pPr>
              <w:spacing w:after="200" w:line="276" w:lineRule="auto"/>
              <w:contextualSpacing/>
              <w:rPr>
                <w:rFonts w:asciiTheme="minorHAnsi" w:eastAsia="Calibri" w:hAnsiTheme="minorHAnsi" w:cstheme="minorHAnsi"/>
                <w:szCs w:val="20"/>
                <w:lang w:eastAsia="en-US"/>
              </w:rPr>
            </w:pPr>
            <w:r>
              <w:rPr>
                <w:rFonts w:asciiTheme="minorHAnsi" w:eastAsia="Calibri" w:hAnsiTheme="minorHAnsi" w:cstheme="minorHAnsi"/>
                <w:szCs w:val="20"/>
                <w:lang w:eastAsia="en-US"/>
              </w:rPr>
              <w:t>Reflects a key priority in PNG’s Medium Term Development Plan 2011-15 and Australia’s priority to infrastructure as a means of facilitating economic growth.</w:t>
            </w:r>
          </w:p>
        </w:tc>
      </w:tr>
      <w:tr w:rsidR="008D6917" w:rsidRPr="006C3C05" w:rsidTr="00FC6559">
        <w:tc>
          <w:tcPr>
            <w:tcW w:w="1189" w:type="pct"/>
            <w:tcMar>
              <w:top w:w="57" w:type="dxa"/>
              <w:left w:w="108" w:type="dxa"/>
              <w:bottom w:w="57" w:type="dxa"/>
              <w:right w:w="108" w:type="dxa"/>
            </w:tcMar>
          </w:tcPr>
          <w:p w:rsidR="008D6917" w:rsidRPr="00AF16DE" w:rsidRDefault="008D6917" w:rsidP="00FC6559">
            <w:pPr>
              <w:keepLines/>
              <w:spacing w:before="40" w:after="40" w:line="200" w:lineRule="atLeast"/>
              <w:rPr>
                <w:rFonts w:asciiTheme="minorHAnsi" w:eastAsia="Times New Roman" w:hAnsiTheme="minorHAnsi" w:cstheme="minorHAnsi"/>
                <w:i/>
                <w:iCs/>
                <w:color w:val="000000"/>
                <w:szCs w:val="20"/>
              </w:rPr>
            </w:pPr>
            <w:r w:rsidRPr="00AF16DE">
              <w:rPr>
                <w:rFonts w:asciiTheme="minorHAnsi" w:eastAsia="Times New Roman" w:hAnsiTheme="minorHAnsi" w:cstheme="minorHAnsi"/>
                <w:i/>
                <w:iCs/>
                <w:color w:val="000000"/>
                <w:szCs w:val="20"/>
              </w:rPr>
              <w:t>Improved Aviation and Maritime Infrastructure</w:t>
            </w:r>
          </w:p>
        </w:tc>
        <w:tc>
          <w:tcPr>
            <w:tcW w:w="1707" w:type="pct"/>
          </w:tcPr>
          <w:p w:rsidR="008D6917" w:rsidRPr="00AF16DE" w:rsidRDefault="008D6917" w:rsidP="008D6917">
            <w:pPr>
              <w:pStyle w:val="ListParagraph"/>
              <w:numPr>
                <w:ilvl w:val="0"/>
                <w:numId w:val="37"/>
              </w:numPr>
              <w:spacing w:after="200" w:line="276" w:lineRule="auto"/>
              <w:contextualSpacing/>
              <w:rPr>
                <w:rFonts w:asciiTheme="minorHAnsi" w:eastAsia="Calibri" w:hAnsiTheme="minorHAnsi" w:cstheme="minorHAnsi"/>
                <w:sz w:val="20"/>
                <w:szCs w:val="20"/>
                <w:lang w:eastAsia="en-US"/>
              </w:rPr>
            </w:pPr>
            <w:r w:rsidRPr="00AF16DE">
              <w:rPr>
                <w:rFonts w:asciiTheme="minorHAnsi" w:eastAsia="Calibri" w:hAnsiTheme="minorHAnsi" w:cstheme="minorHAnsi"/>
                <w:sz w:val="20"/>
                <w:szCs w:val="20"/>
                <w:lang w:eastAsia="en-US"/>
              </w:rPr>
              <w:t>Aviation and maritime transport services have consistently moved towards full compliance with international safety and security standards</w:t>
            </w:r>
            <w:r w:rsidR="004B64CE">
              <w:rPr>
                <w:rFonts w:asciiTheme="minorHAnsi" w:eastAsia="Calibri" w:hAnsiTheme="minorHAnsi" w:cstheme="minorHAnsi"/>
                <w:sz w:val="20"/>
                <w:szCs w:val="20"/>
                <w:lang w:eastAsia="en-US"/>
              </w:rPr>
              <w:t>.</w:t>
            </w:r>
          </w:p>
        </w:tc>
        <w:tc>
          <w:tcPr>
            <w:tcW w:w="2104" w:type="pct"/>
          </w:tcPr>
          <w:p w:rsidR="008D6917" w:rsidRPr="006C3C05" w:rsidRDefault="008D6917" w:rsidP="00FC6559">
            <w:pPr>
              <w:spacing w:after="200" w:line="276" w:lineRule="auto"/>
              <w:contextualSpacing/>
              <w:rPr>
                <w:rFonts w:asciiTheme="minorHAnsi" w:eastAsia="Calibri" w:hAnsiTheme="minorHAnsi" w:cstheme="minorHAnsi"/>
                <w:szCs w:val="20"/>
                <w:lang w:eastAsia="en-US"/>
              </w:rPr>
            </w:pPr>
            <w:r>
              <w:rPr>
                <w:rFonts w:asciiTheme="minorHAnsi" w:eastAsia="Calibri" w:hAnsiTheme="minorHAnsi" w:cstheme="minorHAnsi"/>
                <w:szCs w:val="20"/>
                <w:lang w:eastAsia="en-US"/>
              </w:rPr>
              <w:t>Reflects a key priority in PNG’s Medium Term Development Plan 2011-15 and Australia’s priority to infrastructure as a means of facilitating economic growth.</w:t>
            </w:r>
          </w:p>
        </w:tc>
      </w:tr>
      <w:bookmarkEnd w:id="2"/>
    </w:tbl>
    <w:p w:rsidR="00FC6559" w:rsidRDefault="00FC6559" w:rsidP="00FC6559">
      <w:pPr>
        <w:rPr>
          <w:rFonts w:ascii="Helvetica" w:eastAsia="Times New Roman" w:hAnsi="Helvetica" w:cs="Arial"/>
          <w:color w:val="007FAD"/>
          <w:kern w:val="28"/>
          <w:sz w:val="24"/>
          <w:szCs w:val="28"/>
        </w:rPr>
      </w:pPr>
    </w:p>
    <w:sectPr w:rsidR="00FC6559" w:rsidSect="00FE2B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2E" w:rsidRDefault="00A35F2E" w:rsidP="002B0F30">
      <w:r>
        <w:separator/>
      </w:r>
    </w:p>
  </w:endnote>
  <w:endnote w:type="continuationSeparator" w:id="0">
    <w:p w:rsidR="00A35F2E" w:rsidRDefault="00A35F2E" w:rsidP="002B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2B" w:rsidRDefault="00A73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1701"/>
      <w:docPartObj>
        <w:docPartGallery w:val="Page Numbers (Bottom of Page)"/>
        <w:docPartUnique/>
      </w:docPartObj>
    </w:sdtPr>
    <w:sdtEndPr>
      <w:rPr>
        <w:noProof/>
      </w:rPr>
    </w:sdtEndPr>
    <w:sdtContent>
      <w:p w:rsidR="00A35F2E" w:rsidRDefault="00A35F2E">
        <w:pPr>
          <w:pStyle w:val="Footer"/>
          <w:jc w:val="right"/>
        </w:pPr>
        <w:r>
          <w:fldChar w:fldCharType="begin"/>
        </w:r>
        <w:r>
          <w:instrText xml:space="preserve"> PAGE   \* MERGEFORMAT </w:instrText>
        </w:r>
        <w:r>
          <w:fldChar w:fldCharType="separate"/>
        </w:r>
        <w:r w:rsidR="00A73A2B">
          <w:rPr>
            <w:noProof/>
          </w:rPr>
          <w:t>1</w:t>
        </w:r>
        <w:r>
          <w:rPr>
            <w:noProof/>
          </w:rPr>
          <w:fldChar w:fldCharType="end"/>
        </w:r>
      </w:p>
    </w:sdtContent>
  </w:sdt>
  <w:p w:rsidR="00A35F2E" w:rsidRDefault="00A35F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2B" w:rsidRDefault="00A73A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2E" w:rsidRPr="004C4A3E" w:rsidRDefault="00A35F2E" w:rsidP="000229E5">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8240" behindDoc="1" locked="1" layoutInCell="1" allowOverlap="1" wp14:anchorId="40942729" wp14:editId="0EAF3341">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A73A2B">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A73A2B">
      <w:rPr>
        <w:rFonts w:ascii="Franklin Gothic Medium" w:hAnsi="Franklin Gothic Medium"/>
        <w:noProof/>
        <w:color w:val="54534A"/>
        <w:sz w:val="14"/>
        <w:szCs w:val="14"/>
      </w:rPr>
      <w:t>32</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7216" behindDoc="1" locked="0" layoutInCell="1" allowOverlap="1" wp14:anchorId="335EA599" wp14:editId="5103B606">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6192" behindDoc="1" locked="0" layoutInCell="1" allowOverlap="1" wp14:anchorId="166ADD0C" wp14:editId="1CAED92C">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2E" w:rsidRDefault="00A35F2E" w:rsidP="002B0F30">
      <w:r>
        <w:separator/>
      </w:r>
    </w:p>
  </w:footnote>
  <w:footnote w:type="continuationSeparator" w:id="0">
    <w:p w:rsidR="00A35F2E" w:rsidRDefault="00A35F2E" w:rsidP="002B0F30">
      <w:r>
        <w:continuationSeparator/>
      </w:r>
    </w:p>
  </w:footnote>
  <w:footnote w:id="1">
    <w:p w:rsidR="00A35F2E" w:rsidRDefault="00A35F2E" w:rsidP="0066744F">
      <w:pPr>
        <w:pStyle w:val="FootnoteText"/>
        <w:spacing w:line="240" w:lineRule="auto"/>
      </w:pPr>
      <w:r>
        <w:rPr>
          <w:rStyle w:val="FootnoteReference"/>
        </w:rPr>
        <w:footnoteRef/>
      </w:r>
      <w:r>
        <w:t xml:space="preserve"> The 2012 Pacific Regional MDG Tracking Report</w:t>
      </w:r>
    </w:p>
  </w:footnote>
  <w:footnote w:id="2">
    <w:p w:rsidR="00A35F2E" w:rsidRDefault="00A35F2E" w:rsidP="0066744F">
      <w:pPr>
        <w:pStyle w:val="FootnoteText"/>
        <w:spacing w:line="240" w:lineRule="auto"/>
      </w:pPr>
      <w:r>
        <w:rPr>
          <w:rStyle w:val="FootnoteReference"/>
        </w:rPr>
        <w:footnoteRef/>
      </w:r>
      <w:r>
        <w:t xml:space="preserve"> International Monetary Fund, December 2013, PNG Staff Report for the 2013 Article IV Consultation; UNDP 2013 Human Development Report, the UNDP Gender Inequality Index.</w:t>
      </w:r>
    </w:p>
  </w:footnote>
  <w:footnote w:id="3">
    <w:p w:rsidR="00A35F2E" w:rsidRDefault="00A35F2E" w:rsidP="0066744F">
      <w:pPr>
        <w:pStyle w:val="FootnoteText"/>
        <w:spacing w:line="240" w:lineRule="auto"/>
      </w:pPr>
      <w:r>
        <w:footnoteRef/>
      </w:r>
      <w:r>
        <w:t xml:space="preserve"> World Health Organisation, Life Expectancy Data for PNG</w:t>
      </w:r>
    </w:p>
  </w:footnote>
  <w:footnote w:id="4">
    <w:p w:rsidR="00A35F2E" w:rsidRDefault="00A35F2E" w:rsidP="00D0123E">
      <w:pPr>
        <w:pStyle w:val="FootnoteText"/>
      </w:pPr>
      <w:r>
        <w:rPr>
          <w:rStyle w:val="FootnoteReference"/>
        </w:rPr>
        <w:footnoteRef/>
      </w:r>
      <w:r>
        <w:t xml:space="preserve"> UNDP, </w:t>
      </w:r>
      <w:r w:rsidRPr="003D5283">
        <w:t>The</w:t>
      </w:r>
      <w:r>
        <w:t xml:space="preserve"> 2013 Human Development Report</w:t>
      </w:r>
    </w:p>
  </w:footnote>
  <w:footnote w:id="5">
    <w:p w:rsidR="00A35F2E" w:rsidRDefault="00A35F2E" w:rsidP="00223181">
      <w:pPr>
        <w:pStyle w:val="FootnoteText"/>
      </w:pPr>
      <w:r>
        <w:rPr>
          <w:rStyle w:val="FootnoteReference"/>
        </w:rPr>
        <w:footnoteRef/>
      </w:r>
      <w:r>
        <w:t xml:space="preserve"> World Bank, UNDP, PNG Government, ADB 2013, </w:t>
      </w:r>
      <w:r>
        <w:rPr>
          <w:i/>
        </w:rPr>
        <w:t>Papua New Guinea Country Gender Assessment 2011-12,</w:t>
      </w:r>
      <w:r>
        <w:t xml:space="preserve"> World Bank, Port Moresby, PNG, p52</w:t>
      </w:r>
    </w:p>
  </w:footnote>
  <w:footnote w:id="6">
    <w:p w:rsidR="00A35F2E" w:rsidRDefault="00A35F2E" w:rsidP="00C12BEA">
      <w:pPr>
        <w:pStyle w:val="FootnoteText"/>
      </w:pPr>
      <w:r>
        <w:rPr>
          <w:rStyle w:val="FootnoteReference"/>
        </w:rPr>
        <w:footnoteRef/>
      </w:r>
      <w:r>
        <w:t xml:space="preserve"> </w:t>
      </w:r>
      <w:r w:rsidRPr="007F723F">
        <w:t>PNG Law and Justice Sector Strategic Framework</w:t>
      </w:r>
    </w:p>
  </w:footnote>
  <w:footnote w:id="7">
    <w:p w:rsidR="00A35F2E" w:rsidRDefault="00A35F2E" w:rsidP="00C12BEA">
      <w:pPr>
        <w:pStyle w:val="FootnoteText"/>
      </w:pPr>
      <w:r>
        <w:rPr>
          <w:rStyle w:val="FootnoteReference"/>
        </w:rPr>
        <w:footnoteRef/>
      </w:r>
      <w:r>
        <w:t xml:space="preserve"> Asian Development Bank, (2014). The Challenges of Doing Business in </w:t>
      </w:r>
      <w:r w:rsidRPr="004C0A54">
        <w:t>Papua New Guinea</w:t>
      </w:r>
      <w:r>
        <w:t xml:space="preserve">: an analytical summary of the 2012 business environment survey by the Institute of National Affairs </w:t>
      </w:r>
      <w:r w:rsidRPr="004C0A54">
        <w:t xml:space="preserve"> </w:t>
      </w:r>
    </w:p>
  </w:footnote>
  <w:footnote w:id="8">
    <w:p w:rsidR="00A35F2E" w:rsidRDefault="00A35F2E" w:rsidP="003847B8">
      <w:pPr>
        <w:pStyle w:val="FootnoteText"/>
      </w:pPr>
      <w:r>
        <w:rPr>
          <w:rStyle w:val="FootnoteReference"/>
        </w:rPr>
        <w:footnoteRef/>
      </w:r>
      <w:r>
        <w:t xml:space="preserve"> Technical support provided under the Strongim Gavman Program to the PNG Department of Treasury, SGP QAI 2013-14.</w:t>
      </w:r>
    </w:p>
  </w:footnote>
  <w:footnote w:id="9">
    <w:p w:rsidR="00A35F2E" w:rsidRDefault="00A35F2E" w:rsidP="003847B8">
      <w:pPr>
        <w:pStyle w:val="FootnoteText"/>
      </w:pPr>
      <w:r>
        <w:rPr>
          <w:rStyle w:val="FootnoteReference"/>
        </w:rPr>
        <w:footnoteRef/>
      </w:r>
      <w:r>
        <w:t xml:space="preserve"> SGP Treasury Team Leader, SGP Treasury Progress Report 2013-14, email, 27 April, 2014.</w:t>
      </w:r>
    </w:p>
  </w:footnote>
  <w:footnote w:id="10">
    <w:p w:rsidR="00A35F2E" w:rsidRDefault="00A35F2E" w:rsidP="003847B8">
      <w:pPr>
        <w:pStyle w:val="FootnoteText"/>
      </w:pPr>
      <w:r>
        <w:rPr>
          <w:rStyle w:val="FootnoteReference"/>
        </w:rPr>
        <w:footnoteRef/>
      </w:r>
      <w:r>
        <w:t xml:space="preserve"> </w:t>
      </w:r>
      <w:r w:rsidRPr="00622B1C">
        <w:t>EPSP Annual Report, 2012-13</w:t>
      </w:r>
    </w:p>
  </w:footnote>
  <w:footnote w:id="11">
    <w:p w:rsidR="00A35F2E" w:rsidRDefault="00A35F2E" w:rsidP="003847B8">
      <w:pPr>
        <w:pStyle w:val="FootnoteText"/>
      </w:pPr>
      <w:r>
        <w:rPr>
          <w:rStyle w:val="FootnoteReference"/>
        </w:rPr>
        <w:footnoteRef/>
      </w:r>
      <w:r>
        <w:t xml:space="preserve"> PLGP Annual Report 2012-13</w:t>
      </w:r>
    </w:p>
  </w:footnote>
  <w:footnote w:id="12">
    <w:p w:rsidR="00A35F2E" w:rsidRDefault="00A35F2E" w:rsidP="003847B8">
      <w:pPr>
        <w:pStyle w:val="FootnoteText"/>
      </w:pPr>
      <w:r>
        <w:rPr>
          <w:rStyle w:val="FootnoteReference"/>
        </w:rPr>
        <w:footnoteRef/>
      </w:r>
      <w:r>
        <w:t xml:space="preserve"> SGP Finance Six Monthly Report July –December 2013.</w:t>
      </w:r>
    </w:p>
  </w:footnote>
  <w:footnote w:id="13">
    <w:p w:rsidR="00A35F2E" w:rsidRDefault="00A35F2E" w:rsidP="003847B8">
      <w:pPr>
        <w:pStyle w:val="FootnoteText"/>
      </w:pPr>
      <w:r>
        <w:rPr>
          <w:rStyle w:val="FootnoteReference"/>
        </w:rPr>
        <w:footnoteRef/>
      </w:r>
      <w:r>
        <w:t xml:space="preserve"> ESP Completion Report, 2013</w:t>
      </w:r>
    </w:p>
  </w:footnote>
  <w:footnote w:id="14">
    <w:p w:rsidR="00A35F2E" w:rsidRDefault="00A35F2E" w:rsidP="003847B8">
      <w:pPr>
        <w:pStyle w:val="FootnoteText"/>
      </w:pPr>
      <w:r>
        <w:rPr>
          <w:rStyle w:val="FootnoteReference"/>
        </w:rPr>
        <w:footnoteRef/>
      </w:r>
      <w:r>
        <w:t xml:space="preserve"> Anecdotal information from Centre for Democratic Institutions (CDI)  </w:t>
      </w:r>
    </w:p>
  </w:footnote>
  <w:footnote w:id="15">
    <w:p w:rsidR="00A35F2E" w:rsidRDefault="00A35F2E" w:rsidP="00AF137D">
      <w:pPr>
        <w:pStyle w:val="FootnoteText"/>
      </w:pPr>
      <w:r>
        <w:rPr>
          <w:rStyle w:val="FootnoteReference"/>
        </w:rPr>
        <w:footnoteRef/>
      </w:r>
      <w:r>
        <w:t xml:space="preserve"> Ibid, p53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2B" w:rsidRDefault="00A73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2B" w:rsidRDefault="00A73A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2B" w:rsidRDefault="00A73A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2E" w:rsidRDefault="00A35F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2E" w:rsidRDefault="00A35F2E">
    <w:pPr>
      <w:pStyle w:val="Header"/>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2E" w:rsidRDefault="00A35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0FB5628"/>
    <w:multiLevelType w:val="hybridMultilevel"/>
    <w:tmpl w:val="F9C2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7A7BEA"/>
    <w:multiLevelType w:val="hybridMultilevel"/>
    <w:tmpl w:val="2C1CB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2807C7"/>
    <w:multiLevelType w:val="hybridMultilevel"/>
    <w:tmpl w:val="121E54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94A645D"/>
    <w:multiLevelType w:val="hybridMultilevel"/>
    <w:tmpl w:val="1E5632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4C0B2E"/>
    <w:multiLevelType w:val="hybridMultilevel"/>
    <w:tmpl w:val="B616EC00"/>
    <w:lvl w:ilvl="0" w:tplc="109C798C">
      <w:numFmt w:val="bullet"/>
      <w:lvlText w:val="-"/>
      <w:lvlJc w:val="left"/>
      <w:pPr>
        <w:ind w:left="360" w:hanging="360"/>
      </w:pPr>
      <w:rPr>
        <w:rFonts w:ascii="Franklin Gothic Book" w:eastAsia="Times New Roman" w:hAnsi="Franklin Gothic Book" w:cs="Times New Roman" w:hint="default"/>
      </w:rPr>
    </w:lvl>
    <w:lvl w:ilvl="1" w:tplc="0C090003">
      <w:start w:val="1"/>
      <w:numFmt w:val="bullet"/>
      <w:lvlText w:val="o"/>
      <w:lvlJc w:val="left"/>
      <w:pPr>
        <w:ind w:left="1215" w:hanging="360"/>
      </w:pPr>
      <w:rPr>
        <w:rFonts w:ascii="Courier New" w:hAnsi="Courier New" w:cs="Courier New" w:hint="default"/>
      </w:rPr>
    </w:lvl>
    <w:lvl w:ilvl="2" w:tplc="0C090005">
      <w:start w:val="1"/>
      <w:numFmt w:val="bullet"/>
      <w:lvlText w:val=""/>
      <w:lvlJc w:val="left"/>
      <w:pPr>
        <w:ind w:left="1935" w:hanging="360"/>
      </w:pPr>
      <w:rPr>
        <w:rFonts w:ascii="Wingdings" w:hAnsi="Wingdings" w:hint="default"/>
      </w:rPr>
    </w:lvl>
    <w:lvl w:ilvl="3" w:tplc="0C090001">
      <w:start w:val="1"/>
      <w:numFmt w:val="bullet"/>
      <w:lvlText w:val=""/>
      <w:lvlJc w:val="left"/>
      <w:pPr>
        <w:ind w:left="2655" w:hanging="360"/>
      </w:pPr>
      <w:rPr>
        <w:rFonts w:ascii="Symbol" w:hAnsi="Symbol" w:hint="default"/>
      </w:rPr>
    </w:lvl>
    <w:lvl w:ilvl="4" w:tplc="0C090003">
      <w:start w:val="1"/>
      <w:numFmt w:val="bullet"/>
      <w:lvlText w:val="o"/>
      <w:lvlJc w:val="left"/>
      <w:pPr>
        <w:ind w:left="3375" w:hanging="360"/>
      </w:pPr>
      <w:rPr>
        <w:rFonts w:ascii="Courier New" w:hAnsi="Courier New" w:cs="Courier New" w:hint="default"/>
      </w:rPr>
    </w:lvl>
    <w:lvl w:ilvl="5" w:tplc="0C090005">
      <w:start w:val="1"/>
      <w:numFmt w:val="bullet"/>
      <w:lvlText w:val=""/>
      <w:lvlJc w:val="left"/>
      <w:pPr>
        <w:ind w:left="4095" w:hanging="360"/>
      </w:pPr>
      <w:rPr>
        <w:rFonts w:ascii="Wingdings" w:hAnsi="Wingdings" w:hint="default"/>
      </w:rPr>
    </w:lvl>
    <w:lvl w:ilvl="6" w:tplc="0C090001">
      <w:start w:val="1"/>
      <w:numFmt w:val="bullet"/>
      <w:lvlText w:val=""/>
      <w:lvlJc w:val="left"/>
      <w:pPr>
        <w:ind w:left="4815" w:hanging="360"/>
      </w:pPr>
      <w:rPr>
        <w:rFonts w:ascii="Symbol" w:hAnsi="Symbol" w:hint="default"/>
      </w:rPr>
    </w:lvl>
    <w:lvl w:ilvl="7" w:tplc="0C090003">
      <w:start w:val="1"/>
      <w:numFmt w:val="bullet"/>
      <w:lvlText w:val="o"/>
      <w:lvlJc w:val="left"/>
      <w:pPr>
        <w:ind w:left="5535" w:hanging="360"/>
      </w:pPr>
      <w:rPr>
        <w:rFonts w:ascii="Courier New" w:hAnsi="Courier New" w:cs="Courier New" w:hint="default"/>
      </w:rPr>
    </w:lvl>
    <w:lvl w:ilvl="8" w:tplc="0C090005">
      <w:start w:val="1"/>
      <w:numFmt w:val="bullet"/>
      <w:lvlText w:val=""/>
      <w:lvlJc w:val="left"/>
      <w:pPr>
        <w:ind w:left="6255" w:hanging="360"/>
      </w:pPr>
      <w:rPr>
        <w:rFonts w:ascii="Wingdings" w:hAnsi="Wingdings" w:hint="default"/>
      </w:rPr>
    </w:lvl>
  </w:abstractNum>
  <w:abstractNum w:abstractNumId="10">
    <w:nsid w:val="1EA73633"/>
    <w:multiLevelType w:val="hybridMultilevel"/>
    <w:tmpl w:val="EC76280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2">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3">
    <w:nsid w:val="20A22749"/>
    <w:multiLevelType w:val="hybridMultilevel"/>
    <w:tmpl w:val="47F2882A"/>
    <w:lvl w:ilvl="0" w:tplc="A3464826">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84052E"/>
    <w:multiLevelType w:val="hybridMultilevel"/>
    <w:tmpl w:val="E454F220"/>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nsid w:val="283D7734"/>
    <w:multiLevelType w:val="hybridMultilevel"/>
    <w:tmpl w:val="07FA5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FEA5098"/>
    <w:multiLevelType w:val="hybridMultilevel"/>
    <w:tmpl w:val="EA067CFA"/>
    <w:lvl w:ilvl="0" w:tplc="F7B8F9D0">
      <w:start w:val="1"/>
      <w:numFmt w:val="decimal"/>
      <w:lvlText w:val="%1."/>
      <w:lvlJc w:val="left"/>
      <w:pPr>
        <w:ind w:left="720" w:hanging="360"/>
      </w:pPr>
      <w:rPr>
        <w:rFonts w:asciiTheme="minorHAnsi" w:eastAsia="Times New Roman" w:hAnsiTheme="minorHAnsi" w:cstheme="minorHAns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2A521FC"/>
    <w:multiLevelType w:val="hybridMultilevel"/>
    <w:tmpl w:val="F216BE54"/>
    <w:lvl w:ilvl="0" w:tplc="0C09000F">
      <w:start w:val="1"/>
      <w:numFmt w:val="decimal"/>
      <w:lvlText w:val="%1."/>
      <w:lvlJc w:val="left"/>
      <w:pPr>
        <w:ind w:left="363" w:hanging="360"/>
      </w:pPr>
      <w:rPr>
        <w:rFonts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0">
    <w:nsid w:val="360B1018"/>
    <w:multiLevelType w:val="hybridMultilevel"/>
    <w:tmpl w:val="3288F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665068"/>
    <w:multiLevelType w:val="hybridMultilevel"/>
    <w:tmpl w:val="D36ED7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73789E"/>
    <w:multiLevelType w:val="multilevel"/>
    <w:tmpl w:val="40FC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B7E7633"/>
    <w:multiLevelType w:val="hybridMultilevel"/>
    <w:tmpl w:val="CAE41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51D52A93"/>
    <w:multiLevelType w:val="hybridMultilevel"/>
    <w:tmpl w:val="121E54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71F027E"/>
    <w:multiLevelType w:val="hybridMultilevel"/>
    <w:tmpl w:val="7006F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7384411"/>
    <w:multiLevelType w:val="hybridMultilevel"/>
    <w:tmpl w:val="B502BC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8CB0216"/>
    <w:multiLevelType w:val="hybridMultilevel"/>
    <w:tmpl w:val="50367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7957266"/>
    <w:multiLevelType w:val="hybridMultilevel"/>
    <w:tmpl w:val="81FAFCD6"/>
    <w:lvl w:ilvl="0" w:tplc="3A4AA38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0"/>
  </w:num>
  <w:num w:numId="3">
    <w:abstractNumId w:val="7"/>
  </w:num>
  <w:num w:numId="4">
    <w:abstractNumId w:val="27"/>
  </w:num>
  <w:num w:numId="5">
    <w:abstractNumId w:val="24"/>
  </w:num>
  <w:num w:numId="6">
    <w:abstractNumId w:val="21"/>
  </w:num>
  <w:num w:numId="7">
    <w:abstractNumId w:val="33"/>
  </w:num>
  <w:num w:numId="8">
    <w:abstractNumId w:val="6"/>
  </w:num>
  <w:num w:numId="9">
    <w:abstractNumId w:val="12"/>
  </w:num>
  <w:num w:numId="10">
    <w:abstractNumId w:val="36"/>
  </w:num>
  <w:num w:numId="11">
    <w:abstractNumId w:val="37"/>
  </w:num>
  <w:num w:numId="12">
    <w:abstractNumId w:val="0"/>
  </w:num>
  <w:num w:numId="13">
    <w:abstractNumId w:val="4"/>
  </w:num>
  <w:num w:numId="14">
    <w:abstractNumId w:val="32"/>
  </w:num>
  <w:num w:numId="15">
    <w:abstractNumId w:val="1"/>
  </w:num>
  <w:num w:numId="16">
    <w:abstractNumId w:val="16"/>
  </w:num>
  <w:num w:numId="17">
    <w:abstractNumId w:val="15"/>
  </w:num>
  <w:num w:numId="18">
    <w:abstractNumId w:val="11"/>
  </w:num>
  <w:num w:numId="19">
    <w:abstractNumId w:val="35"/>
  </w:num>
  <w:num w:numId="20">
    <w:abstractNumId w:val="13"/>
  </w:num>
  <w:num w:numId="21">
    <w:abstractNumId w:val="22"/>
  </w:num>
  <w:num w:numId="22">
    <w:abstractNumId w:val="19"/>
  </w:num>
  <w:num w:numId="23">
    <w:abstractNumId w:val="14"/>
  </w:num>
  <w:num w:numId="24">
    <w:abstractNumId w:val="9"/>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num>
  <w:num w:numId="28">
    <w:abstractNumId w:val="18"/>
  </w:num>
  <w:num w:numId="29">
    <w:abstractNumId w:val="5"/>
  </w:num>
  <w:num w:numId="30">
    <w:abstractNumId w:val="2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0"/>
  </w:num>
  <w:num w:numId="34">
    <w:abstractNumId w:val="3"/>
  </w:num>
  <w:num w:numId="35">
    <w:abstractNumId w:val="28"/>
  </w:num>
  <w:num w:numId="36">
    <w:abstractNumId w:val="34"/>
  </w:num>
  <w:num w:numId="37">
    <w:abstractNumId w:val="17"/>
  </w:num>
  <w:num w:numId="38">
    <w:abstractNumId w:val="29"/>
  </w:num>
  <w:num w:numId="39">
    <w:abstractNumId w:val="11"/>
  </w:num>
  <w:num w:numId="40">
    <w:abstractNumId w:val="26"/>
  </w:num>
  <w:num w:numId="41">
    <w:abstractNumId w:val="25"/>
  </w:num>
  <w:num w:numId="42">
    <w:abstractNumId w:val="11"/>
  </w:num>
  <w:num w:numId="43">
    <w:abstractNumId w:val="11"/>
  </w:num>
  <w:num w:numId="44">
    <w:abstractNumId w:val="11"/>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30"/>
    <w:rsid w:val="0000121A"/>
    <w:rsid w:val="000151DC"/>
    <w:rsid w:val="000229E5"/>
    <w:rsid w:val="00035669"/>
    <w:rsid w:val="00042D41"/>
    <w:rsid w:val="00043EFB"/>
    <w:rsid w:val="00044BEE"/>
    <w:rsid w:val="00047290"/>
    <w:rsid w:val="00060FB3"/>
    <w:rsid w:val="00062440"/>
    <w:rsid w:val="000642D5"/>
    <w:rsid w:val="00065565"/>
    <w:rsid w:val="00065742"/>
    <w:rsid w:val="00065E42"/>
    <w:rsid w:val="00072EFE"/>
    <w:rsid w:val="00077C50"/>
    <w:rsid w:val="00086B6C"/>
    <w:rsid w:val="00095DBB"/>
    <w:rsid w:val="000A79B5"/>
    <w:rsid w:val="000B2084"/>
    <w:rsid w:val="000B5AEE"/>
    <w:rsid w:val="000B6491"/>
    <w:rsid w:val="000B65E2"/>
    <w:rsid w:val="000C3B24"/>
    <w:rsid w:val="000D596F"/>
    <w:rsid w:val="000E0810"/>
    <w:rsid w:val="000E2A69"/>
    <w:rsid w:val="000E673E"/>
    <w:rsid w:val="000E72E7"/>
    <w:rsid w:val="000F16A6"/>
    <w:rsid w:val="000F22C0"/>
    <w:rsid w:val="000F5B99"/>
    <w:rsid w:val="00105FEF"/>
    <w:rsid w:val="00111366"/>
    <w:rsid w:val="00117B68"/>
    <w:rsid w:val="0012191B"/>
    <w:rsid w:val="00121D34"/>
    <w:rsid w:val="00122C9B"/>
    <w:rsid w:val="00123E32"/>
    <w:rsid w:val="001249D4"/>
    <w:rsid w:val="00132142"/>
    <w:rsid w:val="001329EB"/>
    <w:rsid w:val="00134E39"/>
    <w:rsid w:val="0013743C"/>
    <w:rsid w:val="00144C0E"/>
    <w:rsid w:val="00146413"/>
    <w:rsid w:val="00154ED8"/>
    <w:rsid w:val="0016093B"/>
    <w:rsid w:val="00160F69"/>
    <w:rsid w:val="00161487"/>
    <w:rsid w:val="00164E82"/>
    <w:rsid w:val="001731B2"/>
    <w:rsid w:val="001741FE"/>
    <w:rsid w:val="00174A93"/>
    <w:rsid w:val="0018307D"/>
    <w:rsid w:val="001943CA"/>
    <w:rsid w:val="001978D0"/>
    <w:rsid w:val="001B24DD"/>
    <w:rsid w:val="001B2733"/>
    <w:rsid w:val="001B2F25"/>
    <w:rsid w:val="001C1799"/>
    <w:rsid w:val="001D16B1"/>
    <w:rsid w:val="001D6CC4"/>
    <w:rsid w:val="001E37B2"/>
    <w:rsid w:val="001E7532"/>
    <w:rsid w:val="002045D1"/>
    <w:rsid w:val="00207F5C"/>
    <w:rsid w:val="00212CBA"/>
    <w:rsid w:val="00213118"/>
    <w:rsid w:val="00216ED9"/>
    <w:rsid w:val="0021757B"/>
    <w:rsid w:val="00220922"/>
    <w:rsid w:val="00221EC9"/>
    <w:rsid w:val="0022234E"/>
    <w:rsid w:val="00223181"/>
    <w:rsid w:val="0022642C"/>
    <w:rsid w:val="00226526"/>
    <w:rsid w:val="0022714A"/>
    <w:rsid w:val="00231837"/>
    <w:rsid w:val="002326C5"/>
    <w:rsid w:val="00232796"/>
    <w:rsid w:val="00232874"/>
    <w:rsid w:val="00234CC9"/>
    <w:rsid w:val="00242716"/>
    <w:rsid w:val="00243E24"/>
    <w:rsid w:val="00243F85"/>
    <w:rsid w:val="00245ED7"/>
    <w:rsid w:val="00257C4A"/>
    <w:rsid w:val="00270B14"/>
    <w:rsid w:val="00271EF3"/>
    <w:rsid w:val="0027314C"/>
    <w:rsid w:val="0027327A"/>
    <w:rsid w:val="00273CA4"/>
    <w:rsid w:val="00281005"/>
    <w:rsid w:val="00285D90"/>
    <w:rsid w:val="00286CFA"/>
    <w:rsid w:val="0029104E"/>
    <w:rsid w:val="002A06E3"/>
    <w:rsid w:val="002A0992"/>
    <w:rsid w:val="002A6CAB"/>
    <w:rsid w:val="002B0F30"/>
    <w:rsid w:val="002B74DC"/>
    <w:rsid w:val="002C49ED"/>
    <w:rsid w:val="002C7289"/>
    <w:rsid w:val="002D045F"/>
    <w:rsid w:val="002D0964"/>
    <w:rsid w:val="002D1E1E"/>
    <w:rsid w:val="002D2D3D"/>
    <w:rsid w:val="002D794A"/>
    <w:rsid w:val="002D79DE"/>
    <w:rsid w:val="002E32F8"/>
    <w:rsid w:val="002E4B92"/>
    <w:rsid w:val="002E66BD"/>
    <w:rsid w:val="002F008B"/>
    <w:rsid w:val="002F3564"/>
    <w:rsid w:val="00301F2F"/>
    <w:rsid w:val="00303B3A"/>
    <w:rsid w:val="003114F0"/>
    <w:rsid w:val="0031240B"/>
    <w:rsid w:val="00315349"/>
    <w:rsid w:val="00320353"/>
    <w:rsid w:val="003217E6"/>
    <w:rsid w:val="00325222"/>
    <w:rsid w:val="003269DB"/>
    <w:rsid w:val="00333D09"/>
    <w:rsid w:val="00337B8F"/>
    <w:rsid w:val="00337F24"/>
    <w:rsid w:val="00340647"/>
    <w:rsid w:val="0034479A"/>
    <w:rsid w:val="003469C7"/>
    <w:rsid w:val="00350D22"/>
    <w:rsid w:val="00354ED0"/>
    <w:rsid w:val="003610CB"/>
    <w:rsid w:val="00361D19"/>
    <w:rsid w:val="00362D76"/>
    <w:rsid w:val="00383123"/>
    <w:rsid w:val="003847B8"/>
    <w:rsid w:val="00387793"/>
    <w:rsid w:val="00391243"/>
    <w:rsid w:val="003925A0"/>
    <w:rsid w:val="0039513C"/>
    <w:rsid w:val="003B06C4"/>
    <w:rsid w:val="003B1D0E"/>
    <w:rsid w:val="003B3EDD"/>
    <w:rsid w:val="003D2307"/>
    <w:rsid w:val="003E1A2C"/>
    <w:rsid w:val="003E3BCB"/>
    <w:rsid w:val="003E5722"/>
    <w:rsid w:val="003E7441"/>
    <w:rsid w:val="003F1DA2"/>
    <w:rsid w:val="003F2136"/>
    <w:rsid w:val="003F3537"/>
    <w:rsid w:val="00404DD9"/>
    <w:rsid w:val="00405F67"/>
    <w:rsid w:val="00406F78"/>
    <w:rsid w:val="00415454"/>
    <w:rsid w:val="00424D05"/>
    <w:rsid w:val="004300DE"/>
    <w:rsid w:val="00435CC0"/>
    <w:rsid w:val="004412ED"/>
    <w:rsid w:val="00443F80"/>
    <w:rsid w:val="00445861"/>
    <w:rsid w:val="00445987"/>
    <w:rsid w:val="004471AA"/>
    <w:rsid w:val="00450542"/>
    <w:rsid w:val="00454B57"/>
    <w:rsid w:val="00455EFF"/>
    <w:rsid w:val="00463D86"/>
    <w:rsid w:val="004653D2"/>
    <w:rsid w:val="00473121"/>
    <w:rsid w:val="004807F1"/>
    <w:rsid w:val="00483736"/>
    <w:rsid w:val="00495041"/>
    <w:rsid w:val="004A087E"/>
    <w:rsid w:val="004A13FC"/>
    <w:rsid w:val="004A22EF"/>
    <w:rsid w:val="004A474C"/>
    <w:rsid w:val="004B090A"/>
    <w:rsid w:val="004B0E18"/>
    <w:rsid w:val="004B28BE"/>
    <w:rsid w:val="004B450D"/>
    <w:rsid w:val="004B64CE"/>
    <w:rsid w:val="004B65FA"/>
    <w:rsid w:val="004C0A54"/>
    <w:rsid w:val="004C1B2A"/>
    <w:rsid w:val="004D366C"/>
    <w:rsid w:val="004D626A"/>
    <w:rsid w:val="004D6534"/>
    <w:rsid w:val="004E3AF6"/>
    <w:rsid w:val="004F3AF9"/>
    <w:rsid w:val="005023F0"/>
    <w:rsid w:val="00504B5B"/>
    <w:rsid w:val="00507DEE"/>
    <w:rsid w:val="00510B77"/>
    <w:rsid w:val="0052746A"/>
    <w:rsid w:val="00530C73"/>
    <w:rsid w:val="00533FBC"/>
    <w:rsid w:val="00536364"/>
    <w:rsid w:val="00540C1A"/>
    <w:rsid w:val="0054283C"/>
    <w:rsid w:val="005503AC"/>
    <w:rsid w:val="00553D0E"/>
    <w:rsid w:val="00556917"/>
    <w:rsid w:val="00566AA3"/>
    <w:rsid w:val="00572B29"/>
    <w:rsid w:val="00573DFB"/>
    <w:rsid w:val="00574161"/>
    <w:rsid w:val="00574ADB"/>
    <w:rsid w:val="0058265A"/>
    <w:rsid w:val="005901E2"/>
    <w:rsid w:val="00593612"/>
    <w:rsid w:val="005939F2"/>
    <w:rsid w:val="00594502"/>
    <w:rsid w:val="00596D98"/>
    <w:rsid w:val="005A263D"/>
    <w:rsid w:val="005A5018"/>
    <w:rsid w:val="005A67B4"/>
    <w:rsid w:val="005B1A9F"/>
    <w:rsid w:val="005B33CE"/>
    <w:rsid w:val="005C0879"/>
    <w:rsid w:val="005C22CB"/>
    <w:rsid w:val="005C22DF"/>
    <w:rsid w:val="005C2EDA"/>
    <w:rsid w:val="005C4F73"/>
    <w:rsid w:val="005C5591"/>
    <w:rsid w:val="005C6FA0"/>
    <w:rsid w:val="005E2415"/>
    <w:rsid w:val="005F3BE1"/>
    <w:rsid w:val="005F5954"/>
    <w:rsid w:val="005F6624"/>
    <w:rsid w:val="005F69EC"/>
    <w:rsid w:val="00626F88"/>
    <w:rsid w:val="0063362D"/>
    <w:rsid w:val="00634E4B"/>
    <w:rsid w:val="00640702"/>
    <w:rsid w:val="00647DDD"/>
    <w:rsid w:val="00660004"/>
    <w:rsid w:val="00660884"/>
    <w:rsid w:val="00663FAA"/>
    <w:rsid w:val="006662C6"/>
    <w:rsid w:val="0066744F"/>
    <w:rsid w:val="00672DBB"/>
    <w:rsid w:val="0067438A"/>
    <w:rsid w:val="006766DE"/>
    <w:rsid w:val="0067724F"/>
    <w:rsid w:val="006776E7"/>
    <w:rsid w:val="0068122C"/>
    <w:rsid w:val="00683656"/>
    <w:rsid w:val="00687031"/>
    <w:rsid w:val="006877C6"/>
    <w:rsid w:val="0069397D"/>
    <w:rsid w:val="00694B40"/>
    <w:rsid w:val="006A1464"/>
    <w:rsid w:val="006A4D34"/>
    <w:rsid w:val="006A57D2"/>
    <w:rsid w:val="006A7027"/>
    <w:rsid w:val="006B20BF"/>
    <w:rsid w:val="006B36C6"/>
    <w:rsid w:val="006B60F6"/>
    <w:rsid w:val="006C27AA"/>
    <w:rsid w:val="006D05EB"/>
    <w:rsid w:val="006D0F27"/>
    <w:rsid w:val="006D253F"/>
    <w:rsid w:val="006D47A3"/>
    <w:rsid w:val="006E0218"/>
    <w:rsid w:val="006E0656"/>
    <w:rsid w:val="006E5DE3"/>
    <w:rsid w:val="006E7EEF"/>
    <w:rsid w:val="006F451B"/>
    <w:rsid w:val="006F6C6F"/>
    <w:rsid w:val="0070136E"/>
    <w:rsid w:val="00703589"/>
    <w:rsid w:val="0070796E"/>
    <w:rsid w:val="00707FC5"/>
    <w:rsid w:val="00710215"/>
    <w:rsid w:val="007102C2"/>
    <w:rsid w:val="007179FC"/>
    <w:rsid w:val="00721DA1"/>
    <w:rsid w:val="00726642"/>
    <w:rsid w:val="00730111"/>
    <w:rsid w:val="007343D9"/>
    <w:rsid w:val="00741582"/>
    <w:rsid w:val="00750AFB"/>
    <w:rsid w:val="00755E54"/>
    <w:rsid w:val="00756371"/>
    <w:rsid w:val="00762CAD"/>
    <w:rsid w:val="00770A18"/>
    <w:rsid w:val="00770F90"/>
    <w:rsid w:val="00771955"/>
    <w:rsid w:val="00771EE3"/>
    <w:rsid w:val="007727B2"/>
    <w:rsid w:val="00785386"/>
    <w:rsid w:val="007870FF"/>
    <w:rsid w:val="0078769E"/>
    <w:rsid w:val="00790F32"/>
    <w:rsid w:val="007A3973"/>
    <w:rsid w:val="007A48B0"/>
    <w:rsid w:val="007B0F9D"/>
    <w:rsid w:val="007B4B14"/>
    <w:rsid w:val="007B57C6"/>
    <w:rsid w:val="007B5B73"/>
    <w:rsid w:val="007C1BD8"/>
    <w:rsid w:val="007D0FDB"/>
    <w:rsid w:val="007D3B50"/>
    <w:rsid w:val="007D72F7"/>
    <w:rsid w:val="007D76AD"/>
    <w:rsid w:val="007D78CD"/>
    <w:rsid w:val="007D7CF1"/>
    <w:rsid w:val="007E07CF"/>
    <w:rsid w:val="007E45EE"/>
    <w:rsid w:val="007F3919"/>
    <w:rsid w:val="0080332A"/>
    <w:rsid w:val="0080379A"/>
    <w:rsid w:val="00806E64"/>
    <w:rsid w:val="0081529E"/>
    <w:rsid w:val="00816BAC"/>
    <w:rsid w:val="00821AE7"/>
    <w:rsid w:val="008264E9"/>
    <w:rsid w:val="00826C4D"/>
    <w:rsid w:val="0083040E"/>
    <w:rsid w:val="0083041D"/>
    <w:rsid w:val="008330F0"/>
    <w:rsid w:val="00836958"/>
    <w:rsid w:val="00842E27"/>
    <w:rsid w:val="00842E7F"/>
    <w:rsid w:val="008626A6"/>
    <w:rsid w:val="0086596F"/>
    <w:rsid w:val="00866118"/>
    <w:rsid w:val="008769F8"/>
    <w:rsid w:val="008836B8"/>
    <w:rsid w:val="00883CE7"/>
    <w:rsid w:val="00883FCC"/>
    <w:rsid w:val="00884CEE"/>
    <w:rsid w:val="0088514A"/>
    <w:rsid w:val="008863CE"/>
    <w:rsid w:val="00886A73"/>
    <w:rsid w:val="00886C43"/>
    <w:rsid w:val="00894779"/>
    <w:rsid w:val="008B61FD"/>
    <w:rsid w:val="008C64AB"/>
    <w:rsid w:val="008D5E2D"/>
    <w:rsid w:val="008D60E6"/>
    <w:rsid w:val="008D6917"/>
    <w:rsid w:val="008D7CB6"/>
    <w:rsid w:val="008F29FB"/>
    <w:rsid w:val="009075E3"/>
    <w:rsid w:val="00907964"/>
    <w:rsid w:val="00911244"/>
    <w:rsid w:val="00914776"/>
    <w:rsid w:val="00914834"/>
    <w:rsid w:val="00915619"/>
    <w:rsid w:val="00915664"/>
    <w:rsid w:val="009162D4"/>
    <w:rsid w:val="0091766A"/>
    <w:rsid w:val="00917852"/>
    <w:rsid w:val="0092433D"/>
    <w:rsid w:val="00924ABC"/>
    <w:rsid w:val="00927E82"/>
    <w:rsid w:val="0093434B"/>
    <w:rsid w:val="00940516"/>
    <w:rsid w:val="00944408"/>
    <w:rsid w:val="009479E0"/>
    <w:rsid w:val="00952981"/>
    <w:rsid w:val="009535EA"/>
    <w:rsid w:val="00960B4A"/>
    <w:rsid w:val="00980D8C"/>
    <w:rsid w:val="00981BCA"/>
    <w:rsid w:val="00983F4D"/>
    <w:rsid w:val="009847D0"/>
    <w:rsid w:val="0098686F"/>
    <w:rsid w:val="009912E4"/>
    <w:rsid w:val="0099234C"/>
    <w:rsid w:val="009A1ECD"/>
    <w:rsid w:val="009A760E"/>
    <w:rsid w:val="009B4EFE"/>
    <w:rsid w:val="009B75BD"/>
    <w:rsid w:val="009C0FF2"/>
    <w:rsid w:val="009C1311"/>
    <w:rsid w:val="009D7246"/>
    <w:rsid w:val="009E3803"/>
    <w:rsid w:val="009E4AA6"/>
    <w:rsid w:val="009E6436"/>
    <w:rsid w:val="009F02F0"/>
    <w:rsid w:val="009F1D9B"/>
    <w:rsid w:val="009F429E"/>
    <w:rsid w:val="00A16D83"/>
    <w:rsid w:val="00A172BA"/>
    <w:rsid w:val="00A21B37"/>
    <w:rsid w:val="00A22A8D"/>
    <w:rsid w:val="00A308F2"/>
    <w:rsid w:val="00A316AE"/>
    <w:rsid w:val="00A346E2"/>
    <w:rsid w:val="00A35F2E"/>
    <w:rsid w:val="00A35FF3"/>
    <w:rsid w:val="00A36457"/>
    <w:rsid w:val="00A36BD8"/>
    <w:rsid w:val="00A44A2B"/>
    <w:rsid w:val="00A46A5A"/>
    <w:rsid w:val="00A515B9"/>
    <w:rsid w:val="00A54338"/>
    <w:rsid w:val="00A655EF"/>
    <w:rsid w:val="00A72206"/>
    <w:rsid w:val="00A73A2B"/>
    <w:rsid w:val="00A7413A"/>
    <w:rsid w:val="00A7661E"/>
    <w:rsid w:val="00A7707F"/>
    <w:rsid w:val="00A85FAA"/>
    <w:rsid w:val="00AA7709"/>
    <w:rsid w:val="00AB0FCA"/>
    <w:rsid w:val="00AB1641"/>
    <w:rsid w:val="00AB60A3"/>
    <w:rsid w:val="00AC5DB8"/>
    <w:rsid w:val="00AC6750"/>
    <w:rsid w:val="00AD17C1"/>
    <w:rsid w:val="00AD47D5"/>
    <w:rsid w:val="00AE051C"/>
    <w:rsid w:val="00AE18FA"/>
    <w:rsid w:val="00AE31CC"/>
    <w:rsid w:val="00AE3CE1"/>
    <w:rsid w:val="00AF137D"/>
    <w:rsid w:val="00AF49C3"/>
    <w:rsid w:val="00AF7EAB"/>
    <w:rsid w:val="00B016B8"/>
    <w:rsid w:val="00B0578B"/>
    <w:rsid w:val="00B166E2"/>
    <w:rsid w:val="00B17369"/>
    <w:rsid w:val="00B470C6"/>
    <w:rsid w:val="00B47B50"/>
    <w:rsid w:val="00B50CD6"/>
    <w:rsid w:val="00B51A01"/>
    <w:rsid w:val="00B522AF"/>
    <w:rsid w:val="00B54512"/>
    <w:rsid w:val="00B6228E"/>
    <w:rsid w:val="00B62934"/>
    <w:rsid w:val="00B66F75"/>
    <w:rsid w:val="00B70BB5"/>
    <w:rsid w:val="00B7468B"/>
    <w:rsid w:val="00B7603C"/>
    <w:rsid w:val="00B812B8"/>
    <w:rsid w:val="00B823AD"/>
    <w:rsid w:val="00B94CA6"/>
    <w:rsid w:val="00BA1C0D"/>
    <w:rsid w:val="00BA4926"/>
    <w:rsid w:val="00BA4938"/>
    <w:rsid w:val="00BB115E"/>
    <w:rsid w:val="00BB1627"/>
    <w:rsid w:val="00BB245D"/>
    <w:rsid w:val="00BB7289"/>
    <w:rsid w:val="00BC398B"/>
    <w:rsid w:val="00BC46FA"/>
    <w:rsid w:val="00BD0B5D"/>
    <w:rsid w:val="00BD4216"/>
    <w:rsid w:val="00BE318D"/>
    <w:rsid w:val="00BF0F7C"/>
    <w:rsid w:val="00BF2322"/>
    <w:rsid w:val="00BF27D1"/>
    <w:rsid w:val="00BF73B0"/>
    <w:rsid w:val="00C00367"/>
    <w:rsid w:val="00C00891"/>
    <w:rsid w:val="00C01E32"/>
    <w:rsid w:val="00C1180D"/>
    <w:rsid w:val="00C12BEA"/>
    <w:rsid w:val="00C21FCC"/>
    <w:rsid w:val="00C36066"/>
    <w:rsid w:val="00C378B7"/>
    <w:rsid w:val="00C42461"/>
    <w:rsid w:val="00C461C1"/>
    <w:rsid w:val="00C52828"/>
    <w:rsid w:val="00C562FB"/>
    <w:rsid w:val="00C6565D"/>
    <w:rsid w:val="00C67F27"/>
    <w:rsid w:val="00C74F2D"/>
    <w:rsid w:val="00C7530E"/>
    <w:rsid w:val="00C755B9"/>
    <w:rsid w:val="00C7624C"/>
    <w:rsid w:val="00C80894"/>
    <w:rsid w:val="00C850EF"/>
    <w:rsid w:val="00C949FC"/>
    <w:rsid w:val="00CA0E6D"/>
    <w:rsid w:val="00CA1E6E"/>
    <w:rsid w:val="00CA2C77"/>
    <w:rsid w:val="00CA4103"/>
    <w:rsid w:val="00CB120F"/>
    <w:rsid w:val="00CB70FA"/>
    <w:rsid w:val="00CB720C"/>
    <w:rsid w:val="00CC4CCB"/>
    <w:rsid w:val="00CC5C3B"/>
    <w:rsid w:val="00CC7DFC"/>
    <w:rsid w:val="00CD0AEF"/>
    <w:rsid w:val="00CD1B1C"/>
    <w:rsid w:val="00CD78F7"/>
    <w:rsid w:val="00CE0889"/>
    <w:rsid w:val="00CE6361"/>
    <w:rsid w:val="00CF3AA5"/>
    <w:rsid w:val="00D0071B"/>
    <w:rsid w:val="00D0123E"/>
    <w:rsid w:val="00D03739"/>
    <w:rsid w:val="00D05806"/>
    <w:rsid w:val="00D1482F"/>
    <w:rsid w:val="00D1598F"/>
    <w:rsid w:val="00D21594"/>
    <w:rsid w:val="00D25E02"/>
    <w:rsid w:val="00D32F5B"/>
    <w:rsid w:val="00D34419"/>
    <w:rsid w:val="00D34F03"/>
    <w:rsid w:val="00D41FF3"/>
    <w:rsid w:val="00D511ED"/>
    <w:rsid w:val="00D547D2"/>
    <w:rsid w:val="00D54896"/>
    <w:rsid w:val="00D606C3"/>
    <w:rsid w:val="00D65630"/>
    <w:rsid w:val="00D75B69"/>
    <w:rsid w:val="00D80623"/>
    <w:rsid w:val="00D84A7B"/>
    <w:rsid w:val="00D84BD2"/>
    <w:rsid w:val="00D864A8"/>
    <w:rsid w:val="00D86B6F"/>
    <w:rsid w:val="00D86BB7"/>
    <w:rsid w:val="00D937EA"/>
    <w:rsid w:val="00D93B9D"/>
    <w:rsid w:val="00D94FAC"/>
    <w:rsid w:val="00D95E8A"/>
    <w:rsid w:val="00DA0844"/>
    <w:rsid w:val="00DA6340"/>
    <w:rsid w:val="00DA6CE4"/>
    <w:rsid w:val="00DB2E94"/>
    <w:rsid w:val="00DB3E9C"/>
    <w:rsid w:val="00DB4511"/>
    <w:rsid w:val="00DB4B39"/>
    <w:rsid w:val="00DB6772"/>
    <w:rsid w:val="00DB71C3"/>
    <w:rsid w:val="00DB79A8"/>
    <w:rsid w:val="00DB7D8F"/>
    <w:rsid w:val="00DD40C7"/>
    <w:rsid w:val="00DD5A9A"/>
    <w:rsid w:val="00DD5F98"/>
    <w:rsid w:val="00DD7C25"/>
    <w:rsid w:val="00DE663B"/>
    <w:rsid w:val="00DE7CBE"/>
    <w:rsid w:val="00DF41E1"/>
    <w:rsid w:val="00E02E18"/>
    <w:rsid w:val="00E03B29"/>
    <w:rsid w:val="00E04E19"/>
    <w:rsid w:val="00E05190"/>
    <w:rsid w:val="00E12F08"/>
    <w:rsid w:val="00E13A11"/>
    <w:rsid w:val="00E1469C"/>
    <w:rsid w:val="00E17B67"/>
    <w:rsid w:val="00E2668D"/>
    <w:rsid w:val="00E27DE7"/>
    <w:rsid w:val="00E366D1"/>
    <w:rsid w:val="00E378E4"/>
    <w:rsid w:val="00E41953"/>
    <w:rsid w:val="00E51BDC"/>
    <w:rsid w:val="00E53EC0"/>
    <w:rsid w:val="00E54A71"/>
    <w:rsid w:val="00E62E65"/>
    <w:rsid w:val="00E66E74"/>
    <w:rsid w:val="00E70850"/>
    <w:rsid w:val="00E97AF5"/>
    <w:rsid w:val="00EA226A"/>
    <w:rsid w:val="00EB25FE"/>
    <w:rsid w:val="00EB2EEA"/>
    <w:rsid w:val="00EB4832"/>
    <w:rsid w:val="00EB4E46"/>
    <w:rsid w:val="00EB5027"/>
    <w:rsid w:val="00EC03C0"/>
    <w:rsid w:val="00ED0D0B"/>
    <w:rsid w:val="00ED5424"/>
    <w:rsid w:val="00EE16FE"/>
    <w:rsid w:val="00EE441F"/>
    <w:rsid w:val="00EE7A97"/>
    <w:rsid w:val="00EF3B3B"/>
    <w:rsid w:val="00EF78F1"/>
    <w:rsid w:val="00F10560"/>
    <w:rsid w:val="00F138FA"/>
    <w:rsid w:val="00F16EF9"/>
    <w:rsid w:val="00F17F1D"/>
    <w:rsid w:val="00F41AF7"/>
    <w:rsid w:val="00F55E70"/>
    <w:rsid w:val="00F5780E"/>
    <w:rsid w:val="00F60A72"/>
    <w:rsid w:val="00F60D1C"/>
    <w:rsid w:val="00F67FCD"/>
    <w:rsid w:val="00F714F2"/>
    <w:rsid w:val="00F7242E"/>
    <w:rsid w:val="00F7319D"/>
    <w:rsid w:val="00F748C8"/>
    <w:rsid w:val="00F800E6"/>
    <w:rsid w:val="00F821BF"/>
    <w:rsid w:val="00F83D9A"/>
    <w:rsid w:val="00F91804"/>
    <w:rsid w:val="00F91B19"/>
    <w:rsid w:val="00F94B1D"/>
    <w:rsid w:val="00F94C61"/>
    <w:rsid w:val="00F979C9"/>
    <w:rsid w:val="00FA3919"/>
    <w:rsid w:val="00FC3D0D"/>
    <w:rsid w:val="00FC5B65"/>
    <w:rsid w:val="00FC6559"/>
    <w:rsid w:val="00FC75E2"/>
    <w:rsid w:val="00FD038F"/>
    <w:rsid w:val="00FE2BB5"/>
    <w:rsid w:val="00FE402A"/>
    <w:rsid w:val="00FE43EE"/>
    <w:rsid w:val="00FE580A"/>
    <w:rsid w:val="00FE7D11"/>
    <w:rsid w:val="00FF3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0F30"/>
    <w:pPr>
      <w:spacing w:after="0" w:line="240" w:lineRule="auto"/>
    </w:pPr>
    <w:rPr>
      <w:rFonts w:ascii="Times New Roman" w:eastAsia="SimSun" w:hAnsi="Times New Roman" w:cs="Times New Roman"/>
      <w:sz w:val="20"/>
      <w:szCs w:val="24"/>
      <w:lang w:eastAsia="en-AU"/>
    </w:rPr>
  </w:style>
  <w:style w:type="paragraph" w:styleId="Heading1">
    <w:name w:val="heading 1"/>
    <w:basedOn w:val="Title"/>
    <w:next w:val="BodyText"/>
    <w:link w:val="Heading1Char"/>
    <w:qFormat/>
    <w:rsid w:val="002B0F30"/>
    <w:pPr>
      <w:keepNext/>
      <w:spacing w:before="480" w:after="120"/>
      <w:outlineLvl w:val="0"/>
    </w:pPr>
    <w:rPr>
      <w:rFonts w:cs="Arial"/>
      <w:sz w:val="28"/>
      <w:szCs w:val="28"/>
    </w:rPr>
  </w:style>
  <w:style w:type="paragraph" w:styleId="Heading2">
    <w:name w:val="heading 2"/>
    <w:basedOn w:val="Normal"/>
    <w:next w:val="BodyText"/>
    <w:link w:val="Heading2Char"/>
    <w:qFormat/>
    <w:rsid w:val="002B0F30"/>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164E82"/>
    <w:pPr>
      <w:widowControl w:val="0"/>
      <w:spacing w:before="240"/>
      <w:outlineLvl w:val="2"/>
    </w:pPr>
    <w:rPr>
      <w:rFonts w:asciiTheme="minorHAnsi" w:hAnsiTheme="minorHAnsi" w:cstheme="minorHAnsi"/>
      <w:b/>
      <w:color w:val="0070C0"/>
      <w:sz w:val="22"/>
      <w:szCs w:val="22"/>
      <w:lang w:eastAsia="zh-CN"/>
    </w:rPr>
  </w:style>
  <w:style w:type="paragraph" w:styleId="Heading4">
    <w:name w:val="heading 4"/>
    <w:basedOn w:val="Heading3"/>
    <w:next w:val="BodyText"/>
    <w:link w:val="Heading4Char"/>
    <w:qFormat/>
    <w:rsid w:val="002B0F30"/>
    <w:pPr>
      <w:numPr>
        <w:ilvl w:val="3"/>
        <w:numId w:val="1"/>
      </w:numPr>
      <w:spacing w:before="320" w:after="0"/>
      <w:outlineLvl w:val="3"/>
    </w:pPr>
    <w:rPr>
      <w:b w:val="0"/>
    </w:rPr>
  </w:style>
  <w:style w:type="paragraph" w:styleId="Heading5">
    <w:name w:val="heading 5"/>
    <w:basedOn w:val="BodyText"/>
    <w:next w:val="BodyText"/>
    <w:link w:val="Heading5Char"/>
    <w:qFormat/>
    <w:rsid w:val="002B0F30"/>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2B0F30"/>
    <w:pPr>
      <w:spacing w:after="240" w:line="280" w:lineRule="atLeast"/>
      <w:outlineLvl w:val="5"/>
    </w:pPr>
    <w:rPr>
      <w:rFonts w:ascii="Franklin Gothic Book" w:eastAsia="Times New Roman" w:hAnsi="Franklin Gothic Book" w:cs="Times New Roman"/>
      <w:b/>
      <w:spacing w:val="-10"/>
      <w:kern w:val="28"/>
      <w:szCs w:val="19"/>
      <w:lang w:eastAsia="en-AU"/>
    </w:rPr>
  </w:style>
  <w:style w:type="paragraph" w:styleId="Heading7">
    <w:name w:val="heading 7"/>
    <w:basedOn w:val="Heading6"/>
    <w:next w:val="BodyText"/>
    <w:link w:val="Heading7Char"/>
    <w:rsid w:val="002B0F30"/>
    <w:pPr>
      <w:numPr>
        <w:ilvl w:val="6"/>
      </w:numPr>
      <w:outlineLvl w:val="6"/>
    </w:pPr>
  </w:style>
  <w:style w:type="paragraph" w:styleId="Heading8">
    <w:name w:val="heading 8"/>
    <w:basedOn w:val="Heading7"/>
    <w:next w:val="BodyText"/>
    <w:link w:val="Heading8Char"/>
    <w:rsid w:val="002B0F30"/>
    <w:pPr>
      <w:numPr>
        <w:ilvl w:val="7"/>
      </w:numPr>
      <w:outlineLvl w:val="7"/>
    </w:pPr>
  </w:style>
  <w:style w:type="paragraph" w:styleId="Heading9">
    <w:name w:val="heading 9"/>
    <w:basedOn w:val="Heading8"/>
    <w:next w:val="BodyText"/>
    <w:link w:val="Heading9Char"/>
    <w:rsid w:val="002B0F3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F30"/>
    <w:rPr>
      <w:rFonts w:ascii="Helvetica" w:eastAsia="Times New Roman" w:hAnsi="Helvetica" w:cs="Arial"/>
      <w:color w:val="007FAD"/>
      <w:spacing w:val="-10"/>
      <w:kern w:val="28"/>
      <w:sz w:val="28"/>
      <w:szCs w:val="28"/>
      <w:lang w:eastAsia="en-AU"/>
    </w:rPr>
  </w:style>
  <w:style w:type="character" w:customStyle="1" w:styleId="Heading2Char">
    <w:name w:val="Heading 2 Char"/>
    <w:basedOn w:val="DefaultParagraphFont"/>
    <w:link w:val="Heading2"/>
    <w:rsid w:val="002B0F30"/>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164E82"/>
    <w:rPr>
      <w:rFonts w:eastAsia="Times New Roman" w:cstheme="minorHAnsi"/>
      <w:b/>
      <w:color w:val="0070C0"/>
      <w:kern w:val="28"/>
      <w:lang w:eastAsia="zh-CN"/>
    </w:rPr>
  </w:style>
  <w:style w:type="character" w:customStyle="1" w:styleId="Heading4Char">
    <w:name w:val="Heading 4 Char"/>
    <w:basedOn w:val="DefaultParagraphFont"/>
    <w:link w:val="Heading4"/>
    <w:rsid w:val="002B0F30"/>
    <w:rPr>
      <w:rFonts w:eastAsia="Times New Roman" w:cstheme="minorHAnsi"/>
      <w:i/>
      <w:color w:val="124486"/>
      <w:kern w:val="28"/>
      <w:lang w:eastAsia="zh-CN"/>
    </w:rPr>
  </w:style>
  <w:style w:type="character" w:customStyle="1" w:styleId="Heading5Char">
    <w:name w:val="Heading 5 Char"/>
    <w:basedOn w:val="DefaultParagraphFont"/>
    <w:link w:val="Heading5"/>
    <w:rsid w:val="002B0F30"/>
    <w:rPr>
      <w:rFonts w:ascii="Helvetica" w:eastAsia="Times New Roman" w:hAnsi="Helvetica" w:cs="Times New Roman"/>
      <w:b/>
      <w:color w:val="A8A5A8"/>
      <w:szCs w:val="24"/>
      <w:lang w:eastAsia="en-AU"/>
    </w:rPr>
  </w:style>
  <w:style w:type="character" w:customStyle="1" w:styleId="Heading6Char">
    <w:name w:val="Heading 6 Char"/>
    <w:basedOn w:val="DefaultParagraphFont"/>
    <w:link w:val="Heading6"/>
    <w:rsid w:val="002B0F30"/>
    <w:rPr>
      <w:rFonts w:ascii="Franklin Gothic Book" w:eastAsia="Times New Roman" w:hAnsi="Franklin Gothic Book" w:cs="Times New Roman"/>
      <w:b/>
      <w:spacing w:val="-10"/>
      <w:kern w:val="28"/>
      <w:szCs w:val="19"/>
      <w:lang w:eastAsia="en-AU"/>
    </w:rPr>
  </w:style>
  <w:style w:type="character" w:customStyle="1" w:styleId="Heading7Char">
    <w:name w:val="Heading 7 Char"/>
    <w:basedOn w:val="DefaultParagraphFont"/>
    <w:link w:val="Heading7"/>
    <w:rsid w:val="002B0F30"/>
    <w:rPr>
      <w:rFonts w:ascii="Franklin Gothic Book" w:eastAsia="Times New Roman" w:hAnsi="Franklin Gothic Book" w:cs="Times New Roman"/>
      <w:b/>
      <w:spacing w:val="-10"/>
      <w:kern w:val="28"/>
      <w:szCs w:val="19"/>
      <w:lang w:eastAsia="en-AU"/>
    </w:rPr>
  </w:style>
  <w:style w:type="character" w:customStyle="1" w:styleId="Heading8Char">
    <w:name w:val="Heading 8 Char"/>
    <w:basedOn w:val="DefaultParagraphFont"/>
    <w:link w:val="Heading8"/>
    <w:rsid w:val="002B0F30"/>
    <w:rPr>
      <w:rFonts w:ascii="Franklin Gothic Book" w:eastAsia="Times New Roman" w:hAnsi="Franklin Gothic Book" w:cs="Times New Roman"/>
      <w:b/>
      <w:spacing w:val="-10"/>
      <w:kern w:val="28"/>
      <w:szCs w:val="19"/>
      <w:lang w:eastAsia="en-AU"/>
    </w:rPr>
  </w:style>
  <w:style w:type="character" w:customStyle="1" w:styleId="Heading9Char">
    <w:name w:val="Heading 9 Char"/>
    <w:basedOn w:val="DefaultParagraphFont"/>
    <w:link w:val="Heading9"/>
    <w:rsid w:val="002B0F30"/>
    <w:rPr>
      <w:rFonts w:ascii="Franklin Gothic Book" w:eastAsia="Times New Roman" w:hAnsi="Franklin Gothic Book" w:cs="Times New Roman"/>
      <w:b/>
      <w:spacing w:val="-10"/>
      <w:kern w:val="28"/>
      <w:szCs w:val="19"/>
      <w:lang w:eastAsia="en-AU"/>
    </w:rPr>
  </w:style>
  <w:style w:type="paragraph" w:styleId="BodyText">
    <w:name w:val="Body Text"/>
    <w:basedOn w:val="Normal"/>
    <w:link w:val="BodyTextChar"/>
    <w:qFormat/>
    <w:rsid w:val="002B0F30"/>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2B0F30"/>
    <w:rPr>
      <w:rFonts w:ascii="Franklin Gothic Book" w:eastAsia="Times New Roman" w:hAnsi="Franklin Gothic Book" w:cs="Times New Roman"/>
      <w:sz w:val="21"/>
      <w:szCs w:val="24"/>
      <w:lang w:eastAsia="en-AU"/>
    </w:rPr>
  </w:style>
  <w:style w:type="paragraph" w:styleId="Subtitle">
    <w:name w:val="Subtitle"/>
    <w:basedOn w:val="Normal"/>
    <w:next w:val="Normal"/>
    <w:link w:val="SubtitleChar"/>
    <w:qFormat/>
    <w:rsid w:val="002B0F30"/>
    <w:pPr>
      <w:spacing w:before="120" w:after="360"/>
    </w:pPr>
    <w:rPr>
      <w:rFonts w:ascii="Helvetica" w:eastAsia="Times New Roman" w:hAnsi="Helvetica"/>
      <w:color w:val="007FAD"/>
      <w:spacing w:val="-10"/>
      <w:kern w:val="28"/>
      <w:sz w:val="28"/>
      <w:szCs w:val="28"/>
    </w:rPr>
  </w:style>
  <w:style w:type="character" w:customStyle="1" w:styleId="SubtitleChar">
    <w:name w:val="Subtitle Char"/>
    <w:basedOn w:val="DefaultParagraphFont"/>
    <w:link w:val="Subtitle"/>
    <w:rsid w:val="002B0F30"/>
    <w:rPr>
      <w:rFonts w:ascii="Helvetica" w:eastAsia="Times New Roman" w:hAnsi="Helvetica" w:cs="Times New Roman"/>
      <w:color w:val="007FAD"/>
      <w:spacing w:val="-10"/>
      <w:kern w:val="28"/>
      <w:sz w:val="28"/>
      <w:szCs w:val="28"/>
      <w:lang w:eastAsia="en-AU"/>
    </w:rPr>
  </w:style>
  <w:style w:type="paragraph" w:customStyle="1" w:styleId="PublicationDate">
    <w:name w:val="Publication Date"/>
    <w:next w:val="Heading1"/>
    <w:rsid w:val="002B0F30"/>
    <w:pPr>
      <w:spacing w:after="360"/>
    </w:pPr>
    <w:rPr>
      <w:rFonts w:ascii="Helvetica" w:eastAsia="Times New Roman" w:hAnsi="Helvetica" w:cs="Times New Roman"/>
      <w:color w:val="A8A5A8"/>
      <w:spacing w:val="-10"/>
      <w:kern w:val="24"/>
      <w:sz w:val="24"/>
      <w:szCs w:val="28"/>
      <w:lang w:eastAsia="en-AU"/>
    </w:rPr>
  </w:style>
  <w:style w:type="paragraph" w:styleId="Footer">
    <w:name w:val="footer"/>
    <w:basedOn w:val="Normal"/>
    <w:link w:val="FooterChar"/>
    <w:uiPriority w:val="99"/>
    <w:unhideWhenUsed/>
    <w:rsid w:val="002B0F30"/>
    <w:pPr>
      <w:tabs>
        <w:tab w:val="right" w:pos="8222"/>
      </w:tabs>
    </w:pPr>
    <w:rPr>
      <w:rFonts w:ascii="Franklin Gothic Book" w:hAnsi="Franklin Gothic Book"/>
      <w:color w:val="A8A5A8"/>
      <w:sz w:val="14"/>
    </w:rPr>
  </w:style>
  <w:style w:type="character" w:customStyle="1" w:styleId="FooterChar">
    <w:name w:val="Footer Char"/>
    <w:basedOn w:val="DefaultParagraphFont"/>
    <w:link w:val="Footer"/>
    <w:uiPriority w:val="99"/>
    <w:rsid w:val="002B0F30"/>
    <w:rPr>
      <w:rFonts w:ascii="Franklin Gothic Book" w:eastAsia="SimSun" w:hAnsi="Franklin Gothic Book" w:cs="Times New Roman"/>
      <w:color w:val="A8A5A8"/>
      <w:sz w:val="14"/>
      <w:szCs w:val="24"/>
      <w:lang w:eastAsia="en-AU"/>
    </w:rPr>
  </w:style>
  <w:style w:type="paragraph" w:styleId="Title">
    <w:name w:val="Title"/>
    <w:basedOn w:val="Normal"/>
    <w:next w:val="Normal"/>
    <w:link w:val="TitleChar"/>
    <w:qFormat/>
    <w:rsid w:val="002B0F30"/>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2B0F30"/>
    <w:rPr>
      <w:rFonts w:ascii="Helvetica" w:eastAsia="Times New Roman" w:hAnsi="Helvetica" w:cs="Times New Roman"/>
      <w:color w:val="007FAD"/>
      <w:spacing w:val="-10"/>
      <w:kern w:val="28"/>
      <w:sz w:val="40"/>
      <w:szCs w:val="20"/>
      <w:lang w:eastAsia="en-AU"/>
    </w:rPr>
  </w:style>
  <w:style w:type="paragraph" w:styleId="Caption">
    <w:name w:val="caption"/>
    <w:basedOn w:val="Normal"/>
    <w:next w:val="BodyText"/>
    <w:link w:val="CaptionChar"/>
    <w:autoRedefine/>
    <w:qFormat/>
    <w:rsid w:val="00771955"/>
    <w:pPr>
      <w:keepNext/>
      <w:spacing w:before="80" w:after="80" w:line="280" w:lineRule="atLeast"/>
    </w:pPr>
    <w:rPr>
      <w:rFonts w:ascii="Franklin Gothic Book" w:eastAsia="Times New Roman" w:hAnsi="Franklin Gothic Book" w:cs="Arial"/>
      <w:sz w:val="22"/>
      <w:szCs w:val="22"/>
    </w:rPr>
  </w:style>
  <w:style w:type="paragraph" w:customStyle="1" w:styleId="Note">
    <w:name w:val="Note"/>
    <w:basedOn w:val="TableTextEntries"/>
    <w:next w:val="BodyText"/>
    <w:link w:val="NoteCharChar"/>
    <w:autoRedefine/>
    <w:rsid w:val="002B0F30"/>
    <w:pPr>
      <w:keepNext/>
      <w:spacing w:before="20" w:after="20" w:line="180" w:lineRule="atLeast"/>
      <w:jc w:val="both"/>
    </w:pPr>
    <w:rPr>
      <w:iCs w:val="0"/>
      <w:sz w:val="14"/>
      <w:szCs w:val="14"/>
      <w:lang w:eastAsia="en-AU"/>
    </w:rPr>
  </w:style>
  <w:style w:type="paragraph" w:customStyle="1" w:styleId="TableTextEntries">
    <w:name w:val="Table Text Entries"/>
    <w:rsid w:val="002B0F30"/>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2B0F30"/>
    <w:rPr>
      <w:rFonts w:ascii="Franklin Gothic Book" w:eastAsia="Times New Roman" w:hAnsi="Franklin Gothic Book" w:cs="Times New Roman"/>
      <w:sz w:val="14"/>
      <w:szCs w:val="14"/>
      <w:lang w:eastAsia="en-AU"/>
    </w:rPr>
  </w:style>
  <w:style w:type="paragraph" w:customStyle="1" w:styleId="TableDataEntries">
    <w:name w:val="Table Data Entries"/>
    <w:basedOn w:val="TableTextEntries"/>
    <w:rsid w:val="002B0F30"/>
    <w:pPr>
      <w:jc w:val="right"/>
    </w:pPr>
  </w:style>
  <w:style w:type="paragraph" w:customStyle="1" w:styleId="TableDataColumnHeading">
    <w:name w:val="Table Data Column Heading"/>
    <w:basedOn w:val="TableDataEntries"/>
    <w:rsid w:val="002B0F30"/>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8264E9"/>
    <w:pPr>
      <w:jc w:val="left"/>
    </w:pPr>
    <w:rPr>
      <w:rFonts w:ascii="Times New Roman" w:hAnsi="Times New Roman"/>
      <w:b/>
      <w:sz w:val="22"/>
      <w:szCs w:val="22"/>
      <w:lang w:eastAsia="en-AU"/>
    </w:rPr>
  </w:style>
  <w:style w:type="paragraph" w:styleId="ListBullet3">
    <w:name w:val="List Bullet 3"/>
    <w:basedOn w:val="ListBullet2"/>
    <w:uiPriority w:val="99"/>
    <w:unhideWhenUsed/>
    <w:rsid w:val="002B0F30"/>
    <w:pPr>
      <w:numPr>
        <w:numId w:val="15"/>
      </w:numPr>
      <w:tabs>
        <w:tab w:val="left" w:pos="567"/>
      </w:tabs>
      <w:ind w:left="851" w:hanging="284"/>
      <w:contextualSpacing/>
    </w:pPr>
  </w:style>
  <w:style w:type="table" w:customStyle="1" w:styleId="DFATTable">
    <w:name w:val="DFAT Table"/>
    <w:basedOn w:val="TableNormal"/>
    <w:uiPriority w:val="99"/>
    <w:rsid w:val="002B0F30"/>
    <w:pPr>
      <w:spacing w:after="0" w:line="240" w:lineRule="auto"/>
    </w:pPr>
    <w:rPr>
      <w:rFonts w:ascii="Helvetica" w:hAnsi="Helvetica"/>
      <w:sz w:val="17"/>
      <w:lang w:eastAsia="en-AU"/>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2B0F30"/>
    <w:pPr>
      <w:spacing w:after="0" w:line="240" w:lineRule="auto"/>
    </w:pPr>
    <w:rPr>
      <w:rFonts w:ascii="Helvetica" w:hAnsi="Helvetica"/>
      <w:lang w:eastAsia="en-AU"/>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uiPriority w:val="99"/>
    <w:qFormat/>
    <w:rsid w:val="002B0F30"/>
    <w:pPr>
      <w:numPr>
        <w:numId w:val="11"/>
      </w:numPr>
      <w:tabs>
        <w:tab w:val="left" w:pos="284"/>
      </w:tabs>
      <w:spacing w:after="120"/>
    </w:pPr>
  </w:style>
  <w:style w:type="paragraph" w:styleId="ListBullet2">
    <w:name w:val="List Bullet 2"/>
    <w:basedOn w:val="ListBullet"/>
    <w:qFormat/>
    <w:rsid w:val="002B0F30"/>
    <w:pPr>
      <w:numPr>
        <w:numId w:val="9"/>
      </w:numPr>
      <w:ind w:left="568" w:hanging="284"/>
    </w:pPr>
  </w:style>
  <w:style w:type="paragraph" w:styleId="ListNumber">
    <w:name w:val="List Number"/>
    <w:basedOn w:val="ListBullet"/>
    <w:qFormat/>
    <w:rsid w:val="002B0F30"/>
    <w:pPr>
      <w:numPr>
        <w:numId w:val="14"/>
      </w:numPr>
    </w:pPr>
  </w:style>
  <w:style w:type="paragraph" w:styleId="ListNumber2">
    <w:name w:val="List Number 2"/>
    <w:basedOn w:val="ListNumber"/>
    <w:qFormat/>
    <w:rsid w:val="002B0F30"/>
    <w:pPr>
      <w:numPr>
        <w:numId w:val="10"/>
      </w:numPr>
      <w:ind w:left="568" w:hanging="284"/>
    </w:pPr>
  </w:style>
  <w:style w:type="paragraph" w:styleId="BalloonText">
    <w:name w:val="Balloon Text"/>
    <w:basedOn w:val="Normal"/>
    <w:link w:val="BalloonTextChar"/>
    <w:semiHidden/>
    <w:unhideWhenUsed/>
    <w:rsid w:val="002B0F30"/>
    <w:rPr>
      <w:rFonts w:ascii="Franklin Gothic Book" w:hAnsi="Franklin Gothic Book" w:cs="Tahoma"/>
      <w:sz w:val="16"/>
      <w:szCs w:val="16"/>
    </w:rPr>
  </w:style>
  <w:style w:type="character" w:customStyle="1" w:styleId="BalloonTextChar">
    <w:name w:val="Balloon Text Char"/>
    <w:basedOn w:val="DefaultParagraphFont"/>
    <w:link w:val="BalloonText"/>
    <w:semiHidden/>
    <w:rsid w:val="002B0F30"/>
    <w:rPr>
      <w:rFonts w:ascii="Franklin Gothic Book" w:eastAsia="SimSun" w:hAnsi="Franklin Gothic Book" w:cs="Tahoma"/>
      <w:sz w:val="16"/>
      <w:szCs w:val="16"/>
      <w:lang w:eastAsia="en-AU"/>
    </w:rPr>
  </w:style>
  <w:style w:type="paragraph" w:styleId="Header">
    <w:name w:val="header"/>
    <w:basedOn w:val="Normal"/>
    <w:link w:val="HeaderChar"/>
    <w:uiPriority w:val="99"/>
    <w:unhideWhenUsed/>
    <w:rsid w:val="002B0F30"/>
    <w:pPr>
      <w:tabs>
        <w:tab w:val="center" w:pos="4513"/>
        <w:tab w:val="right" w:pos="9026"/>
      </w:tabs>
    </w:pPr>
  </w:style>
  <w:style w:type="character" w:customStyle="1" w:styleId="HeaderChar">
    <w:name w:val="Header Char"/>
    <w:basedOn w:val="DefaultParagraphFont"/>
    <w:link w:val="Header"/>
    <w:uiPriority w:val="99"/>
    <w:rsid w:val="002B0F30"/>
    <w:rPr>
      <w:rFonts w:ascii="Times New Roman" w:eastAsia="SimSun" w:hAnsi="Times New Roman" w:cs="Times New Roman"/>
      <w:sz w:val="20"/>
      <w:szCs w:val="24"/>
      <w:lang w:eastAsia="en-AU"/>
    </w:rPr>
  </w:style>
  <w:style w:type="paragraph" w:styleId="Date">
    <w:name w:val="Date"/>
    <w:basedOn w:val="Normal"/>
    <w:next w:val="Normal"/>
    <w:link w:val="DateChar"/>
    <w:unhideWhenUsed/>
    <w:qFormat/>
    <w:rsid w:val="002B0F30"/>
    <w:rPr>
      <w:rFonts w:ascii="Franklin Gothic Book" w:hAnsi="Franklin Gothic Book"/>
    </w:rPr>
  </w:style>
  <w:style w:type="character" w:customStyle="1" w:styleId="DateChar">
    <w:name w:val="Date Char"/>
    <w:basedOn w:val="DefaultParagraphFont"/>
    <w:link w:val="Date"/>
    <w:rsid w:val="002B0F30"/>
    <w:rPr>
      <w:rFonts w:ascii="Franklin Gothic Book" w:eastAsia="SimSun" w:hAnsi="Franklin Gothic Book" w:cs="Times New Roman"/>
      <w:sz w:val="20"/>
      <w:szCs w:val="24"/>
      <w:lang w:eastAsia="en-AU"/>
    </w:rPr>
  </w:style>
  <w:style w:type="character" w:styleId="PageNumber">
    <w:name w:val="page number"/>
    <w:semiHidden/>
    <w:rsid w:val="002B0F30"/>
    <w:rPr>
      <w:rFonts w:ascii="Helvetica" w:hAnsi="Helvetica"/>
      <w:color w:val="A8A5A8"/>
      <w:sz w:val="14"/>
      <w:szCs w:val="14"/>
    </w:rPr>
  </w:style>
  <w:style w:type="paragraph" w:styleId="TOC1">
    <w:name w:val="toc 1"/>
    <w:basedOn w:val="BodyText"/>
    <w:next w:val="BodyText"/>
    <w:semiHidden/>
    <w:rsid w:val="002B0F30"/>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2B0F30"/>
    <w:pPr>
      <w:spacing w:before="120" w:line="200" w:lineRule="atLeast"/>
      <w:ind w:left="0" w:firstLine="0"/>
    </w:pPr>
    <w:rPr>
      <w:color w:val="007FAD"/>
      <w:szCs w:val="21"/>
    </w:rPr>
  </w:style>
  <w:style w:type="paragraph" w:customStyle="1" w:styleId="BoxListBullet">
    <w:name w:val="Box List Bullet"/>
    <w:basedOn w:val="BoxText"/>
    <w:rsid w:val="002B0F30"/>
    <w:pPr>
      <w:keepLines/>
      <w:numPr>
        <w:numId w:val="5"/>
      </w:numPr>
      <w:spacing w:line="240" w:lineRule="auto"/>
      <w:ind w:left="284" w:hanging="284"/>
      <w:contextualSpacing/>
      <w:mirrorIndents/>
    </w:pPr>
  </w:style>
  <w:style w:type="paragraph" w:customStyle="1" w:styleId="BoxText">
    <w:name w:val="Box Text"/>
    <w:link w:val="BoxTextChar"/>
    <w:autoRedefine/>
    <w:rsid w:val="002B0F30"/>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lang w:eastAsia="en-AU"/>
    </w:rPr>
  </w:style>
  <w:style w:type="character" w:customStyle="1" w:styleId="BoxTextChar">
    <w:name w:val="Box Text Char"/>
    <w:link w:val="BoxText"/>
    <w:rsid w:val="002B0F30"/>
    <w:rPr>
      <w:rFonts w:ascii="Franklin Gothic Book" w:eastAsia="Times New Roman" w:hAnsi="Franklin Gothic Book" w:cs="Times New Roman"/>
      <w:iCs/>
      <w:sz w:val="20"/>
      <w:szCs w:val="20"/>
      <w:shd w:val="clear" w:color="auto" w:fill="C7D5E6"/>
      <w:lang w:eastAsia="en-AU"/>
    </w:rPr>
  </w:style>
  <w:style w:type="paragraph" w:customStyle="1" w:styleId="BoxHeading1">
    <w:name w:val="Box Heading 1"/>
    <w:basedOn w:val="BoxText"/>
    <w:next w:val="BoxText"/>
    <w:rsid w:val="002B0F30"/>
    <w:pPr>
      <w:spacing w:before="120" w:line="240" w:lineRule="auto"/>
    </w:pPr>
    <w:rPr>
      <w:b/>
      <w:color w:val="000000"/>
    </w:rPr>
  </w:style>
  <w:style w:type="paragraph" w:customStyle="1" w:styleId="BoxHeading2">
    <w:name w:val="Box Heading 2"/>
    <w:basedOn w:val="BoxHeading1"/>
    <w:next w:val="BoxText"/>
    <w:rsid w:val="002B0F30"/>
    <w:rPr>
      <w:i/>
      <w:color w:val="auto"/>
    </w:rPr>
  </w:style>
  <w:style w:type="paragraph" w:customStyle="1" w:styleId="TableListBullet">
    <w:name w:val="Table List Bullet"/>
    <w:basedOn w:val="TableTextEntries"/>
    <w:rsid w:val="002B0F30"/>
    <w:pPr>
      <w:numPr>
        <w:numId w:val="7"/>
      </w:numPr>
      <w:ind w:left="284" w:hanging="284"/>
    </w:pPr>
    <w:rPr>
      <w:rFonts w:ascii="Helvetica" w:hAnsi="Helvetica"/>
    </w:rPr>
  </w:style>
  <w:style w:type="paragraph" w:styleId="TOC3">
    <w:name w:val="toc 3"/>
    <w:basedOn w:val="TOC2"/>
    <w:next w:val="BodyText"/>
    <w:semiHidden/>
    <w:rsid w:val="002B0F30"/>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2B0F30"/>
    <w:pPr>
      <w:spacing w:line="240" w:lineRule="atLeast"/>
    </w:pPr>
    <w:rPr>
      <w:sz w:val="18"/>
      <w:szCs w:val="18"/>
    </w:rPr>
  </w:style>
  <w:style w:type="character" w:customStyle="1" w:styleId="CommentTextChar">
    <w:name w:val="Comment Text Char"/>
    <w:basedOn w:val="DefaultParagraphFont"/>
    <w:link w:val="CommentText"/>
    <w:rsid w:val="002B0F30"/>
    <w:rPr>
      <w:rFonts w:ascii="Franklin Gothic Book" w:eastAsia="Times New Roman" w:hAnsi="Franklin Gothic Book" w:cs="Times New Roman"/>
      <w:sz w:val="18"/>
      <w:szCs w:val="18"/>
      <w:lang w:eastAsia="en-AU"/>
    </w:rPr>
  </w:style>
  <w:style w:type="character" w:styleId="Hyperlink">
    <w:name w:val="Hyperlink"/>
    <w:rsid w:val="002B0F30"/>
    <w:rPr>
      <w:color w:val="00467F"/>
      <w:sz w:val="20"/>
      <w:szCs w:val="20"/>
      <w:u w:val="none"/>
    </w:rPr>
  </w:style>
  <w:style w:type="paragraph" w:customStyle="1" w:styleId="TableHeading1">
    <w:name w:val="Table Heading 1"/>
    <w:basedOn w:val="TableTextEntries"/>
    <w:next w:val="TableTextEntries"/>
    <w:rsid w:val="002B0F30"/>
    <w:pPr>
      <w:spacing w:before="80" w:after="80"/>
    </w:pPr>
    <w:rPr>
      <w:b/>
    </w:rPr>
  </w:style>
  <w:style w:type="paragraph" w:customStyle="1" w:styleId="TableHeading2">
    <w:name w:val="Table Heading 2"/>
    <w:basedOn w:val="TableHeading1"/>
    <w:next w:val="TableTextEntries"/>
    <w:rsid w:val="002B0F30"/>
    <w:pPr>
      <w:spacing w:before="40" w:after="40"/>
    </w:pPr>
    <w:rPr>
      <w:i/>
    </w:rPr>
  </w:style>
  <w:style w:type="paragraph" w:customStyle="1" w:styleId="TableListBullet2">
    <w:name w:val="Table List Bullet 2"/>
    <w:basedOn w:val="TableListBullet"/>
    <w:link w:val="TableListBullet2Char"/>
    <w:rsid w:val="002B0F30"/>
    <w:pPr>
      <w:numPr>
        <w:numId w:val="8"/>
      </w:numPr>
      <w:ind w:left="568" w:hanging="284"/>
    </w:pPr>
  </w:style>
  <w:style w:type="character" w:customStyle="1" w:styleId="TableListBullet2Char">
    <w:name w:val="Table List Bullet 2 Char"/>
    <w:link w:val="TableListBullet2"/>
    <w:rsid w:val="002B0F30"/>
    <w:rPr>
      <w:rFonts w:ascii="Helvetica" w:eastAsia="Times New Roman" w:hAnsi="Helvetica" w:cs="Times New Roman"/>
      <w:iCs/>
      <w:sz w:val="17"/>
      <w:szCs w:val="17"/>
    </w:rPr>
  </w:style>
  <w:style w:type="paragraph" w:customStyle="1" w:styleId="TableListNumber">
    <w:name w:val="Table List Number"/>
    <w:basedOn w:val="TableTextEntries"/>
    <w:rsid w:val="002B0F30"/>
    <w:pPr>
      <w:numPr>
        <w:numId w:val="2"/>
      </w:numPr>
      <w:ind w:left="284" w:hanging="284"/>
    </w:pPr>
    <w:rPr>
      <w:rFonts w:ascii="Helvetica" w:hAnsi="Helvetica"/>
    </w:rPr>
  </w:style>
  <w:style w:type="paragraph" w:customStyle="1" w:styleId="TableListNumber2">
    <w:name w:val="Table List Number 2"/>
    <w:basedOn w:val="TableListNumber"/>
    <w:rsid w:val="002B0F30"/>
    <w:pPr>
      <w:numPr>
        <w:numId w:val="3"/>
      </w:numPr>
      <w:ind w:left="568" w:hanging="284"/>
    </w:pPr>
  </w:style>
  <w:style w:type="character" w:styleId="FollowedHyperlink">
    <w:name w:val="FollowedHyperlink"/>
    <w:semiHidden/>
    <w:rsid w:val="002B0F30"/>
    <w:rPr>
      <w:color w:val="333399"/>
      <w:u w:val="none"/>
    </w:rPr>
  </w:style>
  <w:style w:type="paragraph" w:customStyle="1" w:styleId="BoxListBullet2">
    <w:name w:val="Box List Bullet 2"/>
    <w:basedOn w:val="BoxText"/>
    <w:rsid w:val="002B0F30"/>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2B0F30"/>
    <w:pPr>
      <w:numPr>
        <w:numId w:val="6"/>
      </w:numPr>
      <w:tabs>
        <w:tab w:val="left" w:pos="284"/>
      </w:tabs>
      <w:ind w:left="568"/>
    </w:pPr>
  </w:style>
  <w:style w:type="paragraph" w:customStyle="1" w:styleId="BoxListNumber2">
    <w:name w:val="Box List Number 2"/>
    <w:basedOn w:val="BoxListNumber"/>
    <w:rsid w:val="002B0F30"/>
    <w:pPr>
      <w:numPr>
        <w:numId w:val="16"/>
      </w:numPr>
      <w:tabs>
        <w:tab w:val="left" w:pos="284"/>
      </w:tabs>
      <w:ind w:left="284" w:hanging="284"/>
    </w:pPr>
    <w:rPr>
      <w:szCs w:val="22"/>
    </w:rPr>
  </w:style>
  <w:style w:type="paragraph" w:customStyle="1" w:styleId="BoxNoteSource">
    <w:name w:val="Box Note/Source"/>
    <w:basedOn w:val="BoxText"/>
    <w:rsid w:val="002B0F30"/>
    <w:pPr>
      <w:spacing w:before="100" w:after="100" w:line="180" w:lineRule="atLeast"/>
    </w:pPr>
    <w:rPr>
      <w:sz w:val="14"/>
      <w:szCs w:val="14"/>
    </w:rPr>
  </w:style>
  <w:style w:type="paragraph" w:customStyle="1" w:styleId="BoxQuote">
    <w:name w:val="Box Quote"/>
    <w:basedOn w:val="BoxText"/>
    <w:next w:val="BoxText"/>
    <w:rsid w:val="002B0F30"/>
    <w:pPr>
      <w:spacing w:line="240" w:lineRule="atLeast"/>
      <w:ind w:left="284"/>
    </w:pPr>
    <w:rPr>
      <w:sz w:val="16"/>
      <w:szCs w:val="16"/>
    </w:rPr>
  </w:style>
  <w:style w:type="paragraph" w:customStyle="1" w:styleId="Photocaption">
    <w:name w:val="Photo caption"/>
    <w:basedOn w:val="Normal"/>
    <w:next w:val="BodyText"/>
    <w:semiHidden/>
    <w:rsid w:val="002B0F30"/>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2B0F30"/>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2B0F3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2B0F30"/>
    <w:pPr>
      <w:spacing w:after="0" w:line="240" w:lineRule="auto"/>
    </w:pPr>
    <w:rPr>
      <w:color w:val="000000" w:themeColor="text1" w:themeShade="BF"/>
      <w:lang w:eastAsia="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2B0F30"/>
    <w:pPr>
      <w:spacing w:after="0" w:line="240" w:lineRule="auto"/>
    </w:pPr>
    <w:rPr>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2B0F30"/>
    <w:pPr>
      <w:spacing w:after="0" w:line="240" w:lineRule="auto"/>
    </w:pPr>
    <w:rPr>
      <w:color w:val="365F91" w:themeColor="accent1" w:themeShade="BF"/>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2B0F30"/>
    <w:pPr>
      <w:spacing w:after="0" w:line="240" w:lineRule="auto"/>
    </w:pPr>
    <w:rPr>
      <w:rFonts w:ascii="Times New Roman" w:eastAsia="Times New Roman" w:hAnsi="Times New Roman" w:cs="Times New Roman"/>
      <w:sz w:val="20"/>
      <w:szCs w:val="24"/>
      <w:lang w:eastAsia="en-AU"/>
    </w:rPr>
  </w:style>
  <w:style w:type="paragraph" w:styleId="ListNumber3">
    <w:name w:val="List Number 3"/>
    <w:basedOn w:val="ListNumber2"/>
    <w:rsid w:val="002B0F30"/>
    <w:pPr>
      <w:numPr>
        <w:numId w:val="12"/>
      </w:numPr>
      <w:ind w:left="851" w:hanging="284"/>
    </w:pPr>
  </w:style>
  <w:style w:type="paragraph" w:styleId="EndnoteText">
    <w:name w:val="endnote text"/>
    <w:basedOn w:val="Normal"/>
    <w:link w:val="EndnoteTextChar"/>
    <w:rsid w:val="002B0F30"/>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2B0F30"/>
    <w:rPr>
      <w:rFonts w:ascii="Franklin Gothic Book" w:eastAsia="Times New Roman" w:hAnsi="Franklin Gothic Book" w:cs="Times New Roman"/>
      <w:sz w:val="21"/>
      <w:szCs w:val="20"/>
      <w:lang w:eastAsia="en-AU"/>
    </w:rPr>
  </w:style>
  <w:style w:type="character" w:styleId="EndnoteReference">
    <w:name w:val="endnote reference"/>
    <w:rsid w:val="002B0F30"/>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B0F30"/>
    <w:pPr>
      <w:numPr>
        <w:numId w:val="13"/>
      </w:numPr>
    </w:pPr>
  </w:style>
  <w:style w:type="character" w:customStyle="1" w:styleId="CaptionChar">
    <w:name w:val="Caption Char"/>
    <w:link w:val="Caption"/>
    <w:locked/>
    <w:rsid w:val="00771955"/>
    <w:rPr>
      <w:rFonts w:ascii="Franklin Gothic Book" w:eastAsia="Times New Roman" w:hAnsi="Franklin Gothic Book" w:cs="Arial"/>
      <w:lang w:eastAsia="en-AU"/>
    </w:rPr>
  </w:style>
  <w:style w:type="paragraph" w:styleId="FootnoteText">
    <w:name w:val="footnote text"/>
    <w:aliases w:val="Footnote Text Char2,Footnote Text Char Char,Footnote Text Char1 Char Char,Footnote Text Char Char1 Char Char,Footnote Text Char1 Char1,Footnote Text Char Char1 Char1,Footnote Text Char1 Char,Footnote Text Char Char1 Char,ft"/>
    <w:basedOn w:val="BodyText"/>
    <w:link w:val="FootnoteTextChar"/>
    <w:unhideWhenUsed/>
    <w:qFormat/>
    <w:rsid w:val="002B0F30"/>
    <w:pPr>
      <w:spacing w:after="0"/>
      <w:contextualSpacing/>
    </w:pPr>
    <w:rPr>
      <w:sz w:val="16"/>
      <w:szCs w:val="20"/>
    </w:rPr>
  </w:style>
  <w:style w:type="character" w:customStyle="1" w:styleId="FootnoteTextChar">
    <w:name w:val="Footnote Text Char"/>
    <w:aliases w:val="Footnote Text Char2 Char,Footnote Text Char Char Char,Footnote Text Char1 Char Char Char,Footnote Text Char Char1 Char Char Char,Footnote Text Char1 Char1 Char,Footnote Text Char Char1 Char1 Char,Footnote Text Char1 Char Char1,ft Char"/>
    <w:basedOn w:val="DefaultParagraphFont"/>
    <w:link w:val="FootnoteText"/>
    <w:rsid w:val="002B0F30"/>
    <w:rPr>
      <w:rFonts w:ascii="Franklin Gothic Book" w:eastAsia="Times New Roman" w:hAnsi="Franklin Gothic Book" w:cs="Times New Roman"/>
      <w:sz w:val="16"/>
      <w:szCs w:val="20"/>
      <w:lang w:eastAsia="en-AU"/>
    </w:rPr>
  </w:style>
  <w:style w:type="character" w:styleId="FootnoteReference">
    <w:name w:val="footnote reference"/>
    <w:aliases w:val="ftref"/>
    <w:uiPriority w:val="99"/>
    <w:rsid w:val="002B0F30"/>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2B0F30"/>
    <w:pPr>
      <w:spacing w:before="100" w:beforeAutospacing="1" w:after="100" w:afterAutospacing="1"/>
    </w:pPr>
    <w:rPr>
      <w:rFonts w:eastAsia="Times New Roman"/>
      <w:sz w:val="24"/>
    </w:rPr>
  </w:style>
  <w:style w:type="table" w:styleId="LightShading-Accent3">
    <w:name w:val="Light Shading Accent 3"/>
    <w:basedOn w:val="TableNormal"/>
    <w:uiPriority w:val="60"/>
    <w:rsid w:val="002B0F30"/>
    <w:pPr>
      <w:spacing w:after="0" w:line="240" w:lineRule="auto"/>
    </w:pPr>
    <w:rPr>
      <w:color w:val="76923C" w:themeColor="accent3" w:themeShade="BF"/>
      <w:lang w:eastAsia="en-A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2B0F30"/>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2B0F30"/>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2B0F30"/>
    <w:rPr>
      <w:rFonts w:ascii="Franklin Gothic Book" w:eastAsia="SimSun" w:hAnsi="Franklin Gothic Book" w:cs="Times New Roman"/>
      <w:b/>
      <w:bCs/>
      <w:sz w:val="20"/>
      <w:szCs w:val="20"/>
      <w:lang w:eastAsia="en-AU"/>
    </w:rPr>
  </w:style>
  <w:style w:type="paragraph" w:customStyle="1" w:styleId="GuidanceText">
    <w:name w:val="Guidance Text"/>
    <w:basedOn w:val="BodyText"/>
    <w:rsid w:val="002B0F30"/>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2B0F30"/>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2B0F30"/>
    <w:rPr>
      <w:rFonts w:ascii="Arial" w:eastAsia="Times New Roman" w:hAnsi="Arial" w:cs="Arial"/>
      <w:sz w:val="20"/>
    </w:rPr>
  </w:style>
  <w:style w:type="paragraph" w:styleId="ListParagraph">
    <w:name w:val="List Paragraph"/>
    <w:aliases w:val="List Paragraph2,Bulit List -  Paragraph,Main numbered paragraph,Numbered List Paragraph,L,CV text,F5 List Paragraph,Dot pt,Medium Grid 1 - Accent 21,Numbered Paragraph,List Paragraph1,Recommendation,List Paragraph11,Table text"/>
    <w:basedOn w:val="BodyText"/>
    <w:link w:val="ListParagraphChar"/>
    <w:uiPriority w:val="34"/>
    <w:qFormat/>
    <w:rsid w:val="002B0F30"/>
    <w:pPr>
      <w:numPr>
        <w:numId w:val="18"/>
      </w:numPr>
      <w:spacing w:after="120" w:line="240" w:lineRule="auto"/>
    </w:pPr>
    <w:rPr>
      <w:rFonts w:ascii="Times New Roman" w:hAnsi="Times New Roman"/>
      <w:sz w:val="22"/>
    </w:rPr>
  </w:style>
  <w:style w:type="table" w:customStyle="1" w:styleId="APPR">
    <w:name w:val="APPR"/>
    <w:basedOn w:val="TableNormal"/>
    <w:uiPriority w:val="99"/>
    <w:rsid w:val="002B0F30"/>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List Paragraph2 Char,Bulit List -  Paragraph Char,Main numbered paragraph Char,Numbered List Paragraph Char,L Char,CV text Char,F5 List Paragraph Char,Dot pt Char,Medium Grid 1 - Accent 21 Char,Numbered Paragraph Char,Table text Char"/>
    <w:link w:val="ListParagraph"/>
    <w:uiPriority w:val="34"/>
    <w:locked/>
    <w:rsid w:val="002B0F30"/>
    <w:rPr>
      <w:rFonts w:ascii="Times New Roman" w:eastAsia="Times New Roman" w:hAnsi="Times New Roman" w:cs="Times New Roman"/>
      <w:szCs w:val="24"/>
      <w:lang w:eastAsia="en-AU"/>
    </w:rPr>
  </w:style>
  <w:style w:type="paragraph" w:styleId="NoSpacing">
    <w:name w:val="No Spacing"/>
    <w:uiPriority w:val="1"/>
    <w:qFormat/>
    <w:rsid w:val="002B0F30"/>
    <w:pPr>
      <w:spacing w:after="0" w:line="240" w:lineRule="auto"/>
    </w:pPr>
    <w:rPr>
      <w:rFonts w:ascii="Times New Roman" w:eastAsia="Times New Roman" w:hAnsi="Times New Roman" w:cs="Times New Roman"/>
      <w:sz w:val="24"/>
      <w:szCs w:val="24"/>
      <w:lang w:eastAsia="en-AU"/>
    </w:rPr>
  </w:style>
  <w:style w:type="paragraph" w:customStyle="1" w:styleId="Ratingbullet">
    <w:name w:val="Rating bullet"/>
    <w:basedOn w:val="TableTextEntries"/>
    <w:semiHidden/>
    <w:rsid w:val="002B0F30"/>
    <w:pPr>
      <w:jc w:val="center"/>
    </w:pPr>
    <w:rPr>
      <w:iCs w:val="0"/>
      <w:sz w:val="22"/>
      <w:szCs w:val="22"/>
    </w:rPr>
  </w:style>
  <w:style w:type="table" w:customStyle="1" w:styleId="APPR1">
    <w:name w:val="APPR1"/>
    <w:basedOn w:val="TableNormal"/>
    <w:uiPriority w:val="99"/>
    <w:rsid w:val="002B0F30"/>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1">
    <w:name w:val="DFAT Table1"/>
    <w:basedOn w:val="TableNormal"/>
    <w:uiPriority w:val="99"/>
    <w:rsid w:val="00C74F2D"/>
    <w:pPr>
      <w:spacing w:after="0" w:line="240" w:lineRule="auto"/>
    </w:pPr>
    <w:rPr>
      <w:rFonts w:ascii="Helvetica" w:hAnsi="Helvetica"/>
      <w:sz w:val="17"/>
      <w:lang w:eastAsia="en-AU"/>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Default">
    <w:name w:val="Default"/>
    <w:rsid w:val="00DA634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PPR2">
    <w:name w:val="APPR2"/>
    <w:basedOn w:val="TableNormal"/>
    <w:uiPriority w:val="99"/>
    <w:rsid w:val="004F3AF9"/>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0F30"/>
    <w:pPr>
      <w:spacing w:after="0" w:line="240" w:lineRule="auto"/>
    </w:pPr>
    <w:rPr>
      <w:rFonts w:ascii="Times New Roman" w:eastAsia="SimSun" w:hAnsi="Times New Roman" w:cs="Times New Roman"/>
      <w:sz w:val="20"/>
      <w:szCs w:val="24"/>
      <w:lang w:eastAsia="en-AU"/>
    </w:rPr>
  </w:style>
  <w:style w:type="paragraph" w:styleId="Heading1">
    <w:name w:val="heading 1"/>
    <w:basedOn w:val="Title"/>
    <w:next w:val="BodyText"/>
    <w:link w:val="Heading1Char"/>
    <w:qFormat/>
    <w:rsid w:val="002B0F30"/>
    <w:pPr>
      <w:keepNext/>
      <w:spacing w:before="480" w:after="120"/>
      <w:outlineLvl w:val="0"/>
    </w:pPr>
    <w:rPr>
      <w:rFonts w:cs="Arial"/>
      <w:sz w:val="28"/>
      <w:szCs w:val="28"/>
    </w:rPr>
  </w:style>
  <w:style w:type="paragraph" w:styleId="Heading2">
    <w:name w:val="heading 2"/>
    <w:basedOn w:val="Normal"/>
    <w:next w:val="BodyText"/>
    <w:link w:val="Heading2Char"/>
    <w:qFormat/>
    <w:rsid w:val="002B0F30"/>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164E82"/>
    <w:pPr>
      <w:widowControl w:val="0"/>
      <w:spacing w:before="240"/>
      <w:outlineLvl w:val="2"/>
    </w:pPr>
    <w:rPr>
      <w:rFonts w:asciiTheme="minorHAnsi" w:hAnsiTheme="minorHAnsi" w:cstheme="minorHAnsi"/>
      <w:b/>
      <w:color w:val="0070C0"/>
      <w:sz w:val="22"/>
      <w:szCs w:val="22"/>
      <w:lang w:eastAsia="zh-CN"/>
    </w:rPr>
  </w:style>
  <w:style w:type="paragraph" w:styleId="Heading4">
    <w:name w:val="heading 4"/>
    <w:basedOn w:val="Heading3"/>
    <w:next w:val="BodyText"/>
    <w:link w:val="Heading4Char"/>
    <w:qFormat/>
    <w:rsid w:val="002B0F30"/>
    <w:pPr>
      <w:numPr>
        <w:ilvl w:val="3"/>
        <w:numId w:val="1"/>
      </w:numPr>
      <w:spacing w:before="320" w:after="0"/>
      <w:outlineLvl w:val="3"/>
    </w:pPr>
    <w:rPr>
      <w:b w:val="0"/>
    </w:rPr>
  </w:style>
  <w:style w:type="paragraph" w:styleId="Heading5">
    <w:name w:val="heading 5"/>
    <w:basedOn w:val="BodyText"/>
    <w:next w:val="BodyText"/>
    <w:link w:val="Heading5Char"/>
    <w:qFormat/>
    <w:rsid w:val="002B0F30"/>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2B0F30"/>
    <w:pPr>
      <w:spacing w:after="240" w:line="280" w:lineRule="atLeast"/>
      <w:outlineLvl w:val="5"/>
    </w:pPr>
    <w:rPr>
      <w:rFonts w:ascii="Franklin Gothic Book" w:eastAsia="Times New Roman" w:hAnsi="Franklin Gothic Book" w:cs="Times New Roman"/>
      <w:b/>
      <w:spacing w:val="-10"/>
      <w:kern w:val="28"/>
      <w:szCs w:val="19"/>
      <w:lang w:eastAsia="en-AU"/>
    </w:rPr>
  </w:style>
  <w:style w:type="paragraph" w:styleId="Heading7">
    <w:name w:val="heading 7"/>
    <w:basedOn w:val="Heading6"/>
    <w:next w:val="BodyText"/>
    <w:link w:val="Heading7Char"/>
    <w:rsid w:val="002B0F30"/>
    <w:pPr>
      <w:numPr>
        <w:ilvl w:val="6"/>
      </w:numPr>
      <w:outlineLvl w:val="6"/>
    </w:pPr>
  </w:style>
  <w:style w:type="paragraph" w:styleId="Heading8">
    <w:name w:val="heading 8"/>
    <w:basedOn w:val="Heading7"/>
    <w:next w:val="BodyText"/>
    <w:link w:val="Heading8Char"/>
    <w:rsid w:val="002B0F30"/>
    <w:pPr>
      <w:numPr>
        <w:ilvl w:val="7"/>
      </w:numPr>
      <w:outlineLvl w:val="7"/>
    </w:pPr>
  </w:style>
  <w:style w:type="paragraph" w:styleId="Heading9">
    <w:name w:val="heading 9"/>
    <w:basedOn w:val="Heading8"/>
    <w:next w:val="BodyText"/>
    <w:link w:val="Heading9Char"/>
    <w:rsid w:val="002B0F3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F30"/>
    <w:rPr>
      <w:rFonts w:ascii="Helvetica" w:eastAsia="Times New Roman" w:hAnsi="Helvetica" w:cs="Arial"/>
      <w:color w:val="007FAD"/>
      <w:spacing w:val="-10"/>
      <w:kern w:val="28"/>
      <w:sz w:val="28"/>
      <w:szCs w:val="28"/>
      <w:lang w:eastAsia="en-AU"/>
    </w:rPr>
  </w:style>
  <w:style w:type="character" w:customStyle="1" w:styleId="Heading2Char">
    <w:name w:val="Heading 2 Char"/>
    <w:basedOn w:val="DefaultParagraphFont"/>
    <w:link w:val="Heading2"/>
    <w:rsid w:val="002B0F30"/>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164E82"/>
    <w:rPr>
      <w:rFonts w:eastAsia="Times New Roman" w:cstheme="minorHAnsi"/>
      <w:b/>
      <w:color w:val="0070C0"/>
      <w:kern w:val="28"/>
      <w:lang w:eastAsia="zh-CN"/>
    </w:rPr>
  </w:style>
  <w:style w:type="character" w:customStyle="1" w:styleId="Heading4Char">
    <w:name w:val="Heading 4 Char"/>
    <w:basedOn w:val="DefaultParagraphFont"/>
    <w:link w:val="Heading4"/>
    <w:rsid w:val="002B0F30"/>
    <w:rPr>
      <w:rFonts w:eastAsia="Times New Roman" w:cstheme="minorHAnsi"/>
      <w:i/>
      <w:color w:val="124486"/>
      <w:kern w:val="28"/>
      <w:lang w:eastAsia="zh-CN"/>
    </w:rPr>
  </w:style>
  <w:style w:type="character" w:customStyle="1" w:styleId="Heading5Char">
    <w:name w:val="Heading 5 Char"/>
    <w:basedOn w:val="DefaultParagraphFont"/>
    <w:link w:val="Heading5"/>
    <w:rsid w:val="002B0F30"/>
    <w:rPr>
      <w:rFonts w:ascii="Helvetica" w:eastAsia="Times New Roman" w:hAnsi="Helvetica" w:cs="Times New Roman"/>
      <w:b/>
      <w:color w:val="A8A5A8"/>
      <w:szCs w:val="24"/>
      <w:lang w:eastAsia="en-AU"/>
    </w:rPr>
  </w:style>
  <w:style w:type="character" w:customStyle="1" w:styleId="Heading6Char">
    <w:name w:val="Heading 6 Char"/>
    <w:basedOn w:val="DefaultParagraphFont"/>
    <w:link w:val="Heading6"/>
    <w:rsid w:val="002B0F30"/>
    <w:rPr>
      <w:rFonts w:ascii="Franklin Gothic Book" w:eastAsia="Times New Roman" w:hAnsi="Franklin Gothic Book" w:cs="Times New Roman"/>
      <w:b/>
      <w:spacing w:val="-10"/>
      <w:kern w:val="28"/>
      <w:szCs w:val="19"/>
      <w:lang w:eastAsia="en-AU"/>
    </w:rPr>
  </w:style>
  <w:style w:type="character" w:customStyle="1" w:styleId="Heading7Char">
    <w:name w:val="Heading 7 Char"/>
    <w:basedOn w:val="DefaultParagraphFont"/>
    <w:link w:val="Heading7"/>
    <w:rsid w:val="002B0F30"/>
    <w:rPr>
      <w:rFonts w:ascii="Franklin Gothic Book" w:eastAsia="Times New Roman" w:hAnsi="Franklin Gothic Book" w:cs="Times New Roman"/>
      <w:b/>
      <w:spacing w:val="-10"/>
      <w:kern w:val="28"/>
      <w:szCs w:val="19"/>
      <w:lang w:eastAsia="en-AU"/>
    </w:rPr>
  </w:style>
  <w:style w:type="character" w:customStyle="1" w:styleId="Heading8Char">
    <w:name w:val="Heading 8 Char"/>
    <w:basedOn w:val="DefaultParagraphFont"/>
    <w:link w:val="Heading8"/>
    <w:rsid w:val="002B0F30"/>
    <w:rPr>
      <w:rFonts w:ascii="Franklin Gothic Book" w:eastAsia="Times New Roman" w:hAnsi="Franklin Gothic Book" w:cs="Times New Roman"/>
      <w:b/>
      <w:spacing w:val="-10"/>
      <w:kern w:val="28"/>
      <w:szCs w:val="19"/>
      <w:lang w:eastAsia="en-AU"/>
    </w:rPr>
  </w:style>
  <w:style w:type="character" w:customStyle="1" w:styleId="Heading9Char">
    <w:name w:val="Heading 9 Char"/>
    <w:basedOn w:val="DefaultParagraphFont"/>
    <w:link w:val="Heading9"/>
    <w:rsid w:val="002B0F30"/>
    <w:rPr>
      <w:rFonts w:ascii="Franklin Gothic Book" w:eastAsia="Times New Roman" w:hAnsi="Franklin Gothic Book" w:cs="Times New Roman"/>
      <w:b/>
      <w:spacing w:val="-10"/>
      <w:kern w:val="28"/>
      <w:szCs w:val="19"/>
      <w:lang w:eastAsia="en-AU"/>
    </w:rPr>
  </w:style>
  <w:style w:type="paragraph" w:styleId="BodyText">
    <w:name w:val="Body Text"/>
    <w:basedOn w:val="Normal"/>
    <w:link w:val="BodyTextChar"/>
    <w:qFormat/>
    <w:rsid w:val="002B0F30"/>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2B0F30"/>
    <w:rPr>
      <w:rFonts w:ascii="Franklin Gothic Book" w:eastAsia="Times New Roman" w:hAnsi="Franklin Gothic Book" w:cs="Times New Roman"/>
      <w:sz w:val="21"/>
      <w:szCs w:val="24"/>
      <w:lang w:eastAsia="en-AU"/>
    </w:rPr>
  </w:style>
  <w:style w:type="paragraph" w:styleId="Subtitle">
    <w:name w:val="Subtitle"/>
    <w:basedOn w:val="Normal"/>
    <w:next w:val="Normal"/>
    <w:link w:val="SubtitleChar"/>
    <w:qFormat/>
    <w:rsid w:val="002B0F30"/>
    <w:pPr>
      <w:spacing w:before="120" w:after="360"/>
    </w:pPr>
    <w:rPr>
      <w:rFonts w:ascii="Helvetica" w:eastAsia="Times New Roman" w:hAnsi="Helvetica"/>
      <w:color w:val="007FAD"/>
      <w:spacing w:val="-10"/>
      <w:kern w:val="28"/>
      <w:sz w:val="28"/>
      <w:szCs w:val="28"/>
    </w:rPr>
  </w:style>
  <w:style w:type="character" w:customStyle="1" w:styleId="SubtitleChar">
    <w:name w:val="Subtitle Char"/>
    <w:basedOn w:val="DefaultParagraphFont"/>
    <w:link w:val="Subtitle"/>
    <w:rsid w:val="002B0F30"/>
    <w:rPr>
      <w:rFonts w:ascii="Helvetica" w:eastAsia="Times New Roman" w:hAnsi="Helvetica" w:cs="Times New Roman"/>
      <w:color w:val="007FAD"/>
      <w:spacing w:val="-10"/>
      <w:kern w:val="28"/>
      <w:sz w:val="28"/>
      <w:szCs w:val="28"/>
      <w:lang w:eastAsia="en-AU"/>
    </w:rPr>
  </w:style>
  <w:style w:type="paragraph" w:customStyle="1" w:styleId="PublicationDate">
    <w:name w:val="Publication Date"/>
    <w:next w:val="Heading1"/>
    <w:rsid w:val="002B0F30"/>
    <w:pPr>
      <w:spacing w:after="360"/>
    </w:pPr>
    <w:rPr>
      <w:rFonts w:ascii="Helvetica" w:eastAsia="Times New Roman" w:hAnsi="Helvetica" w:cs="Times New Roman"/>
      <w:color w:val="A8A5A8"/>
      <w:spacing w:val="-10"/>
      <w:kern w:val="24"/>
      <w:sz w:val="24"/>
      <w:szCs w:val="28"/>
      <w:lang w:eastAsia="en-AU"/>
    </w:rPr>
  </w:style>
  <w:style w:type="paragraph" w:styleId="Footer">
    <w:name w:val="footer"/>
    <w:basedOn w:val="Normal"/>
    <w:link w:val="FooterChar"/>
    <w:uiPriority w:val="99"/>
    <w:unhideWhenUsed/>
    <w:rsid w:val="002B0F30"/>
    <w:pPr>
      <w:tabs>
        <w:tab w:val="right" w:pos="8222"/>
      </w:tabs>
    </w:pPr>
    <w:rPr>
      <w:rFonts w:ascii="Franklin Gothic Book" w:hAnsi="Franklin Gothic Book"/>
      <w:color w:val="A8A5A8"/>
      <w:sz w:val="14"/>
    </w:rPr>
  </w:style>
  <w:style w:type="character" w:customStyle="1" w:styleId="FooterChar">
    <w:name w:val="Footer Char"/>
    <w:basedOn w:val="DefaultParagraphFont"/>
    <w:link w:val="Footer"/>
    <w:uiPriority w:val="99"/>
    <w:rsid w:val="002B0F30"/>
    <w:rPr>
      <w:rFonts w:ascii="Franklin Gothic Book" w:eastAsia="SimSun" w:hAnsi="Franklin Gothic Book" w:cs="Times New Roman"/>
      <w:color w:val="A8A5A8"/>
      <w:sz w:val="14"/>
      <w:szCs w:val="24"/>
      <w:lang w:eastAsia="en-AU"/>
    </w:rPr>
  </w:style>
  <w:style w:type="paragraph" w:styleId="Title">
    <w:name w:val="Title"/>
    <w:basedOn w:val="Normal"/>
    <w:next w:val="Normal"/>
    <w:link w:val="TitleChar"/>
    <w:qFormat/>
    <w:rsid w:val="002B0F30"/>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2B0F30"/>
    <w:rPr>
      <w:rFonts w:ascii="Helvetica" w:eastAsia="Times New Roman" w:hAnsi="Helvetica" w:cs="Times New Roman"/>
      <w:color w:val="007FAD"/>
      <w:spacing w:val="-10"/>
      <w:kern w:val="28"/>
      <w:sz w:val="40"/>
      <w:szCs w:val="20"/>
      <w:lang w:eastAsia="en-AU"/>
    </w:rPr>
  </w:style>
  <w:style w:type="paragraph" w:styleId="Caption">
    <w:name w:val="caption"/>
    <w:basedOn w:val="Normal"/>
    <w:next w:val="BodyText"/>
    <w:link w:val="CaptionChar"/>
    <w:autoRedefine/>
    <w:qFormat/>
    <w:rsid w:val="00771955"/>
    <w:pPr>
      <w:keepNext/>
      <w:spacing w:before="80" w:after="80" w:line="280" w:lineRule="atLeast"/>
    </w:pPr>
    <w:rPr>
      <w:rFonts w:ascii="Franklin Gothic Book" w:eastAsia="Times New Roman" w:hAnsi="Franklin Gothic Book" w:cs="Arial"/>
      <w:sz w:val="22"/>
      <w:szCs w:val="22"/>
    </w:rPr>
  </w:style>
  <w:style w:type="paragraph" w:customStyle="1" w:styleId="Note">
    <w:name w:val="Note"/>
    <w:basedOn w:val="TableTextEntries"/>
    <w:next w:val="BodyText"/>
    <w:link w:val="NoteCharChar"/>
    <w:autoRedefine/>
    <w:rsid w:val="002B0F30"/>
    <w:pPr>
      <w:keepNext/>
      <w:spacing w:before="20" w:after="20" w:line="180" w:lineRule="atLeast"/>
      <w:jc w:val="both"/>
    </w:pPr>
    <w:rPr>
      <w:iCs w:val="0"/>
      <w:sz w:val="14"/>
      <w:szCs w:val="14"/>
      <w:lang w:eastAsia="en-AU"/>
    </w:rPr>
  </w:style>
  <w:style w:type="paragraph" w:customStyle="1" w:styleId="TableTextEntries">
    <w:name w:val="Table Text Entries"/>
    <w:rsid w:val="002B0F30"/>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2B0F30"/>
    <w:rPr>
      <w:rFonts w:ascii="Franklin Gothic Book" w:eastAsia="Times New Roman" w:hAnsi="Franklin Gothic Book" w:cs="Times New Roman"/>
      <w:sz w:val="14"/>
      <w:szCs w:val="14"/>
      <w:lang w:eastAsia="en-AU"/>
    </w:rPr>
  </w:style>
  <w:style w:type="paragraph" w:customStyle="1" w:styleId="TableDataEntries">
    <w:name w:val="Table Data Entries"/>
    <w:basedOn w:val="TableTextEntries"/>
    <w:rsid w:val="002B0F30"/>
    <w:pPr>
      <w:jc w:val="right"/>
    </w:pPr>
  </w:style>
  <w:style w:type="paragraph" w:customStyle="1" w:styleId="TableDataColumnHeading">
    <w:name w:val="Table Data Column Heading"/>
    <w:basedOn w:val="TableDataEntries"/>
    <w:rsid w:val="002B0F30"/>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8264E9"/>
    <w:pPr>
      <w:jc w:val="left"/>
    </w:pPr>
    <w:rPr>
      <w:rFonts w:ascii="Times New Roman" w:hAnsi="Times New Roman"/>
      <w:b/>
      <w:sz w:val="22"/>
      <w:szCs w:val="22"/>
      <w:lang w:eastAsia="en-AU"/>
    </w:rPr>
  </w:style>
  <w:style w:type="paragraph" w:styleId="ListBullet3">
    <w:name w:val="List Bullet 3"/>
    <w:basedOn w:val="ListBullet2"/>
    <w:uiPriority w:val="99"/>
    <w:unhideWhenUsed/>
    <w:rsid w:val="002B0F30"/>
    <w:pPr>
      <w:numPr>
        <w:numId w:val="15"/>
      </w:numPr>
      <w:tabs>
        <w:tab w:val="left" w:pos="567"/>
      </w:tabs>
      <w:ind w:left="851" w:hanging="284"/>
      <w:contextualSpacing/>
    </w:pPr>
  </w:style>
  <w:style w:type="table" w:customStyle="1" w:styleId="DFATTable">
    <w:name w:val="DFAT Table"/>
    <w:basedOn w:val="TableNormal"/>
    <w:uiPriority w:val="99"/>
    <w:rsid w:val="002B0F30"/>
    <w:pPr>
      <w:spacing w:after="0" w:line="240" w:lineRule="auto"/>
    </w:pPr>
    <w:rPr>
      <w:rFonts w:ascii="Helvetica" w:hAnsi="Helvetica"/>
      <w:sz w:val="17"/>
      <w:lang w:eastAsia="en-AU"/>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2B0F30"/>
    <w:pPr>
      <w:spacing w:after="0" w:line="240" w:lineRule="auto"/>
    </w:pPr>
    <w:rPr>
      <w:rFonts w:ascii="Helvetica" w:hAnsi="Helvetica"/>
      <w:lang w:eastAsia="en-AU"/>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uiPriority w:val="99"/>
    <w:qFormat/>
    <w:rsid w:val="002B0F30"/>
    <w:pPr>
      <w:numPr>
        <w:numId w:val="11"/>
      </w:numPr>
      <w:tabs>
        <w:tab w:val="left" w:pos="284"/>
      </w:tabs>
      <w:spacing w:after="120"/>
    </w:pPr>
  </w:style>
  <w:style w:type="paragraph" w:styleId="ListBullet2">
    <w:name w:val="List Bullet 2"/>
    <w:basedOn w:val="ListBullet"/>
    <w:qFormat/>
    <w:rsid w:val="002B0F30"/>
    <w:pPr>
      <w:numPr>
        <w:numId w:val="9"/>
      </w:numPr>
      <w:ind w:left="568" w:hanging="284"/>
    </w:pPr>
  </w:style>
  <w:style w:type="paragraph" w:styleId="ListNumber">
    <w:name w:val="List Number"/>
    <w:basedOn w:val="ListBullet"/>
    <w:qFormat/>
    <w:rsid w:val="002B0F30"/>
    <w:pPr>
      <w:numPr>
        <w:numId w:val="14"/>
      </w:numPr>
    </w:pPr>
  </w:style>
  <w:style w:type="paragraph" w:styleId="ListNumber2">
    <w:name w:val="List Number 2"/>
    <w:basedOn w:val="ListNumber"/>
    <w:qFormat/>
    <w:rsid w:val="002B0F30"/>
    <w:pPr>
      <w:numPr>
        <w:numId w:val="10"/>
      </w:numPr>
      <w:ind w:left="568" w:hanging="284"/>
    </w:pPr>
  </w:style>
  <w:style w:type="paragraph" w:styleId="BalloonText">
    <w:name w:val="Balloon Text"/>
    <w:basedOn w:val="Normal"/>
    <w:link w:val="BalloonTextChar"/>
    <w:semiHidden/>
    <w:unhideWhenUsed/>
    <w:rsid w:val="002B0F30"/>
    <w:rPr>
      <w:rFonts w:ascii="Franklin Gothic Book" w:hAnsi="Franklin Gothic Book" w:cs="Tahoma"/>
      <w:sz w:val="16"/>
      <w:szCs w:val="16"/>
    </w:rPr>
  </w:style>
  <w:style w:type="character" w:customStyle="1" w:styleId="BalloonTextChar">
    <w:name w:val="Balloon Text Char"/>
    <w:basedOn w:val="DefaultParagraphFont"/>
    <w:link w:val="BalloonText"/>
    <w:semiHidden/>
    <w:rsid w:val="002B0F30"/>
    <w:rPr>
      <w:rFonts w:ascii="Franklin Gothic Book" w:eastAsia="SimSun" w:hAnsi="Franklin Gothic Book" w:cs="Tahoma"/>
      <w:sz w:val="16"/>
      <w:szCs w:val="16"/>
      <w:lang w:eastAsia="en-AU"/>
    </w:rPr>
  </w:style>
  <w:style w:type="paragraph" w:styleId="Header">
    <w:name w:val="header"/>
    <w:basedOn w:val="Normal"/>
    <w:link w:val="HeaderChar"/>
    <w:uiPriority w:val="99"/>
    <w:unhideWhenUsed/>
    <w:rsid w:val="002B0F30"/>
    <w:pPr>
      <w:tabs>
        <w:tab w:val="center" w:pos="4513"/>
        <w:tab w:val="right" w:pos="9026"/>
      </w:tabs>
    </w:pPr>
  </w:style>
  <w:style w:type="character" w:customStyle="1" w:styleId="HeaderChar">
    <w:name w:val="Header Char"/>
    <w:basedOn w:val="DefaultParagraphFont"/>
    <w:link w:val="Header"/>
    <w:uiPriority w:val="99"/>
    <w:rsid w:val="002B0F30"/>
    <w:rPr>
      <w:rFonts w:ascii="Times New Roman" w:eastAsia="SimSun" w:hAnsi="Times New Roman" w:cs="Times New Roman"/>
      <w:sz w:val="20"/>
      <w:szCs w:val="24"/>
      <w:lang w:eastAsia="en-AU"/>
    </w:rPr>
  </w:style>
  <w:style w:type="paragraph" w:styleId="Date">
    <w:name w:val="Date"/>
    <w:basedOn w:val="Normal"/>
    <w:next w:val="Normal"/>
    <w:link w:val="DateChar"/>
    <w:unhideWhenUsed/>
    <w:qFormat/>
    <w:rsid w:val="002B0F30"/>
    <w:rPr>
      <w:rFonts w:ascii="Franklin Gothic Book" w:hAnsi="Franklin Gothic Book"/>
    </w:rPr>
  </w:style>
  <w:style w:type="character" w:customStyle="1" w:styleId="DateChar">
    <w:name w:val="Date Char"/>
    <w:basedOn w:val="DefaultParagraphFont"/>
    <w:link w:val="Date"/>
    <w:rsid w:val="002B0F30"/>
    <w:rPr>
      <w:rFonts w:ascii="Franklin Gothic Book" w:eastAsia="SimSun" w:hAnsi="Franklin Gothic Book" w:cs="Times New Roman"/>
      <w:sz w:val="20"/>
      <w:szCs w:val="24"/>
      <w:lang w:eastAsia="en-AU"/>
    </w:rPr>
  </w:style>
  <w:style w:type="character" w:styleId="PageNumber">
    <w:name w:val="page number"/>
    <w:semiHidden/>
    <w:rsid w:val="002B0F30"/>
    <w:rPr>
      <w:rFonts w:ascii="Helvetica" w:hAnsi="Helvetica"/>
      <w:color w:val="A8A5A8"/>
      <w:sz w:val="14"/>
      <w:szCs w:val="14"/>
    </w:rPr>
  </w:style>
  <w:style w:type="paragraph" w:styleId="TOC1">
    <w:name w:val="toc 1"/>
    <w:basedOn w:val="BodyText"/>
    <w:next w:val="BodyText"/>
    <w:semiHidden/>
    <w:rsid w:val="002B0F30"/>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2B0F30"/>
    <w:pPr>
      <w:spacing w:before="120" w:line="200" w:lineRule="atLeast"/>
      <w:ind w:left="0" w:firstLine="0"/>
    </w:pPr>
    <w:rPr>
      <w:color w:val="007FAD"/>
      <w:szCs w:val="21"/>
    </w:rPr>
  </w:style>
  <w:style w:type="paragraph" w:customStyle="1" w:styleId="BoxListBullet">
    <w:name w:val="Box List Bullet"/>
    <w:basedOn w:val="BoxText"/>
    <w:rsid w:val="002B0F30"/>
    <w:pPr>
      <w:keepLines/>
      <w:numPr>
        <w:numId w:val="5"/>
      </w:numPr>
      <w:spacing w:line="240" w:lineRule="auto"/>
      <w:ind w:left="284" w:hanging="284"/>
      <w:contextualSpacing/>
      <w:mirrorIndents/>
    </w:pPr>
  </w:style>
  <w:style w:type="paragraph" w:customStyle="1" w:styleId="BoxText">
    <w:name w:val="Box Text"/>
    <w:link w:val="BoxTextChar"/>
    <w:autoRedefine/>
    <w:rsid w:val="002B0F30"/>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lang w:eastAsia="en-AU"/>
    </w:rPr>
  </w:style>
  <w:style w:type="character" w:customStyle="1" w:styleId="BoxTextChar">
    <w:name w:val="Box Text Char"/>
    <w:link w:val="BoxText"/>
    <w:rsid w:val="002B0F30"/>
    <w:rPr>
      <w:rFonts w:ascii="Franklin Gothic Book" w:eastAsia="Times New Roman" w:hAnsi="Franklin Gothic Book" w:cs="Times New Roman"/>
      <w:iCs/>
      <w:sz w:val="20"/>
      <w:szCs w:val="20"/>
      <w:shd w:val="clear" w:color="auto" w:fill="C7D5E6"/>
      <w:lang w:eastAsia="en-AU"/>
    </w:rPr>
  </w:style>
  <w:style w:type="paragraph" w:customStyle="1" w:styleId="BoxHeading1">
    <w:name w:val="Box Heading 1"/>
    <w:basedOn w:val="BoxText"/>
    <w:next w:val="BoxText"/>
    <w:rsid w:val="002B0F30"/>
    <w:pPr>
      <w:spacing w:before="120" w:line="240" w:lineRule="auto"/>
    </w:pPr>
    <w:rPr>
      <w:b/>
      <w:color w:val="000000"/>
    </w:rPr>
  </w:style>
  <w:style w:type="paragraph" w:customStyle="1" w:styleId="BoxHeading2">
    <w:name w:val="Box Heading 2"/>
    <w:basedOn w:val="BoxHeading1"/>
    <w:next w:val="BoxText"/>
    <w:rsid w:val="002B0F30"/>
    <w:rPr>
      <w:i/>
      <w:color w:val="auto"/>
    </w:rPr>
  </w:style>
  <w:style w:type="paragraph" w:customStyle="1" w:styleId="TableListBullet">
    <w:name w:val="Table List Bullet"/>
    <w:basedOn w:val="TableTextEntries"/>
    <w:rsid w:val="002B0F30"/>
    <w:pPr>
      <w:numPr>
        <w:numId w:val="7"/>
      </w:numPr>
      <w:ind w:left="284" w:hanging="284"/>
    </w:pPr>
    <w:rPr>
      <w:rFonts w:ascii="Helvetica" w:hAnsi="Helvetica"/>
    </w:rPr>
  </w:style>
  <w:style w:type="paragraph" w:styleId="TOC3">
    <w:name w:val="toc 3"/>
    <w:basedOn w:val="TOC2"/>
    <w:next w:val="BodyText"/>
    <w:semiHidden/>
    <w:rsid w:val="002B0F30"/>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2B0F30"/>
    <w:pPr>
      <w:spacing w:line="240" w:lineRule="atLeast"/>
    </w:pPr>
    <w:rPr>
      <w:sz w:val="18"/>
      <w:szCs w:val="18"/>
    </w:rPr>
  </w:style>
  <w:style w:type="character" w:customStyle="1" w:styleId="CommentTextChar">
    <w:name w:val="Comment Text Char"/>
    <w:basedOn w:val="DefaultParagraphFont"/>
    <w:link w:val="CommentText"/>
    <w:rsid w:val="002B0F30"/>
    <w:rPr>
      <w:rFonts w:ascii="Franklin Gothic Book" w:eastAsia="Times New Roman" w:hAnsi="Franklin Gothic Book" w:cs="Times New Roman"/>
      <w:sz w:val="18"/>
      <w:szCs w:val="18"/>
      <w:lang w:eastAsia="en-AU"/>
    </w:rPr>
  </w:style>
  <w:style w:type="character" w:styleId="Hyperlink">
    <w:name w:val="Hyperlink"/>
    <w:rsid w:val="002B0F30"/>
    <w:rPr>
      <w:color w:val="00467F"/>
      <w:sz w:val="20"/>
      <w:szCs w:val="20"/>
      <w:u w:val="none"/>
    </w:rPr>
  </w:style>
  <w:style w:type="paragraph" w:customStyle="1" w:styleId="TableHeading1">
    <w:name w:val="Table Heading 1"/>
    <w:basedOn w:val="TableTextEntries"/>
    <w:next w:val="TableTextEntries"/>
    <w:rsid w:val="002B0F30"/>
    <w:pPr>
      <w:spacing w:before="80" w:after="80"/>
    </w:pPr>
    <w:rPr>
      <w:b/>
    </w:rPr>
  </w:style>
  <w:style w:type="paragraph" w:customStyle="1" w:styleId="TableHeading2">
    <w:name w:val="Table Heading 2"/>
    <w:basedOn w:val="TableHeading1"/>
    <w:next w:val="TableTextEntries"/>
    <w:rsid w:val="002B0F30"/>
    <w:pPr>
      <w:spacing w:before="40" w:after="40"/>
    </w:pPr>
    <w:rPr>
      <w:i/>
    </w:rPr>
  </w:style>
  <w:style w:type="paragraph" w:customStyle="1" w:styleId="TableListBullet2">
    <w:name w:val="Table List Bullet 2"/>
    <w:basedOn w:val="TableListBullet"/>
    <w:link w:val="TableListBullet2Char"/>
    <w:rsid w:val="002B0F30"/>
    <w:pPr>
      <w:numPr>
        <w:numId w:val="8"/>
      </w:numPr>
      <w:ind w:left="568" w:hanging="284"/>
    </w:pPr>
  </w:style>
  <w:style w:type="character" w:customStyle="1" w:styleId="TableListBullet2Char">
    <w:name w:val="Table List Bullet 2 Char"/>
    <w:link w:val="TableListBullet2"/>
    <w:rsid w:val="002B0F30"/>
    <w:rPr>
      <w:rFonts w:ascii="Helvetica" w:eastAsia="Times New Roman" w:hAnsi="Helvetica" w:cs="Times New Roman"/>
      <w:iCs/>
      <w:sz w:val="17"/>
      <w:szCs w:val="17"/>
    </w:rPr>
  </w:style>
  <w:style w:type="paragraph" w:customStyle="1" w:styleId="TableListNumber">
    <w:name w:val="Table List Number"/>
    <w:basedOn w:val="TableTextEntries"/>
    <w:rsid w:val="002B0F30"/>
    <w:pPr>
      <w:numPr>
        <w:numId w:val="2"/>
      </w:numPr>
      <w:ind w:left="284" w:hanging="284"/>
    </w:pPr>
    <w:rPr>
      <w:rFonts w:ascii="Helvetica" w:hAnsi="Helvetica"/>
    </w:rPr>
  </w:style>
  <w:style w:type="paragraph" w:customStyle="1" w:styleId="TableListNumber2">
    <w:name w:val="Table List Number 2"/>
    <w:basedOn w:val="TableListNumber"/>
    <w:rsid w:val="002B0F30"/>
    <w:pPr>
      <w:numPr>
        <w:numId w:val="3"/>
      </w:numPr>
      <w:ind w:left="568" w:hanging="284"/>
    </w:pPr>
  </w:style>
  <w:style w:type="character" w:styleId="FollowedHyperlink">
    <w:name w:val="FollowedHyperlink"/>
    <w:semiHidden/>
    <w:rsid w:val="002B0F30"/>
    <w:rPr>
      <w:color w:val="333399"/>
      <w:u w:val="none"/>
    </w:rPr>
  </w:style>
  <w:style w:type="paragraph" w:customStyle="1" w:styleId="BoxListBullet2">
    <w:name w:val="Box List Bullet 2"/>
    <w:basedOn w:val="BoxText"/>
    <w:rsid w:val="002B0F30"/>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2B0F30"/>
    <w:pPr>
      <w:numPr>
        <w:numId w:val="6"/>
      </w:numPr>
      <w:tabs>
        <w:tab w:val="left" w:pos="284"/>
      </w:tabs>
      <w:ind w:left="568"/>
    </w:pPr>
  </w:style>
  <w:style w:type="paragraph" w:customStyle="1" w:styleId="BoxListNumber2">
    <w:name w:val="Box List Number 2"/>
    <w:basedOn w:val="BoxListNumber"/>
    <w:rsid w:val="002B0F30"/>
    <w:pPr>
      <w:numPr>
        <w:numId w:val="16"/>
      </w:numPr>
      <w:tabs>
        <w:tab w:val="left" w:pos="284"/>
      </w:tabs>
      <w:ind w:left="284" w:hanging="284"/>
    </w:pPr>
    <w:rPr>
      <w:szCs w:val="22"/>
    </w:rPr>
  </w:style>
  <w:style w:type="paragraph" w:customStyle="1" w:styleId="BoxNoteSource">
    <w:name w:val="Box Note/Source"/>
    <w:basedOn w:val="BoxText"/>
    <w:rsid w:val="002B0F30"/>
    <w:pPr>
      <w:spacing w:before="100" w:after="100" w:line="180" w:lineRule="atLeast"/>
    </w:pPr>
    <w:rPr>
      <w:sz w:val="14"/>
      <w:szCs w:val="14"/>
    </w:rPr>
  </w:style>
  <w:style w:type="paragraph" w:customStyle="1" w:styleId="BoxQuote">
    <w:name w:val="Box Quote"/>
    <w:basedOn w:val="BoxText"/>
    <w:next w:val="BoxText"/>
    <w:rsid w:val="002B0F30"/>
    <w:pPr>
      <w:spacing w:line="240" w:lineRule="atLeast"/>
      <w:ind w:left="284"/>
    </w:pPr>
    <w:rPr>
      <w:sz w:val="16"/>
      <w:szCs w:val="16"/>
    </w:rPr>
  </w:style>
  <w:style w:type="paragraph" w:customStyle="1" w:styleId="Photocaption">
    <w:name w:val="Photo caption"/>
    <w:basedOn w:val="Normal"/>
    <w:next w:val="BodyText"/>
    <w:semiHidden/>
    <w:rsid w:val="002B0F30"/>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2B0F30"/>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2B0F3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2B0F30"/>
    <w:pPr>
      <w:spacing w:after="0" w:line="240" w:lineRule="auto"/>
    </w:pPr>
    <w:rPr>
      <w:color w:val="000000" w:themeColor="text1" w:themeShade="BF"/>
      <w:lang w:eastAsia="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2B0F30"/>
    <w:pPr>
      <w:spacing w:after="0" w:line="240" w:lineRule="auto"/>
    </w:pPr>
    <w:rPr>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2B0F30"/>
    <w:pPr>
      <w:spacing w:after="0" w:line="240" w:lineRule="auto"/>
    </w:pPr>
    <w:rPr>
      <w:color w:val="365F91" w:themeColor="accent1" w:themeShade="BF"/>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2B0F30"/>
    <w:pPr>
      <w:spacing w:after="0" w:line="240" w:lineRule="auto"/>
    </w:pPr>
    <w:rPr>
      <w:rFonts w:ascii="Times New Roman" w:eastAsia="Times New Roman" w:hAnsi="Times New Roman" w:cs="Times New Roman"/>
      <w:sz w:val="20"/>
      <w:szCs w:val="24"/>
      <w:lang w:eastAsia="en-AU"/>
    </w:rPr>
  </w:style>
  <w:style w:type="paragraph" w:styleId="ListNumber3">
    <w:name w:val="List Number 3"/>
    <w:basedOn w:val="ListNumber2"/>
    <w:rsid w:val="002B0F30"/>
    <w:pPr>
      <w:numPr>
        <w:numId w:val="12"/>
      </w:numPr>
      <w:ind w:left="851" w:hanging="284"/>
    </w:pPr>
  </w:style>
  <w:style w:type="paragraph" w:styleId="EndnoteText">
    <w:name w:val="endnote text"/>
    <w:basedOn w:val="Normal"/>
    <w:link w:val="EndnoteTextChar"/>
    <w:rsid w:val="002B0F30"/>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2B0F30"/>
    <w:rPr>
      <w:rFonts w:ascii="Franklin Gothic Book" w:eastAsia="Times New Roman" w:hAnsi="Franklin Gothic Book" w:cs="Times New Roman"/>
      <w:sz w:val="21"/>
      <w:szCs w:val="20"/>
      <w:lang w:eastAsia="en-AU"/>
    </w:rPr>
  </w:style>
  <w:style w:type="character" w:styleId="EndnoteReference">
    <w:name w:val="endnote reference"/>
    <w:rsid w:val="002B0F30"/>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B0F30"/>
    <w:pPr>
      <w:numPr>
        <w:numId w:val="13"/>
      </w:numPr>
    </w:pPr>
  </w:style>
  <w:style w:type="character" w:customStyle="1" w:styleId="CaptionChar">
    <w:name w:val="Caption Char"/>
    <w:link w:val="Caption"/>
    <w:locked/>
    <w:rsid w:val="00771955"/>
    <w:rPr>
      <w:rFonts w:ascii="Franklin Gothic Book" w:eastAsia="Times New Roman" w:hAnsi="Franklin Gothic Book" w:cs="Arial"/>
      <w:lang w:eastAsia="en-AU"/>
    </w:rPr>
  </w:style>
  <w:style w:type="paragraph" w:styleId="FootnoteText">
    <w:name w:val="footnote text"/>
    <w:aliases w:val="Footnote Text Char2,Footnote Text Char Char,Footnote Text Char1 Char Char,Footnote Text Char Char1 Char Char,Footnote Text Char1 Char1,Footnote Text Char Char1 Char1,Footnote Text Char1 Char,Footnote Text Char Char1 Char,ft"/>
    <w:basedOn w:val="BodyText"/>
    <w:link w:val="FootnoteTextChar"/>
    <w:unhideWhenUsed/>
    <w:qFormat/>
    <w:rsid w:val="002B0F30"/>
    <w:pPr>
      <w:spacing w:after="0"/>
      <w:contextualSpacing/>
    </w:pPr>
    <w:rPr>
      <w:sz w:val="16"/>
      <w:szCs w:val="20"/>
    </w:rPr>
  </w:style>
  <w:style w:type="character" w:customStyle="1" w:styleId="FootnoteTextChar">
    <w:name w:val="Footnote Text Char"/>
    <w:aliases w:val="Footnote Text Char2 Char,Footnote Text Char Char Char,Footnote Text Char1 Char Char Char,Footnote Text Char Char1 Char Char Char,Footnote Text Char1 Char1 Char,Footnote Text Char Char1 Char1 Char,Footnote Text Char1 Char Char1,ft Char"/>
    <w:basedOn w:val="DefaultParagraphFont"/>
    <w:link w:val="FootnoteText"/>
    <w:rsid w:val="002B0F30"/>
    <w:rPr>
      <w:rFonts w:ascii="Franklin Gothic Book" w:eastAsia="Times New Roman" w:hAnsi="Franklin Gothic Book" w:cs="Times New Roman"/>
      <w:sz w:val="16"/>
      <w:szCs w:val="20"/>
      <w:lang w:eastAsia="en-AU"/>
    </w:rPr>
  </w:style>
  <w:style w:type="character" w:styleId="FootnoteReference">
    <w:name w:val="footnote reference"/>
    <w:aliases w:val="ftref"/>
    <w:uiPriority w:val="99"/>
    <w:rsid w:val="002B0F30"/>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2B0F30"/>
    <w:pPr>
      <w:spacing w:before="100" w:beforeAutospacing="1" w:after="100" w:afterAutospacing="1"/>
    </w:pPr>
    <w:rPr>
      <w:rFonts w:eastAsia="Times New Roman"/>
      <w:sz w:val="24"/>
    </w:rPr>
  </w:style>
  <w:style w:type="table" w:styleId="LightShading-Accent3">
    <w:name w:val="Light Shading Accent 3"/>
    <w:basedOn w:val="TableNormal"/>
    <w:uiPriority w:val="60"/>
    <w:rsid w:val="002B0F30"/>
    <w:pPr>
      <w:spacing w:after="0" w:line="240" w:lineRule="auto"/>
    </w:pPr>
    <w:rPr>
      <w:color w:val="76923C" w:themeColor="accent3" w:themeShade="BF"/>
      <w:lang w:eastAsia="en-A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2B0F30"/>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2B0F30"/>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2B0F30"/>
    <w:rPr>
      <w:rFonts w:ascii="Franklin Gothic Book" w:eastAsia="SimSun" w:hAnsi="Franklin Gothic Book" w:cs="Times New Roman"/>
      <w:b/>
      <w:bCs/>
      <w:sz w:val="20"/>
      <w:szCs w:val="20"/>
      <w:lang w:eastAsia="en-AU"/>
    </w:rPr>
  </w:style>
  <w:style w:type="paragraph" w:customStyle="1" w:styleId="GuidanceText">
    <w:name w:val="Guidance Text"/>
    <w:basedOn w:val="BodyText"/>
    <w:rsid w:val="002B0F30"/>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2B0F30"/>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2B0F30"/>
    <w:rPr>
      <w:rFonts w:ascii="Arial" w:eastAsia="Times New Roman" w:hAnsi="Arial" w:cs="Arial"/>
      <w:sz w:val="20"/>
    </w:rPr>
  </w:style>
  <w:style w:type="paragraph" w:styleId="ListParagraph">
    <w:name w:val="List Paragraph"/>
    <w:aliases w:val="List Paragraph2,Bulit List -  Paragraph,Main numbered paragraph,Numbered List Paragraph,L,CV text,F5 List Paragraph,Dot pt,Medium Grid 1 - Accent 21,Numbered Paragraph,List Paragraph1,Recommendation,List Paragraph11,Table text"/>
    <w:basedOn w:val="BodyText"/>
    <w:link w:val="ListParagraphChar"/>
    <w:uiPriority w:val="34"/>
    <w:qFormat/>
    <w:rsid w:val="002B0F30"/>
    <w:pPr>
      <w:numPr>
        <w:numId w:val="18"/>
      </w:numPr>
      <w:spacing w:after="120" w:line="240" w:lineRule="auto"/>
    </w:pPr>
    <w:rPr>
      <w:rFonts w:ascii="Times New Roman" w:hAnsi="Times New Roman"/>
      <w:sz w:val="22"/>
    </w:rPr>
  </w:style>
  <w:style w:type="table" w:customStyle="1" w:styleId="APPR">
    <w:name w:val="APPR"/>
    <w:basedOn w:val="TableNormal"/>
    <w:uiPriority w:val="99"/>
    <w:rsid w:val="002B0F30"/>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List Paragraph2 Char,Bulit List -  Paragraph Char,Main numbered paragraph Char,Numbered List Paragraph Char,L Char,CV text Char,F5 List Paragraph Char,Dot pt Char,Medium Grid 1 - Accent 21 Char,Numbered Paragraph Char,Table text Char"/>
    <w:link w:val="ListParagraph"/>
    <w:uiPriority w:val="34"/>
    <w:locked/>
    <w:rsid w:val="002B0F30"/>
    <w:rPr>
      <w:rFonts w:ascii="Times New Roman" w:eastAsia="Times New Roman" w:hAnsi="Times New Roman" w:cs="Times New Roman"/>
      <w:szCs w:val="24"/>
      <w:lang w:eastAsia="en-AU"/>
    </w:rPr>
  </w:style>
  <w:style w:type="paragraph" w:styleId="NoSpacing">
    <w:name w:val="No Spacing"/>
    <w:uiPriority w:val="1"/>
    <w:qFormat/>
    <w:rsid w:val="002B0F30"/>
    <w:pPr>
      <w:spacing w:after="0" w:line="240" w:lineRule="auto"/>
    </w:pPr>
    <w:rPr>
      <w:rFonts w:ascii="Times New Roman" w:eastAsia="Times New Roman" w:hAnsi="Times New Roman" w:cs="Times New Roman"/>
      <w:sz w:val="24"/>
      <w:szCs w:val="24"/>
      <w:lang w:eastAsia="en-AU"/>
    </w:rPr>
  </w:style>
  <w:style w:type="paragraph" w:customStyle="1" w:styleId="Ratingbullet">
    <w:name w:val="Rating bullet"/>
    <w:basedOn w:val="TableTextEntries"/>
    <w:semiHidden/>
    <w:rsid w:val="002B0F30"/>
    <w:pPr>
      <w:jc w:val="center"/>
    </w:pPr>
    <w:rPr>
      <w:iCs w:val="0"/>
      <w:sz w:val="22"/>
      <w:szCs w:val="22"/>
    </w:rPr>
  </w:style>
  <w:style w:type="table" w:customStyle="1" w:styleId="APPR1">
    <w:name w:val="APPR1"/>
    <w:basedOn w:val="TableNormal"/>
    <w:uiPriority w:val="99"/>
    <w:rsid w:val="002B0F30"/>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1">
    <w:name w:val="DFAT Table1"/>
    <w:basedOn w:val="TableNormal"/>
    <w:uiPriority w:val="99"/>
    <w:rsid w:val="00C74F2D"/>
    <w:pPr>
      <w:spacing w:after="0" w:line="240" w:lineRule="auto"/>
    </w:pPr>
    <w:rPr>
      <w:rFonts w:ascii="Helvetica" w:hAnsi="Helvetica"/>
      <w:sz w:val="17"/>
      <w:lang w:eastAsia="en-AU"/>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Default">
    <w:name w:val="Default"/>
    <w:rsid w:val="00DA634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PPR2">
    <w:name w:val="APPR2"/>
    <w:basedOn w:val="TableNormal"/>
    <w:uiPriority w:val="99"/>
    <w:rsid w:val="004F3AF9"/>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3725">
      <w:bodyDiv w:val="1"/>
      <w:marLeft w:val="0"/>
      <w:marRight w:val="0"/>
      <w:marTop w:val="0"/>
      <w:marBottom w:val="0"/>
      <w:divBdr>
        <w:top w:val="none" w:sz="0" w:space="0" w:color="auto"/>
        <w:left w:val="none" w:sz="0" w:space="0" w:color="auto"/>
        <w:bottom w:val="none" w:sz="0" w:space="0" w:color="auto"/>
        <w:right w:val="none" w:sz="0" w:space="0" w:color="auto"/>
      </w:divBdr>
    </w:div>
    <w:div w:id="326786276">
      <w:bodyDiv w:val="1"/>
      <w:marLeft w:val="0"/>
      <w:marRight w:val="0"/>
      <w:marTop w:val="0"/>
      <w:marBottom w:val="0"/>
      <w:divBdr>
        <w:top w:val="none" w:sz="0" w:space="0" w:color="auto"/>
        <w:left w:val="none" w:sz="0" w:space="0" w:color="auto"/>
        <w:bottom w:val="none" w:sz="0" w:space="0" w:color="auto"/>
        <w:right w:val="none" w:sz="0" w:space="0" w:color="auto"/>
      </w:divBdr>
    </w:div>
    <w:div w:id="367098762">
      <w:bodyDiv w:val="1"/>
      <w:marLeft w:val="0"/>
      <w:marRight w:val="0"/>
      <w:marTop w:val="0"/>
      <w:marBottom w:val="0"/>
      <w:divBdr>
        <w:top w:val="none" w:sz="0" w:space="0" w:color="auto"/>
        <w:left w:val="none" w:sz="0" w:space="0" w:color="auto"/>
        <w:bottom w:val="none" w:sz="0" w:space="0" w:color="auto"/>
        <w:right w:val="none" w:sz="0" w:space="0" w:color="auto"/>
      </w:divBdr>
    </w:div>
    <w:div w:id="369261932">
      <w:bodyDiv w:val="1"/>
      <w:marLeft w:val="0"/>
      <w:marRight w:val="0"/>
      <w:marTop w:val="0"/>
      <w:marBottom w:val="0"/>
      <w:divBdr>
        <w:top w:val="none" w:sz="0" w:space="0" w:color="auto"/>
        <w:left w:val="none" w:sz="0" w:space="0" w:color="auto"/>
        <w:bottom w:val="none" w:sz="0" w:space="0" w:color="auto"/>
        <w:right w:val="none" w:sz="0" w:space="0" w:color="auto"/>
      </w:divBdr>
    </w:div>
    <w:div w:id="607323134">
      <w:bodyDiv w:val="1"/>
      <w:marLeft w:val="0"/>
      <w:marRight w:val="0"/>
      <w:marTop w:val="0"/>
      <w:marBottom w:val="0"/>
      <w:divBdr>
        <w:top w:val="none" w:sz="0" w:space="0" w:color="auto"/>
        <w:left w:val="none" w:sz="0" w:space="0" w:color="auto"/>
        <w:bottom w:val="none" w:sz="0" w:space="0" w:color="auto"/>
        <w:right w:val="none" w:sz="0" w:space="0" w:color="auto"/>
      </w:divBdr>
    </w:div>
    <w:div w:id="664406795">
      <w:bodyDiv w:val="1"/>
      <w:marLeft w:val="0"/>
      <w:marRight w:val="0"/>
      <w:marTop w:val="0"/>
      <w:marBottom w:val="0"/>
      <w:divBdr>
        <w:top w:val="none" w:sz="0" w:space="0" w:color="auto"/>
        <w:left w:val="none" w:sz="0" w:space="0" w:color="auto"/>
        <w:bottom w:val="none" w:sz="0" w:space="0" w:color="auto"/>
        <w:right w:val="none" w:sz="0" w:space="0" w:color="auto"/>
      </w:divBdr>
    </w:div>
    <w:div w:id="734860852">
      <w:bodyDiv w:val="1"/>
      <w:marLeft w:val="0"/>
      <w:marRight w:val="0"/>
      <w:marTop w:val="0"/>
      <w:marBottom w:val="0"/>
      <w:divBdr>
        <w:top w:val="none" w:sz="0" w:space="0" w:color="auto"/>
        <w:left w:val="none" w:sz="0" w:space="0" w:color="auto"/>
        <w:bottom w:val="none" w:sz="0" w:space="0" w:color="auto"/>
        <w:right w:val="none" w:sz="0" w:space="0" w:color="auto"/>
      </w:divBdr>
    </w:div>
    <w:div w:id="937299026">
      <w:bodyDiv w:val="1"/>
      <w:marLeft w:val="0"/>
      <w:marRight w:val="0"/>
      <w:marTop w:val="0"/>
      <w:marBottom w:val="0"/>
      <w:divBdr>
        <w:top w:val="none" w:sz="0" w:space="0" w:color="auto"/>
        <w:left w:val="none" w:sz="0" w:space="0" w:color="auto"/>
        <w:bottom w:val="none" w:sz="0" w:space="0" w:color="auto"/>
        <w:right w:val="none" w:sz="0" w:space="0" w:color="auto"/>
      </w:divBdr>
    </w:div>
    <w:div w:id="944968379">
      <w:bodyDiv w:val="1"/>
      <w:marLeft w:val="0"/>
      <w:marRight w:val="0"/>
      <w:marTop w:val="0"/>
      <w:marBottom w:val="0"/>
      <w:divBdr>
        <w:top w:val="none" w:sz="0" w:space="0" w:color="auto"/>
        <w:left w:val="none" w:sz="0" w:space="0" w:color="auto"/>
        <w:bottom w:val="none" w:sz="0" w:space="0" w:color="auto"/>
        <w:right w:val="none" w:sz="0" w:space="0" w:color="auto"/>
      </w:divBdr>
    </w:div>
    <w:div w:id="1021593095">
      <w:bodyDiv w:val="1"/>
      <w:marLeft w:val="0"/>
      <w:marRight w:val="0"/>
      <w:marTop w:val="0"/>
      <w:marBottom w:val="0"/>
      <w:divBdr>
        <w:top w:val="none" w:sz="0" w:space="0" w:color="auto"/>
        <w:left w:val="none" w:sz="0" w:space="0" w:color="auto"/>
        <w:bottom w:val="none" w:sz="0" w:space="0" w:color="auto"/>
        <w:right w:val="none" w:sz="0" w:space="0" w:color="auto"/>
      </w:divBdr>
    </w:div>
    <w:div w:id="1063260390">
      <w:bodyDiv w:val="1"/>
      <w:marLeft w:val="0"/>
      <w:marRight w:val="0"/>
      <w:marTop w:val="0"/>
      <w:marBottom w:val="0"/>
      <w:divBdr>
        <w:top w:val="none" w:sz="0" w:space="0" w:color="auto"/>
        <w:left w:val="none" w:sz="0" w:space="0" w:color="auto"/>
        <w:bottom w:val="none" w:sz="0" w:space="0" w:color="auto"/>
        <w:right w:val="none" w:sz="0" w:space="0" w:color="auto"/>
      </w:divBdr>
    </w:div>
    <w:div w:id="1087770100">
      <w:bodyDiv w:val="1"/>
      <w:marLeft w:val="0"/>
      <w:marRight w:val="0"/>
      <w:marTop w:val="0"/>
      <w:marBottom w:val="0"/>
      <w:divBdr>
        <w:top w:val="none" w:sz="0" w:space="0" w:color="auto"/>
        <w:left w:val="none" w:sz="0" w:space="0" w:color="auto"/>
        <w:bottom w:val="none" w:sz="0" w:space="0" w:color="auto"/>
        <w:right w:val="none" w:sz="0" w:space="0" w:color="auto"/>
      </w:divBdr>
    </w:div>
    <w:div w:id="1155610264">
      <w:bodyDiv w:val="1"/>
      <w:marLeft w:val="0"/>
      <w:marRight w:val="0"/>
      <w:marTop w:val="0"/>
      <w:marBottom w:val="0"/>
      <w:divBdr>
        <w:top w:val="none" w:sz="0" w:space="0" w:color="auto"/>
        <w:left w:val="none" w:sz="0" w:space="0" w:color="auto"/>
        <w:bottom w:val="none" w:sz="0" w:space="0" w:color="auto"/>
        <w:right w:val="none" w:sz="0" w:space="0" w:color="auto"/>
      </w:divBdr>
    </w:div>
    <w:div w:id="1524855063">
      <w:bodyDiv w:val="1"/>
      <w:marLeft w:val="0"/>
      <w:marRight w:val="0"/>
      <w:marTop w:val="0"/>
      <w:marBottom w:val="0"/>
      <w:divBdr>
        <w:top w:val="none" w:sz="0" w:space="0" w:color="auto"/>
        <w:left w:val="none" w:sz="0" w:space="0" w:color="auto"/>
        <w:bottom w:val="none" w:sz="0" w:space="0" w:color="auto"/>
        <w:right w:val="none" w:sz="0" w:space="0" w:color="auto"/>
      </w:divBdr>
    </w:div>
    <w:div w:id="1592157578">
      <w:bodyDiv w:val="1"/>
      <w:marLeft w:val="0"/>
      <w:marRight w:val="0"/>
      <w:marTop w:val="0"/>
      <w:marBottom w:val="0"/>
      <w:divBdr>
        <w:top w:val="none" w:sz="0" w:space="0" w:color="auto"/>
        <w:left w:val="none" w:sz="0" w:space="0" w:color="auto"/>
        <w:bottom w:val="none" w:sz="0" w:space="0" w:color="auto"/>
        <w:right w:val="none" w:sz="0" w:space="0" w:color="auto"/>
      </w:divBdr>
    </w:div>
    <w:div w:id="1769958132">
      <w:bodyDiv w:val="1"/>
      <w:marLeft w:val="0"/>
      <w:marRight w:val="0"/>
      <w:marTop w:val="0"/>
      <w:marBottom w:val="0"/>
      <w:divBdr>
        <w:top w:val="none" w:sz="0" w:space="0" w:color="auto"/>
        <w:left w:val="none" w:sz="0" w:space="0" w:color="auto"/>
        <w:bottom w:val="none" w:sz="0" w:space="0" w:color="auto"/>
        <w:right w:val="none" w:sz="0" w:space="0" w:color="auto"/>
      </w:divBdr>
    </w:div>
    <w:div w:id="1892375515">
      <w:bodyDiv w:val="1"/>
      <w:marLeft w:val="0"/>
      <w:marRight w:val="0"/>
      <w:marTop w:val="0"/>
      <w:marBottom w:val="0"/>
      <w:divBdr>
        <w:top w:val="none" w:sz="0" w:space="0" w:color="auto"/>
        <w:left w:val="none" w:sz="0" w:space="0" w:color="auto"/>
        <w:bottom w:val="none" w:sz="0" w:space="0" w:color="auto"/>
        <w:right w:val="none" w:sz="0" w:space="0" w:color="auto"/>
      </w:divBdr>
    </w:div>
    <w:div w:id="1900628505">
      <w:bodyDiv w:val="1"/>
      <w:marLeft w:val="0"/>
      <w:marRight w:val="0"/>
      <w:marTop w:val="0"/>
      <w:marBottom w:val="0"/>
      <w:divBdr>
        <w:top w:val="none" w:sz="0" w:space="0" w:color="auto"/>
        <w:left w:val="none" w:sz="0" w:space="0" w:color="auto"/>
        <w:bottom w:val="none" w:sz="0" w:space="0" w:color="auto"/>
        <w:right w:val="none" w:sz="0" w:space="0" w:color="auto"/>
      </w:divBdr>
    </w:div>
    <w:div w:id="2105757675">
      <w:bodyDiv w:val="1"/>
      <w:marLeft w:val="0"/>
      <w:marRight w:val="0"/>
      <w:marTop w:val="0"/>
      <w:marBottom w:val="0"/>
      <w:divBdr>
        <w:top w:val="none" w:sz="0" w:space="0" w:color="auto"/>
        <w:left w:val="none" w:sz="0" w:space="0" w:color="auto"/>
        <w:bottom w:val="none" w:sz="0" w:space="0" w:color="auto"/>
        <w:right w:val="none" w:sz="0" w:space="0" w:color="auto"/>
      </w:divBdr>
    </w:div>
    <w:div w:id="21263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image" Target="media/image2.wmf"/><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22EF8D-166E-4C07-8685-22ADD08E3AAE}"/>
</file>

<file path=customXml/itemProps2.xml><?xml version="1.0" encoding="utf-8"?>
<ds:datastoreItem xmlns:ds="http://schemas.openxmlformats.org/officeDocument/2006/customXml" ds:itemID="{2A646EB2-1383-4ED3-8800-3430ED8D5BE4}"/>
</file>

<file path=customXml/itemProps3.xml><?xml version="1.0" encoding="utf-8"?>
<ds:datastoreItem xmlns:ds="http://schemas.openxmlformats.org/officeDocument/2006/customXml" ds:itemID="{0B145B7D-70CB-4252-BA84-EC2D17CB39CC}"/>
</file>

<file path=customXml/itemProps4.xml><?xml version="1.0" encoding="utf-8"?>
<ds:datastoreItem xmlns:ds="http://schemas.openxmlformats.org/officeDocument/2006/customXml" ds:itemID="{B65384B7-6A8A-4C7A-8E24-DB1BC4F695F6}"/>
</file>

<file path=docProps/app.xml><?xml version="1.0" encoding="utf-8"?>
<Properties xmlns="http://schemas.openxmlformats.org/officeDocument/2006/extended-properties" xmlns:vt="http://schemas.openxmlformats.org/officeDocument/2006/docPropsVTypes">
  <Template>8DE19DE4</Template>
  <TotalTime>0</TotalTime>
  <Pages>37</Pages>
  <Words>17239</Words>
  <Characters>98268</Characters>
  <Application>Microsoft Office Word</Application>
  <DocSecurity>0</DocSecurity>
  <Lines>818</Lines>
  <Paragraphs>230</Paragraphs>
  <ScaleCrop>false</ScaleCrop>
  <Company/>
  <LinksUpToDate>false</LinksUpToDate>
  <CharactersWithSpaces>115277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2014-10-28T23:58:00Z</dcterms:created>
  <dcterms:modified xsi:type="dcterms:W3CDTF">2014-10-28T23:58:00Z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906900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