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1C" w:rsidRPr="007210B2" w:rsidRDefault="006E5802" w:rsidP="004E33BE">
      <w:pPr>
        <w:jc w:val="both"/>
      </w:pPr>
      <w:bookmarkStart w:id="0" w:name="_GoBack"/>
      <w:bookmarkEnd w:id="0"/>
      <w:r w:rsidRPr="007210B2">
        <w:t>At the 22nd Papua New Guinea–Australia Ministerial Forum on 11 December 2013, Australia</w:t>
      </w:r>
      <w:r w:rsidR="00360326" w:rsidRPr="007210B2">
        <w:t>n and Papua New Guinean Ministers agreed that Australia would</w:t>
      </w:r>
      <w:r w:rsidRPr="007210B2">
        <w:t xml:space="preserve"> undertake an assessment of its aid investment in Papua New Guinea</w:t>
      </w:r>
      <w:r w:rsidR="00360326" w:rsidRPr="007210B2">
        <w:t xml:space="preserve"> (PNG).  This assessment would</w:t>
      </w:r>
      <w:r w:rsidRPr="007210B2">
        <w:t xml:space="preserve"> better align Australia's aid with both Governments' priorities</w:t>
      </w:r>
      <w:r w:rsidR="00360326" w:rsidRPr="007210B2">
        <w:t xml:space="preserve"> and</w:t>
      </w:r>
      <w:r w:rsidRPr="007210B2">
        <w:t xml:space="preserve"> position the aid program to address key constraints to sustainable economic growth and equitable development in PNG. </w:t>
      </w:r>
    </w:p>
    <w:p w:rsidR="00B4261C" w:rsidRPr="007210B2" w:rsidRDefault="00B4261C" w:rsidP="004E33BE">
      <w:pPr>
        <w:jc w:val="both"/>
      </w:pPr>
    </w:p>
    <w:p w:rsidR="00B4261C" w:rsidRPr="007210B2" w:rsidRDefault="007210B2" w:rsidP="007210B2">
      <w:pPr>
        <w:jc w:val="both"/>
      </w:pPr>
      <w:r w:rsidRPr="007210B2">
        <w:t xml:space="preserve">2.  </w:t>
      </w:r>
      <w:r w:rsidR="006E5802" w:rsidRPr="007210B2">
        <w:t>The assessment</w:t>
      </w:r>
      <w:r w:rsidR="00360326" w:rsidRPr="007210B2">
        <w:t>’s</w:t>
      </w:r>
      <w:r w:rsidR="006E5802" w:rsidRPr="007210B2">
        <w:t xml:space="preserve"> recommendations are based on extensive co</w:t>
      </w:r>
      <w:r w:rsidRPr="007210B2">
        <w:t xml:space="preserve">nsultation with a wide range of </w:t>
      </w:r>
      <w:r w:rsidR="006E5802" w:rsidRPr="007210B2">
        <w:t xml:space="preserve">stakeholders from PNG and Australia including Government, business, civil society and international donors. Attachment A provides </w:t>
      </w:r>
      <w:r w:rsidR="00160241" w:rsidRPr="007210B2">
        <w:t>a list</w:t>
      </w:r>
      <w:r w:rsidR="006E5802" w:rsidRPr="007210B2">
        <w:t xml:space="preserve"> of consultations</w:t>
      </w:r>
      <w:r w:rsidR="0082736E" w:rsidRPr="007210B2">
        <w:t xml:space="preserve"> </w:t>
      </w:r>
      <w:r w:rsidR="00D005AD" w:rsidRPr="007210B2">
        <w:t xml:space="preserve">undertaken </w:t>
      </w:r>
      <w:r w:rsidR="00360326" w:rsidRPr="007210B2">
        <w:t xml:space="preserve">in </w:t>
      </w:r>
      <w:r w:rsidR="0082736E" w:rsidRPr="007210B2">
        <w:t>PNG</w:t>
      </w:r>
      <w:r w:rsidR="00160241" w:rsidRPr="007210B2">
        <w:t xml:space="preserve"> and Attachment B provides </w:t>
      </w:r>
      <w:r w:rsidR="00815B1F" w:rsidRPr="007210B2">
        <w:t xml:space="preserve">a list of </w:t>
      </w:r>
      <w:r w:rsidR="00160241" w:rsidRPr="007210B2">
        <w:t>those consulted in Australia</w:t>
      </w:r>
      <w:r w:rsidR="00B4261C" w:rsidRPr="007210B2">
        <w:t>.</w:t>
      </w:r>
    </w:p>
    <w:p w:rsidR="005B5980" w:rsidRPr="007210B2" w:rsidRDefault="006E5802" w:rsidP="00B4261C">
      <w:pPr>
        <w:jc w:val="both"/>
      </w:pPr>
      <w:r w:rsidRPr="007210B2">
        <w:t xml:space="preserve"> </w:t>
      </w:r>
    </w:p>
    <w:p w:rsidR="006A3142" w:rsidRPr="007210B2" w:rsidRDefault="006A3142" w:rsidP="00B4261C">
      <w:pPr>
        <w:jc w:val="both"/>
        <w:rPr>
          <w:rFonts w:eastAsia="Calibri"/>
          <w:b/>
        </w:rPr>
      </w:pPr>
      <w:r w:rsidRPr="007210B2">
        <w:rPr>
          <w:rFonts w:eastAsia="Calibri"/>
          <w:b/>
        </w:rPr>
        <w:t>Summary</w:t>
      </w:r>
      <w:r w:rsidR="000703C4">
        <w:rPr>
          <w:rFonts w:eastAsia="Calibri"/>
          <w:b/>
        </w:rPr>
        <w:br/>
      </w:r>
    </w:p>
    <w:p w:rsidR="00B4261C" w:rsidRPr="007210B2" w:rsidRDefault="007210B2" w:rsidP="007210B2">
      <w:pPr>
        <w:jc w:val="both"/>
      </w:pPr>
      <w:r w:rsidRPr="007210B2">
        <w:t xml:space="preserve">3.  </w:t>
      </w:r>
      <w:r w:rsidR="00887339" w:rsidRPr="007210B2">
        <w:t xml:space="preserve">The assessment recommends changes to the way </w:t>
      </w:r>
      <w:r w:rsidR="005B5980" w:rsidRPr="007210B2">
        <w:t xml:space="preserve">Australia delivers aid to PNG. </w:t>
      </w:r>
      <w:r w:rsidR="00052511">
        <w:t>It</w:t>
      </w:r>
      <w:r w:rsidR="00052511" w:rsidRPr="007210B2">
        <w:t xml:space="preserve"> </w:t>
      </w:r>
      <w:r w:rsidR="00052511">
        <w:t xml:space="preserve">proposes </w:t>
      </w:r>
      <w:r w:rsidR="00F50783">
        <w:t xml:space="preserve">options </w:t>
      </w:r>
      <w:r w:rsidR="00052511">
        <w:t xml:space="preserve">for consideration </w:t>
      </w:r>
      <w:r w:rsidR="00F50783">
        <w:t xml:space="preserve">that </w:t>
      </w:r>
      <w:r w:rsidR="005B5980" w:rsidRPr="007210B2">
        <w:t xml:space="preserve">will enable Australia to better support PNG to tackle its core </w:t>
      </w:r>
      <w:r w:rsidR="006604AC" w:rsidRPr="007210B2">
        <w:t xml:space="preserve">economic development needs </w:t>
      </w:r>
      <w:r w:rsidR="005B5980" w:rsidRPr="007210B2">
        <w:t>in areas that Australia is best placed to assist.</w:t>
      </w:r>
    </w:p>
    <w:p w:rsidR="005B5980" w:rsidRPr="007210B2" w:rsidRDefault="005B5980" w:rsidP="00B4261C">
      <w:pPr>
        <w:pStyle w:val="ListParagraph"/>
        <w:spacing w:after="0" w:line="240" w:lineRule="auto"/>
        <w:ind w:left="284"/>
        <w:jc w:val="both"/>
        <w:rPr>
          <w:rFonts w:ascii="Times New Roman" w:hAnsi="Times New Roman" w:cs="Times New Roman"/>
          <w:sz w:val="24"/>
          <w:szCs w:val="24"/>
        </w:rPr>
      </w:pPr>
    </w:p>
    <w:p w:rsidR="00B4261C" w:rsidRPr="007210B2" w:rsidRDefault="007210B2" w:rsidP="007210B2">
      <w:pPr>
        <w:jc w:val="both"/>
      </w:pPr>
      <w:r w:rsidRPr="007210B2">
        <w:t xml:space="preserve">4.  </w:t>
      </w:r>
      <w:r w:rsidR="005B5980" w:rsidRPr="007210B2">
        <w:t>Australia</w:t>
      </w:r>
      <w:r w:rsidR="00360326" w:rsidRPr="007210B2">
        <w:t xml:space="preserve"> values its longstanding ties with</w:t>
      </w:r>
      <w:r w:rsidR="005B5980" w:rsidRPr="007210B2">
        <w:t xml:space="preserve"> PNG – we are neighbours and partners</w:t>
      </w:r>
      <w:r w:rsidR="00360326" w:rsidRPr="007210B2">
        <w:t>,</w:t>
      </w:r>
      <w:r w:rsidR="005B5980" w:rsidRPr="007210B2">
        <w:t xml:space="preserve"> we have a shared history and a shared geography.  Over time, our relationship has matured into one of economic and strategic partnership</w:t>
      </w:r>
      <w:r w:rsidR="006604AC" w:rsidRPr="007210B2">
        <w:t xml:space="preserve">, and in April </w:t>
      </w:r>
      <w:r w:rsidRPr="007210B2">
        <w:t xml:space="preserve">2014 </w:t>
      </w:r>
      <w:r w:rsidR="006604AC" w:rsidRPr="007210B2">
        <w:t>we signed a new Economic Cooperation Treaty (ECT)</w:t>
      </w:r>
      <w:r w:rsidR="005B5980" w:rsidRPr="007210B2">
        <w:t xml:space="preserve">.  In line with the recommendations of the PNG aid assessment, </w:t>
      </w:r>
      <w:r w:rsidR="006604AC" w:rsidRPr="007210B2">
        <w:t xml:space="preserve">and consistent with the objectives of the ECT, </w:t>
      </w:r>
      <w:r w:rsidR="005B5980" w:rsidRPr="007210B2">
        <w:t xml:space="preserve">we will better align Australian aid with both the PNG and Australian Governments’ priorities and to ensure our aid program delivers assistance that helps bring about sustainable economic growth and equitable development in PNG. </w:t>
      </w:r>
    </w:p>
    <w:p w:rsidR="005B5980" w:rsidRPr="007210B2" w:rsidRDefault="005B5980" w:rsidP="00B4261C">
      <w:pPr>
        <w:jc w:val="both"/>
        <w:rPr>
          <w:iCs/>
          <w:color w:val="000000" w:themeColor="text1"/>
        </w:rPr>
      </w:pPr>
    </w:p>
    <w:p w:rsidR="00B4261C" w:rsidRPr="007210B2" w:rsidRDefault="00E00495" w:rsidP="007210B2">
      <w:pPr>
        <w:jc w:val="both"/>
      </w:pPr>
      <w:r>
        <w:t xml:space="preserve">5.  </w:t>
      </w:r>
      <w:r w:rsidR="005B5980" w:rsidRPr="007210B2">
        <w:t>Over the last 12 years PNG’s economy has grown strongly.</w:t>
      </w:r>
      <w:r w:rsidR="00360326" w:rsidRPr="007210B2">
        <w:t xml:space="preserve">  </w:t>
      </w:r>
      <w:r w:rsidR="00856721" w:rsidRPr="007210B2">
        <w:t>However, t</w:t>
      </w:r>
      <w:r w:rsidR="00360326" w:rsidRPr="007210B2">
        <w:t xml:space="preserve">he decade-long resources boom has not </w:t>
      </w:r>
      <w:r w:rsidR="00856721" w:rsidRPr="007210B2">
        <w:t>led to sustained</w:t>
      </w:r>
      <w:r w:rsidR="00360326" w:rsidRPr="007210B2">
        <w:t xml:space="preserve"> development outcomes – PNG is not on track to meet any of the Millennium Development Goals, and is currently placed 156th out of 187 countries in the composite </w:t>
      </w:r>
      <w:r w:rsidR="006604AC" w:rsidRPr="007210B2">
        <w:t xml:space="preserve">UN </w:t>
      </w:r>
      <w:r w:rsidR="00360326" w:rsidRPr="007210B2">
        <w:t xml:space="preserve">Human Development Index. PNG’s economic expansion has led to a reduction in the comparative size of Australian aid – at independence in 1975 Australian aid represented 40 per cent of PNG’s budget, today it represents less than 8 per cent.  As PNG’s economy </w:t>
      </w:r>
      <w:r w:rsidR="006604AC" w:rsidRPr="007210B2">
        <w:t xml:space="preserve">continues to </w:t>
      </w:r>
      <w:r w:rsidR="00360326" w:rsidRPr="007210B2">
        <w:t>grow, Australia needs to make sure that our aid investment is best placed to make a difference and support</w:t>
      </w:r>
      <w:r w:rsidR="0091707E">
        <w:t>s</w:t>
      </w:r>
      <w:r w:rsidR="00360326" w:rsidRPr="007210B2">
        <w:t xml:space="preserve"> both Governments’ priorities.  </w:t>
      </w:r>
    </w:p>
    <w:p w:rsidR="005B5980" w:rsidRPr="007210B2" w:rsidRDefault="005B5980" w:rsidP="00B4261C">
      <w:pPr>
        <w:jc w:val="both"/>
        <w:rPr>
          <w:color w:val="000000" w:themeColor="text1"/>
        </w:rPr>
      </w:pPr>
    </w:p>
    <w:p w:rsidR="00734CBE" w:rsidRPr="007210B2" w:rsidRDefault="00E00495" w:rsidP="007210B2">
      <w:pPr>
        <w:jc w:val="both"/>
      </w:pPr>
      <w:r>
        <w:t xml:space="preserve">6.  </w:t>
      </w:r>
      <w:r w:rsidR="005B5980" w:rsidRPr="007210B2">
        <w:t xml:space="preserve">A </w:t>
      </w:r>
      <w:r w:rsidR="006604AC" w:rsidRPr="007210B2">
        <w:t xml:space="preserve">prosperous </w:t>
      </w:r>
      <w:r w:rsidR="005B5980" w:rsidRPr="007210B2">
        <w:t xml:space="preserve">PNG is in both PNG and Australia’s interests.  PNG’s rapidly growing population; lack of infrastructure; and poor health, education and law and justice services are challenges to its </w:t>
      </w:r>
      <w:r w:rsidR="006604AC" w:rsidRPr="007210B2">
        <w:t>future prosperity</w:t>
      </w:r>
      <w:r w:rsidR="005B5980" w:rsidRPr="007210B2">
        <w:t xml:space="preserve">. Australia can and should help in these areas.  Essential elements of long-term </w:t>
      </w:r>
      <w:r w:rsidR="006604AC" w:rsidRPr="007210B2">
        <w:t xml:space="preserve">economic development and social </w:t>
      </w:r>
      <w:r w:rsidR="005B5980" w:rsidRPr="007210B2">
        <w:t xml:space="preserve">stability are sustainable, inclusive economic growth and good governance.  These elements </w:t>
      </w:r>
      <w:r w:rsidR="00F50783">
        <w:t>should</w:t>
      </w:r>
      <w:r w:rsidR="00F50783" w:rsidRPr="007210B2">
        <w:t xml:space="preserve"> </w:t>
      </w:r>
      <w:r w:rsidR="005B5980" w:rsidRPr="007210B2">
        <w:t>be central components of Australia’s future support to PNG.</w:t>
      </w:r>
    </w:p>
    <w:p w:rsidR="00B4261C" w:rsidRPr="007210B2" w:rsidRDefault="00B4261C" w:rsidP="00B4261C">
      <w:pPr>
        <w:jc w:val="both"/>
        <w:rPr>
          <w:rFonts w:eastAsia="Calibri"/>
          <w:b/>
        </w:rPr>
      </w:pPr>
      <w:r w:rsidRPr="007210B2">
        <w:rPr>
          <w:rFonts w:eastAsia="Calibri"/>
          <w:b/>
        </w:rPr>
        <w:br w:type="page"/>
      </w:r>
    </w:p>
    <w:p w:rsidR="004E33BE" w:rsidRPr="007210B2" w:rsidRDefault="00C2620D" w:rsidP="00B4261C">
      <w:pPr>
        <w:keepNext/>
        <w:widowControl w:val="0"/>
        <w:jc w:val="both"/>
        <w:rPr>
          <w:rFonts w:eastAsia="Calibri"/>
          <w:b/>
        </w:rPr>
      </w:pPr>
      <w:r w:rsidRPr="007210B2">
        <w:rPr>
          <w:rFonts w:eastAsia="Calibri"/>
          <w:b/>
        </w:rPr>
        <w:lastRenderedPageBreak/>
        <w:t xml:space="preserve">Aligning </w:t>
      </w:r>
      <w:r w:rsidR="000F51E2" w:rsidRPr="007210B2">
        <w:rPr>
          <w:rFonts w:eastAsia="Calibri"/>
          <w:b/>
        </w:rPr>
        <w:t xml:space="preserve">Australian aid </w:t>
      </w:r>
      <w:r w:rsidRPr="007210B2">
        <w:rPr>
          <w:rFonts w:eastAsia="Calibri"/>
          <w:b/>
        </w:rPr>
        <w:t xml:space="preserve">to PNG and Australian Government priorities </w:t>
      </w:r>
    </w:p>
    <w:p w:rsidR="007210B2" w:rsidRPr="007210B2" w:rsidRDefault="007210B2" w:rsidP="007210B2">
      <w:pPr>
        <w:jc w:val="both"/>
        <w:rPr>
          <w:rFonts w:eastAsia="Calibri"/>
          <w:b/>
        </w:rPr>
      </w:pPr>
    </w:p>
    <w:p w:rsidR="002651F9" w:rsidRPr="00CF76EF" w:rsidRDefault="00E00495" w:rsidP="00CF76EF">
      <w:pPr>
        <w:jc w:val="both"/>
        <w:rPr>
          <w:rFonts w:eastAsia="Calibri"/>
        </w:rPr>
      </w:pPr>
      <w:r>
        <w:t xml:space="preserve">7.  </w:t>
      </w:r>
      <w:r w:rsidR="002651F9" w:rsidRPr="00CF76EF">
        <w:t>The Government of PNG</w:t>
      </w:r>
      <w:r w:rsidR="00C2620D" w:rsidRPr="00CF76EF">
        <w:t xml:space="preserve"> has set out its priorities in the 2</w:t>
      </w:r>
      <w:r w:rsidR="007210B2" w:rsidRPr="00CF76EF">
        <w:t>012 ‘Alotau Accord’ and include</w:t>
      </w:r>
      <w:r w:rsidR="00CF76EF" w:rsidRPr="00CF76EF">
        <w:t xml:space="preserve"> </w:t>
      </w:r>
      <w:r w:rsidR="00C2620D" w:rsidRPr="00CF76EF">
        <w:t>education, health, law and justice, infrastructure and sustainable economic growth.</w:t>
      </w:r>
      <w:r w:rsidR="002651F9" w:rsidRPr="00CF76EF">
        <w:t xml:space="preserve"> The</w:t>
      </w:r>
      <w:r w:rsidR="00734CBE" w:rsidRPr="00CF76EF">
        <w:t xml:space="preserve"> </w:t>
      </w:r>
      <w:r w:rsidR="00C2620D" w:rsidRPr="00CF76EF">
        <w:t>Government has presented an economic growth agenda focussed upon:</w:t>
      </w:r>
    </w:p>
    <w:p w:rsidR="002651F9" w:rsidRPr="007210B2" w:rsidRDefault="00C2620D" w:rsidP="007210B2">
      <w:pPr>
        <w:pStyle w:val="ListParagraph"/>
        <w:numPr>
          <w:ilvl w:val="0"/>
          <w:numId w:val="24"/>
        </w:numPr>
        <w:spacing w:after="0" w:line="240" w:lineRule="auto"/>
        <w:jc w:val="both"/>
        <w:rPr>
          <w:rFonts w:ascii="Times New Roman" w:eastAsia="Calibri" w:hAnsi="Times New Roman" w:cs="Times New Roman"/>
          <w:sz w:val="24"/>
          <w:szCs w:val="24"/>
        </w:rPr>
      </w:pPr>
      <w:r w:rsidRPr="007210B2">
        <w:rPr>
          <w:rFonts w:ascii="Times New Roman" w:hAnsi="Times New Roman" w:cs="Times New Roman"/>
          <w:sz w:val="24"/>
          <w:szCs w:val="24"/>
        </w:rPr>
        <w:t>investments in ‘high impact infrastructure’ - key roa</w:t>
      </w:r>
      <w:r w:rsidR="002651F9" w:rsidRPr="007210B2">
        <w:rPr>
          <w:rFonts w:ascii="Times New Roman" w:hAnsi="Times New Roman" w:cs="Times New Roman"/>
          <w:sz w:val="24"/>
          <w:szCs w:val="24"/>
        </w:rPr>
        <w:t>ds, ports, power, and hospitals;</w:t>
      </w:r>
    </w:p>
    <w:p w:rsidR="002651F9" w:rsidRPr="007210B2" w:rsidRDefault="00C2620D" w:rsidP="007210B2">
      <w:pPr>
        <w:pStyle w:val="ListParagraph"/>
        <w:numPr>
          <w:ilvl w:val="0"/>
          <w:numId w:val="24"/>
        </w:numPr>
        <w:spacing w:after="0" w:line="240" w:lineRule="auto"/>
        <w:jc w:val="both"/>
        <w:rPr>
          <w:rFonts w:ascii="Times New Roman" w:eastAsia="Calibri" w:hAnsi="Times New Roman" w:cs="Times New Roman"/>
          <w:sz w:val="24"/>
          <w:szCs w:val="24"/>
        </w:rPr>
      </w:pPr>
      <w:r w:rsidRPr="007210B2">
        <w:rPr>
          <w:rFonts w:ascii="Times New Roman" w:hAnsi="Times New Roman" w:cs="Times New Roman"/>
          <w:sz w:val="24"/>
          <w:szCs w:val="24"/>
        </w:rPr>
        <w:t>job skills development - including assisting greater work-force participation amongst younger citizens</w:t>
      </w:r>
      <w:r w:rsidR="002651F9" w:rsidRPr="007210B2">
        <w:rPr>
          <w:rFonts w:ascii="Times New Roman" w:hAnsi="Times New Roman" w:cs="Times New Roman"/>
          <w:sz w:val="24"/>
          <w:szCs w:val="24"/>
        </w:rPr>
        <w:t xml:space="preserve">; and </w:t>
      </w:r>
    </w:p>
    <w:p w:rsidR="00E00495" w:rsidRPr="00E00495" w:rsidRDefault="00C2620D" w:rsidP="007210B2">
      <w:pPr>
        <w:pStyle w:val="ListParagraph"/>
        <w:numPr>
          <w:ilvl w:val="0"/>
          <w:numId w:val="24"/>
        </w:numPr>
        <w:spacing w:after="0" w:line="240" w:lineRule="auto"/>
        <w:jc w:val="both"/>
        <w:rPr>
          <w:rFonts w:ascii="Times New Roman" w:eastAsia="Calibri" w:hAnsi="Times New Roman" w:cs="Times New Roman"/>
          <w:sz w:val="24"/>
          <w:szCs w:val="24"/>
        </w:rPr>
      </w:pPr>
      <w:r w:rsidRPr="007210B2">
        <w:rPr>
          <w:rFonts w:ascii="Times New Roman" w:hAnsi="Times New Roman" w:cs="Times New Roman"/>
          <w:sz w:val="24"/>
          <w:szCs w:val="24"/>
        </w:rPr>
        <w:t>partnering with the private sector - including supporting its role in service delivery where it will increase effectiveness</w:t>
      </w:r>
      <w:r w:rsidR="00734CBE" w:rsidRPr="007210B2">
        <w:rPr>
          <w:rFonts w:ascii="Times New Roman" w:hAnsi="Times New Roman" w:cs="Times New Roman"/>
          <w:sz w:val="24"/>
          <w:szCs w:val="24"/>
        </w:rPr>
        <w:t>.</w:t>
      </w:r>
    </w:p>
    <w:p w:rsidR="00C2620D" w:rsidRPr="00E00495" w:rsidRDefault="00C2620D" w:rsidP="00E00495">
      <w:pPr>
        <w:pStyle w:val="ListParagraph"/>
        <w:spacing w:after="0" w:line="240" w:lineRule="auto"/>
        <w:ind w:left="1080"/>
        <w:jc w:val="both"/>
        <w:rPr>
          <w:rFonts w:ascii="Times New Roman" w:eastAsia="Calibri" w:hAnsi="Times New Roman" w:cs="Times New Roman"/>
          <w:sz w:val="24"/>
          <w:szCs w:val="24"/>
        </w:rPr>
      </w:pPr>
    </w:p>
    <w:p w:rsidR="00E00495" w:rsidRPr="00E00495" w:rsidRDefault="00E00495" w:rsidP="00E00495">
      <w:pPr>
        <w:jc w:val="both"/>
      </w:pPr>
      <w:r>
        <w:t>8.</w:t>
      </w:r>
      <w:r>
        <w:tab/>
      </w:r>
      <w:r w:rsidRPr="00E00495">
        <w:t xml:space="preserve">Australia supports the Government of PNG’s ambitious development </w:t>
      </w:r>
      <w:r w:rsidR="00C35DED">
        <w:t>aspirations</w:t>
      </w:r>
      <w:r w:rsidR="00C35DED" w:rsidRPr="00E00495">
        <w:t xml:space="preserve"> </w:t>
      </w:r>
      <w:r w:rsidRPr="00E00495">
        <w:t xml:space="preserve">including: </w:t>
      </w:r>
    </w:p>
    <w:p w:rsidR="00E00495" w:rsidRPr="007210B2" w:rsidRDefault="00E00495" w:rsidP="00E00495">
      <w:pPr>
        <w:pStyle w:val="ListParagraph"/>
        <w:numPr>
          <w:ilvl w:val="1"/>
          <w:numId w:val="22"/>
        </w:numPr>
        <w:spacing w:after="0" w:line="240" w:lineRule="auto"/>
        <w:jc w:val="both"/>
        <w:rPr>
          <w:rFonts w:ascii="Times New Roman" w:eastAsia="Calibri" w:hAnsi="Times New Roman" w:cs="Times New Roman"/>
          <w:sz w:val="24"/>
          <w:szCs w:val="24"/>
        </w:rPr>
      </w:pPr>
      <w:r w:rsidRPr="007210B2">
        <w:rPr>
          <w:rFonts w:ascii="Times New Roman" w:eastAsia="Calibri" w:hAnsi="Times New Roman" w:cs="Times New Roman"/>
          <w:sz w:val="24"/>
          <w:szCs w:val="24"/>
        </w:rPr>
        <w:t>to be in</w:t>
      </w:r>
      <w:r w:rsidRPr="007210B2">
        <w:rPr>
          <w:rFonts w:ascii="Times New Roman" w:hAnsi="Times New Roman" w:cs="Times New Roman"/>
          <w:sz w:val="24"/>
          <w:szCs w:val="24"/>
        </w:rPr>
        <w:t xml:space="preserve"> the top 50 Human Development Index (HDI) rankings by 2050 (Vision 2050); </w:t>
      </w:r>
    </w:p>
    <w:p w:rsidR="00E00495" w:rsidRPr="007210B2" w:rsidRDefault="00E00495" w:rsidP="00E00495">
      <w:pPr>
        <w:pStyle w:val="ListParagraph"/>
        <w:numPr>
          <w:ilvl w:val="1"/>
          <w:numId w:val="22"/>
        </w:numPr>
        <w:spacing w:after="0" w:line="240" w:lineRule="auto"/>
        <w:jc w:val="both"/>
        <w:rPr>
          <w:rFonts w:ascii="Times New Roman" w:eastAsia="Calibri" w:hAnsi="Times New Roman" w:cs="Times New Roman"/>
          <w:sz w:val="24"/>
          <w:szCs w:val="24"/>
        </w:rPr>
      </w:pPr>
      <w:r w:rsidRPr="007210B2">
        <w:rPr>
          <w:rFonts w:ascii="Times New Roman" w:hAnsi="Times New Roman" w:cs="Times New Roman"/>
          <w:sz w:val="24"/>
          <w:szCs w:val="24"/>
        </w:rPr>
        <w:t xml:space="preserve">to be a prosperous middle income country by 2030 (Development Strategic Plan (DSP), 2010-2030); </w:t>
      </w:r>
    </w:p>
    <w:p w:rsidR="00E00495" w:rsidRPr="00E00495" w:rsidRDefault="00E00495" w:rsidP="00E00495">
      <w:pPr>
        <w:pStyle w:val="ListParagraph"/>
        <w:numPr>
          <w:ilvl w:val="1"/>
          <w:numId w:val="22"/>
        </w:numPr>
        <w:spacing w:after="0" w:line="240" w:lineRule="auto"/>
        <w:jc w:val="both"/>
        <w:rPr>
          <w:rFonts w:ascii="Times New Roman" w:eastAsia="Calibri" w:hAnsi="Times New Roman" w:cs="Times New Roman"/>
          <w:sz w:val="24"/>
          <w:szCs w:val="24"/>
        </w:rPr>
      </w:pPr>
      <w:r w:rsidRPr="007210B2">
        <w:rPr>
          <w:rFonts w:ascii="Times New Roman" w:hAnsi="Times New Roman" w:cs="Times New Roman"/>
          <w:sz w:val="24"/>
          <w:szCs w:val="24"/>
        </w:rPr>
        <w:t xml:space="preserve">to be a world leader in the promotion and establishment of responsible sustainable development (2014 addendum to DSP 2030). </w:t>
      </w:r>
    </w:p>
    <w:p w:rsidR="007210B2" w:rsidRDefault="007210B2" w:rsidP="007210B2">
      <w:pPr>
        <w:jc w:val="both"/>
      </w:pPr>
    </w:p>
    <w:p w:rsidR="00B4261C" w:rsidRPr="007210B2" w:rsidRDefault="00CF76EF" w:rsidP="00CF76EF">
      <w:pPr>
        <w:jc w:val="both"/>
      </w:pPr>
      <w:r>
        <w:t xml:space="preserve">9.  </w:t>
      </w:r>
      <w:r w:rsidR="007210B2" w:rsidRPr="007210B2">
        <w:t>The</w:t>
      </w:r>
      <w:r w:rsidR="002651F9" w:rsidRPr="007210B2">
        <w:t xml:space="preserve"> Abbott G</w:t>
      </w:r>
      <w:r w:rsidR="00734CBE" w:rsidRPr="007210B2">
        <w:t xml:space="preserve">overnment has </w:t>
      </w:r>
      <w:r w:rsidR="008F5964" w:rsidRPr="007210B2">
        <w:t xml:space="preserve">set a new direction for Australian aid </w:t>
      </w:r>
      <w:r w:rsidR="00C35DED">
        <w:t xml:space="preserve">which is directly aligned with PNG’s own economic growth agenda </w:t>
      </w:r>
      <w:r w:rsidR="008F5964" w:rsidRPr="007210B2">
        <w:t xml:space="preserve">– to focus </w:t>
      </w:r>
      <w:r w:rsidR="00815B1F" w:rsidRPr="007210B2">
        <w:t xml:space="preserve">more heavily </w:t>
      </w:r>
      <w:r w:rsidR="007210B2" w:rsidRPr="007210B2">
        <w:t xml:space="preserve">on </w:t>
      </w:r>
      <w:r w:rsidR="008F5964" w:rsidRPr="007210B2">
        <w:t>pri</w:t>
      </w:r>
      <w:r w:rsidR="007210B2" w:rsidRPr="007210B2">
        <w:t>vat</w:t>
      </w:r>
      <w:r w:rsidR="007210B2">
        <w:t>e</w:t>
      </w:r>
      <w:r w:rsidR="007210B2" w:rsidRPr="007210B2">
        <w:t xml:space="preserve"> s</w:t>
      </w:r>
      <w:r w:rsidR="008F5964" w:rsidRPr="007210B2">
        <w:t>ector-led growth</w:t>
      </w:r>
      <w:r w:rsidR="00DF44D7" w:rsidRPr="007210B2">
        <w:t>,</w:t>
      </w:r>
      <w:r w:rsidR="00815B1F" w:rsidRPr="007210B2">
        <w:t xml:space="preserve"> including through support for initiatives</w:t>
      </w:r>
      <w:r w:rsidR="002651F9" w:rsidRPr="007210B2">
        <w:t xml:space="preserve"> to reduce </w:t>
      </w:r>
      <w:r w:rsidR="00C35DED">
        <w:t xml:space="preserve">the </w:t>
      </w:r>
      <w:r w:rsidR="002651F9" w:rsidRPr="007210B2">
        <w:t xml:space="preserve">constraints to business and </w:t>
      </w:r>
      <w:r w:rsidR="00C35DED">
        <w:t xml:space="preserve">to </w:t>
      </w:r>
      <w:r w:rsidR="002651F9" w:rsidRPr="007210B2">
        <w:t xml:space="preserve">help </w:t>
      </w:r>
      <w:r w:rsidR="00C35DED">
        <w:t xml:space="preserve">PNG </w:t>
      </w:r>
      <w:r w:rsidR="002651F9" w:rsidRPr="007210B2">
        <w:t>foster trade and investment.</w:t>
      </w:r>
      <w:r w:rsidR="00815B1F" w:rsidRPr="007210B2">
        <w:t xml:space="preserve"> </w:t>
      </w:r>
    </w:p>
    <w:p w:rsidR="00734CBE" w:rsidRPr="007210B2" w:rsidRDefault="00734CBE" w:rsidP="00B4261C">
      <w:pPr>
        <w:pStyle w:val="ListParagraph"/>
        <w:spacing w:after="0" w:line="240" w:lineRule="auto"/>
        <w:ind w:left="284"/>
        <w:jc w:val="both"/>
        <w:rPr>
          <w:rFonts w:ascii="Times New Roman" w:eastAsia="Times New Roman" w:hAnsi="Times New Roman" w:cs="Times New Roman"/>
          <w:sz w:val="24"/>
          <w:szCs w:val="24"/>
        </w:rPr>
      </w:pPr>
    </w:p>
    <w:p w:rsidR="004E33BE" w:rsidRPr="007210B2" w:rsidRDefault="00734CBE" w:rsidP="00B4261C">
      <w:pPr>
        <w:jc w:val="both"/>
        <w:rPr>
          <w:rFonts w:eastAsia="Calibri"/>
          <w:b/>
        </w:rPr>
      </w:pPr>
      <w:r w:rsidRPr="007210B2">
        <w:rPr>
          <w:rFonts w:eastAsia="Calibri"/>
          <w:b/>
        </w:rPr>
        <w:t>Assessing our mutual performance</w:t>
      </w:r>
    </w:p>
    <w:p w:rsidR="00734CBE" w:rsidRPr="007210B2" w:rsidRDefault="00734CBE" w:rsidP="00B4261C">
      <w:pPr>
        <w:jc w:val="both"/>
        <w:rPr>
          <w:rFonts w:eastAsia="Calibri"/>
          <w:b/>
        </w:rPr>
      </w:pPr>
    </w:p>
    <w:p w:rsidR="00734CBE" w:rsidRPr="00CF76EF" w:rsidRDefault="00CF76EF" w:rsidP="00CF76EF">
      <w:pPr>
        <w:rPr>
          <w:rFonts w:eastAsia="Calibri"/>
        </w:rPr>
      </w:pPr>
      <w:r>
        <w:rPr>
          <w:rFonts w:eastAsia="Calibri"/>
        </w:rPr>
        <w:t xml:space="preserve">10.  </w:t>
      </w:r>
      <w:r w:rsidR="00734CBE" w:rsidRPr="00CF76EF">
        <w:rPr>
          <w:rFonts w:eastAsia="Calibri"/>
        </w:rPr>
        <w:t xml:space="preserve">Australia and PNG will need to work closely to establish clearer, more realistic performance benchmarks to assess both governments’ progress against set targets.  This will assist the PNG and Australian Governments </w:t>
      </w:r>
      <w:r w:rsidR="0091707E">
        <w:rPr>
          <w:rFonts w:eastAsia="Calibri"/>
        </w:rPr>
        <w:t xml:space="preserve">in </w:t>
      </w:r>
      <w:r w:rsidR="00734CBE" w:rsidRPr="00CF76EF">
        <w:rPr>
          <w:rFonts w:eastAsia="Calibri"/>
        </w:rPr>
        <w:t>monitor</w:t>
      </w:r>
      <w:r w:rsidR="0091707E">
        <w:rPr>
          <w:rFonts w:eastAsia="Calibri"/>
        </w:rPr>
        <w:t>ing</w:t>
      </w:r>
      <w:r w:rsidR="00734CBE" w:rsidRPr="00CF76EF">
        <w:rPr>
          <w:rFonts w:eastAsia="Calibri"/>
        </w:rPr>
        <w:t xml:space="preserve"> the effectiveness of Australian aid and our progress toward mutual commitments. We will report back on progress against establishing performance benchmarks at the 2014 Papua New Guinea–Australia Ministerial Forum.</w:t>
      </w:r>
    </w:p>
    <w:p w:rsidR="00B4261C" w:rsidRPr="007210B2" w:rsidRDefault="00B5710A" w:rsidP="00B5710A">
      <w:pPr>
        <w:rPr>
          <w:rFonts w:eastAsia="Calibri"/>
        </w:rPr>
      </w:pPr>
      <w:r>
        <w:rPr>
          <w:rFonts w:eastAsia="Calibri"/>
        </w:rPr>
        <w:br w:type="page"/>
      </w:r>
    </w:p>
    <w:p w:rsidR="00B4261C" w:rsidRPr="007210B2" w:rsidRDefault="00160241" w:rsidP="00B4261C">
      <w:pPr>
        <w:jc w:val="both"/>
        <w:rPr>
          <w:b/>
          <w:color w:val="000000" w:themeColor="text1"/>
        </w:rPr>
      </w:pPr>
      <w:r w:rsidRPr="007210B2">
        <w:rPr>
          <w:b/>
          <w:color w:val="000000" w:themeColor="text1"/>
        </w:rPr>
        <w:lastRenderedPageBreak/>
        <w:t>Assessment recommendations</w:t>
      </w:r>
      <w:r w:rsidR="00F50783">
        <w:rPr>
          <w:b/>
          <w:color w:val="000000" w:themeColor="text1"/>
        </w:rPr>
        <w:t xml:space="preserve"> for consideration:</w:t>
      </w:r>
    </w:p>
    <w:p w:rsidR="00160241" w:rsidRPr="00B5710A" w:rsidRDefault="00160241" w:rsidP="00B4261C">
      <w:pPr>
        <w:jc w:val="both"/>
        <w:rPr>
          <w:rFonts w:eastAsia="Calibri"/>
          <w:b/>
          <w:sz w:val="18"/>
          <w:szCs w:val="18"/>
        </w:rPr>
      </w:pPr>
    </w:p>
    <w:p w:rsidR="00160241" w:rsidRDefault="00160241" w:rsidP="00B5710A">
      <w:pPr>
        <w:pStyle w:val="ListParagraph"/>
        <w:numPr>
          <w:ilvl w:val="0"/>
          <w:numId w:val="11"/>
        </w:numPr>
        <w:spacing w:after="0" w:line="240" w:lineRule="auto"/>
        <w:jc w:val="both"/>
        <w:rPr>
          <w:rFonts w:ascii="Times New Roman" w:hAnsi="Times New Roman" w:cs="Times New Roman"/>
          <w:sz w:val="24"/>
          <w:szCs w:val="24"/>
          <w:lang w:val="en-US"/>
        </w:rPr>
      </w:pPr>
      <w:r w:rsidRPr="007210B2">
        <w:rPr>
          <w:rFonts w:ascii="Times New Roman" w:hAnsi="Times New Roman" w:cs="Times New Roman"/>
          <w:b/>
          <w:sz w:val="24"/>
          <w:szCs w:val="24"/>
        </w:rPr>
        <w:t xml:space="preserve">Align the aid program with </w:t>
      </w:r>
      <w:r w:rsidR="00154F5F">
        <w:rPr>
          <w:rFonts w:ascii="Times New Roman" w:hAnsi="Times New Roman" w:cs="Times New Roman"/>
          <w:b/>
          <w:sz w:val="24"/>
          <w:szCs w:val="24"/>
        </w:rPr>
        <w:t xml:space="preserve">shared </w:t>
      </w:r>
      <w:r w:rsidRPr="007210B2">
        <w:rPr>
          <w:rFonts w:ascii="Times New Roman" w:hAnsi="Times New Roman" w:cs="Times New Roman"/>
          <w:b/>
          <w:sz w:val="24"/>
          <w:szCs w:val="24"/>
        </w:rPr>
        <w:t xml:space="preserve">political and economic objectives </w:t>
      </w:r>
      <w:r w:rsidR="00154F5F">
        <w:rPr>
          <w:rFonts w:ascii="Times New Roman" w:hAnsi="Times New Roman" w:cs="Times New Roman"/>
          <w:b/>
          <w:sz w:val="24"/>
          <w:szCs w:val="24"/>
        </w:rPr>
        <w:t xml:space="preserve">of Australia and </w:t>
      </w:r>
      <w:r w:rsidRPr="007210B2">
        <w:rPr>
          <w:rFonts w:ascii="Times New Roman" w:hAnsi="Times New Roman" w:cs="Times New Roman"/>
          <w:b/>
          <w:sz w:val="24"/>
          <w:szCs w:val="24"/>
        </w:rPr>
        <w:t>Papua New Guinea.</w:t>
      </w:r>
      <w:r w:rsidRPr="007210B2">
        <w:rPr>
          <w:rFonts w:ascii="Times New Roman" w:hAnsi="Times New Roman" w:cs="Times New Roman"/>
          <w:sz w:val="24"/>
          <w:szCs w:val="24"/>
        </w:rPr>
        <w:t xml:space="preserve"> The integration of the former AusAID into the Department of Foreign Affairs and Trade will most directly support this overall objective</w:t>
      </w:r>
      <w:r w:rsidRPr="007210B2">
        <w:rPr>
          <w:rFonts w:ascii="Times New Roman" w:hAnsi="Times New Roman" w:cs="Times New Roman"/>
          <w:sz w:val="24"/>
          <w:szCs w:val="24"/>
          <w:lang w:val="en-US"/>
        </w:rPr>
        <w:t xml:space="preserve">. </w:t>
      </w:r>
    </w:p>
    <w:p w:rsidR="00B5710A" w:rsidRPr="00B5710A" w:rsidRDefault="00B5710A" w:rsidP="00B5710A">
      <w:pPr>
        <w:pStyle w:val="ListParagraph"/>
        <w:spacing w:after="0" w:line="240" w:lineRule="auto"/>
        <w:ind w:left="284"/>
        <w:jc w:val="both"/>
        <w:rPr>
          <w:rFonts w:ascii="Times New Roman" w:hAnsi="Times New Roman" w:cs="Times New Roman"/>
          <w:sz w:val="16"/>
          <w:szCs w:val="16"/>
          <w:lang w:val="en-US"/>
        </w:rPr>
      </w:pPr>
    </w:p>
    <w:p w:rsidR="00B5710A" w:rsidRPr="00B5710A" w:rsidRDefault="00160241" w:rsidP="00B5710A">
      <w:pPr>
        <w:pStyle w:val="ListParagraph"/>
        <w:numPr>
          <w:ilvl w:val="0"/>
          <w:numId w:val="11"/>
        </w:numPr>
        <w:spacing w:after="0" w:line="240" w:lineRule="auto"/>
        <w:jc w:val="both"/>
        <w:rPr>
          <w:rFonts w:ascii="Times New Roman" w:hAnsi="Times New Roman" w:cs="Times New Roman"/>
          <w:sz w:val="24"/>
          <w:szCs w:val="24"/>
          <w:lang w:val="en-US"/>
        </w:rPr>
      </w:pPr>
      <w:r w:rsidRPr="007210B2">
        <w:rPr>
          <w:rFonts w:ascii="Times New Roman" w:hAnsi="Times New Roman" w:cs="Times New Roman"/>
          <w:b/>
          <w:sz w:val="24"/>
          <w:szCs w:val="24"/>
        </w:rPr>
        <w:t>Reprioritise 30 per cent of the current aid program, over the coming three years, to fund initiatives focused on private sector-led growth and aid for trade.</w:t>
      </w:r>
      <w:r w:rsidRPr="007210B2">
        <w:rPr>
          <w:rFonts w:ascii="Times New Roman" w:hAnsi="Times New Roman" w:cs="Times New Roman"/>
          <w:sz w:val="24"/>
          <w:szCs w:val="24"/>
        </w:rPr>
        <w:t xml:space="preserve"> Savings to fund these new initiatives could be sourced from phased reductions to basic service delivery activities agreed by both Governments. New areas of focus should include </w:t>
      </w:r>
      <w:r w:rsidR="001634CF" w:rsidRPr="001634CF">
        <w:rPr>
          <w:rFonts w:ascii="Times New Roman" w:hAnsi="Times New Roman" w:cs="Times New Roman"/>
          <w:sz w:val="24"/>
          <w:szCs w:val="24"/>
        </w:rPr>
        <w:t xml:space="preserve">improving the enabling environment for business </w:t>
      </w:r>
      <w:r w:rsidR="00F92C05">
        <w:rPr>
          <w:rFonts w:ascii="Times New Roman" w:hAnsi="Times New Roman" w:cs="Times New Roman"/>
          <w:sz w:val="24"/>
          <w:szCs w:val="24"/>
        </w:rPr>
        <w:t>(</w:t>
      </w:r>
      <w:r w:rsidR="001634CF" w:rsidRPr="001634CF">
        <w:rPr>
          <w:rFonts w:ascii="Times New Roman" w:hAnsi="Times New Roman" w:cs="Times New Roman"/>
          <w:sz w:val="24"/>
          <w:szCs w:val="24"/>
        </w:rPr>
        <w:t xml:space="preserve">particularly </w:t>
      </w:r>
      <w:r w:rsidR="000668EA">
        <w:rPr>
          <w:rFonts w:ascii="Times New Roman" w:hAnsi="Times New Roman" w:cs="Times New Roman"/>
          <w:sz w:val="24"/>
          <w:szCs w:val="24"/>
        </w:rPr>
        <w:t xml:space="preserve">SMEs </w:t>
      </w:r>
      <w:r w:rsidR="001634CF" w:rsidRPr="001634CF">
        <w:rPr>
          <w:rFonts w:ascii="Times New Roman" w:hAnsi="Times New Roman" w:cs="Times New Roman"/>
          <w:sz w:val="24"/>
          <w:szCs w:val="24"/>
        </w:rPr>
        <w:t>and partnering with the private sector</w:t>
      </w:r>
      <w:r w:rsidR="00F92C05">
        <w:rPr>
          <w:rFonts w:ascii="Times New Roman" w:hAnsi="Times New Roman" w:cs="Times New Roman"/>
          <w:sz w:val="24"/>
          <w:szCs w:val="24"/>
        </w:rPr>
        <w:t>)</w:t>
      </w:r>
      <w:r w:rsidRPr="007210B2">
        <w:rPr>
          <w:rFonts w:ascii="Times New Roman" w:hAnsi="Times New Roman" w:cs="Times New Roman"/>
          <w:sz w:val="24"/>
          <w:szCs w:val="24"/>
        </w:rPr>
        <w:t>, agriculture market investments, strengthen</w:t>
      </w:r>
      <w:r w:rsidR="000668EA">
        <w:rPr>
          <w:rFonts w:ascii="Times New Roman" w:hAnsi="Times New Roman" w:cs="Times New Roman"/>
          <w:sz w:val="24"/>
          <w:szCs w:val="24"/>
        </w:rPr>
        <w:t>ing</w:t>
      </w:r>
      <w:r w:rsidRPr="007210B2">
        <w:rPr>
          <w:rFonts w:ascii="Times New Roman" w:hAnsi="Times New Roman" w:cs="Times New Roman"/>
          <w:sz w:val="24"/>
          <w:szCs w:val="24"/>
        </w:rPr>
        <w:t xml:space="preserve"> technical </w:t>
      </w:r>
      <w:r w:rsidR="000668EA">
        <w:rPr>
          <w:rFonts w:ascii="Times New Roman" w:hAnsi="Times New Roman" w:cs="Times New Roman"/>
          <w:sz w:val="24"/>
          <w:szCs w:val="24"/>
        </w:rPr>
        <w:t xml:space="preserve">&amp; </w:t>
      </w:r>
      <w:r w:rsidRPr="007210B2">
        <w:rPr>
          <w:rFonts w:ascii="Times New Roman" w:hAnsi="Times New Roman" w:cs="Times New Roman"/>
          <w:sz w:val="24"/>
          <w:szCs w:val="24"/>
        </w:rPr>
        <w:t>vocational training (TVET)</w:t>
      </w:r>
      <w:r w:rsidR="000668EA">
        <w:rPr>
          <w:rFonts w:ascii="Times New Roman" w:hAnsi="Times New Roman" w:cs="Times New Roman"/>
          <w:sz w:val="24"/>
          <w:szCs w:val="24"/>
        </w:rPr>
        <w:t>,</w:t>
      </w:r>
      <w:r w:rsidRPr="007210B2">
        <w:rPr>
          <w:rFonts w:ascii="Times New Roman" w:hAnsi="Times New Roman" w:cs="Times New Roman"/>
          <w:sz w:val="24"/>
          <w:szCs w:val="24"/>
        </w:rPr>
        <w:t xml:space="preserve"> and infrastructure support</w:t>
      </w:r>
      <w:r w:rsidR="000668EA">
        <w:rPr>
          <w:rFonts w:ascii="Times New Roman" w:hAnsi="Times New Roman" w:cs="Times New Roman"/>
          <w:sz w:val="24"/>
          <w:szCs w:val="24"/>
        </w:rPr>
        <w:t>.</w:t>
      </w:r>
    </w:p>
    <w:p w:rsidR="00B5710A" w:rsidRPr="00B5710A" w:rsidRDefault="00B5710A" w:rsidP="00B5710A">
      <w:pPr>
        <w:pStyle w:val="ListParagraph"/>
        <w:spacing w:after="0" w:line="240" w:lineRule="auto"/>
        <w:ind w:left="284"/>
        <w:jc w:val="both"/>
        <w:rPr>
          <w:rFonts w:ascii="Times New Roman" w:hAnsi="Times New Roman" w:cs="Times New Roman"/>
          <w:sz w:val="16"/>
          <w:szCs w:val="16"/>
          <w:lang w:val="en-US"/>
        </w:rPr>
      </w:pPr>
    </w:p>
    <w:p w:rsidR="00160241" w:rsidRPr="00B5710A" w:rsidRDefault="00160241" w:rsidP="00B5710A">
      <w:pPr>
        <w:pStyle w:val="ListParagraph"/>
        <w:numPr>
          <w:ilvl w:val="0"/>
          <w:numId w:val="11"/>
        </w:numPr>
        <w:spacing w:after="0" w:line="240" w:lineRule="auto"/>
        <w:rPr>
          <w:rFonts w:ascii="Times New Roman" w:hAnsi="Times New Roman" w:cs="Times New Roman"/>
          <w:sz w:val="24"/>
          <w:szCs w:val="24"/>
          <w:lang w:val="en-US"/>
        </w:rPr>
      </w:pPr>
      <w:r w:rsidRPr="000703C4">
        <w:rPr>
          <w:rFonts w:ascii="Times New Roman" w:hAnsi="Times New Roman" w:cs="Times New Roman"/>
          <w:b/>
          <w:sz w:val="24"/>
          <w:szCs w:val="24"/>
        </w:rPr>
        <w:t>Maintain priority investments in improving health, education, infrastructure and law and justice systems</w:t>
      </w:r>
      <w:r w:rsidRPr="000703C4">
        <w:rPr>
          <w:rFonts w:ascii="Times New Roman" w:hAnsi="Times New Roman" w:cs="Times New Roman"/>
          <w:sz w:val="24"/>
          <w:szCs w:val="24"/>
        </w:rPr>
        <w:t xml:space="preserve"> as they remain fundamental to delivering inclusive, sustainable economic growth and improved human development outcomes</w:t>
      </w:r>
      <w:r w:rsidRPr="000703C4">
        <w:rPr>
          <w:rFonts w:ascii="Times New Roman" w:hAnsi="Times New Roman" w:cs="Times New Roman"/>
          <w:b/>
          <w:sz w:val="24"/>
          <w:szCs w:val="24"/>
        </w:rPr>
        <w:t xml:space="preserve">. </w:t>
      </w:r>
      <w:r w:rsidRPr="000703C4">
        <w:rPr>
          <w:rFonts w:ascii="Times New Roman" w:hAnsi="Times New Roman" w:cs="Times New Roman"/>
          <w:sz w:val="24"/>
          <w:szCs w:val="24"/>
        </w:rPr>
        <w:t>These investments should maintain a focus on supporting the PNG Government to take greater sovereign responsibility for meeting the needs of its people, including through system strengthening and transitioning out of basic service delivery</w:t>
      </w:r>
      <w:r w:rsidRPr="000703C4">
        <w:rPr>
          <w:rFonts w:ascii="Times New Roman" w:hAnsi="Times New Roman" w:cs="Times New Roman"/>
          <w:b/>
          <w:sz w:val="24"/>
          <w:szCs w:val="24"/>
        </w:rPr>
        <w:t xml:space="preserve">. </w:t>
      </w:r>
    </w:p>
    <w:p w:rsidR="00B5710A" w:rsidRPr="00B5710A" w:rsidRDefault="00B5710A" w:rsidP="00B5710A">
      <w:pPr>
        <w:pStyle w:val="ListParagraph"/>
        <w:spacing w:after="0" w:line="240" w:lineRule="auto"/>
        <w:ind w:left="284"/>
        <w:rPr>
          <w:rFonts w:ascii="Times New Roman" w:hAnsi="Times New Roman" w:cs="Times New Roman"/>
          <w:sz w:val="16"/>
          <w:szCs w:val="16"/>
          <w:lang w:val="en-US"/>
        </w:rPr>
      </w:pPr>
    </w:p>
    <w:p w:rsidR="00160241" w:rsidRPr="00B5710A" w:rsidRDefault="00160241" w:rsidP="00B5710A">
      <w:pPr>
        <w:pStyle w:val="ListParagraph"/>
        <w:numPr>
          <w:ilvl w:val="0"/>
          <w:numId w:val="11"/>
        </w:numPr>
        <w:spacing w:after="0" w:line="240" w:lineRule="auto"/>
        <w:jc w:val="both"/>
        <w:rPr>
          <w:rFonts w:ascii="Times New Roman" w:hAnsi="Times New Roman" w:cs="Times New Roman"/>
          <w:b/>
          <w:sz w:val="24"/>
          <w:szCs w:val="24"/>
        </w:rPr>
      </w:pPr>
      <w:r w:rsidRPr="007210B2">
        <w:rPr>
          <w:rFonts w:ascii="Times New Roman" w:hAnsi="Times New Roman" w:cs="Times New Roman"/>
          <w:b/>
          <w:sz w:val="24"/>
          <w:szCs w:val="24"/>
        </w:rPr>
        <w:t xml:space="preserve">Increase effective partnerships with the private sector. </w:t>
      </w:r>
      <w:r w:rsidRPr="007210B2">
        <w:rPr>
          <w:rFonts w:ascii="Times New Roman" w:hAnsi="Times New Roman" w:cs="Times New Roman"/>
          <w:sz w:val="24"/>
          <w:szCs w:val="24"/>
        </w:rPr>
        <w:t>This should include increased engagement with business to guide improvements in the legal, regulatory and policy environment and to support more effective service delivery in PNG.</w:t>
      </w:r>
    </w:p>
    <w:p w:rsidR="00B5710A" w:rsidRPr="00B5710A" w:rsidRDefault="00B5710A" w:rsidP="00B5710A">
      <w:pPr>
        <w:pStyle w:val="ListParagraph"/>
        <w:spacing w:after="0" w:line="240" w:lineRule="auto"/>
        <w:ind w:left="284"/>
        <w:jc w:val="both"/>
        <w:rPr>
          <w:rFonts w:ascii="Times New Roman" w:hAnsi="Times New Roman" w:cs="Times New Roman"/>
          <w:b/>
          <w:sz w:val="16"/>
          <w:szCs w:val="16"/>
        </w:rPr>
      </w:pPr>
    </w:p>
    <w:p w:rsidR="00160241" w:rsidRPr="00B5710A" w:rsidRDefault="00160241" w:rsidP="00B5710A">
      <w:pPr>
        <w:pStyle w:val="ListParagraph"/>
        <w:numPr>
          <w:ilvl w:val="0"/>
          <w:numId w:val="11"/>
        </w:numPr>
        <w:spacing w:after="0" w:line="240" w:lineRule="auto"/>
        <w:jc w:val="both"/>
        <w:rPr>
          <w:rFonts w:ascii="Times New Roman" w:hAnsi="Times New Roman" w:cs="Times New Roman"/>
          <w:b/>
          <w:sz w:val="24"/>
          <w:szCs w:val="24"/>
        </w:rPr>
      </w:pPr>
      <w:r w:rsidRPr="007210B2">
        <w:rPr>
          <w:rFonts w:ascii="Times New Roman" w:hAnsi="Times New Roman" w:cs="Times New Roman"/>
          <w:b/>
          <w:sz w:val="24"/>
          <w:szCs w:val="24"/>
        </w:rPr>
        <w:t xml:space="preserve">Expand our support for good governance. </w:t>
      </w:r>
      <w:r w:rsidRPr="007210B2">
        <w:rPr>
          <w:rFonts w:ascii="Times New Roman" w:hAnsi="Times New Roman" w:cs="Times New Roman"/>
          <w:sz w:val="24"/>
          <w:szCs w:val="24"/>
        </w:rPr>
        <w:t>This should include</w:t>
      </w:r>
      <w:r w:rsidRPr="007210B2">
        <w:rPr>
          <w:rFonts w:ascii="Times New Roman" w:hAnsi="Times New Roman" w:cs="Times New Roman"/>
          <w:b/>
          <w:sz w:val="24"/>
          <w:szCs w:val="24"/>
        </w:rPr>
        <w:t xml:space="preserve"> </w:t>
      </w:r>
      <w:r w:rsidRPr="007210B2">
        <w:rPr>
          <w:rFonts w:ascii="Times New Roman" w:hAnsi="Times New Roman" w:cs="Times New Roman"/>
          <w:sz w:val="24"/>
          <w:szCs w:val="24"/>
        </w:rPr>
        <w:t xml:space="preserve">expansion to the </w:t>
      </w:r>
      <w:r w:rsidRPr="007210B2">
        <w:rPr>
          <w:rFonts w:ascii="Times New Roman" w:hAnsi="Times New Roman" w:cs="Times New Roman"/>
          <w:i/>
          <w:sz w:val="24"/>
          <w:szCs w:val="24"/>
        </w:rPr>
        <w:t>Strongim Gavman</w:t>
      </w:r>
      <w:r w:rsidRPr="007210B2">
        <w:rPr>
          <w:rFonts w:ascii="Times New Roman" w:hAnsi="Times New Roman" w:cs="Times New Roman"/>
          <w:b/>
          <w:sz w:val="24"/>
          <w:szCs w:val="24"/>
        </w:rPr>
        <w:t xml:space="preserve"> </w:t>
      </w:r>
      <w:r w:rsidRPr="007210B2">
        <w:rPr>
          <w:rFonts w:ascii="Times New Roman" w:hAnsi="Times New Roman" w:cs="Times New Roman"/>
          <w:i/>
          <w:sz w:val="24"/>
          <w:szCs w:val="24"/>
        </w:rPr>
        <w:t>Program</w:t>
      </w:r>
      <w:r w:rsidRPr="007210B2">
        <w:rPr>
          <w:rFonts w:ascii="Times New Roman" w:hAnsi="Times New Roman" w:cs="Times New Roman"/>
          <w:sz w:val="24"/>
          <w:szCs w:val="24"/>
        </w:rPr>
        <w:t xml:space="preserve"> (‘SGP’), strengthened anti-corruption </w:t>
      </w:r>
      <w:r w:rsidR="00154F5F">
        <w:rPr>
          <w:rFonts w:ascii="Times New Roman" w:hAnsi="Times New Roman" w:cs="Times New Roman"/>
          <w:sz w:val="24"/>
          <w:szCs w:val="24"/>
        </w:rPr>
        <w:t xml:space="preserve">and security </w:t>
      </w:r>
      <w:r w:rsidRPr="007210B2">
        <w:rPr>
          <w:rFonts w:ascii="Times New Roman" w:hAnsi="Times New Roman" w:cs="Times New Roman"/>
          <w:sz w:val="24"/>
          <w:szCs w:val="24"/>
        </w:rPr>
        <w:t>efforts, and professionali</w:t>
      </w:r>
      <w:r w:rsidR="00154F5F">
        <w:rPr>
          <w:rFonts w:ascii="Times New Roman" w:hAnsi="Times New Roman" w:cs="Times New Roman"/>
          <w:sz w:val="24"/>
          <w:szCs w:val="24"/>
        </w:rPr>
        <w:t>s</w:t>
      </w:r>
      <w:r w:rsidRPr="007210B2">
        <w:rPr>
          <w:rFonts w:ascii="Times New Roman" w:hAnsi="Times New Roman" w:cs="Times New Roman"/>
          <w:sz w:val="24"/>
          <w:szCs w:val="24"/>
        </w:rPr>
        <w:t xml:space="preserve">ation of the PNG public service through training and mentoring. There should also be a focus on improved accountability and leadership, improving PNG’s ability to lead </w:t>
      </w:r>
      <w:r w:rsidR="00B5710A">
        <w:rPr>
          <w:rFonts w:ascii="Times New Roman" w:hAnsi="Times New Roman" w:cs="Times New Roman"/>
          <w:sz w:val="24"/>
          <w:szCs w:val="24"/>
        </w:rPr>
        <w:t xml:space="preserve">and </w:t>
      </w:r>
      <w:r w:rsidRPr="007210B2">
        <w:rPr>
          <w:rFonts w:ascii="Times New Roman" w:hAnsi="Times New Roman" w:cs="Times New Roman"/>
          <w:sz w:val="24"/>
          <w:szCs w:val="24"/>
        </w:rPr>
        <w:t xml:space="preserve">undertake critical economic reforms and meet the basic needs of its people. </w:t>
      </w:r>
    </w:p>
    <w:p w:rsidR="00B5710A" w:rsidRPr="00B5710A" w:rsidRDefault="00B5710A" w:rsidP="00B5710A">
      <w:pPr>
        <w:pStyle w:val="ListParagraph"/>
        <w:spacing w:after="0" w:line="240" w:lineRule="auto"/>
        <w:ind w:left="284"/>
        <w:jc w:val="both"/>
        <w:rPr>
          <w:rFonts w:ascii="Times New Roman" w:hAnsi="Times New Roman" w:cs="Times New Roman"/>
          <w:b/>
          <w:sz w:val="16"/>
          <w:szCs w:val="16"/>
        </w:rPr>
      </w:pPr>
    </w:p>
    <w:p w:rsidR="00160241" w:rsidRDefault="009B029E" w:rsidP="00B5710A">
      <w:pPr>
        <w:pStyle w:val="ListParagraph"/>
        <w:numPr>
          <w:ilvl w:val="0"/>
          <w:numId w:val="1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Maintain a strong program of support for building the capacity of PNG’s police. </w:t>
      </w:r>
      <w:r w:rsidRPr="007210B2">
        <w:rPr>
          <w:rFonts w:ascii="Times New Roman" w:hAnsi="Times New Roman" w:cs="Times New Roman"/>
          <w:sz w:val="24"/>
          <w:szCs w:val="24"/>
        </w:rPr>
        <w:t>This should include</w:t>
      </w:r>
      <w:r>
        <w:rPr>
          <w:rFonts w:ascii="Times New Roman" w:hAnsi="Times New Roman" w:cs="Times New Roman"/>
          <w:b/>
          <w:sz w:val="24"/>
          <w:szCs w:val="24"/>
        </w:rPr>
        <w:t xml:space="preserve"> </w:t>
      </w:r>
      <w:r w:rsidR="0032071D" w:rsidRPr="0032071D">
        <w:rPr>
          <w:rFonts w:ascii="Times New Roman" w:hAnsi="Times New Roman" w:cs="Times New Roman"/>
          <w:sz w:val="24"/>
          <w:szCs w:val="24"/>
        </w:rPr>
        <w:t xml:space="preserve">support for the </w:t>
      </w:r>
      <w:r>
        <w:rPr>
          <w:rFonts w:ascii="Times New Roman" w:hAnsi="Times New Roman" w:cs="Times New Roman"/>
          <w:sz w:val="24"/>
          <w:szCs w:val="24"/>
        </w:rPr>
        <w:t>Royal PNG Constabulary (</w:t>
      </w:r>
      <w:r w:rsidR="0032071D" w:rsidRPr="0032071D">
        <w:rPr>
          <w:rFonts w:ascii="Times New Roman" w:hAnsi="Times New Roman" w:cs="Times New Roman"/>
          <w:sz w:val="24"/>
          <w:szCs w:val="24"/>
        </w:rPr>
        <w:t>RPNGC</w:t>
      </w:r>
      <w:r>
        <w:rPr>
          <w:rFonts w:ascii="Times New Roman" w:hAnsi="Times New Roman" w:cs="Times New Roman"/>
          <w:sz w:val="24"/>
          <w:szCs w:val="24"/>
        </w:rPr>
        <w:t>)</w:t>
      </w:r>
      <w:r w:rsidR="0032071D" w:rsidRPr="0032071D">
        <w:rPr>
          <w:rFonts w:ascii="Times New Roman" w:hAnsi="Times New Roman" w:cs="Times New Roman"/>
          <w:sz w:val="24"/>
          <w:szCs w:val="24"/>
        </w:rPr>
        <w:t xml:space="preserve"> to maintain law and order through the deployment of </w:t>
      </w:r>
      <w:r>
        <w:rPr>
          <w:rFonts w:ascii="Times New Roman" w:hAnsi="Times New Roman" w:cs="Times New Roman"/>
          <w:sz w:val="24"/>
          <w:szCs w:val="24"/>
        </w:rPr>
        <w:t>Australian Federal Police (</w:t>
      </w:r>
      <w:r w:rsidR="0032071D" w:rsidRPr="0032071D">
        <w:rPr>
          <w:rFonts w:ascii="Times New Roman" w:hAnsi="Times New Roman" w:cs="Times New Roman"/>
          <w:sz w:val="24"/>
          <w:szCs w:val="24"/>
        </w:rPr>
        <w:t>AFP</w:t>
      </w:r>
      <w:r>
        <w:rPr>
          <w:rFonts w:ascii="Times New Roman" w:hAnsi="Times New Roman" w:cs="Times New Roman"/>
          <w:sz w:val="24"/>
          <w:szCs w:val="24"/>
        </w:rPr>
        <w:t>)</w:t>
      </w:r>
      <w:r w:rsidR="0032071D" w:rsidRPr="0032071D">
        <w:rPr>
          <w:rFonts w:ascii="Times New Roman" w:hAnsi="Times New Roman" w:cs="Times New Roman"/>
          <w:sz w:val="24"/>
          <w:szCs w:val="24"/>
        </w:rPr>
        <w:t xml:space="preserve"> officers in advisory and mentoring roles and </w:t>
      </w:r>
      <w:r>
        <w:rPr>
          <w:rFonts w:ascii="Times New Roman" w:hAnsi="Times New Roman" w:cs="Times New Roman"/>
          <w:sz w:val="24"/>
          <w:szCs w:val="24"/>
        </w:rPr>
        <w:t xml:space="preserve">an </w:t>
      </w:r>
      <w:r w:rsidR="0032071D" w:rsidRPr="0032071D">
        <w:rPr>
          <w:rFonts w:ascii="Times New Roman" w:hAnsi="Times New Roman" w:cs="Times New Roman"/>
          <w:sz w:val="24"/>
          <w:szCs w:val="24"/>
        </w:rPr>
        <w:t>expan</w:t>
      </w:r>
      <w:r>
        <w:rPr>
          <w:rFonts w:ascii="Times New Roman" w:hAnsi="Times New Roman" w:cs="Times New Roman"/>
          <w:sz w:val="24"/>
          <w:szCs w:val="24"/>
        </w:rPr>
        <w:t xml:space="preserve">sion of the </w:t>
      </w:r>
      <w:r w:rsidR="0032071D" w:rsidRPr="0032071D">
        <w:rPr>
          <w:rFonts w:ascii="Times New Roman" w:hAnsi="Times New Roman" w:cs="Times New Roman"/>
          <w:sz w:val="24"/>
          <w:szCs w:val="24"/>
        </w:rPr>
        <w:t>training opportunities for RPNGC members in Australia.</w:t>
      </w:r>
    </w:p>
    <w:p w:rsidR="00B5710A" w:rsidRPr="00B5710A" w:rsidRDefault="00B5710A" w:rsidP="00B5710A">
      <w:pPr>
        <w:pStyle w:val="ListParagraph"/>
        <w:spacing w:after="0" w:line="240" w:lineRule="auto"/>
        <w:ind w:left="284"/>
        <w:jc w:val="both"/>
        <w:rPr>
          <w:rFonts w:ascii="Times New Roman" w:hAnsi="Times New Roman" w:cs="Times New Roman"/>
          <w:b/>
          <w:sz w:val="16"/>
          <w:szCs w:val="16"/>
        </w:rPr>
      </w:pPr>
    </w:p>
    <w:p w:rsidR="00160241" w:rsidRPr="00B5710A" w:rsidRDefault="00160241" w:rsidP="00B5710A">
      <w:pPr>
        <w:pStyle w:val="ListParagraph"/>
        <w:numPr>
          <w:ilvl w:val="0"/>
          <w:numId w:val="11"/>
        </w:numPr>
        <w:spacing w:after="0" w:line="240" w:lineRule="auto"/>
        <w:jc w:val="both"/>
        <w:rPr>
          <w:rFonts w:ascii="Times New Roman" w:hAnsi="Times New Roman" w:cs="Times New Roman"/>
          <w:b/>
          <w:sz w:val="24"/>
          <w:szCs w:val="24"/>
        </w:rPr>
      </w:pPr>
      <w:r w:rsidRPr="007210B2">
        <w:rPr>
          <w:rFonts w:ascii="Times New Roman" w:hAnsi="Times New Roman" w:cs="Times New Roman"/>
          <w:b/>
          <w:sz w:val="24"/>
          <w:szCs w:val="24"/>
        </w:rPr>
        <w:t xml:space="preserve">Expand support to women’s empowerment. </w:t>
      </w:r>
      <w:r w:rsidRPr="007210B2">
        <w:rPr>
          <w:rFonts w:ascii="Times New Roman" w:hAnsi="Times New Roman" w:cs="Times New Roman"/>
          <w:sz w:val="24"/>
          <w:szCs w:val="24"/>
        </w:rPr>
        <w:t>This should include increased focus on women’s effective participation in the economy through agribusiness, financial literacy, and microfinance; women’s leadership in public and community life; and improved security in public and private spaces.</w:t>
      </w:r>
    </w:p>
    <w:p w:rsidR="00B5710A" w:rsidRPr="00B5710A" w:rsidRDefault="00B5710A" w:rsidP="00B5710A">
      <w:pPr>
        <w:pStyle w:val="ListParagraph"/>
        <w:spacing w:after="0" w:line="240" w:lineRule="auto"/>
        <w:ind w:left="284"/>
        <w:jc w:val="both"/>
        <w:rPr>
          <w:rFonts w:ascii="Times New Roman" w:hAnsi="Times New Roman" w:cs="Times New Roman"/>
          <w:b/>
          <w:sz w:val="16"/>
          <w:szCs w:val="16"/>
        </w:rPr>
      </w:pPr>
    </w:p>
    <w:p w:rsidR="00160241" w:rsidRPr="00B5710A" w:rsidRDefault="00160241" w:rsidP="00B5710A">
      <w:pPr>
        <w:pStyle w:val="ListParagraph"/>
        <w:numPr>
          <w:ilvl w:val="0"/>
          <w:numId w:val="11"/>
        </w:numPr>
        <w:spacing w:after="0" w:line="240" w:lineRule="auto"/>
        <w:jc w:val="both"/>
        <w:rPr>
          <w:rFonts w:ascii="Times New Roman" w:hAnsi="Times New Roman" w:cs="Times New Roman"/>
          <w:b/>
          <w:sz w:val="24"/>
          <w:szCs w:val="24"/>
        </w:rPr>
      </w:pPr>
      <w:r w:rsidRPr="007210B2">
        <w:rPr>
          <w:rFonts w:ascii="Times New Roman" w:hAnsi="Times New Roman" w:cs="Times New Roman"/>
          <w:b/>
          <w:sz w:val="24"/>
          <w:szCs w:val="24"/>
        </w:rPr>
        <w:t xml:space="preserve">Increase </w:t>
      </w:r>
      <w:r w:rsidR="00B5710A">
        <w:rPr>
          <w:rFonts w:ascii="Times New Roman" w:hAnsi="Times New Roman" w:cs="Times New Roman"/>
          <w:b/>
          <w:sz w:val="24"/>
          <w:szCs w:val="24"/>
        </w:rPr>
        <w:t xml:space="preserve">aid </w:t>
      </w:r>
      <w:r w:rsidRPr="007210B2">
        <w:rPr>
          <w:rFonts w:ascii="Times New Roman" w:hAnsi="Times New Roman" w:cs="Times New Roman"/>
          <w:b/>
          <w:sz w:val="24"/>
          <w:szCs w:val="24"/>
        </w:rPr>
        <w:t xml:space="preserve">investments in Bougainville </w:t>
      </w:r>
      <w:r w:rsidR="00B5710A">
        <w:rPr>
          <w:rFonts w:ascii="Times New Roman" w:hAnsi="Times New Roman" w:cs="Times New Roman"/>
          <w:b/>
          <w:sz w:val="24"/>
          <w:szCs w:val="24"/>
        </w:rPr>
        <w:t>as a greater proportion of the bilateral PNG p</w:t>
      </w:r>
      <w:r w:rsidRPr="007210B2">
        <w:rPr>
          <w:rFonts w:ascii="Times New Roman" w:hAnsi="Times New Roman" w:cs="Times New Roman"/>
          <w:b/>
          <w:sz w:val="24"/>
          <w:szCs w:val="24"/>
        </w:rPr>
        <w:t xml:space="preserve">rogram. </w:t>
      </w:r>
      <w:r w:rsidRPr="007210B2">
        <w:rPr>
          <w:rFonts w:ascii="Times New Roman" w:hAnsi="Times New Roman" w:cs="Times New Roman"/>
          <w:sz w:val="24"/>
          <w:szCs w:val="24"/>
        </w:rPr>
        <w:t xml:space="preserve">This should include a focus on </w:t>
      </w:r>
      <w:r w:rsidR="00154F5F" w:rsidRPr="00154F5F">
        <w:rPr>
          <w:rFonts w:ascii="Times New Roman" w:hAnsi="Times New Roman" w:cs="Times New Roman"/>
          <w:sz w:val="24"/>
          <w:szCs w:val="24"/>
        </w:rPr>
        <w:t>supporting the effective implementation of autonomy arrangements and building the Autonomous Government of Bougainville’s capacity to deliver basic services ahead of the referendum to determine Bougainville’s political future</w:t>
      </w:r>
      <w:r w:rsidR="00F429F2">
        <w:rPr>
          <w:rFonts w:ascii="Times New Roman" w:hAnsi="Times New Roman" w:cs="Times New Roman"/>
          <w:sz w:val="24"/>
          <w:szCs w:val="24"/>
        </w:rPr>
        <w:t>; as agreed under the Bougainville Peace Agreement of which Australia was a witnessing signatory</w:t>
      </w:r>
      <w:r w:rsidR="00D40D2B">
        <w:rPr>
          <w:rFonts w:ascii="Times New Roman" w:hAnsi="Times New Roman" w:cs="Times New Roman"/>
          <w:sz w:val="24"/>
          <w:szCs w:val="24"/>
        </w:rPr>
        <w:t>.</w:t>
      </w:r>
    </w:p>
    <w:p w:rsidR="00B5710A" w:rsidRPr="00B5710A" w:rsidRDefault="00B5710A" w:rsidP="00B5710A">
      <w:pPr>
        <w:jc w:val="both"/>
        <w:rPr>
          <w:b/>
          <w:sz w:val="16"/>
          <w:szCs w:val="16"/>
        </w:rPr>
      </w:pPr>
    </w:p>
    <w:p w:rsidR="00160241" w:rsidRPr="00B5710A" w:rsidRDefault="00160241" w:rsidP="00B4261C">
      <w:pPr>
        <w:pStyle w:val="ListParagraph"/>
        <w:numPr>
          <w:ilvl w:val="0"/>
          <w:numId w:val="11"/>
        </w:numPr>
        <w:spacing w:after="0" w:line="240" w:lineRule="auto"/>
        <w:jc w:val="both"/>
        <w:rPr>
          <w:rFonts w:ascii="Times New Roman" w:hAnsi="Times New Roman" w:cs="Times New Roman"/>
          <w:b/>
          <w:sz w:val="24"/>
          <w:szCs w:val="24"/>
        </w:rPr>
      </w:pPr>
      <w:r w:rsidRPr="007210B2">
        <w:rPr>
          <w:rFonts w:ascii="Times New Roman" w:hAnsi="Times New Roman" w:cs="Times New Roman"/>
          <w:b/>
          <w:sz w:val="24"/>
          <w:szCs w:val="24"/>
        </w:rPr>
        <w:t xml:space="preserve">Establish clearer, realistic performance benchmarks to assess both our and PNG’s performance against set targets, and to drive mutual accountability for agreed actions. </w:t>
      </w:r>
      <w:r w:rsidRPr="007210B2">
        <w:rPr>
          <w:rFonts w:ascii="Times New Roman" w:hAnsi="Times New Roman" w:cs="Times New Roman"/>
          <w:sz w:val="24"/>
          <w:szCs w:val="24"/>
        </w:rPr>
        <w:t xml:space="preserve">Both value for money and support to </w:t>
      </w:r>
      <w:r w:rsidR="00B90F18">
        <w:rPr>
          <w:rFonts w:ascii="Times New Roman" w:hAnsi="Times New Roman" w:cs="Times New Roman"/>
          <w:sz w:val="24"/>
          <w:szCs w:val="24"/>
        </w:rPr>
        <w:t>shared</w:t>
      </w:r>
      <w:r w:rsidR="00B90F18" w:rsidRPr="007210B2">
        <w:rPr>
          <w:rFonts w:ascii="Times New Roman" w:hAnsi="Times New Roman" w:cs="Times New Roman"/>
          <w:sz w:val="24"/>
          <w:szCs w:val="24"/>
        </w:rPr>
        <w:t xml:space="preserve"> </w:t>
      </w:r>
      <w:r w:rsidRPr="007210B2">
        <w:rPr>
          <w:rFonts w:ascii="Times New Roman" w:hAnsi="Times New Roman" w:cs="Times New Roman"/>
          <w:sz w:val="24"/>
          <w:szCs w:val="24"/>
        </w:rPr>
        <w:t xml:space="preserve">political and economic objectives </w:t>
      </w:r>
      <w:r w:rsidR="00B90F18">
        <w:rPr>
          <w:rFonts w:ascii="Times New Roman" w:hAnsi="Times New Roman" w:cs="Times New Roman"/>
          <w:sz w:val="24"/>
          <w:szCs w:val="24"/>
        </w:rPr>
        <w:t xml:space="preserve">of Australia and PNG </w:t>
      </w:r>
      <w:r w:rsidRPr="007210B2">
        <w:rPr>
          <w:rFonts w:ascii="Times New Roman" w:hAnsi="Times New Roman" w:cs="Times New Roman"/>
          <w:sz w:val="24"/>
          <w:szCs w:val="24"/>
        </w:rPr>
        <w:t>should be key criteria in assessing effectiveness.</w:t>
      </w:r>
    </w:p>
    <w:p w:rsidR="000F51E2" w:rsidRPr="007210B2" w:rsidRDefault="00B4261C" w:rsidP="00424D89">
      <w:pPr>
        <w:rPr>
          <w:b/>
          <w:color w:val="000000" w:themeColor="text1"/>
        </w:rPr>
      </w:pPr>
      <w:r w:rsidRPr="007210B2">
        <w:rPr>
          <w:b/>
          <w:color w:val="000000" w:themeColor="text1"/>
        </w:rPr>
        <w:br w:type="page"/>
      </w:r>
      <w:r w:rsidR="000F51E2" w:rsidRPr="007210B2">
        <w:rPr>
          <w:b/>
          <w:color w:val="000000" w:themeColor="text1"/>
        </w:rPr>
        <w:lastRenderedPageBreak/>
        <w:t xml:space="preserve">Australia’s </w:t>
      </w:r>
      <w:r w:rsidR="00F50783">
        <w:rPr>
          <w:b/>
          <w:color w:val="000000" w:themeColor="text1"/>
        </w:rPr>
        <w:t xml:space="preserve">proposed </w:t>
      </w:r>
      <w:r w:rsidR="000F51E2" w:rsidRPr="007210B2">
        <w:rPr>
          <w:b/>
          <w:color w:val="000000" w:themeColor="text1"/>
        </w:rPr>
        <w:t xml:space="preserve">approach to align </w:t>
      </w:r>
      <w:r w:rsidR="008B2F42" w:rsidRPr="007210B2">
        <w:rPr>
          <w:b/>
          <w:color w:val="000000" w:themeColor="text1"/>
        </w:rPr>
        <w:t xml:space="preserve">aid investments </w:t>
      </w:r>
      <w:r w:rsidR="000F51E2" w:rsidRPr="007210B2">
        <w:rPr>
          <w:b/>
          <w:color w:val="000000" w:themeColor="text1"/>
        </w:rPr>
        <w:t xml:space="preserve">to the Government of PNG’s priorities: </w:t>
      </w:r>
    </w:p>
    <w:p w:rsidR="00856721" w:rsidRPr="007210B2" w:rsidRDefault="00856721" w:rsidP="00B4261C">
      <w:pPr>
        <w:jc w:val="both"/>
        <w:rPr>
          <w:b/>
          <w:color w:val="000000" w:themeColor="text1"/>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371"/>
      </w:tblGrid>
      <w:tr w:rsidR="005873C8" w:rsidRPr="007210B2" w:rsidTr="00424D89">
        <w:trPr>
          <w:trHeight w:val="256"/>
        </w:trPr>
        <w:tc>
          <w:tcPr>
            <w:tcW w:w="2410" w:type="dxa"/>
          </w:tcPr>
          <w:p w:rsidR="004E33BE" w:rsidRPr="007210B2" w:rsidRDefault="00815B1F" w:rsidP="004E33BE">
            <w:pPr>
              <w:ind w:left="-28"/>
              <w:jc w:val="both"/>
              <w:rPr>
                <w:b/>
                <w:color w:val="000000" w:themeColor="text1"/>
              </w:rPr>
            </w:pPr>
            <w:r w:rsidRPr="007210B2">
              <w:rPr>
                <w:b/>
                <w:color w:val="000000" w:themeColor="text1"/>
              </w:rPr>
              <w:t xml:space="preserve">Government of </w:t>
            </w:r>
            <w:r w:rsidR="005873C8" w:rsidRPr="007210B2">
              <w:rPr>
                <w:b/>
                <w:color w:val="000000" w:themeColor="text1"/>
              </w:rPr>
              <w:t>PNG priority</w:t>
            </w:r>
          </w:p>
        </w:tc>
        <w:tc>
          <w:tcPr>
            <w:tcW w:w="7371" w:type="dxa"/>
          </w:tcPr>
          <w:p w:rsidR="005873C8" w:rsidRPr="007210B2" w:rsidRDefault="00855D53" w:rsidP="00ED784D">
            <w:pPr>
              <w:jc w:val="both"/>
              <w:rPr>
                <w:b/>
                <w:color w:val="000000" w:themeColor="text1"/>
              </w:rPr>
            </w:pPr>
            <w:r w:rsidRPr="007210B2">
              <w:rPr>
                <w:b/>
                <w:color w:val="000000" w:themeColor="text1"/>
              </w:rPr>
              <w:t>Australia’s</w:t>
            </w:r>
            <w:r w:rsidR="005873C8" w:rsidRPr="007210B2">
              <w:rPr>
                <w:b/>
                <w:color w:val="000000" w:themeColor="text1"/>
              </w:rPr>
              <w:t xml:space="preserve"> </w:t>
            </w:r>
            <w:r w:rsidR="00F50783">
              <w:rPr>
                <w:b/>
                <w:color w:val="000000" w:themeColor="text1"/>
              </w:rPr>
              <w:t xml:space="preserve">proposed </w:t>
            </w:r>
            <w:r w:rsidR="005873C8" w:rsidRPr="007210B2">
              <w:rPr>
                <w:b/>
                <w:color w:val="000000" w:themeColor="text1"/>
              </w:rPr>
              <w:t>approach</w:t>
            </w:r>
          </w:p>
        </w:tc>
      </w:tr>
      <w:tr w:rsidR="005873C8" w:rsidRPr="007210B2" w:rsidTr="00424D89">
        <w:trPr>
          <w:trHeight w:val="90"/>
        </w:trPr>
        <w:tc>
          <w:tcPr>
            <w:tcW w:w="2410" w:type="dxa"/>
          </w:tcPr>
          <w:p w:rsidR="005873C8" w:rsidRPr="007210B2" w:rsidRDefault="000F51E2" w:rsidP="00B4261C">
            <w:pPr>
              <w:ind w:left="-28"/>
              <w:rPr>
                <w:color w:val="000000" w:themeColor="text1"/>
              </w:rPr>
            </w:pPr>
            <w:r w:rsidRPr="007210B2">
              <w:rPr>
                <w:color w:val="000000" w:themeColor="text1"/>
              </w:rPr>
              <w:t>Greater f</w:t>
            </w:r>
            <w:r w:rsidR="005873C8" w:rsidRPr="007210B2">
              <w:rPr>
                <w:color w:val="000000" w:themeColor="text1"/>
              </w:rPr>
              <w:t>ocus on infrastructure</w:t>
            </w:r>
          </w:p>
          <w:p w:rsidR="00B4261C" w:rsidRPr="007210B2" w:rsidRDefault="00B4261C" w:rsidP="00B4261C">
            <w:pPr>
              <w:ind w:left="-28"/>
              <w:rPr>
                <w:color w:val="000000" w:themeColor="text1"/>
              </w:rPr>
            </w:pPr>
          </w:p>
        </w:tc>
        <w:tc>
          <w:tcPr>
            <w:tcW w:w="7371" w:type="dxa"/>
          </w:tcPr>
          <w:p w:rsidR="005873C8" w:rsidRPr="007210B2" w:rsidRDefault="0078597D" w:rsidP="00F50783">
            <w:pPr>
              <w:rPr>
                <w:color w:val="000000" w:themeColor="text1"/>
              </w:rPr>
            </w:pPr>
            <w:r w:rsidRPr="007210B2">
              <w:t xml:space="preserve">Insufficient or inadequate infrastructure creates significant costs to doing business, and constrains economic growth.  Australia’s aid investment in infrastructure is currently set to increase from 37% of the program to approximately 50% by 2017. Australia </w:t>
            </w:r>
            <w:r w:rsidR="00F50783">
              <w:t>should</w:t>
            </w:r>
            <w:r w:rsidR="00F50783" w:rsidRPr="007210B2">
              <w:t xml:space="preserve"> </w:t>
            </w:r>
            <w:r w:rsidRPr="007210B2">
              <w:t xml:space="preserve">support the PNG Government’s goal of delivering infrastructure that will encourage economic growth.  </w:t>
            </w:r>
            <w:r w:rsidR="0091707E">
              <w:t>Australia</w:t>
            </w:r>
            <w:r w:rsidRPr="007210B2">
              <w:t xml:space="preserve"> </w:t>
            </w:r>
            <w:r w:rsidR="00F50783">
              <w:t>should</w:t>
            </w:r>
            <w:r w:rsidRPr="007210B2">
              <w:t xml:space="preserve"> establish a new Economic Infrastructure Advice Facility</w:t>
            </w:r>
            <w:r w:rsidR="00F50783">
              <w:t xml:space="preserve"> to</w:t>
            </w:r>
            <w:r w:rsidRPr="007210B2">
              <w:t xml:space="preserve"> provide advice to the PNG Government on scoping, planning and financing the infrastructure needed to support economic growth, and the required reforms that underpin these efforts. It </w:t>
            </w:r>
            <w:r w:rsidR="00F50783">
              <w:t>sh</w:t>
            </w:r>
            <w:r w:rsidRPr="007210B2">
              <w:t xml:space="preserve">ould also be available to provide advice on private-sector partnerships to leverage domestic and international finance for key </w:t>
            </w:r>
            <w:r w:rsidR="00CE2EDE" w:rsidRPr="007210B2">
              <w:t xml:space="preserve">infrastructure investment </w:t>
            </w:r>
            <w:r w:rsidRPr="007210B2">
              <w:t>projects</w:t>
            </w:r>
            <w:r w:rsidR="0091707E">
              <w:t>.</w:t>
            </w:r>
          </w:p>
        </w:tc>
      </w:tr>
      <w:tr w:rsidR="005873C8" w:rsidRPr="007210B2" w:rsidTr="00424D89">
        <w:trPr>
          <w:trHeight w:val="600"/>
        </w:trPr>
        <w:tc>
          <w:tcPr>
            <w:tcW w:w="2410" w:type="dxa"/>
          </w:tcPr>
          <w:p w:rsidR="005873C8" w:rsidRPr="007210B2" w:rsidRDefault="00090696" w:rsidP="00B4261C">
            <w:pPr>
              <w:ind w:left="-28"/>
              <w:rPr>
                <w:color w:val="000000" w:themeColor="text1"/>
              </w:rPr>
            </w:pPr>
            <w:r w:rsidRPr="007210B2">
              <w:rPr>
                <w:color w:val="000000" w:themeColor="text1"/>
              </w:rPr>
              <w:t>Australian aid to s</w:t>
            </w:r>
            <w:r w:rsidR="005873C8" w:rsidRPr="007210B2">
              <w:rPr>
                <w:color w:val="000000" w:themeColor="text1"/>
              </w:rPr>
              <w:t xml:space="preserve">hift away from direct service delivery </w:t>
            </w:r>
            <w:r w:rsidR="00CE2EDE" w:rsidRPr="007210B2">
              <w:rPr>
                <w:color w:val="000000" w:themeColor="text1"/>
              </w:rPr>
              <w:t xml:space="preserve">as PNG </w:t>
            </w:r>
            <w:r w:rsidR="005873C8" w:rsidRPr="007210B2">
              <w:rPr>
                <w:color w:val="000000" w:themeColor="text1"/>
              </w:rPr>
              <w:t>build</w:t>
            </w:r>
            <w:r w:rsidR="00CE2EDE" w:rsidRPr="007210B2">
              <w:rPr>
                <w:color w:val="000000" w:themeColor="text1"/>
              </w:rPr>
              <w:t>s</w:t>
            </w:r>
            <w:r w:rsidR="005873C8" w:rsidRPr="007210B2">
              <w:rPr>
                <w:color w:val="000000" w:themeColor="text1"/>
              </w:rPr>
              <w:t xml:space="preserve"> capacity to meet </w:t>
            </w:r>
            <w:r w:rsidR="00CE2EDE" w:rsidRPr="007210B2">
              <w:rPr>
                <w:color w:val="000000" w:themeColor="text1"/>
              </w:rPr>
              <w:t xml:space="preserve">the </w:t>
            </w:r>
            <w:r w:rsidR="005873C8" w:rsidRPr="007210B2">
              <w:rPr>
                <w:color w:val="000000" w:themeColor="text1"/>
              </w:rPr>
              <w:t xml:space="preserve">needs of </w:t>
            </w:r>
            <w:r w:rsidR="007F0F8D" w:rsidRPr="007210B2">
              <w:rPr>
                <w:color w:val="000000" w:themeColor="text1"/>
              </w:rPr>
              <w:t xml:space="preserve">its </w:t>
            </w:r>
            <w:r w:rsidR="005873C8" w:rsidRPr="007210B2">
              <w:rPr>
                <w:color w:val="000000" w:themeColor="text1"/>
              </w:rPr>
              <w:t xml:space="preserve">population </w:t>
            </w:r>
          </w:p>
          <w:p w:rsidR="005873C8" w:rsidRPr="007210B2" w:rsidRDefault="005873C8" w:rsidP="00B4261C">
            <w:pPr>
              <w:ind w:left="-28"/>
              <w:rPr>
                <w:color w:val="000000" w:themeColor="text1"/>
              </w:rPr>
            </w:pPr>
          </w:p>
        </w:tc>
        <w:tc>
          <w:tcPr>
            <w:tcW w:w="7371" w:type="dxa"/>
          </w:tcPr>
          <w:p w:rsidR="005873C8" w:rsidRPr="007210B2" w:rsidRDefault="007F0F8D" w:rsidP="00F50783">
            <w:pPr>
              <w:rPr>
                <w:color w:val="000000" w:themeColor="text1"/>
              </w:rPr>
            </w:pPr>
            <w:r w:rsidRPr="007210B2">
              <w:t xml:space="preserve">Transitioning </w:t>
            </w:r>
            <w:r w:rsidR="0091707E">
              <w:t>Australia</w:t>
            </w:r>
            <w:r w:rsidR="00F50783">
              <w:t>n</w:t>
            </w:r>
            <w:r w:rsidR="0091707E">
              <w:t xml:space="preserve"> aid support away from direct</w:t>
            </w:r>
            <w:r w:rsidRPr="007210B2">
              <w:t xml:space="preserve"> service delivery should occur in a way that does not pose excessive risks to the lives of vulnerable people</w:t>
            </w:r>
            <w:r w:rsidR="00D76363" w:rsidRPr="007210B2">
              <w:t xml:space="preserve">. Australia should include targeted support for PNG Government to assume responsibility for service delivery in line with </w:t>
            </w:r>
            <w:r w:rsidR="00CE2EDE" w:rsidRPr="007210B2">
              <w:t xml:space="preserve">Government of PNG’s </w:t>
            </w:r>
            <w:r w:rsidR="00D76363" w:rsidRPr="007210B2">
              <w:t xml:space="preserve">free health and education policies - particularly the provision of basic medical supplies to the vulnerable poor. Australia </w:t>
            </w:r>
            <w:r w:rsidR="00F50783">
              <w:t>should</w:t>
            </w:r>
            <w:r w:rsidR="00F50783" w:rsidRPr="007210B2">
              <w:t xml:space="preserve"> </w:t>
            </w:r>
            <w:r w:rsidR="00D76363" w:rsidRPr="007210B2">
              <w:t xml:space="preserve">shift away from responsibility for text book distribution, payment of education subsidies and the provision of the majority of basic medical supplies. </w:t>
            </w:r>
          </w:p>
        </w:tc>
      </w:tr>
      <w:tr w:rsidR="005873C8" w:rsidRPr="007210B2" w:rsidTr="00424D89">
        <w:trPr>
          <w:trHeight w:val="128"/>
        </w:trPr>
        <w:tc>
          <w:tcPr>
            <w:tcW w:w="2410" w:type="dxa"/>
          </w:tcPr>
          <w:p w:rsidR="005873C8" w:rsidRPr="007210B2" w:rsidRDefault="005873C8" w:rsidP="00B4261C">
            <w:pPr>
              <w:ind w:left="-28"/>
              <w:rPr>
                <w:color w:val="000000" w:themeColor="text1"/>
              </w:rPr>
            </w:pPr>
            <w:r w:rsidRPr="007210B2">
              <w:rPr>
                <w:color w:val="000000" w:themeColor="text1"/>
              </w:rPr>
              <w:t>Job skills development</w:t>
            </w:r>
            <w:r w:rsidR="00CE2EDE" w:rsidRPr="007210B2">
              <w:t xml:space="preserve">, including </w:t>
            </w:r>
            <w:r w:rsidR="00CE2EDE" w:rsidRPr="007210B2">
              <w:rPr>
                <w:color w:val="000000" w:themeColor="text1"/>
              </w:rPr>
              <w:t>greater work-force participation amongst younger citizens</w:t>
            </w:r>
          </w:p>
        </w:tc>
        <w:tc>
          <w:tcPr>
            <w:tcW w:w="7371" w:type="dxa"/>
          </w:tcPr>
          <w:p w:rsidR="0078597D" w:rsidRPr="007210B2" w:rsidRDefault="0091707E" w:rsidP="00F50783">
            <w:pPr>
              <w:rPr>
                <w:color w:val="000000" w:themeColor="text1"/>
              </w:rPr>
            </w:pPr>
            <w:r>
              <w:rPr>
                <w:color w:val="000000" w:themeColor="text1"/>
              </w:rPr>
              <w:t>Australia</w:t>
            </w:r>
            <w:r w:rsidR="000F51E2" w:rsidRPr="007210B2">
              <w:rPr>
                <w:color w:val="000000" w:themeColor="text1"/>
              </w:rPr>
              <w:t xml:space="preserve"> should increase </w:t>
            </w:r>
            <w:r w:rsidR="00F50783">
              <w:rPr>
                <w:color w:val="000000" w:themeColor="text1"/>
              </w:rPr>
              <w:t>aid</w:t>
            </w:r>
            <w:r w:rsidR="00F50783" w:rsidRPr="007210B2">
              <w:rPr>
                <w:color w:val="000000" w:themeColor="text1"/>
              </w:rPr>
              <w:t xml:space="preserve"> </w:t>
            </w:r>
            <w:r w:rsidR="000F51E2" w:rsidRPr="007210B2">
              <w:rPr>
                <w:color w:val="000000" w:themeColor="text1"/>
              </w:rPr>
              <w:t>investments in TVET and Higher Education, responding to businesses’ and government’s need for more skilled employees.  People-to-people and institutional links between PNG and Australia should be grown.</w:t>
            </w:r>
            <w:r w:rsidR="000F51E2" w:rsidRPr="007210B2">
              <w:t xml:space="preserve"> </w:t>
            </w:r>
            <w:r w:rsidR="000F51E2" w:rsidRPr="007210B2">
              <w:rPr>
                <w:color w:val="000000" w:themeColor="text1"/>
              </w:rPr>
              <w:t xml:space="preserve">Australia should focus its investments in literacy, technical skills, better quality tertiary institutions, and an enhanced teaching and health workforce.  </w:t>
            </w:r>
            <w:r w:rsidR="00CE2EDE" w:rsidRPr="007210B2">
              <w:t xml:space="preserve">Australian aid should support </w:t>
            </w:r>
            <w:r w:rsidR="00CE2EDE" w:rsidRPr="007210B2">
              <w:rPr>
                <w:bCs/>
                <w:noProof/>
                <w:lang w:eastAsia="en-AU"/>
              </w:rPr>
              <w:t>improvments in the quality of education by investing in teachers and school infrastructure enabling more school leavers to be literate and capable of engagment in the cash economy.</w:t>
            </w:r>
          </w:p>
        </w:tc>
      </w:tr>
      <w:tr w:rsidR="005873C8" w:rsidRPr="007210B2" w:rsidTr="00424D89">
        <w:trPr>
          <w:trHeight w:val="128"/>
        </w:trPr>
        <w:tc>
          <w:tcPr>
            <w:tcW w:w="2410" w:type="dxa"/>
          </w:tcPr>
          <w:p w:rsidR="005873C8" w:rsidRPr="007210B2" w:rsidRDefault="00856721" w:rsidP="00B4261C">
            <w:pPr>
              <w:ind w:left="-28"/>
              <w:rPr>
                <w:color w:val="000000" w:themeColor="text1"/>
              </w:rPr>
            </w:pPr>
            <w:r w:rsidRPr="007210B2">
              <w:t>F</w:t>
            </w:r>
            <w:r w:rsidR="00D76363" w:rsidRPr="007210B2">
              <w:t>ocus on improving the enabling environment for business, particularly small-to-medium sized enterprises</w:t>
            </w:r>
            <w:r w:rsidR="00D76363" w:rsidRPr="007210B2">
              <w:rPr>
                <w:color w:val="000000" w:themeColor="text1"/>
              </w:rPr>
              <w:t xml:space="preserve"> and p</w:t>
            </w:r>
            <w:r w:rsidR="005873C8" w:rsidRPr="007210B2">
              <w:rPr>
                <w:color w:val="000000" w:themeColor="text1"/>
              </w:rPr>
              <w:t>artnering with the private sector</w:t>
            </w:r>
          </w:p>
          <w:p w:rsidR="00B4261C" w:rsidRPr="007210B2" w:rsidRDefault="00B4261C" w:rsidP="00B4261C">
            <w:pPr>
              <w:ind w:left="-28"/>
              <w:rPr>
                <w:color w:val="000000" w:themeColor="text1"/>
              </w:rPr>
            </w:pPr>
          </w:p>
        </w:tc>
        <w:tc>
          <w:tcPr>
            <w:tcW w:w="7371" w:type="dxa"/>
          </w:tcPr>
          <w:p w:rsidR="00040DF3" w:rsidRPr="007210B2" w:rsidRDefault="00D76363" w:rsidP="0091574B">
            <w:pPr>
              <w:rPr>
                <w:color w:val="000000" w:themeColor="text1"/>
              </w:rPr>
            </w:pPr>
            <w:r w:rsidRPr="007210B2">
              <w:rPr>
                <w:color w:val="000000" w:themeColor="text1"/>
              </w:rPr>
              <w:t>The aid program’s private sector growth initiatives should focus where Australia has a comparative advantage and can achieve the most valuable results. This should include addressing economic and governance reforms important to sustainable growth; dialogue with the private sector to inform improvements to the legal, regulatory and policy environment benefiting the sector; partnering with the private sector for improved delivery of infrastructure, health, education and other services; supporting emerging businesses; assisting women’s economic empowerment; supporting rural livelihoods; and investing in technical education and vocational training and improved economic and financial literacy</w:t>
            </w:r>
            <w:r w:rsidR="00B712C6">
              <w:rPr>
                <w:color w:val="000000" w:themeColor="text1"/>
              </w:rPr>
              <w:t>.</w:t>
            </w:r>
          </w:p>
        </w:tc>
      </w:tr>
      <w:tr w:rsidR="005873C8" w:rsidRPr="007210B2" w:rsidTr="0091574B">
        <w:trPr>
          <w:cantSplit/>
          <w:trHeight w:val="151"/>
        </w:trPr>
        <w:tc>
          <w:tcPr>
            <w:tcW w:w="2410" w:type="dxa"/>
          </w:tcPr>
          <w:p w:rsidR="005873C8" w:rsidRPr="007210B2" w:rsidRDefault="005873C8" w:rsidP="00B4261C">
            <w:pPr>
              <w:ind w:left="-28"/>
              <w:rPr>
                <w:color w:val="000000" w:themeColor="text1"/>
              </w:rPr>
            </w:pPr>
            <w:r w:rsidRPr="007210B2">
              <w:rPr>
                <w:color w:val="000000" w:themeColor="text1"/>
              </w:rPr>
              <w:lastRenderedPageBreak/>
              <w:t>Law and justice</w:t>
            </w:r>
          </w:p>
        </w:tc>
        <w:tc>
          <w:tcPr>
            <w:tcW w:w="7371" w:type="dxa"/>
          </w:tcPr>
          <w:p w:rsidR="0091574B" w:rsidRDefault="00B90F18" w:rsidP="0091574B">
            <w:pPr>
              <w:rPr>
                <w:bCs/>
                <w:noProof/>
                <w:lang w:eastAsia="en-AU"/>
              </w:rPr>
            </w:pPr>
            <w:r w:rsidRPr="00B90F18">
              <w:rPr>
                <w:bCs/>
                <w:noProof/>
                <w:lang w:eastAsia="en-AU"/>
              </w:rPr>
              <w:t xml:space="preserve">Australia should </w:t>
            </w:r>
            <w:r w:rsidR="009B029E">
              <w:rPr>
                <w:bCs/>
                <w:noProof/>
                <w:lang w:eastAsia="en-AU"/>
              </w:rPr>
              <w:t>m</w:t>
            </w:r>
            <w:r w:rsidR="009B029E" w:rsidRPr="009B029E">
              <w:rPr>
                <w:bCs/>
                <w:noProof/>
                <w:lang w:eastAsia="en-AU"/>
              </w:rPr>
              <w:t>aintain a strong program of support for building the capacity of the RPNGC to manage law &amp; order including through the deployment of AFP officers in advisory and mentoring roles and expanding the training opportunities for RPNGC members in Australia.</w:t>
            </w:r>
            <w:r w:rsidRPr="00B90F18">
              <w:rPr>
                <w:bCs/>
                <w:noProof/>
                <w:lang w:eastAsia="en-AU"/>
              </w:rPr>
              <w:t xml:space="preserve"> Australia will continue to support PNG to improve the business enabling environment by supporting PNG</w:t>
            </w:r>
            <w:r w:rsidR="0091574B">
              <w:rPr>
                <w:bCs/>
                <w:noProof/>
                <w:lang w:eastAsia="en-AU"/>
              </w:rPr>
              <w:t>’s</w:t>
            </w:r>
            <w:r w:rsidRPr="00B90F18">
              <w:rPr>
                <w:bCs/>
                <w:noProof/>
                <w:lang w:eastAsia="en-AU"/>
              </w:rPr>
              <w:t xml:space="preserve"> efforts to combat corruption through improving legislative and regulatory frameworks, detection, investigation, prosecution and resistance to corruption initiatives and implementing the recommendations of the Financial Action Task Force (FATF).  Australia should focus on promoting a culture of performance in the delivering of cost-effective law and justice services.  Australia</w:t>
            </w:r>
            <w:r w:rsidR="0091574B">
              <w:rPr>
                <w:bCs/>
                <w:noProof/>
                <w:lang w:eastAsia="en-AU"/>
              </w:rPr>
              <w:t>’s</w:t>
            </w:r>
            <w:r w:rsidRPr="00B90F18">
              <w:rPr>
                <w:bCs/>
                <w:noProof/>
                <w:lang w:eastAsia="en-AU"/>
              </w:rPr>
              <w:t xml:space="preserve"> aid should continue to strengthen access to justice and local conflict resolution mechanisms to promote community safety and stability. </w:t>
            </w:r>
            <w:r w:rsidR="0091574B" w:rsidRPr="00B90F18">
              <w:rPr>
                <w:bCs/>
                <w:noProof/>
                <w:lang w:eastAsia="en-AU"/>
              </w:rPr>
              <w:t>Opportunities to build on existing cooperation with the private sector, eg to increase support for victims of family and sexual violence should be pursued.</w:t>
            </w:r>
          </w:p>
          <w:p w:rsidR="005873C8" w:rsidRPr="007210B2" w:rsidRDefault="00B90F18" w:rsidP="0091574B">
            <w:pPr>
              <w:rPr>
                <w:color w:val="000000" w:themeColor="text1"/>
              </w:rPr>
            </w:pPr>
            <w:r w:rsidRPr="00B90F18">
              <w:rPr>
                <w:bCs/>
                <w:noProof/>
                <w:lang w:eastAsia="en-AU"/>
              </w:rPr>
              <w:t>As a witness to the Bougainville Peace Agreement, strengthening the Bougainville Police Service should be a particular focus for Australia.</w:t>
            </w:r>
          </w:p>
        </w:tc>
      </w:tr>
    </w:tbl>
    <w:p w:rsidR="0078597D" w:rsidRPr="007210B2" w:rsidRDefault="0078597D" w:rsidP="00B4261C">
      <w:pPr>
        <w:jc w:val="both"/>
        <w:rPr>
          <w:b/>
        </w:rPr>
      </w:pPr>
    </w:p>
    <w:p w:rsidR="005C28C1" w:rsidRDefault="00F308DA" w:rsidP="00B4261C">
      <w:pPr>
        <w:keepNext/>
        <w:jc w:val="both"/>
        <w:rPr>
          <w:b/>
        </w:rPr>
      </w:pPr>
      <w:r w:rsidRPr="007210B2">
        <w:rPr>
          <w:b/>
        </w:rPr>
        <w:t>Possible new areas of Australian aid investment in PNG</w:t>
      </w:r>
      <w:r w:rsidR="0082736E" w:rsidRPr="007210B2">
        <w:rPr>
          <w:b/>
        </w:rPr>
        <w:t xml:space="preserve"> to support economic growth</w:t>
      </w:r>
      <w:r w:rsidRPr="007210B2">
        <w:rPr>
          <w:b/>
        </w:rPr>
        <w:t>:</w:t>
      </w:r>
    </w:p>
    <w:p w:rsidR="005C28C1" w:rsidRPr="007210B2" w:rsidRDefault="005C28C1" w:rsidP="00B4261C">
      <w:pPr>
        <w:keepNext/>
        <w:jc w:val="both"/>
        <w:rPr>
          <w:b/>
        </w:rPr>
      </w:pPr>
    </w:p>
    <w:tbl>
      <w:tblPr>
        <w:tblStyle w:val="TableGrid"/>
        <w:tblW w:w="9747" w:type="dxa"/>
        <w:tblLayout w:type="fixed"/>
        <w:tblLook w:val="04A0" w:firstRow="1" w:lastRow="0" w:firstColumn="1" w:lastColumn="0" w:noHBand="0" w:noVBand="1"/>
      </w:tblPr>
      <w:tblGrid>
        <w:gridCol w:w="9747"/>
      </w:tblGrid>
      <w:tr w:rsidR="00F308DA" w:rsidRPr="007210B2" w:rsidTr="00B4261C">
        <w:trPr>
          <w:trHeight w:val="920"/>
        </w:trPr>
        <w:tc>
          <w:tcPr>
            <w:tcW w:w="9747" w:type="dxa"/>
            <w:tcBorders>
              <w:bottom w:val="single" w:sz="4" w:space="0" w:color="auto"/>
            </w:tcBorders>
          </w:tcPr>
          <w:p w:rsidR="00F308DA" w:rsidRPr="008A6BB2" w:rsidRDefault="009B029E" w:rsidP="00B4261C">
            <w:pPr>
              <w:jc w:val="both"/>
              <w:rPr>
                <w:rFonts w:ascii="Times New Roman" w:hAnsi="Times New Roman" w:cs="Times New Roman"/>
                <w:b/>
              </w:rPr>
            </w:pPr>
            <w:r w:rsidRPr="008A6BB2">
              <w:rPr>
                <w:rFonts w:ascii="Times New Roman" w:hAnsi="Times New Roman" w:cs="Times New Roman"/>
                <w:b/>
              </w:rPr>
              <w:t>S</w:t>
            </w:r>
            <w:r w:rsidR="00F308DA" w:rsidRPr="008A6BB2">
              <w:rPr>
                <w:rFonts w:ascii="Times New Roman" w:hAnsi="Times New Roman" w:cs="Times New Roman"/>
                <w:b/>
              </w:rPr>
              <w:t>upport to policing</w:t>
            </w:r>
          </w:p>
          <w:p w:rsidR="00036135" w:rsidRPr="008A6BB2" w:rsidRDefault="00FB239C" w:rsidP="0091574B">
            <w:pPr>
              <w:jc w:val="both"/>
              <w:rPr>
                <w:rFonts w:ascii="Times New Roman" w:hAnsi="Times New Roman" w:cs="Times New Roman"/>
              </w:rPr>
            </w:pPr>
            <w:r w:rsidRPr="008A6BB2">
              <w:rPr>
                <w:rFonts w:ascii="Times New Roman" w:hAnsi="Times New Roman" w:cs="Times New Roman"/>
              </w:rPr>
              <w:t>Maintain a strong program of support for building the capacity of the RPNGC to manage law &amp; order including through the deployment of AFP officers in advisory and mentoring roles and expanding the training opportunities for RPNGC members in Australia.</w:t>
            </w:r>
          </w:p>
          <w:p w:rsidR="009B029E" w:rsidRPr="007210B2" w:rsidRDefault="009B029E" w:rsidP="00036135">
            <w:pPr>
              <w:jc w:val="both"/>
              <w:rPr>
                <w:rFonts w:ascii="Times New Roman" w:hAnsi="Times New Roman" w:cs="Times New Roman"/>
                <w:b/>
              </w:rPr>
            </w:pPr>
          </w:p>
        </w:tc>
      </w:tr>
      <w:tr w:rsidR="00F308DA" w:rsidRPr="007210B2" w:rsidTr="007210B2">
        <w:trPr>
          <w:trHeight w:val="585"/>
        </w:trPr>
        <w:tc>
          <w:tcPr>
            <w:tcW w:w="9747" w:type="dxa"/>
            <w:tcBorders>
              <w:top w:val="single" w:sz="4" w:space="0" w:color="auto"/>
              <w:bottom w:val="single" w:sz="4" w:space="0" w:color="auto"/>
            </w:tcBorders>
          </w:tcPr>
          <w:p w:rsidR="00F308DA" w:rsidRPr="007210B2" w:rsidRDefault="00F308DA" w:rsidP="00B4261C">
            <w:pPr>
              <w:jc w:val="both"/>
              <w:rPr>
                <w:rFonts w:ascii="Times New Roman" w:hAnsi="Times New Roman" w:cs="Times New Roman"/>
                <w:b/>
              </w:rPr>
            </w:pPr>
            <w:r w:rsidRPr="007210B2">
              <w:rPr>
                <w:rFonts w:ascii="Times New Roman" w:hAnsi="Times New Roman" w:cs="Times New Roman"/>
                <w:b/>
              </w:rPr>
              <w:t>Increased support to Strongim Gavman Program (SGP)</w:t>
            </w:r>
          </w:p>
          <w:p w:rsidR="00F308DA" w:rsidRDefault="00F308DA" w:rsidP="00B4261C">
            <w:pPr>
              <w:jc w:val="both"/>
              <w:rPr>
                <w:rFonts w:ascii="Times New Roman" w:hAnsi="Times New Roman" w:cs="Times New Roman"/>
              </w:rPr>
            </w:pPr>
            <w:r w:rsidRPr="007210B2">
              <w:rPr>
                <w:rFonts w:ascii="Times New Roman" w:hAnsi="Times New Roman" w:cs="Times New Roman"/>
              </w:rPr>
              <w:t>Increased advisory support to strengthen government capacity through strategically placed advisors and enhanced training of public sector leaders. This would include the use of both Australian Government officials and contracted technical advisors to pursue essential economic and public sector reforms, to encourage anti-corruption, support functioning markets</w:t>
            </w:r>
            <w:r w:rsidR="00D1603C" w:rsidRPr="007210B2">
              <w:rPr>
                <w:rFonts w:ascii="Times New Roman" w:hAnsi="Times New Roman" w:cs="Times New Roman"/>
              </w:rPr>
              <w:t>,</w:t>
            </w:r>
            <w:r w:rsidRPr="007210B2">
              <w:rPr>
                <w:rFonts w:ascii="Times New Roman" w:hAnsi="Times New Roman" w:cs="Times New Roman"/>
              </w:rPr>
              <w:t xml:space="preserve"> reduc</w:t>
            </w:r>
            <w:r w:rsidR="00D1603C" w:rsidRPr="007210B2">
              <w:rPr>
                <w:rFonts w:ascii="Times New Roman" w:hAnsi="Times New Roman" w:cs="Times New Roman"/>
              </w:rPr>
              <w:t xml:space="preserve">e </w:t>
            </w:r>
            <w:r w:rsidRPr="007210B2">
              <w:rPr>
                <w:rFonts w:ascii="Times New Roman" w:hAnsi="Times New Roman" w:cs="Times New Roman"/>
              </w:rPr>
              <w:t>barriers of trade and investment, and improve PNG’s service delivery capability. This assistance will aim to build a more effective, transparent and accountable PNG public sector.</w:t>
            </w:r>
          </w:p>
          <w:p w:rsidR="00036135" w:rsidRPr="007210B2" w:rsidRDefault="00036135" w:rsidP="00B4261C">
            <w:pPr>
              <w:jc w:val="both"/>
              <w:rPr>
                <w:rFonts w:ascii="Times New Roman" w:hAnsi="Times New Roman" w:cs="Times New Roman"/>
              </w:rPr>
            </w:pPr>
          </w:p>
        </w:tc>
      </w:tr>
      <w:tr w:rsidR="00F308DA" w:rsidRPr="007210B2" w:rsidTr="007210B2">
        <w:trPr>
          <w:trHeight w:val="299"/>
        </w:trPr>
        <w:tc>
          <w:tcPr>
            <w:tcW w:w="9747" w:type="dxa"/>
            <w:tcBorders>
              <w:top w:val="single" w:sz="4" w:space="0" w:color="auto"/>
              <w:bottom w:val="nil"/>
            </w:tcBorders>
          </w:tcPr>
          <w:p w:rsidR="00F308DA" w:rsidRPr="007210B2" w:rsidRDefault="00F308DA" w:rsidP="00B4261C">
            <w:pPr>
              <w:jc w:val="both"/>
              <w:rPr>
                <w:rFonts w:ascii="Times New Roman" w:hAnsi="Times New Roman" w:cs="Times New Roman"/>
                <w:b/>
              </w:rPr>
            </w:pPr>
            <w:r w:rsidRPr="007210B2">
              <w:rPr>
                <w:rFonts w:ascii="Times New Roman" w:hAnsi="Times New Roman" w:cs="Times New Roman"/>
                <w:b/>
              </w:rPr>
              <w:t>Private sector development/Aid for Trade</w:t>
            </w:r>
          </w:p>
        </w:tc>
      </w:tr>
      <w:tr w:rsidR="00F308DA" w:rsidRPr="007210B2" w:rsidTr="0091574B">
        <w:trPr>
          <w:trHeight w:val="558"/>
        </w:trPr>
        <w:tc>
          <w:tcPr>
            <w:tcW w:w="9747" w:type="dxa"/>
            <w:tcBorders>
              <w:top w:val="nil"/>
              <w:bottom w:val="nil"/>
            </w:tcBorders>
          </w:tcPr>
          <w:p w:rsidR="00C839A9" w:rsidRPr="00B5710A" w:rsidRDefault="00F308DA" w:rsidP="00C839A9">
            <w:pPr>
              <w:jc w:val="both"/>
              <w:rPr>
                <w:rFonts w:ascii="Times New Roman" w:hAnsi="Times New Roman" w:cs="Times New Roman"/>
              </w:rPr>
            </w:pPr>
            <w:r w:rsidRPr="00B5710A">
              <w:rPr>
                <w:rFonts w:ascii="Times New Roman" w:hAnsi="Times New Roman" w:cs="Times New Roman"/>
              </w:rPr>
              <w:t>Upgrade existing arrangements for consultations with business on the aid program, including by expanding the dialogue to encompass the broader economic policy settings in PNG.</w:t>
            </w:r>
          </w:p>
        </w:tc>
      </w:tr>
      <w:tr w:rsidR="00F308DA" w:rsidRPr="007210B2" w:rsidTr="00036135">
        <w:trPr>
          <w:trHeight w:val="2894"/>
        </w:trPr>
        <w:tc>
          <w:tcPr>
            <w:tcW w:w="9747" w:type="dxa"/>
            <w:tcBorders>
              <w:top w:val="nil"/>
              <w:bottom w:val="single" w:sz="4" w:space="0" w:color="auto"/>
            </w:tcBorders>
          </w:tcPr>
          <w:p w:rsidR="00F308DA" w:rsidRDefault="00F308DA" w:rsidP="00B4261C">
            <w:pPr>
              <w:jc w:val="both"/>
              <w:rPr>
                <w:rFonts w:ascii="Times New Roman" w:hAnsi="Times New Roman" w:cs="Times New Roman"/>
              </w:rPr>
            </w:pPr>
            <w:r w:rsidRPr="00B5710A">
              <w:rPr>
                <w:rFonts w:ascii="Times New Roman" w:hAnsi="Times New Roman" w:cs="Times New Roman"/>
              </w:rPr>
              <w:t>Increased support for rural livelihoods, in partnership with ACIAR, with a focus on developing markets in the agriculture sector.  Opportunities exist to partner with the private sector to provide targeted support to develop markets</w:t>
            </w:r>
            <w:r w:rsidR="00BF0E9A" w:rsidRPr="00B5710A">
              <w:rPr>
                <w:rFonts w:ascii="Times New Roman" w:hAnsi="Times New Roman" w:cs="Times New Roman"/>
              </w:rPr>
              <w:t>,</w:t>
            </w:r>
            <w:r w:rsidRPr="00B5710A">
              <w:rPr>
                <w:rFonts w:ascii="Times New Roman" w:hAnsi="Times New Roman" w:cs="Times New Roman"/>
              </w:rPr>
              <w:t xml:space="preserve"> generate new economic opportunities </w:t>
            </w:r>
            <w:r w:rsidR="00BF0E9A" w:rsidRPr="00B5710A">
              <w:rPr>
                <w:rFonts w:ascii="Times New Roman" w:hAnsi="Times New Roman" w:cs="Times New Roman"/>
              </w:rPr>
              <w:t xml:space="preserve">and improve access to finance, </w:t>
            </w:r>
            <w:r w:rsidRPr="00B5710A">
              <w:rPr>
                <w:rFonts w:ascii="Times New Roman" w:hAnsi="Times New Roman" w:cs="Times New Roman"/>
              </w:rPr>
              <w:t>particularly for women.</w:t>
            </w:r>
          </w:p>
          <w:p w:rsidR="00B712C6" w:rsidRDefault="00F308DA" w:rsidP="00B4261C">
            <w:pPr>
              <w:jc w:val="both"/>
              <w:rPr>
                <w:rFonts w:ascii="Times New Roman" w:hAnsi="Times New Roman" w:cs="Times New Roman"/>
              </w:rPr>
            </w:pPr>
            <w:r w:rsidRPr="00B5710A">
              <w:rPr>
                <w:rFonts w:ascii="Times New Roman" w:hAnsi="Times New Roman" w:cs="Times New Roman"/>
              </w:rPr>
              <w:t>Targeted aid</w:t>
            </w:r>
            <w:r w:rsidR="0091574B">
              <w:rPr>
                <w:rFonts w:ascii="Times New Roman" w:hAnsi="Times New Roman" w:cs="Times New Roman"/>
              </w:rPr>
              <w:t>-</w:t>
            </w:r>
            <w:r w:rsidRPr="00B5710A">
              <w:rPr>
                <w:rFonts w:ascii="Times New Roman" w:hAnsi="Times New Roman" w:cs="Times New Roman"/>
              </w:rPr>
              <w:t>for</w:t>
            </w:r>
            <w:r w:rsidR="0091574B">
              <w:rPr>
                <w:rFonts w:ascii="Times New Roman" w:hAnsi="Times New Roman" w:cs="Times New Roman"/>
              </w:rPr>
              <w:t>-</w:t>
            </w:r>
            <w:r w:rsidRPr="00B5710A">
              <w:rPr>
                <w:rFonts w:ascii="Times New Roman" w:hAnsi="Times New Roman" w:cs="Times New Roman"/>
              </w:rPr>
              <w:t>trade support to build PNG’s capacity to deal with cross-border trade issues such as quarantine and customs, to help PNG access international markets, and support for PNG’s preparation for hosting APEC in 2018.</w:t>
            </w:r>
          </w:p>
          <w:p w:rsidR="00C839A9" w:rsidRPr="00B5710A" w:rsidRDefault="00C839A9" w:rsidP="00B4261C">
            <w:pPr>
              <w:jc w:val="both"/>
              <w:rPr>
                <w:rFonts w:ascii="Times New Roman" w:hAnsi="Times New Roman" w:cs="Times New Roman"/>
              </w:rPr>
            </w:pPr>
          </w:p>
          <w:p w:rsidR="004C3002" w:rsidRPr="00B5710A" w:rsidDel="003728BF" w:rsidRDefault="00B712C6" w:rsidP="00036135">
            <w:pPr>
              <w:pBdr>
                <w:bottom w:val="single" w:sz="4" w:space="1" w:color="auto"/>
              </w:pBdr>
              <w:jc w:val="both"/>
              <w:rPr>
                <w:rFonts w:ascii="Times New Roman" w:hAnsi="Times New Roman" w:cs="Times New Roman"/>
              </w:rPr>
            </w:pPr>
            <w:r w:rsidRPr="00B5710A">
              <w:rPr>
                <w:rFonts w:ascii="Times New Roman" w:hAnsi="Times New Roman" w:cs="Times New Roman"/>
              </w:rPr>
              <w:t xml:space="preserve">An innovation fund to encourage social entrepreneurship and business-led investments through a competitive process. The fund would build on the approach of the Incentive Fund and Enterprise Challenge Fund pilot program, aiming to work with well performing institutions and offering </w:t>
            </w:r>
            <w:r w:rsidRPr="00B5710A">
              <w:rPr>
                <w:rFonts w:ascii="Times New Roman" w:hAnsi="Times New Roman" w:cs="Times New Roman"/>
              </w:rPr>
              <w:lastRenderedPageBreak/>
              <w:t>innovative solutions to stim</w:t>
            </w:r>
            <w:r w:rsidR="00036135">
              <w:rPr>
                <w:rFonts w:ascii="Times New Roman" w:hAnsi="Times New Roman" w:cs="Times New Roman"/>
              </w:rPr>
              <w:t>u</w:t>
            </w:r>
            <w:r w:rsidRPr="00B5710A">
              <w:rPr>
                <w:rFonts w:ascii="Times New Roman" w:hAnsi="Times New Roman" w:cs="Times New Roman"/>
              </w:rPr>
              <w:t>late economic development and support women’s economic empowerment.</w:t>
            </w:r>
          </w:p>
        </w:tc>
      </w:tr>
      <w:tr w:rsidR="00F308DA" w:rsidRPr="007210B2" w:rsidTr="004C3002">
        <w:trPr>
          <w:trHeight w:val="1303"/>
        </w:trPr>
        <w:tc>
          <w:tcPr>
            <w:tcW w:w="9747" w:type="dxa"/>
            <w:tcBorders>
              <w:top w:val="single" w:sz="4" w:space="0" w:color="auto"/>
              <w:bottom w:val="nil"/>
            </w:tcBorders>
          </w:tcPr>
          <w:p w:rsidR="004E33BE" w:rsidRDefault="00F308DA" w:rsidP="00B4261C">
            <w:pPr>
              <w:jc w:val="both"/>
              <w:rPr>
                <w:rFonts w:ascii="Times New Roman" w:hAnsi="Times New Roman" w:cs="Times New Roman"/>
                <w:bCs/>
                <w:noProof/>
                <w:lang w:eastAsia="en-AU"/>
              </w:rPr>
            </w:pPr>
            <w:r w:rsidRPr="00B5710A">
              <w:rPr>
                <w:rFonts w:ascii="Times New Roman" w:hAnsi="Times New Roman" w:cs="Times New Roman"/>
              </w:rPr>
              <w:lastRenderedPageBreak/>
              <w:t xml:space="preserve">Increased support to technical </w:t>
            </w:r>
            <w:r w:rsidR="0091574B" w:rsidRPr="00B5710A">
              <w:rPr>
                <w:rFonts w:ascii="Times New Roman" w:hAnsi="Times New Roman" w:cs="Times New Roman"/>
              </w:rPr>
              <w:t xml:space="preserve">vocational </w:t>
            </w:r>
            <w:r w:rsidRPr="00B5710A">
              <w:rPr>
                <w:rFonts w:ascii="Times New Roman" w:hAnsi="Times New Roman" w:cs="Times New Roman"/>
              </w:rPr>
              <w:t xml:space="preserve">education </w:t>
            </w:r>
            <w:r w:rsidR="0091574B">
              <w:rPr>
                <w:rFonts w:ascii="Times New Roman" w:hAnsi="Times New Roman" w:cs="Times New Roman"/>
              </w:rPr>
              <w:t xml:space="preserve">and </w:t>
            </w:r>
            <w:r w:rsidRPr="00B5710A">
              <w:rPr>
                <w:rFonts w:ascii="Times New Roman" w:hAnsi="Times New Roman" w:cs="Times New Roman"/>
              </w:rPr>
              <w:t xml:space="preserve">training </w:t>
            </w:r>
            <w:r w:rsidR="0091574B">
              <w:rPr>
                <w:rFonts w:ascii="Times New Roman" w:hAnsi="Times New Roman" w:cs="Times New Roman"/>
              </w:rPr>
              <w:t xml:space="preserve">(TVET) </w:t>
            </w:r>
            <w:r w:rsidRPr="00B5710A">
              <w:rPr>
                <w:rFonts w:ascii="Times New Roman" w:hAnsi="Times New Roman" w:cs="Times New Roman"/>
              </w:rPr>
              <w:t>for skilled human capital. An enhanced investment in the TVET sector would be welcomed by the private sector and could be a key hub in enhanced collaboration with business. Increased investment in TVET would complement the European Union’s expected niche support</w:t>
            </w:r>
            <w:r w:rsidR="00145B45" w:rsidRPr="00B5710A">
              <w:rPr>
                <w:rFonts w:ascii="Times New Roman" w:hAnsi="Times New Roman" w:cs="Times New Roman"/>
              </w:rPr>
              <w:t xml:space="preserve"> and Australian aid support for education quality, </w:t>
            </w:r>
            <w:r w:rsidR="00145B45" w:rsidRPr="00B5710A">
              <w:rPr>
                <w:rFonts w:ascii="Times New Roman" w:hAnsi="Times New Roman" w:cs="Times New Roman"/>
                <w:bCs/>
                <w:noProof/>
                <w:lang w:eastAsia="en-AU"/>
              </w:rPr>
              <w:t>teachers and school infrastructure enabling more school leavers to be literate and capable of engagment in the cash economy.</w:t>
            </w:r>
          </w:p>
          <w:p w:rsidR="00C839A9" w:rsidRPr="00B5710A" w:rsidRDefault="00C839A9" w:rsidP="00B4261C">
            <w:pPr>
              <w:jc w:val="both"/>
              <w:rPr>
                <w:rFonts w:ascii="Times New Roman" w:hAnsi="Times New Roman" w:cs="Times New Roman"/>
              </w:rPr>
            </w:pPr>
          </w:p>
        </w:tc>
      </w:tr>
      <w:tr w:rsidR="00F308DA" w:rsidRPr="007210B2" w:rsidTr="004C3002">
        <w:trPr>
          <w:trHeight w:val="999"/>
        </w:trPr>
        <w:tc>
          <w:tcPr>
            <w:tcW w:w="9747" w:type="dxa"/>
            <w:tcBorders>
              <w:top w:val="nil"/>
              <w:bottom w:val="single" w:sz="4" w:space="0" w:color="auto"/>
            </w:tcBorders>
          </w:tcPr>
          <w:p w:rsidR="00F308DA" w:rsidRPr="00B5710A" w:rsidRDefault="00F308DA" w:rsidP="00B4261C">
            <w:pPr>
              <w:jc w:val="both"/>
              <w:rPr>
                <w:rFonts w:ascii="Times New Roman" w:hAnsi="Times New Roman" w:cs="Times New Roman"/>
              </w:rPr>
            </w:pPr>
            <w:r w:rsidRPr="00B5710A">
              <w:rPr>
                <w:rFonts w:ascii="Times New Roman" w:hAnsi="Times New Roman" w:cs="Times New Roman"/>
              </w:rPr>
              <w:t xml:space="preserve">Targeted investments to improve economic literacy among graduates and local research institutions, to provide the private and public sectors the critical capacity needed to undertake policy-relevant economic inquiry required to drive economic reform at the national level. </w:t>
            </w:r>
          </w:p>
        </w:tc>
      </w:tr>
      <w:tr w:rsidR="00F308DA" w:rsidRPr="007210B2" w:rsidTr="00856721">
        <w:trPr>
          <w:trHeight w:val="237"/>
        </w:trPr>
        <w:tc>
          <w:tcPr>
            <w:tcW w:w="9747" w:type="dxa"/>
            <w:tcBorders>
              <w:top w:val="single" w:sz="4" w:space="0" w:color="auto"/>
              <w:bottom w:val="nil"/>
            </w:tcBorders>
          </w:tcPr>
          <w:p w:rsidR="00F308DA" w:rsidRPr="007210B2" w:rsidRDefault="00F308DA" w:rsidP="00B4261C">
            <w:pPr>
              <w:keepNext/>
              <w:jc w:val="both"/>
              <w:rPr>
                <w:rFonts w:ascii="Times New Roman" w:eastAsia="Times New Roman" w:hAnsi="Times New Roman" w:cs="Times New Roman"/>
                <w:u w:val="single"/>
              </w:rPr>
            </w:pPr>
            <w:r w:rsidRPr="007210B2">
              <w:rPr>
                <w:rFonts w:ascii="Times New Roman" w:hAnsi="Times New Roman" w:cs="Times New Roman"/>
                <w:b/>
              </w:rPr>
              <w:t>Infrastructure</w:t>
            </w:r>
          </w:p>
        </w:tc>
      </w:tr>
      <w:tr w:rsidR="00F308DA" w:rsidRPr="007210B2" w:rsidTr="00C35DED">
        <w:trPr>
          <w:trHeight w:val="1121"/>
        </w:trPr>
        <w:tc>
          <w:tcPr>
            <w:tcW w:w="9747" w:type="dxa"/>
            <w:tcBorders>
              <w:top w:val="nil"/>
              <w:bottom w:val="nil"/>
            </w:tcBorders>
          </w:tcPr>
          <w:p w:rsidR="00F308DA" w:rsidRPr="00B5710A" w:rsidRDefault="00F308DA" w:rsidP="00B4261C">
            <w:pPr>
              <w:jc w:val="both"/>
              <w:rPr>
                <w:rFonts w:ascii="Times New Roman" w:hAnsi="Times New Roman" w:cs="Times New Roman"/>
                <w:b/>
              </w:rPr>
            </w:pPr>
            <w:r w:rsidRPr="00B5710A">
              <w:rPr>
                <w:rFonts w:ascii="Times New Roman" w:hAnsi="Times New Roman" w:cs="Times New Roman"/>
              </w:rPr>
              <w:t xml:space="preserve">An Economic Infrastructure Advice Facility to provide advice to the PNG Government on scoping, planning and financing the infrastructure needed to support economic growth, and required reforms, including SOE reforms and privatisation. It would also be available to advise on private-sector partnerships to leverage domestic and international finance for key development projects. </w:t>
            </w:r>
          </w:p>
        </w:tc>
      </w:tr>
      <w:tr w:rsidR="00F308DA" w:rsidRPr="007210B2" w:rsidTr="00F308DA">
        <w:trPr>
          <w:trHeight w:val="896"/>
        </w:trPr>
        <w:tc>
          <w:tcPr>
            <w:tcW w:w="9747" w:type="dxa"/>
            <w:tcBorders>
              <w:top w:val="nil"/>
            </w:tcBorders>
          </w:tcPr>
          <w:p w:rsidR="00F308DA" w:rsidRPr="00B5710A" w:rsidRDefault="00F308DA" w:rsidP="00B4261C">
            <w:pPr>
              <w:jc w:val="both"/>
              <w:rPr>
                <w:rFonts w:ascii="Times New Roman" w:hAnsi="Times New Roman" w:cs="Times New Roman"/>
              </w:rPr>
            </w:pPr>
            <w:r w:rsidRPr="00B5710A">
              <w:rPr>
                <w:rFonts w:ascii="Times New Roman" w:hAnsi="Times New Roman" w:cs="Times New Roman"/>
              </w:rPr>
              <w:t xml:space="preserve">Shifting aid investments from road maintenance to the </w:t>
            </w:r>
            <w:r w:rsidR="00BF0E9A" w:rsidRPr="00B5710A">
              <w:rPr>
                <w:rFonts w:ascii="Times New Roman" w:hAnsi="Times New Roman" w:cs="Times New Roman"/>
              </w:rPr>
              <w:t>re</w:t>
            </w:r>
            <w:r w:rsidRPr="00B5710A">
              <w:rPr>
                <w:rFonts w:ascii="Times New Roman" w:hAnsi="Times New Roman" w:cs="Times New Roman"/>
              </w:rPr>
              <w:t xml:space="preserve">construction </w:t>
            </w:r>
            <w:r w:rsidR="00BF0E9A" w:rsidRPr="00B5710A">
              <w:rPr>
                <w:rFonts w:ascii="Times New Roman" w:hAnsi="Times New Roman" w:cs="Times New Roman"/>
              </w:rPr>
              <w:t xml:space="preserve">and upgrading </w:t>
            </w:r>
            <w:r w:rsidRPr="00B5710A">
              <w:rPr>
                <w:rFonts w:ascii="Times New Roman" w:hAnsi="Times New Roman" w:cs="Times New Roman"/>
              </w:rPr>
              <w:t xml:space="preserve">of key </w:t>
            </w:r>
            <w:r w:rsidR="00BF0E9A" w:rsidRPr="00B5710A">
              <w:rPr>
                <w:rFonts w:ascii="Times New Roman" w:hAnsi="Times New Roman" w:cs="Times New Roman"/>
              </w:rPr>
              <w:t xml:space="preserve">economic </w:t>
            </w:r>
            <w:r w:rsidRPr="00B5710A">
              <w:rPr>
                <w:rFonts w:ascii="Times New Roman" w:hAnsi="Times New Roman" w:cs="Times New Roman"/>
              </w:rPr>
              <w:t xml:space="preserve">roads critical to supporting the PNG economy, </w:t>
            </w:r>
            <w:r w:rsidR="00145B45" w:rsidRPr="00B5710A">
              <w:rPr>
                <w:rFonts w:ascii="Times New Roman" w:hAnsi="Times New Roman" w:cs="Times New Roman"/>
              </w:rPr>
              <w:t xml:space="preserve">including </w:t>
            </w:r>
            <w:r w:rsidRPr="00B5710A">
              <w:rPr>
                <w:rFonts w:ascii="Times New Roman" w:hAnsi="Times New Roman" w:cs="Times New Roman"/>
              </w:rPr>
              <w:t>the Ramu and Highlands Highways as PNG agrees to increase its funding for road maintenance.</w:t>
            </w:r>
          </w:p>
        </w:tc>
      </w:tr>
      <w:tr w:rsidR="00F308DA" w:rsidRPr="007210B2" w:rsidTr="004E33BE">
        <w:trPr>
          <w:trHeight w:val="1531"/>
        </w:trPr>
        <w:tc>
          <w:tcPr>
            <w:tcW w:w="9747" w:type="dxa"/>
          </w:tcPr>
          <w:p w:rsidR="00F308DA" w:rsidRPr="007210B2" w:rsidRDefault="00F308DA" w:rsidP="00B4261C">
            <w:pPr>
              <w:jc w:val="both"/>
              <w:rPr>
                <w:rFonts w:ascii="Times New Roman" w:hAnsi="Times New Roman" w:cs="Times New Roman"/>
              </w:rPr>
            </w:pPr>
            <w:r w:rsidRPr="007210B2">
              <w:rPr>
                <w:rFonts w:ascii="Times New Roman" w:hAnsi="Times New Roman" w:cs="Times New Roman"/>
                <w:b/>
              </w:rPr>
              <w:t>Women’s leadership and economic empowerment</w:t>
            </w:r>
            <w:r w:rsidRPr="007210B2">
              <w:rPr>
                <w:rFonts w:ascii="Times New Roman" w:hAnsi="Times New Roman" w:cs="Times New Roman"/>
              </w:rPr>
              <w:t xml:space="preserve"> </w:t>
            </w:r>
          </w:p>
          <w:p w:rsidR="00F308DA" w:rsidRPr="007210B2" w:rsidRDefault="00F308DA" w:rsidP="00B4261C">
            <w:pPr>
              <w:jc w:val="both"/>
              <w:rPr>
                <w:rFonts w:ascii="Times New Roman" w:hAnsi="Times New Roman" w:cs="Times New Roman"/>
                <w:b/>
              </w:rPr>
            </w:pPr>
            <w:r w:rsidRPr="007210B2">
              <w:rPr>
                <w:rFonts w:ascii="Times New Roman" w:hAnsi="Times New Roman" w:cs="Times New Roman"/>
              </w:rPr>
              <w:t>Expanded support to women’s economic empowerment in PNG, including through the Australia-Pacific Women Parliamentary Partnerships program; supporting access to adequate services for survivors of family and sexual violence; addressing constraints to women’s effective participation in labour markets and agribusiness through financial literacy, microfinance, and building markets.</w:t>
            </w:r>
          </w:p>
        </w:tc>
      </w:tr>
      <w:tr w:rsidR="00F308DA" w:rsidRPr="007210B2" w:rsidTr="00F308DA">
        <w:tc>
          <w:tcPr>
            <w:tcW w:w="9747" w:type="dxa"/>
          </w:tcPr>
          <w:p w:rsidR="00F308DA" w:rsidRPr="007210B2" w:rsidRDefault="00F308DA" w:rsidP="00B4261C">
            <w:pPr>
              <w:jc w:val="both"/>
              <w:rPr>
                <w:rFonts w:ascii="Times New Roman" w:hAnsi="Times New Roman" w:cs="Times New Roman"/>
              </w:rPr>
            </w:pPr>
            <w:r w:rsidRPr="007210B2">
              <w:rPr>
                <w:rFonts w:ascii="Times New Roman" w:hAnsi="Times New Roman" w:cs="Times New Roman"/>
                <w:b/>
              </w:rPr>
              <w:t>Sports</w:t>
            </w:r>
            <w:r w:rsidRPr="007210B2">
              <w:rPr>
                <w:rFonts w:ascii="Times New Roman" w:hAnsi="Times New Roman" w:cs="Times New Roman"/>
              </w:rPr>
              <w:t xml:space="preserve"> </w:t>
            </w:r>
          </w:p>
          <w:p w:rsidR="00F308DA" w:rsidRPr="007210B2" w:rsidRDefault="00F308DA" w:rsidP="00B4261C">
            <w:pPr>
              <w:jc w:val="both"/>
              <w:rPr>
                <w:rFonts w:ascii="Times New Roman" w:hAnsi="Times New Roman" w:cs="Times New Roman"/>
              </w:rPr>
            </w:pPr>
            <w:r w:rsidRPr="007210B2">
              <w:rPr>
                <w:rFonts w:ascii="Times New Roman" w:hAnsi="Times New Roman" w:cs="Times New Roman"/>
              </w:rPr>
              <w:t>Harnessing the political leverage, public diplomacy and nation building opportunities through new development-through-sport investment in PNG, including partnering with local communities and the private sector.</w:t>
            </w:r>
          </w:p>
        </w:tc>
      </w:tr>
      <w:tr w:rsidR="00D1603C" w:rsidRPr="007210B2" w:rsidTr="00734CBE">
        <w:trPr>
          <w:trHeight w:val="585"/>
        </w:trPr>
        <w:tc>
          <w:tcPr>
            <w:tcW w:w="9747" w:type="dxa"/>
          </w:tcPr>
          <w:p w:rsidR="00D1603C" w:rsidRPr="007210B2" w:rsidRDefault="00D1603C" w:rsidP="00B4261C">
            <w:pPr>
              <w:jc w:val="both"/>
              <w:rPr>
                <w:rFonts w:ascii="Times New Roman" w:hAnsi="Times New Roman" w:cs="Times New Roman"/>
                <w:b/>
              </w:rPr>
            </w:pPr>
            <w:r w:rsidRPr="007210B2">
              <w:rPr>
                <w:rFonts w:ascii="Times New Roman" w:hAnsi="Times New Roman" w:cs="Times New Roman"/>
                <w:b/>
              </w:rPr>
              <w:t>Bougainville</w:t>
            </w:r>
          </w:p>
          <w:p w:rsidR="00D1603C" w:rsidRPr="007210B2" w:rsidRDefault="00D1603C" w:rsidP="00B4261C">
            <w:pPr>
              <w:jc w:val="both"/>
              <w:rPr>
                <w:rFonts w:ascii="Times New Roman" w:hAnsi="Times New Roman" w:cs="Times New Roman"/>
                <w:b/>
              </w:rPr>
            </w:pPr>
            <w:r w:rsidRPr="007210B2">
              <w:rPr>
                <w:rFonts w:ascii="Times New Roman" w:hAnsi="Times New Roman" w:cs="Times New Roman"/>
              </w:rPr>
              <w:t>Additional funding for a separate Bougainville-specific suite of activities designed to support governance, economic development, the peace process and preparations for the referendum.</w:t>
            </w:r>
          </w:p>
        </w:tc>
      </w:tr>
    </w:tbl>
    <w:p w:rsidR="00B4261C" w:rsidRPr="007210B2" w:rsidRDefault="00B4261C" w:rsidP="00B4261C">
      <w:pPr>
        <w:keepNext/>
        <w:widowControl w:val="0"/>
        <w:jc w:val="both"/>
        <w:rPr>
          <w:b/>
        </w:rPr>
      </w:pPr>
    </w:p>
    <w:p w:rsidR="005C28C1" w:rsidRDefault="005C28C1">
      <w:pPr>
        <w:rPr>
          <w:b/>
        </w:rPr>
      </w:pPr>
      <w:r>
        <w:rPr>
          <w:b/>
        </w:rPr>
        <w:br w:type="page"/>
      </w:r>
    </w:p>
    <w:p w:rsidR="0078597D" w:rsidRPr="007210B2" w:rsidRDefault="0078597D" w:rsidP="00B4261C">
      <w:pPr>
        <w:keepNext/>
        <w:widowControl w:val="0"/>
        <w:jc w:val="both"/>
        <w:rPr>
          <w:b/>
        </w:rPr>
      </w:pPr>
      <w:r w:rsidRPr="007210B2">
        <w:rPr>
          <w:b/>
        </w:rPr>
        <w:lastRenderedPageBreak/>
        <w:t>Attachment A</w:t>
      </w:r>
    </w:p>
    <w:p w:rsidR="005873C8" w:rsidRPr="007210B2" w:rsidRDefault="0078597D" w:rsidP="00B4261C">
      <w:pPr>
        <w:jc w:val="both"/>
        <w:rPr>
          <w:b/>
        </w:rPr>
      </w:pPr>
      <w:r w:rsidRPr="007210B2">
        <w:rPr>
          <w:b/>
        </w:rPr>
        <w:t>List of consultations</w:t>
      </w:r>
      <w:r w:rsidR="00D005AD" w:rsidRPr="007210B2">
        <w:rPr>
          <w:b/>
        </w:rPr>
        <w:t xml:space="preserve"> undertaken in </w:t>
      </w:r>
      <w:r w:rsidR="005873C8" w:rsidRPr="007210B2">
        <w:rPr>
          <w:b/>
        </w:rPr>
        <w:t>PNG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5873C8" w:rsidRPr="007210B2" w:rsidTr="005873C8">
        <w:tc>
          <w:tcPr>
            <w:tcW w:w="4621" w:type="dxa"/>
            <w:hideMark/>
          </w:tcPr>
          <w:p w:rsidR="005873C8" w:rsidRPr="007210B2" w:rsidRDefault="003366EA" w:rsidP="007210B2">
            <w:pPr>
              <w:rPr>
                <w:rFonts w:ascii="Times New Roman" w:hAnsi="Times New Roman" w:cs="Times New Roman"/>
                <w:i/>
              </w:rPr>
            </w:pPr>
            <w:r w:rsidRPr="007210B2">
              <w:rPr>
                <w:rFonts w:ascii="Times New Roman" w:hAnsi="Times New Roman" w:cs="Times New Roman"/>
                <w:i/>
              </w:rPr>
              <w:br/>
            </w:r>
            <w:r w:rsidR="005873C8" w:rsidRPr="007210B2">
              <w:rPr>
                <w:rFonts w:ascii="Times New Roman" w:hAnsi="Times New Roman" w:cs="Times New Roman"/>
                <w:i/>
              </w:rPr>
              <w:t xml:space="preserve">Business </w:t>
            </w:r>
          </w:p>
          <w:p w:rsidR="005873C8" w:rsidRPr="007210B2" w:rsidRDefault="005873C8" w:rsidP="007210B2">
            <w:pPr>
              <w:rPr>
                <w:rFonts w:ascii="Times New Roman" w:hAnsi="Times New Roman" w:cs="Times New Roman"/>
              </w:rPr>
            </w:pPr>
            <w:r w:rsidRPr="007210B2">
              <w:rPr>
                <w:rFonts w:ascii="Times New Roman" w:hAnsi="Times New Roman" w:cs="Times New Roman"/>
              </w:rPr>
              <w:t>Port Moresby Chamber of Commerce</w:t>
            </w:r>
            <w:r w:rsidR="003366EA" w:rsidRPr="007210B2">
              <w:rPr>
                <w:rFonts w:ascii="Times New Roman" w:hAnsi="Times New Roman" w:cs="Times New Roman"/>
              </w:rPr>
              <w:t xml:space="preserve"> and Industry</w:t>
            </w:r>
          </w:p>
          <w:p w:rsidR="005873C8" w:rsidRPr="007210B2" w:rsidRDefault="005873C8" w:rsidP="007210B2">
            <w:pPr>
              <w:tabs>
                <w:tab w:val="right" w:pos="2470"/>
              </w:tabs>
              <w:rPr>
                <w:rFonts w:ascii="Times New Roman" w:hAnsi="Times New Roman" w:cs="Times New Roman"/>
              </w:rPr>
            </w:pPr>
            <w:r w:rsidRPr="007210B2">
              <w:rPr>
                <w:rFonts w:ascii="Times New Roman" w:hAnsi="Times New Roman" w:cs="Times New Roman"/>
              </w:rPr>
              <w:t>Lae Chamber of Commerce</w:t>
            </w:r>
          </w:p>
          <w:p w:rsidR="005873C8" w:rsidRPr="007210B2" w:rsidRDefault="005873C8" w:rsidP="007210B2">
            <w:pPr>
              <w:tabs>
                <w:tab w:val="right" w:pos="2470"/>
              </w:tabs>
              <w:rPr>
                <w:rFonts w:ascii="Times New Roman" w:hAnsi="Times New Roman" w:cs="Times New Roman"/>
              </w:rPr>
            </w:pPr>
            <w:r w:rsidRPr="007210B2">
              <w:rPr>
                <w:rFonts w:ascii="Times New Roman" w:hAnsi="Times New Roman" w:cs="Times New Roman"/>
              </w:rPr>
              <w:t>Oilsearch and Oilsearch Foundation</w:t>
            </w:r>
          </w:p>
          <w:p w:rsidR="005873C8" w:rsidRPr="007210B2" w:rsidRDefault="005873C8" w:rsidP="007210B2">
            <w:pPr>
              <w:rPr>
                <w:rFonts w:ascii="Times New Roman" w:hAnsi="Times New Roman" w:cs="Times New Roman"/>
              </w:rPr>
            </w:pPr>
            <w:r w:rsidRPr="007210B2">
              <w:rPr>
                <w:rFonts w:ascii="Times New Roman" w:hAnsi="Times New Roman" w:cs="Times New Roman"/>
              </w:rPr>
              <w:t>Newcrest</w:t>
            </w:r>
          </w:p>
          <w:p w:rsidR="005873C8" w:rsidRPr="007210B2" w:rsidRDefault="005873C8" w:rsidP="007210B2">
            <w:pPr>
              <w:rPr>
                <w:rFonts w:ascii="Times New Roman" w:hAnsi="Times New Roman" w:cs="Times New Roman"/>
              </w:rPr>
            </w:pPr>
            <w:r w:rsidRPr="007210B2">
              <w:rPr>
                <w:rFonts w:ascii="Times New Roman" w:hAnsi="Times New Roman" w:cs="Times New Roman"/>
              </w:rPr>
              <w:t>Business Council of PNG</w:t>
            </w:r>
          </w:p>
          <w:p w:rsidR="005873C8" w:rsidRPr="007210B2" w:rsidRDefault="005873C8" w:rsidP="007210B2">
            <w:pPr>
              <w:rPr>
                <w:rFonts w:ascii="Times New Roman" w:hAnsi="Times New Roman" w:cs="Times New Roman"/>
              </w:rPr>
            </w:pPr>
            <w:r w:rsidRPr="007210B2">
              <w:rPr>
                <w:rFonts w:ascii="Times New Roman" w:hAnsi="Times New Roman" w:cs="Times New Roman"/>
              </w:rPr>
              <w:t>Exxon Mobil</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SP Brewery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PNG Manufacturing Council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Chamber of Mines and Petroleum </w:t>
            </w:r>
          </w:p>
          <w:p w:rsidR="005873C8" w:rsidRPr="007210B2" w:rsidRDefault="005873C8" w:rsidP="007210B2">
            <w:pPr>
              <w:rPr>
                <w:rFonts w:ascii="Times New Roman" w:hAnsi="Times New Roman" w:cs="Times New Roman"/>
              </w:rPr>
            </w:pPr>
            <w:r w:rsidRPr="007210B2">
              <w:rPr>
                <w:rFonts w:ascii="Times New Roman" w:hAnsi="Times New Roman" w:cs="Times New Roman"/>
              </w:rPr>
              <w:t>Palm oil council</w:t>
            </w:r>
          </w:p>
          <w:p w:rsidR="005873C8" w:rsidRPr="007210B2" w:rsidRDefault="005873C8" w:rsidP="007210B2">
            <w:pPr>
              <w:rPr>
                <w:rFonts w:ascii="Times New Roman" w:hAnsi="Times New Roman" w:cs="Times New Roman"/>
              </w:rPr>
            </w:pPr>
            <w:r w:rsidRPr="007210B2">
              <w:rPr>
                <w:rFonts w:ascii="Times New Roman" w:hAnsi="Times New Roman" w:cs="Times New Roman"/>
              </w:rPr>
              <w:t>Oil Palm Research Association</w:t>
            </w:r>
          </w:p>
          <w:p w:rsidR="003366EA" w:rsidRPr="007210B2" w:rsidRDefault="003366EA" w:rsidP="007210B2">
            <w:pPr>
              <w:rPr>
                <w:rFonts w:ascii="Times New Roman" w:hAnsi="Times New Roman" w:cs="Times New Roman"/>
              </w:rPr>
            </w:pPr>
            <w:r w:rsidRPr="007210B2">
              <w:rPr>
                <w:rFonts w:ascii="Times New Roman" w:hAnsi="Times New Roman" w:cs="Times New Roman"/>
              </w:rPr>
              <w:t>Digicel Foundation</w:t>
            </w:r>
          </w:p>
          <w:p w:rsidR="005873C8" w:rsidRPr="007210B2" w:rsidRDefault="005873C8" w:rsidP="007210B2">
            <w:pPr>
              <w:rPr>
                <w:rFonts w:ascii="Times New Roman" w:hAnsi="Times New Roman" w:cs="Times New Roman"/>
                <w:i/>
              </w:rPr>
            </w:pPr>
            <w:r w:rsidRPr="007210B2">
              <w:rPr>
                <w:rFonts w:ascii="Times New Roman" w:hAnsi="Times New Roman" w:cs="Times New Roman"/>
                <w:i/>
              </w:rPr>
              <w:t>International Development Agencies</w:t>
            </w:r>
          </w:p>
          <w:p w:rsidR="005873C8" w:rsidRPr="007210B2" w:rsidRDefault="005873C8" w:rsidP="007210B2">
            <w:pPr>
              <w:rPr>
                <w:rFonts w:ascii="Times New Roman" w:hAnsi="Times New Roman" w:cs="Times New Roman"/>
              </w:rPr>
            </w:pPr>
            <w:r w:rsidRPr="007210B2">
              <w:rPr>
                <w:rFonts w:ascii="Times New Roman" w:hAnsi="Times New Roman" w:cs="Times New Roman"/>
              </w:rPr>
              <w:t>Asian Development Bank, PNG</w:t>
            </w:r>
          </w:p>
          <w:p w:rsidR="005873C8" w:rsidRPr="007210B2" w:rsidRDefault="005873C8" w:rsidP="007210B2">
            <w:pPr>
              <w:rPr>
                <w:rFonts w:ascii="Times New Roman" w:hAnsi="Times New Roman" w:cs="Times New Roman"/>
              </w:rPr>
            </w:pPr>
            <w:r w:rsidRPr="007210B2">
              <w:rPr>
                <w:rFonts w:ascii="Times New Roman" w:hAnsi="Times New Roman" w:cs="Times New Roman"/>
              </w:rPr>
              <w:t>World Bank</w:t>
            </w:r>
          </w:p>
          <w:p w:rsidR="005873C8" w:rsidRPr="007210B2" w:rsidRDefault="005873C8" w:rsidP="007210B2">
            <w:pPr>
              <w:rPr>
                <w:rFonts w:ascii="Times New Roman" w:hAnsi="Times New Roman" w:cs="Times New Roman"/>
              </w:rPr>
            </w:pPr>
            <w:r w:rsidRPr="007210B2">
              <w:rPr>
                <w:rFonts w:ascii="Times New Roman" w:hAnsi="Times New Roman" w:cs="Times New Roman"/>
              </w:rPr>
              <w:t>International Finance Corporation</w:t>
            </w:r>
          </w:p>
          <w:p w:rsidR="005873C8" w:rsidRPr="007210B2" w:rsidRDefault="005873C8" w:rsidP="007210B2">
            <w:pPr>
              <w:rPr>
                <w:rFonts w:ascii="Times New Roman" w:hAnsi="Times New Roman" w:cs="Times New Roman"/>
                <w:i/>
              </w:rPr>
            </w:pPr>
            <w:r w:rsidRPr="007210B2">
              <w:rPr>
                <w:rFonts w:ascii="Times New Roman" w:hAnsi="Times New Roman" w:cs="Times New Roman"/>
              </w:rPr>
              <w:t>UNDP</w:t>
            </w:r>
          </w:p>
        </w:tc>
        <w:tc>
          <w:tcPr>
            <w:tcW w:w="4621" w:type="dxa"/>
          </w:tcPr>
          <w:p w:rsidR="00D005AD" w:rsidRPr="007210B2" w:rsidRDefault="00D005AD" w:rsidP="007210B2">
            <w:pPr>
              <w:rPr>
                <w:rFonts w:ascii="Times New Roman" w:hAnsi="Times New Roman" w:cs="Times New Roman"/>
                <w:i/>
              </w:rPr>
            </w:pPr>
          </w:p>
          <w:p w:rsidR="005873C8" w:rsidRPr="007210B2" w:rsidRDefault="005873C8" w:rsidP="007210B2">
            <w:pPr>
              <w:rPr>
                <w:rFonts w:ascii="Times New Roman" w:hAnsi="Times New Roman" w:cs="Times New Roman"/>
                <w:i/>
              </w:rPr>
            </w:pPr>
            <w:r w:rsidRPr="007210B2">
              <w:rPr>
                <w:rFonts w:ascii="Times New Roman" w:hAnsi="Times New Roman" w:cs="Times New Roman"/>
                <w:i/>
              </w:rPr>
              <w:t>PNG Government</w:t>
            </w:r>
          </w:p>
          <w:p w:rsidR="005873C8" w:rsidRPr="007210B2" w:rsidRDefault="005873C8" w:rsidP="007210B2">
            <w:pPr>
              <w:rPr>
                <w:rFonts w:ascii="Times New Roman" w:hAnsi="Times New Roman" w:cs="Times New Roman"/>
              </w:rPr>
            </w:pPr>
            <w:r w:rsidRPr="007210B2">
              <w:rPr>
                <w:rFonts w:ascii="Times New Roman" w:hAnsi="Times New Roman" w:cs="Times New Roman"/>
              </w:rPr>
              <w:t>Minister for Planning</w:t>
            </w:r>
          </w:p>
          <w:p w:rsidR="005873C8" w:rsidRPr="007210B2" w:rsidRDefault="005873C8" w:rsidP="007210B2">
            <w:pPr>
              <w:rPr>
                <w:rFonts w:ascii="Times New Roman" w:hAnsi="Times New Roman" w:cs="Times New Roman"/>
              </w:rPr>
            </w:pPr>
            <w:r w:rsidRPr="007210B2">
              <w:rPr>
                <w:rFonts w:ascii="Times New Roman" w:hAnsi="Times New Roman" w:cs="Times New Roman"/>
              </w:rPr>
              <w:t>Minister for Transport</w:t>
            </w:r>
          </w:p>
          <w:p w:rsidR="005873C8" w:rsidRPr="007210B2" w:rsidRDefault="005873C8" w:rsidP="007210B2">
            <w:pPr>
              <w:rPr>
                <w:rFonts w:ascii="Times New Roman" w:hAnsi="Times New Roman" w:cs="Times New Roman"/>
              </w:rPr>
            </w:pPr>
            <w:r w:rsidRPr="007210B2">
              <w:rPr>
                <w:rFonts w:ascii="Times New Roman" w:hAnsi="Times New Roman" w:cs="Times New Roman"/>
              </w:rPr>
              <w:t>Minister for Works and Implementation</w:t>
            </w:r>
          </w:p>
          <w:p w:rsidR="005873C8" w:rsidRPr="007210B2" w:rsidRDefault="005873C8" w:rsidP="007210B2">
            <w:pPr>
              <w:rPr>
                <w:rFonts w:ascii="Times New Roman" w:hAnsi="Times New Roman" w:cs="Times New Roman"/>
              </w:rPr>
            </w:pPr>
            <w:r w:rsidRPr="007210B2">
              <w:rPr>
                <w:rFonts w:ascii="Times New Roman" w:hAnsi="Times New Roman" w:cs="Times New Roman"/>
              </w:rPr>
              <w:t>Minister for Health and HIV/AIDS</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Minister for Justice and Attorney General </w:t>
            </w:r>
          </w:p>
          <w:p w:rsidR="005873C8" w:rsidRPr="007210B2" w:rsidRDefault="005873C8" w:rsidP="007210B2">
            <w:pPr>
              <w:rPr>
                <w:rFonts w:ascii="Times New Roman" w:hAnsi="Times New Roman" w:cs="Times New Roman"/>
              </w:rPr>
            </w:pPr>
            <w:r w:rsidRPr="007210B2">
              <w:rPr>
                <w:rFonts w:ascii="Times New Roman" w:hAnsi="Times New Roman" w:cs="Times New Roman"/>
              </w:rPr>
              <w:t>Minister for Higher Education</w:t>
            </w:r>
          </w:p>
          <w:p w:rsidR="005873C8" w:rsidRPr="007210B2" w:rsidRDefault="005873C8" w:rsidP="007210B2">
            <w:pPr>
              <w:rPr>
                <w:rFonts w:ascii="Times New Roman" w:hAnsi="Times New Roman" w:cs="Times New Roman"/>
              </w:rPr>
            </w:pPr>
            <w:r w:rsidRPr="007210B2">
              <w:rPr>
                <w:rFonts w:ascii="Times New Roman" w:hAnsi="Times New Roman" w:cs="Times New Roman"/>
              </w:rPr>
              <w:t>PNG Electoral Commissioner</w:t>
            </w:r>
          </w:p>
          <w:p w:rsidR="005873C8" w:rsidRPr="007210B2" w:rsidRDefault="005873C8" w:rsidP="007210B2">
            <w:pPr>
              <w:rPr>
                <w:rFonts w:ascii="Times New Roman" w:hAnsi="Times New Roman" w:cs="Times New Roman"/>
              </w:rPr>
            </w:pPr>
            <w:r w:rsidRPr="007210B2">
              <w:rPr>
                <w:rFonts w:ascii="Times New Roman" w:hAnsi="Times New Roman" w:cs="Times New Roman"/>
              </w:rPr>
              <w:t>Department of Prime Minister and National Executive Council</w:t>
            </w:r>
          </w:p>
          <w:p w:rsidR="005873C8" w:rsidRPr="007210B2" w:rsidRDefault="005873C8" w:rsidP="007210B2">
            <w:pPr>
              <w:rPr>
                <w:rFonts w:ascii="Times New Roman" w:hAnsi="Times New Roman" w:cs="Times New Roman"/>
              </w:rPr>
            </w:pPr>
            <w:r w:rsidRPr="007210B2">
              <w:rPr>
                <w:rFonts w:ascii="Times New Roman" w:hAnsi="Times New Roman" w:cs="Times New Roman"/>
              </w:rPr>
              <w:t>Department of Finance</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Department of National Planning and Monitoring </w:t>
            </w:r>
          </w:p>
          <w:p w:rsidR="005873C8" w:rsidRPr="007210B2" w:rsidRDefault="005873C8" w:rsidP="007210B2">
            <w:pPr>
              <w:rPr>
                <w:rFonts w:ascii="Times New Roman" w:hAnsi="Times New Roman" w:cs="Times New Roman"/>
              </w:rPr>
            </w:pPr>
            <w:r w:rsidRPr="007210B2">
              <w:rPr>
                <w:rFonts w:ascii="Times New Roman" w:hAnsi="Times New Roman" w:cs="Times New Roman"/>
              </w:rPr>
              <w:t>Department of Works</w:t>
            </w:r>
          </w:p>
          <w:p w:rsidR="005873C8" w:rsidRPr="007210B2" w:rsidRDefault="005873C8" w:rsidP="007210B2">
            <w:pPr>
              <w:rPr>
                <w:rFonts w:ascii="Times New Roman" w:hAnsi="Times New Roman" w:cs="Times New Roman"/>
              </w:rPr>
            </w:pPr>
            <w:r w:rsidRPr="007210B2">
              <w:rPr>
                <w:rFonts w:ascii="Times New Roman" w:hAnsi="Times New Roman" w:cs="Times New Roman"/>
              </w:rPr>
              <w:t>Department of Transport</w:t>
            </w:r>
          </w:p>
          <w:p w:rsidR="005873C8" w:rsidRPr="007210B2" w:rsidRDefault="005873C8" w:rsidP="007210B2">
            <w:pPr>
              <w:rPr>
                <w:rFonts w:ascii="Times New Roman" w:hAnsi="Times New Roman" w:cs="Times New Roman"/>
              </w:rPr>
            </w:pPr>
            <w:r w:rsidRPr="007210B2">
              <w:rPr>
                <w:rFonts w:ascii="Times New Roman" w:hAnsi="Times New Roman" w:cs="Times New Roman"/>
              </w:rPr>
              <w:t>Department of Personal Management Department of Provincial and Local Government Affairs</w:t>
            </w:r>
          </w:p>
          <w:p w:rsidR="005873C8" w:rsidRPr="007210B2" w:rsidRDefault="005873C8" w:rsidP="007210B2">
            <w:pPr>
              <w:rPr>
                <w:rFonts w:ascii="Times New Roman" w:hAnsi="Times New Roman" w:cs="Times New Roman"/>
              </w:rPr>
            </w:pPr>
            <w:r w:rsidRPr="007210B2">
              <w:rPr>
                <w:rFonts w:ascii="Times New Roman" w:hAnsi="Times New Roman" w:cs="Times New Roman"/>
              </w:rPr>
              <w:t>Department of Justice and Attorney General</w:t>
            </w:r>
          </w:p>
          <w:p w:rsidR="005873C8" w:rsidRPr="007210B2" w:rsidRDefault="005873C8" w:rsidP="007210B2">
            <w:pPr>
              <w:rPr>
                <w:rFonts w:ascii="Times New Roman" w:hAnsi="Times New Roman" w:cs="Times New Roman"/>
              </w:rPr>
            </w:pPr>
            <w:r w:rsidRPr="007210B2">
              <w:rPr>
                <w:rFonts w:ascii="Times New Roman" w:hAnsi="Times New Roman" w:cs="Times New Roman"/>
              </w:rPr>
              <w:t>Royal PNG Constabulary</w:t>
            </w:r>
          </w:p>
          <w:p w:rsidR="005873C8" w:rsidRPr="007210B2" w:rsidRDefault="005873C8" w:rsidP="007210B2">
            <w:pPr>
              <w:rPr>
                <w:rFonts w:ascii="Times New Roman" w:hAnsi="Times New Roman" w:cs="Times New Roman"/>
                <w:i/>
              </w:rPr>
            </w:pPr>
          </w:p>
        </w:tc>
      </w:tr>
      <w:tr w:rsidR="005873C8" w:rsidRPr="007210B2" w:rsidTr="005873C8">
        <w:tc>
          <w:tcPr>
            <w:tcW w:w="4621" w:type="dxa"/>
          </w:tcPr>
          <w:p w:rsidR="005873C8" w:rsidRPr="007210B2" w:rsidRDefault="005873C8" w:rsidP="007210B2">
            <w:pPr>
              <w:rPr>
                <w:rFonts w:ascii="Times New Roman" w:hAnsi="Times New Roman" w:cs="Times New Roman"/>
                <w:i/>
              </w:rPr>
            </w:pPr>
            <w:r w:rsidRPr="007210B2">
              <w:rPr>
                <w:rFonts w:ascii="Times New Roman" w:hAnsi="Times New Roman" w:cs="Times New Roman"/>
                <w:i/>
              </w:rPr>
              <w:t>Civil Society and Faith based organisations</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World Vision </w:t>
            </w:r>
          </w:p>
          <w:p w:rsidR="005873C8" w:rsidRPr="007210B2" w:rsidRDefault="005873C8" w:rsidP="007210B2">
            <w:pPr>
              <w:rPr>
                <w:rFonts w:ascii="Times New Roman" w:hAnsi="Times New Roman" w:cs="Times New Roman"/>
              </w:rPr>
            </w:pPr>
            <w:r w:rsidRPr="007210B2">
              <w:rPr>
                <w:rFonts w:ascii="Times New Roman" w:hAnsi="Times New Roman" w:cs="Times New Roman"/>
              </w:rPr>
              <w:t>Red Cross</w:t>
            </w:r>
          </w:p>
          <w:p w:rsidR="005873C8" w:rsidRPr="007210B2" w:rsidRDefault="005873C8" w:rsidP="007210B2">
            <w:pPr>
              <w:rPr>
                <w:rFonts w:ascii="Times New Roman" w:hAnsi="Times New Roman" w:cs="Times New Roman"/>
              </w:rPr>
            </w:pPr>
            <w:r w:rsidRPr="007210B2">
              <w:rPr>
                <w:rFonts w:ascii="Times New Roman" w:hAnsi="Times New Roman" w:cs="Times New Roman"/>
              </w:rPr>
              <w:t>Transparency International PNG</w:t>
            </w:r>
          </w:p>
          <w:p w:rsidR="005873C8" w:rsidRPr="007210B2" w:rsidRDefault="005873C8" w:rsidP="007210B2">
            <w:pPr>
              <w:rPr>
                <w:rFonts w:ascii="Times New Roman" w:hAnsi="Times New Roman" w:cs="Times New Roman"/>
              </w:rPr>
            </w:pPr>
            <w:r w:rsidRPr="007210B2">
              <w:rPr>
                <w:rFonts w:ascii="Times New Roman" w:hAnsi="Times New Roman" w:cs="Times New Roman"/>
              </w:rPr>
              <w:t>Care</w:t>
            </w:r>
          </w:p>
          <w:p w:rsidR="005873C8" w:rsidRPr="007210B2" w:rsidRDefault="005873C8" w:rsidP="007210B2">
            <w:pPr>
              <w:rPr>
                <w:rFonts w:ascii="Times New Roman" w:hAnsi="Times New Roman" w:cs="Times New Roman"/>
              </w:rPr>
            </w:pPr>
            <w:r w:rsidRPr="007210B2">
              <w:rPr>
                <w:rFonts w:ascii="Times New Roman" w:hAnsi="Times New Roman" w:cs="Times New Roman"/>
              </w:rPr>
              <w:t>Buk Bilong Pikinini</w:t>
            </w:r>
          </w:p>
          <w:p w:rsidR="005873C8" w:rsidRPr="007210B2" w:rsidRDefault="005873C8" w:rsidP="007210B2">
            <w:pPr>
              <w:rPr>
                <w:rFonts w:ascii="Times New Roman" w:hAnsi="Times New Roman" w:cs="Times New Roman"/>
              </w:rPr>
            </w:pPr>
            <w:r w:rsidRPr="007210B2">
              <w:rPr>
                <w:rFonts w:ascii="Times New Roman" w:hAnsi="Times New Roman" w:cs="Times New Roman"/>
              </w:rPr>
              <w:t>Eastern Highlands Family Voice</w:t>
            </w:r>
          </w:p>
          <w:p w:rsidR="005873C8" w:rsidRPr="007210B2" w:rsidRDefault="005873C8" w:rsidP="007210B2">
            <w:pPr>
              <w:rPr>
                <w:rFonts w:ascii="Times New Roman" w:hAnsi="Times New Roman" w:cs="Times New Roman"/>
              </w:rPr>
            </w:pPr>
            <w:r w:rsidRPr="007210B2">
              <w:rPr>
                <w:rFonts w:ascii="Times New Roman" w:hAnsi="Times New Roman" w:cs="Times New Roman"/>
              </w:rPr>
              <w:t>Callan Services</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Church Leaders Council, and Church Partnership Program including Catholic, United, Baptist and Lutheran Churches and the Salvation Army.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Consultative Implementation and Monitoring Council </w:t>
            </w:r>
            <w:r w:rsidR="00B712C6">
              <w:rPr>
                <w:rFonts w:ascii="Times New Roman" w:hAnsi="Times New Roman" w:cs="Times New Roman"/>
              </w:rPr>
              <w:br/>
            </w:r>
          </w:p>
          <w:p w:rsidR="005873C8" w:rsidRPr="007210B2" w:rsidRDefault="005873C8" w:rsidP="007210B2">
            <w:pPr>
              <w:rPr>
                <w:rFonts w:ascii="Times New Roman" w:hAnsi="Times New Roman" w:cs="Times New Roman"/>
                <w:i/>
              </w:rPr>
            </w:pPr>
            <w:r w:rsidRPr="007210B2">
              <w:rPr>
                <w:rFonts w:ascii="Times New Roman" w:hAnsi="Times New Roman" w:cs="Times New Roman"/>
                <w:i/>
              </w:rPr>
              <w:t xml:space="preserve">DFAT’s Managing contractors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Coffey International Development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Cardno Emerging markets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URS Australia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ABT JTA </w:t>
            </w:r>
          </w:p>
          <w:p w:rsidR="005873C8" w:rsidRPr="007210B2" w:rsidRDefault="005873C8" w:rsidP="007210B2">
            <w:pPr>
              <w:rPr>
                <w:rFonts w:ascii="Times New Roman" w:hAnsi="Times New Roman" w:cs="Times New Roman"/>
              </w:rPr>
            </w:pPr>
            <w:r w:rsidRPr="007210B2">
              <w:rPr>
                <w:rFonts w:ascii="Times New Roman" w:hAnsi="Times New Roman" w:cs="Times New Roman"/>
              </w:rPr>
              <w:t>GRM International</w:t>
            </w:r>
            <w:r w:rsidRPr="007210B2">
              <w:rPr>
                <w:rFonts w:ascii="Times New Roman" w:hAnsi="Times New Roman" w:cs="Times New Roman"/>
                <w:b/>
              </w:rPr>
              <w:t xml:space="preserve"> </w:t>
            </w:r>
          </w:p>
          <w:p w:rsidR="005873C8" w:rsidRDefault="005873C8" w:rsidP="007210B2">
            <w:pPr>
              <w:rPr>
                <w:rFonts w:ascii="Times New Roman" w:hAnsi="Times New Roman" w:cs="Times New Roman"/>
                <w:i/>
              </w:rPr>
            </w:pPr>
          </w:p>
          <w:p w:rsidR="006C3B5A" w:rsidRDefault="006C3B5A" w:rsidP="007210B2">
            <w:pPr>
              <w:rPr>
                <w:rFonts w:ascii="Times New Roman" w:hAnsi="Times New Roman" w:cs="Times New Roman"/>
                <w:i/>
              </w:rPr>
            </w:pPr>
          </w:p>
          <w:p w:rsidR="006C3B5A" w:rsidRPr="007210B2" w:rsidRDefault="006C3B5A" w:rsidP="007210B2">
            <w:pPr>
              <w:rPr>
                <w:rFonts w:ascii="Times New Roman" w:hAnsi="Times New Roman" w:cs="Times New Roman"/>
                <w:i/>
              </w:rPr>
            </w:pPr>
          </w:p>
        </w:tc>
        <w:tc>
          <w:tcPr>
            <w:tcW w:w="4621" w:type="dxa"/>
          </w:tcPr>
          <w:p w:rsidR="005873C8" w:rsidRPr="007210B2" w:rsidRDefault="005873C8" w:rsidP="007210B2">
            <w:pPr>
              <w:rPr>
                <w:rFonts w:ascii="Times New Roman" w:hAnsi="Times New Roman" w:cs="Times New Roman"/>
                <w:i/>
              </w:rPr>
            </w:pPr>
            <w:r w:rsidRPr="007210B2">
              <w:rPr>
                <w:rFonts w:ascii="Times New Roman" w:hAnsi="Times New Roman" w:cs="Times New Roman"/>
                <w:i/>
              </w:rPr>
              <w:lastRenderedPageBreak/>
              <w:t xml:space="preserve">Higher Education and Research </w:t>
            </w:r>
          </w:p>
          <w:p w:rsidR="005873C8" w:rsidRPr="007210B2" w:rsidRDefault="005873C8" w:rsidP="007210B2">
            <w:pPr>
              <w:tabs>
                <w:tab w:val="right" w:pos="2470"/>
              </w:tabs>
              <w:rPr>
                <w:rFonts w:ascii="Times New Roman" w:hAnsi="Times New Roman" w:cs="Times New Roman"/>
              </w:rPr>
            </w:pPr>
            <w:r w:rsidRPr="007210B2">
              <w:rPr>
                <w:rFonts w:ascii="Times New Roman" w:hAnsi="Times New Roman" w:cs="Times New Roman"/>
              </w:rPr>
              <w:t xml:space="preserve">PNG National Research Institution  </w:t>
            </w:r>
          </w:p>
          <w:p w:rsidR="005873C8" w:rsidRPr="007210B2" w:rsidRDefault="005873C8" w:rsidP="007210B2">
            <w:pPr>
              <w:tabs>
                <w:tab w:val="right" w:pos="2470"/>
              </w:tabs>
              <w:rPr>
                <w:rFonts w:ascii="Times New Roman" w:hAnsi="Times New Roman" w:cs="Times New Roman"/>
                <w:highlight w:val="yellow"/>
              </w:rPr>
            </w:pPr>
            <w:r w:rsidRPr="007210B2">
              <w:rPr>
                <w:rFonts w:ascii="Times New Roman" w:hAnsi="Times New Roman" w:cs="Times New Roman"/>
              </w:rPr>
              <w:t>Vice Chancellors Committee</w:t>
            </w:r>
          </w:p>
          <w:p w:rsidR="005873C8" w:rsidRPr="007210B2" w:rsidRDefault="005873C8" w:rsidP="007210B2">
            <w:pPr>
              <w:rPr>
                <w:rFonts w:ascii="Times New Roman" w:hAnsi="Times New Roman" w:cs="Times New Roman"/>
                <w:i/>
              </w:rPr>
            </w:pPr>
            <w:r w:rsidRPr="007210B2">
              <w:rPr>
                <w:rFonts w:ascii="Times New Roman" w:hAnsi="Times New Roman" w:cs="Times New Roman"/>
                <w:i/>
              </w:rPr>
              <w:t xml:space="preserve">Australian Government Partners working in PNG </w:t>
            </w:r>
          </w:p>
          <w:p w:rsidR="005873C8" w:rsidRPr="007210B2" w:rsidRDefault="005873C8" w:rsidP="007210B2">
            <w:pPr>
              <w:rPr>
                <w:rFonts w:ascii="Times New Roman" w:hAnsi="Times New Roman" w:cs="Times New Roman"/>
              </w:rPr>
            </w:pPr>
            <w:r w:rsidRPr="007210B2">
              <w:rPr>
                <w:rFonts w:ascii="Times New Roman" w:hAnsi="Times New Roman" w:cs="Times New Roman"/>
              </w:rPr>
              <w:t>Strongim Gavman Program Team leaders</w:t>
            </w:r>
          </w:p>
          <w:p w:rsidR="005873C8" w:rsidRPr="007210B2" w:rsidRDefault="005873C8" w:rsidP="007210B2">
            <w:pPr>
              <w:rPr>
                <w:rFonts w:ascii="Times New Roman" w:hAnsi="Times New Roman" w:cs="Times New Roman"/>
              </w:rPr>
            </w:pPr>
            <w:r w:rsidRPr="007210B2">
              <w:rPr>
                <w:rFonts w:ascii="Times New Roman" w:hAnsi="Times New Roman" w:cs="Times New Roman"/>
              </w:rPr>
              <w:t>Australian Federal Police</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Department of Defence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Department of Environment </w:t>
            </w:r>
          </w:p>
          <w:p w:rsidR="005873C8" w:rsidRPr="007210B2" w:rsidRDefault="005873C8" w:rsidP="007210B2">
            <w:pPr>
              <w:rPr>
                <w:rFonts w:ascii="Times New Roman" w:hAnsi="Times New Roman" w:cs="Times New Roman"/>
              </w:rPr>
            </w:pPr>
            <w:r w:rsidRPr="007210B2">
              <w:rPr>
                <w:rFonts w:ascii="Times New Roman" w:hAnsi="Times New Roman" w:cs="Times New Roman"/>
              </w:rPr>
              <w:t xml:space="preserve">Austrade PNG </w:t>
            </w:r>
          </w:p>
          <w:p w:rsidR="005873C8" w:rsidRPr="007210B2" w:rsidRDefault="005873C8" w:rsidP="007210B2">
            <w:pPr>
              <w:rPr>
                <w:rFonts w:ascii="Times New Roman" w:hAnsi="Times New Roman" w:cs="Times New Roman"/>
              </w:rPr>
            </w:pPr>
            <w:r w:rsidRPr="007210B2">
              <w:rPr>
                <w:rFonts w:ascii="Times New Roman" w:hAnsi="Times New Roman" w:cs="Times New Roman"/>
              </w:rPr>
              <w:t>Alumni of the Emerging Leaders Dialogue</w:t>
            </w:r>
          </w:p>
        </w:tc>
      </w:tr>
    </w:tbl>
    <w:p w:rsidR="006C3B5A" w:rsidRDefault="006C3B5A" w:rsidP="00B4261C">
      <w:pPr>
        <w:jc w:val="both"/>
        <w:rPr>
          <w:b/>
        </w:rPr>
      </w:pPr>
    </w:p>
    <w:p w:rsidR="006C3B5A" w:rsidRDefault="006C3B5A" w:rsidP="00B4261C">
      <w:pPr>
        <w:jc w:val="both"/>
        <w:rPr>
          <w:b/>
        </w:rPr>
      </w:pPr>
    </w:p>
    <w:p w:rsidR="006C3B5A" w:rsidRDefault="006C3B5A" w:rsidP="00B4261C">
      <w:pPr>
        <w:jc w:val="both"/>
        <w:rPr>
          <w:b/>
        </w:rPr>
      </w:pPr>
    </w:p>
    <w:p w:rsidR="006C3B5A" w:rsidRDefault="006C3B5A" w:rsidP="00B4261C">
      <w:pPr>
        <w:jc w:val="both"/>
        <w:rPr>
          <w:b/>
        </w:rPr>
      </w:pPr>
    </w:p>
    <w:p w:rsidR="006C3B5A" w:rsidRDefault="006C3B5A" w:rsidP="00B4261C">
      <w:pPr>
        <w:jc w:val="both"/>
        <w:rPr>
          <w:b/>
        </w:rPr>
      </w:pPr>
    </w:p>
    <w:p w:rsidR="006C3B5A" w:rsidRDefault="006C3B5A" w:rsidP="00B4261C">
      <w:pPr>
        <w:jc w:val="both"/>
        <w:rPr>
          <w:b/>
        </w:rPr>
      </w:pPr>
    </w:p>
    <w:p w:rsidR="00B712C6" w:rsidRDefault="003366EA" w:rsidP="00B4261C">
      <w:pPr>
        <w:jc w:val="both"/>
        <w:rPr>
          <w:b/>
        </w:rPr>
      </w:pPr>
      <w:r w:rsidRPr="007210B2">
        <w:rPr>
          <w:b/>
        </w:rPr>
        <w:t>Attachment B</w:t>
      </w:r>
    </w:p>
    <w:p w:rsidR="003366EA" w:rsidRPr="007210B2" w:rsidRDefault="003366EA" w:rsidP="00B4261C">
      <w:pPr>
        <w:jc w:val="both"/>
        <w:rPr>
          <w:b/>
        </w:rPr>
      </w:pPr>
      <w:r w:rsidRPr="007210B2">
        <w:rPr>
          <w:b/>
        </w:rPr>
        <w:t>List of consultations undertaken in Australia</w:t>
      </w:r>
    </w:p>
    <w:tbl>
      <w:tblPr>
        <w:tblStyle w:val="TableGrid"/>
        <w:tblpPr w:leftFromText="180" w:rightFromText="180" w:vertAnchor="page" w:horzAnchor="margin" w:tblpY="391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72"/>
      </w:tblGrid>
      <w:tr w:rsidR="00EA0D47" w:rsidRPr="007210B2" w:rsidTr="00EA0D47">
        <w:trPr>
          <w:trHeight w:val="4536"/>
        </w:trPr>
        <w:tc>
          <w:tcPr>
            <w:tcW w:w="2499" w:type="pct"/>
          </w:tcPr>
          <w:p w:rsidR="00EA0D47" w:rsidRPr="007210B2" w:rsidRDefault="00EA0D47" w:rsidP="00EA0D47">
            <w:pPr>
              <w:rPr>
                <w:rFonts w:ascii="Times New Roman" w:hAnsi="Times New Roman" w:cs="Times New Roman"/>
                <w:i/>
              </w:rPr>
            </w:pPr>
            <w:r w:rsidRPr="007210B2">
              <w:rPr>
                <w:rFonts w:ascii="Times New Roman" w:hAnsi="Times New Roman" w:cs="Times New Roman"/>
                <w:i/>
              </w:rPr>
              <w:t xml:space="preserve">Australian Government </w:t>
            </w:r>
          </w:p>
          <w:p w:rsidR="00EA0D47" w:rsidRPr="007210B2" w:rsidRDefault="00EA0D47" w:rsidP="00EA0D47">
            <w:pPr>
              <w:rPr>
                <w:rFonts w:ascii="Times New Roman" w:hAnsi="Times New Roman" w:cs="Times New Roman"/>
              </w:rPr>
            </w:pPr>
            <w:r w:rsidRPr="007210B2">
              <w:rPr>
                <w:rFonts w:ascii="Times New Roman" w:hAnsi="Times New Roman" w:cs="Times New Roman"/>
              </w:rPr>
              <w:t>DFAT executive and specialists (</w:t>
            </w:r>
            <w:r w:rsidRPr="007210B2">
              <w:rPr>
                <w:rFonts w:ascii="Times New Roman" w:hAnsi="Times New Roman" w:cs="Times New Roman"/>
                <w:i/>
              </w:rPr>
              <w:t>Economics, Governance, Health, Gender and Education</w:t>
            </w:r>
            <w:r w:rsidRPr="007210B2">
              <w:rPr>
                <w:rFonts w:ascii="Times New Roman" w:hAnsi="Times New Roman" w:cs="Times New Roman"/>
              </w:rPr>
              <w:t>)</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Electoral Commission</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Public Service Commission</w:t>
            </w:r>
          </w:p>
          <w:p w:rsidR="00EA0D47" w:rsidRPr="007210B2" w:rsidRDefault="00EA0D47" w:rsidP="00EA0D47">
            <w:pPr>
              <w:rPr>
                <w:rFonts w:ascii="Times New Roman" w:hAnsi="Times New Roman" w:cs="Times New Roman"/>
              </w:rPr>
            </w:pPr>
            <w:r w:rsidRPr="007210B2">
              <w:rPr>
                <w:rFonts w:ascii="Times New Roman" w:hAnsi="Times New Roman" w:cs="Times New Roman"/>
              </w:rPr>
              <w:t>Attorney-General’s Department</w:t>
            </w:r>
          </w:p>
          <w:p w:rsidR="00EA0D47" w:rsidRPr="007210B2" w:rsidRDefault="00EA0D47" w:rsidP="00EA0D47">
            <w:pPr>
              <w:rPr>
                <w:rFonts w:ascii="Times New Roman" w:hAnsi="Times New Roman" w:cs="Times New Roman"/>
              </w:rPr>
            </w:pPr>
            <w:r w:rsidRPr="007210B2">
              <w:rPr>
                <w:rFonts w:ascii="Times New Roman" w:hAnsi="Times New Roman" w:cs="Times New Roman"/>
              </w:rPr>
              <w:t>Department of Prime Minister and Cabinet</w:t>
            </w:r>
          </w:p>
          <w:p w:rsidR="00EA0D47" w:rsidRPr="007210B2" w:rsidRDefault="00EA0D47" w:rsidP="00EA0D47">
            <w:pPr>
              <w:rPr>
                <w:rFonts w:ascii="Times New Roman" w:hAnsi="Times New Roman" w:cs="Times New Roman"/>
              </w:rPr>
            </w:pPr>
            <w:r w:rsidRPr="007210B2">
              <w:rPr>
                <w:rFonts w:ascii="Times New Roman" w:hAnsi="Times New Roman" w:cs="Times New Roman"/>
              </w:rPr>
              <w:t>The Treasury</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Federal Police</w:t>
            </w:r>
          </w:p>
          <w:p w:rsidR="00EA0D47" w:rsidRPr="007210B2" w:rsidRDefault="00EA0D47" w:rsidP="00EA0D47">
            <w:pPr>
              <w:rPr>
                <w:rFonts w:ascii="Times New Roman" w:hAnsi="Times New Roman" w:cs="Times New Roman"/>
              </w:rPr>
            </w:pPr>
            <w:r w:rsidRPr="007210B2">
              <w:rPr>
                <w:rFonts w:ascii="Times New Roman" w:hAnsi="Times New Roman" w:cs="Times New Roman"/>
              </w:rPr>
              <w:t>Department of Infrastructure and Regional development</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Centre for International Agricultural Research</w:t>
            </w:r>
          </w:p>
          <w:p w:rsidR="00EA0D47" w:rsidRPr="007210B2" w:rsidRDefault="00EA0D47" w:rsidP="00EA0D47">
            <w:pPr>
              <w:rPr>
                <w:rFonts w:ascii="Times New Roman" w:hAnsi="Times New Roman" w:cs="Times New Roman"/>
              </w:rPr>
            </w:pPr>
            <w:r w:rsidRPr="007210B2">
              <w:rPr>
                <w:rFonts w:ascii="Times New Roman" w:hAnsi="Times New Roman" w:cs="Times New Roman"/>
              </w:rPr>
              <w:t>Department of Finance</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Taxation Office</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Customs and Border Protection Service</w:t>
            </w:r>
          </w:p>
          <w:p w:rsidR="00EA0D47" w:rsidRPr="007210B2" w:rsidRDefault="00EA0D47" w:rsidP="00EA0D47">
            <w:pPr>
              <w:rPr>
                <w:rFonts w:ascii="Times New Roman" w:hAnsi="Times New Roman" w:cs="Times New Roman"/>
              </w:rPr>
            </w:pPr>
            <w:r w:rsidRPr="007210B2">
              <w:rPr>
                <w:rFonts w:ascii="Times New Roman" w:hAnsi="Times New Roman" w:cs="Times New Roman"/>
              </w:rPr>
              <w:t>Commonwealth Ombudsman</w:t>
            </w:r>
          </w:p>
          <w:p w:rsidR="00EA0D47" w:rsidRPr="007210B2" w:rsidRDefault="00EA0D47" w:rsidP="00EA0D47">
            <w:pPr>
              <w:rPr>
                <w:rFonts w:ascii="Times New Roman" w:hAnsi="Times New Roman" w:cs="Times New Roman"/>
              </w:rPr>
            </w:pPr>
            <w:r w:rsidRPr="007210B2">
              <w:rPr>
                <w:rFonts w:ascii="Times New Roman" w:hAnsi="Times New Roman" w:cs="Times New Roman"/>
              </w:rPr>
              <w:t>The Australian National Audit Office</w:t>
            </w:r>
          </w:p>
          <w:p w:rsidR="00EA0D47" w:rsidRPr="007210B2" w:rsidRDefault="00EA0D47" w:rsidP="00EA0D47">
            <w:pPr>
              <w:rPr>
                <w:rFonts w:ascii="Times New Roman" w:hAnsi="Times New Roman" w:cs="Times New Roman"/>
              </w:rPr>
            </w:pPr>
            <w:r w:rsidRPr="007210B2">
              <w:rPr>
                <w:rFonts w:ascii="Times New Roman" w:hAnsi="Times New Roman" w:cs="Times New Roman"/>
              </w:rPr>
              <w:t>Department of Health</w:t>
            </w:r>
          </w:p>
          <w:p w:rsidR="00EA0D47" w:rsidRPr="007210B2" w:rsidRDefault="00EA0D47" w:rsidP="00EA0D47">
            <w:pPr>
              <w:rPr>
                <w:rFonts w:ascii="Times New Roman" w:hAnsi="Times New Roman" w:cs="Times New Roman"/>
              </w:rPr>
            </w:pPr>
            <w:r w:rsidRPr="007210B2">
              <w:rPr>
                <w:rFonts w:ascii="Times New Roman" w:hAnsi="Times New Roman" w:cs="Times New Roman"/>
              </w:rPr>
              <w:t>Department of Immigration and Border Protection</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Austrade</w:t>
            </w:r>
          </w:p>
          <w:p w:rsidR="00EA0D47" w:rsidRPr="007210B2" w:rsidRDefault="00EA0D47" w:rsidP="00EA0D47">
            <w:pPr>
              <w:rPr>
                <w:rFonts w:ascii="Times New Roman" w:hAnsi="Times New Roman" w:cs="Times New Roman"/>
              </w:rPr>
            </w:pPr>
            <w:r w:rsidRPr="007210B2">
              <w:rPr>
                <w:rFonts w:ascii="Times New Roman" w:hAnsi="Times New Roman" w:cs="Times New Roman"/>
              </w:rPr>
              <w:t>Queensland Department of Premier and Cabinet</w:t>
            </w:r>
          </w:p>
          <w:p w:rsidR="00EA0D47" w:rsidRPr="007210B2" w:rsidRDefault="00EA0D47" w:rsidP="00EA0D47">
            <w:pPr>
              <w:rPr>
                <w:rFonts w:ascii="Times New Roman" w:hAnsi="Times New Roman" w:cs="Times New Roman"/>
              </w:rPr>
            </w:pPr>
            <w:r w:rsidRPr="007210B2">
              <w:rPr>
                <w:rFonts w:ascii="Times New Roman" w:hAnsi="Times New Roman" w:cs="Times New Roman"/>
              </w:rPr>
              <w:t>Trade and Investment Queensland</w:t>
            </w:r>
          </w:p>
          <w:p w:rsidR="00EA0D47" w:rsidRPr="007210B2" w:rsidRDefault="00EA0D47" w:rsidP="00EA0D47">
            <w:pPr>
              <w:rPr>
                <w:rFonts w:ascii="Times New Roman" w:hAnsi="Times New Roman" w:cs="Times New Roman"/>
                <w:i/>
              </w:rPr>
            </w:pPr>
            <w:r w:rsidRPr="007210B2">
              <w:rPr>
                <w:rFonts w:ascii="Times New Roman" w:hAnsi="Times New Roman" w:cs="Times New Roman"/>
                <w:i/>
              </w:rPr>
              <w:t>International Development Agencies</w:t>
            </w:r>
          </w:p>
          <w:p w:rsidR="00EA0D47" w:rsidRPr="007210B2" w:rsidRDefault="00EA0D47" w:rsidP="00EA0D47">
            <w:pPr>
              <w:rPr>
                <w:rFonts w:ascii="Times New Roman" w:hAnsi="Times New Roman" w:cs="Times New Roman"/>
              </w:rPr>
            </w:pPr>
            <w:r w:rsidRPr="007210B2">
              <w:rPr>
                <w:rFonts w:ascii="Times New Roman" w:hAnsi="Times New Roman" w:cs="Times New Roman"/>
              </w:rPr>
              <w:t xml:space="preserve">World Bank </w:t>
            </w:r>
          </w:p>
          <w:p w:rsidR="00EA0D47" w:rsidRPr="007210B2" w:rsidRDefault="00EA0D47" w:rsidP="00EA0D47">
            <w:pPr>
              <w:rPr>
                <w:rFonts w:ascii="Times New Roman" w:eastAsia="Times New Roman" w:hAnsi="Times New Roman" w:cs="Times New Roman"/>
              </w:rPr>
            </w:pPr>
            <w:r w:rsidRPr="007210B2">
              <w:rPr>
                <w:rFonts w:ascii="Times New Roman" w:hAnsi="Times New Roman" w:cs="Times New Roman"/>
              </w:rPr>
              <w:t>Asian Development Bank</w:t>
            </w:r>
          </w:p>
        </w:tc>
        <w:tc>
          <w:tcPr>
            <w:tcW w:w="2501" w:type="pct"/>
          </w:tcPr>
          <w:p w:rsidR="00EA0D47" w:rsidRPr="007210B2" w:rsidRDefault="00EA0D47" w:rsidP="00EA0D47">
            <w:pPr>
              <w:jc w:val="both"/>
              <w:rPr>
                <w:rFonts w:ascii="Times New Roman" w:eastAsia="Times New Roman" w:hAnsi="Times New Roman" w:cs="Times New Roman"/>
                <w:i/>
              </w:rPr>
            </w:pPr>
            <w:r w:rsidRPr="007210B2">
              <w:rPr>
                <w:rFonts w:ascii="Times New Roman" w:hAnsi="Times New Roman" w:cs="Times New Roman"/>
                <w:i/>
              </w:rPr>
              <w:t>Business</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Australia-PNG Business Council</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 Fiji Business Council Business</w:t>
            </w:r>
          </w:p>
          <w:p w:rsidR="00EA0D47" w:rsidRPr="007210B2" w:rsidRDefault="00EA0D47" w:rsidP="00EA0D47">
            <w:pPr>
              <w:rPr>
                <w:rFonts w:ascii="Times New Roman" w:hAnsi="Times New Roman" w:cs="Times New Roman"/>
              </w:rPr>
            </w:pPr>
            <w:r w:rsidRPr="007210B2">
              <w:rPr>
                <w:rFonts w:ascii="Times New Roman" w:hAnsi="Times New Roman" w:cs="Times New Roman"/>
              </w:rPr>
              <w:t xml:space="preserve">Australian Pacific Islands Business Council </w:t>
            </w:r>
          </w:p>
          <w:p w:rsidR="00EA0D47" w:rsidRPr="007210B2" w:rsidRDefault="00EA0D47" w:rsidP="00EA0D47">
            <w:pPr>
              <w:rPr>
                <w:rFonts w:ascii="Times New Roman" w:hAnsi="Times New Roman" w:cs="Times New Roman"/>
              </w:rPr>
            </w:pPr>
            <w:r w:rsidRPr="007210B2">
              <w:rPr>
                <w:rFonts w:ascii="Times New Roman" w:hAnsi="Times New Roman" w:cs="Times New Roman"/>
              </w:rPr>
              <w:t xml:space="preserve">Pacific ANZ </w:t>
            </w:r>
          </w:p>
          <w:p w:rsidR="00EA0D47" w:rsidRPr="007210B2" w:rsidRDefault="00EA0D47" w:rsidP="00EA0D47">
            <w:pPr>
              <w:rPr>
                <w:rFonts w:ascii="Times New Roman" w:hAnsi="Times New Roman" w:cs="Times New Roman"/>
              </w:rPr>
            </w:pPr>
            <w:r w:rsidRPr="007210B2">
              <w:rPr>
                <w:rFonts w:ascii="Times New Roman" w:hAnsi="Times New Roman" w:cs="Times New Roman"/>
              </w:rPr>
              <w:t>Newcrest</w:t>
            </w:r>
          </w:p>
          <w:p w:rsidR="00EA0D47" w:rsidRPr="007210B2" w:rsidRDefault="00EA0D47" w:rsidP="00EA0D47">
            <w:pPr>
              <w:rPr>
                <w:rFonts w:ascii="Times New Roman" w:hAnsi="Times New Roman" w:cs="Times New Roman"/>
              </w:rPr>
            </w:pPr>
            <w:r w:rsidRPr="007210B2">
              <w:rPr>
                <w:rFonts w:ascii="Times New Roman" w:hAnsi="Times New Roman" w:cs="Times New Roman"/>
              </w:rPr>
              <w:t>Bougainville Copper Ltd</w:t>
            </w:r>
          </w:p>
          <w:p w:rsidR="00EA0D47" w:rsidRPr="007210B2" w:rsidRDefault="00EA0D47" w:rsidP="00EA0D47">
            <w:pPr>
              <w:rPr>
                <w:rFonts w:ascii="Times New Roman" w:hAnsi="Times New Roman" w:cs="Times New Roman"/>
              </w:rPr>
            </w:pPr>
            <w:r w:rsidRPr="007210B2">
              <w:rPr>
                <w:rFonts w:ascii="Times New Roman" w:hAnsi="Times New Roman" w:cs="Times New Roman"/>
              </w:rPr>
              <w:t>SVP Carnival Australia</w:t>
            </w:r>
          </w:p>
          <w:p w:rsidR="00EA0D47" w:rsidRPr="007210B2" w:rsidRDefault="00EA0D47" w:rsidP="00EA0D47">
            <w:pPr>
              <w:rPr>
                <w:rFonts w:ascii="Times New Roman" w:hAnsi="Times New Roman" w:cs="Times New Roman"/>
              </w:rPr>
            </w:pPr>
            <w:r w:rsidRPr="007210B2">
              <w:rPr>
                <w:rFonts w:ascii="Times New Roman" w:hAnsi="Times New Roman" w:cs="Times New Roman"/>
              </w:rPr>
              <w:t>Pacific Legal Network</w:t>
            </w:r>
          </w:p>
          <w:p w:rsidR="00EA0D47" w:rsidRPr="007210B2" w:rsidRDefault="00EA0D47" w:rsidP="00EA0D47">
            <w:pPr>
              <w:rPr>
                <w:rFonts w:ascii="Times New Roman" w:hAnsi="Times New Roman" w:cs="Times New Roman"/>
              </w:rPr>
            </w:pPr>
            <w:r w:rsidRPr="007210B2">
              <w:rPr>
                <w:rFonts w:ascii="Times New Roman" w:hAnsi="Times New Roman" w:cs="Times New Roman"/>
              </w:rPr>
              <w:t>Virgin Australia</w:t>
            </w:r>
          </w:p>
          <w:p w:rsidR="00EA0D47" w:rsidRPr="007210B2" w:rsidRDefault="00EA0D47" w:rsidP="00EA0D47">
            <w:pPr>
              <w:rPr>
                <w:rFonts w:ascii="Times New Roman" w:hAnsi="Times New Roman" w:cs="Times New Roman"/>
              </w:rPr>
            </w:pPr>
            <w:r w:rsidRPr="007210B2">
              <w:rPr>
                <w:rFonts w:ascii="Times New Roman" w:hAnsi="Times New Roman" w:cs="Times New Roman"/>
              </w:rPr>
              <w:t>Neptune Pacific Line</w:t>
            </w:r>
          </w:p>
          <w:p w:rsidR="00EA0D47" w:rsidRPr="007210B2" w:rsidRDefault="00EA0D47" w:rsidP="00EA0D47">
            <w:pPr>
              <w:rPr>
                <w:rFonts w:ascii="Times New Roman" w:hAnsi="Times New Roman" w:cs="Times New Roman"/>
              </w:rPr>
            </w:pPr>
            <w:r w:rsidRPr="007210B2">
              <w:rPr>
                <w:rFonts w:ascii="Times New Roman" w:hAnsi="Times New Roman" w:cs="Times New Roman"/>
              </w:rPr>
              <w:t>Pacific Islands Trade and Invest</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Business Volunteers</w:t>
            </w:r>
          </w:p>
          <w:p w:rsidR="00EA0D47" w:rsidRPr="007210B2" w:rsidRDefault="00EA0D47" w:rsidP="00EA0D47">
            <w:pPr>
              <w:rPr>
                <w:rFonts w:ascii="Times New Roman" w:hAnsi="Times New Roman" w:cs="Times New Roman"/>
              </w:rPr>
            </w:pPr>
            <w:r w:rsidRPr="007210B2">
              <w:rPr>
                <w:rFonts w:ascii="Times New Roman" w:hAnsi="Times New Roman" w:cs="Times New Roman"/>
              </w:rPr>
              <w:t>ABT JTA</w:t>
            </w:r>
          </w:p>
          <w:p w:rsidR="00EA0D47" w:rsidRPr="007210B2" w:rsidRDefault="00EA0D47" w:rsidP="00EA0D47">
            <w:pPr>
              <w:rPr>
                <w:rFonts w:ascii="Times New Roman" w:hAnsi="Times New Roman" w:cs="Times New Roman"/>
              </w:rPr>
            </w:pPr>
            <w:r w:rsidRPr="007210B2">
              <w:rPr>
                <w:rFonts w:ascii="Times New Roman" w:hAnsi="Times New Roman" w:cs="Times New Roman"/>
              </w:rPr>
              <w:t>Gadens Lawyers</w:t>
            </w:r>
          </w:p>
          <w:p w:rsidR="00EA0D47" w:rsidRPr="007210B2" w:rsidRDefault="00EA0D47" w:rsidP="00EA0D47">
            <w:pPr>
              <w:rPr>
                <w:rFonts w:ascii="Times New Roman" w:hAnsi="Times New Roman" w:cs="Times New Roman"/>
              </w:rPr>
            </w:pPr>
            <w:r w:rsidRPr="007210B2">
              <w:rPr>
                <w:rFonts w:ascii="Times New Roman" w:hAnsi="Times New Roman" w:cs="Times New Roman"/>
              </w:rPr>
              <w:t>Westpac Pacific Banking</w:t>
            </w:r>
          </w:p>
          <w:p w:rsidR="00EA0D47" w:rsidRPr="007210B2" w:rsidRDefault="00EA0D47" w:rsidP="00EA0D47">
            <w:pPr>
              <w:rPr>
                <w:rFonts w:ascii="Times New Roman" w:hAnsi="Times New Roman" w:cs="Times New Roman"/>
                <w:i/>
              </w:rPr>
            </w:pPr>
            <w:r w:rsidRPr="007210B2">
              <w:rPr>
                <w:rFonts w:ascii="Times New Roman" w:hAnsi="Times New Roman" w:cs="Times New Roman"/>
                <w:i/>
              </w:rPr>
              <w:t xml:space="preserve">Think-tanks, academia and NGOs </w:t>
            </w:r>
          </w:p>
          <w:p w:rsidR="00EA0D47" w:rsidRPr="007210B2" w:rsidRDefault="00EA0D47" w:rsidP="00EA0D47">
            <w:pPr>
              <w:rPr>
                <w:rFonts w:ascii="Times New Roman" w:hAnsi="Times New Roman" w:cs="Times New Roman"/>
              </w:rPr>
            </w:pPr>
            <w:r w:rsidRPr="007210B2">
              <w:rPr>
                <w:rFonts w:ascii="Times New Roman" w:hAnsi="Times New Roman" w:cs="Times New Roman"/>
              </w:rPr>
              <w:t>Lowy Institute,</w:t>
            </w:r>
          </w:p>
          <w:p w:rsidR="00EA0D47" w:rsidRPr="007210B2" w:rsidRDefault="00EA0D47" w:rsidP="00EA0D47">
            <w:pPr>
              <w:rPr>
                <w:rFonts w:ascii="Times New Roman" w:hAnsi="Times New Roman" w:cs="Times New Roman"/>
              </w:rPr>
            </w:pPr>
            <w:r w:rsidRPr="007210B2">
              <w:rPr>
                <w:rFonts w:ascii="Times New Roman" w:hAnsi="Times New Roman" w:cs="Times New Roman"/>
              </w:rPr>
              <w:t xml:space="preserve">Australian Strategic Policy Unit </w:t>
            </w:r>
          </w:p>
          <w:p w:rsidR="00EA0D47" w:rsidRPr="007210B2" w:rsidRDefault="00EA0D47" w:rsidP="00EA0D47">
            <w:pPr>
              <w:rPr>
                <w:rFonts w:ascii="Times New Roman" w:hAnsi="Times New Roman" w:cs="Times New Roman"/>
              </w:rPr>
            </w:pPr>
            <w:r w:rsidRPr="007210B2">
              <w:rPr>
                <w:rFonts w:ascii="Times New Roman" w:hAnsi="Times New Roman" w:cs="Times New Roman"/>
              </w:rPr>
              <w:t>Australian National University</w:t>
            </w:r>
          </w:p>
          <w:p w:rsidR="00EA0D47" w:rsidRPr="007210B2" w:rsidRDefault="00EA0D47" w:rsidP="00EA0D47">
            <w:pPr>
              <w:rPr>
                <w:rFonts w:ascii="Times New Roman" w:hAnsi="Times New Roman" w:cs="Times New Roman"/>
              </w:rPr>
            </w:pPr>
            <w:r>
              <w:rPr>
                <w:rFonts w:ascii="Times New Roman" w:hAnsi="Times New Roman" w:cs="Times New Roman"/>
              </w:rPr>
              <w:t xml:space="preserve">Australian </w:t>
            </w:r>
            <w:r w:rsidRPr="007210B2">
              <w:rPr>
                <w:rFonts w:ascii="Times New Roman" w:hAnsi="Times New Roman" w:cs="Times New Roman"/>
              </w:rPr>
              <w:t>Council for International Development</w:t>
            </w:r>
          </w:p>
          <w:p w:rsidR="00EA0D47" w:rsidRPr="007210B2" w:rsidRDefault="00EA0D47" w:rsidP="00EA0D47">
            <w:pPr>
              <w:rPr>
                <w:rFonts w:ascii="Times New Roman" w:hAnsi="Times New Roman" w:cs="Times New Roman"/>
                <w:i/>
              </w:rPr>
            </w:pPr>
            <w:r w:rsidRPr="007210B2">
              <w:rPr>
                <w:rFonts w:ascii="Times New Roman" w:hAnsi="Times New Roman" w:cs="Times New Roman"/>
                <w:i/>
              </w:rPr>
              <w:t xml:space="preserve">PNG Experts </w:t>
            </w:r>
          </w:p>
          <w:p w:rsidR="00EA0D47" w:rsidRPr="007210B2" w:rsidRDefault="00EA0D47" w:rsidP="00EA0D47">
            <w:pPr>
              <w:rPr>
                <w:rFonts w:ascii="Times New Roman" w:hAnsi="Times New Roman" w:cs="Times New Roman"/>
              </w:rPr>
            </w:pPr>
            <w:r w:rsidRPr="007210B2">
              <w:rPr>
                <w:rFonts w:ascii="Times New Roman" w:hAnsi="Times New Roman" w:cs="Times New Roman"/>
              </w:rPr>
              <w:t>Ian Kemish</w:t>
            </w:r>
          </w:p>
          <w:p w:rsidR="00EA0D47" w:rsidRPr="007210B2" w:rsidRDefault="00EA0D47" w:rsidP="00EA0D47">
            <w:pPr>
              <w:rPr>
                <w:rFonts w:ascii="Times New Roman" w:hAnsi="Times New Roman" w:cs="Times New Roman"/>
              </w:rPr>
            </w:pPr>
            <w:r w:rsidRPr="007210B2">
              <w:rPr>
                <w:rFonts w:ascii="Times New Roman" w:hAnsi="Times New Roman" w:cs="Times New Roman"/>
              </w:rPr>
              <w:t xml:space="preserve">Ian Prentice </w:t>
            </w:r>
          </w:p>
          <w:p w:rsidR="00EA0D47" w:rsidRPr="007210B2" w:rsidRDefault="00EA0D47" w:rsidP="00EA0D47">
            <w:pPr>
              <w:rPr>
                <w:rFonts w:ascii="Times New Roman" w:hAnsi="Times New Roman" w:cs="Times New Roman"/>
              </w:rPr>
            </w:pPr>
            <w:r w:rsidRPr="007210B2">
              <w:rPr>
                <w:rFonts w:ascii="Times New Roman" w:hAnsi="Times New Roman" w:cs="Times New Roman"/>
              </w:rPr>
              <w:t>Grant Mitchell</w:t>
            </w:r>
          </w:p>
        </w:tc>
      </w:tr>
    </w:tbl>
    <w:p w:rsidR="003366EA" w:rsidRPr="007210B2" w:rsidRDefault="003366EA" w:rsidP="00B4261C">
      <w:pPr>
        <w:pStyle w:val="NormalWeb"/>
        <w:spacing w:before="0" w:beforeAutospacing="0" w:after="0" w:afterAutospacing="0"/>
        <w:jc w:val="both"/>
        <w:rPr>
          <w:b/>
        </w:rPr>
      </w:pPr>
    </w:p>
    <w:sectPr w:rsidR="003366EA" w:rsidRPr="007210B2" w:rsidSect="00040DF3">
      <w:headerReference w:type="even" r:id="rId10"/>
      <w:headerReference w:type="default" r:id="rId11"/>
      <w:footerReference w:type="even" r:id="rId12"/>
      <w:footerReference w:type="default" r:id="rId13"/>
      <w:headerReference w:type="first" r:id="rId14"/>
      <w:footerReference w:type="first" r:id="rId15"/>
      <w:pgSz w:w="11906" w:h="16838"/>
      <w:pgMar w:top="1440" w:right="1191" w:bottom="119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A4" w:rsidRDefault="00FE2EA4" w:rsidP="00147ED8">
      <w:r>
        <w:separator/>
      </w:r>
    </w:p>
  </w:endnote>
  <w:endnote w:type="continuationSeparator" w:id="0">
    <w:p w:rsidR="00FE2EA4" w:rsidRDefault="00FE2EA4" w:rsidP="00147ED8">
      <w:r>
        <w:continuationSeparator/>
      </w:r>
    </w:p>
  </w:endnote>
  <w:endnote w:type="continuationNotice" w:id="1">
    <w:p w:rsidR="00FE2EA4" w:rsidRDefault="00FE2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DA" w:rsidRDefault="000217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324562"/>
      <w:docPartObj>
        <w:docPartGallery w:val="Page Numbers (Bottom of Page)"/>
        <w:docPartUnique/>
      </w:docPartObj>
    </w:sdtPr>
    <w:sdtEndPr>
      <w:rPr>
        <w:noProof/>
      </w:rPr>
    </w:sdtEndPr>
    <w:sdtContent>
      <w:p w:rsidR="003366EA" w:rsidRDefault="00DC5575">
        <w:pPr>
          <w:pStyle w:val="Footer"/>
          <w:jc w:val="right"/>
        </w:pPr>
        <w:r>
          <w:fldChar w:fldCharType="begin"/>
        </w:r>
        <w:r w:rsidR="003366EA">
          <w:instrText xml:space="preserve"> PAGE   \* MERGEFORMAT </w:instrText>
        </w:r>
        <w:r>
          <w:fldChar w:fldCharType="separate"/>
        </w:r>
        <w:r w:rsidR="00FF0601">
          <w:rPr>
            <w:noProof/>
          </w:rPr>
          <w:t>1</w:t>
        </w:r>
        <w:r>
          <w:rPr>
            <w:noProof/>
          </w:rPr>
          <w:fldChar w:fldCharType="end"/>
        </w:r>
      </w:p>
    </w:sdtContent>
  </w:sdt>
  <w:p w:rsidR="003366EA" w:rsidRDefault="003366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DA" w:rsidRDefault="00021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A4" w:rsidRDefault="00FE2EA4" w:rsidP="00147ED8">
      <w:r>
        <w:separator/>
      </w:r>
    </w:p>
  </w:footnote>
  <w:footnote w:type="continuationSeparator" w:id="0">
    <w:p w:rsidR="00FE2EA4" w:rsidRDefault="00FE2EA4" w:rsidP="00147ED8">
      <w:r>
        <w:continuationSeparator/>
      </w:r>
    </w:p>
  </w:footnote>
  <w:footnote w:type="continuationNotice" w:id="1">
    <w:p w:rsidR="00FE2EA4" w:rsidRDefault="00FE2E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DA" w:rsidRDefault="000217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6EA" w:rsidRDefault="003366EA" w:rsidP="003366EA">
    <w:pPr>
      <w:rPr>
        <w:rFonts w:ascii="Century Schoolbook" w:hAnsi="Century Schoolbook" w:cs="Arial"/>
        <w:b/>
        <w:sz w:val="23"/>
        <w:szCs w:val="23"/>
      </w:rPr>
    </w:pPr>
    <w:r>
      <w:rPr>
        <w:noProof/>
        <w:lang w:eastAsia="en-AU"/>
      </w:rPr>
      <w:drawing>
        <wp:inline distT="0" distB="0" distL="0" distR="0">
          <wp:extent cx="3053715" cy="664210"/>
          <wp:effectExtent l="0" t="0" r="0" b="2540"/>
          <wp:docPr id="1" name="Picture 1" descr="DFAT_strip"/>
          <wp:cNvGraphicFramePr/>
          <a:graphic xmlns:a="http://schemas.openxmlformats.org/drawingml/2006/main">
            <a:graphicData uri="http://schemas.openxmlformats.org/drawingml/2006/picture">
              <pic:pic xmlns:pic="http://schemas.openxmlformats.org/drawingml/2006/picture">
                <pic:nvPicPr>
                  <pic:cNvPr id="1" name="Picture 1" descr="DFAT_stri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3715" cy="664210"/>
                  </a:xfrm>
                  <a:prstGeom prst="rect">
                    <a:avLst/>
                  </a:prstGeom>
                  <a:noFill/>
                  <a:ln>
                    <a:noFill/>
                  </a:ln>
                </pic:spPr>
              </pic:pic>
            </a:graphicData>
          </a:graphic>
        </wp:inline>
      </w:drawing>
    </w:r>
  </w:p>
  <w:p w:rsidR="003366EA" w:rsidRPr="006A6CCB" w:rsidRDefault="003366EA" w:rsidP="003366EA">
    <w:pPr>
      <w:jc w:val="center"/>
      <w:rPr>
        <w:rFonts w:ascii="Century Schoolbook" w:hAnsi="Century Schoolbook" w:cs="Arial"/>
        <w:b/>
        <w:sz w:val="20"/>
        <w:szCs w:val="20"/>
      </w:rPr>
    </w:pPr>
    <w:r w:rsidRPr="006A6CCB">
      <w:rPr>
        <w:rFonts w:ascii="Century Schoolbook" w:hAnsi="Century Schoolbook" w:cs="Arial"/>
        <w:b/>
        <w:sz w:val="20"/>
        <w:szCs w:val="20"/>
      </w:rPr>
      <w:t xml:space="preserve">A NEW DIRECTION FOR AUSTRALIAN AID IN PNG: </w:t>
    </w:r>
  </w:p>
  <w:p w:rsidR="003366EA" w:rsidRDefault="003366EA" w:rsidP="003366EA">
    <w:pPr>
      <w:pStyle w:val="Header"/>
      <w:jc w:val="center"/>
    </w:pPr>
    <w:r>
      <w:rPr>
        <w:rFonts w:ascii="Century Schoolbook" w:hAnsi="Century Schoolbook" w:cs="Arial"/>
        <w:b/>
        <w:sz w:val="20"/>
        <w:szCs w:val="20"/>
      </w:rPr>
      <w:t>REFOCUSING</w:t>
    </w:r>
    <w:r w:rsidRPr="006A6CCB">
      <w:rPr>
        <w:rFonts w:ascii="Century Schoolbook" w:hAnsi="Century Schoolbook" w:cs="Arial"/>
        <w:b/>
        <w:sz w:val="20"/>
        <w:szCs w:val="20"/>
      </w:rPr>
      <w:t xml:space="preserve"> AUSTRALIAN AID TO</w:t>
    </w:r>
    <w:r w:rsidR="0091707E">
      <w:rPr>
        <w:rFonts w:ascii="Century Schoolbook" w:hAnsi="Century Schoolbook" w:cs="Arial"/>
        <w:b/>
        <w:sz w:val="20"/>
        <w:szCs w:val="20"/>
      </w:rPr>
      <w:t xml:space="preserve"> HELP</w:t>
    </w:r>
    <w:r w:rsidRPr="006A6CCB">
      <w:rPr>
        <w:rFonts w:ascii="Century Schoolbook" w:hAnsi="Century Schoolbook" w:cs="Arial"/>
        <w:b/>
        <w:sz w:val="20"/>
        <w:szCs w:val="20"/>
      </w:rPr>
      <w:t xml:space="preserve"> UNLOCK PNG’S ECONOMIC POTENTIAL</w:t>
    </w:r>
  </w:p>
  <w:p w:rsidR="00734CBE" w:rsidRDefault="00734C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DA" w:rsidRDefault="000217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3AB"/>
    <w:multiLevelType w:val="hybridMultilevel"/>
    <w:tmpl w:val="953A4C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015B50"/>
    <w:multiLevelType w:val="hybridMultilevel"/>
    <w:tmpl w:val="A9384C58"/>
    <w:lvl w:ilvl="0" w:tplc="4ADE863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3BE3D78"/>
    <w:multiLevelType w:val="hybridMultilevel"/>
    <w:tmpl w:val="C7720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DA7D47"/>
    <w:multiLevelType w:val="hybridMultilevel"/>
    <w:tmpl w:val="6D36111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05B177F4"/>
    <w:multiLevelType w:val="hybridMultilevel"/>
    <w:tmpl w:val="34F4EF4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13D50A79"/>
    <w:multiLevelType w:val="hybridMultilevel"/>
    <w:tmpl w:val="07EE9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6305B6"/>
    <w:multiLevelType w:val="hybridMultilevel"/>
    <w:tmpl w:val="B1F466E6"/>
    <w:lvl w:ilvl="0" w:tplc="4ADE8634">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16D0791"/>
    <w:multiLevelType w:val="hybridMultilevel"/>
    <w:tmpl w:val="10E2097E"/>
    <w:lvl w:ilvl="0" w:tplc="4D16C116">
      <w:start w:val="7"/>
      <w:numFmt w:val="decimal"/>
      <w:lvlText w:val="%1."/>
      <w:lvlJc w:val="left"/>
      <w:pPr>
        <w:ind w:left="720" w:hanging="360"/>
      </w:pPr>
      <w:rPr>
        <w:rFonts w:asciiTheme="minorHAnsi" w:hAnsiTheme="minorHAns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F02299D"/>
    <w:multiLevelType w:val="hybridMultilevel"/>
    <w:tmpl w:val="D8A61A88"/>
    <w:lvl w:ilvl="0" w:tplc="72F6B2D0">
      <w:start w:val="2"/>
      <w:numFmt w:val="decimal"/>
      <w:lvlText w:val="%1."/>
      <w:lvlJc w:val="left"/>
      <w:pPr>
        <w:ind w:left="284" w:hanging="284"/>
      </w:pPr>
      <w:rPr>
        <w:rFonts w:hint="default"/>
      </w:rPr>
    </w:lvl>
    <w:lvl w:ilvl="1" w:tplc="5920977C">
      <w:start w:val="2"/>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12A4D8B"/>
    <w:multiLevelType w:val="hybridMultilevel"/>
    <w:tmpl w:val="0592F7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A5A5B5C"/>
    <w:multiLevelType w:val="hybridMultilevel"/>
    <w:tmpl w:val="397CB136"/>
    <w:lvl w:ilvl="0" w:tplc="89C24F94">
      <w:start w:val="2"/>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41297904"/>
    <w:multiLevelType w:val="hybridMultilevel"/>
    <w:tmpl w:val="953A4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D0C14"/>
    <w:multiLevelType w:val="hybridMultilevel"/>
    <w:tmpl w:val="016CE5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F5064AE"/>
    <w:multiLevelType w:val="hybridMultilevel"/>
    <w:tmpl w:val="FF18C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432CD4"/>
    <w:multiLevelType w:val="hybridMultilevel"/>
    <w:tmpl w:val="011257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2186D02"/>
    <w:multiLevelType w:val="hybridMultilevel"/>
    <w:tmpl w:val="5DC4B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4ED12B3"/>
    <w:multiLevelType w:val="hybridMultilevel"/>
    <w:tmpl w:val="F23C8DEA"/>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B5587B0C">
      <w:start w:val="1"/>
      <w:numFmt w:val="decimal"/>
      <w:lvlText w:val="%4."/>
      <w:lvlJc w:val="left"/>
      <w:pPr>
        <w:ind w:left="2520" w:hanging="360"/>
      </w:pPr>
      <w:rPr>
        <w:b w:val="0"/>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68E2722B"/>
    <w:multiLevelType w:val="hybridMultilevel"/>
    <w:tmpl w:val="13C23EFA"/>
    <w:lvl w:ilvl="0" w:tplc="041CEB30">
      <w:start w:val="1"/>
      <w:numFmt w:val="decimal"/>
      <w:lvlText w:val="%1."/>
      <w:lvlJc w:val="left"/>
      <w:pPr>
        <w:ind w:left="284" w:hanging="284"/>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AF2D61"/>
    <w:multiLevelType w:val="hybridMultilevel"/>
    <w:tmpl w:val="435EFA94"/>
    <w:lvl w:ilvl="0" w:tplc="5920977C">
      <w:start w:val="2"/>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79087EB8"/>
    <w:multiLevelType w:val="hybridMultilevel"/>
    <w:tmpl w:val="442A7E30"/>
    <w:lvl w:ilvl="0" w:tplc="5B1A7984">
      <w:start w:val="7"/>
      <w:numFmt w:val="decimal"/>
      <w:lvlText w:val="%1."/>
      <w:lvlJc w:val="left"/>
      <w:pPr>
        <w:ind w:left="360" w:hanging="360"/>
      </w:pPr>
      <w:rPr>
        <w:rFonts w:ascii="Times New Roman" w:hAnsi="Times New Roman" w:cs="Times New Roman" w:hint="default"/>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A0E5043"/>
    <w:multiLevelType w:val="hybridMultilevel"/>
    <w:tmpl w:val="0B62F3B8"/>
    <w:lvl w:ilvl="0" w:tplc="97FE96E2">
      <w:start w:val="2"/>
      <w:numFmt w:val="decimal"/>
      <w:lvlText w:val="%1."/>
      <w:lvlJc w:val="left"/>
      <w:pPr>
        <w:ind w:left="227" w:hanging="227"/>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C620721"/>
    <w:multiLevelType w:val="hybridMultilevel"/>
    <w:tmpl w:val="19A4F974"/>
    <w:lvl w:ilvl="0" w:tplc="72F6B2D0">
      <w:start w:val="2"/>
      <w:numFmt w:val="decimal"/>
      <w:lvlText w:val="%1."/>
      <w:lvlJc w:val="left"/>
      <w:pPr>
        <w:ind w:left="284" w:hanging="284"/>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7"/>
  </w:num>
  <w:num w:numId="3">
    <w:abstractNumId w:val="11"/>
  </w:num>
  <w:num w:numId="4">
    <w:abstractNumId w:val="5"/>
  </w:num>
  <w:num w:numId="5">
    <w:abstractNumId w:val="2"/>
  </w:num>
  <w:num w:numId="6">
    <w:abstractNumId w:val="14"/>
  </w:num>
  <w:num w:numId="7">
    <w:abstractNumId w:val="15"/>
  </w:num>
  <w:num w:numId="8">
    <w:abstractNumId w:val="16"/>
  </w:num>
  <w:num w:numId="9">
    <w:abstractNumId w:val="0"/>
  </w:num>
  <w:num w:numId="10">
    <w:abstractNumId w:val="13"/>
  </w:num>
  <w:num w:numId="11">
    <w:abstractNumId w:val="17"/>
  </w:num>
  <w:num w:numId="12">
    <w:abstractNumId w:val="9"/>
  </w:num>
  <w:num w:numId="13">
    <w:abstractNumId w:val="3"/>
  </w:num>
  <w:num w:numId="14">
    <w:abstractNumId w:val="12"/>
  </w:num>
  <w:num w:numId="15">
    <w:abstractNumId w:val="21"/>
  </w:num>
  <w:num w:numId="16">
    <w:abstractNumId w:val="1"/>
  </w:num>
  <w:num w:numId="17">
    <w:abstractNumId w:val="6"/>
  </w:num>
  <w:num w:numId="18">
    <w:abstractNumId w:val="20"/>
  </w:num>
  <w:num w:numId="19">
    <w:abstractNumId w:val="4"/>
  </w:num>
  <w:num w:numId="20">
    <w:abstractNumId w:val="7"/>
  </w:num>
  <w:num w:numId="21">
    <w:abstractNumId w:val="19"/>
  </w:num>
  <w:num w:numId="22">
    <w:abstractNumId w:val="8"/>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54"/>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ED8"/>
    <w:rsid w:val="0000560A"/>
    <w:rsid w:val="00013851"/>
    <w:rsid w:val="00020417"/>
    <w:rsid w:val="000217DA"/>
    <w:rsid w:val="00036135"/>
    <w:rsid w:val="00040DF3"/>
    <w:rsid w:val="00052295"/>
    <w:rsid w:val="00052511"/>
    <w:rsid w:val="00064163"/>
    <w:rsid w:val="000668EA"/>
    <w:rsid w:val="0006767D"/>
    <w:rsid w:val="00067821"/>
    <w:rsid w:val="000703C4"/>
    <w:rsid w:val="00090696"/>
    <w:rsid w:val="00092FEE"/>
    <w:rsid w:val="000B43A5"/>
    <w:rsid w:val="000C7F11"/>
    <w:rsid w:val="000E7AD0"/>
    <w:rsid w:val="000F51E2"/>
    <w:rsid w:val="001045AF"/>
    <w:rsid w:val="001128B2"/>
    <w:rsid w:val="001202A1"/>
    <w:rsid w:val="00143A3D"/>
    <w:rsid w:val="00145B45"/>
    <w:rsid w:val="00147ED8"/>
    <w:rsid w:val="00154F5F"/>
    <w:rsid w:val="00160241"/>
    <w:rsid w:val="001634CF"/>
    <w:rsid w:val="00166280"/>
    <w:rsid w:val="00167718"/>
    <w:rsid w:val="001826AF"/>
    <w:rsid w:val="00186EAA"/>
    <w:rsid w:val="00186F8D"/>
    <w:rsid w:val="00194B1B"/>
    <w:rsid w:val="001B49FD"/>
    <w:rsid w:val="001D03C9"/>
    <w:rsid w:val="001D07E0"/>
    <w:rsid w:val="001E4B38"/>
    <w:rsid w:val="001F2296"/>
    <w:rsid w:val="001F58A8"/>
    <w:rsid w:val="002012F7"/>
    <w:rsid w:val="002022F0"/>
    <w:rsid w:val="002035E2"/>
    <w:rsid w:val="002170CD"/>
    <w:rsid w:val="0022278D"/>
    <w:rsid w:val="00225D58"/>
    <w:rsid w:val="0022643B"/>
    <w:rsid w:val="00230403"/>
    <w:rsid w:val="00237071"/>
    <w:rsid w:val="00254FC4"/>
    <w:rsid w:val="00263F36"/>
    <w:rsid w:val="002651F9"/>
    <w:rsid w:val="00270F50"/>
    <w:rsid w:val="002977FC"/>
    <w:rsid w:val="002B57F7"/>
    <w:rsid w:val="00305C6A"/>
    <w:rsid w:val="00305FA0"/>
    <w:rsid w:val="0032071D"/>
    <w:rsid w:val="003212CD"/>
    <w:rsid w:val="003259CF"/>
    <w:rsid w:val="003366EA"/>
    <w:rsid w:val="00344A74"/>
    <w:rsid w:val="00350CFF"/>
    <w:rsid w:val="00360326"/>
    <w:rsid w:val="00371E21"/>
    <w:rsid w:val="00390DD1"/>
    <w:rsid w:val="003B6B72"/>
    <w:rsid w:val="003C71FA"/>
    <w:rsid w:val="003D46AA"/>
    <w:rsid w:val="003E3C94"/>
    <w:rsid w:val="003E4482"/>
    <w:rsid w:val="004044A5"/>
    <w:rsid w:val="00417DCB"/>
    <w:rsid w:val="004213DA"/>
    <w:rsid w:val="00424D89"/>
    <w:rsid w:val="004253FA"/>
    <w:rsid w:val="00427329"/>
    <w:rsid w:val="004437D7"/>
    <w:rsid w:val="00446271"/>
    <w:rsid w:val="00476847"/>
    <w:rsid w:val="004A00FB"/>
    <w:rsid w:val="004C0F2D"/>
    <w:rsid w:val="004C3002"/>
    <w:rsid w:val="004C6830"/>
    <w:rsid w:val="004D38BD"/>
    <w:rsid w:val="004E0230"/>
    <w:rsid w:val="004E10DC"/>
    <w:rsid w:val="004E33BE"/>
    <w:rsid w:val="004E60B6"/>
    <w:rsid w:val="004E7044"/>
    <w:rsid w:val="004F121D"/>
    <w:rsid w:val="00512898"/>
    <w:rsid w:val="00513E0C"/>
    <w:rsid w:val="00514C06"/>
    <w:rsid w:val="005233D9"/>
    <w:rsid w:val="00536998"/>
    <w:rsid w:val="00555871"/>
    <w:rsid w:val="005561BB"/>
    <w:rsid w:val="00567A04"/>
    <w:rsid w:val="00582AED"/>
    <w:rsid w:val="005873C8"/>
    <w:rsid w:val="00595F7C"/>
    <w:rsid w:val="005A3BAE"/>
    <w:rsid w:val="005B5980"/>
    <w:rsid w:val="005C28C1"/>
    <w:rsid w:val="005C3D38"/>
    <w:rsid w:val="005C71E6"/>
    <w:rsid w:val="005E1B58"/>
    <w:rsid w:val="005F74B1"/>
    <w:rsid w:val="00602EC9"/>
    <w:rsid w:val="00606675"/>
    <w:rsid w:val="006102D5"/>
    <w:rsid w:val="00613079"/>
    <w:rsid w:val="00613DA7"/>
    <w:rsid w:val="00614E2E"/>
    <w:rsid w:val="00632B8D"/>
    <w:rsid w:val="00642602"/>
    <w:rsid w:val="0064313C"/>
    <w:rsid w:val="00651766"/>
    <w:rsid w:val="006604AC"/>
    <w:rsid w:val="00667D2C"/>
    <w:rsid w:val="00673C8A"/>
    <w:rsid w:val="00694894"/>
    <w:rsid w:val="006A3142"/>
    <w:rsid w:val="006B6E6E"/>
    <w:rsid w:val="006C3B5A"/>
    <w:rsid w:val="006E3F99"/>
    <w:rsid w:val="006E4EC4"/>
    <w:rsid w:val="006E5802"/>
    <w:rsid w:val="006F5C41"/>
    <w:rsid w:val="007114CC"/>
    <w:rsid w:val="007164DF"/>
    <w:rsid w:val="007210B2"/>
    <w:rsid w:val="00724DB9"/>
    <w:rsid w:val="007309F7"/>
    <w:rsid w:val="00734CBE"/>
    <w:rsid w:val="00746964"/>
    <w:rsid w:val="00751A56"/>
    <w:rsid w:val="00773006"/>
    <w:rsid w:val="0078597D"/>
    <w:rsid w:val="00790FD4"/>
    <w:rsid w:val="00792564"/>
    <w:rsid w:val="00795B21"/>
    <w:rsid w:val="007B2750"/>
    <w:rsid w:val="007B4DA5"/>
    <w:rsid w:val="007C1B3C"/>
    <w:rsid w:val="007C5203"/>
    <w:rsid w:val="007D0534"/>
    <w:rsid w:val="007D77EB"/>
    <w:rsid w:val="007E0E1A"/>
    <w:rsid w:val="007E4600"/>
    <w:rsid w:val="007F0F8D"/>
    <w:rsid w:val="007F36B3"/>
    <w:rsid w:val="007F4D44"/>
    <w:rsid w:val="007F5ADA"/>
    <w:rsid w:val="00813284"/>
    <w:rsid w:val="00815B1F"/>
    <w:rsid w:val="00820E30"/>
    <w:rsid w:val="00824BFB"/>
    <w:rsid w:val="0082736E"/>
    <w:rsid w:val="00832A9C"/>
    <w:rsid w:val="0083309C"/>
    <w:rsid w:val="00843449"/>
    <w:rsid w:val="008450A8"/>
    <w:rsid w:val="00846FC6"/>
    <w:rsid w:val="00855D53"/>
    <w:rsid w:val="00856721"/>
    <w:rsid w:val="00861007"/>
    <w:rsid w:val="00867168"/>
    <w:rsid w:val="00887339"/>
    <w:rsid w:val="00891A76"/>
    <w:rsid w:val="00892A54"/>
    <w:rsid w:val="008A4CE4"/>
    <w:rsid w:val="008A6BB2"/>
    <w:rsid w:val="008B2F42"/>
    <w:rsid w:val="008D3E92"/>
    <w:rsid w:val="008E17B4"/>
    <w:rsid w:val="008F5964"/>
    <w:rsid w:val="009038AB"/>
    <w:rsid w:val="00911D03"/>
    <w:rsid w:val="00913F38"/>
    <w:rsid w:val="0091574B"/>
    <w:rsid w:val="00916F90"/>
    <w:rsid w:val="0091707E"/>
    <w:rsid w:val="00924570"/>
    <w:rsid w:val="0093394B"/>
    <w:rsid w:val="00934118"/>
    <w:rsid w:val="00952ED4"/>
    <w:rsid w:val="00966842"/>
    <w:rsid w:val="00977287"/>
    <w:rsid w:val="00981F27"/>
    <w:rsid w:val="00983E53"/>
    <w:rsid w:val="00994085"/>
    <w:rsid w:val="009959A9"/>
    <w:rsid w:val="009B029E"/>
    <w:rsid w:val="009B696D"/>
    <w:rsid w:val="009C3D0B"/>
    <w:rsid w:val="009D4B48"/>
    <w:rsid w:val="009D7FAC"/>
    <w:rsid w:val="009E7970"/>
    <w:rsid w:val="00A00333"/>
    <w:rsid w:val="00A07F56"/>
    <w:rsid w:val="00A14383"/>
    <w:rsid w:val="00A23F18"/>
    <w:rsid w:val="00A33AE1"/>
    <w:rsid w:val="00A52861"/>
    <w:rsid w:val="00A55181"/>
    <w:rsid w:val="00A632ED"/>
    <w:rsid w:val="00A63BFB"/>
    <w:rsid w:val="00A741FC"/>
    <w:rsid w:val="00A91CBB"/>
    <w:rsid w:val="00A97EE1"/>
    <w:rsid w:val="00AA607E"/>
    <w:rsid w:val="00AD7C8F"/>
    <w:rsid w:val="00AF03C4"/>
    <w:rsid w:val="00AF20EB"/>
    <w:rsid w:val="00B058A1"/>
    <w:rsid w:val="00B10E93"/>
    <w:rsid w:val="00B17120"/>
    <w:rsid w:val="00B25000"/>
    <w:rsid w:val="00B2714E"/>
    <w:rsid w:val="00B4261C"/>
    <w:rsid w:val="00B563EA"/>
    <w:rsid w:val="00B5710A"/>
    <w:rsid w:val="00B623D2"/>
    <w:rsid w:val="00B62778"/>
    <w:rsid w:val="00B635EA"/>
    <w:rsid w:val="00B65BEB"/>
    <w:rsid w:val="00B712C6"/>
    <w:rsid w:val="00B81E7D"/>
    <w:rsid w:val="00B90F18"/>
    <w:rsid w:val="00BA0B84"/>
    <w:rsid w:val="00BA6326"/>
    <w:rsid w:val="00BB328D"/>
    <w:rsid w:val="00BE137E"/>
    <w:rsid w:val="00BF0E9A"/>
    <w:rsid w:val="00C01CD5"/>
    <w:rsid w:val="00C072AC"/>
    <w:rsid w:val="00C072F0"/>
    <w:rsid w:val="00C158E1"/>
    <w:rsid w:val="00C17DEB"/>
    <w:rsid w:val="00C2620D"/>
    <w:rsid w:val="00C327E1"/>
    <w:rsid w:val="00C35DED"/>
    <w:rsid w:val="00C4327F"/>
    <w:rsid w:val="00C45FD4"/>
    <w:rsid w:val="00C5592D"/>
    <w:rsid w:val="00C567CD"/>
    <w:rsid w:val="00C63A5F"/>
    <w:rsid w:val="00C7159F"/>
    <w:rsid w:val="00C839A9"/>
    <w:rsid w:val="00C9471D"/>
    <w:rsid w:val="00CA5E53"/>
    <w:rsid w:val="00CA6371"/>
    <w:rsid w:val="00CA6D01"/>
    <w:rsid w:val="00CB25AE"/>
    <w:rsid w:val="00CB7191"/>
    <w:rsid w:val="00CC2CE0"/>
    <w:rsid w:val="00CD3EF7"/>
    <w:rsid w:val="00CD5A54"/>
    <w:rsid w:val="00CD7AC2"/>
    <w:rsid w:val="00CE2EDE"/>
    <w:rsid w:val="00CF76EF"/>
    <w:rsid w:val="00D005AD"/>
    <w:rsid w:val="00D03DA8"/>
    <w:rsid w:val="00D1603C"/>
    <w:rsid w:val="00D16BB7"/>
    <w:rsid w:val="00D40D2B"/>
    <w:rsid w:val="00D63EB1"/>
    <w:rsid w:val="00D64185"/>
    <w:rsid w:val="00D648AE"/>
    <w:rsid w:val="00D72263"/>
    <w:rsid w:val="00D76363"/>
    <w:rsid w:val="00D80C51"/>
    <w:rsid w:val="00D862D2"/>
    <w:rsid w:val="00DA1F1F"/>
    <w:rsid w:val="00DC1160"/>
    <w:rsid w:val="00DC5575"/>
    <w:rsid w:val="00DD4380"/>
    <w:rsid w:val="00DF44D7"/>
    <w:rsid w:val="00DF516C"/>
    <w:rsid w:val="00E00495"/>
    <w:rsid w:val="00E009D5"/>
    <w:rsid w:val="00E00C6F"/>
    <w:rsid w:val="00E03CDA"/>
    <w:rsid w:val="00E24838"/>
    <w:rsid w:val="00E33FB7"/>
    <w:rsid w:val="00E3704E"/>
    <w:rsid w:val="00E372E1"/>
    <w:rsid w:val="00E37F84"/>
    <w:rsid w:val="00E4207A"/>
    <w:rsid w:val="00E51C11"/>
    <w:rsid w:val="00E558B3"/>
    <w:rsid w:val="00E5691E"/>
    <w:rsid w:val="00E617C2"/>
    <w:rsid w:val="00E8218E"/>
    <w:rsid w:val="00EA0D47"/>
    <w:rsid w:val="00EA4A12"/>
    <w:rsid w:val="00EB0DC9"/>
    <w:rsid w:val="00EB5C78"/>
    <w:rsid w:val="00EB63CE"/>
    <w:rsid w:val="00EC5887"/>
    <w:rsid w:val="00EC7B79"/>
    <w:rsid w:val="00ED0A07"/>
    <w:rsid w:val="00ED784D"/>
    <w:rsid w:val="00EE407E"/>
    <w:rsid w:val="00F05084"/>
    <w:rsid w:val="00F07628"/>
    <w:rsid w:val="00F122DF"/>
    <w:rsid w:val="00F14183"/>
    <w:rsid w:val="00F2048A"/>
    <w:rsid w:val="00F308DA"/>
    <w:rsid w:val="00F429F2"/>
    <w:rsid w:val="00F50783"/>
    <w:rsid w:val="00F613CC"/>
    <w:rsid w:val="00F74E33"/>
    <w:rsid w:val="00F912DA"/>
    <w:rsid w:val="00F92C05"/>
    <w:rsid w:val="00FB239C"/>
    <w:rsid w:val="00FB5553"/>
    <w:rsid w:val="00FD5767"/>
    <w:rsid w:val="00FD66BF"/>
    <w:rsid w:val="00FD7954"/>
    <w:rsid w:val="00FE2EA4"/>
    <w:rsid w:val="00FE42EE"/>
    <w:rsid w:val="00FE62B7"/>
    <w:rsid w:val="00FE63EC"/>
    <w:rsid w:val="00FE6F8A"/>
    <w:rsid w:val="00FF0601"/>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ED8"/>
    <w:rPr>
      <w:color w:val="0000FF"/>
      <w:u w:val="single"/>
    </w:rPr>
  </w:style>
  <w:style w:type="paragraph" w:styleId="FootnoteText">
    <w:name w:val="footnote text"/>
    <w:basedOn w:val="Normal"/>
    <w:link w:val="FootnoteTextChar"/>
    <w:uiPriority w:val="99"/>
    <w:unhideWhenUsed/>
    <w:rsid w:val="00147ED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47ED8"/>
    <w:rPr>
      <w:rFonts w:asciiTheme="minorHAnsi" w:eastAsiaTheme="minorHAnsi" w:hAnsiTheme="minorHAnsi" w:cstheme="minorBidi"/>
      <w:lang w:eastAsia="en-US"/>
    </w:rPr>
  </w:style>
  <w:style w:type="paragraph" w:styleId="ListParagraph">
    <w:name w:val="List Paragraph"/>
    <w:aliases w:val="Evidence on Demand bullet points"/>
    <w:basedOn w:val="Normal"/>
    <w:uiPriority w:val="34"/>
    <w:qFormat/>
    <w:rsid w:val="00147ED8"/>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147ED8"/>
    <w:rPr>
      <w:vertAlign w:val="superscript"/>
    </w:rPr>
  </w:style>
  <w:style w:type="paragraph" w:styleId="BalloonText">
    <w:name w:val="Balloon Text"/>
    <w:basedOn w:val="Normal"/>
    <w:link w:val="BalloonTextChar"/>
    <w:rsid w:val="00BB328D"/>
    <w:rPr>
      <w:rFonts w:ascii="Tahoma" w:hAnsi="Tahoma" w:cs="Tahoma"/>
      <w:sz w:val="16"/>
      <w:szCs w:val="16"/>
    </w:rPr>
  </w:style>
  <w:style w:type="character" w:customStyle="1" w:styleId="BalloonTextChar">
    <w:name w:val="Balloon Text Char"/>
    <w:basedOn w:val="DefaultParagraphFont"/>
    <w:link w:val="BalloonText"/>
    <w:rsid w:val="00BB328D"/>
    <w:rPr>
      <w:rFonts w:ascii="Tahoma" w:hAnsi="Tahoma" w:cs="Tahoma"/>
      <w:sz w:val="16"/>
      <w:szCs w:val="16"/>
      <w:lang w:eastAsia="en-US"/>
    </w:rPr>
  </w:style>
  <w:style w:type="character" w:styleId="CommentReference">
    <w:name w:val="annotation reference"/>
    <w:basedOn w:val="DefaultParagraphFont"/>
    <w:rsid w:val="00C158E1"/>
    <w:rPr>
      <w:sz w:val="16"/>
      <w:szCs w:val="16"/>
    </w:rPr>
  </w:style>
  <w:style w:type="paragraph" w:styleId="CommentText">
    <w:name w:val="annotation text"/>
    <w:basedOn w:val="Normal"/>
    <w:link w:val="CommentTextChar"/>
    <w:rsid w:val="00C158E1"/>
    <w:rPr>
      <w:sz w:val="20"/>
      <w:szCs w:val="20"/>
    </w:rPr>
  </w:style>
  <w:style w:type="character" w:customStyle="1" w:styleId="CommentTextChar">
    <w:name w:val="Comment Text Char"/>
    <w:basedOn w:val="DefaultParagraphFont"/>
    <w:link w:val="CommentText"/>
    <w:rsid w:val="00C158E1"/>
    <w:rPr>
      <w:lang w:eastAsia="en-US"/>
    </w:rPr>
  </w:style>
  <w:style w:type="paragraph" w:styleId="CommentSubject">
    <w:name w:val="annotation subject"/>
    <w:basedOn w:val="CommentText"/>
    <w:next w:val="CommentText"/>
    <w:link w:val="CommentSubjectChar"/>
    <w:rsid w:val="00C158E1"/>
    <w:rPr>
      <w:b/>
      <w:bCs/>
    </w:rPr>
  </w:style>
  <w:style w:type="character" w:customStyle="1" w:styleId="CommentSubjectChar">
    <w:name w:val="Comment Subject Char"/>
    <w:basedOn w:val="CommentTextChar"/>
    <w:link w:val="CommentSubject"/>
    <w:rsid w:val="00C158E1"/>
    <w:rPr>
      <w:b/>
      <w:bCs/>
      <w:lang w:eastAsia="en-US"/>
    </w:rPr>
  </w:style>
  <w:style w:type="paragraph" w:styleId="Revision">
    <w:name w:val="Revision"/>
    <w:hidden/>
    <w:uiPriority w:val="99"/>
    <w:semiHidden/>
    <w:rsid w:val="00C158E1"/>
    <w:rPr>
      <w:sz w:val="24"/>
      <w:szCs w:val="24"/>
      <w:lang w:eastAsia="en-US"/>
    </w:rPr>
  </w:style>
  <w:style w:type="paragraph" w:styleId="Footer">
    <w:name w:val="footer"/>
    <w:basedOn w:val="Normal"/>
    <w:link w:val="FooterChar"/>
    <w:uiPriority w:val="99"/>
    <w:unhideWhenUsed/>
    <w:rsid w:val="00916F9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6F90"/>
    <w:rPr>
      <w:rFonts w:asciiTheme="minorHAnsi" w:eastAsiaTheme="minorHAnsi" w:hAnsiTheme="minorHAnsi" w:cstheme="minorBidi"/>
      <w:sz w:val="22"/>
      <w:szCs w:val="22"/>
      <w:lang w:eastAsia="en-US"/>
    </w:rPr>
  </w:style>
  <w:style w:type="table" w:styleId="TableGrid">
    <w:name w:val="Table Grid"/>
    <w:basedOn w:val="TableNormal"/>
    <w:uiPriority w:val="59"/>
    <w:rsid w:val="00916F9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E17B4"/>
    <w:pPr>
      <w:tabs>
        <w:tab w:val="center" w:pos="4513"/>
        <w:tab w:val="right" w:pos="9026"/>
      </w:tabs>
    </w:pPr>
  </w:style>
  <w:style w:type="character" w:customStyle="1" w:styleId="HeaderChar">
    <w:name w:val="Header Char"/>
    <w:basedOn w:val="DefaultParagraphFont"/>
    <w:link w:val="Header"/>
    <w:rsid w:val="008E17B4"/>
    <w:rPr>
      <w:sz w:val="24"/>
      <w:szCs w:val="24"/>
      <w:lang w:eastAsia="en-US"/>
    </w:rPr>
  </w:style>
  <w:style w:type="paragraph" w:styleId="NormalWeb">
    <w:name w:val="Normal (Web)"/>
    <w:basedOn w:val="Normal"/>
    <w:uiPriority w:val="99"/>
    <w:unhideWhenUsed/>
    <w:rsid w:val="00790FD4"/>
    <w:pPr>
      <w:spacing w:before="100" w:beforeAutospacing="1" w:after="100" w:afterAutospacing="1"/>
    </w:pPr>
    <w:rPr>
      <w:lang w:eastAsia="en-AU"/>
    </w:rPr>
  </w:style>
  <w:style w:type="character" w:styleId="FollowedHyperlink">
    <w:name w:val="FollowedHyperlink"/>
    <w:basedOn w:val="DefaultParagraphFont"/>
    <w:rsid w:val="00790FD4"/>
    <w:rPr>
      <w:color w:val="800080" w:themeColor="followedHyperlink"/>
      <w:u w:val="single"/>
    </w:rPr>
  </w:style>
  <w:style w:type="paragraph" w:styleId="Caption">
    <w:name w:val="caption"/>
    <w:basedOn w:val="Normal"/>
    <w:next w:val="BodyText"/>
    <w:qFormat/>
    <w:rsid w:val="007C5203"/>
    <w:pPr>
      <w:keepNext/>
      <w:spacing w:before="320" w:after="80" w:line="230" w:lineRule="exact"/>
    </w:pPr>
    <w:rPr>
      <w:rFonts w:ascii="Arial" w:hAnsi="Arial"/>
      <w:color w:val="7E6D5F"/>
      <w:szCs w:val="19"/>
      <w:lang w:eastAsia="en-AU"/>
    </w:rPr>
  </w:style>
  <w:style w:type="paragraph" w:styleId="BodyText">
    <w:name w:val="Body Text"/>
    <w:basedOn w:val="Normal"/>
    <w:link w:val="BodyTextChar"/>
    <w:rsid w:val="007C5203"/>
    <w:pPr>
      <w:spacing w:after="120"/>
    </w:pPr>
  </w:style>
  <w:style w:type="character" w:customStyle="1" w:styleId="BodyTextChar">
    <w:name w:val="Body Text Char"/>
    <w:basedOn w:val="DefaultParagraphFont"/>
    <w:link w:val="BodyText"/>
    <w:rsid w:val="007C520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ED8"/>
    <w:rPr>
      <w:color w:val="0000FF"/>
      <w:u w:val="single"/>
    </w:rPr>
  </w:style>
  <w:style w:type="paragraph" w:styleId="FootnoteText">
    <w:name w:val="footnote text"/>
    <w:basedOn w:val="Normal"/>
    <w:link w:val="FootnoteTextChar"/>
    <w:uiPriority w:val="99"/>
    <w:unhideWhenUsed/>
    <w:rsid w:val="00147ED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47ED8"/>
    <w:rPr>
      <w:rFonts w:asciiTheme="minorHAnsi" w:eastAsiaTheme="minorHAnsi" w:hAnsiTheme="minorHAnsi" w:cstheme="minorBidi"/>
      <w:lang w:eastAsia="en-US"/>
    </w:rPr>
  </w:style>
  <w:style w:type="paragraph" w:styleId="ListParagraph">
    <w:name w:val="List Paragraph"/>
    <w:aliases w:val="Evidence on Demand bullet points"/>
    <w:basedOn w:val="Normal"/>
    <w:uiPriority w:val="34"/>
    <w:qFormat/>
    <w:rsid w:val="00147ED8"/>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unhideWhenUsed/>
    <w:rsid w:val="00147ED8"/>
    <w:rPr>
      <w:vertAlign w:val="superscript"/>
    </w:rPr>
  </w:style>
  <w:style w:type="paragraph" w:styleId="BalloonText">
    <w:name w:val="Balloon Text"/>
    <w:basedOn w:val="Normal"/>
    <w:link w:val="BalloonTextChar"/>
    <w:rsid w:val="00BB328D"/>
    <w:rPr>
      <w:rFonts w:ascii="Tahoma" w:hAnsi="Tahoma" w:cs="Tahoma"/>
      <w:sz w:val="16"/>
      <w:szCs w:val="16"/>
    </w:rPr>
  </w:style>
  <w:style w:type="character" w:customStyle="1" w:styleId="BalloonTextChar">
    <w:name w:val="Balloon Text Char"/>
    <w:basedOn w:val="DefaultParagraphFont"/>
    <w:link w:val="BalloonText"/>
    <w:rsid w:val="00BB328D"/>
    <w:rPr>
      <w:rFonts w:ascii="Tahoma" w:hAnsi="Tahoma" w:cs="Tahoma"/>
      <w:sz w:val="16"/>
      <w:szCs w:val="16"/>
      <w:lang w:eastAsia="en-US"/>
    </w:rPr>
  </w:style>
  <w:style w:type="character" w:styleId="CommentReference">
    <w:name w:val="annotation reference"/>
    <w:basedOn w:val="DefaultParagraphFont"/>
    <w:rsid w:val="00C158E1"/>
    <w:rPr>
      <w:sz w:val="16"/>
      <w:szCs w:val="16"/>
    </w:rPr>
  </w:style>
  <w:style w:type="paragraph" w:styleId="CommentText">
    <w:name w:val="annotation text"/>
    <w:basedOn w:val="Normal"/>
    <w:link w:val="CommentTextChar"/>
    <w:rsid w:val="00C158E1"/>
    <w:rPr>
      <w:sz w:val="20"/>
      <w:szCs w:val="20"/>
    </w:rPr>
  </w:style>
  <w:style w:type="character" w:customStyle="1" w:styleId="CommentTextChar">
    <w:name w:val="Comment Text Char"/>
    <w:basedOn w:val="DefaultParagraphFont"/>
    <w:link w:val="CommentText"/>
    <w:rsid w:val="00C158E1"/>
    <w:rPr>
      <w:lang w:eastAsia="en-US"/>
    </w:rPr>
  </w:style>
  <w:style w:type="paragraph" w:styleId="CommentSubject">
    <w:name w:val="annotation subject"/>
    <w:basedOn w:val="CommentText"/>
    <w:next w:val="CommentText"/>
    <w:link w:val="CommentSubjectChar"/>
    <w:rsid w:val="00C158E1"/>
    <w:rPr>
      <w:b/>
      <w:bCs/>
    </w:rPr>
  </w:style>
  <w:style w:type="character" w:customStyle="1" w:styleId="CommentSubjectChar">
    <w:name w:val="Comment Subject Char"/>
    <w:basedOn w:val="CommentTextChar"/>
    <w:link w:val="CommentSubject"/>
    <w:rsid w:val="00C158E1"/>
    <w:rPr>
      <w:b/>
      <w:bCs/>
      <w:lang w:eastAsia="en-US"/>
    </w:rPr>
  </w:style>
  <w:style w:type="paragraph" w:styleId="Revision">
    <w:name w:val="Revision"/>
    <w:hidden/>
    <w:uiPriority w:val="99"/>
    <w:semiHidden/>
    <w:rsid w:val="00C158E1"/>
    <w:rPr>
      <w:sz w:val="24"/>
      <w:szCs w:val="24"/>
      <w:lang w:eastAsia="en-US"/>
    </w:rPr>
  </w:style>
  <w:style w:type="paragraph" w:styleId="Footer">
    <w:name w:val="footer"/>
    <w:basedOn w:val="Normal"/>
    <w:link w:val="FooterChar"/>
    <w:uiPriority w:val="99"/>
    <w:unhideWhenUsed/>
    <w:rsid w:val="00916F9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16F90"/>
    <w:rPr>
      <w:rFonts w:asciiTheme="minorHAnsi" w:eastAsiaTheme="minorHAnsi" w:hAnsiTheme="minorHAnsi" w:cstheme="minorBidi"/>
      <w:sz w:val="22"/>
      <w:szCs w:val="22"/>
      <w:lang w:eastAsia="en-US"/>
    </w:rPr>
  </w:style>
  <w:style w:type="table" w:styleId="TableGrid">
    <w:name w:val="Table Grid"/>
    <w:basedOn w:val="TableNormal"/>
    <w:uiPriority w:val="59"/>
    <w:rsid w:val="00916F9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E17B4"/>
    <w:pPr>
      <w:tabs>
        <w:tab w:val="center" w:pos="4513"/>
        <w:tab w:val="right" w:pos="9026"/>
      </w:tabs>
    </w:pPr>
  </w:style>
  <w:style w:type="character" w:customStyle="1" w:styleId="HeaderChar">
    <w:name w:val="Header Char"/>
    <w:basedOn w:val="DefaultParagraphFont"/>
    <w:link w:val="Header"/>
    <w:rsid w:val="008E17B4"/>
    <w:rPr>
      <w:sz w:val="24"/>
      <w:szCs w:val="24"/>
      <w:lang w:eastAsia="en-US"/>
    </w:rPr>
  </w:style>
  <w:style w:type="paragraph" w:styleId="NormalWeb">
    <w:name w:val="Normal (Web)"/>
    <w:basedOn w:val="Normal"/>
    <w:uiPriority w:val="99"/>
    <w:unhideWhenUsed/>
    <w:rsid w:val="00790FD4"/>
    <w:pPr>
      <w:spacing w:before="100" w:beforeAutospacing="1" w:after="100" w:afterAutospacing="1"/>
    </w:pPr>
    <w:rPr>
      <w:lang w:eastAsia="en-AU"/>
    </w:rPr>
  </w:style>
  <w:style w:type="character" w:styleId="FollowedHyperlink">
    <w:name w:val="FollowedHyperlink"/>
    <w:basedOn w:val="DefaultParagraphFont"/>
    <w:rsid w:val="00790FD4"/>
    <w:rPr>
      <w:color w:val="800080" w:themeColor="followedHyperlink"/>
      <w:u w:val="single"/>
    </w:rPr>
  </w:style>
  <w:style w:type="paragraph" w:styleId="Caption">
    <w:name w:val="caption"/>
    <w:basedOn w:val="Normal"/>
    <w:next w:val="BodyText"/>
    <w:qFormat/>
    <w:rsid w:val="007C5203"/>
    <w:pPr>
      <w:keepNext/>
      <w:spacing w:before="320" w:after="80" w:line="230" w:lineRule="exact"/>
    </w:pPr>
    <w:rPr>
      <w:rFonts w:ascii="Arial" w:hAnsi="Arial"/>
      <w:color w:val="7E6D5F"/>
      <w:szCs w:val="19"/>
      <w:lang w:eastAsia="en-AU"/>
    </w:rPr>
  </w:style>
  <w:style w:type="paragraph" w:styleId="BodyText">
    <w:name w:val="Body Text"/>
    <w:basedOn w:val="Normal"/>
    <w:link w:val="BodyTextChar"/>
    <w:rsid w:val="007C5203"/>
    <w:pPr>
      <w:spacing w:after="120"/>
    </w:pPr>
  </w:style>
  <w:style w:type="character" w:customStyle="1" w:styleId="BodyTextChar">
    <w:name w:val="Body Text Char"/>
    <w:basedOn w:val="DefaultParagraphFont"/>
    <w:link w:val="BodyText"/>
    <w:rsid w:val="007C52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1334">
      <w:bodyDiv w:val="1"/>
      <w:marLeft w:val="0"/>
      <w:marRight w:val="0"/>
      <w:marTop w:val="0"/>
      <w:marBottom w:val="0"/>
      <w:divBdr>
        <w:top w:val="none" w:sz="0" w:space="0" w:color="auto"/>
        <w:left w:val="none" w:sz="0" w:space="0" w:color="auto"/>
        <w:bottom w:val="none" w:sz="0" w:space="0" w:color="auto"/>
        <w:right w:val="none" w:sz="0" w:space="0" w:color="auto"/>
      </w:divBdr>
    </w:div>
    <w:div w:id="198130424">
      <w:bodyDiv w:val="1"/>
      <w:marLeft w:val="0"/>
      <w:marRight w:val="0"/>
      <w:marTop w:val="0"/>
      <w:marBottom w:val="0"/>
      <w:divBdr>
        <w:top w:val="none" w:sz="0" w:space="0" w:color="auto"/>
        <w:left w:val="none" w:sz="0" w:space="0" w:color="auto"/>
        <w:bottom w:val="none" w:sz="0" w:space="0" w:color="auto"/>
        <w:right w:val="none" w:sz="0" w:space="0" w:color="auto"/>
      </w:divBdr>
    </w:div>
    <w:div w:id="348872900">
      <w:bodyDiv w:val="1"/>
      <w:marLeft w:val="0"/>
      <w:marRight w:val="0"/>
      <w:marTop w:val="0"/>
      <w:marBottom w:val="0"/>
      <w:divBdr>
        <w:top w:val="none" w:sz="0" w:space="0" w:color="auto"/>
        <w:left w:val="none" w:sz="0" w:space="0" w:color="auto"/>
        <w:bottom w:val="none" w:sz="0" w:space="0" w:color="auto"/>
        <w:right w:val="none" w:sz="0" w:space="0" w:color="auto"/>
      </w:divBdr>
    </w:div>
    <w:div w:id="352196634">
      <w:bodyDiv w:val="1"/>
      <w:marLeft w:val="0"/>
      <w:marRight w:val="0"/>
      <w:marTop w:val="0"/>
      <w:marBottom w:val="0"/>
      <w:divBdr>
        <w:top w:val="none" w:sz="0" w:space="0" w:color="auto"/>
        <w:left w:val="none" w:sz="0" w:space="0" w:color="auto"/>
        <w:bottom w:val="none" w:sz="0" w:space="0" w:color="auto"/>
        <w:right w:val="none" w:sz="0" w:space="0" w:color="auto"/>
      </w:divBdr>
    </w:div>
    <w:div w:id="381103662">
      <w:bodyDiv w:val="1"/>
      <w:marLeft w:val="0"/>
      <w:marRight w:val="0"/>
      <w:marTop w:val="0"/>
      <w:marBottom w:val="0"/>
      <w:divBdr>
        <w:top w:val="none" w:sz="0" w:space="0" w:color="auto"/>
        <w:left w:val="none" w:sz="0" w:space="0" w:color="auto"/>
        <w:bottom w:val="none" w:sz="0" w:space="0" w:color="auto"/>
        <w:right w:val="none" w:sz="0" w:space="0" w:color="auto"/>
      </w:divBdr>
    </w:div>
    <w:div w:id="463276531">
      <w:bodyDiv w:val="1"/>
      <w:marLeft w:val="0"/>
      <w:marRight w:val="0"/>
      <w:marTop w:val="0"/>
      <w:marBottom w:val="0"/>
      <w:divBdr>
        <w:top w:val="none" w:sz="0" w:space="0" w:color="auto"/>
        <w:left w:val="none" w:sz="0" w:space="0" w:color="auto"/>
        <w:bottom w:val="none" w:sz="0" w:space="0" w:color="auto"/>
        <w:right w:val="none" w:sz="0" w:space="0" w:color="auto"/>
      </w:divBdr>
    </w:div>
    <w:div w:id="503592164">
      <w:bodyDiv w:val="1"/>
      <w:marLeft w:val="0"/>
      <w:marRight w:val="0"/>
      <w:marTop w:val="0"/>
      <w:marBottom w:val="0"/>
      <w:divBdr>
        <w:top w:val="none" w:sz="0" w:space="0" w:color="auto"/>
        <w:left w:val="none" w:sz="0" w:space="0" w:color="auto"/>
        <w:bottom w:val="none" w:sz="0" w:space="0" w:color="auto"/>
        <w:right w:val="none" w:sz="0" w:space="0" w:color="auto"/>
      </w:divBdr>
    </w:div>
    <w:div w:id="721443926">
      <w:bodyDiv w:val="1"/>
      <w:marLeft w:val="0"/>
      <w:marRight w:val="0"/>
      <w:marTop w:val="0"/>
      <w:marBottom w:val="0"/>
      <w:divBdr>
        <w:top w:val="none" w:sz="0" w:space="0" w:color="auto"/>
        <w:left w:val="none" w:sz="0" w:space="0" w:color="auto"/>
        <w:bottom w:val="none" w:sz="0" w:space="0" w:color="auto"/>
        <w:right w:val="none" w:sz="0" w:space="0" w:color="auto"/>
      </w:divBdr>
    </w:div>
    <w:div w:id="757942203">
      <w:bodyDiv w:val="1"/>
      <w:marLeft w:val="0"/>
      <w:marRight w:val="0"/>
      <w:marTop w:val="0"/>
      <w:marBottom w:val="0"/>
      <w:divBdr>
        <w:top w:val="none" w:sz="0" w:space="0" w:color="auto"/>
        <w:left w:val="none" w:sz="0" w:space="0" w:color="auto"/>
        <w:bottom w:val="none" w:sz="0" w:space="0" w:color="auto"/>
        <w:right w:val="none" w:sz="0" w:space="0" w:color="auto"/>
      </w:divBdr>
    </w:div>
    <w:div w:id="814100054">
      <w:bodyDiv w:val="1"/>
      <w:marLeft w:val="0"/>
      <w:marRight w:val="0"/>
      <w:marTop w:val="0"/>
      <w:marBottom w:val="0"/>
      <w:divBdr>
        <w:top w:val="none" w:sz="0" w:space="0" w:color="auto"/>
        <w:left w:val="none" w:sz="0" w:space="0" w:color="auto"/>
        <w:bottom w:val="none" w:sz="0" w:space="0" w:color="auto"/>
        <w:right w:val="none" w:sz="0" w:space="0" w:color="auto"/>
      </w:divBdr>
    </w:div>
    <w:div w:id="846410317">
      <w:bodyDiv w:val="1"/>
      <w:marLeft w:val="0"/>
      <w:marRight w:val="0"/>
      <w:marTop w:val="0"/>
      <w:marBottom w:val="0"/>
      <w:divBdr>
        <w:top w:val="none" w:sz="0" w:space="0" w:color="auto"/>
        <w:left w:val="none" w:sz="0" w:space="0" w:color="auto"/>
        <w:bottom w:val="none" w:sz="0" w:space="0" w:color="auto"/>
        <w:right w:val="none" w:sz="0" w:space="0" w:color="auto"/>
      </w:divBdr>
    </w:div>
    <w:div w:id="894127922">
      <w:bodyDiv w:val="1"/>
      <w:marLeft w:val="0"/>
      <w:marRight w:val="0"/>
      <w:marTop w:val="0"/>
      <w:marBottom w:val="0"/>
      <w:divBdr>
        <w:top w:val="none" w:sz="0" w:space="0" w:color="auto"/>
        <w:left w:val="none" w:sz="0" w:space="0" w:color="auto"/>
        <w:bottom w:val="none" w:sz="0" w:space="0" w:color="auto"/>
        <w:right w:val="none" w:sz="0" w:space="0" w:color="auto"/>
      </w:divBdr>
    </w:div>
    <w:div w:id="1060636443">
      <w:bodyDiv w:val="1"/>
      <w:marLeft w:val="0"/>
      <w:marRight w:val="0"/>
      <w:marTop w:val="0"/>
      <w:marBottom w:val="0"/>
      <w:divBdr>
        <w:top w:val="none" w:sz="0" w:space="0" w:color="auto"/>
        <w:left w:val="none" w:sz="0" w:space="0" w:color="auto"/>
        <w:bottom w:val="none" w:sz="0" w:space="0" w:color="auto"/>
        <w:right w:val="none" w:sz="0" w:space="0" w:color="auto"/>
      </w:divBdr>
    </w:div>
    <w:div w:id="1168983382">
      <w:bodyDiv w:val="1"/>
      <w:marLeft w:val="0"/>
      <w:marRight w:val="0"/>
      <w:marTop w:val="0"/>
      <w:marBottom w:val="0"/>
      <w:divBdr>
        <w:top w:val="none" w:sz="0" w:space="0" w:color="auto"/>
        <w:left w:val="none" w:sz="0" w:space="0" w:color="auto"/>
        <w:bottom w:val="none" w:sz="0" w:space="0" w:color="auto"/>
        <w:right w:val="none" w:sz="0" w:space="0" w:color="auto"/>
      </w:divBdr>
    </w:div>
    <w:div w:id="1183057954">
      <w:bodyDiv w:val="1"/>
      <w:marLeft w:val="0"/>
      <w:marRight w:val="0"/>
      <w:marTop w:val="0"/>
      <w:marBottom w:val="0"/>
      <w:divBdr>
        <w:top w:val="none" w:sz="0" w:space="0" w:color="auto"/>
        <w:left w:val="none" w:sz="0" w:space="0" w:color="auto"/>
        <w:bottom w:val="none" w:sz="0" w:space="0" w:color="auto"/>
        <w:right w:val="none" w:sz="0" w:space="0" w:color="auto"/>
      </w:divBdr>
    </w:div>
    <w:div w:id="1243224085">
      <w:bodyDiv w:val="1"/>
      <w:marLeft w:val="0"/>
      <w:marRight w:val="0"/>
      <w:marTop w:val="0"/>
      <w:marBottom w:val="0"/>
      <w:divBdr>
        <w:top w:val="none" w:sz="0" w:space="0" w:color="auto"/>
        <w:left w:val="none" w:sz="0" w:space="0" w:color="auto"/>
        <w:bottom w:val="none" w:sz="0" w:space="0" w:color="auto"/>
        <w:right w:val="none" w:sz="0" w:space="0" w:color="auto"/>
      </w:divBdr>
    </w:div>
    <w:div w:id="1265066179">
      <w:bodyDiv w:val="1"/>
      <w:marLeft w:val="0"/>
      <w:marRight w:val="0"/>
      <w:marTop w:val="0"/>
      <w:marBottom w:val="0"/>
      <w:divBdr>
        <w:top w:val="none" w:sz="0" w:space="0" w:color="auto"/>
        <w:left w:val="none" w:sz="0" w:space="0" w:color="auto"/>
        <w:bottom w:val="none" w:sz="0" w:space="0" w:color="auto"/>
        <w:right w:val="none" w:sz="0" w:space="0" w:color="auto"/>
      </w:divBdr>
    </w:div>
    <w:div w:id="1472749929">
      <w:bodyDiv w:val="1"/>
      <w:marLeft w:val="0"/>
      <w:marRight w:val="0"/>
      <w:marTop w:val="0"/>
      <w:marBottom w:val="0"/>
      <w:divBdr>
        <w:top w:val="none" w:sz="0" w:space="0" w:color="auto"/>
        <w:left w:val="none" w:sz="0" w:space="0" w:color="auto"/>
        <w:bottom w:val="none" w:sz="0" w:space="0" w:color="auto"/>
        <w:right w:val="none" w:sz="0" w:space="0" w:color="auto"/>
      </w:divBdr>
    </w:div>
    <w:div w:id="1683821324">
      <w:bodyDiv w:val="1"/>
      <w:marLeft w:val="0"/>
      <w:marRight w:val="0"/>
      <w:marTop w:val="0"/>
      <w:marBottom w:val="0"/>
      <w:divBdr>
        <w:top w:val="none" w:sz="0" w:space="0" w:color="auto"/>
        <w:left w:val="none" w:sz="0" w:space="0" w:color="auto"/>
        <w:bottom w:val="none" w:sz="0" w:space="0" w:color="auto"/>
        <w:right w:val="none" w:sz="0" w:space="0" w:color="auto"/>
      </w:divBdr>
    </w:div>
    <w:div w:id="1780103224">
      <w:bodyDiv w:val="1"/>
      <w:marLeft w:val="0"/>
      <w:marRight w:val="0"/>
      <w:marTop w:val="0"/>
      <w:marBottom w:val="0"/>
      <w:divBdr>
        <w:top w:val="none" w:sz="0" w:space="0" w:color="auto"/>
        <w:left w:val="none" w:sz="0" w:space="0" w:color="auto"/>
        <w:bottom w:val="none" w:sz="0" w:space="0" w:color="auto"/>
        <w:right w:val="none" w:sz="0" w:space="0" w:color="auto"/>
      </w:divBdr>
    </w:div>
    <w:div w:id="1790973676">
      <w:bodyDiv w:val="1"/>
      <w:marLeft w:val="0"/>
      <w:marRight w:val="0"/>
      <w:marTop w:val="0"/>
      <w:marBottom w:val="0"/>
      <w:divBdr>
        <w:top w:val="none" w:sz="0" w:space="0" w:color="auto"/>
        <w:left w:val="none" w:sz="0" w:space="0" w:color="auto"/>
        <w:bottom w:val="none" w:sz="0" w:space="0" w:color="auto"/>
        <w:right w:val="none" w:sz="0" w:space="0" w:color="auto"/>
      </w:divBdr>
    </w:div>
    <w:div w:id="1802964335">
      <w:bodyDiv w:val="1"/>
      <w:marLeft w:val="0"/>
      <w:marRight w:val="0"/>
      <w:marTop w:val="0"/>
      <w:marBottom w:val="0"/>
      <w:divBdr>
        <w:top w:val="none" w:sz="0" w:space="0" w:color="auto"/>
        <w:left w:val="none" w:sz="0" w:space="0" w:color="auto"/>
        <w:bottom w:val="none" w:sz="0" w:space="0" w:color="auto"/>
        <w:right w:val="none" w:sz="0" w:space="0" w:color="auto"/>
      </w:divBdr>
    </w:div>
    <w:div w:id="195339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9DF888-97BA-4D97-90BA-2E7384CA90F9}"/>
</file>

<file path=customXml/itemProps2.xml><?xml version="1.0" encoding="utf-8"?>
<ds:datastoreItem xmlns:ds="http://schemas.openxmlformats.org/officeDocument/2006/customXml" ds:itemID="{E2E307B8-2A15-45A7-85CF-52425CEFC920}"/>
</file>

<file path=customXml/itemProps3.xml><?xml version="1.0" encoding="utf-8"?>
<ds:datastoreItem xmlns:ds="http://schemas.openxmlformats.org/officeDocument/2006/customXml" ds:itemID="{78D539DF-8F64-4E76-915E-2970F6DF23EC}"/>
</file>

<file path=customXml/itemProps4.xml><?xml version="1.0" encoding="utf-8"?>
<ds:datastoreItem xmlns:ds="http://schemas.openxmlformats.org/officeDocument/2006/customXml" ds:itemID="{DCC1BA03-DEF0-4365-8E6C-C3483B8F412B}"/>
</file>

<file path=customXml/itemProps5.xml><?xml version="1.0" encoding="utf-8"?>
<ds:datastoreItem xmlns:ds="http://schemas.openxmlformats.org/officeDocument/2006/customXml" ds:itemID="{81E0746A-7F86-4CC4-A785-29995F123AA5}"/>
</file>

<file path=docProps/app.xml><?xml version="1.0" encoding="utf-8"?>
<Properties xmlns="http://schemas.openxmlformats.org/officeDocument/2006/extended-properties" xmlns:vt="http://schemas.openxmlformats.org/officeDocument/2006/docPropsVTypes">
  <Template>CDC37EA4</Template>
  <TotalTime>0</TotalTime>
  <Pages>8</Pages>
  <Words>2815</Words>
  <Characters>17351</Characters>
  <Application>Microsoft Office Word</Application>
  <DocSecurity>0</DocSecurity>
  <Lines>413</Lines>
  <Paragraphs>205</Paragraphs>
  <ScaleCrop>false</ScaleCrop>
  <Company/>
  <LinksUpToDate>false</LinksUpToDate>
  <CharactersWithSpaces>19961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2014-10-14T04:21:00Z</dcterms:created>
  <dcterms:modified xsi:type="dcterms:W3CDTF">2014-10-14T04:22:00Z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906700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