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F5EBF" w14:textId="77777777" w:rsidR="00230777" w:rsidRPr="00867443" w:rsidRDefault="00230777" w:rsidP="00230777">
      <w:pPr>
        <w:pStyle w:val="Title"/>
        <w:rPr>
          <w:sz w:val="16"/>
          <w:szCs w:val="16"/>
        </w:rPr>
      </w:pPr>
    </w:p>
    <w:p w14:paraId="34A92CBE" w14:textId="42AB42CD" w:rsidR="00EB398C" w:rsidRDefault="00494F98" w:rsidP="00467B1A">
      <w:pPr>
        <w:pStyle w:val="Title"/>
        <w:ind w:left="284"/>
        <w:rPr>
          <w:sz w:val="36"/>
          <w:szCs w:val="36"/>
        </w:rPr>
      </w:pPr>
      <w:r>
        <w:rPr>
          <w:sz w:val="36"/>
          <w:szCs w:val="36"/>
        </w:rPr>
        <w:t xml:space="preserve">2019-20 </w:t>
      </w:r>
      <w:r w:rsidR="00527D3B">
        <w:rPr>
          <w:sz w:val="36"/>
          <w:szCs w:val="36"/>
        </w:rPr>
        <w:t>philippines</w:t>
      </w:r>
      <w:r w:rsidR="001F5883">
        <w:rPr>
          <w:sz w:val="36"/>
          <w:szCs w:val="36"/>
        </w:rPr>
        <w:t xml:space="preserve"> </w:t>
      </w:r>
      <w:r w:rsidR="004C5598">
        <w:rPr>
          <w:sz w:val="36"/>
          <w:szCs w:val="36"/>
        </w:rPr>
        <w:t>development program progress report</w:t>
      </w:r>
    </w:p>
    <w:p w14:paraId="59264D70" w14:textId="77777777" w:rsidR="00452298" w:rsidRDefault="00230777" w:rsidP="00EB398C">
      <w:pPr>
        <w:pStyle w:val="Title"/>
        <w:rPr>
          <w:noProof/>
          <w:sz w:val="36"/>
          <w:szCs w:val="36"/>
          <w:lang w:val="en-AU" w:eastAsia="en-AU"/>
        </w:rPr>
        <w:sectPr w:rsidR="00452298" w:rsidSect="00824E8E">
          <w:headerReference w:type="default" r:id="rId8"/>
          <w:footerReference w:type="default" r:id="rId9"/>
          <w:headerReference w:type="first" r:id="rId10"/>
          <w:footerReference w:type="first" r:id="rId11"/>
          <w:pgSz w:w="11906" w:h="16838" w:code="9"/>
          <w:pgMar w:top="1701" w:right="284" w:bottom="1418" w:left="567" w:header="142" w:footer="493" w:gutter="0"/>
          <w:cols w:space="397"/>
          <w:titlePg/>
          <w:docGrid w:linePitch="360"/>
        </w:sectPr>
      </w:pPr>
      <w:r w:rsidRPr="0090092E">
        <w:rPr>
          <w:noProof/>
          <w:sz w:val="36"/>
          <w:szCs w:val="36"/>
          <w:lang w:val="en-AU" w:eastAsia="en-AU"/>
        </w:rPr>
        <w:t xml:space="preserve"> </w:t>
      </w:r>
    </w:p>
    <w:tbl>
      <w:tblPr>
        <w:tblStyle w:val="TableGrid"/>
        <w:tblW w:w="5274" w:type="dxa"/>
        <w:tblBorders>
          <w:top w:val="single" w:sz="2" w:space="0" w:color="65C5B4" w:themeColor="accent1"/>
          <w:left w:val="single" w:sz="2" w:space="0" w:color="65C5B4" w:themeColor="accent1"/>
          <w:bottom w:val="single" w:sz="2" w:space="0" w:color="65C5B4" w:themeColor="accent1"/>
          <w:right w:val="single" w:sz="2" w:space="0" w:color="65C5B4" w:themeColor="accent1"/>
          <w:insideH w:val="single" w:sz="2" w:space="0" w:color="65C5B4" w:themeColor="accent1"/>
          <w:insideV w:val="single" w:sz="2" w:space="0" w:color="65C5B4" w:themeColor="accent1"/>
        </w:tblBorders>
        <w:tblLook w:val="04A0" w:firstRow="1" w:lastRow="0" w:firstColumn="1" w:lastColumn="0" w:noHBand="0" w:noVBand="1"/>
        <w:tblCaption w:val="2019-20 Budget Estimate"/>
        <w:tblDescription w:val="Bilateral – 63.7&#10;Regional – 6.8&#10;Global – 6.4&#10;Other Government Departments – 2.8&#10;Total Australian ODA – 79.7&#10;Note. Actual expenditure is expected to be available in December 2020&#10;"/>
      </w:tblPr>
      <w:tblGrid>
        <w:gridCol w:w="3715"/>
        <w:gridCol w:w="1559"/>
      </w:tblGrid>
      <w:tr w:rsidR="00413861" w14:paraId="01211E11" w14:textId="77777777" w:rsidTr="00F857E7">
        <w:trPr>
          <w:trHeight w:hRule="exact" w:val="680"/>
        </w:trPr>
        <w:tc>
          <w:tcPr>
            <w:tcW w:w="3715" w:type="dxa"/>
            <w:shd w:val="clear" w:color="auto" w:fill="C1E7E0" w:themeFill="accent1" w:themeFillTint="66"/>
            <w:vAlign w:val="center"/>
          </w:tcPr>
          <w:p w14:paraId="3B0514A3" w14:textId="77777777" w:rsidR="00413861" w:rsidRPr="00F540A7" w:rsidRDefault="00413861" w:rsidP="00F857E7">
            <w:pPr>
              <w:pStyle w:val="NormalWeb"/>
              <w:spacing w:before="120" w:beforeAutospacing="0" w:after="60" w:afterAutospacing="0" w:line="200" w:lineRule="exact"/>
              <w:jc w:val="center"/>
              <w:rPr>
                <w:rFonts w:asciiTheme="minorHAnsi" w:hAnsiTheme="minorHAnsi" w:cs="Calibri"/>
                <w:b/>
                <w:bCs/>
                <w:kern w:val="24"/>
                <w:sz w:val="22"/>
                <w:szCs w:val="20"/>
              </w:rPr>
            </w:pPr>
            <w:r w:rsidRPr="00F540A7">
              <w:rPr>
                <w:rFonts w:asciiTheme="minorHAnsi" w:hAnsiTheme="minorHAnsi"/>
                <w:b/>
                <w:sz w:val="22"/>
              </w:rPr>
              <w:t>Program Budget</w:t>
            </w:r>
          </w:p>
        </w:tc>
        <w:tc>
          <w:tcPr>
            <w:tcW w:w="1559" w:type="dxa"/>
            <w:shd w:val="clear" w:color="auto" w:fill="C1E7E0" w:themeFill="accent1" w:themeFillTint="66"/>
            <w:vAlign w:val="bottom"/>
          </w:tcPr>
          <w:p w14:paraId="4CF57F4A" w14:textId="77777777" w:rsidR="00413861" w:rsidRPr="00F540A7" w:rsidRDefault="00413861" w:rsidP="00F857E7">
            <w:pPr>
              <w:pStyle w:val="NormalWeb"/>
              <w:spacing w:before="120" w:beforeAutospacing="0" w:after="60" w:afterAutospacing="0" w:line="200" w:lineRule="exact"/>
              <w:jc w:val="center"/>
              <w:rPr>
                <w:rFonts w:asciiTheme="minorHAnsi" w:hAnsiTheme="minorHAnsi" w:cs="Calibri"/>
                <w:b/>
                <w:bCs/>
                <w:kern w:val="24"/>
                <w:sz w:val="20"/>
                <w:szCs w:val="20"/>
              </w:rPr>
            </w:pPr>
            <w:r w:rsidRPr="00F540A7">
              <w:rPr>
                <w:rFonts w:asciiTheme="minorHAnsi" w:hAnsiTheme="minorHAnsi" w:cs="Calibri"/>
                <w:b/>
                <w:bCs/>
                <w:kern w:val="24"/>
                <w:sz w:val="20"/>
                <w:szCs w:val="20"/>
              </w:rPr>
              <w:t>2019-20 Budget Estimate ($m)</w:t>
            </w:r>
            <w:r w:rsidRPr="00F540A7">
              <w:rPr>
                <w:rFonts w:asciiTheme="minorHAnsi" w:hAnsiTheme="minorHAnsi" w:cs="Calibri"/>
                <w:b/>
                <w:bCs/>
                <w:kern w:val="24"/>
                <w:sz w:val="20"/>
                <w:szCs w:val="20"/>
                <w:vertAlign w:val="superscript"/>
              </w:rPr>
              <w:t>*</w:t>
            </w:r>
          </w:p>
        </w:tc>
      </w:tr>
      <w:tr w:rsidR="00413861" w14:paraId="67D96DCF" w14:textId="77777777" w:rsidTr="00F857E7">
        <w:trPr>
          <w:trHeight w:hRule="exact" w:val="454"/>
        </w:trPr>
        <w:tc>
          <w:tcPr>
            <w:tcW w:w="3715" w:type="dxa"/>
            <w:shd w:val="clear" w:color="auto" w:fill="auto"/>
            <w:vAlign w:val="bottom"/>
          </w:tcPr>
          <w:p w14:paraId="6E8B2008" w14:textId="77777777" w:rsidR="00413861" w:rsidRDefault="00413861"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Bilateral</w:t>
            </w:r>
          </w:p>
        </w:tc>
        <w:tc>
          <w:tcPr>
            <w:tcW w:w="1559" w:type="dxa"/>
            <w:vAlign w:val="bottom"/>
          </w:tcPr>
          <w:p w14:paraId="6A58B30A" w14:textId="77777777" w:rsidR="00413861" w:rsidRDefault="00413861"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63.7</w:t>
            </w:r>
          </w:p>
        </w:tc>
      </w:tr>
      <w:tr w:rsidR="00413861" w14:paraId="2B956A0F" w14:textId="77777777" w:rsidTr="00F857E7">
        <w:trPr>
          <w:trHeight w:hRule="exact" w:val="454"/>
        </w:trPr>
        <w:tc>
          <w:tcPr>
            <w:tcW w:w="3715" w:type="dxa"/>
            <w:shd w:val="clear" w:color="auto" w:fill="auto"/>
            <w:vAlign w:val="bottom"/>
          </w:tcPr>
          <w:p w14:paraId="1B567C9D" w14:textId="77777777" w:rsidR="00413861" w:rsidRDefault="00413861"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Regional</w:t>
            </w:r>
          </w:p>
        </w:tc>
        <w:tc>
          <w:tcPr>
            <w:tcW w:w="1559" w:type="dxa"/>
            <w:vAlign w:val="bottom"/>
          </w:tcPr>
          <w:p w14:paraId="5FF7416A" w14:textId="77777777" w:rsidR="00413861" w:rsidRDefault="00413861"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6.8</w:t>
            </w:r>
          </w:p>
        </w:tc>
      </w:tr>
      <w:tr w:rsidR="00413861" w14:paraId="0DBA5F8F" w14:textId="77777777" w:rsidTr="00F857E7">
        <w:trPr>
          <w:trHeight w:hRule="exact" w:val="454"/>
        </w:trPr>
        <w:tc>
          <w:tcPr>
            <w:tcW w:w="3715" w:type="dxa"/>
            <w:shd w:val="clear" w:color="auto" w:fill="auto"/>
            <w:vAlign w:val="bottom"/>
          </w:tcPr>
          <w:p w14:paraId="1E12802B" w14:textId="77777777" w:rsidR="00413861" w:rsidRDefault="00413861"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Global</w:t>
            </w:r>
          </w:p>
        </w:tc>
        <w:tc>
          <w:tcPr>
            <w:tcW w:w="1559" w:type="dxa"/>
            <w:vAlign w:val="bottom"/>
          </w:tcPr>
          <w:p w14:paraId="46CBA65F" w14:textId="77777777" w:rsidR="00413861" w:rsidRDefault="00413861"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6.4</w:t>
            </w:r>
          </w:p>
        </w:tc>
      </w:tr>
      <w:tr w:rsidR="00413861" w14:paraId="54517461" w14:textId="77777777" w:rsidTr="00F857E7">
        <w:trPr>
          <w:trHeight w:hRule="exact" w:val="454"/>
        </w:trPr>
        <w:tc>
          <w:tcPr>
            <w:tcW w:w="3715" w:type="dxa"/>
            <w:shd w:val="clear" w:color="auto" w:fill="auto"/>
            <w:vAlign w:val="bottom"/>
          </w:tcPr>
          <w:p w14:paraId="41F0AAA5" w14:textId="77777777" w:rsidR="00413861" w:rsidRDefault="00413861"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Other Government Departments</w:t>
            </w:r>
          </w:p>
        </w:tc>
        <w:tc>
          <w:tcPr>
            <w:tcW w:w="1559" w:type="dxa"/>
            <w:vAlign w:val="bottom"/>
          </w:tcPr>
          <w:p w14:paraId="48CF5089" w14:textId="77777777" w:rsidR="00413861" w:rsidRDefault="00413861"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2.8</w:t>
            </w:r>
          </w:p>
        </w:tc>
      </w:tr>
      <w:tr w:rsidR="00413861" w14:paraId="0A21EB27" w14:textId="77777777" w:rsidTr="00F857E7">
        <w:trPr>
          <w:trHeight w:hRule="exact" w:val="454"/>
        </w:trPr>
        <w:tc>
          <w:tcPr>
            <w:tcW w:w="3715" w:type="dxa"/>
            <w:tcBorders>
              <w:bottom w:val="single" w:sz="2" w:space="0" w:color="65C5B4" w:themeColor="accent1"/>
            </w:tcBorders>
            <w:shd w:val="clear" w:color="auto" w:fill="auto"/>
            <w:vAlign w:val="bottom"/>
          </w:tcPr>
          <w:p w14:paraId="53EA9A8F" w14:textId="77777777" w:rsidR="00413861" w:rsidRDefault="00413861" w:rsidP="00F857E7">
            <w:pPr>
              <w:pStyle w:val="NormalWeb"/>
              <w:spacing w:before="20" w:beforeAutospacing="0" w:after="20" w:afterAutospacing="0"/>
              <w:rPr>
                <w:rFonts w:ascii="Arial" w:hAnsi="Arial" w:cs="Arial"/>
                <w:sz w:val="36"/>
                <w:szCs w:val="36"/>
              </w:rPr>
            </w:pPr>
            <w:r>
              <w:rPr>
                <w:rFonts w:ascii="Calibri" w:hAnsi="Calibri" w:cs="Calibri"/>
                <w:b/>
                <w:bCs/>
                <w:color w:val="000000" w:themeColor="dark1"/>
                <w:kern w:val="24"/>
                <w:sz w:val="20"/>
                <w:szCs w:val="20"/>
              </w:rPr>
              <w:t>Total Australian ODA to the Philippines</w:t>
            </w:r>
          </w:p>
        </w:tc>
        <w:tc>
          <w:tcPr>
            <w:tcW w:w="1559" w:type="dxa"/>
            <w:tcBorders>
              <w:bottom w:val="single" w:sz="2" w:space="0" w:color="65C5B4" w:themeColor="accent1"/>
            </w:tcBorders>
            <w:vAlign w:val="bottom"/>
          </w:tcPr>
          <w:p w14:paraId="6A383A4F" w14:textId="77777777" w:rsidR="00413861" w:rsidRPr="00BD45E6" w:rsidRDefault="00413861" w:rsidP="00F857E7">
            <w:pPr>
              <w:pStyle w:val="NormalWeb"/>
              <w:spacing w:before="20" w:beforeAutospacing="0" w:after="20" w:afterAutospacing="0"/>
              <w:ind w:right="172"/>
              <w:jc w:val="right"/>
              <w:rPr>
                <w:rFonts w:ascii="Calibri" w:hAnsi="Calibri" w:cs="Calibri"/>
                <w:b/>
                <w:bCs/>
                <w:color w:val="000000" w:themeColor="dark1"/>
                <w:kern w:val="24"/>
                <w:sz w:val="20"/>
                <w:szCs w:val="20"/>
              </w:rPr>
            </w:pPr>
            <w:r w:rsidRPr="00BD45E6">
              <w:rPr>
                <w:rFonts w:ascii="Calibri" w:hAnsi="Calibri" w:cs="Calibri"/>
                <w:b/>
                <w:bCs/>
                <w:color w:val="000000" w:themeColor="dark1"/>
                <w:kern w:val="24"/>
                <w:sz w:val="20"/>
                <w:szCs w:val="20"/>
              </w:rPr>
              <w:t>79.7</w:t>
            </w:r>
          </w:p>
        </w:tc>
      </w:tr>
    </w:tbl>
    <w:p w14:paraId="09F1A15C" w14:textId="7140732B" w:rsidR="00413861" w:rsidRPr="00576D32" w:rsidRDefault="00413861" w:rsidP="00413861">
      <w:pPr>
        <w:spacing w:before="0" w:line="240" w:lineRule="auto"/>
        <w:rPr>
          <w:rFonts w:cstheme="minorHAnsi"/>
          <w:sz w:val="20"/>
        </w:rPr>
      </w:pPr>
      <w:r w:rsidRPr="00576D32">
        <w:rPr>
          <w:rFonts w:cstheme="minorHAnsi"/>
          <w:bCs/>
          <w:color w:val="000000" w:themeColor="dark1"/>
          <w:kern w:val="24"/>
          <w:sz w:val="16"/>
          <w:szCs w:val="20"/>
        </w:rPr>
        <w:t>*Actual expenditure is expected to be available in December 2020</w:t>
      </w:r>
    </w:p>
    <w:p w14:paraId="0C70F85B" w14:textId="64E17CF4" w:rsidR="00452298" w:rsidRDefault="00413861" w:rsidP="00494F98">
      <w:pPr>
        <w:spacing w:before="0" w:after="0"/>
      </w:pPr>
      <w:r>
        <w:rPr>
          <w:noProof/>
          <w:lang w:val="en-AU" w:eastAsia="en-AU"/>
        </w:rPr>
        <w:drawing>
          <wp:inline distT="0" distB="0" distL="0" distR="0" wp14:anchorId="39838910" wp14:editId="71B11EC0">
            <wp:extent cx="3314700" cy="1847215"/>
            <wp:effectExtent l="0" t="0" r="0" b="635"/>
            <wp:docPr id="1" name="Picture 1" descr="Infrastructure and trade – 12%&#10;Agriculture, fisheries and water – 4%&#10;Governance – 14%&#10;Education – 37%&#10;Health – 1%&#10;Building resilience – 29%&#10;General development support – 3%&#10;Due to rounding total percentage may not add up to 100 per cent&#10;" title="Estimated ODA by Sect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5634" cy="1858881"/>
                    </a:xfrm>
                    <a:prstGeom prst="rect">
                      <a:avLst/>
                    </a:prstGeom>
                    <a:noFill/>
                  </pic:spPr>
                </pic:pic>
              </a:graphicData>
            </a:graphic>
          </wp:inline>
        </w:drawing>
      </w:r>
    </w:p>
    <w:p w14:paraId="383A3A08" w14:textId="03BE57F2" w:rsidR="00413861" w:rsidRDefault="00413861" w:rsidP="00494F98">
      <w:pPr>
        <w:spacing w:before="0" w:after="0"/>
      </w:pPr>
    </w:p>
    <w:p w14:paraId="3840A32D" w14:textId="77777777" w:rsidR="00413861" w:rsidRPr="00452298" w:rsidRDefault="00413861" w:rsidP="00494F98">
      <w:pPr>
        <w:spacing w:before="0" w:after="0"/>
        <w:sectPr w:rsidR="00413861" w:rsidRPr="00452298" w:rsidSect="00413861">
          <w:type w:val="continuous"/>
          <w:pgSz w:w="11906" w:h="16838" w:code="9"/>
          <w:pgMar w:top="1701" w:right="140" w:bottom="1418" w:left="709" w:header="142" w:footer="493" w:gutter="0"/>
          <w:cols w:num="2" w:space="397"/>
          <w:titlePg/>
          <w:docGrid w:linePitch="360"/>
        </w:sectPr>
      </w:pPr>
    </w:p>
    <w:p w14:paraId="64F484B6" w14:textId="7BF69D1F" w:rsidR="003500CF" w:rsidRPr="004B50F9" w:rsidRDefault="00651213" w:rsidP="009159F0">
      <w:pPr>
        <w:spacing w:before="0"/>
        <w:rPr>
          <w:b/>
          <w:color w:val="000000" w:themeColor="text1"/>
        </w:rPr>
      </w:pPr>
      <w:r w:rsidRPr="004B50F9">
        <w:rPr>
          <w:b/>
          <w:color w:val="000000" w:themeColor="text1"/>
          <w:sz w:val="24"/>
        </w:rPr>
        <w:t>COVID-19 Development Response</w:t>
      </w:r>
      <w:r w:rsidR="003500CF" w:rsidRPr="004B50F9">
        <w:rPr>
          <w:b/>
          <w:color w:val="000000" w:themeColor="text1"/>
        </w:rPr>
        <w:tab/>
      </w:r>
    </w:p>
    <w:p w14:paraId="671A6319" w14:textId="57ED34D8" w:rsidR="008049F5" w:rsidRPr="004B50F9" w:rsidRDefault="009159F0" w:rsidP="008C2C5B">
      <w:pPr>
        <w:spacing w:before="0" w:after="0"/>
        <w:rPr>
          <w:color w:val="000000" w:themeColor="text1"/>
        </w:rPr>
      </w:pPr>
      <w:r w:rsidRPr="004B50F9">
        <w:rPr>
          <w:color w:val="000000" w:themeColor="text1"/>
        </w:rPr>
        <w:t xml:space="preserve">Australia invested </w:t>
      </w:r>
      <w:r w:rsidR="00036E44">
        <w:rPr>
          <w:color w:val="000000" w:themeColor="text1"/>
        </w:rPr>
        <w:t>$</w:t>
      </w:r>
      <w:r w:rsidRPr="004B50F9">
        <w:rPr>
          <w:color w:val="000000" w:themeColor="text1"/>
        </w:rPr>
        <w:t>27 million to support health, stability</w:t>
      </w:r>
      <w:r w:rsidR="00D50C8B" w:rsidRPr="004B50F9">
        <w:rPr>
          <w:color w:val="000000" w:themeColor="text1"/>
        </w:rPr>
        <w:t>,</w:t>
      </w:r>
      <w:r w:rsidRPr="004B50F9">
        <w:rPr>
          <w:color w:val="000000" w:themeColor="text1"/>
        </w:rPr>
        <w:t xml:space="preserve"> and economic recovery, includ</w:t>
      </w:r>
      <w:r w:rsidR="004143EE">
        <w:rPr>
          <w:color w:val="000000" w:themeColor="text1"/>
        </w:rPr>
        <w:t>ing</w:t>
      </w:r>
      <w:r w:rsidR="008049F5" w:rsidRPr="004B50F9">
        <w:rPr>
          <w:color w:val="000000" w:themeColor="text1"/>
        </w:rPr>
        <w:t>:</w:t>
      </w:r>
    </w:p>
    <w:p w14:paraId="59033C3A" w14:textId="42111650" w:rsidR="009159F0" w:rsidRPr="004B50F9" w:rsidRDefault="00036E44" w:rsidP="00927E84">
      <w:pPr>
        <w:pStyle w:val="ListParagraph"/>
        <w:numPr>
          <w:ilvl w:val="0"/>
          <w:numId w:val="11"/>
        </w:numPr>
        <w:spacing w:before="0" w:after="0"/>
        <w:ind w:left="284" w:hanging="284"/>
        <w:rPr>
          <w:color w:val="000000" w:themeColor="text1"/>
        </w:rPr>
      </w:pPr>
      <w:r>
        <w:rPr>
          <w:color w:val="000000" w:themeColor="text1"/>
        </w:rPr>
        <w:t>$</w:t>
      </w:r>
      <w:r w:rsidR="009159F0" w:rsidRPr="004B50F9">
        <w:rPr>
          <w:color w:val="000000" w:themeColor="text1"/>
        </w:rPr>
        <w:t>4.</w:t>
      </w:r>
      <w:r w:rsidR="00052496" w:rsidRPr="004B50F9">
        <w:rPr>
          <w:color w:val="000000" w:themeColor="text1"/>
        </w:rPr>
        <w:t>1</w:t>
      </w:r>
      <w:r w:rsidR="009159F0" w:rsidRPr="004B50F9">
        <w:rPr>
          <w:color w:val="000000" w:themeColor="text1"/>
        </w:rPr>
        <w:t xml:space="preserve"> million to Philippine Red Cross</w:t>
      </w:r>
      <w:r w:rsidR="008049F5" w:rsidRPr="004B50F9">
        <w:rPr>
          <w:color w:val="000000" w:themeColor="text1"/>
        </w:rPr>
        <w:t xml:space="preserve"> that:</w:t>
      </w:r>
    </w:p>
    <w:p w14:paraId="1CC4D65B" w14:textId="64DA4415" w:rsidR="008049F5" w:rsidRPr="004B50F9" w:rsidRDefault="009159F0" w:rsidP="00927E84">
      <w:pPr>
        <w:pStyle w:val="ListParagraph"/>
        <w:numPr>
          <w:ilvl w:val="1"/>
          <w:numId w:val="11"/>
        </w:numPr>
        <w:spacing w:before="0"/>
        <w:ind w:left="567" w:hanging="283"/>
        <w:rPr>
          <w:color w:val="000000" w:themeColor="text1"/>
        </w:rPr>
      </w:pPr>
      <w:r w:rsidRPr="004B50F9">
        <w:rPr>
          <w:color w:val="000000" w:themeColor="text1"/>
        </w:rPr>
        <w:t>established and equipped a laboratory with a 14,000 (per day) testing capacity</w:t>
      </w:r>
    </w:p>
    <w:p w14:paraId="48AE444D" w14:textId="49C8CF7A" w:rsidR="008049F5" w:rsidRPr="004B50F9" w:rsidRDefault="001804BC" w:rsidP="00927E84">
      <w:pPr>
        <w:pStyle w:val="ListParagraph"/>
        <w:numPr>
          <w:ilvl w:val="1"/>
          <w:numId w:val="11"/>
        </w:numPr>
        <w:spacing w:before="0"/>
        <w:ind w:left="567" w:hanging="283"/>
        <w:rPr>
          <w:color w:val="000000" w:themeColor="text1"/>
        </w:rPr>
      </w:pPr>
      <w:r w:rsidRPr="004B50F9">
        <w:rPr>
          <w:color w:val="000000" w:themeColor="text1"/>
        </w:rPr>
        <w:t xml:space="preserve">supplied </w:t>
      </w:r>
      <w:r w:rsidR="009159F0" w:rsidRPr="004B50F9">
        <w:rPr>
          <w:color w:val="000000" w:themeColor="text1"/>
        </w:rPr>
        <w:t>10,000 testing kits</w:t>
      </w:r>
      <w:r w:rsidR="002B55EE" w:rsidRPr="004B50F9">
        <w:rPr>
          <w:color w:val="000000" w:themeColor="text1"/>
        </w:rPr>
        <w:t xml:space="preserve"> and</w:t>
      </w:r>
      <w:r w:rsidR="009159F0" w:rsidRPr="004B50F9">
        <w:rPr>
          <w:color w:val="000000" w:themeColor="text1"/>
        </w:rPr>
        <w:t xml:space="preserve"> </w:t>
      </w:r>
      <w:r w:rsidR="00760C65" w:rsidRPr="004B50F9">
        <w:rPr>
          <w:color w:val="000000" w:themeColor="text1"/>
        </w:rPr>
        <w:t>410,000</w:t>
      </w:r>
      <w:r w:rsidR="009159F0" w:rsidRPr="004B50F9">
        <w:rPr>
          <w:color w:val="000000" w:themeColor="text1"/>
        </w:rPr>
        <w:t xml:space="preserve"> </w:t>
      </w:r>
      <w:r w:rsidR="00760C65" w:rsidRPr="004B50F9">
        <w:rPr>
          <w:color w:val="000000" w:themeColor="text1"/>
        </w:rPr>
        <w:t>face</w:t>
      </w:r>
      <w:r w:rsidR="009159F0" w:rsidRPr="004B50F9">
        <w:rPr>
          <w:color w:val="000000" w:themeColor="text1"/>
        </w:rPr>
        <w:t xml:space="preserve">masks to </w:t>
      </w:r>
      <w:r w:rsidR="00282275">
        <w:rPr>
          <w:color w:val="000000" w:themeColor="text1"/>
        </w:rPr>
        <w:t>frontline workers</w:t>
      </w:r>
    </w:p>
    <w:p w14:paraId="705FBF19" w14:textId="3F91ABB9" w:rsidR="009159F0" w:rsidRPr="004B50F9" w:rsidRDefault="001804BC" w:rsidP="00927E84">
      <w:pPr>
        <w:pStyle w:val="ListParagraph"/>
        <w:numPr>
          <w:ilvl w:val="1"/>
          <w:numId w:val="11"/>
        </w:numPr>
        <w:spacing w:before="0"/>
        <w:ind w:left="567" w:hanging="283"/>
        <w:rPr>
          <w:color w:val="000000" w:themeColor="text1"/>
        </w:rPr>
      </w:pPr>
      <w:r w:rsidRPr="004B50F9">
        <w:rPr>
          <w:color w:val="000000" w:themeColor="text1"/>
        </w:rPr>
        <w:t xml:space="preserve">provided </w:t>
      </w:r>
      <w:r w:rsidR="009159F0" w:rsidRPr="004B50F9">
        <w:rPr>
          <w:color w:val="000000" w:themeColor="text1"/>
        </w:rPr>
        <w:t xml:space="preserve">a specialised ambulance </w:t>
      </w:r>
    </w:p>
    <w:p w14:paraId="48B35850" w14:textId="2491DEB8" w:rsidR="0069653A" w:rsidRPr="004B50F9" w:rsidRDefault="00036E44" w:rsidP="009159F0">
      <w:pPr>
        <w:pStyle w:val="ListParagraph"/>
        <w:numPr>
          <w:ilvl w:val="0"/>
          <w:numId w:val="11"/>
        </w:numPr>
        <w:ind w:left="284" w:hanging="284"/>
        <w:rPr>
          <w:color w:val="000000" w:themeColor="text1"/>
        </w:rPr>
      </w:pPr>
      <w:r>
        <w:rPr>
          <w:color w:val="000000" w:themeColor="text1"/>
        </w:rPr>
        <w:t>$</w:t>
      </w:r>
      <w:r w:rsidR="0069653A" w:rsidRPr="004B50F9">
        <w:rPr>
          <w:color w:val="000000" w:themeColor="text1"/>
        </w:rPr>
        <w:t>724,118 to the United Nations Population Fund that:</w:t>
      </w:r>
    </w:p>
    <w:p w14:paraId="6C486ED8" w14:textId="25B4094E" w:rsidR="0069653A" w:rsidRPr="004B50F9" w:rsidRDefault="0069653A" w:rsidP="00092D7F">
      <w:pPr>
        <w:pStyle w:val="ListParagraph"/>
        <w:numPr>
          <w:ilvl w:val="1"/>
          <w:numId w:val="11"/>
        </w:numPr>
        <w:ind w:left="630"/>
        <w:rPr>
          <w:rFonts w:cstheme="minorHAnsi"/>
          <w:color w:val="000000" w:themeColor="text1"/>
        </w:rPr>
      </w:pPr>
      <w:r w:rsidRPr="004B50F9">
        <w:rPr>
          <w:rFonts w:cstheme="minorHAnsi"/>
          <w:color w:val="000000" w:themeColor="text1"/>
        </w:rPr>
        <w:t xml:space="preserve">provided 3 </w:t>
      </w:r>
      <w:r w:rsidRPr="00CE3B45">
        <w:rPr>
          <w:rFonts w:cstheme="minorHAnsi"/>
          <w:color w:val="000000" w:themeColor="text1"/>
        </w:rPr>
        <w:t>triage facilities</w:t>
      </w:r>
      <w:r w:rsidR="00B54E9D" w:rsidRPr="00CE3B45">
        <w:rPr>
          <w:rFonts w:cstheme="minorHAnsi"/>
          <w:color w:val="000000" w:themeColor="text1"/>
        </w:rPr>
        <w:t>,</w:t>
      </w:r>
      <w:r w:rsidRPr="00282275">
        <w:rPr>
          <w:rFonts w:cstheme="minorHAnsi"/>
          <w:color w:val="000000" w:themeColor="text1"/>
        </w:rPr>
        <w:t xml:space="preserve"> and hygiene and dignity kits to 3,600 women and girls </w:t>
      </w:r>
    </w:p>
    <w:p w14:paraId="25F5A975" w14:textId="58900C39" w:rsidR="0069653A" w:rsidRPr="004B50F9" w:rsidRDefault="00CE3B45" w:rsidP="00092D7F">
      <w:pPr>
        <w:pStyle w:val="ListParagraph"/>
        <w:numPr>
          <w:ilvl w:val="1"/>
          <w:numId w:val="11"/>
        </w:numPr>
        <w:ind w:left="630"/>
        <w:rPr>
          <w:rFonts w:cstheme="minorHAnsi"/>
          <w:color w:val="000000" w:themeColor="text1"/>
        </w:rPr>
      </w:pPr>
      <w:r>
        <w:rPr>
          <w:rFonts w:cstheme="minorHAnsi"/>
          <w:color w:val="000000" w:themeColor="text1"/>
        </w:rPr>
        <w:t>supplied</w:t>
      </w:r>
      <w:r w:rsidR="0069653A" w:rsidRPr="004B50F9">
        <w:rPr>
          <w:rFonts w:cstheme="minorHAnsi"/>
          <w:color w:val="000000" w:themeColor="text1"/>
        </w:rPr>
        <w:t xml:space="preserve"> 177,000</w:t>
      </w:r>
      <w:r w:rsidRPr="004B50F9">
        <w:rPr>
          <w:rFonts w:cstheme="minorHAnsi"/>
          <w:color w:val="000000" w:themeColor="text1"/>
        </w:rPr>
        <w:t xml:space="preserve"> pieces of</w:t>
      </w:r>
      <w:r w:rsidR="0069653A" w:rsidRPr="004B50F9">
        <w:rPr>
          <w:rFonts w:cstheme="minorHAnsi"/>
          <w:color w:val="000000" w:themeColor="text1"/>
        </w:rPr>
        <w:t xml:space="preserve"> </w:t>
      </w:r>
      <w:r w:rsidR="002B55EE" w:rsidRPr="004B50F9">
        <w:rPr>
          <w:color w:val="000000" w:themeColor="text1"/>
        </w:rPr>
        <w:t>personal protective equipment</w:t>
      </w:r>
      <w:r w:rsidR="002B55EE" w:rsidRPr="004B50F9">
        <w:rPr>
          <w:rFonts w:cstheme="minorHAnsi"/>
          <w:color w:val="000000" w:themeColor="text1"/>
        </w:rPr>
        <w:t xml:space="preserve"> (</w:t>
      </w:r>
      <w:r w:rsidR="0069653A" w:rsidRPr="004B50F9">
        <w:rPr>
          <w:rFonts w:cstheme="minorHAnsi"/>
          <w:color w:val="000000" w:themeColor="text1"/>
        </w:rPr>
        <w:t>PPE</w:t>
      </w:r>
      <w:r w:rsidR="002B55EE" w:rsidRPr="004B50F9">
        <w:rPr>
          <w:rFonts w:cstheme="minorHAnsi"/>
          <w:color w:val="000000" w:themeColor="text1"/>
        </w:rPr>
        <w:t>)</w:t>
      </w:r>
      <w:r w:rsidR="0069653A" w:rsidRPr="004B50F9">
        <w:rPr>
          <w:rFonts w:cstheme="minorHAnsi"/>
          <w:color w:val="000000" w:themeColor="text1"/>
        </w:rPr>
        <w:t xml:space="preserve"> to h</w:t>
      </w:r>
      <w:r>
        <w:rPr>
          <w:rFonts w:cstheme="minorHAnsi"/>
          <w:color w:val="000000" w:themeColor="text1"/>
        </w:rPr>
        <w:t>ealth staff</w:t>
      </w:r>
    </w:p>
    <w:p w14:paraId="04E1A5F8" w14:textId="4C3E0DE4" w:rsidR="0069653A" w:rsidRPr="004B50F9" w:rsidRDefault="003A7113" w:rsidP="004B50F9">
      <w:pPr>
        <w:pStyle w:val="ListParagraph"/>
        <w:numPr>
          <w:ilvl w:val="1"/>
          <w:numId w:val="11"/>
        </w:numPr>
        <w:ind w:left="630"/>
        <w:rPr>
          <w:rFonts w:cstheme="minorHAnsi"/>
          <w:color w:val="000000" w:themeColor="text1"/>
        </w:rPr>
      </w:pPr>
      <w:r w:rsidRPr="004B50F9">
        <w:rPr>
          <w:rFonts w:cstheme="minorHAnsi"/>
          <w:color w:val="000000" w:themeColor="text1"/>
        </w:rPr>
        <w:t>trained 130 gender-based violence</w:t>
      </w:r>
      <w:r w:rsidR="002B55EE" w:rsidRPr="004B50F9">
        <w:rPr>
          <w:rFonts w:cstheme="minorHAnsi"/>
          <w:color w:val="000000" w:themeColor="text1"/>
        </w:rPr>
        <w:t xml:space="preserve"> workers</w:t>
      </w:r>
      <w:r w:rsidRPr="004B50F9">
        <w:rPr>
          <w:rFonts w:cstheme="minorHAnsi"/>
          <w:color w:val="000000" w:themeColor="text1"/>
        </w:rPr>
        <w:t xml:space="preserve"> </w:t>
      </w:r>
    </w:p>
    <w:p w14:paraId="135417E3" w14:textId="0B1A02A7" w:rsidR="003A7113" w:rsidRPr="004B50F9" w:rsidRDefault="00036E44" w:rsidP="009159F0">
      <w:pPr>
        <w:pStyle w:val="ListParagraph"/>
        <w:numPr>
          <w:ilvl w:val="0"/>
          <w:numId w:val="11"/>
        </w:numPr>
        <w:ind w:left="284" w:hanging="284"/>
        <w:rPr>
          <w:color w:val="000000" w:themeColor="text1"/>
        </w:rPr>
      </w:pPr>
      <w:r>
        <w:rPr>
          <w:color w:val="000000" w:themeColor="text1"/>
        </w:rPr>
        <w:t>$</w:t>
      </w:r>
      <w:r w:rsidR="003A7113" w:rsidRPr="004B50F9">
        <w:rPr>
          <w:color w:val="000000" w:themeColor="text1"/>
        </w:rPr>
        <w:t>2 million to the International Committee of the Red Cross that:</w:t>
      </w:r>
    </w:p>
    <w:p w14:paraId="5F3B04C4" w14:textId="78C42352" w:rsidR="00A16379" w:rsidRPr="004B50F9" w:rsidRDefault="00A16379" w:rsidP="00A16379">
      <w:pPr>
        <w:pStyle w:val="ListParagraph"/>
        <w:numPr>
          <w:ilvl w:val="1"/>
          <w:numId w:val="11"/>
        </w:numPr>
        <w:ind w:left="630"/>
        <w:rPr>
          <w:color w:val="000000" w:themeColor="text1"/>
        </w:rPr>
      </w:pPr>
      <w:r w:rsidRPr="004B50F9">
        <w:rPr>
          <w:color w:val="000000" w:themeColor="text1"/>
        </w:rPr>
        <w:t>established 8 isolation facilities with 1,130 beds in 53 detention facilities</w:t>
      </w:r>
    </w:p>
    <w:p w14:paraId="2CB26916" w14:textId="6FD59030" w:rsidR="003A7113" w:rsidRPr="004B50F9" w:rsidRDefault="003C6BDE" w:rsidP="00092D7F">
      <w:pPr>
        <w:pStyle w:val="ListParagraph"/>
        <w:numPr>
          <w:ilvl w:val="1"/>
          <w:numId w:val="11"/>
        </w:numPr>
        <w:ind w:left="630"/>
        <w:rPr>
          <w:color w:val="000000" w:themeColor="text1"/>
        </w:rPr>
      </w:pPr>
      <w:r w:rsidRPr="004B50F9">
        <w:rPr>
          <w:color w:val="000000" w:themeColor="text1"/>
        </w:rPr>
        <w:t xml:space="preserve">is </w:t>
      </w:r>
      <w:r w:rsidR="003A7113" w:rsidRPr="004B50F9">
        <w:rPr>
          <w:color w:val="000000" w:themeColor="text1"/>
        </w:rPr>
        <w:t xml:space="preserve">supporting </w:t>
      </w:r>
      <w:r w:rsidR="00DF6A7D" w:rsidRPr="004B50F9">
        <w:rPr>
          <w:color w:val="000000" w:themeColor="text1"/>
        </w:rPr>
        <w:t>new</w:t>
      </w:r>
      <w:r w:rsidR="003A7113" w:rsidRPr="004B50F9">
        <w:rPr>
          <w:color w:val="000000" w:themeColor="text1"/>
        </w:rPr>
        <w:t xml:space="preserve"> laborator</w:t>
      </w:r>
      <w:r w:rsidR="00B54E9D" w:rsidRPr="004B50F9">
        <w:rPr>
          <w:color w:val="000000" w:themeColor="text1"/>
        </w:rPr>
        <w:t>ies</w:t>
      </w:r>
      <w:r w:rsidR="003A7113" w:rsidRPr="004B50F9">
        <w:rPr>
          <w:color w:val="000000" w:themeColor="text1"/>
        </w:rPr>
        <w:t xml:space="preserve"> in Cotabato and Zamboanga cities</w:t>
      </w:r>
    </w:p>
    <w:p w14:paraId="56FFE928" w14:textId="7FE470EB" w:rsidR="009159F0" w:rsidRPr="004B50F9" w:rsidRDefault="00036E44" w:rsidP="009159F0">
      <w:pPr>
        <w:pStyle w:val="ListParagraph"/>
        <w:numPr>
          <w:ilvl w:val="0"/>
          <w:numId w:val="11"/>
        </w:numPr>
        <w:ind w:left="284" w:hanging="284"/>
        <w:rPr>
          <w:color w:val="000000" w:themeColor="text1"/>
        </w:rPr>
      </w:pPr>
      <w:r>
        <w:rPr>
          <w:color w:val="000000" w:themeColor="text1"/>
        </w:rPr>
        <w:t>$</w:t>
      </w:r>
      <w:r w:rsidR="009159F0" w:rsidRPr="004B50F9">
        <w:rPr>
          <w:color w:val="000000" w:themeColor="text1"/>
        </w:rPr>
        <w:t>400,000 for emergency relief funding for women-led small and medium sized enterprises</w:t>
      </w:r>
    </w:p>
    <w:p w14:paraId="20F80EF6" w14:textId="79CCE6AC" w:rsidR="009159F0" w:rsidRPr="004B50F9" w:rsidRDefault="00036E44" w:rsidP="009159F0">
      <w:pPr>
        <w:pStyle w:val="ListParagraph"/>
        <w:numPr>
          <w:ilvl w:val="0"/>
          <w:numId w:val="11"/>
        </w:numPr>
        <w:ind w:left="284" w:hanging="284"/>
        <w:rPr>
          <w:color w:val="000000" w:themeColor="text1"/>
        </w:rPr>
      </w:pPr>
      <w:r>
        <w:rPr>
          <w:color w:val="000000" w:themeColor="text1"/>
        </w:rPr>
        <w:t>$</w:t>
      </w:r>
      <w:r w:rsidR="009159F0" w:rsidRPr="004B50F9">
        <w:rPr>
          <w:color w:val="000000" w:themeColor="text1"/>
        </w:rPr>
        <w:t xml:space="preserve">491,000 for </w:t>
      </w:r>
      <w:r w:rsidR="00AD78CC" w:rsidRPr="004B50F9">
        <w:rPr>
          <w:color w:val="000000" w:themeColor="text1"/>
        </w:rPr>
        <w:t xml:space="preserve">Alumni </w:t>
      </w:r>
      <w:r w:rsidR="009159F0" w:rsidRPr="004B50F9">
        <w:rPr>
          <w:color w:val="000000" w:themeColor="text1"/>
        </w:rPr>
        <w:t>COVID-19 research and community development projects</w:t>
      </w:r>
    </w:p>
    <w:p w14:paraId="43F698E9" w14:textId="1C5F76BA" w:rsidR="009159F0" w:rsidRPr="004B50F9" w:rsidRDefault="009159F0" w:rsidP="009159F0">
      <w:pPr>
        <w:pStyle w:val="ListParagraph"/>
        <w:numPr>
          <w:ilvl w:val="0"/>
          <w:numId w:val="11"/>
        </w:numPr>
        <w:ind w:left="284" w:hanging="284"/>
        <w:rPr>
          <w:color w:val="000000" w:themeColor="text1"/>
        </w:rPr>
      </w:pPr>
      <w:r w:rsidRPr="004B50F9">
        <w:rPr>
          <w:color w:val="000000" w:themeColor="text1"/>
        </w:rPr>
        <w:t xml:space="preserve">21 </w:t>
      </w:r>
      <w:r w:rsidR="00AD78CC" w:rsidRPr="004B50F9">
        <w:rPr>
          <w:color w:val="000000" w:themeColor="text1"/>
        </w:rPr>
        <w:t>grants</w:t>
      </w:r>
      <w:r w:rsidRPr="004B50F9">
        <w:rPr>
          <w:color w:val="000000" w:themeColor="text1"/>
        </w:rPr>
        <w:t xml:space="preserve"> for </w:t>
      </w:r>
      <w:r w:rsidR="004143EE">
        <w:rPr>
          <w:color w:val="000000" w:themeColor="text1"/>
        </w:rPr>
        <w:t>s</w:t>
      </w:r>
      <w:r w:rsidRPr="004B50F9">
        <w:rPr>
          <w:color w:val="000000" w:themeColor="text1"/>
        </w:rPr>
        <w:t xml:space="preserve">ocial </w:t>
      </w:r>
      <w:r w:rsidR="004143EE">
        <w:rPr>
          <w:color w:val="000000" w:themeColor="text1"/>
        </w:rPr>
        <w:t>e</w:t>
      </w:r>
      <w:r w:rsidRPr="004B50F9">
        <w:rPr>
          <w:color w:val="000000" w:themeColor="text1"/>
        </w:rPr>
        <w:t xml:space="preserve">nterprises for </w:t>
      </w:r>
      <w:r w:rsidR="00AD78CC" w:rsidRPr="004B50F9">
        <w:rPr>
          <w:color w:val="000000" w:themeColor="text1"/>
        </w:rPr>
        <w:t xml:space="preserve">innovative </w:t>
      </w:r>
      <w:r w:rsidRPr="004B50F9">
        <w:rPr>
          <w:color w:val="000000" w:themeColor="text1"/>
        </w:rPr>
        <w:t>COVID-19 responses</w:t>
      </w:r>
      <w:r w:rsidR="00C31A5F" w:rsidRPr="004B50F9">
        <w:rPr>
          <w:color w:val="000000" w:themeColor="text1"/>
        </w:rPr>
        <w:t>; and</w:t>
      </w:r>
    </w:p>
    <w:p w14:paraId="35FBEB14" w14:textId="4A818197" w:rsidR="00452298" w:rsidRPr="004B50F9" w:rsidRDefault="009159F0" w:rsidP="00CA5D78">
      <w:pPr>
        <w:pStyle w:val="ListParagraph"/>
        <w:numPr>
          <w:ilvl w:val="0"/>
          <w:numId w:val="11"/>
        </w:numPr>
        <w:spacing w:after="100" w:afterAutospacing="1"/>
        <w:ind w:left="284" w:hanging="284"/>
        <w:rPr>
          <w:color w:val="000000" w:themeColor="text1"/>
        </w:rPr>
      </w:pPr>
      <w:r w:rsidRPr="004B50F9">
        <w:rPr>
          <w:color w:val="000000" w:themeColor="text1"/>
        </w:rPr>
        <w:t>support</w:t>
      </w:r>
      <w:r w:rsidR="008049F5" w:rsidRPr="004B50F9">
        <w:rPr>
          <w:color w:val="000000" w:themeColor="text1"/>
        </w:rPr>
        <w:t xml:space="preserve"> for</w:t>
      </w:r>
      <w:r w:rsidRPr="004B50F9">
        <w:rPr>
          <w:color w:val="000000" w:themeColor="text1"/>
        </w:rPr>
        <w:t xml:space="preserve"> </w:t>
      </w:r>
      <w:r w:rsidR="004143EE">
        <w:rPr>
          <w:color w:val="000000" w:themeColor="text1"/>
        </w:rPr>
        <w:t xml:space="preserve">Philippine </w:t>
      </w:r>
      <w:r w:rsidRPr="004B50F9">
        <w:rPr>
          <w:color w:val="000000" w:themeColor="text1"/>
        </w:rPr>
        <w:t xml:space="preserve">Government </w:t>
      </w:r>
      <w:r w:rsidR="004143EE">
        <w:rPr>
          <w:color w:val="000000" w:themeColor="text1"/>
        </w:rPr>
        <w:t xml:space="preserve">agencies </w:t>
      </w:r>
      <w:r w:rsidRPr="004B50F9">
        <w:rPr>
          <w:color w:val="000000" w:themeColor="text1"/>
        </w:rPr>
        <w:t xml:space="preserve">for distance learning, hygiene promotion, </w:t>
      </w:r>
      <w:r w:rsidR="004143EE">
        <w:rPr>
          <w:color w:val="000000" w:themeColor="text1"/>
        </w:rPr>
        <w:t xml:space="preserve">responding to </w:t>
      </w:r>
      <w:r w:rsidRPr="004B50F9">
        <w:rPr>
          <w:color w:val="000000" w:themeColor="text1"/>
        </w:rPr>
        <w:t xml:space="preserve">online </w:t>
      </w:r>
      <w:r w:rsidR="00A16379" w:rsidRPr="004B50F9">
        <w:rPr>
          <w:color w:val="000000" w:themeColor="text1"/>
        </w:rPr>
        <w:t xml:space="preserve">child </w:t>
      </w:r>
      <w:r w:rsidRPr="004B50F9">
        <w:rPr>
          <w:color w:val="000000" w:themeColor="text1"/>
        </w:rPr>
        <w:t xml:space="preserve">exploitation, digital </w:t>
      </w:r>
      <w:r w:rsidR="00224905" w:rsidRPr="004B50F9">
        <w:rPr>
          <w:color w:val="000000" w:themeColor="text1"/>
        </w:rPr>
        <w:t xml:space="preserve">cash </w:t>
      </w:r>
      <w:r w:rsidRPr="004B50F9">
        <w:rPr>
          <w:color w:val="000000" w:themeColor="text1"/>
        </w:rPr>
        <w:t xml:space="preserve">transfer solutions, </w:t>
      </w:r>
      <w:r w:rsidR="003C6BDE" w:rsidRPr="004B50F9">
        <w:rPr>
          <w:color w:val="000000" w:themeColor="text1"/>
        </w:rPr>
        <w:t xml:space="preserve">disability inclusion, </w:t>
      </w:r>
      <w:r w:rsidR="00AD78CC" w:rsidRPr="004B50F9">
        <w:rPr>
          <w:color w:val="000000" w:themeColor="text1"/>
        </w:rPr>
        <w:t xml:space="preserve">health </w:t>
      </w:r>
      <w:r w:rsidRPr="004B50F9">
        <w:rPr>
          <w:color w:val="000000" w:themeColor="text1"/>
        </w:rPr>
        <w:t>waste policies, and IT workforce solutions.</w:t>
      </w:r>
    </w:p>
    <w:p w14:paraId="7A972766" w14:textId="77777777" w:rsidR="003500CF" w:rsidRPr="004B50F9" w:rsidRDefault="00651213" w:rsidP="009159F0">
      <w:pPr>
        <w:spacing w:before="0"/>
        <w:rPr>
          <w:b/>
          <w:color w:val="000000" w:themeColor="text1"/>
          <w:sz w:val="24"/>
        </w:rPr>
      </w:pPr>
      <w:r w:rsidRPr="004B50F9">
        <w:rPr>
          <w:b/>
          <w:color w:val="000000" w:themeColor="text1"/>
          <w:sz w:val="24"/>
        </w:rPr>
        <w:t>Other program highlights</w:t>
      </w:r>
    </w:p>
    <w:p w14:paraId="042084BC" w14:textId="07831829" w:rsidR="009159F0" w:rsidRPr="004B50F9" w:rsidRDefault="009159F0" w:rsidP="008C2C5B">
      <w:pPr>
        <w:suppressAutoHyphens w:val="0"/>
        <w:spacing w:before="0" w:after="0"/>
        <w:rPr>
          <w:rFonts w:cstheme="minorHAnsi"/>
          <w:color w:val="000000" w:themeColor="text1"/>
          <w:lang w:val="en-AU"/>
        </w:rPr>
      </w:pPr>
      <w:r w:rsidRPr="004B50F9">
        <w:rPr>
          <w:rFonts w:cstheme="minorHAnsi"/>
          <w:color w:val="000000" w:themeColor="text1"/>
          <w:lang w:val="en-AU"/>
        </w:rPr>
        <w:t>Australia</w:t>
      </w:r>
      <w:r w:rsidR="002772AE" w:rsidRPr="004B50F9">
        <w:rPr>
          <w:rFonts w:cstheme="minorHAnsi"/>
          <w:color w:val="000000" w:themeColor="text1"/>
          <w:lang w:val="en-AU"/>
        </w:rPr>
        <w:t xml:space="preserve"> also</w:t>
      </w:r>
      <w:r w:rsidRPr="004B50F9">
        <w:rPr>
          <w:rFonts w:cstheme="minorHAnsi"/>
          <w:color w:val="000000" w:themeColor="text1"/>
          <w:lang w:val="en-AU"/>
        </w:rPr>
        <w:t xml:space="preserve"> </w:t>
      </w:r>
      <w:r w:rsidR="00CE4DB9" w:rsidRPr="004B50F9">
        <w:rPr>
          <w:rFonts w:cstheme="minorHAnsi"/>
          <w:color w:val="000000" w:themeColor="text1"/>
          <w:lang w:val="en-AU"/>
        </w:rPr>
        <w:t>supported</w:t>
      </w:r>
      <w:r w:rsidR="007211CE" w:rsidRPr="004B50F9">
        <w:rPr>
          <w:rFonts w:cstheme="minorHAnsi"/>
          <w:color w:val="000000" w:themeColor="text1"/>
          <w:lang w:val="en-AU"/>
        </w:rPr>
        <w:t xml:space="preserve"> peace building, education, disaster resilience, governance, child protection and inclusive growth</w:t>
      </w:r>
      <w:r w:rsidR="002772AE" w:rsidRPr="004B50F9">
        <w:rPr>
          <w:rFonts w:cstheme="minorHAnsi"/>
          <w:color w:val="000000" w:themeColor="text1"/>
          <w:lang w:val="en-AU"/>
        </w:rPr>
        <w:t xml:space="preserve"> initiatives</w:t>
      </w:r>
      <w:r w:rsidR="007211CE" w:rsidRPr="004B50F9">
        <w:rPr>
          <w:rFonts w:cstheme="minorHAnsi"/>
          <w:color w:val="000000" w:themeColor="text1"/>
          <w:lang w:val="en-AU"/>
        </w:rPr>
        <w:t xml:space="preserve">, </w:t>
      </w:r>
      <w:r w:rsidRPr="004B50F9">
        <w:rPr>
          <w:rFonts w:cstheme="minorHAnsi"/>
          <w:color w:val="000000" w:themeColor="text1"/>
          <w:lang w:val="en-AU"/>
        </w:rPr>
        <w:t>including:</w:t>
      </w:r>
    </w:p>
    <w:p w14:paraId="0DA07EB8" w14:textId="1E5AC921" w:rsidR="0006380D" w:rsidRPr="007D647A" w:rsidRDefault="00C31A5F" w:rsidP="00C31A5F">
      <w:pPr>
        <w:pStyle w:val="ListParagraph"/>
        <w:numPr>
          <w:ilvl w:val="0"/>
          <w:numId w:val="12"/>
        </w:numPr>
        <w:suppressAutoHyphens w:val="0"/>
        <w:spacing w:before="0" w:after="0"/>
        <w:ind w:left="284" w:hanging="284"/>
        <w:rPr>
          <w:rFonts w:cstheme="minorHAnsi"/>
          <w:color w:val="000000" w:themeColor="text1"/>
          <w:lang w:val="en-AU"/>
        </w:rPr>
      </w:pPr>
      <w:r w:rsidRPr="007D647A">
        <w:rPr>
          <w:rFonts w:cstheme="minorHAnsi"/>
          <w:color w:val="000000" w:themeColor="text1"/>
          <w:lang w:val="en-AU"/>
        </w:rPr>
        <w:t>h</w:t>
      </w:r>
      <w:r w:rsidR="007211CE" w:rsidRPr="007D647A">
        <w:rPr>
          <w:rFonts w:cstheme="minorHAnsi"/>
          <w:color w:val="000000" w:themeColor="text1"/>
          <w:lang w:val="en-AU"/>
        </w:rPr>
        <w:t xml:space="preserve">umanitarian assistance </w:t>
      </w:r>
      <w:r w:rsidR="00CE4DB9" w:rsidRPr="007D647A">
        <w:rPr>
          <w:rFonts w:cstheme="minorHAnsi"/>
          <w:color w:val="000000" w:themeColor="text1"/>
          <w:lang w:val="en-AU"/>
        </w:rPr>
        <w:t>for</w:t>
      </w:r>
      <w:r w:rsidR="007211CE" w:rsidRPr="007D647A">
        <w:rPr>
          <w:rFonts w:cstheme="minorHAnsi"/>
          <w:color w:val="000000" w:themeColor="text1"/>
          <w:lang w:val="en-AU"/>
        </w:rPr>
        <w:t xml:space="preserve"> </w:t>
      </w:r>
      <w:r w:rsidR="00E249D3" w:rsidRPr="007D647A">
        <w:rPr>
          <w:rFonts w:cstheme="minorHAnsi"/>
          <w:color w:val="000000" w:themeColor="text1"/>
          <w:lang w:val="en-AU"/>
        </w:rPr>
        <w:t>94,035</w:t>
      </w:r>
      <w:r w:rsidR="00B54E9D" w:rsidRPr="007D647A">
        <w:rPr>
          <w:rFonts w:cstheme="minorHAnsi"/>
          <w:color w:val="000000" w:themeColor="text1"/>
          <w:lang w:val="en-AU"/>
        </w:rPr>
        <w:t xml:space="preserve"> </w:t>
      </w:r>
      <w:r w:rsidR="00E249D3" w:rsidRPr="007D647A">
        <w:rPr>
          <w:rFonts w:cstheme="minorHAnsi"/>
          <w:color w:val="000000" w:themeColor="text1"/>
          <w:lang w:val="en-AU"/>
        </w:rPr>
        <w:t xml:space="preserve">persons </w:t>
      </w:r>
      <w:r w:rsidR="00B54E9D" w:rsidRPr="007D647A">
        <w:rPr>
          <w:rFonts w:cstheme="minorHAnsi"/>
          <w:color w:val="000000" w:themeColor="text1"/>
          <w:lang w:val="en-AU"/>
        </w:rPr>
        <w:t xml:space="preserve">including </w:t>
      </w:r>
      <w:r w:rsidR="009F2517" w:rsidRPr="007D647A">
        <w:rPr>
          <w:rFonts w:cstheme="minorHAnsi"/>
          <w:color w:val="000000" w:themeColor="text1"/>
          <w:lang w:val="en-AU"/>
        </w:rPr>
        <w:t xml:space="preserve">51,203 </w:t>
      </w:r>
      <w:r w:rsidR="007211CE" w:rsidRPr="007D647A">
        <w:rPr>
          <w:rFonts w:cstheme="minorHAnsi"/>
          <w:color w:val="000000" w:themeColor="text1"/>
          <w:lang w:val="en-AU"/>
        </w:rPr>
        <w:t>women</w:t>
      </w:r>
      <w:r w:rsidR="009F2517" w:rsidRPr="007D647A">
        <w:rPr>
          <w:rFonts w:cstheme="minorHAnsi"/>
          <w:color w:val="000000" w:themeColor="text1"/>
          <w:lang w:val="en-AU"/>
        </w:rPr>
        <w:t xml:space="preserve"> and girls</w:t>
      </w:r>
      <w:r w:rsidR="004143EE" w:rsidRPr="007D647A">
        <w:rPr>
          <w:rFonts w:cstheme="minorHAnsi"/>
          <w:color w:val="000000" w:themeColor="text1"/>
          <w:lang w:val="en-AU"/>
        </w:rPr>
        <w:t xml:space="preserve"> affected by typhoons, earthquakes</w:t>
      </w:r>
      <w:r w:rsidR="00E255D2">
        <w:rPr>
          <w:rFonts w:cstheme="minorHAnsi"/>
          <w:color w:val="000000" w:themeColor="text1"/>
          <w:lang w:val="en-AU"/>
        </w:rPr>
        <w:t>, a pandemic and</w:t>
      </w:r>
      <w:r w:rsidR="004143EE" w:rsidRPr="007D647A">
        <w:rPr>
          <w:rFonts w:cstheme="minorHAnsi"/>
          <w:color w:val="000000" w:themeColor="text1"/>
          <w:lang w:val="en-AU"/>
        </w:rPr>
        <w:t xml:space="preserve"> a volcanic eruption</w:t>
      </w:r>
    </w:p>
    <w:p w14:paraId="78B46DB8" w14:textId="65555D50" w:rsidR="009F2517" w:rsidRPr="004B50F9" w:rsidRDefault="009F2517" w:rsidP="00C31A5F">
      <w:pPr>
        <w:pStyle w:val="ListParagraph"/>
        <w:numPr>
          <w:ilvl w:val="0"/>
          <w:numId w:val="12"/>
        </w:numPr>
        <w:suppressAutoHyphens w:val="0"/>
        <w:spacing w:before="0" w:after="0"/>
        <w:ind w:left="284" w:hanging="284"/>
        <w:rPr>
          <w:rFonts w:cstheme="minorHAnsi"/>
          <w:color w:val="000000" w:themeColor="text1"/>
          <w:lang w:val="en-AU"/>
        </w:rPr>
      </w:pPr>
      <w:r w:rsidRPr="004B50F9">
        <w:rPr>
          <w:rFonts w:cstheme="minorHAnsi"/>
          <w:color w:val="000000" w:themeColor="text1"/>
          <w:lang w:val="en-AU"/>
        </w:rPr>
        <w:t xml:space="preserve">livelihood assistance </w:t>
      </w:r>
      <w:r w:rsidR="00CE4DB9" w:rsidRPr="004B50F9">
        <w:rPr>
          <w:rFonts w:cstheme="minorHAnsi"/>
          <w:color w:val="000000" w:themeColor="text1"/>
          <w:lang w:val="en-AU"/>
        </w:rPr>
        <w:t>for</w:t>
      </w:r>
      <w:r w:rsidRPr="004B50F9">
        <w:rPr>
          <w:rFonts w:cstheme="minorHAnsi"/>
          <w:color w:val="000000" w:themeColor="text1"/>
          <w:lang w:val="en-AU"/>
        </w:rPr>
        <w:t xml:space="preserve"> 4,295 households affected and displaced by </w:t>
      </w:r>
      <w:r w:rsidR="004143EE">
        <w:rPr>
          <w:rFonts w:cstheme="minorHAnsi"/>
          <w:color w:val="000000" w:themeColor="text1"/>
          <w:lang w:val="en-AU"/>
        </w:rPr>
        <w:t>armed</w:t>
      </w:r>
      <w:r w:rsidRPr="004B50F9">
        <w:rPr>
          <w:rFonts w:cstheme="minorHAnsi"/>
          <w:color w:val="000000" w:themeColor="text1"/>
          <w:lang w:val="en-AU"/>
        </w:rPr>
        <w:t xml:space="preserve"> conflict</w:t>
      </w:r>
    </w:p>
    <w:p w14:paraId="3EFCE136" w14:textId="1E03D76F" w:rsidR="009974EA" w:rsidRPr="004B50F9" w:rsidRDefault="004143EE" w:rsidP="00C31A5F">
      <w:pPr>
        <w:pStyle w:val="ListParagraph"/>
        <w:numPr>
          <w:ilvl w:val="0"/>
          <w:numId w:val="12"/>
        </w:numPr>
        <w:suppressAutoHyphens w:val="0"/>
        <w:spacing w:before="0" w:after="0"/>
        <w:ind w:left="284" w:hanging="284"/>
        <w:rPr>
          <w:rFonts w:cstheme="minorHAnsi"/>
          <w:color w:val="000000" w:themeColor="text1"/>
          <w:lang w:val="en-AU"/>
        </w:rPr>
      </w:pPr>
      <w:r>
        <w:rPr>
          <w:rFonts w:cstheme="minorHAnsi"/>
          <w:color w:val="000000" w:themeColor="text1"/>
          <w:lang w:val="en-AU"/>
        </w:rPr>
        <w:t xml:space="preserve">mediation of </w:t>
      </w:r>
      <w:r w:rsidR="00C31A5F" w:rsidRPr="004B50F9">
        <w:rPr>
          <w:rFonts w:cstheme="minorHAnsi"/>
          <w:color w:val="000000" w:themeColor="text1"/>
          <w:lang w:val="en-AU"/>
        </w:rPr>
        <w:t>t</w:t>
      </w:r>
      <w:r w:rsidR="0023735F" w:rsidRPr="004B50F9">
        <w:rPr>
          <w:rFonts w:cstheme="minorHAnsi"/>
          <w:color w:val="000000" w:themeColor="text1"/>
          <w:lang w:val="en-AU"/>
        </w:rPr>
        <w:t>wenty</w:t>
      </w:r>
      <w:r w:rsidR="0006380D" w:rsidRPr="004B50F9">
        <w:rPr>
          <w:rFonts w:cstheme="minorHAnsi"/>
          <w:color w:val="000000" w:themeColor="text1"/>
          <w:lang w:val="en-AU"/>
        </w:rPr>
        <w:t>-</w:t>
      </w:r>
      <w:r w:rsidR="0023735F" w:rsidRPr="004B50F9">
        <w:rPr>
          <w:rFonts w:cstheme="minorHAnsi"/>
          <w:color w:val="000000" w:themeColor="text1"/>
          <w:lang w:val="en-AU"/>
        </w:rPr>
        <w:t>six clan conflicts</w:t>
      </w:r>
      <w:r w:rsidR="00C31A5F" w:rsidRPr="004B50F9">
        <w:rPr>
          <w:rFonts w:cstheme="minorHAnsi"/>
          <w:color w:val="000000" w:themeColor="text1"/>
          <w:lang w:val="en-AU"/>
        </w:rPr>
        <w:t xml:space="preserve"> </w:t>
      </w:r>
      <w:r w:rsidR="0023735F" w:rsidRPr="004B50F9">
        <w:rPr>
          <w:rFonts w:cstheme="minorHAnsi"/>
          <w:color w:val="000000" w:themeColor="text1"/>
          <w:lang w:val="en-AU"/>
        </w:rPr>
        <w:t>with eighteen cases formally resolved</w:t>
      </w:r>
    </w:p>
    <w:p w14:paraId="658B1811" w14:textId="21A89DB2" w:rsidR="005A4AD7" w:rsidRPr="004B50F9" w:rsidRDefault="00C31A5F" w:rsidP="00C31A5F">
      <w:pPr>
        <w:pStyle w:val="ListParagraph"/>
        <w:numPr>
          <w:ilvl w:val="0"/>
          <w:numId w:val="12"/>
        </w:numPr>
        <w:suppressAutoHyphens w:val="0"/>
        <w:spacing w:before="0" w:after="0"/>
        <w:ind w:left="284" w:hanging="284"/>
        <w:rPr>
          <w:rFonts w:cstheme="minorHAnsi"/>
          <w:color w:val="000000" w:themeColor="text1"/>
          <w:lang w:val="en-AU"/>
        </w:rPr>
      </w:pPr>
      <w:r w:rsidRPr="004B50F9">
        <w:rPr>
          <w:rFonts w:cstheme="minorHAnsi"/>
          <w:color w:val="000000" w:themeColor="text1"/>
          <w:lang w:val="en-AU"/>
        </w:rPr>
        <w:t xml:space="preserve">a </w:t>
      </w:r>
      <w:r w:rsidR="00C30130" w:rsidRPr="004B50F9">
        <w:rPr>
          <w:rFonts w:cstheme="minorHAnsi"/>
          <w:color w:val="000000" w:themeColor="text1"/>
          <w:lang w:val="en-AU"/>
        </w:rPr>
        <w:t xml:space="preserve">school </w:t>
      </w:r>
      <w:r w:rsidRPr="004B50F9">
        <w:rPr>
          <w:rFonts w:cstheme="minorHAnsi"/>
          <w:color w:val="000000" w:themeColor="text1"/>
          <w:lang w:val="en-AU"/>
        </w:rPr>
        <w:t xml:space="preserve">curriculum piloted in Marawi </w:t>
      </w:r>
      <w:r w:rsidR="004143EE">
        <w:rPr>
          <w:rFonts w:cstheme="minorHAnsi"/>
          <w:color w:val="000000" w:themeColor="text1"/>
          <w:lang w:val="en-AU"/>
        </w:rPr>
        <w:t>chang</w:t>
      </w:r>
      <w:r w:rsidR="004143EE" w:rsidRPr="004B50F9">
        <w:rPr>
          <w:rFonts w:cstheme="minorHAnsi"/>
          <w:color w:val="000000" w:themeColor="text1"/>
          <w:lang w:val="en-AU"/>
        </w:rPr>
        <w:t xml:space="preserve">ed </w:t>
      </w:r>
      <w:r w:rsidRPr="004B50F9">
        <w:rPr>
          <w:rFonts w:cstheme="minorHAnsi"/>
          <w:color w:val="000000" w:themeColor="text1"/>
          <w:lang w:val="en-AU"/>
        </w:rPr>
        <w:t xml:space="preserve">attitudes </w:t>
      </w:r>
      <w:r w:rsidR="004143EE">
        <w:rPr>
          <w:rFonts w:cstheme="minorHAnsi"/>
          <w:color w:val="000000" w:themeColor="text1"/>
          <w:lang w:val="en-AU"/>
        </w:rPr>
        <w:t xml:space="preserve">towards </w:t>
      </w:r>
      <w:r w:rsidRPr="004B50F9">
        <w:rPr>
          <w:rFonts w:cstheme="minorHAnsi"/>
          <w:color w:val="000000" w:themeColor="text1"/>
          <w:lang w:val="en-AU"/>
        </w:rPr>
        <w:t xml:space="preserve">using violence to resolve </w:t>
      </w:r>
      <w:r w:rsidR="004143EE">
        <w:rPr>
          <w:rFonts w:cstheme="minorHAnsi"/>
          <w:color w:val="000000" w:themeColor="text1"/>
          <w:lang w:val="en-AU"/>
        </w:rPr>
        <w:t>disputes</w:t>
      </w:r>
    </w:p>
    <w:p w14:paraId="449AAA4B" w14:textId="2B93FF60" w:rsidR="009159F0" w:rsidRPr="004B50F9" w:rsidRDefault="003C6BDE" w:rsidP="008C2C5B">
      <w:pPr>
        <w:pStyle w:val="ListParagraph"/>
        <w:numPr>
          <w:ilvl w:val="0"/>
          <w:numId w:val="12"/>
        </w:numPr>
        <w:suppressAutoHyphens w:val="0"/>
        <w:spacing w:before="0" w:after="0"/>
        <w:ind w:left="284" w:hanging="284"/>
        <w:rPr>
          <w:rFonts w:cstheme="minorHAnsi"/>
          <w:color w:val="000000" w:themeColor="text1"/>
          <w:lang w:val="en-AU"/>
        </w:rPr>
      </w:pPr>
      <w:r w:rsidRPr="004B50F9">
        <w:rPr>
          <w:rFonts w:cstheme="minorHAnsi"/>
          <w:color w:val="000000" w:themeColor="text1"/>
          <w:lang w:val="en-AU"/>
        </w:rPr>
        <w:t>twelve</w:t>
      </w:r>
      <w:r w:rsidR="009159F0" w:rsidRPr="004B50F9">
        <w:rPr>
          <w:rFonts w:cstheme="minorHAnsi"/>
          <w:color w:val="000000" w:themeColor="text1"/>
          <w:lang w:val="en-AU"/>
        </w:rPr>
        <w:t xml:space="preserve"> new policies adopted</w:t>
      </w:r>
      <w:r w:rsidR="00224905" w:rsidRPr="004B50F9">
        <w:rPr>
          <w:rFonts w:cstheme="minorHAnsi"/>
          <w:color w:val="000000" w:themeColor="text1"/>
          <w:lang w:val="en-AU"/>
        </w:rPr>
        <w:t>,</w:t>
      </w:r>
      <w:r w:rsidR="009159F0" w:rsidRPr="004B50F9">
        <w:rPr>
          <w:rFonts w:cstheme="minorHAnsi"/>
          <w:color w:val="000000" w:themeColor="text1"/>
          <w:lang w:val="en-AU"/>
        </w:rPr>
        <w:t xml:space="preserve"> including rules and regulations for Universal Health Care</w:t>
      </w:r>
    </w:p>
    <w:p w14:paraId="117A4957" w14:textId="2B669A99" w:rsidR="0051429C" w:rsidRPr="004B50F9" w:rsidRDefault="00C31A5F" w:rsidP="0051429C">
      <w:pPr>
        <w:pStyle w:val="ListParagraph"/>
        <w:numPr>
          <w:ilvl w:val="0"/>
          <w:numId w:val="12"/>
        </w:numPr>
        <w:suppressAutoHyphens w:val="0"/>
        <w:spacing w:before="0" w:after="0"/>
        <w:ind w:left="284" w:hanging="284"/>
        <w:rPr>
          <w:rFonts w:cstheme="minorHAnsi"/>
          <w:color w:val="000000" w:themeColor="text1"/>
          <w:lang w:val="en-AU"/>
        </w:rPr>
      </w:pPr>
      <w:r w:rsidRPr="004B50F9">
        <w:rPr>
          <w:rFonts w:cstheme="minorHAnsi"/>
          <w:color w:val="000000" w:themeColor="text1"/>
          <w:lang w:val="en-AU"/>
        </w:rPr>
        <w:t>t</w:t>
      </w:r>
      <w:r w:rsidR="0051429C" w:rsidRPr="004B50F9">
        <w:rPr>
          <w:rFonts w:cstheme="minorHAnsi"/>
          <w:color w:val="000000" w:themeColor="text1"/>
          <w:lang w:val="en-AU"/>
        </w:rPr>
        <w:t>he Philippines Internet Crimes Against Children Centre was established and made operational</w:t>
      </w:r>
    </w:p>
    <w:p w14:paraId="7D4C0CB0" w14:textId="7C40FFEF" w:rsidR="004D3944" w:rsidRPr="004B50F9" w:rsidRDefault="009974EA" w:rsidP="00C31A5F">
      <w:pPr>
        <w:pStyle w:val="ListParagraph"/>
        <w:numPr>
          <w:ilvl w:val="0"/>
          <w:numId w:val="12"/>
        </w:numPr>
        <w:suppressAutoHyphens w:val="0"/>
        <w:spacing w:before="0" w:after="0"/>
        <w:ind w:left="284" w:hanging="284"/>
        <w:rPr>
          <w:rFonts w:cstheme="minorHAnsi"/>
          <w:color w:val="000000" w:themeColor="text1"/>
          <w:lang w:val="en-AU"/>
        </w:rPr>
      </w:pPr>
      <w:r w:rsidRPr="004B50F9">
        <w:rPr>
          <w:rFonts w:cstheme="minorHAnsi"/>
          <w:color w:val="000000" w:themeColor="text1"/>
          <w:lang w:val="en-AU"/>
        </w:rPr>
        <w:t>68</w:t>
      </w:r>
      <w:r w:rsidR="009159F0" w:rsidRPr="004B50F9">
        <w:rPr>
          <w:rFonts w:cstheme="minorHAnsi"/>
          <w:color w:val="000000" w:themeColor="text1"/>
          <w:lang w:val="en-AU"/>
        </w:rPr>
        <w:t xml:space="preserve"> Australia Awards Scholarships awarded to emerging Filipino leaders</w:t>
      </w:r>
    </w:p>
    <w:p w14:paraId="6BBA1938" w14:textId="5942AF23" w:rsidR="00C31A5F" w:rsidRPr="004B50F9" w:rsidRDefault="004D3944" w:rsidP="00E43365">
      <w:pPr>
        <w:pStyle w:val="ListParagraph"/>
        <w:numPr>
          <w:ilvl w:val="0"/>
          <w:numId w:val="12"/>
        </w:numPr>
        <w:suppressAutoHyphens w:val="0"/>
        <w:spacing w:before="0" w:after="0"/>
        <w:ind w:left="284" w:hanging="284"/>
        <w:rPr>
          <w:rFonts w:cstheme="minorHAnsi"/>
          <w:color w:val="000000" w:themeColor="text1"/>
          <w:lang w:val="en-AU"/>
        </w:rPr>
      </w:pPr>
      <w:r w:rsidRPr="004B50F9">
        <w:rPr>
          <w:rFonts w:cstheme="minorHAnsi"/>
          <w:color w:val="000000" w:themeColor="text1"/>
          <w:lang w:val="en-AU"/>
        </w:rPr>
        <w:t xml:space="preserve">enhanced targeting and grievance redress mechanisms for </w:t>
      </w:r>
      <w:r w:rsidR="00224905" w:rsidRPr="004B50F9">
        <w:rPr>
          <w:rFonts w:cstheme="minorHAnsi"/>
          <w:color w:val="000000" w:themeColor="text1"/>
          <w:lang w:val="en-AU"/>
        </w:rPr>
        <w:t xml:space="preserve">social protection </w:t>
      </w:r>
      <w:r w:rsidRPr="004B50F9">
        <w:rPr>
          <w:rFonts w:cstheme="minorHAnsi"/>
          <w:color w:val="000000" w:themeColor="text1"/>
          <w:lang w:val="en-AU"/>
        </w:rPr>
        <w:t>beneficiaries</w:t>
      </w:r>
    </w:p>
    <w:p w14:paraId="7B43F2FF" w14:textId="54F720CC" w:rsidR="00B54E9D" w:rsidRPr="004B50F9" w:rsidRDefault="00036E44" w:rsidP="009F2517">
      <w:pPr>
        <w:pStyle w:val="ListParagraph"/>
        <w:numPr>
          <w:ilvl w:val="0"/>
          <w:numId w:val="12"/>
        </w:numPr>
        <w:suppressAutoHyphens w:val="0"/>
        <w:spacing w:before="0" w:after="0"/>
        <w:ind w:left="284" w:hanging="284"/>
        <w:rPr>
          <w:rFonts w:cstheme="minorHAnsi"/>
          <w:color w:val="000000" w:themeColor="text1"/>
          <w:lang w:val="en-AU"/>
        </w:rPr>
      </w:pPr>
      <w:r>
        <w:rPr>
          <w:rFonts w:cstheme="minorHAnsi"/>
          <w:color w:val="000000" w:themeColor="text1"/>
          <w:lang w:val="en-AU"/>
        </w:rPr>
        <w:t>$</w:t>
      </w:r>
      <w:r w:rsidR="00C31A5F" w:rsidRPr="004B50F9">
        <w:rPr>
          <w:rFonts w:cstheme="minorHAnsi"/>
          <w:color w:val="000000" w:themeColor="text1"/>
          <w:lang w:val="en-AU"/>
        </w:rPr>
        <w:t>1.3</w:t>
      </w:r>
      <w:r w:rsidR="00282275">
        <w:rPr>
          <w:rFonts w:cstheme="minorHAnsi"/>
          <w:color w:val="000000" w:themeColor="text1"/>
          <w:lang w:val="en-AU"/>
        </w:rPr>
        <w:t xml:space="preserve"> </w:t>
      </w:r>
      <w:r w:rsidR="00C31A5F" w:rsidRPr="004B50F9">
        <w:rPr>
          <w:rFonts w:cstheme="minorHAnsi"/>
          <w:color w:val="000000" w:themeColor="text1"/>
          <w:lang w:val="en-AU"/>
        </w:rPr>
        <w:t>m</w:t>
      </w:r>
      <w:r w:rsidR="00282275">
        <w:rPr>
          <w:rFonts w:cstheme="minorHAnsi"/>
          <w:color w:val="000000" w:themeColor="text1"/>
          <w:lang w:val="en-AU"/>
        </w:rPr>
        <w:t>illion</w:t>
      </w:r>
      <w:r w:rsidR="00C31A5F" w:rsidRPr="004B50F9">
        <w:rPr>
          <w:rFonts w:cstheme="minorHAnsi"/>
          <w:color w:val="000000" w:themeColor="text1"/>
          <w:lang w:val="en-AU"/>
        </w:rPr>
        <w:t xml:space="preserve"> impact investment funds provided to two women-led enterprises and </w:t>
      </w:r>
      <w:r>
        <w:rPr>
          <w:rFonts w:cstheme="minorHAnsi"/>
          <w:color w:val="000000" w:themeColor="text1"/>
          <w:lang w:val="en-AU"/>
        </w:rPr>
        <w:t>$</w:t>
      </w:r>
      <w:r w:rsidR="001A65F9" w:rsidRPr="004B50F9">
        <w:rPr>
          <w:rFonts w:cstheme="minorHAnsi"/>
          <w:color w:val="000000" w:themeColor="text1"/>
          <w:lang w:val="en-AU"/>
        </w:rPr>
        <w:t>750,000</w:t>
      </w:r>
      <w:r w:rsidR="00C31A5F" w:rsidRPr="004B50F9">
        <w:rPr>
          <w:rFonts w:cstheme="minorHAnsi"/>
          <w:color w:val="000000" w:themeColor="text1"/>
          <w:lang w:val="en-AU"/>
        </w:rPr>
        <w:t xml:space="preserve"> </w:t>
      </w:r>
      <w:r w:rsidR="001A65F9" w:rsidRPr="004B50F9">
        <w:rPr>
          <w:rFonts w:cstheme="minorHAnsi"/>
          <w:color w:val="000000" w:themeColor="text1"/>
          <w:lang w:val="en-AU"/>
        </w:rPr>
        <w:t xml:space="preserve">private sector </w:t>
      </w:r>
      <w:r w:rsidR="00C31A5F" w:rsidRPr="004B50F9">
        <w:rPr>
          <w:rFonts w:cstheme="minorHAnsi"/>
          <w:color w:val="000000" w:themeColor="text1"/>
          <w:lang w:val="en-AU"/>
        </w:rPr>
        <w:t>investment funding leveraged for six social enterprises.</w:t>
      </w:r>
    </w:p>
    <w:p w14:paraId="487336C5" w14:textId="77777777" w:rsidR="00977676" w:rsidRDefault="00977676" w:rsidP="00230777">
      <w:pPr>
        <w:sectPr w:rsidR="00977676" w:rsidSect="00CA5D78">
          <w:headerReference w:type="default" r:id="rId13"/>
          <w:footerReference w:type="default" r:id="rId14"/>
          <w:headerReference w:type="first" r:id="rId15"/>
          <w:footerReference w:type="first" r:id="rId16"/>
          <w:type w:val="continuous"/>
          <w:pgSz w:w="11906" w:h="16838" w:code="9"/>
          <w:pgMar w:top="1701" w:right="1134" w:bottom="1418" w:left="1134" w:header="425" w:footer="493" w:gutter="0"/>
          <w:cols w:num="2" w:space="397"/>
          <w:titlePg/>
          <w:docGrid w:linePitch="360"/>
        </w:sectPr>
      </w:pPr>
    </w:p>
    <w:p w14:paraId="0708FC5C" w14:textId="1A41819C" w:rsidR="004C5598" w:rsidRDefault="00D00153" w:rsidP="00B903CC">
      <w:pPr>
        <w:pStyle w:val="Heading2"/>
        <w:spacing w:before="0" w:line="240" w:lineRule="auto"/>
        <w:contextualSpacing w:val="0"/>
        <w:rPr>
          <w:sz w:val="24"/>
          <w:szCs w:val="24"/>
        </w:rPr>
      </w:pPr>
      <w:r>
        <w:lastRenderedPageBreak/>
        <w:t>P</w:t>
      </w:r>
      <w:r w:rsidR="004C5598">
        <w:t>rogress against 2019-20 performance indicators</w:t>
      </w:r>
    </w:p>
    <w:tbl>
      <w:tblPr>
        <w:tblStyle w:val="TableGrid"/>
        <w:tblW w:w="9634" w:type="dxa"/>
        <w:tblLook w:val="04A0" w:firstRow="1" w:lastRow="0" w:firstColumn="1" w:lastColumn="0" w:noHBand="0" w:noVBand="1"/>
        <w:tblCaption w:val="Performance Assessment Framework"/>
        <w:tblDescription w:val="This program has three strategic objectives and fourteen performance benchmark, indicators that are used to measure progress."/>
      </w:tblPr>
      <w:tblGrid>
        <w:gridCol w:w="1271"/>
        <w:gridCol w:w="3969"/>
        <w:gridCol w:w="4394"/>
      </w:tblGrid>
      <w:tr w:rsidR="00ED747E" w:rsidRPr="00E527D1" w14:paraId="40D7214F" w14:textId="77777777" w:rsidTr="00C03074">
        <w:trPr>
          <w:tblHeader/>
        </w:trPr>
        <w:tc>
          <w:tcPr>
            <w:tcW w:w="1271" w:type="dxa"/>
            <w:shd w:val="clear" w:color="auto" w:fill="C1E7E0" w:themeFill="accent1" w:themeFillTint="66"/>
          </w:tcPr>
          <w:p w14:paraId="7EC61243" w14:textId="5E15FC16" w:rsidR="00ED747E" w:rsidRPr="00E527D1" w:rsidRDefault="00ED747E" w:rsidP="001702EA">
            <w:pPr>
              <w:pStyle w:val="BodyText"/>
              <w:spacing w:before="40" w:after="40" w:line="240" w:lineRule="auto"/>
              <w:rPr>
                <w:rFonts w:asciiTheme="majorHAnsi" w:eastAsiaTheme="majorEastAsia" w:hAnsiTheme="majorHAnsi" w:cstheme="majorHAnsi"/>
                <w:b/>
                <w:caps/>
                <w:sz w:val="20"/>
                <w:szCs w:val="20"/>
              </w:rPr>
            </w:pPr>
            <w:r w:rsidRPr="00E527D1">
              <w:rPr>
                <w:rFonts w:asciiTheme="majorHAnsi" w:eastAsiaTheme="majorEastAsia" w:hAnsiTheme="majorHAnsi" w:cstheme="majorHAnsi"/>
                <w:b/>
                <w:caps/>
                <w:sz w:val="20"/>
                <w:szCs w:val="20"/>
              </w:rPr>
              <w:t>strategic OBJECTIVE</w:t>
            </w:r>
            <w:r w:rsidR="00DF767F" w:rsidRPr="00E527D1">
              <w:rPr>
                <w:rFonts w:asciiTheme="majorHAnsi" w:eastAsiaTheme="majorEastAsia" w:hAnsiTheme="majorHAnsi" w:cstheme="majorHAnsi"/>
                <w:b/>
                <w:caps/>
                <w:sz w:val="20"/>
                <w:szCs w:val="20"/>
              </w:rPr>
              <w:t>S</w:t>
            </w:r>
          </w:p>
        </w:tc>
        <w:tc>
          <w:tcPr>
            <w:tcW w:w="3969" w:type="dxa"/>
            <w:shd w:val="clear" w:color="auto" w:fill="C1E7E0" w:themeFill="accent1" w:themeFillTint="66"/>
          </w:tcPr>
          <w:p w14:paraId="0FB78110" w14:textId="77777777" w:rsidR="00ED747E" w:rsidRPr="00E527D1" w:rsidRDefault="00ED747E" w:rsidP="001702EA">
            <w:pPr>
              <w:pStyle w:val="BodyText"/>
              <w:spacing w:before="40" w:after="40" w:line="240" w:lineRule="auto"/>
              <w:rPr>
                <w:rFonts w:asciiTheme="majorHAnsi" w:eastAsiaTheme="majorEastAsia" w:hAnsiTheme="majorHAnsi" w:cstheme="majorHAnsi"/>
                <w:b/>
                <w:caps/>
                <w:sz w:val="20"/>
                <w:szCs w:val="20"/>
              </w:rPr>
            </w:pPr>
            <w:r w:rsidRPr="00E527D1">
              <w:rPr>
                <w:rFonts w:asciiTheme="majorHAnsi" w:eastAsiaTheme="majorEastAsia" w:hAnsiTheme="majorHAnsi" w:cstheme="majorHAnsi"/>
                <w:b/>
                <w:caps/>
                <w:sz w:val="20"/>
                <w:szCs w:val="20"/>
              </w:rPr>
              <w:t>Performance assessment framework indicator/benchmark</w:t>
            </w:r>
          </w:p>
        </w:tc>
        <w:tc>
          <w:tcPr>
            <w:tcW w:w="4394" w:type="dxa"/>
            <w:shd w:val="clear" w:color="auto" w:fill="C1E7E0" w:themeFill="accent1" w:themeFillTint="66"/>
          </w:tcPr>
          <w:p w14:paraId="0DDF0BDF" w14:textId="77777777" w:rsidR="00ED747E" w:rsidRPr="00E527D1" w:rsidRDefault="00ED747E" w:rsidP="001702EA">
            <w:pPr>
              <w:pStyle w:val="BodyText"/>
              <w:spacing w:before="40" w:after="40" w:line="240" w:lineRule="auto"/>
              <w:rPr>
                <w:rFonts w:asciiTheme="majorHAnsi" w:eastAsiaTheme="majorEastAsia" w:hAnsiTheme="majorHAnsi" w:cstheme="majorHAnsi"/>
                <w:b/>
                <w:caps/>
                <w:sz w:val="20"/>
                <w:szCs w:val="20"/>
              </w:rPr>
            </w:pPr>
            <w:r w:rsidRPr="00E527D1">
              <w:rPr>
                <w:rFonts w:asciiTheme="majorHAnsi" w:eastAsiaTheme="majorEastAsia" w:hAnsiTheme="majorHAnsi" w:cstheme="majorHAnsi"/>
                <w:b/>
                <w:caps/>
                <w:sz w:val="20"/>
                <w:szCs w:val="20"/>
              </w:rPr>
              <w:t>Brief summary of progress against indicator/benchmark</w:t>
            </w:r>
          </w:p>
        </w:tc>
      </w:tr>
      <w:tr w:rsidR="00FA78D0" w:rsidRPr="00E527D1" w14:paraId="14FB94A5" w14:textId="77777777" w:rsidTr="00C03074">
        <w:trPr>
          <w:tblHeader/>
        </w:trPr>
        <w:tc>
          <w:tcPr>
            <w:tcW w:w="1271" w:type="dxa"/>
          </w:tcPr>
          <w:p w14:paraId="5CDB0BB2" w14:textId="77777777" w:rsidR="00A568F4" w:rsidRDefault="00FA78D0" w:rsidP="00FA78D0">
            <w:pPr>
              <w:pStyle w:val="BodyText"/>
              <w:spacing w:before="40" w:after="40" w:line="240" w:lineRule="auto"/>
              <w:rPr>
                <w:rFonts w:eastAsiaTheme="majorEastAsia" w:cstheme="minorHAnsi"/>
                <w:sz w:val="20"/>
                <w:szCs w:val="18"/>
              </w:rPr>
            </w:pPr>
            <w:r w:rsidRPr="00E527D1">
              <w:rPr>
                <w:rFonts w:eastAsiaTheme="majorEastAsia" w:cstheme="minorHAnsi"/>
                <w:sz w:val="20"/>
                <w:szCs w:val="18"/>
              </w:rPr>
              <w:t>Objective 1</w:t>
            </w:r>
            <w:r w:rsidR="00A568F4">
              <w:rPr>
                <w:rFonts w:eastAsiaTheme="majorEastAsia" w:cstheme="minorHAnsi"/>
                <w:sz w:val="20"/>
                <w:szCs w:val="18"/>
              </w:rPr>
              <w:t>.</w:t>
            </w:r>
          </w:p>
          <w:p w14:paraId="1825AF7D" w14:textId="30E62613" w:rsidR="00FA78D0" w:rsidRPr="00E527D1" w:rsidRDefault="00FA78D0" w:rsidP="00FA78D0">
            <w:pPr>
              <w:pStyle w:val="BodyText"/>
              <w:spacing w:before="40" w:after="40" w:line="240" w:lineRule="auto"/>
              <w:rPr>
                <w:rFonts w:eastAsiaTheme="majorEastAsia" w:cstheme="minorHAnsi"/>
                <w:sz w:val="20"/>
                <w:szCs w:val="18"/>
              </w:rPr>
            </w:pPr>
            <w:r w:rsidRPr="00E527D1">
              <w:rPr>
                <w:rFonts w:eastAsiaTheme="majorEastAsia" w:cstheme="minorHAnsi"/>
                <w:sz w:val="20"/>
                <w:szCs w:val="18"/>
              </w:rPr>
              <w:t>Enhancing the Foundations for Economic Growth</w:t>
            </w:r>
          </w:p>
        </w:tc>
        <w:tc>
          <w:tcPr>
            <w:tcW w:w="3969" w:type="dxa"/>
          </w:tcPr>
          <w:p w14:paraId="177A7945" w14:textId="77777777" w:rsidR="00FA78D0" w:rsidRDefault="00FA78D0" w:rsidP="00FA78D0">
            <w:pPr>
              <w:pStyle w:val="BodyText"/>
              <w:spacing w:before="40" w:after="40" w:line="240" w:lineRule="auto"/>
              <w:rPr>
                <w:rFonts w:eastAsiaTheme="majorEastAsia" w:cstheme="minorHAnsi"/>
                <w:sz w:val="20"/>
                <w:szCs w:val="18"/>
              </w:rPr>
            </w:pPr>
            <w:r w:rsidRPr="000B3615">
              <w:rPr>
                <w:rFonts w:asciiTheme="majorHAnsi" w:eastAsiaTheme="majorEastAsia" w:hAnsiTheme="majorHAnsi" w:cstheme="majorHAnsi"/>
                <w:sz w:val="20"/>
                <w:szCs w:val="18"/>
              </w:rPr>
              <w:t xml:space="preserve">1.1 </w:t>
            </w:r>
            <w:r w:rsidRPr="00E527D1">
              <w:rPr>
                <w:rFonts w:eastAsiaTheme="majorEastAsia" w:cstheme="minorHAnsi"/>
                <w:sz w:val="20"/>
                <w:szCs w:val="18"/>
              </w:rPr>
              <w:t>Scores of three Doing Business indicators (Starting a business; Getting credit; Trading across borders) increase from previous year</w:t>
            </w:r>
            <w:r w:rsidR="00A568F4">
              <w:rPr>
                <w:rFonts w:eastAsiaTheme="majorEastAsia" w:cstheme="minorHAnsi"/>
                <w:sz w:val="20"/>
                <w:szCs w:val="18"/>
              </w:rPr>
              <w:t>.</w:t>
            </w:r>
          </w:p>
          <w:p w14:paraId="2E747B3E" w14:textId="77777777" w:rsidR="00A568F4" w:rsidRDefault="00A568F4" w:rsidP="00FA78D0">
            <w:pPr>
              <w:pStyle w:val="BodyText"/>
              <w:spacing w:before="40" w:after="40" w:line="240" w:lineRule="auto"/>
              <w:rPr>
                <w:rFonts w:eastAsiaTheme="majorEastAsia" w:cstheme="minorHAnsi"/>
                <w:sz w:val="20"/>
                <w:szCs w:val="18"/>
              </w:rPr>
            </w:pPr>
            <w:r w:rsidRPr="000B3615">
              <w:rPr>
                <w:rFonts w:asciiTheme="majorHAnsi" w:eastAsiaTheme="majorEastAsia" w:hAnsiTheme="majorHAnsi" w:cstheme="majorHAnsi"/>
                <w:sz w:val="20"/>
                <w:szCs w:val="18"/>
              </w:rPr>
              <w:t>1.2</w:t>
            </w:r>
            <w:r w:rsidRPr="00E527D1">
              <w:rPr>
                <w:rFonts w:eastAsiaTheme="majorEastAsia" w:cstheme="minorHAnsi"/>
                <w:sz w:val="20"/>
                <w:szCs w:val="18"/>
              </w:rPr>
              <w:t xml:space="preserve"> Two member companies of the Investing in Women business coalition in the Philippines acquire Economic Dividends for Gender Equality (EDGE) certification</w:t>
            </w:r>
            <w:r>
              <w:rPr>
                <w:rFonts w:eastAsiaTheme="majorEastAsia" w:cstheme="minorHAnsi"/>
                <w:sz w:val="20"/>
                <w:szCs w:val="18"/>
              </w:rPr>
              <w:t>.</w:t>
            </w:r>
          </w:p>
          <w:p w14:paraId="05F4079B" w14:textId="591AB601" w:rsidR="00A568F4" w:rsidRDefault="00A568F4" w:rsidP="00A568F4">
            <w:pPr>
              <w:pStyle w:val="BodyText"/>
              <w:spacing w:before="40" w:after="40" w:line="240" w:lineRule="auto"/>
              <w:rPr>
                <w:rFonts w:eastAsiaTheme="majorEastAsia" w:cstheme="minorHAnsi"/>
                <w:sz w:val="20"/>
                <w:szCs w:val="18"/>
              </w:rPr>
            </w:pPr>
            <w:r w:rsidRPr="000B3615">
              <w:rPr>
                <w:rFonts w:asciiTheme="majorHAnsi" w:eastAsiaTheme="majorEastAsia" w:hAnsiTheme="majorHAnsi" w:cstheme="majorHAnsi"/>
                <w:sz w:val="20"/>
                <w:szCs w:val="18"/>
              </w:rPr>
              <w:t>1.3</w:t>
            </w:r>
            <w:r w:rsidRPr="00E527D1">
              <w:rPr>
                <w:rFonts w:cstheme="minorHAnsi"/>
                <w:sz w:val="20"/>
                <w:szCs w:val="18"/>
              </w:rPr>
              <w:t xml:space="preserve"> </w:t>
            </w:r>
            <w:r w:rsidRPr="00E527D1">
              <w:rPr>
                <w:rFonts w:eastAsiaTheme="majorEastAsia" w:cstheme="minorHAnsi"/>
                <w:sz w:val="20"/>
                <w:szCs w:val="18"/>
              </w:rPr>
              <w:t>Department of Education issues a policy and operations manual on new teacher professional development system</w:t>
            </w:r>
            <w:r>
              <w:rPr>
                <w:rFonts w:eastAsiaTheme="majorEastAsia" w:cstheme="minorHAnsi"/>
                <w:sz w:val="20"/>
                <w:szCs w:val="18"/>
              </w:rPr>
              <w:t>.</w:t>
            </w:r>
          </w:p>
          <w:p w14:paraId="60873E22" w14:textId="77777777" w:rsidR="00A568F4" w:rsidRDefault="00A568F4" w:rsidP="00A568F4">
            <w:pPr>
              <w:pStyle w:val="BodyText"/>
              <w:spacing w:before="40" w:after="40" w:line="240" w:lineRule="auto"/>
              <w:rPr>
                <w:rFonts w:eastAsiaTheme="majorEastAsia" w:cstheme="minorHAnsi"/>
                <w:sz w:val="20"/>
                <w:szCs w:val="18"/>
              </w:rPr>
            </w:pPr>
            <w:r w:rsidRPr="000B3615">
              <w:rPr>
                <w:rFonts w:asciiTheme="majorHAnsi" w:eastAsiaTheme="majorEastAsia" w:hAnsiTheme="majorHAnsi" w:cstheme="majorHAnsi"/>
                <w:sz w:val="20"/>
                <w:szCs w:val="18"/>
              </w:rPr>
              <w:t>1.4</w:t>
            </w:r>
            <w:r w:rsidRPr="00E527D1">
              <w:rPr>
                <w:rFonts w:eastAsiaTheme="majorEastAsia" w:cstheme="minorHAnsi"/>
                <w:sz w:val="20"/>
                <w:szCs w:val="18"/>
              </w:rPr>
              <w:t xml:space="preserve"> Six infrastructure projects designed to international standards</w:t>
            </w:r>
            <w:r>
              <w:rPr>
                <w:rFonts w:eastAsiaTheme="majorEastAsia" w:cstheme="minorHAnsi"/>
                <w:sz w:val="20"/>
                <w:szCs w:val="18"/>
              </w:rPr>
              <w:t>.</w:t>
            </w:r>
          </w:p>
          <w:p w14:paraId="70C52671" w14:textId="77777777" w:rsidR="00A568F4" w:rsidRDefault="00A568F4" w:rsidP="00A568F4">
            <w:pPr>
              <w:pStyle w:val="BodyText"/>
              <w:spacing w:before="40" w:after="40" w:line="240" w:lineRule="auto"/>
              <w:rPr>
                <w:rFonts w:eastAsiaTheme="majorEastAsia" w:cstheme="minorHAnsi"/>
                <w:sz w:val="20"/>
                <w:szCs w:val="18"/>
              </w:rPr>
            </w:pPr>
          </w:p>
          <w:p w14:paraId="78CA1570" w14:textId="1823BF74" w:rsidR="00A568F4" w:rsidRPr="00E527D1" w:rsidRDefault="00A568F4" w:rsidP="00FA78D0">
            <w:pPr>
              <w:pStyle w:val="BodyText"/>
              <w:spacing w:before="40" w:after="40" w:line="240" w:lineRule="auto"/>
              <w:rPr>
                <w:rFonts w:eastAsiaTheme="majorEastAsia" w:cstheme="minorHAnsi"/>
                <w:sz w:val="20"/>
                <w:szCs w:val="18"/>
              </w:rPr>
            </w:pPr>
          </w:p>
        </w:tc>
        <w:tc>
          <w:tcPr>
            <w:tcW w:w="4394" w:type="dxa"/>
          </w:tcPr>
          <w:p w14:paraId="161668E1" w14:textId="77777777" w:rsidR="00FA78D0" w:rsidRDefault="00A568F4" w:rsidP="00FA78D0">
            <w:pPr>
              <w:pStyle w:val="BodyText"/>
              <w:spacing w:before="40" w:after="40" w:line="240" w:lineRule="auto"/>
              <w:rPr>
                <w:rFonts w:eastAsiaTheme="majorEastAsia" w:cstheme="minorHAnsi"/>
                <w:sz w:val="20"/>
                <w:szCs w:val="18"/>
              </w:rPr>
            </w:pPr>
            <w:r>
              <w:rPr>
                <w:rFonts w:eastAsiaTheme="majorEastAsia" w:cstheme="minorHAnsi"/>
                <w:sz w:val="20"/>
                <w:szCs w:val="18"/>
              </w:rPr>
              <w:t xml:space="preserve">~ </w:t>
            </w:r>
            <w:r w:rsidR="00FA78D0" w:rsidRPr="00E527D1">
              <w:rPr>
                <w:rFonts w:eastAsiaTheme="majorEastAsia" w:cstheme="minorHAnsi"/>
                <w:sz w:val="20"/>
                <w:szCs w:val="18"/>
              </w:rPr>
              <w:t>2020 score for ‘Starting a business’ indicator improved by 2 percentage points, and scores for ‘Getting credit’ and ‘Trading across borders’ reflected no change,</w:t>
            </w:r>
            <w:r w:rsidR="005C1A5B" w:rsidRPr="00E527D1">
              <w:rPr>
                <w:rFonts w:eastAsiaTheme="majorEastAsia" w:cstheme="minorHAnsi"/>
                <w:sz w:val="20"/>
                <w:szCs w:val="18"/>
              </w:rPr>
              <w:t xml:space="preserve"> compared to previous year</w:t>
            </w:r>
            <w:r>
              <w:rPr>
                <w:rFonts w:eastAsiaTheme="majorEastAsia" w:cstheme="minorHAnsi"/>
                <w:sz w:val="20"/>
                <w:szCs w:val="18"/>
              </w:rPr>
              <w:t>.</w:t>
            </w:r>
          </w:p>
          <w:p w14:paraId="3549E451" w14:textId="77777777" w:rsidR="00A568F4" w:rsidRDefault="00A568F4" w:rsidP="00FA78D0">
            <w:pPr>
              <w:pStyle w:val="BodyText"/>
              <w:spacing w:before="40" w:after="40" w:line="240" w:lineRule="auto"/>
              <w:rPr>
                <w:rFonts w:eastAsiaTheme="majorEastAsia" w:cstheme="minorHAnsi"/>
                <w:sz w:val="20"/>
                <w:szCs w:val="18"/>
              </w:rPr>
            </w:pPr>
            <w:r>
              <w:rPr>
                <w:rFonts w:eastAsiaTheme="majorEastAsia" w:cstheme="minorHAnsi"/>
                <w:sz w:val="20"/>
                <w:szCs w:val="18"/>
              </w:rPr>
              <w:t xml:space="preserve">~ </w:t>
            </w:r>
            <w:r w:rsidRPr="00E527D1">
              <w:rPr>
                <w:rFonts w:eastAsiaTheme="majorEastAsia" w:cstheme="minorHAnsi"/>
                <w:sz w:val="20"/>
                <w:szCs w:val="18"/>
              </w:rPr>
              <w:t>EDGE certifications completed for two busi</w:t>
            </w:r>
            <w:r>
              <w:rPr>
                <w:rFonts w:eastAsiaTheme="majorEastAsia" w:cstheme="minorHAnsi"/>
                <w:sz w:val="20"/>
                <w:szCs w:val="18"/>
              </w:rPr>
              <w:t>ness coalition member companies.</w:t>
            </w:r>
          </w:p>
          <w:p w14:paraId="2E173E72" w14:textId="77777777" w:rsidR="00A568F4" w:rsidRDefault="00A568F4" w:rsidP="00FA78D0">
            <w:pPr>
              <w:pStyle w:val="BodyText"/>
              <w:spacing w:before="40" w:after="40" w:line="240" w:lineRule="auto"/>
              <w:rPr>
                <w:rFonts w:cstheme="minorHAnsi"/>
                <w:sz w:val="20"/>
                <w:szCs w:val="18"/>
              </w:rPr>
            </w:pPr>
            <w:r>
              <w:rPr>
                <w:rFonts w:cstheme="minorHAnsi"/>
                <w:sz w:val="20"/>
                <w:szCs w:val="18"/>
              </w:rPr>
              <w:t xml:space="preserve">~ </w:t>
            </w:r>
            <w:r w:rsidRPr="00E527D1">
              <w:rPr>
                <w:rFonts w:cstheme="minorHAnsi"/>
                <w:sz w:val="20"/>
                <w:szCs w:val="18"/>
              </w:rPr>
              <w:t>Department of Education completed an operations manual for its new Learning and Development System for teacher professional development.</w:t>
            </w:r>
          </w:p>
          <w:p w14:paraId="7BA57161" w14:textId="4C82E5A2" w:rsidR="00A568F4" w:rsidRPr="00E527D1" w:rsidRDefault="00A568F4" w:rsidP="00FA78D0">
            <w:pPr>
              <w:pStyle w:val="BodyText"/>
              <w:spacing w:before="40" w:after="40" w:line="240" w:lineRule="auto"/>
              <w:rPr>
                <w:rFonts w:eastAsiaTheme="majorEastAsia" w:cstheme="minorHAnsi"/>
                <w:sz w:val="20"/>
                <w:szCs w:val="18"/>
              </w:rPr>
            </w:pPr>
            <w:r>
              <w:rPr>
                <w:rFonts w:cstheme="minorHAnsi"/>
                <w:sz w:val="20"/>
                <w:szCs w:val="18"/>
              </w:rPr>
              <w:t xml:space="preserve">~ </w:t>
            </w:r>
            <w:r w:rsidRPr="00E527D1">
              <w:rPr>
                <w:rFonts w:cstheme="minorHAnsi"/>
                <w:sz w:val="20"/>
                <w:szCs w:val="18"/>
              </w:rPr>
              <w:t xml:space="preserve">Preparation of 21 Public Private Partnerships (PPP) for national and local government infrastructure projects supported by the Philippines PPP </w:t>
            </w:r>
            <w:proofErr w:type="spellStart"/>
            <w:r w:rsidRPr="00E527D1">
              <w:rPr>
                <w:rFonts w:cstheme="minorHAnsi"/>
                <w:sz w:val="20"/>
                <w:szCs w:val="18"/>
              </w:rPr>
              <w:t>Center</w:t>
            </w:r>
            <w:proofErr w:type="spellEnd"/>
            <w:r>
              <w:rPr>
                <w:rFonts w:cstheme="minorHAnsi"/>
                <w:sz w:val="20"/>
                <w:szCs w:val="18"/>
              </w:rPr>
              <w:t>.</w:t>
            </w:r>
          </w:p>
        </w:tc>
      </w:tr>
      <w:tr w:rsidR="00FA78D0" w:rsidRPr="00E527D1" w14:paraId="22D64867" w14:textId="77777777" w:rsidTr="00C03074">
        <w:trPr>
          <w:tblHeader/>
        </w:trPr>
        <w:tc>
          <w:tcPr>
            <w:tcW w:w="1271" w:type="dxa"/>
          </w:tcPr>
          <w:p w14:paraId="0E964109" w14:textId="77777777" w:rsidR="00A568F4" w:rsidRDefault="00FA78D0" w:rsidP="00FA78D0">
            <w:pPr>
              <w:pStyle w:val="BodyText"/>
              <w:spacing w:before="40" w:after="40" w:line="240" w:lineRule="auto"/>
              <w:rPr>
                <w:rFonts w:eastAsiaTheme="majorEastAsia" w:cstheme="minorHAnsi"/>
                <w:sz w:val="20"/>
                <w:szCs w:val="18"/>
              </w:rPr>
            </w:pPr>
            <w:r w:rsidRPr="00E527D1">
              <w:rPr>
                <w:rFonts w:eastAsiaTheme="majorEastAsia" w:cstheme="minorHAnsi"/>
                <w:sz w:val="20"/>
                <w:szCs w:val="18"/>
              </w:rPr>
              <w:t>Objective 2</w:t>
            </w:r>
            <w:r w:rsidR="00A568F4">
              <w:rPr>
                <w:rFonts w:eastAsiaTheme="majorEastAsia" w:cstheme="minorHAnsi"/>
                <w:sz w:val="20"/>
                <w:szCs w:val="18"/>
              </w:rPr>
              <w:t>.</w:t>
            </w:r>
          </w:p>
          <w:p w14:paraId="50BFDC0D" w14:textId="751669C1" w:rsidR="00FA78D0" w:rsidRPr="00E527D1" w:rsidRDefault="00FA78D0" w:rsidP="00FA78D0">
            <w:pPr>
              <w:pStyle w:val="BodyText"/>
              <w:spacing w:before="40" w:after="40" w:line="240" w:lineRule="auto"/>
              <w:rPr>
                <w:rFonts w:eastAsiaTheme="majorEastAsia" w:cstheme="minorHAnsi"/>
                <w:caps/>
                <w:sz w:val="20"/>
                <w:szCs w:val="18"/>
              </w:rPr>
            </w:pPr>
            <w:r w:rsidRPr="00E527D1">
              <w:rPr>
                <w:rFonts w:eastAsiaTheme="majorEastAsia" w:cstheme="minorHAnsi"/>
                <w:sz w:val="20"/>
                <w:szCs w:val="18"/>
              </w:rPr>
              <w:t>Building Stronger Institutions for Transparent and Accountable Governance</w:t>
            </w:r>
          </w:p>
        </w:tc>
        <w:tc>
          <w:tcPr>
            <w:tcW w:w="3969" w:type="dxa"/>
          </w:tcPr>
          <w:p w14:paraId="286B93DB" w14:textId="77777777" w:rsidR="00FA78D0" w:rsidRDefault="00FA78D0" w:rsidP="00FA78D0">
            <w:pPr>
              <w:pStyle w:val="BodyText"/>
              <w:spacing w:before="40" w:after="40" w:line="240" w:lineRule="auto"/>
              <w:rPr>
                <w:rFonts w:eastAsiaTheme="majorEastAsia" w:cstheme="minorHAnsi"/>
                <w:sz w:val="20"/>
                <w:szCs w:val="18"/>
              </w:rPr>
            </w:pPr>
            <w:r w:rsidRPr="000B3615">
              <w:rPr>
                <w:rFonts w:asciiTheme="majorHAnsi" w:eastAsiaTheme="majorEastAsia" w:hAnsiTheme="majorHAnsi" w:cstheme="majorHAnsi"/>
                <w:sz w:val="20"/>
                <w:szCs w:val="18"/>
              </w:rPr>
              <w:t>2.1</w:t>
            </w:r>
            <w:r w:rsidRPr="00E527D1">
              <w:rPr>
                <w:rFonts w:eastAsiaTheme="majorEastAsia" w:cstheme="minorHAnsi"/>
                <w:sz w:val="20"/>
                <w:szCs w:val="18"/>
              </w:rPr>
              <w:t xml:space="preserve"> At least 4 new laws and/or policies adopted</w:t>
            </w:r>
            <w:r w:rsidR="00A568F4">
              <w:rPr>
                <w:rFonts w:eastAsiaTheme="majorEastAsia" w:cstheme="minorHAnsi"/>
                <w:sz w:val="20"/>
                <w:szCs w:val="18"/>
              </w:rPr>
              <w:t>.</w:t>
            </w:r>
          </w:p>
          <w:p w14:paraId="3762185C" w14:textId="77777777" w:rsidR="00A568F4" w:rsidRDefault="00A568F4" w:rsidP="00FA78D0">
            <w:pPr>
              <w:pStyle w:val="BodyText"/>
              <w:spacing w:before="40" w:after="40" w:line="240" w:lineRule="auto"/>
              <w:rPr>
                <w:rFonts w:eastAsiaTheme="majorEastAsia" w:cstheme="minorHAnsi"/>
                <w:sz w:val="20"/>
                <w:szCs w:val="18"/>
              </w:rPr>
            </w:pPr>
            <w:r w:rsidRPr="000B3615">
              <w:rPr>
                <w:rFonts w:asciiTheme="majorHAnsi" w:eastAsiaTheme="majorEastAsia" w:hAnsiTheme="majorHAnsi" w:cstheme="majorHAnsi"/>
                <w:sz w:val="20"/>
                <w:szCs w:val="18"/>
              </w:rPr>
              <w:t>2.2</w:t>
            </w:r>
            <w:r w:rsidRPr="00E527D1">
              <w:rPr>
                <w:rFonts w:eastAsiaTheme="majorEastAsia" w:cstheme="minorHAnsi"/>
                <w:sz w:val="20"/>
                <w:szCs w:val="18"/>
              </w:rPr>
              <w:t xml:space="preserve"> New Strengthening Institutions and Empowering Localities against Disasters and Climate Change (SHIELD) program designed and mobilised</w:t>
            </w:r>
            <w:r>
              <w:rPr>
                <w:rFonts w:eastAsiaTheme="majorEastAsia" w:cstheme="minorHAnsi"/>
                <w:sz w:val="20"/>
                <w:szCs w:val="18"/>
              </w:rPr>
              <w:t>.</w:t>
            </w:r>
          </w:p>
          <w:p w14:paraId="0D4AD9E8" w14:textId="77777777" w:rsidR="00A568F4" w:rsidRPr="00E527D1" w:rsidRDefault="00A568F4" w:rsidP="00A568F4">
            <w:pPr>
              <w:pStyle w:val="BodyText"/>
              <w:spacing w:before="40" w:after="40" w:line="240" w:lineRule="auto"/>
              <w:rPr>
                <w:rFonts w:eastAsiaTheme="majorEastAsia" w:cstheme="minorHAnsi"/>
                <w:sz w:val="20"/>
                <w:szCs w:val="18"/>
              </w:rPr>
            </w:pPr>
            <w:r w:rsidRPr="000B3615">
              <w:rPr>
                <w:rFonts w:asciiTheme="majorHAnsi" w:eastAsiaTheme="majorEastAsia" w:hAnsiTheme="majorHAnsi" w:cstheme="majorHAnsi"/>
                <w:sz w:val="20"/>
                <w:szCs w:val="18"/>
              </w:rPr>
              <w:t>2.3.1</w:t>
            </w:r>
            <w:r w:rsidRPr="00E527D1">
              <w:rPr>
                <w:rFonts w:eastAsiaTheme="majorEastAsia" w:cstheme="minorHAnsi"/>
                <w:sz w:val="20"/>
                <w:szCs w:val="18"/>
              </w:rPr>
              <w:t xml:space="preserve"> Philippines Internet Crimes Against Children </w:t>
            </w:r>
            <w:proofErr w:type="spellStart"/>
            <w:r w:rsidRPr="00E527D1">
              <w:rPr>
                <w:rFonts w:eastAsiaTheme="majorEastAsia" w:cstheme="minorHAnsi"/>
                <w:sz w:val="20"/>
                <w:szCs w:val="18"/>
              </w:rPr>
              <w:t>Center</w:t>
            </w:r>
            <w:proofErr w:type="spellEnd"/>
            <w:r w:rsidRPr="00E527D1">
              <w:rPr>
                <w:rFonts w:eastAsiaTheme="majorEastAsia" w:cstheme="minorHAnsi"/>
                <w:sz w:val="20"/>
                <w:szCs w:val="18"/>
              </w:rPr>
              <w:t xml:space="preserve"> (PICACC) is made operational</w:t>
            </w:r>
          </w:p>
          <w:p w14:paraId="6B69BC75" w14:textId="0B964D36" w:rsidR="00A568F4" w:rsidRPr="00E527D1" w:rsidRDefault="00A568F4" w:rsidP="00A568F4">
            <w:pPr>
              <w:pStyle w:val="BodyText"/>
              <w:spacing w:before="40" w:after="40" w:line="240" w:lineRule="auto"/>
              <w:rPr>
                <w:rFonts w:eastAsiaTheme="majorEastAsia" w:cstheme="minorHAnsi"/>
                <w:sz w:val="20"/>
                <w:szCs w:val="18"/>
              </w:rPr>
            </w:pPr>
            <w:r w:rsidRPr="000B3615">
              <w:rPr>
                <w:rFonts w:asciiTheme="majorHAnsi" w:eastAsiaTheme="majorEastAsia" w:hAnsiTheme="majorHAnsi" w:cstheme="majorHAnsi"/>
                <w:sz w:val="20"/>
                <w:szCs w:val="18"/>
              </w:rPr>
              <w:t>2.3.2</w:t>
            </w:r>
            <w:r w:rsidRPr="00E527D1">
              <w:rPr>
                <w:rFonts w:eastAsiaTheme="majorEastAsia" w:cstheme="minorHAnsi"/>
                <w:sz w:val="20"/>
                <w:szCs w:val="18"/>
              </w:rPr>
              <w:t xml:space="preserve"> Evidence of progress in engaging with government, communities and private sector to protect children from online sexual exploitation and promote online safety</w:t>
            </w:r>
          </w:p>
        </w:tc>
        <w:tc>
          <w:tcPr>
            <w:tcW w:w="4394" w:type="dxa"/>
          </w:tcPr>
          <w:p w14:paraId="538D2668" w14:textId="77777777" w:rsidR="00A568F4" w:rsidRDefault="00A568F4" w:rsidP="002B55EE">
            <w:pPr>
              <w:pStyle w:val="BodyText"/>
              <w:spacing w:before="40" w:after="40" w:line="240" w:lineRule="auto"/>
              <w:rPr>
                <w:rFonts w:cstheme="minorHAnsi"/>
                <w:sz w:val="20"/>
                <w:szCs w:val="18"/>
              </w:rPr>
            </w:pPr>
            <w:r>
              <w:rPr>
                <w:rFonts w:cstheme="minorHAnsi"/>
                <w:sz w:val="20"/>
                <w:szCs w:val="18"/>
              </w:rPr>
              <w:t xml:space="preserve">~ </w:t>
            </w:r>
            <w:r w:rsidR="00DF6A7D" w:rsidRPr="00E527D1">
              <w:rPr>
                <w:rFonts w:cstheme="minorHAnsi"/>
                <w:sz w:val="20"/>
                <w:szCs w:val="18"/>
              </w:rPr>
              <w:t>Twelve</w:t>
            </w:r>
            <w:r w:rsidR="002B555A" w:rsidRPr="00E527D1">
              <w:rPr>
                <w:rFonts w:cstheme="minorHAnsi"/>
                <w:sz w:val="20"/>
                <w:szCs w:val="18"/>
              </w:rPr>
              <w:t xml:space="preserve"> </w:t>
            </w:r>
            <w:r w:rsidR="00FA78D0" w:rsidRPr="00E527D1">
              <w:rPr>
                <w:rFonts w:cstheme="minorHAnsi"/>
                <w:sz w:val="20"/>
                <w:szCs w:val="18"/>
              </w:rPr>
              <w:t>new policies adopted (including implementing rules and regulations for the Universal Health Care</w:t>
            </w:r>
            <w:r w:rsidR="002B555A" w:rsidRPr="00E527D1">
              <w:rPr>
                <w:rFonts w:cstheme="minorHAnsi"/>
                <w:sz w:val="20"/>
                <w:szCs w:val="18"/>
              </w:rPr>
              <w:t>,</w:t>
            </w:r>
            <w:r w:rsidR="00FA78D0" w:rsidRPr="00E527D1">
              <w:rPr>
                <w:rFonts w:cstheme="minorHAnsi"/>
                <w:sz w:val="20"/>
                <w:szCs w:val="18"/>
              </w:rPr>
              <w:t xml:space="preserve"> </w:t>
            </w:r>
            <w:r w:rsidR="002B555A" w:rsidRPr="00E527D1">
              <w:rPr>
                <w:rFonts w:cstheme="minorHAnsi"/>
                <w:sz w:val="20"/>
                <w:szCs w:val="18"/>
              </w:rPr>
              <w:t xml:space="preserve">and </w:t>
            </w:r>
            <w:r w:rsidR="003C6BDE" w:rsidRPr="00E527D1">
              <w:rPr>
                <w:rFonts w:cstheme="minorHAnsi"/>
                <w:sz w:val="20"/>
                <w:szCs w:val="18"/>
              </w:rPr>
              <w:t>cash transfer</w:t>
            </w:r>
            <w:r w:rsidR="002B555A" w:rsidRPr="00E527D1">
              <w:rPr>
                <w:rFonts w:cstheme="minorHAnsi"/>
                <w:sz w:val="20"/>
                <w:szCs w:val="18"/>
              </w:rPr>
              <w:t xml:space="preserve"> </w:t>
            </w:r>
            <w:r w:rsidR="003C6BDE" w:rsidRPr="00E527D1">
              <w:rPr>
                <w:rFonts w:cstheme="minorHAnsi"/>
                <w:sz w:val="20"/>
                <w:szCs w:val="18"/>
              </w:rPr>
              <w:t>l</w:t>
            </w:r>
            <w:r w:rsidR="00FA78D0" w:rsidRPr="00E527D1">
              <w:rPr>
                <w:rFonts w:cstheme="minorHAnsi"/>
                <w:sz w:val="20"/>
                <w:szCs w:val="18"/>
              </w:rPr>
              <w:t>aw</w:t>
            </w:r>
            <w:r w:rsidR="002B555A" w:rsidRPr="00E527D1">
              <w:rPr>
                <w:rFonts w:cstheme="minorHAnsi"/>
                <w:sz w:val="20"/>
                <w:szCs w:val="18"/>
              </w:rPr>
              <w:t>s</w:t>
            </w:r>
            <w:r w:rsidR="00FA78D0" w:rsidRPr="00E527D1">
              <w:rPr>
                <w:rFonts w:cstheme="minorHAnsi"/>
                <w:sz w:val="20"/>
                <w:szCs w:val="18"/>
              </w:rPr>
              <w:t>)</w:t>
            </w:r>
            <w:r>
              <w:rPr>
                <w:rFonts w:cstheme="minorHAnsi"/>
                <w:sz w:val="20"/>
                <w:szCs w:val="18"/>
              </w:rPr>
              <w:t>.</w:t>
            </w:r>
          </w:p>
          <w:p w14:paraId="1C686FAE" w14:textId="77777777" w:rsidR="00FA78D0" w:rsidRDefault="00FA78D0" w:rsidP="002B55EE">
            <w:pPr>
              <w:pStyle w:val="BodyText"/>
              <w:spacing w:before="40" w:after="40" w:line="240" w:lineRule="auto"/>
              <w:rPr>
                <w:rFonts w:cstheme="minorHAnsi"/>
                <w:sz w:val="20"/>
                <w:szCs w:val="18"/>
              </w:rPr>
            </w:pPr>
            <w:r w:rsidRPr="00E527D1">
              <w:rPr>
                <w:rFonts w:cstheme="minorHAnsi"/>
                <w:sz w:val="20"/>
                <w:szCs w:val="18"/>
              </w:rPr>
              <w:t xml:space="preserve"> </w:t>
            </w:r>
            <w:r w:rsidR="00A568F4">
              <w:rPr>
                <w:rFonts w:cstheme="minorHAnsi"/>
                <w:sz w:val="20"/>
                <w:szCs w:val="18"/>
              </w:rPr>
              <w:t xml:space="preserve">~ </w:t>
            </w:r>
            <w:r w:rsidR="00A568F4" w:rsidRPr="00E527D1">
              <w:rPr>
                <w:rFonts w:cstheme="minorHAnsi"/>
                <w:sz w:val="20"/>
                <w:szCs w:val="18"/>
              </w:rPr>
              <w:t>SHIELD design finalised and procurement process for implementing partner underway</w:t>
            </w:r>
            <w:r w:rsidR="00A568F4">
              <w:rPr>
                <w:rFonts w:cstheme="minorHAnsi"/>
                <w:sz w:val="20"/>
                <w:szCs w:val="18"/>
              </w:rPr>
              <w:t>.</w:t>
            </w:r>
          </w:p>
          <w:p w14:paraId="4F8CB2CC" w14:textId="77777777" w:rsidR="00A568F4" w:rsidRPr="00E527D1" w:rsidRDefault="00A568F4" w:rsidP="00A568F4">
            <w:pPr>
              <w:pStyle w:val="BodyText"/>
              <w:spacing w:before="40" w:after="40" w:line="240" w:lineRule="auto"/>
              <w:rPr>
                <w:rFonts w:eastAsiaTheme="majorEastAsia" w:cstheme="minorHAnsi"/>
                <w:sz w:val="20"/>
                <w:szCs w:val="18"/>
              </w:rPr>
            </w:pPr>
            <w:r>
              <w:rPr>
                <w:rFonts w:eastAsiaTheme="majorEastAsia" w:cstheme="minorHAnsi"/>
                <w:sz w:val="20"/>
                <w:szCs w:val="18"/>
              </w:rPr>
              <w:t xml:space="preserve">~ </w:t>
            </w:r>
            <w:r w:rsidRPr="00E527D1">
              <w:rPr>
                <w:rFonts w:eastAsiaTheme="majorEastAsia" w:cstheme="minorHAnsi"/>
                <w:sz w:val="20"/>
                <w:szCs w:val="18"/>
              </w:rPr>
              <w:t>PICACC established in February 2019</w:t>
            </w:r>
          </w:p>
          <w:p w14:paraId="63B42C0D" w14:textId="77777777" w:rsidR="00A568F4" w:rsidRPr="00E527D1" w:rsidRDefault="00A568F4" w:rsidP="00A568F4">
            <w:pPr>
              <w:pStyle w:val="BodyText"/>
              <w:spacing w:before="40" w:after="40" w:line="240" w:lineRule="auto"/>
              <w:rPr>
                <w:rFonts w:eastAsiaTheme="majorEastAsia" w:cstheme="minorHAnsi"/>
                <w:sz w:val="20"/>
                <w:szCs w:val="18"/>
              </w:rPr>
            </w:pPr>
            <w:r w:rsidRPr="00E527D1">
              <w:rPr>
                <w:rFonts w:eastAsiaTheme="majorEastAsia" w:cstheme="minorHAnsi"/>
                <w:sz w:val="20"/>
                <w:szCs w:val="18"/>
              </w:rPr>
              <w:t>Public campaign launch reached 54 million people through social and print media and generated private donations of PHP 250,000 (over AUD 7,000)</w:t>
            </w:r>
          </w:p>
          <w:p w14:paraId="526FB742" w14:textId="120AD6CD" w:rsidR="00A568F4" w:rsidRPr="00E527D1" w:rsidRDefault="00A568F4" w:rsidP="00A568F4">
            <w:pPr>
              <w:pStyle w:val="BodyText"/>
              <w:spacing w:before="40" w:after="40" w:line="240" w:lineRule="auto"/>
              <w:rPr>
                <w:rFonts w:eastAsiaTheme="majorEastAsia" w:cstheme="minorHAnsi"/>
                <w:sz w:val="20"/>
                <w:szCs w:val="18"/>
              </w:rPr>
            </w:pPr>
            <w:r w:rsidRPr="00E527D1">
              <w:rPr>
                <w:rFonts w:eastAsiaTheme="majorEastAsia" w:cstheme="minorHAnsi"/>
                <w:sz w:val="20"/>
                <w:szCs w:val="18"/>
              </w:rPr>
              <w:t>Baseline study on prevalence of online sexual abuse and exploitation of children completed</w:t>
            </w:r>
            <w:r>
              <w:rPr>
                <w:rFonts w:eastAsiaTheme="majorEastAsia" w:cstheme="minorHAnsi"/>
                <w:sz w:val="20"/>
                <w:szCs w:val="18"/>
              </w:rPr>
              <w:t>.</w:t>
            </w:r>
          </w:p>
        </w:tc>
      </w:tr>
      <w:tr w:rsidR="00FA78D0" w:rsidRPr="00E527D1" w14:paraId="251CF8C5" w14:textId="77777777" w:rsidTr="00C03074">
        <w:trPr>
          <w:tblHeader/>
        </w:trPr>
        <w:tc>
          <w:tcPr>
            <w:tcW w:w="1271" w:type="dxa"/>
          </w:tcPr>
          <w:p w14:paraId="10DD31B9" w14:textId="5DF9881B" w:rsidR="00FA78D0" w:rsidRPr="00E527D1" w:rsidRDefault="00FA78D0" w:rsidP="000B3615">
            <w:pPr>
              <w:pStyle w:val="BodyText"/>
              <w:spacing w:before="40" w:after="40" w:line="240" w:lineRule="auto"/>
              <w:rPr>
                <w:rFonts w:eastAsiaTheme="majorEastAsia" w:cstheme="minorHAnsi"/>
                <w:caps/>
                <w:sz w:val="20"/>
                <w:szCs w:val="18"/>
              </w:rPr>
            </w:pPr>
            <w:r w:rsidRPr="00E527D1">
              <w:rPr>
                <w:rFonts w:eastAsiaTheme="majorEastAsia" w:cstheme="minorHAnsi"/>
                <w:sz w:val="20"/>
                <w:szCs w:val="18"/>
              </w:rPr>
              <w:t>Objective 3</w:t>
            </w:r>
            <w:r w:rsidR="000B3615">
              <w:rPr>
                <w:rFonts w:eastAsiaTheme="majorEastAsia" w:cstheme="minorHAnsi"/>
                <w:sz w:val="20"/>
                <w:szCs w:val="18"/>
              </w:rPr>
              <w:t>.</w:t>
            </w:r>
            <w:r w:rsidRPr="00E527D1">
              <w:rPr>
                <w:rFonts w:eastAsiaTheme="majorEastAsia" w:cstheme="minorHAnsi"/>
                <w:sz w:val="20"/>
                <w:szCs w:val="18"/>
              </w:rPr>
              <w:t xml:space="preserve"> Improving Conditions for Peace and Stability</w:t>
            </w:r>
          </w:p>
        </w:tc>
        <w:tc>
          <w:tcPr>
            <w:tcW w:w="3969" w:type="dxa"/>
          </w:tcPr>
          <w:p w14:paraId="4E922D82" w14:textId="77777777" w:rsidR="00FA78D0" w:rsidRDefault="00FA78D0" w:rsidP="00FA78D0">
            <w:pPr>
              <w:pStyle w:val="BodyText"/>
              <w:spacing w:before="40" w:after="40" w:line="240" w:lineRule="auto"/>
              <w:rPr>
                <w:rFonts w:eastAsiaTheme="majorEastAsia" w:cstheme="minorHAnsi"/>
                <w:sz w:val="20"/>
                <w:szCs w:val="18"/>
              </w:rPr>
            </w:pPr>
            <w:r w:rsidRPr="000B3615">
              <w:rPr>
                <w:rFonts w:asciiTheme="majorHAnsi" w:eastAsiaTheme="majorEastAsia" w:hAnsiTheme="majorHAnsi" w:cstheme="majorHAnsi"/>
                <w:sz w:val="20"/>
                <w:szCs w:val="18"/>
              </w:rPr>
              <w:t>3.1</w:t>
            </w:r>
            <w:r w:rsidRPr="00E527D1">
              <w:rPr>
                <w:rFonts w:eastAsiaTheme="majorEastAsia" w:cstheme="minorHAnsi"/>
                <w:sz w:val="20"/>
                <w:szCs w:val="18"/>
              </w:rPr>
              <w:t xml:space="preserve"> Four draft codes (Administrative, Civil Service, Local Government, and Education) submitted to the </w:t>
            </w:r>
            <w:r w:rsidR="002F007B" w:rsidRPr="00E527D1">
              <w:rPr>
                <w:rFonts w:eastAsiaTheme="majorEastAsia" w:cstheme="minorHAnsi"/>
                <w:sz w:val="20"/>
                <w:szCs w:val="18"/>
              </w:rPr>
              <w:t>Bangsamoro Autonomous Region in Muslim Mindanao (</w:t>
            </w:r>
            <w:r w:rsidRPr="00E527D1">
              <w:rPr>
                <w:rFonts w:eastAsiaTheme="majorEastAsia" w:cstheme="minorHAnsi"/>
                <w:sz w:val="20"/>
                <w:szCs w:val="18"/>
              </w:rPr>
              <w:t>BARMM</w:t>
            </w:r>
            <w:r w:rsidR="002F007B" w:rsidRPr="00E527D1">
              <w:rPr>
                <w:rFonts w:eastAsiaTheme="majorEastAsia" w:cstheme="minorHAnsi"/>
                <w:sz w:val="20"/>
                <w:szCs w:val="18"/>
              </w:rPr>
              <w:t>)</w:t>
            </w:r>
            <w:r w:rsidRPr="00E527D1">
              <w:rPr>
                <w:rFonts w:eastAsiaTheme="majorEastAsia" w:cstheme="minorHAnsi"/>
                <w:sz w:val="20"/>
                <w:szCs w:val="18"/>
              </w:rPr>
              <w:t xml:space="preserve"> Parliament</w:t>
            </w:r>
            <w:r w:rsidR="00A568F4">
              <w:rPr>
                <w:rFonts w:eastAsiaTheme="majorEastAsia" w:cstheme="minorHAnsi"/>
                <w:sz w:val="20"/>
                <w:szCs w:val="18"/>
              </w:rPr>
              <w:t>.</w:t>
            </w:r>
          </w:p>
          <w:p w14:paraId="3E8EEBBD" w14:textId="77777777" w:rsidR="00A568F4" w:rsidRPr="00E527D1" w:rsidRDefault="00A568F4" w:rsidP="00A568F4">
            <w:pPr>
              <w:pStyle w:val="BodyText"/>
              <w:spacing w:before="40" w:after="40" w:line="240" w:lineRule="auto"/>
              <w:rPr>
                <w:rFonts w:eastAsiaTheme="majorEastAsia" w:cstheme="minorHAnsi"/>
                <w:sz w:val="20"/>
                <w:szCs w:val="18"/>
              </w:rPr>
            </w:pPr>
            <w:r w:rsidRPr="000B3615">
              <w:rPr>
                <w:rFonts w:asciiTheme="majorHAnsi" w:eastAsiaTheme="majorEastAsia" w:hAnsiTheme="majorHAnsi" w:cstheme="majorHAnsi"/>
                <w:sz w:val="20"/>
                <w:szCs w:val="18"/>
              </w:rPr>
              <w:t>3.2.1</w:t>
            </w:r>
            <w:r w:rsidRPr="00E527D1">
              <w:rPr>
                <w:rFonts w:eastAsiaTheme="majorEastAsia" w:cstheme="minorHAnsi"/>
                <w:sz w:val="20"/>
                <w:szCs w:val="18"/>
              </w:rPr>
              <w:t xml:space="preserve"> Decommission sites established with Australian support</w:t>
            </w:r>
            <w:r>
              <w:rPr>
                <w:rFonts w:eastAsiaTheme="majorEastAsia" w:cstheme="minorHAnsi"/>
                <w:sz w:val="20"/>
                <w:szCs w:val="18"/>
              </w:rPr>
              <w:t>.</w:t>
            </w:r>
          </w:p>
          <w:p w14:paraId="0BF685CF" w14:textId="77777777" w:rsidR="00A568F4" w:rsidRDefault="00A568F4" w:rsidP="00A568F4">
            <w:pPr>
              <w:pStyle w:val="BodyText"/>
              <w:spacing w:before="40" w:after="40" w:line="240" w:lineRule="auto"/>
              <w:rPr>
                <w:rFonts w:eastAsiaTheme="majorEastAsia" w:cstheme="minorHAnsi"/>
                <w:sz w:val="20"/>
                <w:szCs w:val="18"/>
              </w:rPr>
            </w:pPr>
            <w:r w:rsidRPr="000B3615">
              <w:rPr>
                <w:rFonts w:asciiTheme="majorHAnsi" w:eastAsiaTheme="majorEastAsia" w:hAnsiTheme="majorHAnsi" w:cstheme="majorHAnsi"/>
                <w:sz w:val="20"/>
                <w:szCs w:val="18"/>
              </w:rPr>
              <w:t>3.2.2</w:t>
            </w:r>
            <w:r w:rsidRPr="00E527D1">
              <w:rPr>
                <w:rFonts w:eastAsiaTheme="majorEastAsia" w:cstheme="minorHAnsi"/>
                <w:sz w:val="20"/>
                <w:szCs w:val="18"/>
              </w:rPr>
              <w:t xml:space="preserve"> 12,000 combatants decommissioned with Australian support</w:t>
            </w:r>
            <w:r>
              <w:rPr>
                <w:rFonts w:eastAsiaTheme="majorEastAsia" w:cstheme="minorHAnsi"/>
                <w:sz w:val="20"/>
                <w:szCs w:val="18"/>
              </w:rPr>
              <w:t>.</w:t>
            </w:r>
          </w:p>
          <w:p w14:paraId="3FC74F69" w14:textId="0BF74E9D" w:rsidR="00A568F4" w:rsidRDefault="00A568F4" w:rsidP="00A568F4">
            <w:pPr>
              <w:pStyle w:val="BodyText"/>
              <w:spacing w:before="40" w:after="40" w:line="240" w:lineRule="auto"/>
              <w:rPr>
                <w:rFonts w:eastAsiaTheme="majorEastAsia" w:cstheme="minorHAnsi"/>
                <w:sz w:val="20"/>
                <w:szCs w:val="18"/>
              </w:rPr>
            </w:pPr>
            <w:r w:rsidRPr="000B3615">
              <w:rPr>
                <w:rFonts w:asciiTheme="majorHAnsi" w:eastAsiaTheme="majorEastAsia" w:hAnsiTheme="majorHAnsi" w:cstheme="majorHAnsi"/>
                <w:sz w:val="20"/>
                <w:szCs w:val="18"/>
              </w:rPr>
              <w:t>3.3</w:t>
            </w:r>
            <w:r w:rsidRPr="00E527D1">
              <w:rPr>
                <w:rFonts w:eastAsiaTheme="majorEastAsia" w:cstheme="minorHAnsi"/>
                <w:sz w:val="20"/>
                <w:szCs w:val="18"/>
              </w:rPr>
              <w:t xml:space="preserve"> Baseline data collected; policy development initiated</w:t>
            </w:r>
            <w:r>
              <w:rPr>
                <w:rFonts w:eastAsiaTheme="majorEastAsia" w:cstheme="minorHAnsi"/>
                <w:sz w:val="20"/>
                <w:szCs w:val="18"/>
              </w:rPr>
              <w:t>.</w:t>
            </w:r>
          </w:p>
          <w:p w14:paraId="298F97B5" w14:textId="2D081B16" w:rsidR="00A568F4" w:rsidRDefault="00A568F4" w:rsidP="00A568F4">
            <w:pPr>
              <w:pStyle w:val="BodyText"/>
              <w:spacing w:before="40" w:after="40" w:line="240" w:lineRule="auto"/>
              <w:rPr>
                <w:rFonts w:eastAsiaTheme="majorEastAsia" w:cstheme="minorHAnsi"/>
                <w:sz w:val="20"/>
                <w:szCs w:val="18"/>
              </w:rPr>
            </w:pPr>
            <w:r w:rsidRPr="000B3615">
              <w:rPr>
                <w:rFonts w:asciiTheme="majorHAnsi" w:eastAsiaTheme="majorEastAsia" w:hAnsiTheme="majorHAnsi" w:cstheme="majorHAnsi"/>
                <w:sz w:val="20"/>
                <w:szCs w:val="18"/>
              </w:rPr>
              <w:t>3.4</w:t>
            </w:r>
            <w:r w:rsidRPr="00E527D1">
              <w:rPr>
                <w:rFonts w:eastAsiaTheme="majorEastAsia" w:cstheme="minorHAnsi"/>
                <w:sz w:val="20"/>
                <w:szCs w:val="18"/>
              </w:rPr>
              <w:t xml:space="preserve"> Number of local conflicts resolved</w:t>
            </w:r>
            <w:r>
              <w:rPr>
                <w:rFonts w:eastAsiaTheme="majorEastAsia" w:cstheme="minorHAnsi"/>
                <w:sz w:val="20"/>
                <w:szCs w:val="18"/>
              </w:rPr>
              <w:t>.</w:t>
            </w:r>
          </w:p>
          <w:p w14:paraId="2B03F2BD" w14:textId="134E88E6" w:rsidR="00A568F4" w:rsidRDefault="00A568F4" w:rsidP="00A568F4">
            <w:pPr>
              <w:pStyle w:val="BodyText"/>
              <w:spacing w:before="40" w:after="40" w:line="240" w:lineRule="auto"/>
              <w:rPr>
                <w:rFonts w:eastAsiaTheme="majorEastAsia" w:cstheme="minorHAnsi"/>
                <w:sz w:val="20"/>
                <w:szCs w:val="18"/>
              </w:rPr>
            </w:pPr>
            <w:r w:rsidRPr="000B3615">
              <w:rPr>
                <w:rFonts w:asciiTheme="majorHAnsi" w:eastAsiaTheme="majorEastAsia" w:hAnsiTheme="majorHAnsi" w:cstheme="majorHAnsi"/>
                <w:sz w:val="20"/>
                <w:szCs w:val="18"/>
              </w:rPr>
              <w:t>3.5</w:t>
            </w:r>
            <w:r w:rsidRPr="00E527D1">
              <w:rPr>
                <w:rFonts w:eastAsiaTheme="majorEastAsia" w:cstheme="minorHAnsi"/>
                <w:sz w:val="20"/>
                <w:szCs w:val="18"/>
              </w:rPr>
              <w:t xml:space="preserve"> Number of women, men, girls and boys who receive Australian-supported assistance</w:t>
            </w:r>
            <w:r>
              <w:rPr>
                <w:rFonts w:eastAsiaTheme="majorEastAsia" w:cstheme="minorHAnsi"/>
                <w:sz w:val="20"/>
                <w:szCs w:val="18"/>
              </w:rPr>
              <w:t>.</w:t>
            </w:r>
          </w:p>
          <w:p w14:paraId="10C949CC" w14:textId="3EDD65AB" w:rsidR="00A568F4" w:rsidRPr="00E527D1" w:rsidRDefault="00A568F4" w:rsidP="00FA78D0">
            <w:pPr>
              <w:pStyle w:val="BodyText"/>
              <w:spacing w:before="40" w:after="40" w:line="240" w:lineRule="auto"/>
              <w:rPr>
                <w:rFonts w:eastAsiaTheme="majorEastAsia" w:cstheme="minorHAnsi"/>
                <w:sz w:val="20"/>
                <w:szCs w:val="18"/>
              </w:rPr>
            </w:pPr>
          </w:p>
        </w:tc>
        <w:tc>
          <w:tcPr>
            <w:tcW w:w="4394" w:type="dxa"/>
          </w:tcPr>
          <w:p w14:paraId="41270202" w14:textId="44089F60" w:rsidR="00FA78D0" w:rsidRDefault="00A568F4" w:rsidP="00CE018C">
            <w:pPr>
              <w:spacing w:before="40" w:after="40" w:line="240" w:lineRule="auto"/>
              <w:rPr>
                <w:rFonts w:cstheme="minorHAnsi"/>
                <w:sz w:val="20"/>
                <w:szCs w:val="18"/>
              </w:rPr>
            </w:pPr>
            <w:r>
              <w:rPr>
                <w:rFonts w:cstheme="minorHAnsi"/>
                <w:sz w:val="20"/>
                <w:szCs w:val="18"/>
              </w:rPr>
              <w:t xml:space="preserve">~ </w:t>
            </w:r>
            <w:r w:rsidR="00CE018C" w:rsidRPr="00E527D1">
              <w:rPr>
                <w:rFonts w:cstheme="minorHAnsi"/>
                <w:sz w:val="20"/>
                <w:szCs w:val="18"/>
              </w:rPr>
              <w:t xml:space="preserve">Proposed </w:t>
            </w:r>
            <w:r w:rsidR="00FA78D0" w:rsidRPr="00E527D1">
              <w:rPr>
                <w:rFonts w:cstheme="minorHAnsi"/>
                <w:sz w:val="20"/>
                <w:szCs w:val="18"/>
              </w:rPr>
              <w:t xml:space="preserve">Administrative, Civil Service, and Local Government codes </w:t>
            </w:r>
            <w:r w:rsidR="00CE018C" w:rsidRPr="00E527D1">
              <w:rPr>
                <w:rFonts w:cstheme="minorHAnsi"/>
                <w:sz w:val="20"/>
                <w:szCs w:val="18"/>
              </w:rPr>
              <w:t xml:space="preserve">filed in </w:t>
            </w:r>
            <w:r w:rsidR="00FA78D0" w:rsidRPr="00E527D1">
              <w:rPr>
                <w:rFonts w:cstheme="minorHAnsi"/>
                <w:sz w:val="20"/>
                <w:szCs w:val="18"/>
              </w:rPr>
              <w:t>the BARMM Parliament</w:t>
            </w:r>
            <w:r w:rsidR="00CE018C" w:rsidRPr="00E527D1">
              <w:rPr>
                <w:rFonts w:cstheme="minorHAnsi"/>
                <w:sz w:val="20"/>
                <w:szCs w:val="18"/>
              </w:rPr>
              <w:t xml:space="preserve"> in July 2020; Draft Education code finalised in early 2020 for submission to Parliament</w:t>
            </w:r>
            <w:r>
              <w:rPr>
                <w:rFonts w:cstheme="minorHAnsi"/>
                <w:sz w:val="20"/>
                <w:szCs w:val="18"/>
              </w:rPr>
              <w:t>.</w:t>
            </w:r>
          </w:p>
          <w:p w14:paraId="1AB98CE8" w14:textId="77777777" w:rsidR="00A568F4" w:rsidRPr="00E527D1" w:rsidRDefault="00A568F4" w:rsidP="00A568F4">
            <w:pPr>
              <w:spacing w:before="40" w:after="40" w:line="240" w:lineRule="auto"/>
              <w:rPr>
                <w:rFonts w:cstheme="minorHAnsi"/>
                <w:sz w:val="20"/>
                <w:szCs w:val="18"/>
              </w:rPr>
            </w:pPr>
            <w:r>
              <w:rPr>
                <w:rFonts w:cstheme="minorHAnsi"/>
                <w:sz w:val="20"/>
                <w:szCs w:val="18"/>
              </w:rPr>
              <w:t xml:space="preserve">~ </w:t>
            </w:r>
            <w:r w:rsidRPr="00E527D1">
              <w:rPr>
                <w:rFonts w:cstheme="minorHAnsi"/>
                <w:sz w:val="20"/>
                <w:szCs w:val="18"/>
              </w:rPr>
              <w:t>Decommissioning site established by Independent Decommissioning Body</w:t>
            </w:r>
          </w:p>
          <w:p w14:paraId="7A803DCD" w14:textId="77777777" w:rsidR="00A568F4" w:rsidRDefault="00A568F4" w:rsidP="00A568F4">
            <w:pPr>
              <w:spacing w:before="40" w:after="40" w:line="240" w:lineRule="auto"/>
              <w:rPr>
                <w:rFonts w:cstheme="minorHAnsi"/>
                <w:sz w:val="20"/>
                <w:szCs w:val="18"/>
              </w:rPr>
            </w:pPr>
            <w:r w:rsidRPr="00E527D1">
              <w:rPr>
                <w:rFonts w:cstheme="minorHAnsi"/>
                <w:sz w:val="20"/>
                <w:szCs w:val="18"/>
              </w:rPr>
              <w:t>12,000 former combatants decommissioned from September 2019 to March 2020</w:t>
            </w:r>
            <w:r>
              <w:rPr>
                <w:rFonts w:cstheme="minorHAnsi"/>
                <w:sz w:val="20"/>
                <w:szCs w:val="18"/>
              </w:rPr>
              <w:t>.</w:t>
            </w:r>
          </w:p>
          <w:p w14:paraId="4D6FEA92" w14:textId="77777777" w:rsidR="00A568F4" w:rsidRDefault="00A568F4" w:rsidP="00A568F4">
            <w:pPr>
              <w:spacing w:before="40" w:after="40" w:line="240" w:lineRule="auto"/>
              <w:rPr>
                <w:rFonts w:eastAsiaTheme="majorEastAsia" w:cstheme="minorHAnsi"/>
                <w:sz w:val="20"/>
                <w:szCs w:val="18"/>
              </w:rPr>
            </w:pPr>
            <w:r>
              <w:rPr>
                <w:rFonts w:eastAsiaTheme="majorEastAsia" w:cstheme="minorHAnsi"/>
                <w:sz w:val="20"/>
                <w:szCs w:val="18"/>
              </w:rPr>
              <w:t xml:space="preserve">~ </w:t>
            </w:r>
            <w:r w:rsidRPr="00E527D1">
              <w:rPr>
                <w:rFonts w:eastAsiaTheme="majorEastAsia" w:cstheme="minorHAnsi"/>
                <w:sz w:val="20"/>
                <w:szCs w:val="18"/>
              </w:rPr>
              <w:t>Education political economy baseline completed; baseline studies on learning outcomes and teacher capacity initiated and on-going; curriculum reform framework developed with BARMM ministry</w:t>
            </w:r>
            <w:r>
              <w:rPr>
                <w:rFonts w:eastAsiaTheme="majorEastAsia" w:cstheme="minorHAnsi"/>
                <w:sz w:val="20"/>
                <w:szCs w:val="18"/>
              </w:rPr>
              <w:t>.</w:t>
            </w:r>
          </w:p>
          <w:p w14:paraId="59926D90" w14:textId="77777777" w:rsidR="00A568F4" w:rsidRDefault="000B3615" w:rsidP="00A568F4">
            <w:pPr>
              <w:spacing w:before="40" w:after="40" w:line="240" w:lineRule="auto"/>
              <w:rPr>
                <w:rFonts w:cstheme="minorHAnsi"/>
                <w:sz w:val="20"/>
                <w:szCs w:val="18"/>
              </w:rPr>
            </w:pPr>
            <w:r>
              <w:rPr>
                <w:rFonts w:cstheme="minorHAnsi"/>
                <w:sz w:val="20"/>
                <w:szCs w:val="18"/>
              </w:rPr>
              <w:t xml:space="preserve">~ </w:t>
            </w:r>
            <w:r w:rsidRPr="00E527D1">
              <w:rPr>
                <w:rFonts w:cstheme="minorHAnsi"/>
                <w:sz w:val="20"/>
                <w:szCs w:val="18"/>
              </w:rPr>
              <w:t>26 clan conflicts mediated, with 18 cases resolved</w:t>
            </w:r>
            <w:r>
              <w:rPr>
                <w:rFonts w:cstheme="minorHAnsi"/>
                <w:sz w:val="20"/>
                <w:szCs w:val="18"/>
              </w:rPr>
              <w:t>.</w:t>
            </w:r>
          </w:p>
          <w:p w14:paraId="1520C472" w14:textId="0D697193" w:rsidR="000B3615" w:rsidRPr="00E527D1" w:rsidRDefault="000B3615" w:rsidP="00A568F4">
            <w:pPr>
              <w:spacing w:before="40" w:after="40" w:line="240" w:lineRule="auto"/>
              <w:rPr>
                <w:rFonts w:cstheme="minorHAnsi"/>
                <w:sz w:val="20"/>
                <w:szCs w:val="18"/>
              </w:rPr>
            </w:pPr>
            <w:r>
              <w:rPr>
                <w:rFonts w:cstheme="minorHAnsi"/>
                <w:sz w:val="20"/>
                <w:szCs w:val="18"/>
              </w:rPr>
              <w:t xml:space="preserve">~ </w:t>
            </w:r>
            <w:r w:rsidRPr="00E527D1">
              <w:rPr>
                <w:rFonts w:cstheme="minorHAnsi"/>
                <w:sz w:val="20"/>
                <w:szCs w:val="18"/>
              </w:rPr>
              <w:t>Humanitarian and protection assistance provided to 94,035 persons including women and girls affected by conflict and disasters, and livelihood support provided to 6,728 families of internally displaced people in Mindanao</w:t>
            </w:r>
            <w:r>
              <w:rPr>
                <w:rFonts w:cstheme="minorHAnsi"/>
                <w:sz w:val="20"/>
                <w:szCs w:val="18"/>
              </w:rPr>
              <w:t>.</w:t>
            </w:r>
          </w:p>
        </w:tc>
      </w:tr>
    </w:tbl>
    <w:p w14:paraId="25BC130B" w14:textId="54E5602E" w:rsidR="00276A54" w:rsidRDefault="00276A54" w:rsidP="00276A54">
      <w:pPr>
        <w:sectPr w:rsidR="00276A54" w:rsidSect="00494F98">
          <w:headerReference w:type="default" r:id="rId17"/>
          <w:pgSz w:w="11906" w:h="16838" w:code="9"/>
          <w:pgMar w:top="1701" w:right="1134" w:bottom="1418" w:left="1134" w:header="425" w:footer="493" w:gutter="0"/>
          <w:cols w:space="397"/>
          <w:docGrid w:linePitch="360"/>
        </w:sectPr>
      </w:pPr>
    </w:p>
    <w:p w14:paraId="3B33421F" w14:textId="77777777" w:rsidR="00390828" w:rsidRPr="00B927C4" w:rsidRDefault="00390828" w:rsidP="00964280">
      <w:pPr>
        <w:pStyle w:val="Heading2Numbered"/>
        <w:numPr>
          <w:ilvl w:val="0"/>
          <w:numId w:val="0"/>
        </w:numPr>
        <w:spacing w:before="120" w:after="0" w:line="240" w:lineRule="auto"/>
        <w:rPr>
          <w:sz w:val="28"/>
          <w:szCs w:val="28"/>
        </w:rPr>
      </w:pPr>
      <w:r w:rsidRPr="00B927C4">
        <w:rPr>
          <w:sz w:val="28"/>
          <w:szCs w:val="28"/>
        </w:rPr>
        <w:lastRenderedPageBreak/>
        <w:t>ANNEX A: Program Quality</w:t>
      </w:r>
    </w:p>
    <w:p w14:paraId="387C70C9" w14:textId="77777777" w:rsidR="00390828" w:rsidRDefault="00B927C4" w:rsidP="00321934">
      <w:pPr>
        <w:pStyle w:val="Heading3"/>
        <w:spacing w:before="320"/>
      </w:pPr>
      <w:r>
        <w:t>Investment Monitoring Report</w:t>
      </w:r>
      <w:r w:rsidR="00390828">
        <w:t xml:space="preserve"> ratings</w:t>
      </w:r>
    </w:p>
    <w:tbl>
      <w:tblPr>
        <w:tblStyle w:val="APPR"/>
        <w:tblW w:w="4966" w:type="pct"/>
        <w:tblInd w:w="10" w:type="dxa"/>
        <w:tblLayout w:type="fixed"/>
        <w:tblLook w:val="0020" w:firstRow="1" w:lastRow="0" w:firstColumn="0" w:lastColumn="0" w:noHBand="0" w:noVBand="0"/>
      </w:tblPr>
      <w:tblGrid>
        <w:gridCol w:w="4818"/>
        <w:gridCol w:w="1057"/>
        <w:gridCol w:w="992"/>
        <w:gridCol w:w="921"/>
        <w:gridCol w:w="921"/>
        <w:gridCol w:w="863"/>
      </w:tblGrid>
      <w:tr w:rsidR="00413702" w:rsidRPr="00812509" w14:paraId="10B92814" w14:textId="77777777" w:rsidTr="00425C6B">
        <w:trPr>
          <w:cnfStyle w:val="100000000000" w:firstRow="1" w:lastRow="0" w:firstColumn="0" w:lastColumn="0" w:oddVBand="0" w:evenVBand="0" w:oddHBand="0" w:evenHBand="0" w:firstRowFirstColumn="0" w:firstRowLastColumn="0" w:lastRowFirstColumn="0" w:lastRowLastColumn="0"/>
          <w:cantSplit/>
          <w:trHeight w:val="1149"/>
        </w:trPr>
        <w:tc>
          <w:tcPr>
            <w:tcW w:w="2495" w:type="pct"/>
            <w:tcBorders>
              <w:top w:val="none" w:sz="0" w:space="0" w:color="auto"/>
              <w:bottom w:val="none" w:sz="0" w:space="0" w:color="auto"/>
            </w:tcBorders>
            <w:shd w:val="clear" w:color="auto" w:fill="auto"/>
          </w:tcPr>
          <w:p w14:paraId="18FF9A7A" w14:textId="7BCFDA38" w:rsidR="00413702" w:rsidRPr="00E527D1" w:rsidRDefault="00E527D1" w:rsidP="00E527D1">
            <w:pPr>
              <w:spacing w:before="0" w:after="0" w:line="240" w:lineRule="auto"/>
              <w:ind w:left="-1"/>
              <w:rPr>
                <w:rFonts w:asciiTheme="minorHAnsi" w:eastAsia="Times New Roman" w:hAnsiTheme="minorHAnsi" w:cstheme="minorHAnsi"/>
                <w:b w:val="0"/>
                <w:iCs/>
                <w:szCs w:val="17"/>
              </w:rPr>
            </w:pPr>
            <w:r w:rsidRPr="00E527D1">
              <w:rPr>
                <w:rFonts w:asciiTheme="minorHAnsi" w:eastAsia="Times New Roman" w:hAnsiTheme="minorHAnsi" w:cstheme="minorHAnsi"/>
                <w:iCs/>
                <w:szCs w:val="17"/>
              </w:rPr>
              <w:t>Investment name</w:t>
            </w:r>
          </w:p>
        </w:tc>
        <w:tc>
          <w:tcPr>
            <w:tcW w:w="538" w:type="pct"/>
            <w:tcBorders>
              <w:top w:val="none" w:sz="0" w:space="0" w:color="auto"/>
              <w:bottom w:val="none" w:sz="0" w:space="0" w:color="auto"/>
            </w:tcBorders>
            <w:shd w:val="clear" w:color="auto" w:fill="auto"/>
            <w:textDirection w:val="btLr"/>
            <w:vAlign w:val="center"/>
          </w:tcPr>
          <w:p w14:paraId="20D5EA6D" w14:textId="77777777" w:rsidR="00413702" w:rsidRPr="00850345" w:rsidRDefault="00413702" w:rsidP="00413702">
            <w:pPr>
              <w:autoSpaceDE w:val="0"/>
              <w:autoSpaceDN w:val="0"/>
              <w:adjustRightInd w:val="0"/>
              <w:spacing w:before="0" w:after="0" w:line="240" w:lineRule="auto"/>
              <w:ind w:left="113" w:right="113"/>
              <w:contextualSpacing/>
              <w:jc w:val="center"/>
              <w:rPr>
                <w:rFonts w:cstheme="minorHAnsi"/>
                <w:szCs w:val="17"/>
              </w:rPr>
            </w:pPr>
            <w:r w:rsidRPr="00812509">
              <w:rPr>
                <w:rFonts w:asciiTheme="minorHAnsi" w:eastAsia="Times New Roman" w:hAnsiTheme="minorHAnsi"/>
                <w:iCs/>
                <w:szCs w:val="17"/>
                <w:lang w:eastAsia="en-US"/>
              </w:rPr>
              <w:t>Approved budget and duration</w:t>
            </w:r>
          </w:p>
        </w:tc>
        <w:tc>
          <w:tcPr>
            <w:tcW w:w="503" w:type="pct"/>
            <w:tcBorders>
              <w:top w:val="none" w:sz="0" w:space="0" w:color="auto"/>
              <w:bottom w:val="none" w:sz="0" w:space="0" w:color="auto"/>
            </w:tcBorders>
            <w:shd w:val="clear" w:color="auto" w:fill="auto"/>
            <w:textDirection w:val="btLr"/>
            <w:vAlign w:val="center"/>
          </w:tcPr>
          <w:p w14:paraId="498F229A" w14:textId="77777777" w:rsidR="00413702" w:rsidRPr="00850345" w:rsidRDefault="00413702" w:rsidP="00413702">
            <w:pPr>
              <w:spacing w:beforeLines="40" w:before="96" w:afterLines="40" w:after="96" w:line="200" w:lineRule="atLeast"/>
              <w:ind w:left="113" w:right="113"/>
              <w:contextualSpacing/>
              <w:jc w:val="center"/>
              <w:rPr>
                <w:rFonts w:eastAsia="Times New Roman" w:cstheme="minorHAnsi"/>
                <w:iCs/>
                <w:szCs w:val="17"/>
              </w:rPr>
            </w:pPr>
            <w:r>
              <w:rPr>
                <w:rFonts w:asciiTheme="minorHAnsi" w:eastAsia="Times New Roman" w:hAnsiTheme="minorHAnsi"/>
                <w:iCs/>
                <w:szCs w:val="17"/>
                <w:lang w:eastAsia="en-US"/>
              </w:rPr>
              <w:t>Y</w:t>
            </w:r>
            <w:r w:rsidRPr="00812509">
              <w:rPr>
                <w:rFonts w:asciiTheme="minorHAnsi" w:eastAsia="Times New Roman" w:hAnsiTheme="minorHAnsi"/>
                <w:iCs/>
                <w:szCs w:val="17"/>
                <w:lang w:eastAsia="en-US"/>
              </w:rPr>
              <w:t>ear on ye</w:t>
            </w:r>
            <w:r>
              <w:rPr>
                <w:rFonts w:asciiTheme="minorHAnsi" w:eastAsia="Times New Roman" w:hAnsiTheme="minorHAnsi"/>
                <w:iCs/>
                <w:szCs w:val="17"/>
                <w:lang w:eastAsia="en-US"/>
              </w:rPr>
              <w:t>ar</w:t>
            </w:r>
          </w:p>
        </w:tc>
        <w:tc>
          <w:tcPr>
            <w:tcW w:w="466" w:type="pct"/>
            <w:tcBorders>
              <w:top w:val="none" w:sz="0" w:space="0" w:color="auto"/>
              <w:bottom w:val="none" w:sz="0" w:space="0" w:color="auto"/>
            </w:tcBorders>
            <w:shd w:val="clear" w:color="auto" w:fill="auto"/>
            <w:noWrap/>
            <w:textDirection w:val="btLr"/>
            <w:vAlign w:val="center"/>
          </w:tcPr>
          <w:p w14:paraId="132F40F8" w14:textId="77777777" w:rsidR="00413702" w:rsidRPr="00850345" w:rsidRDefault="00413702" w:rsidP="00413702">
            <w:pPr>
              <w:spacing w:beforeLines="40" w:before="96" w:afterLines="40" w:after="96" w:line="200" w:lineRule="atLeast"/>
              <w:ind w:left="113" w:right="113"/>
              <w:contextualSpacing/>
              <w:jc w:val="center"/>
              <w:rPr>
                <w:rFonts w:eastAsia="Times New Roman" w:cstheme="minorHAnsi"/>
                <w:iCs/>
                <w:szCs w:val="17"/>
              </w:rPr>
            </w:pPr>
            <w:r w:rsidRPr="00812509">
              <w:rPr>
                <w:rFonts w:asciiTheme="minorHAnsi" w:eastAsia="Times New Roman" w:hAnsiTheme="minorHAnsi"/>
                <w:iCs/>
                <w:szCs w:val="17"/>
                <w:lang w:eastAsia="en-US"/>
              </w:rPr>
              <w:t>Effectiveness</w:t>
            </w:r>
          </w:p>
        </w:tc>
        <w:tc>
          <w:tcPr>
            <w:tcW w:w="466" w:type="pct"/>
            <w:tcBorders>
              <w:top w:val="none" w:sz="0" w:space="0" w:color="auto"/>
              <w:bottom w:val="none" w:sz="0" w:space="0" w:color="auto"/>
            </w:tcBorders>
            <w:shd w:val="clear" w:color="auto" w:fill="auto"/>
            <w:noWrap/>
            <w:textDirection w:val="btLr"/>
            <w:vAlign w:val="center"/>
          </w:tcPr>
          <w:p w14:paraId="16DC2776" w14:textId="77777777" w:rsidR="00413702" w:rsidRPr="00850345" w:rsidRDefault="00413702" w:rsidP="00413702">
            <w:pPr>
              <w:spacing w:beforeLines="40" w:before="96" w:afterLines="40" w:after="96" w:line="200" w:lineRule="atLeast"/>
              <w:ind w:left="113" w:right="113"/>
              <w:contextualSpacing/>
              <w:jc w:val="center"/>
              <w:rPr>
                <w:rFonts w:eastAsia="Times New Roman" w:cstheme="minorHAnsi"/>
                <w:iCs/>
                <w:szCs w:val="17"/>
              </w:rPr>
            </w:pPr>
            <w:r w:rsidRPr="00812509">
              <w:rPr>
                <w:rFonts w:asciiTheme="minorHAnsi" w:eastAsia="Times New Roman" w:hAnsiTheme="minorHAnsi"/>
                <w:iCs/>
                <w:szCs w:val="17"/>
                <w:lang w:eastAsia="en-US"/>
              </w:rPr>
              <w:t>Efficiency</w:t>
            </w:r>
          </w:p>
        </w:tc>
        <w:tc>
          <w:tcPr>
            <w:tcW w:w="429" w:type="pct"/>
            <w:tcBorders>
              <w:top w:val="none" w:sz="0" w:space="0" w:color="auto"/>
              <w:bottom w:val="none" w:sz="0" w:space="0" w:color="auto"/>
            </w:tcBorders>
            <w:shd w:val="clear" w:color="auto" w:fill="auto"/>
            <w:noWrap/>
            <w:textDirection w:val="btLr"/>
            <w:vAlign w:val="center"/>
          </w:tcPr>
          <w:p w14:paraId="16E2AAA5" w14:textId="77777777" w:rsidR="00413702" w:rsidRPr="00850345" w:rsidRDefault="00413702" w:rsidP="00413702">
            <w:pPr>
              <w:spacing w:beforeLines="40" w:before="96" w:afterLines="40" w:after="96" w:line="200" w:lineRule="atLeast"/>
              <w:ind w:left="113" w:right="113"/>
              <w:contextualSpacing/>
              <w:jc w:val="center"/>
              <w:rPr>
                <w:rFonts w:eastAsia="Times New Roman" w:cstheme="minorHAnsi"/>
                <w:iCs/>
                <w:szCs w:val="17"/>
              </w:rPr>
            </w:pPr>
            <w:r w:rsidRPr="00812509">
              <w:rPr>
                <w:rFonts w:asciiTheme="minorHAnsi" w:eastAsia="Times New Roman" w:hAnsiTheme="minorHAnsi"/>
                <w:iCs/>
                <w:szCs w:val="17"/>
                <w:lang w:eastAsia="en-US"/>
              </w:rPr>
              <w:t>Gender equality</w:t>
            </w:r>
          </w:p>
        </w:tc>
      </w:tr>
      <w:tr w:rsidR="00413702" w:rsidRPr="00812509" w14:paraId="39F5690D" w14:textId="77777777" w:rsidTr="00425C6B">
        <w:trPr>
          <w:cnfStyle w:val="100000000000" w:firstRow="1" w:lastRow="0" w:firstColumn="0" w:lastColumn="0" w:oddVBand="0" w:evenVBand="0" w:oddHBand="0" w:evenHBand="0" w:firstRowFirstColumn="0" w:firstRowLastColumn="0" w:lastRowFirstColumn="0" w:lastRowLastColumn="0"/>
          <w:trHeight w:val="26"/>
        </w:trPr>
        <w:tc>
          <w:tcPr>
            <w:tcW w:w="2495" w:type="pct"/>
            <w:tcBorders>
              <w:top w:val="single" w:sz="2" w:space="0" w:color="65C5B4" w:themeColor="accent1"/>
            </w:tcBorders>
            <w:shd w:val="clear" w:color="auto" w:fill="auto"/>
            <w:vAlign w:val="center"/>
          </w:tcPr>
          <w:p w14:paraId="2A433A38" w14:textId="77777777" w:rsidR="00850345" w:rsidRPr="00973420" w:rsidRDefault="00850345" w:rsidP="00973420">
            <w:pPr>
              <w:spacing w:before="0" w:after="0" w:line="240" w:lineRule="auto"/>
              <w:ind w:left="-8"/>
              <w:rPr>
                <w:rFonts w:asciiTheme="minorHAnsi" w:eastAsia="Times New Roman" w:hAnsiTheme="minorHAnsi" w:cstheme="minorHAnsi"/>
                <w:iCs/>
                <w:szCs w:val="17"/>
              </w:rPr>
            </w:pPr>
            <w:r w:rsidRPr="00973420">
              <w:rPr>
                <w:rFonts w:asciiTheme="minorHAnsi" w:eastAsia="Times New Roman" w:hAnsiTheme="minorHAnsi" w:cstheme="minorHAnsi"/>
                <w:iCs/>
                <w:szCs w:val="17"/>
              </w:rPr>
              <w:t>INM313: Philippine-Australia Scholarships &amp; Alumni Program (AAAEP)</w:t>
            </w:r>
          </w:p>
        </w:tc>
        <w:tc>
          <w:tcPr>
            <w:tcW w:w="538" w:type="pct"/>
            <w:tcBorders>
              <w:top w:val="single" w:sz="2" w:space="0" w:color="65C5B4" w:themeColor="accent1"/>
            </w:tcBorders>
            <w:shd w:val="clear" w:color="auto" w:fill="auto"/>
            <w:vAlign w:val="center"/>
          </w:tcPr>
          <w:p w14:paraId="2CD10CD2" w14:textId="5B4A4997" w:rsidR="00850345" w:rsidRPr="00850345" w:rsidRDefault="00850345" w:rsidP="0086588C">
            <w:pPr>
              <w:autoSpaceDE w:val="0"/>
              <w:autoSpaceDN w:val="0"/>
              <w:adjustRightInd w:val="0"/>
              <w:spacing w:before="0" w:after="0" w:line="240" w:lineRule="auto"/>
              <w:contextualSpacing/>
              <w:jc w:val="center"/>
              <w:rPr>
                <w:rFonts w:asciiTheme="minorHAnsi" w:hAnsiTheme="minorHAnsi" w:cstheme="minorHAnsi"/>
                <w:szCs w:val="17"/>
              </w:rPr>
            </w:pPr>
            <w:r w:rsidRPr="00850345">
              <w:rPr>
                <w:rFonts w:asciiTheme="minorHAnsi" w:hAnsiTheme="minorHAnsi" w:cstheme="minorHAnsi"/>
                <w:szCs w:val="17"/>
              </w:rPr>
              <w:t>$</w:t>
            </w:r>
            <w:r w:rsidR="00F83591">
              <w:rPr>
                <w:rFonts w:asciiTheme="minorHAnsi" w:hAnsiTheme="minorHAnsi" w:cstheme="minorHAnsi"/>
                <w:szCs w:val="17"/>
              </w:rPr>
              <w:t>31</w:t>
            </w:r>
            <w:r w:rsidRPr="00850345">
              <w:rPr>
                <w:rFonts w:asciiTheme="minorHAnsi" w:hAnsiTheme="minorHAnsi" w:cstheme="minorHAnsi"/>
                <w:szCs w:val="17"/>
              </w:rPr>
              <w:t>m</w:t>
            </w:r>
          </w:p>
        </w:tc>
        <w:tc>
          <w:tcPr>
            <w:tcW w:w="503" w:type="pct"/>
            <w:tcBorders>
              <w:top w:val="single" w:sz="2" w:space="0" w:color="65C5B4" w:themeColor="accent1"/>
            </w:tcBorders>
            <w:shd w:val="clear" w:color="auto" w:fill="auto"/>
          </w:tcPr>
          <w:p w14:paraId="6AE5A00A"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2019</w:t>
            </w:r>
          </w:p>
        </w:tc>
        <w:tc>
          <w:tcPr>
            <w:tcW w:w="466" w:type="pct"/>
            <w:tcBorders>
              <w:top w:val="single" w:sz="2" w:space="0" w:color="65C5B4" w:themeColor="accent1"/>
            </w:tcBorders>
            <w:shd w:val="clear" w:color="auto" w:fill="auto"/>
            <w:noWrap/>
          </w:tcPr>
          <w:p w14:paraId="063991FA"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5</w:t>
            </w:r>
          </w:p>
        </w:tc>
        <w:tc>
          <w:tcPr>
            <w:tcW w:w="466" w:type="pct"/>
            <w:tcBorders>
              <w:top w:val="single" w:sz="2" w:space="0" w:color="65C5B4" w:themeColor="accent1"/>
            </w:tcBorders>
            <w:shd w:val="clear" w:color="auto" w:fill="auto"/>
            <w:noWrap/>
          </w:tcPr>
          <w:p w14:paraId="69A1DE7D"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5</w:t>
            </w:r>
          </w:p>
        </w:tc>
        <w:tc>
          <w:tcPr>
            <w:tcW w:w="429" w:type="pct"/>
            <w:tcBorders>
              <w:top w:val="single" w:sz="2" w:space="0" w:color="65C5B4" w:themeColor="accent1"/>
            </w:tcBorders>
            <w:shd w:val="clear" w:color="auto" w:fill="auto"/>
            <w:noWrap/>
          </w:tcPr>
          <w:p w14:paraId="01E143DF"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5</w:t>
            </w:r>
          </w:p>
        </w:tc>
      </w:tr>
      <w:tr w:rsidR="00413702" w:rsidRPr="00812509" w14:paraId="444C7EB4" w14:textId="77777777" w:rsidTr="00425C6B">
        <w:trPr>
          <w:cnfStyle w:val="100000000000" w:firstRow="1" w:lastRow="0" w:firstColumn="0" w:lastColumn="0" w:oddVBand="0" w:evenVBand="0" w:oddHBand="0" w:evenHBand="0" w:firstRowFirstColumn="0" w:firstRowLastColumn="0" w:lastRowFirstColumn="0" w:lastRowLastColumn="0"/>
          <w:trHeight w:val="26"/>
        </w:trPr>
        <w:tc>
          <w:tcPr>
            <w:tcW w:w="2495" w:type="pct"/>
            <w:shd w:val="clear" w:color="auto" w:fill="auto"/>
            <w:vAlign w:val="center"/>
          </w:tcPr>
          <w:p w14:paraId="16CBE38E" w14:textId="77777777" w:rsidR="00850345" w:rsidRPr="0086588C" w:rsidRDefault="00850345" w:rsidP="0086588C">
            <w:pPr>
              <w:spacing w:before="0" w:after="0" w:line="240" w:lineRule="auto"/>
              <w:ind w:left="317"/>
              <w:rPr>
                <w:rFonts w:eastAsia="Times New Roman" w:cstheme="minorHAnsi"/>
                <w:iCs/>
                <w:szCs w:val="17"/>
              </w:rPr>
            </w:pPr>
          </w:p>
        </w:tc>
        <w:tc>
          <w:tcPr>
            <w:tcW w:w="538" w:type="pct"/>
            <w:shd w:val="clear" w:color="auto" w:fill="auto"/>
          </w:tcPr>
          <w:p w14:paraId="26E5822C" w14:textId="0F015BD8" w:rsidR="00850345" w:rsidRPr="00850345" w:rsidRDefault="0086588C" w:rsidP="00850345">
            <w:pPr>
              <w:autoSpaceDE w:val="0"/>
              <w:autoSpaceDN w:val="0"/>
              <w:adjustRightInd w:val="0"/>
              <w:spacing w:beforeLines="40" w:before="96" w:afterLines="40" w:after="96" w:line="200" w:lineRule="atLeast"/>
              <w:contextualSpacing/>
              <w:jc w:val="center"/>
              <w:rPr>
                <w:rFonts w:asciiTheme="minorHAnsi" w:hAnsiTheme="minorHAnsi" w:cstheme="minorHAnsi"/>
                <w:szCs w:val="17"/>
              </w:rPr>
            </w:pPr>
            <w:r w:rsidRPr="00850345">
              <w:rPr>
                <w:rFonts w:asciiTheme="minorHAnsi" w:hAnsiTheme="minorHAnsi" w:cstheme="minorHAnsi"/>
                <w:szCs w:val="17"/>
              </w:rPr>
              <w:t>2017-2</w:t>
            </w:r>
            <w:r>
              <w:rPr>
                <w:rFonts w:asciiTheme="minorHAnsi" w:hAnsiTheme="minorHAnsi" w:cstheme="minorHAnsi"/>
                <w:szCs w:val="17"/>
              </w:rPr>
              <w:t>5</w:t>
            </w:r>
          </w:p>
        </w:tc>
        <w:tc>
          <w:tcPr>
            <w:tcW w:w="503" w:type="pct"/>
            <w:tcBorders>
              <w:top w:val="single" w:sz="2" w:space="0" w:color="65C5B4" w:themeColor="accent1"/>
            </w:tcBorders>
            <w:shd w:val="clear" w:color="auto" w:fill="auto"/>
          </w:tcPr>
          <w:p w14:paraId="4DBFA5AE"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2020</w:t>
            </w:r>
          </w:p>
        </w:tc>
        <w:tc>
          <w:tcPr>
            <w:tcW w:w="466" w:type="pct"/>
            <w:tcBorders>
              <w:top w:val="single" w:sz="2" w:space="0" w:color="65C5B4" w:themeColor="accent1"/>
            </w:tcBorders>
            <w:shd w:val="clear" w:color="auto" w:fill="auto"/>
            <w:noWrap/>
          </w:tcPr>
          <w:p w14:paraId="4C43D9EE"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5</w:t>
            </w:r>
          </w:p>
        </w:tc>
        <w:tc>
          <w:tcPr>
            <w:tcW w:w="466" w:type="pct"/>
            <w:tcBorders>
              <w:top w:val="single" w:sz="2" w:space="0" w:color="65C5B4" w:themeColor="accent1"/>
            </w:tcBorders>
            <w:shd w:val="clear" w:color="auto" w:fill="auto"/>
            <w:noWrap/>
          </w:tcPr>
          <w:p w14:paraId="620C5181"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5</w:t>
            </w:r>
          </w:p>
        </w:tc>
        <w:tc>
          <w:tcPr>
            <w:tcW w:w="429" w:type="pct"/>
            <w:tcBorders>
              <w:top w:val="single" w:sz="2" w:space="0" w:color="65C5B4" w:themeColor="accent1"/>
            </w:tcBorders>
            <w:shd w:val="clear" w:color="auto" w:fill="auto"/>
            <w:noWrap/>
          </w:tcPr>
          <w:p w14:paraId="0D9FBE19"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5</w:t>
            </w:r>
          </w:p>
        </w:tc>
      </w:tr>
      <w:tr w:rsidR="00CE2498" w:rsidRPr="00812509" w14:paraId="7D958884" w14:textId="77777777" w:rsidTr="00425C6B">
        <w:trPr>
          <w:cnfStyle w:val="100000000000" w:firstRow="1" w:lastRow="0" w:firstColumn="0" w:lastColumn="0" w:oddVBand="0" w:evenVBand="0" w:oddHBand="0" w:evenHBand="0" w:firstRowFirstColumn="0" w:firstRowLastColumn="0" w:lastRowFirstColumn="0" w:lastRowLastColumn="0"/>
          <w:trHeight w:val="62"/>
        </w:trPr>
        <w:tc>
          <w:tcPr>
            <w:tcW w:w="2495" w:type="pct"/>
            <w:tcBorders>
              <w:top w:val="single" w:sz="2" w:space="0" w:color="65C5B4" w:themeColor="accent1"/>
            </w:tcBorders>
            <w:shd w:val="clear" w:color="auto" w:fill="auto"/>
            <w:vAlign w:val="center"/>
          </w:tcPr>
          <w:p w14:paraId="45A58D04" w14:textId="77777777" w:rsidR="00850345" w:rsidRPr="00973420" w:rsidRDefault="00850345" w:rsidP="00973420">
            <w:pPr>
              <w:spacing w:before="0" w:after="0" w:line="240" w:lineRule="auto"/>
              <w:ind w:left="-8"/>
              <w:rPr>
                <w:rFonts w:asciiTheme="minorHAnsi" w:eastAsia="Times New Roman" w:hAnsiTheme="minorHAnsi" w:cstheme="minorHAnsi"/>
                <w:iCs/>
                <w:szCs w:val="17"/>
              </w:rPr>
            </w:pPr>
            <w:r w:rsidRPr="00973420">
              <w:rPr>
                <w:rFonts w:asciiTheme="minorHAnsi" w:eastAsia="Times New Roman" w:hAnsiTheme="minorHAnsi" w:cstheme="minorHAnsi"/>
                <w:iCs/>
                <w:szCs w:val="17"/>
              </w:rPr>
              <w:t>INJ766: Strengthening Public Private Partnership (PPP) Program</w:t>
            </w:r>
          </w:p>
        </w:tc>
        <w:tc>
          <w:tcPr>
            <w:tcW w:w="538" w:type="pct"/>
            <w:tcBorders>
              <w:top w:val="single" w:sz="2" w:space="0" w:color="65C5B4" w:themeColor="accent1"/>
            </w:tcBorders>
            <w:shd w:val="clear" w:color="auto" w:fill="auto"/>
          </w:tcPr>
          <w:p w14:paraId="0A29FF06" w14:textId="7E5D45C3" w:rsidR="00850345" w:rsidRPr="00850345" w:rsidRDefault="00850345" w:rsidP="0086588C">
            <w:pPr>
              <w:suppressAutoHyphens w:val="0"/>
              <w:spacing w:before="0" w:after="0" w:line="240" w:lineRule="auto"/>
              <w:contextualSpacing/>
              <w:jc w:val="center"/>
              <w:rPr>
                <w:rFonts w:asciiTheme="minorHAnsi" w:hAnsiTheme="minorHAnsi" w:cstheme="minorHAnsi"/>
                <w:szCs w:val="17"/>
              </w:rPr>
            </w:pPr>
            <w:r w:rsidRPr="00D85BD3">
              <w:rPr>
                <w:rFonts w:asciiTheme="minorHAnsi" w:eastAsia="Times New Roman" w:hAnsiTheme="minorHAnsi" w:cstheme="minorHAnsi"/>
                <w:iCs/>
                <w:szCs w:val="17"/>
              </w:rPr>
              <w:t>$26m</w:t>
            </w:r>
          </w:p>
        </w:tc>
        <w:tc>
          <w:tcPr>
            <w:tcW w:w="503" w:type="pct"/>
            <w:tcBorders>
              <w:top w:val="single" w:sz="2" w:space="0" w:color="65C5B4" w:themeColor="accent1"/>
            </w:tcBorders>
            <w:shd w:val="clear" w:color="auto" w:fill="auto"/>
          </w:tcPr>
          <w:p w14:paraId="082940DB"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2019</w:t>
            </w:r>
          </w:p>
        </w:tc>
        <w:tc>
          <w:tcPr>
            <w:tcW w:w="466" w:type="pct"/>
            <w:tcBorders>
              <w:top w:val="single" w:sz="2" w:space="0" w:color="65C5B4" w:themeColor="accent1"/>
            </w:tcBorders>
            <w:shd w:val="clear" w:color="auto" w:fill="auto"/>
            <w:noWrap/>
          </w:tcPr>
          <w:p w14:paraId="31A9C376"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c>
          <w:tcPr>
            <w:tcW w:w="466" w:type="pct"/>
            <w:tcBorders>
              <w:top w:val="single" w:sz="2" w:space="0" w:color="65C5B4" w:themeColor="accent1"/>
            </w:tcBorders>
            <w:shd w:val="clear" w:color="auto" w:fill="auto"/>
            <w:noWrap/>
          </w:tcPr>
          <w:p w14:paraId="58BC5EA8"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c>
          <w:tcPr>
            <w:tcW w:w="429" w:type="pct"/>
            <w:tcBorders>
              <w:top w:val="single" w:sz="2" w:space="0" w:color="65C5B4" w:themeColor="accent1"/>
            </w:tcBorders>
            <w:shd w:val="clear" w:color="auto" w:fill="auto"/>
            <w:noWrap/>
          </w:tcPr>
          <w:p w14:paraId="4D88363C"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r>
      <w:tr w:rsidR="00CE2498" w:rsidRPr="00812509" w14:paraId="2DDE9687" w14:textId="77777777" w:rsidTr="00425C6B">
        <w:trPr>
          <w:cnfStyle w:val="100000000000" w:firstRow="1" w:lastRow="0" w:firstColumn="0" w:lastColumn="0" w:oddVBand="0" w:evenVBand="0" w:oddHBand="0" w:evenHBand="0" w:firstRowFirstColumn="0" w:firstRowLastColumn="0" w:lastRowFirstColumn="0" w:lastRowLastColumn="0"/>
          <w:trHeight w:val="26"/>
        </w:trPr>
        <w:tc>
          <w:tcPr>
            <w:tcW w:w="2495" w:type="pct"/>
            <w:tcBorders>
              <w:bottom w:val="none" w:sz="0" w:space="0" w:color="auto"/>
            </w:tcBorders>
            <w:shd w:val="clear" w:color="auto" w:fill="auto"/>
            <w:vAlign w:val="center"/>
          </w:tcPr>
          <w:p w14:paraId="6CA31F4B" w14:textId="77777777" w:rsidR="00850345" w:rsidRPr="0086588C" w:rsidRDefault="00850345" w:rsidP="0086588C">
            <w:pPr>
              <w:spacing w:before="0" w:after="0" w:line="240" w:lineRule="auto"/>
              <w:ind w:left="317"/>
              <w:rPr>
                <w:rFonts w:eastAsia="Times New Roman" w:cstheme="minorHAnsi"/>
                <w:iCs/>
                <w:szCs w:val="17"/>
              </w:rPr>
            </w:pPr>
          </w:p>
        </w:tc>
        <w:tc>
          <w:tcPr>
            <w:tcW w:w="538" w:type="pct"/>
            <w:tcBorders>
              <w:bottom w:val="none" w:sz="0" w:space="0" w:color="auto"/>
            </w:tcBorders>
            <w:shd w:val="clear" w:color="auto" w:fill="auto"/>
          </w:tcPr>
          <w:p w14:paraId="48F47D73" w14:textId="01FCA28B" w:rsidR="00850345" w:rsidRPr="00850345" w:rsidRDefault="0086588C" w:rsidP="00413702">
            <w:pPr>
              <w:suppressAutoHyphens w:val="0"/>
              <w:spacing w:before="0" w:after="0" w:line="240" w:lineRule="auto"/>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lang w:eastAsia="en-US"/>
              </w:rPr>
              <w:t>2011-21</w:t>
            </w:r>
          </w:p>
        </w:tc>
        <w:tc>
          <w:tcPr>
            <w:tcW w:w="503" w:type="pct"/>
            <w:tcBorders>
              <w:top w:val="single" w:sz="2" w:space="0" w:color="65C5B4" w:themeColor="accent1"/>
            </w:tcBorders>
            <w:shd w:val="clear" w:color="auto" w:fill="auto"/>
          </w:tcPr>
          <w:p w14:paraId="667D92B2"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2020</w:t>
            </w:r>
          </w:p>
        </w:tc>
        <w:tc>
          <w:tcPr>
            <w:tcW w:w="466" w:type="pct"/>
            <w:tcBorders>
              <w:top w:val="single" w:sz="2" w:space="0" w:color="65C5B4" w:themeColor="accent1"/>
            </w:tcBorders>
            <w:shd w:val="clear" w:color="auto" w:fill="auto"/>
            <w:noWrap/>
          </w:tcPr>
          <w:p w14:paraId="7A71A268"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c>
          <w:tcPr>
            <w:tcW w:w="466" w:type="pct"/>
            <w:tcBorders>
              <w:top w:val="single" w:sz="2" w:space="0" w:color="65C5B4" w:themeColor="accent1"/>
            </w:tcBorders>
            <w:shd w:val="clear" w:color="auto" w:fill="auto"/>
            <w:noWrap/>
          </w:tcPr>
          <w:p w14:paraId="747077A0"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c>
          <w:tcPr>
            <w:tcW w:w="429" w:type="pct"/>
            <w:tcBorders>
              <w:top w:val="single" w:sz="2" w:space="0" w:color="65C5B4" w:themeColor="accent1"/>
            </w:tcBorders>
            <w:shd w:val="clear" w:color="auto" w:fill="auto"/>
            <w:noWrap/>
          </w:tcPr>
          <w:p w14:paraId="19AA1B1B"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r>
      <w:tr w:rsidR="00413702" w:rsidRPr="00812509" w14:paraId="555B963F" w14:textId="77777777" w:rsidTr="00425C6B">
        <w:trPr>
          <w:cnfStyle w:val="100000000000" w:firstRow="1" w:lastRow="0" w:firstColumn="0" w:lastColumn="0" w:oddVBand="0" w:evenVBand="0" w:oddHBand="0" w:evenHBand="0" w:firstRowFirstColumn="0" w:firstRowLastColumn="0" w:lastRowFirstColumn="0" w:lastRowLastColumn="0"/>
          <w:trHeight w:val="26"/>
        </w:trPr>
        <w:tc>
          <w:tcPr>
            <w:tcW w:w="2495" w:type="pct"/>
            <w:tcBorders>
              <w:top w:val="single" w:sz="2" w:space="0" w:color="65C5B4" w:themeColor="accent1"/>
            </w:tcBorders>
            <w:shd w:val="clear" w:color="auto" w:fill="auto"/>
            <w:vAlign w:val="center"/>
          </w:tcPr>
          <w:p w14:paraId="4F4189F7" w14:textId="77777777" w:rsidR="00850345" w:rsidRPr="00973420" w:rsidRDefault="00850345" w:rsidP="00973420">
            <w:pPr>
              <w:spacing w:before="0" w:after="0" w:line="240" w:lineRule="auto"/>
              <w:ind w:left="-8"/>
              <w:rPr>
                <w:rFonts w:asciiTheme="minorHAnsi" w:eastAsia="Times New Roman" w:hAnsiTheme="minorHAnsi" w:cstheme="minorHAnsi"/>
                <w:iCs/>
                <w:szCs w:val="17"/>
              </w:rPr>
            </w:pPr>
            <w:r w:rsidRPr="00973420">
              <w:rPr>
                <w:rFonts w:asciiTheme="minorHAnsi" w:eastAsia="Times New Roman" w:hAnsiTheme="minorHAnsi" w:cstheme="minorHAnsi"/>
                <w:iCs/>
                <w:szCs w:val="17"/>
              </w:rPr>
              <w:t>INM583: Advancing Multilateral Partnerships for Econ</w:t>
            </w:r>
            <w:r w:rsidR="00B60D61" w:rsidRPr="00973420">
              <w:rPr>
                <w:rFonts w:asciiTheme="minorHAnsi" w:eastAsia="Times New Roman" w:hAnsiTheme="minorHAnsi" w:cstheme="minorHAnsi"/>
                <w:iCs/>
                <w:szCs w:val="17"/>
              </w:rPr>
              <w:t>omic</w:t>
            </w:r>
            <w:r w:rsidRPr="00973420">
              <w:rPr>
                <w:rFonts w:asciiTheme="minorHAnsi" w:eastAsia="Times New Roman" w:hAnsiTheme="minorHAnsi" w:cstheme="minorHAnsi"/>
                <w:iCs/>
                <w:szCs w:val="17"/>
              </w:rPr>
              <w:t xml:space="preserve"> Development (AMPED)</w:t>
            </w:r>
          </w:p>
        </w:tc>
        <w:tc>
          <w:tcPr>
            <w:tcW w:w="538" w:type="pct"/>
            <w:tcBorders>
              <w:top w:val="single" w:sz="2" w:space="0" w:color="65C5B4" w:themeColor="accent1"/>
            </w:tcBorders>
            <w:shd w:val="clear" w:color="auto" w:fill="auto"/>
          </w:tcPr>
          <w:p w14:paraId="37A48155" w14:textId="514FD2F8" w:rsidR="00850345" w:rsidRPr="00850345" w:rsidRDefault="00850345" w:rsidP="0086588C">
            <w:pPr>
              <w:suppressAutoHyphens w:val="0"/>
              <w:spacing w:before="0" w:after="0" w:line="240" w:lineRule="auto"/>
              <w:contextualSpacing/>
              <w:jc w:val="center"/>
              <w:rPr>
                <w:rFonts w:asciiTheme="minorHAnsi" w:hAnsiTheme="minorHAnsi" w:cstheme="minorHAnsi"/>
                <w:szCs w:val="17"/>
              </w:rPr>
            </w:pPr>
            <w:r w:rsidRPr="00D85BD3">
              <w:rPr>
                <w:rFonts w:asciiTheme="minorHAnsi" w:eastAsia="Times New Roman" w:hAnsiTheme="minorHAnsi" w:cstheme="minorHAnsi"/>
                <w:iCs/>
                <w:szCs w:val="17"/>
              </w:rPr>
              <w:t>$25m</w:t>
            </w:r>
            <w:bookmarkStart w:id="0" w:name="_GoBack"/>
            <w:bookmarkEnd w:id="0"/>
          </w:p>
        </w:tc>
        <w:tc>
          <w:tcPr>
            <w:tcW w:w="503" w:type="pct"/>
            <w:tcBorders>
              <w:top w:val="single" w:sz="2" w:space="0" w:color="65C5B4" w:themeColor="accent1"/>
            </w:tcBorders>
            <w:shd w:val="clear" w:color="auto" w:fill="auto"/>
          </w:tcPr>
          <w:p w14:paraId="3D0261E3"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2019</w:t>
            </w:r>
          </w:p>
        </w:tc>
        <w:tc>
          <w:tcPr>
            <w:tcW w:w="466" w:type="pct"/>
            <w:tcBorders>
              <w:top w:val="single" w:sz="2" w:space="0" w:color="65C5B4" w:themeColor="accent1"/>
            </w:tcBorders>
            <w:shd w:val="clear" w:color="auto" w:fill="auto"/>
            <w:noWrap/>
          </w:tcPr>
          <w:p w14:paraId="1F720A4C"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n/a</w:t>
            </w:r>
          </w:p>
        </w:tc>
        <w:tc>
          <w:tcPr>
            <w:tcW w:w="466" w:type="pct"/>
            <w:tcBorders>
              <w:top w:val="single" w:sz="2" w:space="0" w:color="65C5B4" w:themeColor="accent1"/>
            </w:tcBorders>
            <w:shd w:val="clear" w:color="auto" w:fill="auto"/>
            <w:noWrap/>
          </w:tcPr>
          <w:p w14:paraId="7501CE5D"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n/a</w:t>
            </w:r>
          </w:p>
        </w:tc>
        <w:tc>
          <w:tcPr>
            <w:tcW w:w="429" w:type="pct"/>
            <w:tcBorders>
              <w:top w:val="single" w:sz="2" w:space="0" w:color="65C5B4" w:themeColor="accent1"/>
            </w:tcBorders>
            <w:shd w:val="clear" w:color="auto" w:fill="auto"/>
            <w:noWrap/>
          </w:tcPr>
          <w:p w14:paraId="6156ADEF"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n/a</w:t>
            </w:r>
          </w:p>
        </w:tc>
      </w:tr>
      <w:tr w:rsidR="00413702" w:rsidRPr="00812509" w14:paraId="5E42F547" w14:textId="77777777" w:rsidTr="00425C6B">
        <w:trPr>
          <w:cnfStyle w:val="100000000000" w:firstRow="1" w:lastRow="0" w:firstColumn="0" w:lastColumn="0" w:oddVBand="0" w:evenVBand="0" w:oddHBand="0" w:evenHBand="0" w:firstRowFirstColumn="0" w:firstRowLastColumn="0" w:lastRowFirstColumn="0" w:lastRowLastColumn="0"/>
          <w:trHeight w:val="26"/>
        </w:trPr>
        <w:tc>
          <w:tcPr>
            <w:tcW w:w="2495" w:type="pct"/>
            <w:shd w:val="clear" w:color="auto" w:fill="auto"/>
            <w:vAlign w:val="center"/>
          </w:tcPr>
          <w:p w14:paraId="359FC25C" w14:textId="77777777" w:rsidR="00850345" w:rsidRPr="0086588C" w:rsidRDefault="00850345" w:rsidP="0086588C">
            <w:pPr>
              <w:spacing w:before="0" w:after="0" w:line="240" w:lineRule="auto"/>
              <w:ind w:left="317"/>
              <w:rPr>
                <w:rFonts w:eastAsia="Times New Roman" w:cstheme="minorHAnsi"/>
                <w:iCs/>
                <w:szCs w:val="17"/>
              </w:rPr>
            </w:pPr>
          </w:p>
        </w:tc>
        <w:tc>
          <w:tcPr>
            <w:tcW w:w="538" w:type="pct"/>
            <w:shd w:val="clear" w:color="auto" w:fill="auto"/>
          </w:tcPr>
          <w:p w14:paraId="4CF0043C" w14:textId="031718CA" w:rsidR="00850345" w:rsidRPr="00850345" w:rsidRDefault="0086588C" w:rsidP="00413702">
            <w:pPr>
              <w:suppressAutoHyphens w:val="0"/>
              <w:spacing w:before="0" w:after="0" w:line="240" w:lineRule="auto"/>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lang w:eastAsia="en-US"/>
              </w:rPr>
              <w:t>2018-24</w:t>
            </w:r>
          </w:p>
        </w:tc>
        <w:tc>
          <w:tcPr>
            <w:tcW w:w="503" w:type="pct"/>
            <w:tcBorders>
              <w:top w:val="single" w:sz="2" w:space="0" w:color="65C5B4" w:themeColor="accent1"/>
            </w:tcBorders>
            <w:shd w:val="clear" w:color="auto" w:fill="auto"/>
          </w:tcPr>
          <w:p w14:paraId="2EDF5035"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2020</w:t>
            </w:r>
          </w:p>
        </w:tc>
        <w:tc>
          <w:tcPr>
            <w:tcW w:w="466" w:type="pct"/>
            <w:tcBorders>
              <w:top w:val="single" w:sz="2" w:space="0" w:color="65C5B4" w:themeColor="accent1"/>
            </w:tcBorders>
            <w:shd w:val="clear" w:color="auto" w:fill="auto"/>
            <w:noWrap/>
          </w:tcPr>
          <w:p w14:paraId="4814D5FF"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c>
          <w:tcPr>
            <w:tcW w:w="466" w:type="pct"/>
            <w:tcBorders>
              <w:top w:val="single" w:sz="2" w:space="0" w:color="65C5B4" w:themeColor="accent1"/>
            </w:tcBorders>
            <w:shd w:val="clear" w:color="auto" w:fill="auto"/>
            <w:noWrap/>
          </w:tcPr>
          <w:p w14:paraId="6262822F"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c>
          <w:tcPr>
            <w:tcW w:w="429" w:type="pct"/>
            <w:tcBorders>
              <w:top w:val="single" w:sz="2" w:space="0" w:color="65C5B4" w:themeColor="accent1"/>
            </w:tcBorders>
            <w:shd w:val="clear" w:color="auto" w:fill="auto"/>
            <w:noWrap/>
          </w:tcPr>
          <w:p w14:paraId="78292A26"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3</w:t>
            </w:r>
          </w:p>
        </w:tc>
      </w:tr>
      <w:tr w:rsidR="00CE2498" w:rsidRPr="00812509" w14:paraId="64EAEBFC" w14:textId="77777777" w:rsidTr="00425C6B">
        <w:trPr>
          <w:cnfStyle w:val="100000000000" w:firstRow="1" w:lastRow="0" w:firstColumn="0" w:lastColumn="0" w:oddVBand="0" w:evenVBand="0" w:oddHBand="0" w:evenHBand="0" w:firstRowFirstColumn="0" w:firstRowLastColumn="0" w:lastRowFirstColumn="0" w:lastRowLastColumn="0"/>
          <w:trHeight w:val="118"/>
        </w:trPr>
        <w:tc>
          <w:tcPr>
            <w:tcW w:w="2495" w:type="pct"/>
            <w:tcBorders>
              <w:top w:val="single" w:sz="2" w:space="0" w:color="65C5B4" w:themeColor="accent1"/>
            </w:tcBorders>
            <w:shd w:val="clear" w:color="auto" w:fill="auto"/>
            <w:vAlign w:val="center"/>
          </w:tcPr>
          <w:p w14:paraId="49C8A033" w14:textId="77777777" w:rsidR="00850345" w:rsidRPr="00973420" w:rsidRDefault="00850345" w:rsidP="00973420">
            <w:pPr>
              <w:spacing w:before="0" w:after="0" w:line="240" w:lineRule="auto"/>
              <w:ind w:left="-8"/>
              <w:rPr>
                <w:rFonts w:asciiTheme="minorHAnsi" w:eastAsia="Times New Roman" w:hAnsiTheme="minorHAnsi" w:cstheme="minorHAnsi"/>
                <w:iCs/>
                <w:szCs w:val="17"/>
              </w:rPr>
            </w:pPr>
            <w:r w:rsidRPr="00973420">
              <w:rPr>
                <w:rFonts w:asciiTheme="minorHAnsi" w:eastAsia="Times New Roman" w:hAnsiTheme="minorHAnsi" w:cstheme="minorHAnsi"/>
                <w:iCs/>
                <w:szCs w:val="17"/>
              </w:rPr>
              <w:t>INL343: Peacebuilding in Conflict-Affected Mindanao</w:t>
            </w:r>
          </w:p>
        </w:tc>
        <w:tc>
          <w:tcPr>
            <w:tcW w:w="538" w:type="pct"/>
            <w:tcBorders>
              <w:top w:val="single" w:sz="2" w:space="0" w:color="65C5B4" w:themeColor="accent1"/>
            </w:tcBorders>
            <w:shd w:val="clear" w:color="auto" w:fill="auto"/>
          </w:tcPr>
          <w:p w14:paraId="69D4E316" w14:textId="682AE994" w:rsidR="00850345" w:rsidRPr="00850345" w:rsidRDefault="00850345" w:rsidP="0086588C">
            <w:pPr>
              <w:spacing w:before="0" w:after="0" w:line="240" w:lineRule="auto"/>
              <w:contextualSpacing/>
              <w:jc w:val="center"/>
              <w:rPr>
                <w:rFonts w:asciiTheme="minorHAnsi" w:hAnsiTheme="minorHAnsi" w:cstheme="minorHAnsi"/>
                <w:szCs w:val="17"/>
              </w:rPr>
            </w:pPr>
            <w:r w:rsidRPr="00850345">
              <w:rPr>
                <w:rFonts w:asciiTheme="minorHAnsi" w:eastAsia="Times New Roman" w:hAnsiTheme="minorHAnsi" w:cstheme="minorHAnsi"/>
                <w:iCs/>
                <w:szCs w:val="17"/>
              </w:rPr>
              <w:t>$9</w:t>
            </w:r>
            <w:r w:rsidR="00F83591">
              <w:rPr>
                <w:rFonts w:asciiTheme="minorHAnsi" w:eastAsia="Times New Roman" w:hAnsiTheme="minorHAnsi" w:cstheme="minorHAnsi"/>
                <w:iCs/>
                <w:szCs w:val="17"/>
              </w:rPr>
              <w:t>0.9</w:t>
            </w:r>
            <w:r w:rsidRPr="00850345">
              <w:rPr>
                <w:rFonts w:asciiTheme="minorHAnsi" w:eastAsia="Times New Roman" w:hAnsiTheme="minorHAnsi" w:cstheme="minorHAnsi"/>
                <w:iCs/>
                <w:szCs w:val="17"/>
              </w:rPr>
              <w:t>m</w:t>
            </w:r>
          </w:p>
        </w:tc>
        <w:tc>
          <w:tcPr>
            <w:tcW w:w="503" w:type="pct"/>
            <w:tcBorders>
              <w:top w:val="single" w:sz="2" w:space="0" w:color="65C5B4" w:themeColor="accent1"/>
            </w:tcBorders>
            <w:shd w:val="clear" w:color="auto" w:fill="auto"/>
          </w:tcPr>
          <w:p w14:paraId="27189F9B"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2019</w:t>
            </w:r>
          </w:p>
        </w:tc>
        <w:tc>
          <w:tcPr>
            <w:tcW w:w="466" w:type="pct"/>
            <w:tcBorders>
              <w:top w:val="single" w:sz="2" w:space="0" w:color="65C5B4" w:themeColor="accent1"/>
            </w:tcBorders>
            <w:shd w:val="clear" w:color="auto" w:fill="auto"/>
            <w:noWrap/>
          </w:tcPr>
          <w:p w14:paraId="76AFC443"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c>
          <w:tcPr>
            <w:tcW w:w="466" w:type="pct"/>
            <w:tcBorders>
              <w:top w:val="single" w:sz="2" w:space="0" w:color="65C5B4" w:themeColor="accent1"/>
            </w:tcBorders>
            <w:shd w:val="clear" w:color="auto" w:fill="auto"/>
            <w:noWrap/>
          </w:tcPr>
          <w:p w14:paraId="50093F11"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5</w:t>
            </w:r>
          </w:p>
        </w:tc>
        <w:tc>
          <w:tcPr>
            <w:tcW w:w="429" w:type="pct"/>
            <w:tcBorders>
              <w:top w:val="single" w:sz="2" w:space="0" w:color="65C5B4" w:themeColor="accent1"/>
            </w:tcBorders>
            <w:shd w:val="clear" w:color="auto" w:fill="auto"/>
            <w:noWrap/>
          </w:tcPr>
          <w:p w14:paraId="0DC54B6A"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5</w:t>
            </w:r>
          </w:p>
        </w:tc>
      </w:tr>
      <w:tr w:rsidR="00CE2498" w:rsidRPr="00812509" w14:paraId="76B9C978" w14:textId="77777777" w:rsidTr="00425C6B">
        <w:trPr>
          <w:cnfStyle w:val="100000000000" w:firstRow="1" w:lastRow="0" w:firstColumn="0" w:lastColumn="0" w:oddVBand="0" w:evenVBand="0" w:oddHBand="0" w:evenHBand="0" w:firstRowFirstColumn="0" w:firstRowLastColumn="0" w:lastRowFirstColumn="0" w:lastRowLastColumn="0"/>
          <w:trHeight w:val="26"/>
        </w:trPr>
        <w:tc>
          <w:tcPr>
            <w:tcW w:w="2495" w:type="pct"/>
            <w:tcBorders>
              <w:bottom w:val="none" w:sz="0" w:space="0" w:color="auto"/>
            </w:tcBorders>
            <w:shd w:val="clear" w:color="auto" w:fill="auto"/>
            <w:vAlign w:val="center"/>
          </w:tcPr>
          <w:p w14:paraId="236C1185" w14:textId="77777777" w:rsidR="00850345" w:rsidRPr="0086588C" w:rsidRDefault="00850345" w:rsidP="0086588C">
            <w:pPr>
              <w:spacing w:before="0" w:after="0" w:line="240" w:lineRule="auto"/>
              <w:ind w:left="317"/>
              <w:rPr>
                <w:rFonts w:eastAsia="Times New Roman" w:cstheme="minorHAnsi"/>
                <w:iCs/>
                <w:szCs w:val="17"/>
              </w:rPr>
            </w:pPr>
          </w:p>
        </w:tc>
        <w:tc>
          <w:tcPr>
            <w:tcW w:w="538" w:type="pct"/>
            <w:tcBorders>
              <w:bottom w:val="none" w:sz="0" w:space="0" w:color="auto"/>
            </w:tcBorders>
            <w:shd w:val="clear" w:color="auto" w:fill="auto"/>
          </w:tcPr>
          <w:p w14:paraId="03E8CF2C" w14:textId="16E18755" w:rsidR="00850345" w:rsidRPr="00850345" w:rsidRDefault="0086588C" w:rsidP="00413702">
            <w:pPr>
              <w:spacing w:before="0" w:after="0" w:line="240" w:lineRule="auto"/>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2014-23</w:t>
            </w:r>
          </w:p>
        </w:tc>
        <w:tc>
          <w:tcPr>
            <w:tcW w:w="503" w:type="pct"/>
            <w:tcBorders>
              <w:top w:val="single" w:sz="2" w:space="0" w:color="65C5B4" w:themeColor="accent1"/>
            </w:tcBorders>
            <w:shd w:val="clear" w:color="auto" w:fill="auto"/>
          </w:tcPr>
          <w:p w14:paraId="156072C6"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2020</w:t>
            </w:r>
          </w:p>
        </w:tc>
        <w:tc>
          <w:tcPr>
            <w:tcW w:w="466" w:type="pct"/>
            <w:tcBorders>
              <w:top w:val="single" w:sz="2" w:space="0" w:color="65C5B4" w:themeColor="accent1"/>
            </w:tcBorders>
            <w:shd w:val="clear" w:color="auto" w:fill="auto"/>
            <w:noWrap/>
          </w:tcPr>
          <w:p w14:paraId="301FDAB7"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c>
          <w:tcPr>
            <w:tcW w:w="466" w:type="pct"/>
            <w:tcBorders>
              <w:top w:val="single" w:sz="2" w:space="0" w:color="65C5B4" w:themeColor="accent1"/>
            </w:tcBorders>
            <w:shd w:val="clear" w:color="auto" w:fill="auto"/>
            <w:noWrap/>
          </w:tcPr>
          <w:p w14:paraId="51166E94"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5</w:t>
            </w:r>
          </w:p>
        </w:tc>
        <w:tc>
          <w:tcPr>
            <w:tcW w:w="429" w:type="pct"/>
            <w:tcBorders>
              <w:top w:val="single" w:sz="2" w:space="0" w:color="65C5B4" w:themeColor="accent1"/>
            </w:tcBorders>
            <w:shd w:val="clear" w:color="auto" w:fill="auto"/>
            <w:noWrap/>
          </w:tcPr>
          <w:p w14:paraId="649D0445"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5</w:t>
            </w:r>
          </w:p>
        </w:tc>
      </w:tr>
      <w:tr w:rsidR="00413702" w:rsidRPr="00812509" w14:paraId="0FD6C7FC" w14:textId="77777777" w:rsidTr="00425C6B">
        <w:trPr>
          <w:cnfStyle w:val="100000000000" w:firstRow="1" w:lastRow="0" w:firstColumn="0" w:lastColumn="0" w:oddVBand="0" w:evenVBand="0" w:oddHBand="0" w:evenHBand="0" w:firstRowFirstColumn="0" w:firstRowLastColumn="0" w:lastRowFirstColumn="0" w:lastRowLastColumn="0"/>
          <w:trHeight w:val="68"/>
        </w:trPr>
        <w:tc>
          <w:tcPr>
            <w:tcW w:w="2495" w:type="pct"/>
            <w:tcBorders>
              <w:top w:val="single" w:sz="2" w:space="0" w:color="65C5B4" w:themeColor="accent1"/>
            </w:tcBorders>
            <w:shd w:val="clear" w:color="auto" w:fill="auto"/>
            <w:vAlign w:val="center"/>
          </w:tcPr>
          <w:p w14:paraId="5072EAD7" w14:textId="77777777" w:rsidR="00850345" w:rsidRPr="00973420" w:rsidRDefault="00850345" w:rsidP="00973420">
            <w:pPr>
              <w:spacing w:before="0" w:after="0" w:line="240" w:lineRule="auto"/>
              <w:ind w:left="-8"/>
              <w:rPr>
                <w:rFonts w:asciiTheme="minorHAnsi" w:eastAsia="Times New Roman" w:hAnsiTheme="minorHAnsi" w:cstheme="minorHAnsi"/>
                <w:iCs/>
                <w:szCs w:val="17"/>
              </w:rPr>
            </w:pPr>
            <w:r w:rsidRPr="00973420">
              <w:rPr>
                <w:rFonts w:asciiTheme="minorHAnsi" w:eastAsia="Times New Roman" w:hAnsiTheme="minorHAnsi" w:cstheme="minorHAnsi"/>
                <w:iCs/>
                <w:szCs w:val="17"/>
              </w:rPr>
              <w:t>INM474: Philippines-Australia Citizens Empowerment (PACE) Program</w:t>
            </w:r>
          </w:p>
        </w:tc>
        <w:tc>
          <w:tcPr>
            <w:tcW w:w="538" w:type="pct"/>
            <w:tcBorders>
              <w:top w:val="single" w:sz="2" w:space="0" w:color="65C5B4" w:themeColor="accent1"/>
            </w:tcBorders>
            <w:shd w:val="clear" w:color="auto" w:fill="auto"/>
          </w:tcPr>
          <w:p w14:paraId="455956D3" w14:textId="2A35AC97" w:rsidR="00850345" w:rsidRPr="00850345" w:rsidRDefault="00850345" w:rsidP="0086588C">
            <w:pPr>
              <w:spacing w:before="0" w:after="0" w:line="240" w:lineRule="auto"/>
              <w:contextualSpacing/>
              <w:jc w:val="center"/>
              <w:rPr>
                <w:rFonts w:asciiTheme="minorHAnsi" w:hAnsiTheme="minorHAnsi" w:cstheme="minorHAnsi"/>
                <w:szCs w:val="17"/>
              </w:rPr>
            </w:pPr>
            <w:r w:rsidRPr="00850345">
              <w:rPr>
                <w:rFonts w:asciiTheme="minorHAnsi" w:eastAsia="Times New Roman" w:hAnsiTheme="minorHAnsi" w:cstheme="minorHAnsi"/>
                <w:iCs/>
                <w:szCs w:val="17"/>
              </w:rPr>
              <w:t>$8.6m</w:t>
            </w:r>
          </w:p>
        </w:tc>
        <w:tc>
          <w:tcPr>
            <w:tcW w:w="503" w:type="pct"/>
            <w:tcBorders>
              <w:top w:val="single" w:sz="2" w:space="0" w:color="65C5B4" w:themeColor="accent1"/>
            </w:tcBorders>
            <w:shd w:val="clear" w:color="auto" w:fill="auto"/>
          </w:tcPr>
          <w:p w14:paraId="0F64A7F5"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2019</w:t>
            </w:r>
          </w:p>
        </w:tc>
        <w:tc>
          <w:tcPr>
            <w:tcW w:w="466" w:type="pct"/>
            <w:tcBorders>
              <w:top w:val="single" w:sz="2" w:space="0" w:color="65C5B4" w:themeColor="accent1"/>
            </w:tcBorders>
            <w:shd w:val="clear" w:color="auto" w:fill="auto"/>
            <w:noWrap/>
          </w:tcPr>
          <w:p w14:paraId="238C2A89"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c>
          <w:tcPr>
            <w:tcW w:w="466" w:type="pct"/>
            <w:tcBorders>
              <w:top w:val="single" w:sz="2" w:space="0" w:color="65C5B4" w:themeColor="accent1"/>
            </w:tcBorders>
            <w:shd w:val="clear" w:color="auto" w:fill="auto"/>
            <w:noWrap/>
          </w:tcPr>
          <w:p w14:paraId="53489D04"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c>
          <w:tcPr>
            <w:tcW w:w="429" w:type="pct"/>
            <w:tcBorders>
              <w:top w:val="single" w:sz="2" w:space="0" w:color="65C5B4" w:themeColor="accent1"/>
            </w:tcBorders>
            <w:shd w:val="clear" w:color="auto" w:fill="auto"/>
            <w:noWrap/>
          </w:tcPr>
          <w:p w14:paraId="23BC74BA"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5</w:t>
            </w:r>
          </w:p>
        </w:tc>
      </w:tr>
      <w:tr w:rsidR="00413702" w:rsidRPr="00812509" w14:paraId="25792E6B" w14:textId="77777777" w:rsidTr="00425C6B">
        <w:trPr>
          <w:cnfStyle w:val="100000000000" w:firstRow="1" w:lastRow="0" w:firstColumn="0" w:lastColumn="0" w:oddVBand="0" w:evenVBand="0" w:oddHBand="0" w:evenHBand="0" w:firstRowFirstColumn="0" w:firstRowLastColumn="0" w:lastRowFirstColumn="0" w:lastRowLastColumn="0"/>
          <w:trHeight w:val="26"/>
        </w:trPr>
        <w:tc>
          <w:tcPr>
            <w:tcW w:w="2495" w:type="pct"/>
            <w:tcBorders>
              <w:bottom w:val="none" w:sz="0" w:space="0" w:color="auto"/>
            </w:tcBorders>
            <w:shd w:val="clear" w:color="auto" w:fill="auto"/>
            <w:vAlign w:val="center"/>
          </w:tcPr>
          <w:p w14:paraId="3DC2BBCE" w14:textId="77777777" w:rsidR="00850345" w:rsidRPr="0086588C" w:rsidRDefault="00850345" w:rsidP="0086588C">
            <w:pPr>
              <w:spacing w:before="0" w:after="0" w:line="240" w:lineRule="auto"/>
              <w:ind w:left="317"/>
              <w:rPr>
                <w:rFonts w:eastAsia="Times New Roman" w:cstheme="minorHAnsi"/>
                <w:iCs/>
                <w:szCs w:val="17"/>
              </w:rPr>
            </w:pPr>
          </w:p>
        </w:tc>
        <w:tc>
          <w:tcPr>
            <w:tcW w:w="538" w:type="pct"/>
            <w:tcBorders>
              <w:bottom w:val="none" w:sz="0" w:space="0" w:color="auto"/>
            </w:tcBorders>
            <w:shd w:val="clear" w:color="auto" w:fill="auto"/>
          </w:tcPr>
          <w:p w14:paraId="72AB9C95" w14:textId="7681A5AA" w:rsidR="00850345" w:rsidRPr="00850345" w:rsidRDefault="0086588C" w:rsidP="00413702">
            <w:pPr>
              <w:spacing w:before="0" w:after="0" w:line="240" w:lineRule="auto"/>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2018-23</w:t>
            </w:r>
          </w:p>
        </w:tc>
        <w:tc>
          <w:tcPr>
            <w:tcW w:w="503" w:type="pct"/>
            <w:tcBorders>
              <w:top w:val="single" w:sz="2" w:space="0" w:color="65C5B4" w:themeColor="accent1"/>
            </w:tcBorders>
            <w:shd w:val="clear" w:color="auto" w:fill="auto"/>
          </w:tcPr>
          <w:p w14:paraId="3CA2FCA9"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2020</w:t>
            </w:r>
          </w:p>
        </w:tc>
        <w:tc>
          <w:tcPr>
            <w:tcW w:w="466" w:type="pct"/>
            <w:tcBorders>
              <w:top w:val="single" w:sz="2" w:space="0" w:color="65C5B4" w:themeColor="accent1"/>
            </w:tcBorders>
            <w:shd w:val="clear" w:color="auto" w:fill="auto"/>
            <w:noWrap/>
          </w:tcPr>
          <w:p w14:paraId="53C3B509"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c>
          <w:tcPr>
            <w:tcW w:w="466" w:type="pct"/>
            <w:tcBorders>
              <w:top w:val="single" w:sz="2" w:space="0" w:color="65C5B4" w:themeColor="accent1"/>
            </w:tcBorders>
            <w:shd w:val="clear" w:color="auto" w:fill="auto"/>
            <w:noWrap/>
          </w:tcPr>
          <w:p w14:paraId="16050BB7"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c>
          <w:tcPr>
            <w:tcW w:w="429" w:type="pct"/>
            <w:tcBorders>
              <w:top w:val="single" w:sz="2" w:space="0" w:color="65C5B4" w:themeColor="accent1"/>
            </w:tcBorders>
            <w:shd w:val="clear" w:color="auto" w:fill="auto"/>
            <w:noWrap/>
          </w:tcPr>
          <w:p w14:paraId="5A9F1F1B"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5</w:t>
            </w:r>
          </w:p>
        </w:tc>
      </w:tr>
      <w:tr w:rsidR="00CE2498" w:rsidRPr="00812509" w14:paraId="126D7682" w14:textId="77777777" w:rsidTr="00425C6B">
        <w:trPr>
          <w:cnfStyle w:val="100000000000" w:firstRow="1" w:lastRow="0" w:firstColumn="0" w:lastColumn="0" w:oddVBand="0" w:evenVBand="0" w:oddHBand="0" w:evenHBand="0" w:firstRowFirstColumn="0" w:firstRowLastColumn="0" w:lastRowFirstColumn="0" w:lastRowLastColumn="0"/>
          <w:trHeight w:val="160"/>
        </w:trPr>
        <w:tc>
          <w:tcPr>
            <w:tcW w:w="2495" w:type="pct"/>
            <w:tcBorders>
              <w:top w:val="single" w:sz="2" w:space="0" w:color="65C5B4" w:themeColor="accent1"/>
            </w:tcBorders>
            <w:shd w:val="clear" w:color="auto" w:fill="auto"/>
            <w:vAlign w:val="center"/>
          </w:tcPr>
          <w:p w14:paraId="34F69005" w14:textId="77777777" w:rsidR="00850345" w:rsidRPr="00973420" w:rsidRDefault="00850345" w:rsidP="00973420">
            <w:pPr>
              <w:spacing w:before="0" w:after="0" w:line="240" w:lineRule="auto"/>
              <w:ind w:left="-8"/>
              <w:rPr>
                <w:rFonts w:asciiTheme="minorHAnsi" w:eastAsia="Times New Roman" w:hAnsiTheme="minorHAnsi" w:cstheme="minorHAnsi"/>
                <w:iCs/>
                <w:szCs w:val="17"/>
              </w:rPr>
            </w:pPr>
            <w:r w:rsidRPr="00973420">
              <w:rPr>
                <w:rFonts w:asciiTheme="minorHAnsi" w:eastAsia="Times New Roman" w:hAnsiTheme="minorHAnsi" w:cstheme="minorHAnsi"/>
                <w:iCs/>
                <w:szCs w:val="17"/>
              </w:rPr>
              <w:t>INL791: Education Pathways to Peace in Mindanao (PATHWAYS)</w:t>
            </w:r>
          </w:p>
        </w:tc>
        <w:tc>
          <w:tcPr>
            <w:tcW w:w="538" w:type="pct"/>
            <w:tcBorders>
              <w:top w:val="single" w:sz="2" w:space="0" w:color="65C5B4" w:themeColor="accent1"/>
            </w:tcBorders>
            <w:shd w:val="clear" w:color="auto" w:fill="auto"/>
          </w:tcPr>
          <w:p w14:paraId="0012D676" w14:textId="29F15424" w:rsidR="00850345" w:rsidRPr="00850345" w:rsidRDefault="00850345" w:rsidP="0086588C">
            <w:pPr>
              <w:suppressAutoHyphens w:val="0"/>
              <w:spacing w:before="0" w:after="0" w:line="240" w:lineRule="auto"/>
              <w:contextualSpacing/>
              <w:jc w:val="center"/>
              <w:rPr>
                <w:rFonts w:asciiTheme="minorHAnsi" w:hAnsiTheme="minorHAnsi" w:cstheme="minorHAnsi"/>
                <w:szCs w:val="17"/>
              </w:rPr>
            </w:pPr>
            <w:r w:rsidRPr="00850345">
              <w:rPr>
                <w:rFonts w:asciiTheme="minorHAnsi" w:eastAsia="Times New Roman" w:hAnsiTheme="minorHAnsi" w:cstheme="minorHAnsi"/>
                <w:iCs/>
                <w:szCs w:val="17"/>
              </w:rPr>
              <w:t>$90</w:t>
            </w:r>
            <w:r w:rsidR="00F83591">
              <w:rPr>
                <w:rFonts w:asciiTheme="minorHAnsi" w:eastAsia="Times New Roman" w:hAnsiTheme="minorHAnsi" w:cstheme="minorHAnsi"/>
                <w:iCs/>
                <w:szCs w:val="17"/>
              </w:rPr>
              <w:t>m</w:t>
            </w:r>
          </w:p>
        </w:tc>
        <w:tc>
          <w:tcPr>
            <w:tcW w:w="503" w:type="pct"/>
            <w:tcBorders>
              <w:top w:val="single" w:sz="2" w:space="0" w:color="65C5B4" w:themeColor="accent1"/>
            </w:tcBorders>
            <w:shd w:val="clear" w:color="auto" w:fill="auto"/>
          </w:tcPr>
          <w:p w14:paraId="6DBA0FB5"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2019</w:t>
            </w:r>
          </w:p>
        </w:tc>
        <w:tc>
          <w:tcPr>
            <w:tcW w:w="466" w:type="pct"/>
            <w:tcBorders>
              <w:top w:val="single" w:sz="2" w:space="0" w:color="65C5B4" w:themeColor="accent1"/>
            </w:tcBorders>
            <w:shd w:val="clear" w:color="auto" w:fill="auto"/>
            <w:noWrap/>
          </w:tcPr>
          <w:p w14:paraId="15F97E5B"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c>
          <w:tcPr>
            <w:tcW w:w="466" w:type="pct"/>
            <w:tcBorders>
              <w:top w:val="single" w:sz="2" w:space="0" w:color="65C5B4" w:themeColor="accent1"/>
            </w:tcBorders>
            <w:shd w:val="clear" w:color="auto" w:fill="auto"/>
            <w:noWrap/>
          </w:tcPr>
          <w:p w14:paraId="1F712408"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3</w:t>
            </w:r>
          </w:p>
        </w:tc>
        <w:tc>
          <w:tcPr>
            <w:tcW w:w="429" w:type="pct"/>
            <w:tcBorders>
              <w:top w:val="single" w:sz="2" w:space="0" w:color="65C5B4" w:themeColor="accent1"/>
            </w:tcBorders>
            <w:shd w:val="clear" w:color="auto" w:fill="auto"/>
            <w:noWrap/>
          </w:tcPr>
          <w:p w14:paraId="527FF882"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3</w:t>
            </w:r>
          </w:p>
        </w:tc>
      </w:tr>
      <w:tr w:rsidR="00CE2498" w:rsidRPr="00812509" w14:paraId="56D4A393" w14:textId="77777777" w:rsidTr="00425C6B">
        <w:trPr>
          <w:cnfStyle w:val="100000000000" w:firstRow="1" w:lastRow="0" w:firstColumn="0" w:lastColumn="0" w:oddVBand="0" w:evenVBand="0" w:oddHBand="0" w:evenHBand="0" w:firstRowFirstColumn="0" w:firstRowLastColumn="0" w:lastRowFirstColumn="0" w:lastRowLastColumn="0"/>
          <w:trHeight w:val="64"/>
        </w:trPr>
        <w:tc>
          <w:tcPr>
            <w:tcW w:w="2495" w:type="pct"/>
            <w:tcBorders>
              <w:bottom w:val="none" w:sz="0" w:space="0" w:color="auto"/>
            </w:tcBorders>
            <w:shd w:val="clear" w:color="auto" w:fill="auto"/>
            <w:vAlign w:val="center"/>
          </w:tcPr>
          <w:p w14:paraId="0C68268E" w14:textId="77777777" w:rsidR="00850345" w:rsidRPr="0086588C" w:rsidRDefault="00850345" w:rsidP="0086588C">
            <w:pPr>
              <w:spacing w:before="0" w:after="0" w:line="240" w:lineRule="auto"/>
              <w:ind w:left="317"/>
              <w:rPr>
                <w:rFonts w:eastAsia="Times New Roman" w:cstheme="minorHAnsi"/>
                <w:iCs/>
                <w:szCs w:val="17"/>
              </w:rPr>
            </w:pPr>
          </w:p>
        </w:tc>
        <w:tc>
          <w:tcPr>
            <w:tcW w:w="538" w:type="pct"/>
            <w:tcBorders>
              <w:bottom w:val="none" w:sz="0" w:space="0" w:color="auto"/>
            </w:tcBorders>
            <w:shd w:val="clear" w:color="auto" w:fill="auto"/>
          </w:tcPr>
          <w:p w14:paraId="129BDA73" w14:textId="615B235F" w:rsidR="00850345" w:rsidRPr="00850345" w:rsidRDefault="0086588C" w:rsidP="00413702">
            <w:pPr>
              <w:suppressAutoHyphens w:val="0"/>
              <w:spacing w:before="0" w:after="0" w:line="240" w:lineRule="auto"/>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lang w:eastAsia="en-US"/>
              </w:rPr>
              <w:t>201</w:t>
            </w:r>
            <w:r>
              <w:rPr>
                <w:rFonts w:asciiTheme="minorHAnsi" w:eastAsia="Times New Roman" w:hAnsiTheme="minorHAnsi" w:cstheme="minorHAnsi"/>
                <w:iCs/>
                <w:szCs w:val="17"/>
                <w:lang w:eastAsia="en-US"/>
              </w:rPr>
              <w:t>7</w:t>
            </w:r>
            <w:r w:rsidRPr="00850345">
              <w:rPr>
                <w:rFonts w:asciiTheme="minorHAnsi" w:eastAsia="Times New Roman" w:hAnsiTheme="minorHAnsi" w:cstheme="minorHAnsi"/>
                <w:iCs/>
                <w:szCs w:val="17"/>
                <w:lang w:eastAsia="en-US"/>
              </w:rPr>
              <w:t>-26</w:t>
            </w:r>
          </w:p>
        </w:tc>
        <w:tc>
          <w:tcPr>
            <w:tcW w:w="503" w:type="pct"/>
            <w:tcBorders>
              <w:top w:val="single" w:sz="2" w:space="0" w:color="65C5B4" w:themeColor="accent1"/>
            </w:tcBorders>
            <w:shd w:val="clear" w:color="auto" w:fill="auto"/>
          </w:tcPr>
          <w:p w14:paraId="00181E7C"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2020</w:t>
            </w:r>
          </w:p>
        </w:tc>
        <w:tc>
          <w:tcPr>
            <w:tcW w:w="466" w:type="pct"/>
            <w:tcBorders>
              <w:top w:val="single" w:sz="2" w:space="0" w:color="65C5B4" w:themeColor="accent1"/>
            </w:tcBorders>
            <w:shd w:val="clear" w:color="auto" w:fill="auto"/>
            <w:noWrap/>
          </w:tcPr>
          <w:p w14:paraId="38563112"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c>
          <w:tcPr>
            <w:tcW w:w="466" w:type="pct"/>
            <w:tcBorders>
              <w:top w:val="single" w:sz="2" w:space="0" w:color="65C5B4" w:themeColor="accent1"/>
            </w:tcBorders>
            <w:shd w:val="clear" w:color="auto" w:fill="auto"/>
            <w:noWrap/>
          </w:tcPr>
          <w:p w14:paraId="5DA557F4"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c>
          <w:tcPr>
            <w:tcW w:w="429" w:type="pct"/>
            <w:tcBorders>
              <w:top w:val="single" w:sz="2" w:space="0" w:color="65C5B4" w:themeColor="accent1"/>
            </w:tcBorders>
            <w:shd w:val="clear" w:color="auto" w:fill="auto"/>
            <w:noWrap/>
          </w:tcPr>
          <w:p w14:paraId="2B2C2001"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r>
      <w:tr w:rsidR="00413702" w:rsidRPr="00812509" w14:paraId="3757CA08" w14:textId="77777777" w:rsidTr="00425C6B">
        <w:trPr>
          <w:cnfStyle w:val="100000000000" w:firstRow="1" w:lastRow="0" w:firstColumn="0" w:lastColumn="0" w:oddVBand="0" w:evenVBand="0" w:oddHBand="0" w:evenHBand="0" w:firstRowFirstColumn="0" w:firstRowLastColumn="0" w:lastRowFirstColumn="0" w:lastRowLastColumn="0"/>
          <w:trHeight w:val="26"/>
        </w:trPr>
        <w:tc>
          <w:tcPr>
            <w:tcW w:w="2495" w:type="pct"/>
            <w:tcBorders>
              <w:top w:val="single" w:sz="2" w:space="0" w:color="65C5B4" w:themeColor="accent1"/>
            </w:tcBorders>
            <w:shd w:val="clear" w:color="auto" w:fill="auto"/>
            <w:vAlign w:val="center"/>
          </w:tcPr>
          <w:p w14:paraId="369416BE" w14:textId="77777777" w:rsidR="00850345" w:rsidRPr="00973420" w:rsidRDefault="00850345" w:rsidP="00973420">
            <w:pPr>
              <w:spacing w:before="0" w:after="0" w:line="240" w:lineRule="auto"/>
              <w:ind w:left="-8"/>
              <w:rPr>
                <w:rFonts w:asciiTheme="minorHAnsi" w:eastAsia="Times New Roman" w:hAnsiTheme="minorHAnsi" w:cstheme="minorHAnsi"/>
                <w:iCs/>
                <w:szCs w:val="17"/>
              </w:rPr>
            </w:pPr>
            <w:r w:rsidRPr="00973420">
              <w:rPr>
                <w:rFonts w:asciiTheme="minorHAnsi" w:eastAsia="Times New Roman" w:hAnsiTheme="minorHAnsi" w:cstheme="minorHAnsi"/>
                <w:iCs/>
                <w:szCs w:val="17"/>
              </w:rPr>
              <w:t>INM238: Coalitions for Change (</w:t>
            </w:r>
            <w:proofErr w:type="spellStart"/>
            <w:r w:rsidRPr="00973420">
              <w:rPr>
                <w:rFonts w:asciiTheme="minorHAnsi" w:eastAsia="Times New Roman" w:hAnsiTheme="minorHAnsi" w:cstheme="minorHAnsi"/>
                <w:iCs/>
                <w:szCs w:val="17"/>
              </w:rPr>
              <w:t>CfC</w:t>
            </w:r>
            <w:proofErr w:type="spellEnd"/>
            <w:r w:rsidRPr="00973420">
              <w:rPr>
                <w:rFonts w:asciiTheme="minorHAnsi" w:eastAsia="Times New Roman" w:hAnsiTheme="minorHAnsi" w:cstheme="minorHAnsi"/>
                <w:iCs/>
                <w:szCs w:val="17"/>
              </w:rPr>
              <w:t>) Phase 2</w:t>
            </w:r>
          </w:p>
        </w:tc>
        <w:tc>
          <w:tcPr>
            <w:tcW w:w="538" w:type="pct"/>
            <w:tcBorders>
              <w:top w:val="single" w:sz="2" w:space="0" w:color="65C5B4" w:themeColor="accent1"/>
            </w:tcBorders>
            <w:shd w:val="clear" w:color="auto" w:fill="auto"/>
          </w:tcPr>
          <w:p w14:paraId="34C315BE" w14:textId="51A7B5AB" w:rsidR="00850345" w:rsidRPr="00850345" w:rsidRDefault="00850345" w:rsidP="0086588C">
            <w:pPr>
              <w:spacing w:before="0" w:after="0" w:line="240" w:lineRule="auto"/>
              <w:contextualSpacing/>
              <w:jc w:val="center"/>
              <w:rPr>
                <w:rFonts w:asciiTheme="minorHAnsi" w:hAnsiTheme="minorHAnsi" w:cstheme="minorHAnsi"/>
                <w:szCs w:val="17"/>
              </w:rPr>
            </w:pPr>
            <w:r w:rsidRPr="00850345">
              <w:rPr>
                <w:rFonts w:asciiTheme="minorHAnsi" w:eastAsia="Times New Roman" w:hAnsiTheme="minorHAnsi" w:cstheme="minorHAnsi"/>
                <w:iCs/>
                <w:szCs w:val="17"/>
              </w:rPr>
              <w:t>$2</w:t>
            </w:r>
            <w:r w:rsidR="00F83591">
              <w:rPr>
                <w:rFonts w:asciiTheme="minorHAnsi" w:eastAsia="Times New Roman" w:hAnsiTheme="minorHAnsi" w:cstheme="minorHAnsi"/>
                <w:iCs/>
                <w:szCs w:val="17"/>
              </w:rPr>
              <w:t>4</w:t>
            </w:r>
            <w:r w:rsidRPr="00850345">
              <w:rPr>
                <w:rFonts w:asciiTheme="minorHAnsi" w:eastAsia="Times New Roman" w:hAnsiTheme="minorHAnsi" w:cstheme="minorHAnsi"/>
                <w:iCs/>
                <w:szCs w:val="17"/>
              </w:rPr>
              <w:t>m</w:t>
            </w:r>
          </w:p>
        </w:tc>
        <w:tc>
          <w:tcPr>
            <w:tcW w:w="503" w:type="pct"/>
            <w:tcBorders>
              <w:top w:val="single" w:sz="2" w:space="0" w:color="65C5B4" w:themeColor="accent1"/>
            </w:tcBorders>
            <w:shd w:val="clear" w:color="auto" w:fill="auto"/>
          </w:tcPr>
          <w:p w14:paraId="3B25E0C2"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2019</w:t>
            </w:r>
          </w:p>
        </w:tc>
        <w:tc>
          <w:tcPr>
            <w:tcW w:w="466" w:type="pct"/>
            <w:tcBorders>
              <w:top w:val="single" w:sz="2" w:space="0" w:color="65C5B4" w:themeColor="accent1"/>
            </w:tcBorders>
            <w:shd w:val="clear" w:color="auto" w:fill="auto"/>
            <w:noWrap/>
          </w:tcPr>
          <w:p w14:paraId="372C37F0"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c>
          <w:tcPr>
            <w:tcW w:w="466" w:type="pct"/>
            <w:tcBorders>
              <w:top w:val="single" w:sz="2" w:space="0" w:color="65C5B4" w:themeColor="accent1"/>
            </w:tcBorders>
            <w:shd w:val="clear" w:color="auto" w:fill="auto"/>
            <w:noWrap/>
          </w:tcPr>
          <w:p w14:paraId="366AB446"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c>
          <w:tcPr>
            <w:tcW w:w="429" w:type="pct"/>
            <w:tcBorders>
              <w:top w:val="single" w:sz="2" w:space="0" w:color="65C5B4" w:themeColor="accent1"/>
            </w:tcBorders>
            <w:shd w:val="clear" w:color="auto" w:fill="auto"/>
            <w:noWrap/>
          </w:tcPr>
          <w:p w14:paraId="3692C336"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r>
      <w:tr w:rsidR="00413702" w:rsidRPr="00812509" w14:paraId="0C5E836E" w14:textId="77777777" w:rsidTr="00425C6B">
        <w:trPr>
          <w:cnfStyle w:val="100000000000" w:firstRow="1" w:lastRow="0" w:firstColumn="0" w:lastColumn="0" w:oddVBand="0" w:evenVBand="0" w:oddHBand="0" w:evenHBand="0" w:firstRowFirstColumn="0" w:firstRowLastColumn="0" w:lastRowFirstColumn="0" w:lastRowLastColumn="0"/>
          <w:trHeight w:val="26"/>
        </w:trPr>
        <w:tc>
          <w:tcPr>
            <w:tcW w:w="2495" w:type="pct"/>
            <w:tcBorders>
              <w:bottom w:val="none" w:sz="0" w:space="0" w:color="auto"/>
            </w:tcBorders>
            <w:shd w:val="clear" w:color="auto" w:fill="auto"/>
            <w:vAlign w:val="center"/>
          </w:tcPr>
          <w:p w14:paraId="3DEE5F76" w14:textId="77777777" w:rsidR="00850345" w:rsidRPr="0086588C" w:rsidRDefault="00850345" w:rsidP="0086588C">
            <w:pPr>
              <w:spacing w:before="0" w:after="0" w:line="240" w:lineRule="auto"/>
              <w:ind w:left="317"/>
              <w:rPr>
                <w:rFonts w:eastAsia="Times New Roman" w:cstheme="minorHAnsi"/>
                <w:iCs/>
                <w:szCs w:val="17"/>
              </w:rPr>
            </w:pPr>
          </w:p>
        </w:tc>
        <w:tc>
          <w:tcPr>
            <w:tcW w:w="538" w:type="pct"/>
            <w:tcBorders>
              <w:bottom w:val="none" w:sz="0" w:space="0" w:color="auto"/>
            </w:tcBorders>
            <w:shd w:val="clear" w:color="auto" w:fill="auto"/>
          </w:tcPr>
          <w:p w14:paraId="7CD10170" w14:textId="342B43B7" w:rsidR="00850345" w:rsidRPr="00850345" w:rsidRDefault="0086588C" w:rsidP="00413702">
            <w:pPr>
              <w:spacing w:before="0" w:after="0" w:line="240" w:lineRule="auto"/>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201</w:t>
            </w:r>
            <w:r>
              <w:rPr>
                <w:rFonts w:asciiTheme="minorHAnsi" w:eastAsia="Times New Roman" w:hAnsiTheme="minorHAnsi" w:cstheme="minorHAnsi"/>
                <w:iCs/>
                <w:szCs w:val="17"/>
              </w:rPr>
              <w:t>8</w:t>
            </w:r>
            <w:r w:rsidRPr="00850345">
              <w:rPr>
                <w:rFonts w:asciiTheme="minorHAnsi" w:eastAsia="Times New Roman" w:hAnsiTheme="minorHAnsi" w:cstheme="minorHAnsi"/>
                <w:iCs/>
                <w:szCs w:val="17"/>
              </w:rPr>
              <w:t>-24</w:t>
            </w:r>
          </w:p>
        </w:tc>
        <w:tc>
          <w:tcPr>
            <w:tcW w:w="503" w:type="pct"/>
            <w:tcBorders>
              <w:top w:val="single" w:sz="2" w:space="0" w:color="65C5B4" w:themeColor="accent1"/>
            </w:tcBorders>
            <w:shd w:val="clear" w:color="auto" w:fill="auto"/>
          </w:tcPr>
          <w:p w14:paraId="79312224"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2020</w:t>
            </w:r>
          </w:p>
        </w:tc>
        <w:tc>
          <w:tcPr>
            <w:tcW w:w="466" w:type="pct"/>
            <w:tcBorders>
              <w:top w:val="single" w:sz="2" w:space="0" w:color="65C5B4" w:themeColor="accent1"/>
            </w:tcBorders>
            <w:shd w:val="clear" w:color="auto" w:fill="auto"/>
            <w:noWrap/>
          </w:tcPr>
          <w:p w14:paraId="6CF7B40A"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c>
          <w:tcPr>
            <w:tcW w:w="466" w:type="pct"/>
            <w:tcBorders>
              <w:top w:val="single" w:sz="2" w:space="0" w:color="65C5B4" w:themeColor="accent1"/>
            </w:tcBorders>
            <w:shd w:val="clear" w:color="auto" w:fill="auto"/>
            <w:noWrap/>
          </w:tcPr>
          <w:p w14:paraId="75C2D24D"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c>
          <w:tcPr>
            <w:tcW w:w="429" w:type="pct"/>
            <w:tcBorders>
              <w:top w:val="single" w:sz="2" w:space="0" w:color="65C5B4" w:themeColor="accent1"/>
            </w:tcBorders>
            <w:shd w:val="clear" w:color="auto" w:fill="auto"/>
            <w:noWrap/>
          </w:tcPr>
          <w:p w14:paraId="4E0AB8C0"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r>
      <w:tr w:rsidR="00CE2498" w:rsidRPr="00812509" w14:paraId="50331651" w14:textId="77777777" w:rsidTr="00425C6B">
        <w:trPr>
          <w:cnfStyle w:val="100000000000" w:firstRow="1" w:lastRow="0" w:firstColumn="0" w:lastColumn="0" w:oddVBand="0" w:evenVBand="0" w:oddHBand="0" w:evenHBand="0" w:firstRowFirstColumn="0" w:firstRowLastColumn="0" w:lastRowFirstColumn="0" w:lastRowLastColumn="0"/>
          <w:trHeight w:val="26"/>
        </w:trPr>
        <w:tc>
          <w:tcPr>
            <w:tcW w:w="2495" w:type="pct"/>
            <w:tcBorders>
              <w:top w:val="single" w:sz="2" w:space="0" w:color="65C5B4" w:themeColor="accent1"/>
            </w:tcBorders>
            <w:shd w:val="clear" w:color="auto" w:fill="auto"/>
            <w:vAlign w:val="center"/>
          </w:tcPr>
          <w:p w14:paraId="20E4D919" w14:textId="77777777" w:rsidR="00850345" w:rsidRPr="00973420" w:rsidRDefault="00850345" w:rsidP="00973420">
            <w:pPr>
              <w:spacing w:before="0" w:after="0" w:line="240" w:lineRule="auto"/>
              <w:ind w:left="-8"/>
              <w:rPr>
                <w:rFonts w:asciiTheme="minorHAnsi" w:eastAsia="Times New Roman" w:hAnsiTheme="minorHAnsi" w:cstheme="minorHAnsi"/>
                <w:iCs/>
                <w:szCs w:val="17"/>
              </w:rPr>
            </w:pPr>
            <w:r w:rsidRPr="00973420">
              <w:rPr>
                <w:rFonts w:asciiTheme="minorHAnsi" w:eastAsia="Times New Roman" w:hAnsiTheme="minorHAnsi" w:cstheme="minorHAnsi"/>
                <w:iCs/>
                <w:szCs w:val="17"/>
              </w:rPr>
              <w:t xml:space="preserve">INM655: </w:t>
            </w:r>
            <w:proofErr w:type="spellStart"/>
            <w:r w:rsidRPr="00973420">
              <w:rPr>
                <w:rFonts w:asciiTheme="minorHAnsi" w:eastAsia="Times New Roman" w:hAnsiTheme="minorHAnsi" w:cstheme="minorHAnsi"/>
                <w:iCs/>
                <w:szCs w:val="17"/>
              </w:rPr>
              <w:t>SaferKidsPH</w:t>
            </w:r>
            <w:proofErr w:type="spellEnd"/>
          </w:p>
        </w:tc>
        <w:tc>
          <w:tcPr>
            <w:tcW w:w="538" w:type="pct"/>
            <w:tcBorders>
              <w:top w:val="single" w:sz="2" w:space="0" w:color="65C5B4" w:themeColor="accent1"/>
            </w:tcBorders>
            <w:shd w:val="clear" w:color="auto" w:fill="auto"/>
          </w:tcPr>
          <w:p w14:paraId="10020997" w14:textId="0336354E" w:rsidR="00850345" w:rsidRPr="00850345" w:rsidRDefault="00850345" w:rsidP="0086588C">
            <w:pPr>
              <w:spacing w:before="0" w:after="0" w:line="240" w:lineRule="auto"/>
              <w:contextualSpacing/>
              <w:jc w:val="center"/>
              <w:rPr>
                <w:rFonts w:asciiTheme="minorHAnsi" w:hAnsiTheme="minorHAnsi" w:cstheme="minorHAnsi"/>
                <w:szCs w:val="17"/>
              </w:rPr>
            </w:pPr>
            <w:r w:rsidRPr="00850345">
              <w:rPr>
                <w:rFonts w:asciiTheme="minorHAnsi" w:eastAsia="Times New Roman" w:hAnsiTheme="minorHAnsi" w:cstheme="minorHAnsi"/>
                <w:iCs/>
                <w:szCs w:val="17"/>
              </w:rPr>
              <w:t>$8m</w:t>
            </w:r>
          </w:p>
        </w:tc>
        <w:tc>
          <w:tcPr>
            <w:tcW w:w="503" w:type="pct"/>
            <w:tcBorders>
              <w:top w:val="single" w:sz="2" w:space="0" w:color="65C5B4" w:themeColor="accent1"/>
            </w:tcBorders>
            <w:shd w:val="clear" w:color="auto" w:fill="auto"/>
          </w:tcPr>
          <w:p w14:paraId="39369E47"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2019</w:t>
            </w:r>
          </w:p>
        </w:tc>
        <w:tc>
          <w:tcPr>
            <w:tcW w:w="466" w:type="pct"/>
            <w:tcBorders>
              <w:top w:val="single" w:sz="2" w:space="0" w:color="65C5B4" w:themeColor="accent1"/>
            </w:tcBorders>
            <w:shd w:val="clear" w:color="auto" w:fill="auto"/>
            <w:noWrap/>
          </w:tcPr>
          <w:p w14:paraId="7F62DB03"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n/a</w:t>
            </w:r>
          </w:p>
        </w:tc>
        <w:tc>
          <w:tcPr>
            <w:tcW w:w="466" w:type="pct"/>
            <w:tcBorders>
              <w:top w:val="single" w:sz="2" w:space="0" w:color="65C5B4" w:themeColor="accent1"/>
            </w:tcBorders>
            <w:shd w:val="clear" w:color="auto" w:fill="auto"/>
            <w:noWrap/>
          </w:tcPr>
          <w:p w14:paraId="0E78FE66"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n/a</w:t>
            </w:r>
          </w:p>
        </w:tc>
        <w:tc>
          <w:tcPr>
            <w:tcW w:w="429" w:type="pct"/>
            <w:tcBorders>
              <w:top w:val="single" w:sz="2" w:space="0" w:color="65C5B4" w:themeColor="accent1"/>
            </w:tcBorders>
            <w:shd w:val="clear" w:color="auto" w:fill="auto"/>
            <w:noWrap/>
          </w:tcPr>
          <w:p w14:paraId="52C44FB8"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n/a</w:t>
            </w:r>
          </w:p>
        </w:tc>
      </w:tr>
      <w:tr w:rsidR="00CE2498" w:rsidRPr="00812509" w14:paraId="6CC1585F" w14:textId="77777777" w:rsidTr="0086588C">
        <w:trPr>
          <w:cnfStyle w:val="100000000000" w:firstRow="1" w:lastRow="0" w:firstColumn="0" w:lastColumn="0" w:oddVBand="0" w:evenVBand="0" w:oddHBand="0" w:evenHBand="0" w:firstRowFirstColumn="0" w:firstRowLastColumn="0" w:lastRowFirstColumn="0" w:lastRowLastColumn="0"/>
          <w:trHeight w:val="120"/>
        </w:trPr>
        <w:tc>
          <w:tcPr>
            <w:tcW w:w="2495" w:type="pct"/>
            <w:tcBorders>
              <w:bottom w:val="none" w:sz="0" w:space="0" w:color="auto"/>
            </w:tcBorders>
            <w:shd w:val="clear" w:color="auto" w:fill="auto"/>
            <w:vAlign w:val="center"/>
          </w:tcPr>
          <w:p w14:paraId="52EBFE69" w14:textId="77777777" w:rsidR="00850345" w:rsidRPr="00850345" w:rsidRDefault="00850345" w:rsidP="00850345">
            <w:pPr>
              <w:spacing w:beforeLines="40" w:before="96" w:afterLines="40" w:after="96" w:line="200" w:lineRule="atLeast"/>
              <w:ind w:left="-43"/>
              <w:contextualSpacing/>
              <w:jc w:val="center"/>
              <w:rPr>
                <w:rFonts w:asciiTheme="minorHAnsi" w:eastAsia="Times New Roman" w:hAnsiTheme="minorHAnsi" w:cstheme="minorHAnsi"/>
                <w:iCs/>
                <w:szCs w:val="17"/>
              </w:rPr>
            </w:pPr>
          </w:p>
        </w:tc>
        <w:tc>
          <w:tcPr>
            <w:tcW w:w="538" w:type="pct"/>
            <w:tcBorders>
              <w:bottom w:val="none" w:sz="0" w:space="0" w:color="auto"/>
            </w:tcBorders>
            <w:shd w:val="clear" w:color="auto" w:fill="auto"/>
          </w:tcPr>
          <w:p w14:paraId="428BEBF2" w14:textId="68F7BDB8" w:rsidR="00850345" w:rsidRPr="00850345" w:rsidRDefault="0086588C"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2018-26</w:t>
            </w:r>
          </w:p>
        </w:tc>
        <w:tc>
          <w:tcPr>
            <w:tcW w:w="503" w:type="pct"/>
            <w:tcBorders>
              <w:top w:val="single" w:sz="2" w:space="0" w:color="65C5B4" w:themeColor="accent1"/>
            </w:tcBorders>
            <w:shd w:val="clear" w:color="auto" w:fill="auto"/>
          </w:tcPr>
          <w:p w14:paraId="0CE768AD"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2020</w:t>
            </w:r>
          </w:p>
        </w:tc>
        <w:tc>
          <w:tcPr>
            <w:tcW w:w="466" w:type="pct"/>
            <w:tcBorders>
              <w:top w:val="single" w:sz="2" w:space="0" w:color="65C5B4" w:themeColor="accent1"/>
            </w:tcBorders>
            <w:shd w:val="clear" w:color="auto" w:fill="auto"/>
            <w:noWrap/>
          </w:tcPr>
          <w:p w14:paraId="24A76C72"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c>
          <w:tcPr>
            <w:tcW w:w="466" w:type="pct"/>
            <w:tcBorders>
              <w:top w:val="single" w:sz="2" w:space="0" w:color="65C5B4" w:themeColor="accent1"/>
            </w:tcBorders>
            <w:shd w:val="clear" w:color="auto" w:fill="auto"/>
            <w:noWrap/>
          </w:tcPr>
          <w:p w14:paraId="45F822B6"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c>
          <w:tcPr>
            <w:tcW w:w="429" w:type="pct"/>
            <w:tcBorders>
              <w:top w:val="single" w:sz="2" w:space="0" w:color="65C5B4" w:themeColor="accent1"/>
            </w:tcBorders>
            <w:shd w:val="clear" w:color="auto" w:fill="auto"/>
            <w:noWrap/>
          </w:tcPr>
          <w:p w14:paraId="5B587D07" w14:textId="77777777" w:rsidR="00850345" w:rsidRPr="00850345" w:rsidRDefault="00850345" w:rsidP="00850345">
            <w:pPr>
              <w:spacing w:beforeLines="40" w:before="96" w:afterLines="40" w:after="96" w:line="200" w:lineRule="atLeast"/>
              <w:contextualSpacing/>
              <w:jc w:val="center"/>
              <w:rPr>
                <w:rFonts w:asciiTheme="minorHAnsi" w:eastAsia="Times New Roman" w:hAnsiTheme="minorHAnsi" w:cstheme="minorHAnsi"/>
                <w:iCs/>
                <w:szCs w:val="17"/>
              </w:rPr>
            </w:pPr>
            <w:r w:rsidRPr="00850345">
              <w:rPr>
                <w:rFonts w:asciiTheme="minorHAnsi" w:eastAsia="Times New Roman" w:hAnsiTheme="minorHAnsi" w:cstheme="minorHAnsi"/>
                <w:iCs/>
                <w:szCs w:val="17"/>
              </w:rPr>
              <w:t>4</w:t>
            </w:r>
          </w:p>
        </w:tc>
      </w:tr>
    </w:tbl>
    <w:p w14:paraId="506824C1" w14:textId="77777777" w:rsidR="00390828" w:rsidRPr="00D03BF3" w:rsidRDefault="00390828" w:rsidP="00321934">
      <w:pPr>
        <w:pStyle w:val="Heading3"/>
        <w:spacing w:before="320"/>
        <w:rPr>
          <w:rFonts w:eastAsia="Times New Roman"/>
        </w:rPr>
      </w:pPr>
      <w:r w:rsidRPr="00D03BF3">
        <w:rPr>
          <w:rFonts w:eastAsia="Times New Roman"/>
        </w:rPr>
        <w:t>H</w:t>
      </w:r>
      <w:r>
        <w:rPr>
          <w:rFonts w:eastAsia="Times New Roman"/>
        </w:rPr>
        <w:t xml:space="preserve">umanitarian </w:t>
      </w:r>
      <w:r w:rsidR="00B927C4">
        <w:rPr>
          <w:rFonts w:eastAsia="Times New Roman"/>
        </w:rPr>
        <w:t>Investment Monitoring Report ratings</w:t>
      </w:r>
    </w:p>
    <w:tbl>
      <w:tblPr>
        <w:tblStyle w:val="APPR"/>
        <w:tblW w:w="5000" w:type="pct"/>
        <w:tblLook w:val="0020" w:firstRow="1" w:lastRow="0" w:firstColumn="0" w:lastColumn="0" w:noHBand="0" w:noVBand="0"/>
      </w:tblPr>
      <w:tblGrid>
        <w:gridCol w:w="5076"/>
        <w:gridCol w:w="1115"/>
        <w:gridCol w:w="463"/>
        <w:gridCol w:w="463"/>
        <w:gridCol w:w="530"/>
        <w:gridCol w:w="463"/>
        <w:gridCol w:w="547"/>
        <w:gridCol w:w="504"/>
        <w:gridCol w:w="477"/>
      </w:tblGrid>
      <w:tr w:rsidR="009C7E18" w:rsidRPr="00812509" w14:paraId="0FA9C9F2" w14:textId="77777777" w:rsidTr="00425C6B">
        <w:trPr>
          <w:cnfStyle w:val="100000000000" w:firstRow="1" w:lastRow="0" w:firstColumn="0" w:lastColumn="0" w:oddVBand="0" w:evenVBand="0" w:oddHBand="0" w:evenHBand="0" w:firstRowFirstColumn="0" w:firstRowLastColumn="0" w:lastRowFirstColumn="0" w:lastRowLastColumn="0"/>
          <w:trHeight w:val="1070"/>
        </w:trPr>
        <w:tc>
          <w:tcPr>
            <w:tcW w:w="2616" w:type="pct"/>
            <w:shd w:val="clear" w:color="auto" w:fill="auto"/>
          </w:tcPr>
          <w:p w14:paraId="4656DDD9" w14:textId="06FD7E1A" w:rsidR="00413702" w:rsidRPr="00E527D1" w:rsidRDefault="00E527D1" w:rsidP="00413702">
            <w:pPr>
              <w:suppressAutoHyphens w:val="0"/>
              <w:spacing w:before="0" w:after="0" w:line="240" w:lineRule="auto"/>
              <w:rPr>
                <w:rFonts w:asciiTheme="minorHAnsi" w:eastAsia="Times New Roman" w:hAnsiTheme="minorHAnsi" w:cstheme="minorHAnsi"/>
                <w:b w:val="0"/>
                <w:iCs/>
                <w:szCs w:val="17"/>
              </w:rPr>
            </w:pPr>
            <w:r w:rsidRPr="00E527D1">
              <w:rPr>
                <w:rFonts w:asciiTheme="minorHAnsi" w:eastAsia="Times New Roman" w:hAnsiTheme="minorHAnsi" w:cstheme="minorHAnsi"/>
                <w:iCs/>
                <w:szCs w:val="17"/>
              </w:rPr>
              <w:t>Investment name</w:t>
            </w:r>
          </w:p>
        </w:tc>
        <w:tc>
          <w:tcPr>
            <w:tcW w:w="569" w:type="pct"/>
            <w:textDirection w:val="btLr"/>
            <w:vAlign w:val="center"/>
          </w:tcPr>
          <w:p w14:paraId="0D89B097" w14:textId="77777777" w:rsidR="00413702" w:rsidRPr="00812509" w:rsidRDefault="00413702" w:rsidP="00413702">
            <w:pPr>
              <w:keepLines/>
              <w:spacing w:before="0" w:after="0" w:line="240" w:lineRule="auto"/>
              <w:jc w:val="center"/>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210" w:type="pct"/>
            <w:noWrap/>
            <w:textDirection w:val="btLr"/>
            <w:vAlign w:val="center"/>
          </w:tcPr>
          <w:p w14:paraId="764853C3" w14:textId="77777777" w:rsidR="00413702" w:rsidRPr="00812509" w:rsidRDefault="00413702" w:rsidP="00413702">
            <w:pPr>
              <w:keepLines/>
              <w:spacing w:before="0" w:after="0" w:line="240" w:lineRule="auto"/>
              <w:jc w:val="center"/>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p>
        </w:tc>
        <w:tc>
          <w:tcPr>
            <w:tcW w:w="223" w:type="pct"/>
            <w:noWrap/>
            <w:textDirection w:val="btLr"/>
            <w:vAlign w:val="center"/>
          </w:tcPr>
          <w:p w14:paraId="4FC267E9" w14:textId="77777777" w:rsidR="00413702" w:rsidRPr="00812509" w:rsidRDefault="00413702" w:rsidP="00413702">
            <w:pPr>
              <w:keepLines/>
              <w:spacing w:before="0" w:after="0" w:line="240" w:lineRule="auto"/>
              <w:jc w:val="center"/>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265" w:type="pct"/>
            <w:noWrap/>
            <w:textDirection w:val="btLr"/>
            <w:vAlign w:val="center"/>
          </w:tcPr>
          <w:p w14:paraId="70192A16" w14:textId="77777777" w:rsidR="00413702" w:rsidRPr="00812509" w:rsidRDefault="00413702" w:rsidP="009C7E18">
            <w:pPr>
              <w:keepLines/>
              <w:spacing w:before="0" w:after="0" w:line="240" w:lineRule="auto"/>
              <w:jc w:val="center"/>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c>
          <w:tcPr>
            <w:tcW w:w="223" w:type="pct"/>
            <w:noWrap/>
            <w:textDirection w:val="btLr"/>
            <w:vAlign w:val="center"/>
          </w:tcPr>
          <w:p w14:paraId="10708309" w14:textId="77777777" w:rsidR="00413702" w:rsidRPr="00812509" w:rsidRDefault="00413702" w:rsidP="009C7E18">
            <w:pPr>
              <w:keepLines/>
              <w:spacing w:before="0" w:after="0" w:line="240" w:lineRule="auto"/>
              <w:jc w:val="center"/>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Relevance</w:t>
            </w:r>
          </w:p>
        </w:tc>
        <w:tc>
          <w:tcPr>
            <w:tcW w:w="274" w:type="pct"/>
            <w:noWrap/>
            <w:textDirection w:val="btLr"/>
          </w:tcPr>
          <w:p w14:paraId="475F9941" w14:textId="77777777" w:rsidR="00413702" w:rsidRPr="00812509" w:rsidRDefault="00413702" w:rsidP="009C7E18">
            <w:pPr>
              <w:keepLines/>
              <w:spacing w:before="0" w:after="0" w:line="240" w:lineRule="auto"/>
              <w:jc w:val="center"/>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Monitoring and Evaluation</w:t>
            </w:r>
          </w:p>
        </w:tc>
        <w:tc>
          <w:tcPr>
            <w:tcW w:w="251" w:type="pct"/>
            <w:noWrap/>
            <w:textDirection w:val="btLr"/>
            <w:vAlign w:val="center"/>
          </w:tcPr>
          <w:p w14:paraId="39873A2A" w14:textId="77777777" w:rsidR="00413702" w:rsidRPr="00812509" w:rsidRDefault="00413702" w:rsidP="00413702">
            <w:pPr>
              <w:keepLines/>
              <w:spacing w:before="0" w:after="0" w:line="240" w:lineRule="auto"/>
              <w:jc w:val="center"/>
              <w:rPr>
                <w:rFonts w:asciiTheme="minorHAnsi" w:eastAsia="Times New Roman" w:hAnsiTheme="minorHAnsi"/>
                <w:b w:val="0"/>
                <w:iCs/>
                <w:szCs w:val="17"/>
                <w:lang w:eastAsia="en-US"/>
              </w:rPr>
            </w:pPr>
            <w:r>
              <w:rPr>
                <w:rFonts w:asciiTheme="minorHAnsi" w:eastAsia="Times New Roman" w:hAnsiTheme="minorHAnsi"/>
                <w:iCs/>
                <w:szCs w:val="17"/>
                <w:lang w:eastAsia="en-US"/>
              </w:rPr>
              <w:t>Connectedness</w:t>
            </w:r>
          </w:p>
        </w:tc>
        <w:tc>
          <w:tcPr>
            <w:tcW w:w="223" w:type="pct"/>
            <w:textDirection w:val="btLr"/>
            <w:vAlign w:val="center"/>
          </w:tcPr>
          <w:p w14:paraId="13CF3826" w14:textId="77777777" w:rsidR="00413702" w:rsidRPr="00812509" w:rsidRDefault="00413702" w:rsidP="00413702">
            <w:pPr>
              <w:keepLines/>
              <w:spacing w:before="0" w:after="0" w:line="240" w:lineRule="auto"/>
              <w:jc w:val="center"/>
              <w:rPr>
                <w:rFonts w:asciiTheme="minorHAnsi" w:eastAsia="Times New Roman" w:hAnsiTheme="minorHAnsi"/>
                <w:b w:val="0"/>
                <w:iCs/>
                <w:szCs w:val="17"/>
                <w:lang w:eastAsia="en-US"/>
              </w:rPr>
            </w:pPr>
            <w:r>
              <w:rPr>
                <w:rFonts w:asciiTheme="minorHAnsi" w:eastAsia="Times New Roman" w:hAnsiTheme="minorHAnsi"/>
                <w:iCs/>
                <w:szCs w:val="17"/>
                <w:lang w:eastAsia="en-US"/>
              </w:rPr>
              <w:t>Protection</w:t>
            </w:r>
          </w:p>
        </w:tc>
      </w:tr>
      <w:tr w:rsidR="009C7E18" w:rsidRPr="00812509" w14:paraId="0B49C0F9" w14:textId="77777777" w:rsidTr="00425C6B">
        <w:trPr>
          <w:cnfStyle w:val="100000000000" w:firstRow="1" w:lastRow="0" w:firstColumn="0" w:lastColumn="0" w:oddVBand="0" w:evenVBand="0" w:oddHBand="0" w:evenHBand="0" w:firstRowFirstColumn="0" w:firstRowLastColumn="0" w:lastRowFirstColumn="0" w:lastRowLastColumn="0"/>
          <w:trHeight w:val="284"/>
        </w:trPr>
        <w:tc>
          <w:tcPr>
            <w:tcW w:w="2616" w:type="pct"/>
            <w:tcBorders>
              <w:top w:val="single" w:sz="2" w:space="0" w:color="65C5B4" w:themeColor="accent1"/>
            </w:tcBorders>
            <w:shd w:val="clear" w:color="auto" w:fill="auto"/>
            <w:vAlign w:val="center"/>
          </w:tcPr>
          <w:p w14:paraId="7FB50EF8" w14:textId="77777777" w:rsidR="00413702" w:rsidRPr="00973420" w:rsidRDefault="00413702" w:rsidP="00973420">
            <w:pPr>
              <w:suppressAutoHyphens w:val="0"/>
              <w:spacing w:before="0" w:after="0" w:line="240" w:lineRule="auto"/>
              <w:rPr>
                <w:rFonts w:eastAsia="Times New Roman" w:cstheme="minorHAnsi"/>
                <w:iCs/>
                <w:szCs w:val="17"/>
              </w:rPr>
            </w:pPr>
            <w:r w:rsidRPr="00973420">
              <w:rPr>
                <w:rFonts w:eastAsia="Times New Roman" w:cstheme="minorHAnsi"/>
                <w:iCs/>
                <w:szCs w:val="17"/>
              </w:rPr>
              <w:t>I</w:t>
            </w:r>
            <w:r w:rsidRPr="00973420">
              <w:rPr>
                <w:rFonts w:asciiTheme="minorHAnsi" w:eastAsia="Times New Roman" w:hAnsiTheme="minorHAnsi" w:cstheme="minorHAnsi"/>
                <w:iCs/>
                <w:szCs w:val="17"/>
              </w:rPr>
              <w:t>NM381: Response &amp; Recovery Assistance to the Philippines (RRAP)</w:t>
            </w:r>
          </w:p>
        </w:tc>
        <w:tc>
          <w:tcPr>
            <w:tcW w:w="569" w:type="pct"/>
            <w:tcBorders>
              <w:top w:val="single" w:sz="2" w:space="0" w:color="65C5B4" w:themeColor="accent1"/>
            </w:tcBorders>
            <w:shd w:val="clear" w:color="auto" w:fill="auto"/>
            <w:vAlign w:val="center"/>
          </w:tcPr>
          <w:p w14:paraId="600C39ED" w14:textId="0E5231A5" w:rsidR="00413702" w:rsidRPr="00922092" w:rsidRDefault="00413702" w:rsidP="0041370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w:t>
            </w:r>
            <w:r w:rsidR="00F83591">
              <w:rPr>
                <w:rFonts w:asciiTheme="minorHAnsi" w:eastAsia="Times New Roman" w:hAnsiTheme="minorHAnsi" w:cstheme="minorHAnsi"/>
                <w:iCs/>
                <w:szCs w:val="17"/>
              </w:rPr>
              <w:t>32</w:t>
            </w:r>
            <w:r w:rsidRPr="00922092">
              <w:rPr>
                <w:rFonts w:asciiTheme="minorHAnsi" w:eastAsia="Times New Roman" w:hAnsiTheme="minorHAnsi" w:cstheme="minorHAnsi"/>
                <w:iCs/>
                <w:szCs w:val="17"/>
              </w:rPr>
              <w:t>8m</w:t>
            </w:r>
          </w:p>
          <w:p w14:paraId="5017206C" w14:textId="02473540" w:rsidR="00413702" w:rsidRPr="00922092" w:rsidRDefault="00413702" w:rsidP="00F83591">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2017-</w:t>
            </w:r>
            <w:r w:rsidR="00F83591" w:rsidRPr="00922092">
              <w:rPr>
                <w:rFonts w:asciiTheme="minorHAnsi" w:eastAsia="Times New Roman" w:hAnsiTheme="minorHAnsi" w:cstheme="minorHAnsi"/>
                <w:iCs/>
                <w:szCs w:val="17"/>
              </w:rPr>
              <w:t>2</w:t>
            </w:r>
            <w:r w:rsidR="00F83591">
              <w:rPr>
                <w:rFonts w:asciiTheme="minorHAnsi" w:eastAsia="Times New Roman" w:hAnsiTheme="minorHAnsi" w:cstheme="minorHAnsi"/>
                <w:iCs/>
                <w:szCs w:val="17"/>
              </w:rPr>
              <w:t>4</w:t>
            </w:r>
          </w:p>
        </w:tc>
        <w:tc>
          <w:tcPr>
            <w:tcW w:w="210" w:type="pct"/>
            <w:tcBorders>
              <w:top w:val="single" w:sz="2" w:space="0" w:color="65C5B4" w:themeColor="accent1"/>
            </w:tcBorders>
            <w:shd w:val="clear" w:color="auto" w:fill="auto"/>
            <w:noWrap/>
            <w:vAlign w:val="center"/>
          </w:tcPr>
          <w:p w14:paraId="2243BB95" w14:textId="77777777" w:rsidR="00413702" w:rsidRPr="00922092" w:rsidRDefault="00413702" w:rsidP="0041370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5</w:t>
            </w:r>
          </w:p>
        </w:tc>
        <w:tc>
          <w:tcPr>
            <w:tcW w:w="223" w:type="pct"/>
            <w:tcBorders>
              <w:top w:val="single" w:sz="2" w:space="0" w:color="65C5B4" w:themeColor="accent1"/>
            </w:tcBorders>
            <w:shd w:val="clear" w:color="auto" w:fill="auto"/>
            <w:noWrap/>
            <w:vAlign w:val="center"/>
          </w:tcPr>
          <w:p w14:paraId="1B800FA2" w14:textId="77777777" w:rsidR="00413702" w:rsidRPr="00922092" w:rsidRDefault="00413702" w:rsidP="0041370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5</w:t>
            </w:r>
          </w:p>
        </w:tc>
        <w:tc>
          <w:tcPr>
            <w:tcW w:w="265" w:type="pct"/>
            <w:tcBorders>
              <w:top w:val="single" w:sz="2" w:space="0" w:color="65C5B4" w:themeColor="accent1"/>
            </w:tcBorders>
            <w:shd w:val="clear" w:color="auto" w:fill="auto"/>
            <w:noWrap/>
            <w:vAlign w:val="center"/>
          </w:tcPr>
          <w:p w14:paraId="1AE47ECA" w14:textId="77777777" w:rsidR="00413702" w:rsidRPr="00922092" w:rsidRDefault="00413702" w:rsidP="0041370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5</w:t>
            </w:r>
          </w:p>
        </w:tc>
        <w:tc>
          <w:tcPr>
            <w:tcW w:w="223" w:type="pct"/>
            <w:tcBorders>
              <w:top w:val="single" w:sz="2" w:space="0" w:color="65C5B4" w:themeColor="accent1"/>
            </w:tcBorders>
            <w:shd w:val="clear" w:color="auto" w:fill="auto"/>
            <w:noWrap/>
            <w:vAlign w:val="center"/>
          </w:tcPr>
          <w:p w14:paraId="4AE0C30E" w14:textId="77777777" w:rsidR="00413702" w:rsidRPr="00922092" w:rsidRDefault="00413702" w:rsidP="0041370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6</w:t>
            </w:r>
          </w:p>
        </w:tc>
        <w:tc>
          <w:tcPr>
            <w:tcW w:w="274" w:type="pct"/>
            <w:tcBorders>
              <w:top w:val="single" w:sz="2" w:space="0" w:color="65C5B4" w:themeColor="accent1"/>
            </w:tcBorders>
            <w:shd w:val="clear" w:color="auto" w:fill="auto"/>
            <w:noWrap/>
            <w:vAlign w:val="center"/>
          </w:tcPr>
          <w:p w14:paraId="2BA7C85A" w14:textId="77777777" w:rsidR="00413702" w:rsidRPr="00922092" w:rsidRDefault="00413702" w:rsidP="0041370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4</w:t>
            </w:r>
          </w:p>
        </w:tc>
        <w:tc>
          <w:tcPr>
            <w:tcW w:w="251" w:type="pct"/>
            <w:tcBorders>
              <w:top w:val="single" w:sz="2" w:space="0" w:color="65C5B4" w:themeColor="accent1"/>
            </w:tcBorders>
            <w:shd w:val="clear" w:color="auto" w:fill="auto"/>
            <w:noWrap/>
            <w:vAlign w:val="center"/>
          </w:tcPr>
          <w:p w14:paraId="5EBDFD7C" w14:textId="77777777" w:rsidR="00413702" w:rsidRPr="00922092" w:rsidRDefault="00413702" w:rsidP="0041370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5</w:t>
            </w:r>
          </w:p>
        </w:tc>
        <w:tc>
          <w:tcPr>
            <w:tcW w:w="223" w:type="pct"/>
            <w:tcBorders>
              <w:top w:val="single" w:sz="2" w:space="0" w:color="65C5B4" w:themeColor="accent1"/>
            </w:tcBorders>
            <w:shd w:val="clear" w:color="auto" w:fill="auto"/>
            <w:vAlign w:val="center"/>
          </w:tcPr>
          <w:p w14:paraId="39B26141" w14:textId="77777777" w:rsidR="00413702" w:rsidRPr="00922092" w:rsidRDefault="00413702" w:rsidP="00413702">
            <w:pPr>
              <w:keepLines/>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5</w:t>
            </w:r>
          </w:p>
        </w:tc>
      </w:tr>
    </w:tbl>
    <w:p w14:paraId="277CD970" w14:textId="77777777" w:rsidR="00390828" w:rsidRPr="00D03BF3" w:rsidRDefault="00390828" w:rsidP="00321934">
      <w:pPr>
        <w:pStyle w:val="Heading3"/>
        <w:spacing w:before="320"/>
      </w:pPr>
      <w:r w:rsidRPr="00D03BF3">
        <w:t xml:space="preserve">Final </w:t>
      </w:r>
      <w:r w:rsidR="00B927C4">
        <w:t xml:space="preserve">Investment Monitoring Report </w:t>
      </w:r>
      <w:r>
        <w:t xml:space="preserve">ratings </w:t>
      </w:r>
    </w:p>
    <w:tbl>
      <w:tblPr>
        <w:tblStyle w:val="APPR"/>
        <w:tblW w:w="4988" w:type="pct"/>
        <w:tblLook w:val="0020" w:firstRow="1" w:lastRow="0" w:firstColumn="0" w:lastColumn="0" w:noHBand="0" w:noVBand="0"/>
      </w:tblPr>
      <w:tblGrid>
        <w:gridCol w:w="5099"/>
        <w:gridCol w:w="998"/>
        <w:gridCol w:w="560"/>
        <w:gridCol w:w="558"/>
        <w:gridCol w:w="584"/>
        <w:gridCol w:w="547"/>
        <w:gridCol w:w="646"/>
        <w:gridCol w:w="623"/>
      </w:tblGrid>
      <w:tr w:rsidR="00CE2498" w:rsidRPr="00812509" w14:paraId="22563F18" w14:textId="77777777" w:rsidTr="00425C6B">
        <w:trPr>
          <w:cnfStyle w:val="100000000000" w:firstRow="1" w:lastRow="0" w:firstColumn="0" w:lastColumn="0" w:oddVBand="0" w:evenVBand="0" w:oddHBand="0" w:evenHBand="0" w:firstRowFirstColumn="0" w:firstRowLastColumn="0" w:lastRowFirstColumn="0" w:lastRowLastColumn="0"/>
          <w:trHeight w:val="1017"/>
        </w:trPr>
        <w:tc>
          <w:tcPr>
            <w:tcW w:w="2630" w:type="pct"/>
          </w:tcPr>
          <w:p w14:paraId="7BAE7460" w14:textId="28AB05A5" w:rsidR="00922092" w:rsidRPr="00812509" w:rsidRDefault="00922092" w:rsidP="00390828">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74624" behindDoc="0" locked="0" layoutInCell="1" allowOverlap="1" wp14:anchorId="25191B7F" wp14:editId="7B567F35">
                  <wp:simplePos x="0" y="0"/>
                  <wp:positionH relativeFrom="column">
                    <wp:posOffset>0</wp:posOffset>
                  </wp:positionH>
                  <wp:positionV relativeFrom="paragraph">
                    <wp:posOffset>0</wp:posOffset>
                  </wp:positionV>
                  <wp:extent cx="1857375" cy="228600"/>
                  <wp:effectExtent l="0" t="0" r="9525" b="0"/>
                  <wp:wrapNone/>
                  <wp:docPr id="50" name="Picture 5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27D1">
              <w:rPr>
                <w:rFonts w:asciiTheme="minorHAnsi" w:eastAsia="Times New Roman" w:hAnsiTheme="minorHAnsi"/>
                <w:iCs/>
                <w:szCs w:val="17"/>
                <w:lang w:eastAsia="en-US"/>
              </w:rPr>
              <w:t>Investment name</w:t>
            </w:r>
          </w:p>
        </w:tc>
        <w:tc>
          <w:tcPr>
            <w:tcW w:w="504" w:type="pct"/>
            <w:textDirection w:val="btLr"/>
            <w:vAlign w:val="center"/>
          </w:tcPr>
          <w:p w14:paraId="6EB38D25" w14:textId="77777777" w:rsidR="00922092" w:rsidRPr="00812509" w:rsidRDefault="00922092" w:rsidP="00922092">
            <w:pPr>
              <w:keepLines/>
              <w:spacing w:before="0" w:after="0" w:line="240" w:lineRule="auto"/>
              <w:jc w:val="center"/>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277" w:type="pct"/>
            <w:noWrap/>
            <w:textDirection w:val="btLr"/>
            <w:vAlign w:val="center"/>
          </w:tcPr>
          <w:p w14:paraId="793AB175" w14:textId="77777777" w:rsidR="00922092" w:rsidRPr="00812509" w:rsidRDefault="00922092" w:rsidP="00922092">
            <w:pPr>
              <w:keepLines/>
              <w:spacing w:before="0" w:after="0" w:line="240" w:lineRule="auto"/>
              <w:jc w:val="center"/>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p>
        </w:tc>
        <w:tc>
          <w:tcPr>
            <w:tcW w:w="276" w:type="pct"/>
            <w:noWrap/>
            <w:textDirection w:val="btLr"/>
            <w:vAlign w:val="center"/>
          </w:tcPr>
          <w:p w14:paraId="5BB6E0CB" w14:textId="77777777" w:rsidR="00922092" w:rsidRPr="00812509" w:rsidRDefault="00922092" w:rsidP="00922092">
            <w:pPr>
              <w:keepLines/>
              <w:spacing w:before="0" w:after="0" w:line="240" w:lineRule="auto"/>
              <w:jc w:val="center"/>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289" w:type="pct"/>
            <w:noWrap/>
            <w:textDirection w:val="btLr"/>
            <w:vAlign w:val="center"/>
          </w:tcPr>
          <w:p w14:paraId="11DABF5D" w14:textId="77777777" w:rsidR="00922092" w:rsidRPr="00812509" w:rsidRDefault="00922092" w:rsidP="00922092">
            <w:pPr>
              <w:keepLines/>
              <w:spacing w:before="0" w:after="0" w:line="240" w:lineRule="auto"/>
              <w:jc w:val="center"/>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c>
          <w:tcPr>
            <w:tcW w:w="270" w:type="pct"/>
            <w:noWrap/>
            <w:textDirection w:val="btLr"/>
            <w:vAlign w:val="center"/>
          </w:tcPr>
          <w:p w14:paraId="0FEC10AE" w14:textId="77777777" w:rsidR="00922092" w:rsidRPr="00812509" w:rsidRDefault="00922092" w:rsidP="00922092">
            <w:pPr>
              <w:keepLines/>
              <w:spacing w:before="0" w:after="0" w:line="240" w:lineRule="auto"/>
              <w:jc w:val="center"/>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Relevance</w:t>
            </w:r>
          </w:p>
        </w:tc>
        <w:tc>
          <w:tcPr>
            <w:tcW w:w="321" w:type="pct"/>
            <w:noWrap/>
            <w:textDirection w:val="btLr"/>
            <w:vAlign w:val="center"/>
          </w:tcPr>
          <w:p w14:paraId="6E489808" w14:textId="77777777" w:rsidR="00922092" w:rsidRPr="00812509" w:rsidRDefault="00922092" w:rsidP="00922092">
            <w:pPr>
              <w:keepLines/>
              <w:spacing w:before="0" w:after="0" w:line="240" w:lineRule="auto"/>
              <w:jc w:val="center"/>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Monitoring and Evaluation</w:t>
            </w:r>
          </w:p>
        </w:tc>
        <w:tc>
          <w:tcPr>
            <w:tcW w:w="302" w:type="pct"/>
            <w:noWrap/>
            <w:textDirection w:val="btLr"/>
            <w:vAlign w:val="center"/>
          </w:tcPr>
          <w:p w14:paraId="71FD6D47" w14:textId="77777777" w:rsidR="00922092" w:rsidRPr="00812509" w:rsidRDefault="00922092" w:rsidP="00922092">
            <w:pPr>
              <w:keepLines/>
              <w:spacing w:before="0" w:after="0" w:line="240" w:lineRule="auto"/>
              <w:jc w:val="center"/>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Sustainability</w:t>
            </w:r>
          </w:p>
        </w:tc>
      </w:tr>
      <w:tr w:rsidR="009C7E18" w:rsidRPr="00812509" w14:paraId="3BC9E513" w14:textId="77777777" w:rsidTr="00425C6B">
        <w:trPr>
          <w:cnfStyle w:val="100000000000" w:firstRow="1" w:lastRow="0" w:firstColumn="0" w:lastColumn="0" w:oddVBand="0" w:evenVBand="0" w:oddHBand="0" w:evenHBand="0" w:firstRowFirstColumn="0" w:firstRowLastColumn="0" w:lastRowFirstColumn="0" w:lastRowLastColumn="0"/>
          <w:trHeight w:val="120"/>
        </w:trPr>
        <w:tc>
          <w:tcPr>
            <w:tcW w:w="2630" w:type="pct"/>
            <w:tcBorders>
              <w:top w:val="single" w:sz="2" w:space="0" w:color="65C5B4" w:themeColor="accent1"/>
            </w:tcBorders>
            <w:shd w:val="clear" w:color="auto" w:fill="auto"/>
            <w:vAlign w:val="center"/>
          </w:tcPr>
          <w:p w14:paraId="61BF50C3" w14:textId="77777777" w:rsidR="00922092" w:rsidRPr="00973420" w:rsidRDefault="00922092" w:rsidP="00973420">
            <w:pPr>
              <w:suppressAutoHyphens w:val="0"/>
              <w:spacing w:before="0" w:after="0" w:line="240" w:lineRule="auto"/>
              <w:ind w:left="8"/>
              <w:rPr>
                <w:rFonts w:asciiTheme="minorHAnsi" w:eastAsia="Times New Roman" w:hAnsiTheme="minorHAnsi" w:cstheme="minorHAnsi"/>
                <w:iCs/>
                <w:szCs w:val="17"/>
              </w:rPr>
            </w:pPr>
            <w:r w:rsidRPr="00973420">
              <w:rPr>
                <w:rFonts w:asciiTheme="minorHAnsi" w:eastAsia="Times New Roman" w:hAnsiTheme="minorHAnsi" w:cstheme="minorHAnsi"/>
                <w:iCs/>
                <w:szCs w:val="17"/>
              </w:rPr>
              <w:t>INJ223: Basic Education Sector Transformation (BEST) Program</w:t>
            </w:r>
          </w:p>
        </w:tc>
        <w:tc>
          <w:tcPr>
            <w:tcW w:w="504" w:type="pct"/>
            <w:tcBorders>
              <w:top w:val="single" w:sz="2" w:space="0" w:color="65C5B4" w:themeColor="accent1"/>
            </w:tcBorders>
            <w:shd w:val="clear" w:color="auto" w:fill="auto"/>
            <w:vAlign w:val="center"/>
          </w:tcPr>
          <w:p w14:paraId="038A28E7"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$104.1m</w:t>
            </w:r>
          </w:p>
          <w:p w14:paraId="664FD426"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2009-19</w:t>
            </w:r>
          </w:p>
        </w:tc>
        <w:tc>
          <w:tcPr>
            <w:tcW w:w="277" w:type="pct"/>
            <w:tcBorders>
              <w:top w:val="single" w:sz="2" w:space="0" w:color="65C5B4" w:themeColor="accent1"/>
            </w:tcBorders>
            <w:shd w:val="clear" w:color="auto" w:fill="auto"/>
            <w:noWrap/>
            <w:vAlign w:val="center"/>
          </w:tcPr>
          <w:p w14:paraId="1F8A926B"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3</w:t>
            </w:r>
          </w:p>
        </w:tc>
        <w:tc>
          <w:tcPr>
            <w:tcW w:w="276" w:type="pct"/>
            <w:tcBorders>
              <w:top w:val="single" w:sz="2" w:space="0" w:color="65C5B4" w:themeColor="accent1"/>
            </w:tcBorders>
            <w:shd w:val="clear" w:color="auto" w:fill="auto"/>
            <w:noWrap/>
            <w:vAlign w:val="center"/>
          </w:tcPr>
          <w:p w14:paraId="221FD9D5"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3</w:t>
            </w:r>
          </w:p>
        </w:tc>
        <w:tc>
          <w:tcPr>
            <w:tcW w:w="289" w:type="pct"/>
            <w:tcBorders>
              <w:top w:val="single" w:sz="2" w:space="0" w:color="65C5B4" w:themeColor="accent1"/>
            </w:tcBorders>
            <w:shd w:val="clear" w:color="auto" w:fill="auto"/>
            <w:noWrap/>
            <w:vAlign w:val="center"/>
          </w:tcPr>
          <w:p w14:paraId="3AF47461"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5</w:t>
            </w:r>
          </w:p>
        </w:tc>
        <w:tc>
          <w:tcPr>
            <w:tcW w:w="270" w:type="pct"/>
            <w:tcBorders>
              <w:top w:val="single" w:sz="2" w:space="0" w:color="65C5B4" w:themeColor="accent1"/>
            </w:tcBorders>
            <w:shd w:val="clear" w:color="auto" w:fill="auto"/>
            <w:noWrap/>
            <w:vAlign w:val="center"/>
          </w:tcPr>
          <w:p w14:paraId="4F218953"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4</w:t>
            </w:r>
          </w:p>
        </w:tc>
        <w:tc>
          <w:tcPr>
            <w:tcW w:w="321" w:type="pct"/>
            <w:tcBorders>
              <w:top w:val="single" w:sz="2" w:space="0" w:color="65C5B4" w:themeColor="accent1"/>
            </w:tcBorders>
            <w:shd w:val="clear" w:color="auto" w:fill="auto"/>
            <w:noWrap/>
            <w:vAlign w:val="center"/>
          </w:tcPr>
          <w:p w14:paraId="549E180F"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2</w:t>
            </w:r>
          </w:p>
        </w:tc>
        <w:tc>
          <w:tcPr>
            <w:tcW w:w="302" w:type="pct"/>
            <w:tcBorders>
              <w:top w:val="single" w:sz="2" w:space="0" w:color="65C5B4" w:themeColor="accent1"/>
            </w:tcBorders>
            <w:shd w:val="clear" w:color="auto" w:fill="auto"/>
            <w:noWrap/>
            <w:vAlign w:val="center"/>
          </w:tcPr>
          <w:p w14:paraId="500DC84C"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4</w:t>
            </w:r>
          </w:p>
        </w:tc>
      </w:tr>
      <w:tr w:rsidR="00CE2498" w:rsidRPr="00812509" w14:paraId="22CC3CDE" w14:textId="77777777" w:rsidTr="00425C6B">
        <w:trPr>
          <w:cnfStyle w:val="100000000000" w:firstRow="1" w:lastRow="0" w:firstColumn="0" w:lastColumn="0" w:oddVBand="0" w:evenVBand="0" w:oddHBand="0" w:evenHBand="0" w:firstRowFirstColumn="0" w:firstRowLastColumn="0" w:lastRowFirstColumn="0" w:lastRowLastColumn="0"/>
          <w:trHeight w:val="26"/>
        </w:trPr>
        <w:tc>
          <w:tcPr>
            <w:tcW w:w="2630" w:type="pct"/>
            <w:tcBorders>
              <w:top w:val="single" w:sz="2" w:space="0" w:color="65C5B4" w:themeColor="accent1"/>
            </w:tcBorders>
            <w:shd w:val="clear" w:color="auto" w:fill="auto"/>
            <w:vAlign w:val="center"/>
          </w:tcPr>
          <w:p w14:paraId="4B65DF18" w14:textId="77777777" w:rsidR="00922092" w:rsidRPr="00973420" w:rsidRDefault="00922092" w:rsidP="00973420">
            <w:pPr>
              <w:suppressAutoHyphens w:val="0"/>
              <w:spacing w:before="0" w:after="0" w:line="240" w:lineRule="auto"/>
              <w:ind w:left="8"/>
              <w:rPr>
                <w:rFonts w:asciiTheme="minorHAnsi" w:eastAsia="Times New Roman" w:hAnsiTheme="minorHAnsi" w:cstheme="minorHAnsi"/>
                <w:iCs/>
                <w:szCs w:val="17"/>
              </w:rPr>
            </w:pPr>
            <w:r w:rsidRPr="00973420">
              <w:rPr>
                <w:rFonts w:asciiTheme="minorHAnsi" w:eastAsia="Times New Roman" w:hAnsiTheme="minorHAnsi" w:cstheme="minorHAnsi"/>
                <w:iCs/>
                <w:szCs w:val="17"/>
              </w:rPr>
              <w:t>ING581: Philippines Disaster and Climate Risks Management</w:t>
            </w:r>
          </w:p>
        </w:tc>
        <w:tc>
          <w:tcPr>
            <w:tcW w:w="504" w:type="pct"/>
            <w:tcBorders>
              <w:top w:val="single" w:sz="2" w:space="0" w:color="65C5B4" w:themeColor="accent1"/>
            </w:tcBorders>
            <w:shd w:val="clear" w:color="auto" w:fill="auto"/>
            <w:vAlign w:val="center"/>
          </w:tcPr>
          <w:p w14:paraId="1E2C89B7"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$18.3m</w:t>
            </w:r>
          </w:p>
          <w:p w14:paraId="2DABFDD5"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2006-20</w:t>
            </w:r>
          </w:p>
        </w:tc>
        <w:tc>
          <w:tcPr>
            <w:tcW w:w="277" w:type="pct"/>
            <w:tcBorders>
              <w:top w:val="single" w:sz="2" w:space="0" w:color="65C5B4" w:themeColor="accent1"/>
            </w:tcBorders>
            <w:shd w:val="clear" w:color="auto" w:fill="auto"/>
            <w:noWrap/>
            <w:vAlign w:val="center"/>
          </w:tcPr>
          <w:p w14:paraId="3A35B1BE"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5</w:t>
            </w:r>
          </w:p>
        </w:tc>
        <w:tc>
          <w:tcPr>
            <w:tcW w:w="276" w:type="pct"/>
            <w:tcBorders>
              <w:top w:val="single" w:sz="2" w:space="0" w:color="65C5B4" w:themeColor="accent1"/>
            </w:tcBorders>
            <w:shd w:val="clear" w:color="auto" w:fill="auto"/>
            <w:noWrap/>
            <w:vAlign w:val="center"/>
          </w:tcPr>
          <w:p w14:paraId="38F085F0"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4</w:t>
            </w:r>
          </w:p>
        </w:tc>
        <w:tc>
          <w:tcPr>
            <w:tcW w:w="289" w:type="pct"/>
            <w:tcBorders>
              <w:top w:val="single" w:sz="2" w:space="0" w:color="65C5B4" w:themeColor="accent1"/>
            </w:tcBorders>
            <w:shd w:val="clear" w:color="auto" w:fill="auto"/>
            <w:noWrap/>
            <w:vAlign w:val="center"/>
          </w:tcPr>
          <w:p w14:paraId="7E4F1FB3"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6</w:t>
            </w:r>
          </w:p>
        </w:tc>
        <w:tc>
          <w:tcPr>
            <w:tcW w:w="270" w:type="pct"/>
            <w:tcBorders>
              <w:top w:val="single" w:sz="2" w:space="0" w:color="65C5B4" w:themeColor="accent1"/>
            </w:tcBorders>
            <w:shd w:val="clear" w:color="auto" w:fill="auto"/>
            <w:noWrap/>
            <w:vAlign w:val="center"/>
          </w:tcPr>
          <w:p w14:paraId="3C801C39"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4</w:t>
            </w:r>
          </w:p>
        </w:tc>
        <w:tc>
          <w:tcPr>
            <w:tcW w:w="321" w:type="pct"/>
            <w:tcBorders>
              <w:top w:val="single" w:sz="2" w:space="0" w:color="65C5B4" w:themeColor="accent1"/>
            </w:tcBorders>
            <w:shd w:val="clear" w:color="auto" w:fill="auto"/>
            <w:noWrap/>
            <w:vAlign w:val="center"/>
          </w:tcPr>
          <w:p w14:paraId="19C79CD6"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4</w:t>
            </w:r>
          </w:p>
        </w:tc>
        <w:tc>
          <w:tcPr>
            <w:tcW w:w="302" w:type="pct"/>
            <w:tcBorders>
              <w:top w:val="single" w:sz="2" w:space="0" w:color="65C5B4" w:themeColor="accent1"/>
            </w:tcBorders>
            <w:shd w:val="clear" w:color="auto" w:fill="auto"/>
            <w:noWrap/>
            <w:vAlign w:val="center"/>
          </w:tcPr>
          <w:p w14:paraId="19D88753"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5</w:t>
            </w:r>
          </w:p>
        </w:tc>
      </w:tr>
      <w:tr w:rsidR="00CE2498" w:rsidRPr="00812509" w14:paraId="19C54FB0" w14:textId="77777777" w:rsidTr="00425C6B">
        <w:trPr>
          <w:cnfStyle w:val="100000000000" w:firstRow="1" w:lastRow="0" w:firstColumn="0" w:lastColumn="0" w:oddVBand="0" w:evenVBand="0" w:oddHBand="0" w:evenHBand="0" w:firstRowFirstColumn="0" w:firstRowLastColumn="0" w:lastRowFirstColumn="0" w:lastRowLastColumn="0"/>
          <w:trHeight w:val="284"/>
        </w:trPr>
        <w:tc>
          <w:tcPr>
            <w:tcW w:w="2630" w:type="pct"/>
            <w:tcBorders>
              <w:top w:val="single" w:sz="2" w:space="0" w:color="65C5B4" w:themeColor="accent1"/>
            </w:tcBorders>
            <w:shd w:val="clear" w:color="auto" w:fill="auto"/>
            <w:vAlign w:val="center"/>
          </w:tcPr>
          <w:p w14:paraId="1047CF97" w14:textId="77777777" w:rsidR="00922092" w:rsidRPr="00973420" w:rsidRDefault="00922092" w:rsidP="00973420">
            <w:pPr>
              <w:suppressAutoHyphens w:val="0"/>
              <w:spacing w:before="0" w:after="0" w:line="240" w:lineRule="auto"/>
              <w:ind w:left="8"/>
              <w:rPr>
                <w:rFonts w:asciiTheme="minorHAnsi" w:eastAsia="Times New Roman" w:hAnsiTheme="minorHAnsi" w:cstheme="minorHAnsi"/>
                <w:iCs/>
                <w:szCs w:val="17"/>
              </w:rPr>
            </w:pPr>
            <w:r w:rsidRPr="00973420">
              <w:rPr>
                <w:rFonts w:asciiTheme="minorHAnsi" w:eastAsia="Times New Roman" w:hAnsiTheme="minorHAnsi" w:cstheme="minorHAnsi"/>
                <w:iCs/>
                <w:szCs w:val="17"/>
              </w:rPr>
              <w:t>INL799: Social Protection and Economic Section Program Support</w:t>
            </w:r>
          </w:p>
        </w:tc>
        <w:tc>
          <w:tcPr>
            <w:tcW w:w="504" w:type="pct"/>
            <w:tcBorders>
              <w:top w:val="single" w:sz="2" w:space="0" w:color="65C5B4" w:themeColor="accent1"/>
            </w:tcBorders>
            <w:shd w:val="clear" w:color="auto" w:fill="auto"/>
            <w:vAlign w:val="center"/>
          </w:tcPr>
          <w:p w14:paraId="2DF39D83"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$10m</w:t>
            </w:r>
          </w:p>
          <w:p w14:paraId="75EE7344"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2015-20</w:t>
            </w:r>
          </w:p>
        </w:tc>
        <w:tc>
          <w:tcPr>
            <w:tcW w:w="277" w:type="pct"/>
            <w:tcBorders>
              <w:top w:val="single" w:sz="2" w:space="0" w:color="65C5B4" w:themeColor="accent1"/>
            </w:tcBorders>
            <w:shd w:val="clear" w:color="auto" w:fill="auto"/>
            <w:noWrap/>
            <w:vAlign w:val="center"/>
          </w:tcPr>
          <w:p w14:paraId="57C8FF3F" w14:textId="77777777" w:rsidR="00922092" w:rsidRPr="00922092" w:rsidRDefault="00922092" w:rsidP="00922092">
            <w:pPr>
              <w:spacing w:before="0" w:after="0" w:line="240" w:lineRule="auto"/>
              <w:ind w:right="-8"/>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4</w:t>
            </w:r>
          </w:p>
        </w:tc>
        <w:tc>
          <w:tcPr>
            <w:tcW w:w="276" w:type="pct"/>
            <w:tcBorders>
              <w:top w:val="single" w:sz="2" w:space="0" w:color="65C5B4" w:themeColor="accent1"/>
            </w:tcBorders>
            <w:shd w:val="clear" w:color="auto" w:fill="auto"/>
            <w:noWrap/>
            <w:vAlign w:val="center"/>
          </w:tcPr>
          <w:p w14:paraId="54F5045A"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3</w:t>
            </w:r>
          </w:p>
        </w:tc>
        <w:tc>
          <w:tcPr>
            <w:tcW w:w="289" w:type="pct"/>
            <w:tcBorders>
              <w:top w:val="single" w:sz="2" w:space="0" w:color="65C5B4" w:themeColor="accent1"/>
            </w:tcBorders>
            <w:shd w:val="clear" w:color="auto" w:fill="auto"/>
            <w:noWrap/>
            <w:vAlign w:val="center"/>
          </w:tcPr>
          <w:p w14:paraId="56B4E32F"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5</w:t>
            </w:r>
          </w:p>
        </w:tc>
        <w:tc>
          <w:tcPr>
            <w:tcW w:w="270" w:type="pct"/>
            <w:tcBorders>
              <w:top w:val="single" w:sz="2" w:space="0" w:color="65C5B4" w:themeColor="accent1"/>
            </w:tcBorders>
            <w:shd w:val="clear" w:color="auto" w:fill="auto"/>
            <w:noWrap/>
            <w:vAlign w:val="center"/>
          </w:tcPr>
          <w:p w14:paraId="747C70E4"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3</w:t>
            </w:r>
          </w:p>
        </w:tc>
        <w:tc>
          <w:tcPr>
            <w:tcW w:w="321" w:type="pct"/>
            <w:tcBorders>
              <w:top w:val="single" w:sz="2" w:space="0" w:color="65C5B4" w:themeColor="accent1"/>
            </w:tcBorders>
            <w:shd w:val="clear" w:color="auto" w:fill="auto"/>
            <w:noWrap/>
            <w:vAlign w:val="center"/>
          </w:tcPr>
          <w:p w14:paraId="6503CD77"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3</w:t>
            </w:r>
          </w:p>
        </w:tc>
        <w:tc>
          <w:tcPr>
            <w:tcW w:w="302" w:type="pct"/>
            <w:tcBorders>
              <w:top w:val="single" w:sz="2" w:space="0" w:color="65C5B4" w:themeColor="accent1"/>
            </w:tcBorders>
            <w:shd w:val="clear" w:color="auto" w:fill="auto"/>
            <w:noWrap/>
            <w:vAlign w:val="center"/>
          </w:tcPr>
          <w:p w14:paraId="5DEE4B22" w14:textId="77777777" w:rsidR="00922092" w:rsidRPr="00922092" w:rsidRDefault="00922092" w:rsidP="00922092">
            <w:pPr>
              <w:spacing w:before="0" w:after="0" w:line="240" w:lineRule="auto"/>
              <w:jc w:val="center"/>
              <w:rPr>
                <w:rFonts w:asciiTheme="minorHAnsi" w:eastAsia="Times New Roman" w:hAnsiTheme="minorHAnsi" w:cstheme="minorHAnsi"/>
                <w:iCs/>
                <w:szCs w:val="17"/>
              </w:rPr>
            </w:pPr>
            <w:r w:rsidRPr="00922092">
              <w:rPr>
                <w:rFonts w:asciiTheme="minorHAnsi" w:eastAsia="Times New Roman" w:hAnsiTheme="minorHAnsi" w:cstheme="minorHAnsi"/>
                <w:iCs/>
                <w:szCs w:val="17"/>
              </w:rPr>
              <w:t>4</w:t>
            </w:r>
          </w:p>
        </w:tc>
      </w:tr>
    </w:tbl>
    <w:p w14:paraId="418EE1D6" w14:textId="77777777" w:rsidR="00390828" w:rsidRPr="00812509" w:rsidRDefault="00390828" w:rsidP="001A029D">
      <w:pPr>
        <w:spacing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217AB2D9" w14:textId="77777777" w:rsidR="00390828" w:rsidRPr="00B927C4" w:rsidRDefault="00390828" w:rsidP="00390828">
      <w:pPr>
        <w:spacing w:before="20" w:after="20" w:line="180" w:lineRule="atLeast"/>
        <w:jc w:val="both"/>
        <w:rPr>
          <w:rFonts w:eastAsia="Times New Roman"/>
          <w:b/>
          <w:sz w:val="16"/>
          <w:szCs w:val="14"/>
          <w:u w:val="single"/>
        </w:rPr>
      </w:pPr>
      <w:r w:rsidRPr="00B927C4">
        <w:rPr>
          <w:rFonts w:eastAsia="Times New Roman"/>
          <w:b/>
          <w:sz w:val="16"/>
          <w:szCs w:val="14"/>
          <w:u w:val="single"/>
        </w:rPr>
        <w:t>Satisfactory (4, 5 and 6)</w:t>
      </w:r>
    </w:p>
    <w:p w14:paraId="7B2BFC14"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6 = Very good; satisfies criteria in all areas.  5 = Good; satisfies criteria in almost all areas.</w:t>
      </w:r>
    </w:p>
    <w:p w14:paraId="617295E2"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4 = Adequate; on balance, satisfies criteria; does not fail in any major area.</w:t>
      </w:r>
    </w:p>
    <w:p w14:paraId="03ECDA71" w14:textId="77777777" w:rsidR="00390828" w:rsidRPr="00B927C4" w:rsidRDefault="00390828" w:rsidP="00390828">
      <w:pPr>
        <w:spacing w:before="20" w:after="20" w:line="180" w:lineRule="atLeast"/>
        <w:rPr>
          <w:rFonts w:eastAsia="Times New Roman"/>
          <w:b/>
          <w:sz w:val="16"/>
          <w:szCs w:val="14"/>
          <w:u w:val="single"/>
        </w:rPr>
      </w:pPr>
      <w:r w:rsidRPr="00B927C4">
        <w:rPr>
          <w:rFonts w:eastAsia="Times New Roman"/>
          <w:b/>
          <w:sz w:val="16"/>
          <w:szCs w:val="14"/>
          <w:u w:val="single"/>
        </w:rPr>
        <w:lastRenderedPageBreak/>
        <w:t>Less than satisfactory (1, 2 and 3)</w:t>
      </w:r>
    </w:p>
    <w:p w14:paraId="3084E4A3" w14:textId="4954C86D"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3 = Less than adequate; on balance does not satisfy criteria and/or fails in at least one major area.</w:t>
      </w:r>
    </w:p>
    <w:p w14:paraId="754414E8" w14:textId="5499E586" w:rsidR="00390828" w:rsidRPr="00812509" w:rsidRDefault="00390828" w:rsidP="00390828">
      <w:pPr>
        <w:spacing w:before="20" w:after="20" w:line="180" w:lineRule="atLeast"/>
        <w:rPr>
          <w:sz w:val="24"/>
        </w:rPr>
      </w:pPr>
      <w:r w:rsidRPr="00812509">
        <w:rPr>
          <w:rFonts w:eastAsia="Times New Roman"/>
          <w:b/>
          <w:sz w:val="16"/>
          <w:szCs w:val="14"/>
        </w:rPr>
        <w:t>2 = Poor; does not satisfy criteria in major areas.  1 = Very poor; does not satisfy criteria in many major area.</w:t>
      </w:r>
    </w:p>
    <w:sectPr w:rsidR="00390828" w:rsidRPr="00812509" w:rsidSect="00EC3C2D">
      <w:headerReference w:type="even" r:id="rId19"/>
      <w:headerReference w:type="default" r:id="rId20"/>
      <w:headerReference w:type="first" r:id="rId21"/>
      <w:footerReference w:type="first" r:id="rId22"/>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353CE" w14:textId="77777777" w:rsidR="00A37772" w:rsidRDefault="00A37772" w:rsidP="00D37B04">
      <w:r>
        <w:separator/>
      </w:r>
    </w:p>
  </w:endnote>
  <w:endnote w:type="continuationSeparator" w:id="0">
    <w:p w14:paraId="730FB51A" w14:textId="77777777" w:rsidR="00A37772" w:rsidRDefault="00A37772"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A7FC1" w14:textId="77777777" w:rsidR="00230777" w:rsidRPr="00FC322F" w:rsidRDefault="00230777" w:rsidP="00FC322F">
    <w:pPr>
      <w:pStyle w:val="Footer"/>
      <w:rPr>
        <w:b/>
      </w:rPr>
    </w:pPr>
    <w:r w:rsidRPr="00FC322F">
      <w:rPr>
        <w:b/>
        <w:noProof/>
        <w:lang w:val="en-AU" w:eastAsia="en-AU"/>
      </w:rPr>
      <w:drawing>
        <wp:inline distT="0" distB="0" distL="0" distR="0" wp14:anchorId="50DDAB6F" wp14:editId="6306AB32">
          <wp:extent cx="108000" cy="87480"/>
          <wp:effectExtent l="0" t="0" r="6350" b="8255"/>
          <wp:docPr id="3" name="Picture 3"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617898"/>
      <w:docPartObj>
        <w:docPartGallery w:val="Page Numbers (Bottom of Page)"/>
        <w:docPartUnique/>
      </w:docPartObj>
    </w:sdtPr>
    <w:sdtEndPr>
      <w:rPr>
        <w:noProof/>
      </w:rPr>
    </w:sdtEndPr>
    <w:sdtContent>
      <w:p w14:paraId="5BAD912A" w14:textId="1A85ABD6" w:rsidR="00541DEA" w:rsidRDefault="00541DEA">
        <w:pPr>
          <w:pStyle w:val="Footer"/>
          <w:jc w:val="center"/>
        </w:pPr>
        <w:r>
          <w:fldChar w:fldCharType="begin"/>
        </w:r>
        <w:r>
          <w:instrText xml:space="preserve"> PAGE   \* MERGEFORMAT </w:instrText>
        </w:r>
        <w:r>
          <w:fldChar w:fldCharType="separate"/>
        </w:r>
        <w:r w:rsidR="00C03074">
          <w:rPr>
            <w:noProof/>
          </w:rPr>
          <w:t>1</w:t>
        </w:r>
        <w:r>
          <w:rPr>
            <w:noProof/>
          </w:rPr>
          <w:fldChar w:fldCharType="end"/>
        </w:r>
      </w:p>
    </w:sdtContent>
  </w:sdt>
  <w:p w14:paraId="2B0CE116" w14:textId="6A0EFA84" w:rsidR="00230777" w:rsidRPr="00FC322F" w:rsidRDefault="00230777" w:rsidP="0023735F">
    <w:pPr>
      <w:pStyle w:val="Footer"/>
      <w:ind w:left="709"/>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498336"/>
      <w:docPartObj>
        <w:docPartGallery w:val="Page Numbers (Bottom of Page)"/>
        <w:docPartUnique/>
      </w:docPartObj>
    </w:sdtPr>
    <w:sdtEndPr>
      <w:rPr>
        <w:noProof/>
      </w:rPr>
    </w:sdtEndPr>
    <w:sdtContent>
      <w:p w14:paraId="7FD9C481" w14:textId="3AC85BFA" w:rsidR="00541DEA" w:rsidRDefault="00541DEA">
        <w:pPr>
          <w:pStyle w:val="Footer"/>
          <w:jc w:val="center"/>
        </w:pPr>
        <w:r>
          <w:fldChar w:fldCharType="begin"/>
        </w:r>
        <w:r>
          <w:instrText xml:space="preserve"> PAGE   \* MERGEFORMAT </w:instrText>
        </w:r>
        <w:r>
          <w:fldChar w:fldCharType="separate"/>
        </w:r>
        <w:r w:rsidR="00C03074">
          <w:rPr>
            <w:noProof/>
          </w:rPr>
          <w:t>2</w:t>
        </w:r>
        <w:r>
          <w:rPr>
            <w:noProof/>
          </w:rPr>
          <w:fldChar w:fldCharType="end"/>
        </w:r>
      </w:p>
    </w:sdtContent>
  </w:sdt>
  <w:p w14:paraId="09F3F153" w14:textId="5C1A8128" w:rsidR="00FC322F" w:rsidRPr="00FC322F" w:rsidRDefault="00FC322F"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7E4D" w14:textId="77777777" w:rsidR="00FC322F" w:rsidRPr="00FC322F" w:rsidRDefault="00FC322F" w:rsidP="00FC322F">
    <w:pPr>
      <w:pStyle w:val="Footer"/>
      <w:rPr>
        <w:b/>
      </w:rPr>
    </w:pPr>
    <w:r w:rsidRPr="00FC322F">
      <w:rPr>
        <w:b/>
        <w:noProof/>
        <w:lang w:val="en-AU" w:eastAsia="en-AU"/>
      </w:rPr>
      <w:drawing>
        <wp:inline distT="0" distB="0" distL="0" distR="0" wp14:anchorId="1BD381D5" wp14:editId="1C288FF0">
          <wp:extent cx="108000" cy="87480"/>
          <wp:effectExtent l="0" t="0" r="6350" b="8255"/>
          <wp:docPr id="49" name="Picture 49"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9704449"/>
      <w:docPartObj>
        <w:docPartGallery w:val="Page Numbers (Bottom of Page)"/>
        <w:docPartUnique/>
      </w:docPartObj>
    </w:sdtPr>
    <w:sdtEndPr>
      <w:rPr>
        <w:noProof/>
      </w:rPr>
    </w:sdtEndPr>
    <w:sdtContent>
      <w:p w14:paraId="6488E682" w14:textId="06E296CD" w:rsidR="00541DEA" w:rsidRDefault="00541DEA">
        <w:pPr>
          <w:pStyle w:val="Footer"/>
          <w:jc w:val="center"/>
        </w:pPr>
        <w:r>
          <w:fldChar w:fldCharType="begin"/>
        </w:r>
        <w:r>
          <w:instrText xml:space="preserve"> PAGE   \* MERGEFORMAT </w:instrText>
        </w:r>
        <w:r>
          <w:fldChar w:fldCharType="separate"/>
        </w:r>
        <w:r w:rsidR="00C03074">
          <w:rPr>
            <w:noProof/>
          </w:rPr>
          <w:t>3</w:t>
        </w:r>
        <w:r>
          <w:rPr>
            <w:noProof/>
          </w:rPr>
          <w:fldChar w:fldCharType="end"/>
        </w:r>
      </w:p>
    </w:sdtContent>
  </w:sdt>
  <w:p w14:paraId="3500D72F" w14:textId="05E60636" w:rsidR="00B637DD" w:rsidRPr="00EC3C2D" w:rsidRDefault="00B637DD"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CD73B" w14:textId="77777777" w:rsidR="00A37772" w:rsidRPr="008C5A0E" w:rsidRDefault="00A37772" w:rsidP="00D37B04">
      <w:pPr>
        <w:pStyle w:val="Footer"/>
      </w:pPr>
    </w:p>
  </w:footnote>
  <w:footnote w:type="continuationSeparator" w:id="0">
    <w:p w14:paraId="4A07216B" w14:textId="77777777" w:rsidR="00A37772" w:rsidRDefault="00A37772"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CBFED" w14:textId="77777777" w:rsidR="00230777" w:rsidRPr="000854FD" w:rsidRDefault="00230777" w:rsidP="002D5B25">
    <w:pPr>
      <w:pStyle w:val="Header"/>
    </w:pPr>
    <w:r w:rsidRPr="00943730">
      <w:rPr>
        <w:noProof/>
        <w:lang w:val="en-AU" w:eastAsia="en-AU"/>
      </w:rPr>
      <w:drawing>
        <wp:anchor distT="0" distB="0" distL="114300" distR="114300" simplePos="0" relativeHeight="251658240" behindDoc="1" locked="1" layoutInCell="1" allowOverlap="1" wp14:anchorId="621C9F8D" wp14:editId="405B12CF">
          <wp:simplePos x="0" y="0"/>
          <wp:positionH relativeFrom="page">
            <wp:posOffset>12700</wp:posOffset>
          </wp:positionH>
          <wp:positionV relativeFrom="page">
            <wp:posOffset>0</wp:posOffset>
          </wp:positionV>
          <wp:extent cx="7559040" cy="1069276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844C1" w14:textId="2431787B" w:rsidR="00230777" w:rsidRPr="00943730" w:rsidRDefault="00230777" w:rsidP="0090092E">
    <w:pPr>
      <w:pStyle w:val="Header"/>
      <w:ind w:left="0"/>
    </w:pPr>
    <w:r w:rsidRPr="00252C04">
      <w:rPr>
        <w:noProof/>
        <w:lang w:val="en-AU" w:eastAsia="en-AU"/>
      </w:rPr>
      <w:drawing>
        <wp:anchor distT="0" distB="0" distL="114300" distR="114300" simplePos="0" relativeHeight="251659264" behindDoc="1" locked="1" layoutInCell="1" allowOverlap="1" wp14:anchorId="11E29042" wp14:editId="00ED611A">
          <wp:simplePos x="0" y="0"/>
          <wp:positionH relativeFrom="page">
            <wp:posOffset>5699125</wp:posOffset>
          </wp:positionH>
          <wp:positionV relativeFrom="topMargin">
            <wp:align>bottom</wp:align>
          </wp:positionV>
          <wp:extent cx="1115060" cy="512445"/>
          <wp:effectExtent l="0" t="0" r="889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0BF01ED1" wp14:editId="2DB2C404">
          <wp:simplePos x="0" y="0"/>
          <wp:positionH relativeFrom="page">
            <wp:posOffset>713740</wp:posOffset>
          </wp:positionH>
          <wp:positionV relativeFrom="topMargin">
            <wp:align>bottom</wp:align>
          </wp:positionV>
          <wp:extent cx="3166745" cy="55435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0A7460DF" wp14:editId="3E168F51">
          <wp:simplePos x="0" y="0"/>
          <wp:positionH relativeFrom="page">
            <wp:posOffset>-6350</wp:posOffset>
          </wp:positionH>
          <wp:positionV relativeFrom="page">
            <wp:posOffset>-12700</wp:posOffset>
          </wp:positionV>
          <wp:extent cx="7559040" cy="10692130"/>
          <wp:effectExtent l="0" t="0" r="381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5EBBF" w14:textId="77777777" w:rsidR="002D5B25" w:rsidRPr="000854FD" w:rsidRDefault="002D5B25" w:rsidP="002D5B25">
    <w:pPr>
      <w:pStyle w:val="Header"/>
    </w:pPr>
    <w:r w:rsidRPr="00943730">
      <w:rPr>
        <w:noProof/>
        <w:lang w:val="en-AU" w:eastAsia="en-AU"/>
      </w:rPr>
      <w:drawing>
        <wp:anchor distT="0" distB="0" distL="114300" distR="114300" simplePos="0" relativeHeight="251654144" behindDoc="1" locked="1" layoutInCell="1" allowOverlap="1" wp14:anchorId="5283F5EC" wp14:editId="7693BAB6">
          <wp:simplePos x="0" y="0"/>
          <wp:positionH relativeFrom="page">
            <wp:posOffset>2540</wp:posOffset>
          </wp:positionH>
          <wp:positionV relativeFrom="page">
            <wp:posOffset>0</wp:posOffset>
          </wp:positionV>
          <wp:extent cx="7559040" cy="10692765"/>
          <wp:effectExtent l="0" t="0" r="3810" b="0"/>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80776" w14:textId="3E014CE6"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86588C">
      <w:rPr>
        <w:noProof/>
      </w:rPr>
      <w:t>November 2020</w:t>
    </w:r>
    <w:r w:rsidRPr="00943730">
      <w:fldChar w:fldCharType="end"/>
    </w:r>
    <w:r w:rsidR="00252C04" w:rsidRPr="00252C04">
      <w:rPr>
        <w:noProof/>
        <w:lang w:val="en-AU" w:eastAsia="en-AU"/>
      </w:rPr>
      <w:drawing>
        <wp:anchor distT="0" distB="0" distL="114300" distR="114300" simplePos="0" relativeHeight="251655168" behindDoc="1" locked="1" layoutInCell="1" allowOverlap="1" wp14:anchorId="184EA31E" wp14:editId="0284EECF">
          <wp:simplePos x="0" y="0"/>
          <wp:positionH relativeFrom="page">
            <wp:posOffset>5724525</wp:posOffset>
          </wp:positionH>
          <wp:positionV relativeFrom="page">
            <wp:posOffset>720090</wp:posOffset>
          </wp:positionV>
          <wp:extent cx="1115060" cy="512445"/>
          <wp:effectExtent l="0" t="0" r="8890" b="1905"/>
          <wp:wrapNone/>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3120" behindDoc="1" locked="1" layoutInCell="1" allowOverlap="1" wp14:anchorId="434DA655" wp14:editId="3F13D308">
          <wp:simplePos x="0" y="0"/>
          <wp:positionH relativeFrom="page">
            <wp:posOffset>720090</wp:posOffset>
          </wp:positionH>
          <wp:positionV relativeFrom="page">
            <wp:posOffset>683895</wp:posOffset>
          </wp:positionV>
          <wp:extent cx="3166745" cy="554355"/>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2096" behindDoc="1" locked="1" layoutInCell="1" allowOverlap="1" wp14:anchorId="47D25AC5" wp14:editId="40CA24DC">
          <wp:simplePos x="0" y="0"/>
          <wp:positionH relativeFrom="page">
            <wp:posOffset>12700</wp:posOffset>
          </wp:positionH>
          <wp:positionV relativeFrom="page">
            <wp:posOffset>-69850</wp:posOffset>
          </wp:positionV>
          <wp:extent cx="10585450" cy="10692130"/>
          <wp:effectExtent l="0" t="0" r="6350" b="0"/>
          <wp:wrapNone/>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05854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4F18" w14:textId="77777777" w:rsidR="00494F98" w:rsidRPr="000854FD" w:rsidRDefault="00494F98" w:rsidP="002D5B25">
    <w:pPr>
      <w:pStyle w:val="Header"/>
    </w:pPr>
    <w:r w:rsidRPr="00943730">
      <w:rPr>
        <w:noProof/>
        <w:lang w:val="en-AU" w:eastAsia="en-AU"/>
      </w:rPr>
      <w:drawing>
        <wp:anchor distT="0" distB="0" distL="114300" distR="114300" simplePos="0" relativeHeight="251662336" behindDoc="1" locked="1" layoutInCell="1" allowOverlap="1" wp14:anchorId="5B26AF92" wp14:editId="25F4E577">
          <wp:simplePos x="0" y="0"/>
          <wp:positionH relativeFrom="page">
            <wp:posOffset>-1270</wp:posOffset>
          </wp:positionH>
          <wp:positionV relativeFrom="page">
            <wp:posOffset>0</wp:posOffset>
          </wp:positionV>
          <wp:extent cx="7559040" cy="10692765"/>
          <wp:effectExtent l="0" t="0" r="381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4EAAD" w14:textId="77777777" w:rsidR="00B637DD" w:rsidRDefault="00B637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18B9" w14:textId="77777777" w:rsidR="00B637DD" w:rsidRPr="00333501" w:rsidRDefault="00B637DD" w:rsidP="008F56A8">
    <w:pPr>
      <w:pStyle w:val="Header"/>
    </w:pPr>
    <w:r>
      <w:rPr>
        <w:noProof/>
        <w:lang w:val="en-AU" w:eastAsia="en-AU"/>
      </w:rPr>
      <w:drawing>
        <wp:anchor distT="0" distB="0" distL="114300" distR="114300" simplePos="0" relativeHeight="251661312" behindDoc="1" locked="1" layoutInCell="1" allowOverlap="1" wp14:anchorId="511FB538" wp14:editId="28475114">
          <wp:simplePos x="0" y="0"/>
          <wp:positionH relativeFrom="page">
            <wp:align>left</wp:align>
          </wp:positionH>
          <wp:positionV relativeFrom="page">
            <wp:posOffset>9525</wp:posOffset>
          </wp:positionV>
          <wp:extent cx="7548245" cy="10672445"/>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245" cy="1067244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E83D5" w14:textId="77777777" w:rsidR="00B637DD" w:rsidRPr="003D352D" w:rsidRDefault="00B637DD" w:rsidP="003D352D">
    <w:pPr>
      <w:pStyle w:val="Header"/>
    </w:pPr>
    <w:r>
      <w:rPr>
        <w:noProof/>
        <w:lang w:val="en-AU" w:eastAsia="en-AU"/>
      </w:rPr>
      <w:drawing>
        <wp:anchor distT="0" distB="0" distL="114300" distR="114300" simplePos="0" relativeHeight="251660288" behindDoc="1" locked="1" layoutInCell="1" allowOverlap="1" wp14:anchorId="3EB37DAD" wp14:editId="52FE2822">
          <wp:simplePos x="0" y="0"/>
          <wp:positionH relativeFrom="page">
            <wp:posOffset>9525</wp:posOffset>
          </wp:positionH>
          <wp:positionV relativeFrom="page">
            <wp:posOffset>4445</wp:posOffset>
          </wp:positionV>
          <wp:extent cx="7526020" cy="1066800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26020" cy="106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17FE2C28"/>
    <w:multiLevelType w:val="hybridMultilevel"/>
    <w:tmpl w:val="898C54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9E1258"/>
    <w:multiLevelType w:val="hybridMultilevel"/>
    <w:tmpl w:val="0038CA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36EF333B"/>
    <w:multiLevelType w:val="hybridMultilevel"/>
    <w:tmpl w:val="54D4C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02512C0"/>
    <w:multiLevelType w:val="hybridMultilevel"/>
    <w:tmpl w:val="0372A9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4E550C0"/>
    <w:multiLevelType w:val="hybridMultilevel"/>
    <w:tmpl w:val="52026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2553D9F"/>
    <w:multiLevelType w:val="multilevel"/>
    <w:tmpl w:val="A6FA45D0"/>
    <w:numStyleLink w:val="BulletsList"/>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C795536"/>
    <w:multiLevelType w:val="hybridMultilevel"/>
    <w:tmpl w:val="80F24DBC"/>
    <w:lvl w:ilvl="0" w:tplc="0C09000F">
      <w:start w:val="1"/>
      <w:numFmt w:val="decimal"/>
      <w:lvlText w:val="%1."/>
      <w:lvlJc w:val="left"/>
      <w:pPr>
        <w:ind w:left="677" w:hanging="360"/>
      </w:pPr>
    </w:lvl>
    <w:lvl w:ilvl="1" w:tplc="0C090019" w:tentative="1">
      <w:start w:val="1"/>
      <w:numFmt w:val="lowerLetter"/>
      <w:lvlText w:val="%2."/>
      <w:lvlJc w:val="left"/>
      <w:pPr>
        <w:ind w:left="1397" w:hanging="360"/>
      </w:pPr>
    </w:lvl>
    <w:lvl w:ilvl="2" w:tplc="0C09001B" w:tentative="1">
      <w:start w:val="1"/>
      <w:numFmt w:val="lowerRoman"/>
      <w:lvlText w:val="%3."/>
      <w:lvlJc w:val="right"/>
      <w:pPr>
        <w:ind w:left="2117" w:hanging="180"/>
      </w:pPr>
    </w:lvl>
    <w:lvl w:ilvl="3" w:tplc="0C09000F" w:tentative="1">
      <w:start w:val="1"/>
      <w:numFmt w:val="decimal"/>
      <w:lvlText w:val="%4."/>
      <w:lvlJc w:val="left"/>
      <w:pPr>
        <w:ind w:left="2837" w:hanging="360"/>
      </w:pPr>
    </w:lvl>
    <w:lvl w:ilvl="4" w:tplc="0C090019" w:tentative="1">
      <w:start w:val="1"/>
      <w:numFmt w:val="lowerLetter"/>
      <w:lvlText w:val="%5."/>
      <w:lvlJc w:val="left"/>
      <w:pPr>
        <w:ind w:left="3557" w:hanging="360"/>
      </w:pPr>
    </w:lvl>
    <w:lvl w:ilvl="5" w:tplc="0C09001B" w:tentative="1">
      <w:start w:val="1"/>
      <w:numFmt w:val="lowerRoman"/>
      <w:lvlText w:val="%6."/>
      <w:lvlJc w:val="right"/>
      <w:pPr>
        <w:ind w:left="4277" w:hanging="180"/>
      </w:pPr>
    </w:lvl>
    <w:lvl w:ilvl="6" w:tplc="0C09000F" w:tentative="1">
      <w:start w:val="1"/>
      <w:numFmt w:val="decimal"/>
      <w:lvlText w:val="%7."/>
      <w:lvlJc w:val="left"/>
      <w:pPr>
        <w:ind w:left="4997" w:hanging="360"/>
      </w:pPr>
    </w:lvl>
    <w:lvl w:ilvl="7" w:tplc="0C090019" w:tentative="1">
      <w:start w:val="1"/>
      <w:numFmt w:val="lowerLetter"/>
      <w:lvlText w:val="%8."/>
      <w:lvlJc w:val="left"/>
      <w:pPr>
        <w:ind w:left="5717" w:hanging="360"/>
      </w:pPr>
    </w:lvl>
    <w:lvl w:ilvl="8" w:tplc="0C09001B" w:tentative="1">
      <w:start w:val="1"/>
      <w:numFmt w:val="lowerRoman"/>
      <w:lvlText w:val="%9."/>
      <w:lvlJc w:val="right"/>
      <w:pPr>
        <w:ind w:left="6437" w:hanging="180"/>
      </w:pPr>
    </w:lvl>
  </w:abstractNum>
  <w:abstractNum w:abstractNumId="1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2"/>
  </w:num>
  <w:num w:numId="2">
    <w:abstractNumId w:val="0"/>
  </w:num>
  <w:num w:numId="3">
    <w:abstractNumId w:val="4"/>
  </w:num>
  <w:num w:numId="4">
    <w:abstractNumId w:val="9"/>
  </w:num>
  <w:num w:numId="5">
    <w:abstractNumId w:val="11"/>
  </w:num>
  <w:num w:numId="6">
    <w:abstractNumId w:val="4"/>
  </w:num>
  <w:num w:numId="7">
    <w:abstractNumId w:val="0"/>
  </w:num>
  <w:num w:numId="8">
    <w:abstractNumId w:val="1"/>
  </w:num>
  <w:num w:numId="9">
    <w:abstractNumId w:val="13"/>
  </w:num>
  <w:num w:numId="10">
    <w:abstractNumId w:val="8"/>
  </w:num>
  <w:num w:numId="11">
    <w:abstractNumId w:val="3"/>
  </w:num>
  <w:num w:numId="12">
    <w:abstractNumId w:val="6"/>
  </w:num>
  <w:num w:numId="13">
    <w:abstractNumId w:val="2"/>
  </w:num>
  <w:num w:numId="14">
    <w:abstractNumId w:val="10"/>
  </w:num>
  <w:num w:numId="15">
    <w:abstractNumId w:val="7"/>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15783"/>
    <w:rsid w:val="0002080A"/>
    <w:rsid w:val="0002782F"/>
    <w:rsid w:val="00035646"/>
    <w:rsid w:val="00035BBF"/>
    <w:rsid w:val="00036E44"/>
    <w:rsid w:val="00040DF1"/>
    <w:rsid w:val="00050806"/>
    <w:rsid w:val="00052496"/>
    <w:rsid w:val="000546D9"/>
    <w:rsid w:val="00054AAA"/>
    <w:rsid w:val="00054E4D"/>
    <w:rsid w:val="00057606"/>
    <w:rsid w:val="00060073"/>
    <w:rsid w:val="000616C6"/>
    <w:rsid w:val="0006380D"/>
    <w:rsid w:val="00071788"/>
    <w:rsid w:val="000854FD"/>
    <w:rsid w:val="00091B03"/>
    <w:rsid w:val="00092D7F"/>
    <w:rsid w:val="000A3256"/>
    <w:rsid w:val="000A39EC"/>
    <w:rsid w:val="000B3615"/>
    <w:rsid w:val="000B37F5"/>
    <w:rsid w:val="000C5205"/>
    <w:rsid w:val="000D66D6"/>
    <w:rsid w:val="0011014D"/>
    <w:rsid w:val="00110C81"/>
    <w:rsid w:val="00113288"/>
    <w:rsid w:val="001149CE"/>
    <w:rsid w:val="00116F26"/>
    <w:rsid w:val="001214BE"/>
    <w:rsid w:val="0013101C"/>
    <w:rsid w:val="001366FE"/>
    <w:rsid w:val="001461D6"/>
    <w:rsid w:val="001541EA"/>
    <w:rsid w:val="001616D0"/>
    <w:rsid w:val="001804BC"/>
    <w:rsid w:val="001907AA"/>
    <w:rsid w:val="001962F2"/>
    <w:rsid w:val="001A029D"/>
    <w:rsid w:val="001A65F9"/>
    <w:rsid w:val="001A7ED5"/>
    <w:rsid w:val="001C50B3"/>
    <w:rsid w:val="001D663E"/>
    <w:rsid w:val="001E1DC0"/>
    <w:rsid w:val="001F5883"/>
    <w:rsid w:val="00203277"/>
    <w:rsid w:val="00205B2E"/>
    <w:rsid w:val="002068B7"/>
    <w:rsid w:val="00213A46"/>
    <w:rsid w:val="0022407D"/>
    <w:rsid w:val="00224905"/>
    <w:rsid w:val="0022631C"/>
    <w:rsid w:val="00230777"/>
    <w:rsid w:val="00235EAB"/>
    <w:rsid w:val="0023735F"/>
    <w:rsid w:val="00252C04"/>
    <w:rsid w:val="002646C3"/>
    <w:rsid w:val="00265DDB"/>
    <w:rsid w:val="00276A54"/>
    <w:rsid w:val="002772AE"/>
    <w:rsid w:val="00282275"/>
    <w:rsid w:val="0028602A"/>
    <w:rsid w:val="002A108D"/>
    <w:rsid w:val="002A7F56"/>
    <w:rsid w:val="002B555A"/>
    <w:rsid w:val="002B55EE"/>
    <w:rsid w:val="002B5E10"/>
    <w:rsid w:val="002C0E71"/>
    <w:rsid w:val="002C793D"/>
    <w:rsid w:val="002D5B25"/>
    <w:rsid w:val="002F007B"/>
    <w:rsid w:val="002F075A"/>
    <w:rsid w:val="002F4F2B"/>
    <w:rsid w:val="003002C0"/>
    <w:rsid w:val="00301144"/>
    <w:rsid w:val="003031C6"/>
    <w:rsid w:val="00304984"/>
    <w:rsid w:val="00311CAF"/>
    <w:rsid w:val="00312BF8"/>
    <w:rsid w:val="003148B7"/>
    <w:rsid w:val="003158C3"/>
    <w:rsid w:val="00321934"/>
    <w:rsid w:val="003274CD"/>
    <w:rsid w:val="00330535"/>
    <w:rsid w:val="00330E12"/>
    <w:rsid w:val="0033205A"/>
    <w:rsid w:val="00333501"/>
    <w:rsid w:val="003365E4"/>
    <w:rsid w:val="003457C4"/>
    <w:rsid w:val="0034761D"/>
    <w:rsid w:val="00347F13"/>
    <w:rsid w:val="003500CF"/>
    <w:rsid w:val="0035119D"/>
    <w:rsid w:val="00365569"/>
    <w:rsid w:val="00372797"/>
    <w:rsid w:val="00372FC5"/>
    <w:rsid w:val="003753EF"/>
    <w:rsid w:val="003768D0"/>
    <w:rsid w:val="00376C0B"/>
    <w:rsid w:val="00384D40"/>
    <w:rsid w:val="003854FF"/>
    <w:rsid w:val="00390828"/>
    <w:rsid w:val="0039344A"/>
    <w:rsid w:val="00395163"/>
    <w:rsid w:val="003A7113"/>
    <w:rsid w:val="003B4F12"/>
    <w:rsid w:val="003C6BDE"/>
    <w:rsid w:val="003D4C6F"/>
    <w:rsid w:val="003F2041"/>
    <w:rsid w:val="00402ACC"/>
    <w:rsid w:val="004120EC"/>
    <w:rsid w:val="00413702"/>
    <w:rsid w:val="00413861"/>
    <w:rsid w:val="004143EE"/>
    <w:rsid w:val="004215DA"/>
    <w:rsid w:val="00423F31"/>
    <w:rsid w:val="00425C6B"/>
    <w:rsid w:val="00431899"/>
    <w:rsid w:val="00431BC0"/>
    <w:rsid w:val="00442055"/>
    <w:rsid w:val="00443F70"/>
    <w:rsid w:val="00446267"/>
    <w:rsid w:val="00452298"/>
    <w:rsid w:val="004552E3"/>
    <w:rsid w:val="00467B1A"/>
    <w:rsid w:val="004727AF"/>
    <w:rsid w:val="004827CC"/>
    <w:rsid w:val="00482AE8"/>
    <w:rsid w:val="00482E07"/>
    <w:rsid w:val="0048492D"/>
    <w:rsid w:val="00485776"/>
    <w:rsid w:val="00486804"/>
    <w:rsid w:val="004939C4"/>
    <w:rsid w:val="00494F98"/>
    <w:rsid w:val="004A258D"/>
    <w:rsid w:val="004B1618"/>
    <w:rsid w:val="004B3775"/>
    <w:rsid w:val="004B50F9"/>
    <w:rsid w:val="004C3CEF"/>
    <w:rsid w:val="004C5598"/>
    <w:rsid w:val="004C6342"/>
    <w:rsid w:val="004D0BA0"/>
    <w:rsid w:val="004D3944"/>
    <w:rsid w:val="004D7670"/>
    <w:rsid w:val="004E058F"/>
    <w:rsid w:val="004E3B87"/>
    <w:rsid w:val="004E531E"/>
    <w:rsid w:val="004F1A73"/>
    <w:rsid w:val="004F48A9"/>
    <w:rsid w:val="00502496"/>
    <w:rsid w:val="00505577"/>
    <w:rsid w:val="005077C4"/>
    <w:rsid w:val="00510921"/>
    <w:rsid w:val="00510AD3"/>
    <w:rsid w:val="00513348"/>
    <w:rsid w:val="00513AD8"/>
    <w:rsid w:val="0051429C"/>
    <w:rsid w:val="005171BA"/>
    <w:rsid w:val="005204D2"/>
    <w:rsid w:val="00522396"/>
    <w:rsid w:val="00522E9B"/>
    <w:rsid w:val="00527D3B"/>
    <w:rsid w:val="00533B5D"/>
    <w:rsid w:val="005416EA"/>
    <w:rsid w:val="00541DEA"/>
    <w:rsid w:val="00541E4F"/>
    <w:rsid w:val="00551E54"/>
    <w:rsid w:val="00572DDB"/>
    <w:rsid w:val="00576D32"/>
    <w:rsid w:val="005774F2"/>
    <w:rsid w:val="00591B5F"/>
    <w:rsid w:val="005A20F6"/>
    <w:rsid w:val="005A4AD7"/>
    <w:rsid w:val="005B23E1"/>
    <w:rsid w:val="005B4658"/>
    <w:rsid w:val="005B55E8"/>
    <w:rsid w:val="005C1A5B"/>
    <w:rsid w:val="005C780E"/>
    <w:rsid w:val="005D3655"/>
    <w:rsid w:val="005E0CD2"/>
    <w:rsid w:val="005E4830"/>
    <w:rsid w:val="005F42E6"/>
    <w:rsid w:val="00600B06"/>
    <w:rsid w:val="00622B86"/>
    <w:rsid w:val="00623BA1"/>
    <w:rsid w:val="006346BC"/>
    <w:rsid w:val="00637745"/>
    <w:rsid w:val="00651213"/>
    <w:rsid w:val="00660121"/>
    <w:rsid w:val="0066652A"/>
    <w:rsid w:val="00667907"/>
    <w:rsid w:val="006719C3"/>
    <w:rsid w:val="00676668"/>
    <w:rsid w:val="0067788C"/>
    <w:rsid w:val="00677B66"/>
    <w:rsid w:val="00680522"/>
    <w:rsid w:val="00682167"/>
    <w:rsid w:val="00685A2C"/>
    <w:rsid w:val="0069653A"/>
    <w:rsid w:val="006B4F6D"/>
    <w:rsid w:val="006C42AF"/>
    <w:rsid w:val="006E1786"/>
    <w:rsid w:val="006E67D8"/>
    <w:rsid w:val="006E716D"/>
    <w:rsid w:val="006F2FEB"/>
    <w:rsid w:val="00700BBA"/>
    <w:rsid w:val="007031B5"/>
    <w:rsid w:val="00711163"/>
    <w:rsid w:val="00711D8E"/>
    <w:rsid w:val="00712672"/>
    <w:rsid w:val="0071287E"/>
    <w:rsid w:val="00715351"/>
    <w:rsid w:val="00720E58"/>
    <w:rsid w:val="007211CE"/>
    <w:rsid w:val="00734E3F"/>
    <w:rsid w:val="00736985"/>
    <w:rsid w:val="00740A1D"/>
    <w:rsid w:val="00745DF5"/>
    <w:rsid w:val="00760C65"/>
    <w:rsid w:val="0076250F"/>
    <w:rsid w:val="007706B8"/>
    <w:rsid w:val="00774EE4"/>
    <w:rsid w:val="00780FA5"/>
    <w:rsid w:val="00790171"/>
    <w:rsid w:val="007A00B7"/>
    <w:rsid w:val="007A5328"/>
    <w:rsid w:val="007A6663"/>
    <w:rsid w:val="007B06DC"/>
    <w:rsid w:val="007B59BC"/>
    <w:rsid w:val="007B6200"/>
    <w:rsid w:val="007D647A"/>
    <w:rsid w:val="007E3FF9"/>
    <w:rsid w:val="007E4969"/>
    <w:rsid w:val="007F3395"/>
    <w:rsid w:val="00801B9F"/>
    <w:rsid w:val="0080204D"/>
    <w:rsid w:val="008049F5"/>
    <w:rsid w:val="00805B9C"/>
    <w:rsid w:val="00810213"/>
    <w:rsid w:val="00814633"/>
    <w:rsid w:val="00817DE6"/>
    <w:rsid w:val="0082198B"/>
    <w:rsid w:val="00823B7F"/>
    <w:rsid w:val="00823E70"/>
    <w:rsid w:val="00824E8E"/>
    <w:rsid w:val="0083052F"/>
    <w:rsid w:val="00842222"/>
    <w:rsid w:val="008475F0"/>
    <w:rsid w:val="00850345"/>
    <w:rsid w:val="00854659"/>
    <w:rsid w:val="008557A7"/>
    <w:rsid w:val="0086588C"/>
    <w:rsid w:val="00870928"/>
    <w:rsid w:val="00880AFF"/>
    <w:rsid w:val="00885A62"/>
    <w:rsid w:val="0089405C"/>
    <w:rsid w:val="00897FA2"/>
    <w:rsid w:val="008A5AFE"/>
    <w:rsid w:val="008B5968"/>
    <w:rsid w:val="008C2565"/>
    <w:rsid w:val="008C2C5B"/>
    <w:rsid w:val="008C48F9"/>
    <w:rsid w:val="008C5A0E"/>
    <w:rsid w:val="00906D5C"/>
    <w:rsid w:val="009159F0"/>
    <w:rsid w:val="00922092"/>
    <w:rsid w:val="00927172"/>
    <w:rsid w:val="009278D2"/>
    <w:rsid w:val="00927E84"/>
    <w:rsid w:val="009340C1"/>
    <w:rsid w:val="00935ABC"/>
    <w:rsid w:val="00943730"/>
    <w:rsid w:val="0095053A"/>
    <w:rsid w:val="00954B01"/>
    <w:rsid w:val="00960210"/>
    <w:rsid w:val="00961E72"/>
    <w:rsid w:val="00964280"/>
    <w:rsid w:val="00973420"/>
    <w:rsid w:val="00975CA5"/>
    <w:rsid w:val="00977676"/>
    <w:rsid w:val="00980574"/>
    <w:rsid w:val="00983AED"/>
    <w:rsid w:val="00986590"/>
    <w:rsid w:val="00992C76"/>
    <w:rsid w:val="009969D6"/>
    <w:rsid w:val="009974EA"/>
    <w:rsid w:val="0099771C"/>
    <w:rsid w:val="009A0908"/>
    <w:rsid w:val="009A3DD2"/>
    <w:rsid w:val="009B4D3B"/>
    <w:rsid w:val="009B7942"/>
    <w:rsid w:val="009C459F"/>
    <w:rsid w:val="009C49DD"/>
    <w:rsid w:val="009C7E18"/>
    <w:rsid w:val="009D1CAA"/>
    <w:rsid w:val="009D57C0"/>
    <w:rsid w:val="009D7407"/>
    <w:rsid w:val="009E0866"/>
    <w:rsid w:val="009E273C"/>
    <w:rsid w:val="009F1350"/>
    <w:rsid w:val="009F2517"/>
    <w:rsid w:val="009F6423"/>
    <w:rsid w:val="009F713D"/>
    <w:rsid w:val="00A16379"/>
    <w:rsid w:val="00A1687E"/>
    <w:rsid w:val="00A175B3"/>
    <w:rsid w:val="00A24A62"/>
    <w:rsid w:val="00A30C94"/>
    <w:rsid w:val="00A31C9F"/>
    <w:rsid w:val="00A35285"/>
    <w:rsid w:val="00A37772"/>
    <w:rsid w:val="00A37D60"/>
    <w:rsid w:val="00A4144F"/>
    <w:rsid w:val="00A41CA6"/>
    <w:rsid w:val="00A568F4"/>
    <w:rsid w:val="00A60274"/>
    <w:rsid w:val="00A61B4D"/>
    <w:rsid w:val="00A63917"/>
    <w:rsid w:val="00A65E56"/>
    <w:rsid w:val="00A75DFB"/>
    <w:rsid w:val="00A77A6D"/>
    <w:rsid w:val="00A80F95"/>
    <w:rsid w:val="00A85089"/>
    <w:rsid w:val="00A91795"/>
    <w:rsid w:val="00A940CA"/>
    <w:rsid w:val="00A97BF1"/>
    <w:rsid w:val="00AA14F8"/>
    <w:rsid w:val="00AA298A"/>
    <w:rsid w:val="00AA315B"/>
    <w:rsid w:val="00AB376E"/>
    <w:rsid w:val="00AB4389"/>
    <w:rsid w:val="00AC164A"/>
    <w:rsid w:val="00AC68FC"/>
    <w:rsid w:val="00AD78CC"/>
    <w:rsid w:val="00AE448A"/>
    <w:rsid w:val="00AF2050"/>
    <w:rsid w:val="00B00569"/>
    <w:rsid w:val="00B0385D"/>
    <w:rsid w:val="00B03CA8"/>
    <w:rsid w:val="00B05089"/>
    <w:rsid w:val="00B120ED"/>
    <w:rsid w:val="00B16FE3"/>
    <w:rsid w:val="00B23496"/>
    <w:rsid w:val="00B33C0A"/>
    <w:rsid w:val="00B34424"/>
    <w:rsid w:val="00B45C7F"/>
    <w:rsid w:val="00B53570"/>
    <w:rsid w:val="00B53DB3"/>
    <w:rsid w:val="00B54E9D"/>
    <w:rsid w:val="00B55E19"/>
    <w:rsid w:val="00B60D61"/>
    <w:rsid w:val="00B62F79"/>
    <w:rsid w:val="00B637DD"/>
    <w:rsid w:val="00B6495A"/>
    <w:rsid w:val="00B66722"/>
    <w:rsid w:val="00B70B50"/>
    <w:rsid w:val="00B76ABF"/>
    <w:rsid w:val="00B903CC"/>
    <w:rsid w:val="00B927C4"/>
    <w:rsid w:val="00B94758"/>
    <w:rsid w:val="00BA0538"/>
    <w:rsid w:val="00BA4B6D"/>
    <w:rsid w:val="00BB26C5"/>
    <w:rsid w:val="00BC2441"/>
    <w:rsid w:val="00BC31BD"/>
    <w:rsid w:val="00BC765A"/>
    <w:rsid w:val="00BD0C88"/>
    <w:rsid w:val="00BD2CB3"/>
    <w:rsid w:val="00BD45E6"/>
    <w:rsid w:val="00BF133A"/>
    <w:rsid w:val="00BF4DE6"/>
    <w:rsid w:val="00C03074"/>
    <w:rsid w:val="00C043B8"/>
    <w:rsid w:val="00C0486C"/>
    <w:rsid w:val="00C06B13"/>
    <w:rsid w:val="00C20F35"/>
    <w:rsid w:val="00C27D25"/>
    <w:rsid w:val="00C30130"/>
    <w:rsid w:val="00C31A5F"/>
    <w:rsid w:val="00C31EDF"/>
    <w:rsid w:val="00C32299"/>
    <w:rsid w:val="00C33B07"/>
    <w:rsid w:val="00C42541"/>
    <w:rsid w:val="00C42CDE"/>
    <w:rsid w:val="00C5182A"/>
    <w:rsid w:val="00C63EE9"/>
    <w:rsid w:val="00C66583"/>
    <w:rsid w:val="00C72FDA"/>
    <w:rsid w:val="00C804AE"/>
    <w:rsid w:val="00CA16F3"/>
    <w:rsid w:val="00CA37B1"/>
    <w:rsid w:val="00CA5D78"/>
    <w:rsid w:val="00CB1959"/>
    <w:rsid w:val="00CB46C3"/>
    <w:rsid w:val="00CC0F0D"/>
    <w:rsid w:val="00CC741B"/>
    <w:rsid w:val="00CD0E4B"/>
    <w:rsid w:val="00CD2297"/>
    <w:rsid w:val="00CE018C"/>
    <w:rsid w:val="00CE2498"/>
    <w:rsid w:val="00CE3B45"/>
    <w:rsid w:val="00CE4C89"/>
    <w:rsid w:val="00CE4DB9"/>
    <w:rsid w:val="00CF07BA"/>
    <w:rsid w:val="00CF10D5"/>
    <w:rsid w:val="00CF6C83"/>
    <w:rsid w:val="00D00153"/>
    <w:rsid w:val="00D0296C"/>
    <w:rsid w:val="00D137F8"/>
    <w:rsid w:val="00D32D6F"/>
    <w:rsid w:val="00D356A8"/>
    <w:rsid w:val="00D37560"/>
    <w:rsid w:val="00D37B04"/>
    <w:rsid w:val="00D47074"/>
    <w:rsid w:val="00D50C8B"/>
    <w:rsid w:val="00D540C6"/>
    <w:rsid w:val="00D6359C"/>
    <w:rsid w:val="00D64BD1"/>
    <w:rsid w:val="00D65749"/>
    <w:rsid w:val="00D75D4C"/>
    <w:rsid w:val="00D77D41"/>
    <w:rsid w:val="00D813DF"/>
    <w:rsid w:val="00D85BD3"/>
    <w:rsid w:val="00D92254"/>
    <w:rsid w:val="00D93BC6"/>
    <w:rsid w:val="00DB0C2D"/>
    <w:rsid w:val="00DD4698"/>
    <w:rsid w:val="00DE084C"/>
    <w:rsid w:val="00DF6A7D"/>
    <w:rsid w:val="00DF767F"/>
    <w:rsid w:val="00E14F51"/>
    <w:rsid w:val="00E249D3"/>
    <w:rsid w:val="00E255D2"/>
    <w:rsid w:val="00E357B7"/>
    <w:rsid w:val="00E4184B"/>
    <w:rsid w:val="00E43365"/>
    <w:rsid w:val="00E477C4"/>
    <w:rsid w:val="00E47FCB"/>
    <w:rsid w:val="00E502CA"/>
    <w:rsid w:val="00E527D1"/>
    <w:rsid w:val="00E53800"/>
    <w:rsid w:val="00E6081F"/>
    <w:rsid w:val="00E655FE"/>
    <w:rsid w:val="00E656FA"/>
    <w:rsid w:val="00E77D78"/>
    <w:rsid w:val="00E8296D"/>
    <w:rsid w:val="00E8457B"/>
    <w:rsid w:val="00EA04B2"/>
    <w:rsid w:val="00EA20F3"/>
    <w:rsid w:val="00EB398C"/>
    <w:rsid w:val="00EB43D4"/>
    <w:rsid w:val="00EB5DAA"/>
    <w:rsid w:val="00EC3C2D"/>
    <w:rsid w:val="00EC53BA"/>
    <w:rsid w:val="00ED2831"/>
    <w:rsid w:val="00ED43D1"/>
    <w:rsid w:val="00ED747E"/>
    <w:rsid w:val="00EE1027"/>
    <w:rsid w:val="00EE25F4"/>
    <w:rsid w:val="00EE4EE1"/>
    <w:rsid w:val="00EF4574"/>
    <w:rsid w:val="00EF5FB3"/>
    <w:rsid w:val="00F02635"/>
    <w:rsid w:val="00F14F35"/>
    <w:rsid w:val="00F25A93"/>
    <w:rsid w:val="00F2684E"/>
    <w:rsid w:val="00F30087"/>
    <w:rsid w:val="00F366DB"/>
    <w:rsid w:val="00F5404C"/>
    <w:rsid w:val="00F540A7"/>
    <w:rsid w:val="00F617F9"/>
    <w:rsid w:val="00F70BFF"/>
    <w:rsid w:val="00F729EF"/>
    <w:rsid w:val="00F744A2"/>
    <w:rsid w:val="00F74546"/>
    <w:rsid w:val="00F772C1"/>
    <w:rsid w:val="00F77CAE"/>
    <w:rsid w:val="00F82271"/>
    <w:rsid w:val="00F83428"/>
    <w:rsid w:val="00F83591"/>
    <w:rsid w:val="00F91739"/>
    <w:rsid w:val="00F92D0D"/>
    <w:rsid w:val="00F950F7"/>
    <w:rsid w:val="00F96BB9"/>
    <w:rsid w:val="00FA25F5"/>
    <w:rsid w:val="00FA69AF"/>
    <w:rsid w:val="00FA7833"/>
    <w:rsid w:val="00FA78D0"/>
    <w:rsid w:val="00FB2A1F"/>
    <w:rsid w:val="00FB6D8C"/>
    <w:rsid w:val="00FC322F"/>
    <w:rsid w:val="00FE49E6"/>
    <w:rsid w:val="00FE6D51"/>
    <w:rsid w:val="00FE6F2A"/>
    <w:rsid w:val="00FF228F"/>
    <w:rsid w:val="00FF3A5F"/>
    <w:rsid w:val="00FF4990"/>
    <w:rsid w:val="00FF4C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FA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425C6B"/>
    <w:pPr>
      <w:tabs>
        <w:tab w:val="center" w:pos="4513"/>
        <w:tab w:val="right" w:pos="9026"/>
      </w:tabs>
      <w:spacing w:before="0" w:after="0"/>
      <w:ind w:left="227"/>
    </w:pPr>
    <w:rPr>
      <w:b/>
      <w:caps/>
      <w:color w:val="auto"/>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25C6B"/>
    <w:rPr>
      <w:b/>
      <w:caps/>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425C6B"/>
    <w:pPr>
      <w:spacing w:before="0" w:after="0" w:line="240" w:lineRule="exact"/>
      <w:ind w:left="284" w:right="284"/>
    </w:pPr>
    <w:rPr>
      <w:color w:val="auto"/>
    </w:rPr>
  </w:style>
  <w:style w:type="character" w:customStyle="1" w:styleId="FooterChar">
    <w:name w:val="Footer Char"/>
    <w:basedOn w:val="DefaultParagraphFont"/>
    <w:link w:val="Footer"/>
    <w:uiPriority w:val="99"/>
    <w:rsid w:val="00425C6B"/>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425C6B"/>
    <w:rPr>
      <w:color w:val="auto"/>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660113916">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113CF-FA94-49DE-B766-D8E4634C4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2020-11-03T06:25:00Z</dcterms:created>
  <dcterms:modified xsi:type="dcterms:W3CDTF">2020-11-17T22:28:00Z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037feba0-fb0f-4d70-b012-8cb23882de8f</vt:lpwstr>
  </property>
  <property fmtid="{D5CDD505-2E9C-101B-9397-08002B2CF9AE}" pid="3" name="SEC">
    <vt:lpwstr>OFFICIAL</vt:lpwstr>
  </property>
</Properties>
</file>