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B0DB44" w14:textId="77777777" w:rsidR="004D4571" w:rsidRPr="00802B02" w:rsidRDefault="00D9135B" w:rsidP="00BD1C6B">
      <w:pPr>
        <w:sectPr w:rsidR="004D4571" w:rsidRPr="00802B02" w:rsidSect="008864A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gNumType w:start="0"/>
          <w:cols w:space="720"/>
          <w:titlePg/>
          <w:docGrid w:linePitch="360"/>
        </w:sectPr>
      </w:pPr>
      <w:r w:rsidRPr="00802B02">
        <w:rPr>
          <w:noProof/>
          <w:lang w:val="en-AU" w:eastAsia="en-AU"/>
        </w:rPr>
        <mc:AlternateContent>
          <mc:Choice Requires="wps">
            <w:drawing>
              <wp:anchor distT="0" distB="0" distL="114300" distR="114300" simplePos="0" relativeHeight="251864064" behindDoc="1" locked="0" layoutInCell="1" allowOverlap="1" wp14:anchorId="29173512" wp14:editId="7A5BAC2E">
                <wp:simplePos x="0" y="0"/>
                <wp:positionH relativeFrom="column">
                  <wp:posOffset>790575</wp:posOffset>
                </wp:positionH>
                <wp:positionV relativeFrom="paragraph">
                  <wp:posOffset>6762750</wp:posOffset>
                </wp:positionV>
                <wp:extent cx="4886325" cy="2581275"/>
                <wp:effectExtent l="0" t="0" r="9525" b="9525"/>
                <wp:wrapNone/>
                <wp:docPr id="172" name="Rectangle 172"/>
                <wp:cNvGraphicFramePr/>
                <a:graphic xmlns:a="http://schemas.openxmlformats.org/drawingml/2006/main">
                  <a:graphicData uri="http://schemas.microsoft.com/office/word/2010/wordprocessingShape">
                    <wps:wsp>
                      <wps:cNvSpPr/>
                      <wps:spPr>
                        <a:xfrm>
                          <a:off x="0" y="0"/>
                          <a:ext cx="4886325" cy="25812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AA1790A" w14:textId="77777777" w:rsidR="000D5A86" w:rsidRDefault="000D5A86" w:rsidP="00BD1C6B"/>
                          <w:p w14:paraId="7FAD4BC5" w14:textId="77777777" w:rsidR="000D5A86" w:rsidRPr="00D9135B" w:rsidRDefault="000D5A86" w:rsidP="00BD1C6B">
                            <w:pPr>
                              <w:rPr>
                                <w:b/>
                              </w:rPr>
                            </w:pPr>
                            <w:r w:rsidRPr="00D9135B">
                              <w:rPr>
                                <w:b/>
                              </w:rPr>
                              <w:t>Connie Hina and Ronald Santos</w:t>
                            </w:r>
                          </w:p>
                          <w:p w14:paraId="3640CE49" w14:textId="77777777" w:rsidR="000D5A86" w:rsidRDefault="000D5A86" w:rsidP="00BD1C6B">
                            <w:r>
                              <w:t>Evaluation Team</w:t>
                            </w:r>
                            <w:r>
                              <w:br/>
                            </w:r>
                            <w:r w:rsidRPr="00B37025">
                              <w:t>Recruitment, Administrative Management and Support Services (RAMSS)</w:t>
                            </w:r>
                            <w:r w:rsidRPr="00B37025">
                              <w:rPr>
                                <w:caps/>
                              </w:rPr>
                              <w:t xml:space="preserve"> </w:t>
                            </w:r>
                            <w:r>
                              <w:rPr>
                                <w:caps/>
                              </w:rPr>
                              <w:br/>
                            </w:r>
                          </w:p>
                          <w:p w14:paraId="6F369AF6" w14:textId="77777777" w:rsidR="000D5A86" w:rsidRPr="00085E99" w:rsidRDefault="000D5A86" w:rsidP="00BD1C6B">
                            <w:r w:rsidRPr="00085E99">
                              <w:t>Contact:</w:t>
                            </w:r>
                          </w:p>
                          <w:p w14:paraId="1CE3C468" w14:textId="77777777" w:rsidR="000D5A86" w:rsidRDefault="000D5A86" w:rsidP="00BD1C6B">
                            <w:r>
                              <w:t>Ronald Santos</w:t>
                            </w:r>
                            <w:r>
                              <w:rPr>
                                <w:caps/>
                              </w:rPr>
                              <w:br/>
                            </w:r>
                            <w:hyperlink r:id="rId14" w:history="1">
                              <w:r w:rsidRPr="00DB4206">
                                <w:rPr>
                                  <w:rStyle w:val="Hyperlink"/>
                                </w:rPr>
                                <w:t>rfsantos@trican.com</w:t>
                              </w:r>
                            </w:hyperlink>
                            <w:r>
                              <w:br/>
                            </w:r>
                            <w:r w:rsidRPr="00B37025">
                              <w:t>Skype: i2</w:t>
                            </w:r>
                            <w:r>
                              <w:t>rsantos</w:t>
                            </w:r>
                          </w:p>
                          <w:p w14:paraId="68F29921" w14:textId="77777777" w:rsidR="000D5A86" w:rsidRDefault="000D5A86" w:rsidP="00BD1C6B"/>
                          <w:p w14:paraId="3DE96E8A" w14:textId="77777777" w:rsidR="000D5A86" w:rsidRPr="005163B4" w:rsidRDefault="000D5A86" w:rsidP="00BD1C6B">
                            <w:pPr>
                              <w:rPr>
                                <w:caps/>
                              </w:rPr>
                            </w:pPr>
                            <w:r>
                              <w:t>June</w:t>
                            </w:r>
                            <w:r w:rsidRPr="005163B4">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73512" id="Rectangle 172" o:spid="_x0000_s1026" style="position:absolute;margin-left:62.25pt;margin-top:532.5pt;width:384.75pt;height:203.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" fillcolor="white [3201]" stroked="f" strokeweight="1.25pt">
                <v:stroke endcap="round"/>
                <v:textbox>
                  <w:txbxContent>
                    <w:p w14:paraId="5AA1790A" w14:textId="77777777" w:rsidR="000D5A86" w:rsidRDefault="000D5A86" w:rsidP="00BD1C6B"/>
                    <w:p w14:paraId="7FAD4BC5" w14:textId="77777777" w:rsidR="000D5A86" w:rsidRPr="00D9135B" w:rsidRDefault="000D5A86" w:rsidP="00BD1C6B">
                      <w:pPr>
                        <w:rPr>
                          <w:b/>
                        </w:rPr>
                      </w:pPr>
                      <w:r w:rsidRPr="00D9135B">
                        <w:rPr>
                          <w:b/>
                        </w:rPr>
                        <w:t>Connie Hina and Ronald Santos</w:t>
                      </w:r>
                    </w:p>
                    <w:p w14:paraId="3640CE49" w14:textId="77777777" w:rsidR="000D5A86" w:rsidRDefault="000D5A86" w:rsidP="00BD1C6B">
                      <w:r>
                        <w:t>Evaluation Team</w:t>
                      </w:r>
                      <w:r>
                        <w:br/>
                      </w:r>
                      <w:r w:rsidRPr="00B37025">
                        <w:t>Recruitment, Administrative Management and Support Services (RAMSS)</w:t>
                      </w:r>
                      <w:r w:rsidRPr="00B37025">
                        <w:rPr>
                          <w:caps/>
                        </w:rPr>
                        <w:t xml:space="preserve"> </w:t>
                      </w:r>
                      <w:r>
                        <w:rPr>
                          <w:caps/>
                        </w:rPr>
                        <w:br/>
                      </w:r>
                    </w:p>
                    <w:p w14:paraId="6F369AF6" w14:textId="77777777" w:rsidR="000D5A86" w:rsidRPr="00085E99" w:rsidRDefault="000D5A86" w:rsidP="00BD1C6B">
                      <w:r w:rsidRPr="00085E99">
                        <w:t>Contact:</w:t>
                      </w:r>
                    </w:p>
                    <w:p w14:paraId="1CE3C468" w14:textId="77777777" w:rsidR="000D5A86" w:rsidRDefault="000D5A86" w:rsidP="00BD1C6B">
                      <w:r>
                        <w:t>Ronald Santos</w:t>
                      </w:r>
                      <w:r>
                        <w:rPr>
                          <w:caps/>
                        </w:rPr>
                        <w:br/>
                      </w:r>
                      <w:hyperlink r:id="rId15" w:history="1">
                        <w:r w:rsidRPr="00DB4206">
                          <w:rPr>
                            <w:rStyle w:val="Hyperlink"/>
                          </w:rPr>
                          <w:t>rfsantos@trican.com</w:t>
                        </w:r>
                      </w:hyperlink>
                      <w:r>
                        <w:br/>
                      </w:r>
                      <w:r w:rsidRPr="00B37025">
                        <w:t>Skype: i2</w:t>
                      </w:r>
                      <w:r>
                        <w:t>rsantos</w:t>
                      </w:r>
                    </w:p>
                    <w:p w14:paraId="68F29921" w14:textId="77777777" w:rsidR="000D5A86" w:rsidRDefault="000D5A86" w:rsidP="00BD1C6B"/>
                    <w:p w14:paraId="3DE96E8A" w14:textId="77777777" w:rsidR="000D5A86" w:rsidRPr="005163B4" w:rsidRDefault="000D5A86" w:rsidP="00BD1C6B">
                      <w:pPr>
                        <w:rPr>
                          <w:caps/>
                        </w:rPr>
                      </w:pPr>
                      <w:r>
                        <w:t>June</w:t>
                      </w:r>
                      <w:r w:rsidRPr="005163B4">
                        <w:t xml:space="preserve"> 2019</w:t>
                      </w:r>
                    </w:p>
                  </w:txbxContent>
                </v:textbox>
              </v:rect>
            </w:pict>
          </mc:Fallback>
        </mc:AlternateContent>
      </w:r>
      <w:r w:rsidRPr="00802B02">
        <w:rPr>
          <w:noProof/>
          <w:lang w:val="en-AU" w:eastAsia="en-AU"/>
        </w:rPr>
        <mc:AlternateContent>
          <mc:Choice Requires="wps">
            <w:drawing>
              <wp:anchor distT="0" distB="0" distL="114300" distR="114300" simplePos="0" relativeHeight="251863040" behindDoc="1" locked="0" layoutInCell="1" allowOverlap="1" wp14:anchorId="29E96D34" wp14:editId="7B0F2D8B">
                <wp:simplePos x="0" y="0"/>
                <wp:positionH relativeFrom="column">
                  <wp:posOffset>-228600</wp:posOffset>
                </wp:positionH>
                <wp:positionV relativeFrom="paragraph">
                  <wp:posOffset>933450</wp:posOffset>
                </wp:positionV>
                <wp:extent cx="6847205" cy="1552575"/>
                <wp:effectExtent l="0" t="0" r="0" b="0"/>
                <wp:wrapNone/>
                <wp:docPr id="171" name="Rectangle 171"/>
                <wp:cNvGraphicFramePr/>
                <a:graphic xmlns:a="http://schemas.openxmlformats.org/drawingml/2006/main">
                  <a:graphicData uri="http://schemas.microsoft.com/office/word/2010/wordprocessingShape">
                    <wps:wsp>
                      <wps:cNvSpPr/>
                      <wps:spPr>
                        <a:xfrm>
                          <a:off x="0" y="0"/>
                          <a:ext cx="6847205" cy="155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FC951" w14:textId="77777777" w:rsidR="000D5A86" w:rsidRPr="00E54249" w:rsidRDefault="000D5A86" w:rsidP="00E54249">
                            <w:pPr>
                              <w:pStyle w:val="1Spine"/>
                            </w:pPr>
                            <w:r w:rsidRPr="00E54249">
                              <w:t>Evaluation Report</w:t>
                            </w:r>
                          </w:p>
                          <w:p w14:paraId="79AB14D8" w14:textId="77777777" w:rsidR="000D5A86" w:rsidRPr="00D9135B" w:rsidRDefault="000D5A86" w:rsidP="00E54249">
                            <w:pPr>
                              <w:pStyle w:val="1Spine"/>
                              <w:rPr>
                                <w:b w:val="0"/>
                                <w:sz w:val="42"/>
                                <w:szCs w:val="42"/>
                              </w:rPr>
                            </w:pPr>
                            <w:bookmarkStart w:id="1" w:name="_Toc24280990"/>
                            <w:r w:rsidRPr="00D9135B">
                              <w:rPr>
                                <w:b w:val="0"/>
                                <w:sz w:val="42"/>
                                <w:szCs w:val="42"/>
                              </w:rPr>
                              <w:t xml:space="preserve">Evaluation of the </w:t>
                            </w:r>
                            <w:r w:rsidRPr="00D9135B">
                              <w:rPr>
                                <w:b w:val="0"/>
                                <w:i/>
                                <w:sz w:val="42"/>
                                <w:szCs w:val="42"/>
                              </w:rPr>
                              <w:t>Inclusive and Affordable Financial Facilities for Resilient and Developed Filipinos</w:t>
                            </w:r>
                            <w:r w:rsidRPr="00D9135B">
                              <w:rPr>
                                <w:b w:val="0"/>
                                <w:sz w:val="42"/>
                                <w:szCs w:val="42"/>
                              </w:rPr>
                              <w:t xml:space="preserve"> (IAFFORD) Project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96D34" id="Rectangle 171" o:spid="_x0000_s1027" style="position:absolute;margin-left:-18pt;margin-top:73.5pt;width:539.15pt;height:122.2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" filled="f" stroked="f" strokeweight="1.25pt">
                <v:stroke endcap="round"/>
                <v:textbox>
                  <w:txbxContent>
                    <w:p w14:paraId="750FC951" w14:textId="77777777" w:rsidR="000D5A86" w:rsidRPr="00E54249" w:rsidRDefault="000D5A86" w:rsidP="00E54249">
                      <w:pPr>
                        <w:pStyle w:val="1Spine"/>
                      </w:pPr>
                      <w:r w:rsidRPr="00E54249">
                        <w:t>Evaluation Report</w:t>
                      </w:r>
                    </w:p>
                    <w:p w14:paraId="79AB14D8" w14:textId="77777777" w:rsidR="000D5A86" w:rsidRPr="00D9135B" w:rsidRDefault="000D5A86" w:rsidP="00E54249">
                      <w:pPr>
                        <w:pStyle w:val="1Spine"/>
                        <w:rPr>
                          <w:b w:val="0"/>
                          <w:sz w:val="42"/>
                          <w:szCs w:val="42"/>
                        </w:rPr>
                      </w:pPr>
                      <w:bookmarkStart w:id="1" w:name="_Toc24280990"/>
                      <w:r w:rsidRPr="00D9135B">
                        <w:rPr>
                          <w:b w:val="0"/>
                          <w:sz w:val="42"/>
                          <w:szCs w:val="42"/>
                        </w:rPr>
                        <w:t xml:space="preserve">Evaluation of the </w:t>
                      </w:r>
                      <w:r w:rsidRPr="00D9135B">
                        <w:rPr>
                          <w:b w:val="0"/>
                          <w:i/>
                          <w:sz w:val="42"/>
                          <w:szCs w:val="42"/>
                        </w:rPr>
                        <w:t>Inclusive and Affordable Financial Facilities for Resilient and Developed Filipinos</w:t>
                      </w:r>
                      <w:r w:rsidRPr="00D9135B">
                        <w:rPr>
                          <w:b w:val="0"/>
                          <w:sz w:val="42"/>
                          <w:szCs w:val="42"/>
                        </w:rPr>
                        <w:t xml:space="preserve"> (IAFFORD) Project</w:t>
                      </w:r>
                      <w:bookmarkEnd w:id="1"/>
                    </w:p>
                  </w:txbxContent>
                </v:textbox>
              </v:rect>
            </w:pict>
          </mc:Fallback>
        </mc:AlternateContent>
      </w:r>
      <w:r w:rsidRPr="00802B02">
        <w:rPr>
          <w:noProof/>
          <w:lang w:val="en-AU" w:eastAsia="en-AU"/>
        </w:rPr>
        <w:drawing>
          <wp:anchor distT="0" distB="0" distL="114300" distR="114300" simplePos="0" relativeHeight="251859967" behindDoc="0" locked="0" layoutInCell="1" allowOverlap="1" wp14:anchorId="10531C8B" wp14:editId="5F7ABB77">
            <wp:simplePos x="0" y="0"/>
            <wp:positionH relativeFrom="column">
              <wp:posOffset>428625</wp:posOffset>
            </wp:positionH>
            <wp:positionV relativeFrom="paragraph">
              <wp:posOffset>2828925</wp:posOffset>
            </wp:positionV>
            <wp:extent cx="5902872" cy="3724275"/>
            <wp:effectExtent l="171450" t="171450" r="155575" b="1619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alphaModFix amt="85000"/>
                      <a:extLst>
                        <a:ext uri="{28A0092B-C50C-407E-A947-70E740481C1C}">
                          <a14:useLocalDpi xmlns:a14="http://schemas.microsoft.com/office/drawing/2010/main" val="0"/>
                        </a:ext>
                      </a:extLst>
                    </a:blip>
                    <a:stretch>
                      <a:fillRect/>
                    </a:stretch>
                  </pic:blipFill>
                  <pic:spPr>
                    <a:xfrm>
                      <a:off x="0" y="0"/>
                      <a:ext cx="5902872" cy="37242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400EE" w:rsidRPr="00802B02">
        <w:rPr>
          <w:noProof/>
          <w:lang w:val="en-AU" w:eastAsia="en-AU"/>
        </w:rPr>
        <mc:AlternateContent>
          <mc:Choice Requires="wps">
            <w:drawing>
              <wp:anchor distT="0" distB="0" distL="114300" distR="114300" simplePos="0" relativeHeight="251860992" behindDoc="0" locked="0" layoutInCell="1" allowOverlap="1" wp14:anchorId="02769C33" wp14:editId="1B530D72">
                <wp:simplePos x="0" y="0"/>
                <wp:positionH relativeFrom="column">
                  <wp:posOffset>3394207</wp:posOffset>
                </wp:positionH>
                <wp:positionV relativeFrom="paragraph">
                  <wp:posOffset>-9359324</wp:posOffset>
                </wp:positionV>
                <wp:extent cx="4453088" cy="553453"/>
                <wp:effectExtent l="0" t="0" r="0" b="0"/>
                <wp:wrapNone/>
                <wp:docPr id="3" name="Rectangle 3"/>
                <wp:cNvGraphicFramePr/>
                <a:graphic xmlns:a="http://schemas.openxmlformats.org/drawingml/2006/main">
                  <a:graphicData uri="http://schemas.microsoft.com/office/word/2010/wordprocessingShape">
                    <wps:wsp>
                      <wps:cNvSpPr/>
                      <wps:spPr>
                        <a:xfrm>
                          <a:off x="0" y="0"/>
                          <a:ext cx="4453088" cy="553453"/>
                        </a:xfrm>
                        <a:prstGeom prst="rect">
                          <a:avLst/>
                        </a:prstGeom>
                        <a:noFill/>
                        <a:ln>
                          <a:noFill/>
                        </a:ln>
                      </wps:spPr>
                      <wps:style>
                        <a:lnRef idx="2">
                          <a:schemeClr val="accent5">
                            <a:shade val="50000"/>
                          </a:schemeClr>
                        </a:lnRef>
                        <a:fillRef idx="1">
                          <a:schemeClr val="accent5"/>
                        </a:fillRef>
                        <a:effectRef idx="0">
                          <a:schemeClr val="accent5"/>
                        </a:effectRef>
                        <a:fontRef idx="minor">
                          <a:schemeClr val="lt1"/>
                        </a:fontRef>
                      </wps:style>
                      <wps:txbx>
                        <w:txbxContent>
                          <w:sdt>
                            <w:sdtPr>
                              <w:id w:val="562006948"/>
                              <w:placeholder>
                                <w:docPart w:val="A7C3DA3D77B6431980AE367E834D6D5C"/>
                              </w:placeholder>
                              <w:showingPlcHdr/>
                              <w:date>
                                <w:dateFormat w:val="M/d/yyyy"/>
                                <w:lid w:val="en-US"/>
                                <w:storeMappedDataAs w:val="dateTime"/>
                                <w:calendar w:val="gregorian"/>
                              </w:date>
                            </w:sdtPr>
                            <w:sdtEndPr/>
                            <w:sdtContent>
                              <w:p w14:paraId="76BAFD17" w14:textId="77777777" w:rsidR="000D5A86" w:rsidRPr="00E400EE" w:rsidRDefault="000D5A86" w:rsidP="00BD1C6B">
                                <w:pPr>
                                  <w:pStyle w:val="Heading5"/>
                                </w:pPr>
                                <w:r w:rsidRPr="00E400EE">
                                  <w:t>[</w:t>
                                </w:r>
                                <w:r w:rsidRPr="00E400EE">
                                  <w:rPr>
                                    <w:rStyle w:val="PlaceholderText"/>
                                    <w:color w:val="373545" w:themeColor="text2"/>
                                  </w:rPr>
                                  <w:t>Click here to enter a date]</w:t>
                                </w:r>
                              </w:p>
                            </w:sdtContent>
                          </w:sdt>
                          <w:p w14:paraId="7E8C62F9" w14:textId="77777777" w:rsidR="000D5A86" w:rsidRDefault="000D5A86" w:rsidP="00BD1C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9C33" id="Rectangle 3" o:spid="_x0000_s1028" style="position:absolute;margin-left:267.25pt;margin-top:-736.95pt;width:350.65pt;height:4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" filled="f" stroked="f" strokeweight="1.25pt">
                <v:stroke endcap="round"/>
                <v:textbox>
                  <w:txbxContent>
                    <w:sdt>
                      <w:sdtPr>
                        <w:id w:val="562006948"/>
                        <w:placeholder>
                          <w:docPart w:val="A7C3DA3D77B6431980AE367E834D6D5C"/>
                        </w:placeholder>
                        <w:showingPlcHdr/>
                        <w:date>
                          <w:dateFormat w:val="M/d/yyyy"/>
                          <w:lid w:val="en-US"/>
                          <w:storeMappedDataAs w:val="dateTime"/>
                          <w:calendar w:val="gregorian"/>
                        </w:date>
                      </w:sdtPr>
                      <w:sdtContent>
                        <w:p w14:paraId="76BAFD17" w14:textId="77777777" w:rsidR="000D5A86" w:rsidRPr="00E400EE" w:rsidRDefault="000D5A86" w:rsidP="00BD1C6B">
                          <w:pPr>
                            <w:pStyle w:val="Heading5"/>
                          </w:pPr>
                          <w:r w:rsidRPr="00E400EE">
                            <w:t>[</w:t>
                          </w:r>
                          <w:r w:rsidRPr="00E400EE">
                            <w:rPr>
                              <w:rStyle w:val="PlaceholderText"/>
                              <w:color w:val="373545" w:themeColor="text2"/>
                            </w:rPr>
                            <w:t>Click here to enter a date]</w:t>
                          </w:r>
                        </w:p>
                      </w:sdtContent>
                    </w:sdt>
                    <w:p w14:paraId="7E8C62F9" w14:textId="77777777" w:rsidR="000D5A86" w:rsidRDefault="000D5A86" w:rsidP="00BD1C6B"/>
                  </w:txbxContent>
                </v:textbox>
              </v:rect>
            </w:pict>
          </mc:Fallback>
        </mc:AlternateContent>
      </w:r>
    </w:p>
    <w:p w14:paraId="01D87D00" w14:textId="77777777" w:rsidR="00547407" w:rsidRPr="00802B02" w:rsidRDefault="00547407" w:rsidP="00547407">
      <w:pPr>
        <w:jc w:val="center"/>
        <w:rPr>
          <w:b/>
          <w:bCs/>
        </w:rPr>
      </w:pPr>
      <w:r w:rsidRPr="00802B02">
        <w:rPr>
          <w:b/>
          <w:bCs/>
        </w:rPr>
        <w:lastRenderedPageBreak/>
        <w:t>Authors’ Details</w:t>
      </w:r>
    </w:p>
    <w:p w14:paraId="69400C70" w14:textId="77777777" w:rsidR="00547407" w:rsidRPr="00802B02" w:rsidRDefault="00547407" w:rsidP="00547407">
      <w:r w:rsidRPr="00802B02">
        <w:rPr>
          <w:b/>
          <w:bCs/>
        </w:rPr>
        <w:t>Ron Santos</w:t>
      </w:r>
      <w:r w:rsidRPr="00802B02">
        <w:t xml:space="preserve"> provides on-demand Monitoring and Evaluation (M&amp;E) advice to the Australian Embassy in Manila. He is responsible for developing M&amp;E systems and products to measure progress of the Australian Government’s development cooperation with the Philippines, across all of its sectors.</w:t>
      </w:r>
      <w:r w:rsidR="0024246B" w:rsidRPr="00802B02">
        <w:t xml:space="preserve"> </w:t>
      </w:r>
      <w:r w:rsidRPr="00802B02">
        <w:t>Other assignments include as technical Director for Support II, where he was responsible for the design and implementation of all third-party evaluations required by the USAID mission in Afghanistan measuring performance on its Country Development Cooperation Strategy (CDCS).</w:t>
      </w:r>
      <w:r w:rsidR="0024246B" w:rsidRPr="00802B02">
        <w:t xml:space="preserve"> </w:t>
      </w:r>
      <w:r w:rsidRPr="00802B02">
        <w:t>He also provides monitoring systems and analytics advice to IMPACT, an international organization which works with impoverished artisanal (i.e. subsistence) gold miners, offering a source of legal, traceable value chain, as an alternative to that offered by illegal insurgent groups who use the proceeds to buy arms, contributing to militarization of the Democratic Republic of Congo.</w:t>
      </w:r>
      <w:r w:rsidR="0024246B" w:rsidRPr="00802B02">
        <w:t xml:space="preserve"> </w:t>
      </w:r>
    </w:p>
    <w:p w14:paraId="592A21AB" w14:textId="77777777" w:rsidR="00547407" w:rsidRPr="00802B02" w:rsidRDefault="00547407" w:rsidP="00547407">
      <w:r w:rsidRPr="00802B02">
        <w:t>He conducted third-party evaluations in the field of capacity building, governance, education, economic development, learning, community building, rural development, agriculture value chain, physical infrastructure and change management.</w:t>
      </w:r>
      <w:r w:rsidR="0024246B" w:rsidRPr="00802B02">
        <w:t xml:space="preserve"> </w:t>
      </w:r>
      <w:r w:rsidRPr="00802B02">
        <w:t>His specialty is developing analytical techniques for large datasets, combining a mix of qualitative and quantitative techniques, including geospatial analysis, machine learning and text analytics.</w:t>
      </w:r>
      <w:r w:rsidR="0024246B" w:rsidRPr="00802B02">
        <w:t xml:space="preserve"> </w:t>
      </w:r>
      <w:r w:rsidRPr="00802B02">
        <w:t>Ron holds an MA in Demography and an MSc. in Geospatial Analysis.</w:t>
      </w:r>
    </w:p>
    <w:p w14:paraId="405A8D10" w14:textId="77777777" w:rsidR="00547407" w:rsidRPr="00802B02" w:rsidRDefault="00547407" w:rsidP="00547407">
      <w:r w:rsidRPr="00802B02">
        <w:rPr>
          <w:b/>
          <w:bCs/>
        </w:rPr>
        <w:t>Ms. Connie Hina</w:t>
      </w:r>
      <w:r w:rsidRPr="00802B02">
        <w:t xml:space="preserve"> is an international consultant and a development management practitioner. A seasoned prime mover in strengthening institutional capacities of microfinance/financial service providers in 18 countries across Asia, East Africa and Eastern Europe, she has</w:t>
      </w:r>
      <w:r w:rsidR="0024246B" w:rsidRPr="00802B02">
        <w:t xml:space="preserve"> </w:t>
      </w:r>
      <w:r w:rsidRPr="00802B02">
        <w:t>about 29 years of professional and diverse experience, 24 years of which specializing in financial inclusion/microfinance, in various capacities as international</w:t>
      </w:r>
      <w:r w:rsidR="0024246B" w:rsidRPr="00802B02">
        <w:t xml:space="preserve"> </w:t>
      </w:r>
      <w:r w:rsidRPr="00802B02">
        <w:t>trainer, training curricula developer, mentor, coach, manager, researcher and program evaluator in developing countries across civil society/NGO, business and public sector working environments.</w:t>
      </w:r>
    </w:p>
    <w:p w14:paraId="6CE286E3" w14:textId="77777777" w:rsidR="00547407" w:rsidRPr="00802B02" w:rsidRDefault="00547407" w:rsidP="00547407">
      <w:r w:rsidRPr="00802B02">
        <w:t>Connie previously served as the Director of Microfinance in the Office of the Philippine President’s Anti-Poverty Commission, where she helped develop a national framework for microfinance and generate resources for a national capacity building fund.</w:t>
      </w:r>
    </w:p>
    <w:p w14:paraId="495D97C5" w14:textId="77777777" w:rsidR="00DD7427" w:rsidRPr="00802B02" w:rsidRDefault="00547407" w:rsidP="00547407">
      <w:pPr>
        <w:sectPr w:rsidR="00DD7427" w:rsidRPr="00802B02" w:rsidSect="00547407">
          <w:headerReference w:type="default" r:id="rId17"/>
          <w:footerReference w:type="default" r:id="rId18"/>
          <w:pgSz w:w="11906" w:h="16838" w:code="9"/>
          <w:pgMar w:top="1440" w:right="1440" w:bottom="1440" w:left="1440" w:header="720" w:footer="720" w:gutter="0"/>
          <w:pgNumType w:start="0"/>
          <w:cols w:space="720"/>
          <w:docGrid w:linePitch="360"/>
        </w:sectPr>
      </w:pPr>
      <w:r w:rsidRPr="00802B02">
        <w:t>Connie holds a B.S. Agricultural Business Management and a Master in Management, major in Development Management degrees from the University of the Philippines and received international certificate courses under fellowship programs from the International Agricultural Center (IAC) – Wageningen, the Netherlands; Microenterprise Development Institute – University of Southern New Hampshire, USA; Frankfurt School of Finance and Management, Frankfurt, Germany.</w:t>
      </w:r>
    </w:p>
    <w:tbl>
      <w:tblPr>
        <w:tblStyle w:val="TableGrid"/>
        <w:tblW w:w="9209" w:type="dxa"/>
        <w:tblLook w:val="04A0" w:firstRow="1" w:lastRow="0" w:firstColumn="1" w:lastColumn="0" w:noHBand="0" w:noVBand="1"/>
      </w:tblPr>
      <w:tblGrid>
        <w:gridCol w:w="9209"/>
      </w:tblGrid>
      <w:tr w:rsidR="00052FF4" w:rsidRPr="00802B02" w14:paraId="1D249564" w14:textId="77777777" w:rsidTr="003D5269">
        <w:trPr>
          <w:trHeight w:val="312"/>
          <w:tblHeader/>
        </w:trPr>
        <w:tc>
          <w:tcPr>
            <w:tcW w:w="9209" w:type="dxa"/>
            <w:noWrap/>
          </w:tcPr>
          <w:p w14:paraId="26942A39" w14:textId="77777777" w:rsidR="00052FF4" w:rsidRPr="00802B02" w:rsidRDefault="00052FF4" w:rsidP="00FB4A03">
            <w:pPr>
              <w:spacing w:before="40" w:after="40"/>
              <w:jc w:val="center"/>
              <w:rPr>
                <w:b/>
                <w:bCs/>
              </w:rPr>
            </w:pPr>
            <w:r w:rsidRPr="00802B02">
              <w:rPr>
                <w:b/>
                <w:bCs/>
              </w:rPr>
              <w:t>List of Acronyms and Abbreviations</w:t>
            </w:r>
          </w:p>
        </w:tc>
      </w:tr>
      <w:tr w:rsidR="00052FF4" w:rsidRPr="00802B02" w14:paraId="2007F3D6" w14:textId="77777777" w:rsidTr="003D5269">
        <w:trPr>
          <w:trHeight w:val="312"/>
        </w:trPr>
        <w:tc>
          <w:tcPr>
            <w:tcW w:w="9209" w:type="dxa"/>
            <w:noWrap/>
            <w:hideMark/>
          </w:tcPr>
          <w:p w14:paraId="1F83D826" w14:textId="77777777" w:rsidR="00052FF4" w:rsidRPr="00802B02" w:rsidRDefault="00052FF4" w:rsidP="00FB4A03">
            <w:r w:rsidRPr="00802B02">
              <w:t>AMLC</w:t>
            </w:r>
            <w:r w:rsidR="0090304E">
              <w:t xml:space="preserve"> </w:t>
            </w:r>
            <w:r w:rsidRPr="00802B02">
              <w:t>- Anti-Money Laundering Council</w:t>
            </w:r>
          </w:p>
        </w:tc>
      </w:tr>
      <w:tr w:rsidR="00052FF4" w:rsidRPr="00802B02" w14:paraId="73E1F37E" w14:textId="77777777" w:rsidTr="003D5269">
        <w:trPr>
          <w:trHeight w:val="312"/>
        </w:trPr>
        <w:tc>
          <w:tcPr>
            <w:tcW w:w="9209" w:type="dxa"/>
            <w:noWrap/>
          </w:tcPr>
          <w:p w14:paraId="6C221DE6" w14:textId="77777777" w:rsidR="00052FF4" w:rsidRPr="00802B02" w:rsidRDefault="00052FF4" w:rsidP="00FB4A03">
            <w:r w:rsidRPr="00802B02">
              <w:t>AQC</w:t>
            </w:r>
            <w:r w:rsidR="003D5269" w:rsidRPr="00802B02">
              <w:t xml:space="preserve"> -</w:t>
            </w:r>
            <w:r w:rsidRPr="00802B02">
              <w:t xml:space="preserve"> Aid Quality Checks</w:t>
            </w:r>
          </w:p>
        </w:tc>
      </w:tr>
      <w:tr w:rsidR="00052FF4" w:rsidRPr="00802B02" w14:paraId="48EAE85D" w14:textId="77777777" w:rsidTr="003D5269">
        <w:trPr>
          <w:trHeight w:val="312"/>
        </w:trPr>
        <w:tc>
          <w:tcPr>
            <w:tcW w:w="9209" w:type="dxa"/>
            <w:noWrap/>
          </w:tcPr>
          <w:p w14:paraId="3E471B30" w14:textId="77777777" w:rsidR="00052FF4" w:rsidRPr="00802B02" w:rsidRDefault="00052FF4" w:rsidP="00FB4A03">
            <w:r w:rsidRPr="00802B02">
              <w:t>ARMM - Autonomous Region in Muslim Mindanao</w:t>
            </w:r>
          </w:p>
        </w:tc>
      </w:tr>
      <w:tr w:rsidR="00052FF4" w:rsidRPr="00802B02" w14:paraId="330F1D11" w14:textId="77777777" w:rsidTr="003D5269">
        <w:trPr>
          <w:trHeight w:val="312"/>
        </w:trPr>
        <w:tc>
          <w:tcPr>
            <w:tcW w:w="9209" w:type="dxa"/>
            <w:noWrap/>
            <w:hideMark/>
          </w:tcPr>
          <w:p w14:paraId="76E10F26" w14:textId="77777777" w:rsidR="00052FF4" w:rsidRPr="00802B02" w:rsidRDefault="00052FF4" w:rsidP="00FB4A03">
            <w:r w:rsidRPr="00802B02">
              <w:t>BSP</w:t>
            </w:r>
            <w:r w:rsidR="007B107A">
              <w:t xml:space="preserve"> </w:t>
            </w:r>
            <w:r w:rsidRPr="00802B02">
              <w:t xml:space="preserve">- </w:t>
            </w:r>
            <w:r w:rsidRPr="00E824DE">
              <w:rPr>
                <w:i/>
              </w:rPr>
              <w:t>Bangko Sentral ng Pilipinas</w:t>
            </w:r>
          </w:p>
        </w:tc>
      </w:tr>
      <w:tr w:rsidR="00052FF4" w:rsidRPr="00802B02" w14:paraId="18641CE8" w14:textId="77777777" w:rsidTr="003D5269">
        <w:trPr>
          <w:trHeight w:val="312"/>
        </w:trPr>
        <w:tc>
          <w:tcPr>
            <w:tcW w:w="9209" w:type="dxa"/>
            <w:noWrap/>
            <w:hideMark/>
          </w:tcPr>
          <w:p w14:paraId="65DADD2E" w14:textId="77777777" w:rsidR="00052FF4" w:rsidRPr="00802B02" w:rsidRDefault="00052FF4" w:rsidP="00FB4A03">
            <w:r w:rsidRPr="00802B02">
              <w:t>CCT</w:t>
            </w:r>
            <w:r w:rsidR="0090304E">
              <w:t xml:space="preserve"> </w:t>
            </w:r>
            <w:r w:rsidRPr="00802B02">
              <w:t>- Conditional cash transfer</w:t>
            </w:r>
          </w:p>
        </w:tc>
      </w:tr>
      <w:tr w:rsidR="00052FF4" w:rsidRPr="00802B02" w14:paraId="7D88766B" w14:textId="77777777" w:rsidTr="003D5269">
        <w:trPr>
          <w:trHeight w:val="312"/>
        </w:trPr>
        <w:tc>
          <w:tcPr>
            <w:tcW w:w="9209" w:type="dxa"/>
            <w:noWrap/>
          </w:tcPr>
          <w:p w14:paraId="53B5B909" w14:textId="77777777" w:rsidR="00052FF4" w:rsidRPr="00802B02" w:rsidRDefault="00052FF4" w:rsidP="00802B02">
            <w:r w:rsidRPr="00802B02">
              <w:t xml:space="preserve">CDA - Cooperative Development Authority </w:t>
            </w:r>
          </w:p>
        </w:tc>
      </w:tr>
      <w:tr w:rsidR="00052FF4" w:rsidRPr="00802B02" w14:paraId="1A37F80D" w14:textId="77777777" w:rsidTr="003D5269">
        <w:trPr>
          <w:trHeight w:val="312"/>
        </w:trPr>
        <w:tc>
          <w:tcPr>
            <w:tcW w:w="9209" w:type="dxa"/>
            <w:noWrap/>
            <w:hideMark/>
          </w:tcPr>
          <w:p w14:paraId="7733D324" w14:textId="77777777" w:rsidR="00052FF4" w:rsidRPr="00802B02" w:rsidRDefault="00052FF4" w:rsidP="00FB4A03">
            <w:r w:rsidRPr="00802B02">
              <w:t>DCT</w:t>
            </w:r>
            <w:r w:rsidR="0090304E">
              <w:t xml:space="preserve"> </w:t>
            </w:r>
            <w:r w:rsidRPr="00802B02">
              <w:t>- Digital cash transfer</w:t>
            </w:r>
          </w:p>
        </w:tc>
      </w:tr>
      <w:tr w:rsidR="00052FF4" w:rsidRPr="00802B02" w14:paraId="105E8ACD" w14:textId="77777777" w:rsidTr="003D5269">
        <w:trPr>
          <w:trHeight w:val="312"/>
        </w:trPr>
        <w:tc>
          <w:tcPr>
            <w:tcW w:w="9209" w:type="dxa"/>
            <w:noWrap/>
          </w:tcPr>
          <w:p w14:paraId="7033DAD2" w14:textId="77777777" w:rsidR="00052FF4" w:rsidRPr="00802B02" w:rsidRDefault="00052FF4" w:rsidP="00FB4A03">
            <w:r w:rsidRPr="00802B02">
              <w:t>DFAT</w:t>
            </w:r>
            <w:r w:rsidR="003D5269" w:rsidRPr="00802B02">
              <w:t xml:space="preserve"> </w:t>
            </w:r>
            <w:r w:rsidRPr="00802B02">
              <w:t>-</w:t>
            </w:r>
            <w:r w:rsidR="003D5269" w:rsidRPr="00802B02">
              <w:t xml:space="preserve"> </w:t>
            </w:r>
            <w:r w:rsidRPr="00802B02">
              <w:t>Australian Department of Foreign Affairs and Trade</w:t>
            </w:r>
          </w:p>
        </w:tc>
      </w:tr>
      <w:tr w:rsidR="00052FF4" w:rsidRPr="00802B02" w14:paraId="07B0780F" w14:textId="77777777" w:rsidTr="003D5269">
        <w:trPr>
          <w:trHeight w:val="312"/>
        </w:trPr>
        <w:tc>
          <w:tcPr>
            <w:tcW w:w="9209" w:type="dxa"/>
            <w:noWrap/>
          </w:tcPr>
          <w:p w14:paraId="15FF8C27" w14:textId="77777777" w:rsidR="00052FF4" w:rsidRPr="00802B02" w:rsidRDefault="00052FF4" w:rsidP="00FB4A03">
            <w:r w:rsidRPr="00802B02">
              <w:t xml:space="preserve">DRR </w:t>
            </w:r>
            <w:r w:rsidR="0090304E">
              <w:t>-</w:t>
            </w:r>
            <w:r w:rsidRPr="00802B02">
              <w:t xml:space="preserve"> Disaster Risk Reduction</w:t>
            </w:r>
          </w:p>
        </w:tc>
      </w:tr>
      <w:tr w:rsidR="00052FF4" w:rsidRPr="00802B02" w14:paraId="7F32547A" w14:textId="77777777" w:rsidTr="003D5269">
        <w:trPr>
          <w:trHeight w:val="312"/>
        </w:trPr>
        <w:tc>
          <w:tcPr>
            <w:tcW w:w="9209" w:type="dxa"/>
            <w:noWrap/>
            <w:hideMark/>
          </w:tcPr>
          <w:p w14:paraId="17FA7A4B" w14:textId="77777777" w:rsidR="00052FF4" w:rsidRPr="00802B02" w:rsidRDefault="00052FF4" w:rsidP="00FB4A03">
            <w:r w:rsidRPr="00802B02">
              <w:t>DSWD</w:t>
            </w:r>
            <w:r w:rsidR="003D5269" w:rsidRPr="00802B02">
              <w:t xml:space="preserve"> </w:t>
            </w:r>
            <w:r w:rsidR="0090304E">
              <w:t>-</w:t>
            </w:r>
            <w:r w:rsidRPr="00802B02">
              <w:t xml:space="preserve"> </w:t>
            </w:r>
            <w:r w:rsidR="0090304E">
              <w:t xml:space="preserve">Philippine </w:t>
            </w:r>
            <w:r w:rsidRPr="00802B02">
              <w:t>Department of Social Welfare and Development</w:t>
            </w:r>
          </w:p>
        </w:tc>
      </w:tr>
      <w:tr w:rsidR="00052FF4" w:rsidRPr="00802B02" w14:paraId="4BC48D4A" w14:textId="77777777" w:rsidTr="003D5269">
        <w:trPr>
          <w:trHeight w:val="312"/>
        </w:trPr>
        <w:tc>
          <w:tcPr>
            <w:tcW w:w="9209" w:type="dxa"/>
            <w:noWrap/>
            <w:hideMark/>
          </w:tcPr>
          <w:p w14:paraId="48DFC63A" w14:textId="77777777" w:rsidR="00052FF4" w:rsidRPr="00802B02" w:rsidRDefault="00052FF4" w:rsidP="00FB4A03">
            <w:r w:rsidRPr="00802B02">
              <w:t>EMI</w:t>
            </w:r>
            <w:r w:rsidR="003D5269" w:rsidRPr="00802B02">
              <w:t xml:space="preserve"> </w:t>
            </w:r>
            <w:r w:rsidRPr="00802B02">
              <w:t>- Electronic money issuers</w:t>
            </w:r>
          </w:p>
        </w:tc>
      </w:tr>
      <w:tr w:rsidR="00052FF4" w:rsidRPr="00802B02" w14:paraId="4E030313" w14:textId="77777777" w:rsidTr="003D5269">
        <w:trPr>
          <w:trHeight w:val="312"/>
        </w:trPr>
        <w:tc>
          <w:tcPr>
            <w:tcW w:w="9209" w:type="dxa"/>
            <w:noWrap/>
          </w:tcPr>
          <w:p w14:paraId="4E6D3124" w14:textId="77777777" w:rsidR="00052FF4" w:rsidRPr="00802B02" w:rsidRDefault="00052FF4" w:rsidP="00FB4A03">
            <w:r w:rsidRPr="00802B02">
              <w:t xml:space="preserve">Fin-Tech </w:t>
            </w:r>
            <w:r w:rsidR="0090304E">
              <w:t>-</w:t>
            </w:r>
            <w:r w:rsidRPr="00802B02">
              <w:t xml:space="preserve"> Financial </w:t>
            </w:r>
            <w:r w:rsidR="0090304E">
              <w:t>t</w:t>
            </w:r>
            <w:r w:rsidRPr="00802B02">
              <w:t>echnologies</w:t>
            </w:r>
          </w:p>
        </w:tc>
      </w:tr>
      <w:tr w:rsidR="00052FF4" w:rsidRPr="00802B02" w14:paraId="7CE59849" w14:textId="77777777" w:rsidTr="003D5269">
        <w:trPr>
          <w:trHeight w:val="312"/>
        </w:trPr>
        <w:tc>
          <w:tcPr>
            <w:tcW w:w="9209" w:type="dxa"/>
            <w:noWrap/>
            <w:hideMark/>
          </w:tcPr>
          <w:p w14:paraId="6499D74D" w14:textId="77777777" w:rsidR="00052FF4" w:rsidRPr="00802B02" w:rsidRDefault="00052FF4" w:rsidP="00FB4A03">
            <w:r w:rsidRPr="00802B02">
              <w:t>IAFFORD</w:t>
            </w:r>
            <w:r w:rsidR="003D5269" w:rsidRPr="00802B02">
              <w:t xml:space="preserve"> </w:t>
            </w:r>
            <w:r w:rsidRPr="00802B02">
              <w:t>- Inclusive and Affordable Financial Facilities for Resilient and Developed Filipinos</w:t>
            </w:r>
          </w:p>
        </w:tc>
      </w:tr>
      <w:tr w:rsidR="00052FF4" w:rsidRPr="00802B02" w14:paraId="77595129" w14:textId="77777777" w:rsidTr="003D5269">
        <w:trPr>
          <w:trHeight w:val="312"/>
        </w:trPr>
        <w:tc>
          <w:tcPr>
            <w:tcW w:w="9209" w:type="dxa"/>
            <w:noWrap/>
          </w:tcPr>
          <w:p w14:paraId="0F101744" w14:textId="77777777" w:rsidR="00052FF4" w:rsidRPr="00802B02" w:rsidRDefault="00052FF4" w:rsidP="00FB4A03">
            <w:r w:rsidRPr="00802B02">
              <w:t>IQR</w:t>
            </w:r>
            <w:r w:rsidR="003D5269" w:rsidRPr="00802B02">
              <w:t xml:space="preserve"> </w:t>
            </w:r>
            <w:r w:rsidR="0090304E">
              <w:t>-</w:t>
            </w:r>
            <w:r w:rsidRPr="00802B02">
              <w:t xml:space="preserve"> </w:t>
            </w:r>
            <w:r w:rsidR="0090304E">
              <w:t>(</w:t>
            </w:r>
            <w:r w:rsidRPr="00802B02">
              <w:t>Aid</w:t>
            </w:r>
            <w:r w:rsidR="0090304E">
              <w:t>)</w:t>
            </w:r>
            <w:r w:rsidRPr="00802B02">
              <w:t xml:space="preserve"> Investment Quality Report</w:t>
            </w:r>
            <w:r w:rsidR="0090304E">
              <w:t>ing</w:t>
            </w:r>
          </w:p>
        </w:tc>
      </w:tr>
      <w:tr w:rsidR="00052FF4" w:rsidRPr="00802B02" w14:paraId="59E163E6" w14:textId="77777777" w:rsidTr="003D5269">
        <w:trPr>
          <w:trHeight w:val="312"/>
        </w:trPr>
        <w:tc>
          <w:tcPr>
            <w:tcW w:w="9209" w:type="dxa"/>
            <w:noWrap/>
          </w:tcPr>
          <w:p w14:paraId="388B7A58" w14:textId="77777777" w:rsidR="00052FF4" w:rsidRPr="00802B02" w:rsidRDefault="00052FF4" w:rsidP="00FB4A03">
            <w:r w:rsidRPr="00802B02">
              <w:t>iXc - InnovationXChange</w:t>
            </w:r>
          </w:p>
        </w:tc>
      </w:tr>
      <w:tr w:rsidR="00052FF4" w:rsidRPr="00802B02" w14:paraId="58B32197" w14:textId="77777777" w:rsidTr="003D5269">
        <w:trPr>
          <w:trHeight w:val="312"/>
        </w:trPr>
        <w:tc>
          <w:tcPr>
            <w:tcW w:w="9209" w:type="dxa"/>
            <w:noWrap/>
            <w:hideMark/>
          </w:tcPr>
          <w:p w14:paraId="36C257E8" w14:textId="77777777" w:rsidR="00052FF4" w:rsidRPr="00802B02" w:rsidRDefault="00052FF4" w:rsidP="00FB4A03">
            <w:r w:rsidRPr="00802B02">
              <w:t>IDPs</w:t>
            </w:r>
            <w:r w:rsidR="003D5269" w:rsidRPr="00802B02">
              <w:t xml:space="preserve"> </w:t>
            </w:r>
            <w:r w:rsidRPr="00802B02">
              <w:t>- Internally Displaced Persons</w:t>
            </w:r>
          </w:p>
        </w:tc>
      </w:tr>
      <w:tr w:rsidR="00052FF4" w:rsidRPr="00802B02" w14:paraId="427B678C" w14:textId="77777777" w:rsidTr="003D5269">
        <w:trPr>
          <w:trHeight w:val="312"/>
        </w:trPr>
        <w:tc>
          <w:tcPr>
            <w:tcW w:w="9209" w:type="dxa"/>
            <w:noWrap/>
            <w:hideMark/>
          </w:tcPr>
          <w:p w14:paraId="6B1C948A" w14:textId="77777777" w:rsidR="00052FF4" w:rsidRPr="00802B02" w:rsidRDefault="00052FF4" w:rsidP="00FB4A03">
            <w:r w:rsidRPr="00802B02">
              <w:t>KYC</w:t>
            </w:r>
            <w:r w:rsidR="003D5269" w:rsidRPr="00802B02">
              <w:t xml:space="preserve"> </w:t>
            </w:r>
            <w:r w:rsidRPr="00802B02">
              <w:t>- Know-Your-Customer</w:t>
            </w:r>
          </w:p>
        </w:tc>
      </w:tr>
      <w:tr w:rsidR="00052FF4" w:rsidRPr="00802B02" w14:paraId="20BC2004" w14:textId="77777777" w:rsidTr="003D5269">
        <w:trPr>
          <w:trHeight w:val="312"/>
        </w:trPr>
        <w:tc>
          <w:tcPr>
            <w:tcW w:w="9209" w:type="dxa"/>
            <w:noWrap/>
          </w:tcPr>
          <w:p w14:paraId="1340319D" w14:textId="77777777" w:rsidR="00052FF4" w:rsidRPr="00802B02" w:rsidRDefault="00052FF4" w:rsidP="00FB4A03">
            <w:r w:rsidRPr="00802B02">
              <w:t xml:space="preserve">MEAL </w:t>
            </w:r>
            <w:r w:rsidR="0090304E">
              <w:t>-</w:t>
            </w:r>
            <w:r w:rsidRPr="00802B02">
              <w:t xml:space="preserve"> Monitoring</w:t>
            </w:r>
            <w:r w:rsidR="0090304E">
              <w:t xml:space="preserve">, </w:t>
            </w:r>
            <w:r w:rsidRPr="00802B02">
              <w:t>Evaluation and Learning</w:t>
            </w:r>
          </w:p>
        </w:tc>
      </w:tr>
      <w:tr w:rsidR="00052FF4" w:rsidRPr="00802B02" w14:paraId="60B06BF9" w14:textId="77777777" w:rsidTr="003D5269">
        <w:trPr>
          <w:trHeight w:val="312"/>
        </w:trPr>
        <w:tc>
          <w:tcPr>
            <w:tcW w:w="9209" w:type="dxa"/>
            <w:noWrap/>
          </w:tcPr>
          <w:p w14:paraId="6C24F3F8" w14:textId="77777777" w:rsidR="00052FF4" w:rsidRPr="00802B02" w:rsidRDefault="00052FF4" w:rsidP="00FB4A03">
            <w:r w:rsidRPr="00802B02">
              <w:t>NFSI - National Strategy for Financial Inclusion</w:t>
            </w:r>
          </w:p>
        </w:tc>
      </w:tr>
      <w:tr w:rsidR="00052FF4" w:rsidRPr="00802B02" w14:paraId="722F3F4E" w14:textId="77777777" w:rsidTr="003D5269">
        <w:trPr>
          <w:trHeight w:val="312"/>
        </w:trPr>
        <w:tc>
          <w:tcPr>
            <w:tcW w:w="9209" w:type="dxa"/>
            <w:noWrap/>
          </w:tcPr>
          <w:p w14:paraId="6B2B2B76" w14:textId="77777777" w:rsidR="00052FF4" w:rsidRPr="00802B02" w:rsidRDefault="00052FF4" w:rsidP="00FB4A03">
            <w:r w:rsidRPr="00E824DE">
              <w:t xml:space="preserve">NCAS </w:t>
            </w:r>
            <w:r w:rsidR="0090304E" w:rsidRPr="00E824DE">
              <w:t>-</w:t>
            </w:r>
            <w:r w:rsidRPr="0090304E">
              <w:t xml:space="preserve"> </w:t>
            </w:r>
            <w:r w:rsidR="0090304E" w:rsidRPr="0090304E">
              <w:t>Notice of cash</w:t>
            </w:r>
            <w:r w:rsidR="0090304E">
              <w:t xml:space="preserve"> allocation</w:t>
            </w:r>
          </w:p>
        </w:tc>
      </w:tr>
      <w:tr w:rsidR="00052FF4" w:rsidRPr="00802B02" w14:paraId="26E0665D" w14:textId="77777777" w:rsidTr="003D5269">
        <w:trPr>
          <w:trHeight w:val="312"/>
        </w:trPr>
        <w:tc>
          <w:tcPr>
            <w:tcW w:w="9209" w:type="dxa"/>
            <w:noWrap/>
            <w:hideMark/>
          </w:tcPr>
          <w:p w14:paraId="199C93D7" w14:textId="77777777" w:rsidR="00052FF4" w:rsidRPr="00802B02" w:rsidRDefault="00052FF4" w:rsidP="00FB4A03">
            <w:r w:rsidRPr="00802B02">
              <w:t>OCCI</w:t>
            </w:r>
            <w:r w:rsidR="003D5269" w:rsidRPr="00802B02">
              <w:t xml:space="preserve"> </w:t>
            </w:r>
            <w:r w:rsidRPr="00802B02">
              <w:t>- Metro Ormoc Community Multi-Purpose Cooperative, Inc.</w:t>
            </w:r>
          </w:p>
        </w:tc>
      </w:tr>
      <w:tr w:rsidR="00052FF4" w:rsidRPr="00802B02" w14:paraId="37B597FF" w14:textId="77777777" w:rsidTr="003D5269">
        <w:trPr>
          <w:trHeight w:val="312"/>
        </w:trPr>
        <w:tc>
          <w:tcPr>
            <w:tcW w:w="9209" w:type="dxa"/>
            <w:noWrap/>
          </w:tcPr>
          <w:p w14:paraId="09C3CDAA" w14:textId="77777777" w:rsidR="00052FF4" w:rsidRPr="00802B02" w:rsidRDefault="00052FF4" w:rsidP="00FB4A03">
            <w:r w:rsidRPr="00802B02">
              <w:t>OECD-DAC -</w:t>
            </w:r>
            <w:r w:rsidR="003D5269" w:rsidRPr="00802B02">
              <w:t xml:space="preserve"> </w:t>
            </w:r>
            <w:r w:rsidRPr="00802B02">
              <w:t>Organization for Economic Cooperation and Development-Development Assistance Committee</w:t>
            </w:r>
          </w:p>
        </w:tc>
      </w:tr>
      <w:tr w:rsidR="00052FF4" w:rsidRPr="00802B02" w14:paraId="09AFC6C3" w14:textId="77777777" w:rsidTr="003D5269">
        <w:trPr>
          <w:trHeight w:val="312"/>
        </w:trPr>
        <w:tc>
          <w:tcPr>
            <w:tcW w:w="9209" w:type="dxa"/>
            <w:noWrap/>
          </w:tcPr>
          <w:p w14:paraId="4C94F60A" w14:textId="77777777" w:rsidR="00052FF4" w:rsidRPr="00802B02" w:rsidRDefault="00052FF4" w:rsidP="00FB4A03">
            <w:r w:rsidRPr="00802B02">
              <w:t xml:space="preserve">PDP </w:t>
            </w:r>
            <w:r w:rsidR="0090304E">
              <w:t>-</w:t>
            </w:r>
            <w:r w:rsidRPr="00802B02">
              <w:t xml:space="preserve"> Philippine Development Plan</w:t>
            </w:r>
            <w:r w:rsidR="0090304E">
              <w:t xml:space="preserve"> 2017-22</w:t>
            </w:r>
          </w:p>
        </w:tc>
      </w:tr>
      <w:tr w:rsidR="00052FF4" w:rsidRPr="00802B02" w14:paraId="4BA35193" w14:textId="77777777" w:rsidTr="003D5269">
        <w:trPr>
          <w:trHeight w:val="312"/>
        </w:trPr>
        <w:tc>
          <w:tcPr>
            <w:tcW w:w="9209" w:type="dxa"/>
            <w:noWrap/>
          </w:tcPr>
          <w:p w14:paraId="3768D43F" w14:textId="77777777" w:rsidR="00052FF4" w:rsidRPr="00802B02" w:rsidRDefault="00052FF4" w:rsidP="00FB4A03">
            <w:r w:rsidRPr="00802B02">
              <w:t xml:space="preserve">PIN </w:t>
            </w:r>
            <w:r w:rsidR="0090304E">
              <w:t>-</w:t>
            </w:r>
            <w:r w:rsidRPr="00802B02">
              <w:t xml:space="preserve"> Personal Identification Number</w:t>
            </w:r>
          </w:p>
        </w:tc>
      </w:tr>
      <w:tr w:rsidR="00052FF4" w:rsidRPr="00802B02" w14:paraId="076666C3" w14:textId="77777777" w:rsidTr="003D5269">
        <w:trPr>
          <w:trHeight w:val="312"/>
        </w:trPr>
        <w:tc>
          <w:tcPr>
            <w:tcW w:w="9209" w:type="dxa"/>
            <w:noWrap/>
            <w:hideMark/>
          </w:tcPr>
          <w:p w14:paraId="537D4254" w14:textId="77777777" w:rsidR="00052FF4" w:rsidRPr="00802B02" w:rsidRDefault="00052FF4" w:rsidP="00FB4A03">
            <w:r w:rsidRPr="00802B02">
              <w:t>POS</w:t>
            </w:r>
            <w:r w:rsidR="003D5269" w:rsidRPr="00802B02">
              <w:t xml:space="preserve"> </w:t>
            </w:r>
            <w:r w:rsidRPr="00802B02">
              <w:t>- Point-Of-Sale</w:t>
            </w:r>
          </w:p>
        </w:tc>
      </w:tr>
      <w:tr w:rsidR="00052FF4" w:rsidRPr="00802B02" w14:paraId="35746292" w14:textId="77777777" w:rsidTr="003D5269">
        <w:trPr>
          <w:trHeight w:val="312"/>
        </w:trPr>
        <w:tc>
          <w:tcPr>
            <w:tcW w:w="9209" w:type="dxa"/>
            <w:noWrap/>
            <w:hideMark/>
          </w:tcPr>
          <w:p w14:paraId="7E80FCEF" w14:textId="77777777" w:rsidR="00052FF4" w:rsidRPr="00802B02" w:rsidRDefault="00052FF4" w:rsidP="00FB4A03">
            <w:r w:rsidRPr="00802B02">
              <w:t>TFPSA</w:t>
            </w:r>
            <w:r w:rsidR="003D5269" w:rsidRPr="00802B02">
              <w:t xml:space="preserve"> </w:t>
            </w:r>
            <w:r w:rsidRPr="00802B02">
              <w:t>- Terrorist Financing Prevention and Suppression Act</w:t>
            </w:r>
          </w:p>
        </w:tc>
      </w:tr>
      <w:tr w:rsidR="00052FF4" w:rsidRPr="00802B02" w14:paraId="22763E27" w14:textId="77777777" w:rsidTr="003D5269">
        <w:trPr>
          <w:trHeight w:val="312"/>
        </w:trPr>
        <w:tc>
          <w:tcPr>
            <w:tcW w:w="9209" w:type="dxa"/>
            <w:noWrap/>
          </w:tcPr>
          <w:p w14:paraId="4CF65DB8" w14:textId="77777777" w:rsidR="00052FF4" w:rsidRPr="00802B02" w:rsidRDefault="00052FF4" w:rsidP="00FB4A03">
            <w:r w:rsidRPr="00802B02">
              <w:t>USAID - United States Agency for International Development</w:t>
            </w:r>
          </w:p>
        </w:tc>
      </w:tr>
    </w:tbl>
    <w:p w14:paraId="2D3B1DA2" w14:textId="77777777" w:rsidR="001063BF" w:rsidRPr="00802B02" w:rsidRDefault="001063BF" w:rsidP="00547407">
      <w:pPr>
        <w:sectPr w:rsidR="001063BF" w:rsidRPr="00802B02" w:rsidSect="00547407">
          <w:headerReference w:type="default" r:id="rId19"/>
          <w:footerReference w:type="default" r:id="rId20"/>
          <w:pgSz w:w="11906" w:h="16838" w:code="9"/>
          <w:pgMar w:top="1440" w:right="1440" w:bottom="1440" w:left="1440" w:header="720" w:footer="720" w:gutter="0"/>
          <w:pgNumType w:start="0"/>
          <w:cols w:space="720"/>
          <w:docGrid w:linePitch="360"/>
        </w:sectPr>
      </w:pPr>
    </w:p>
    <w:sdt>
      <w:sdtPr>
        <w:rPr>
          <w:rFonts w:ascii="Calibri" w:eastAsiaTheme="minorHAnsi" w:hAnsi="Calibri" w:cstheme="minorBidi"/>
          <w:color w:val="auto"/>
          <w:sz w:val="24"/>
          <w:szCs w:val="22"/>
        </w:rPr>
        <w:id w:val="-249269680"/>
        <w:docPartObj>
          <w:docPartGallery w:val="Table of Contents"/>
          <w:docPartUnique/>
        </w:docPartObj>
      </w:sdtPr>
      <w:sdtEndPr>
        <w:rPr>
          <w:b/>
          <w:bCs/>
          <w:noProof/>
        </w:rPr>
      </w:sdtEndPr>
      <w:sdtContent>
        <w:p w14:paraId="4FECA3EC" w14:textId="77777777" w:rsidR="00403A52" w:rsidRPr="00802B02" w:rsidRDefault="00403A52">
          <w:pPr>
            <w:pStyle w:val="TOCHeading"/>
          </w:pPr>
          <w:r w:rsidRPr="00802B02">
            <w:t>Table of Contents</w:t>
          </w:r>
        </w:p>
        <w:p w14:paraId="445966EE" w14:textId="0C24251C" w:rsidR="00346A7B" w:rsidRDefault="00403A52">
          <w:pPr>
            <w:pStyle w:val="TOC1"/>
            <w:tabs>
              <w:tab w:val="right" w:leader="dot" w:pos="9016"/>
            </w:tabs>
            <w:rPr>
              <w:rFonts w:asciiTheme="minorHAnsi" w:eastAsiaTheme="minorEastAsia" w:hAnsiTheme="minorHAnsi"/>
              <w:noProof/>
              <w:sz w:val="22"/>
              <w:lang w:val="en-CA" w:eastAsia="en-CA"/>
            </w:rPr>
          </w:pPr>
          <w:r w:rsidRPr="00802B02">
            <w:fldChar w:fldCharType="begin"/>
          </w:r>
          <w:r w:rsidRPr="00802B02">
            <w:instrText xml:space="preserve"> TOC \o "1-3" \h \z \u </w:instrText>
          </w:r>
          <w:r w:rsidRPr="00802B02">
            <w:fldChar w:fldCharType="separate"/>
          </w:r>
          <w:hyperlink w:anchor="_Toc26180868" w:history="1">
            <w:r w:rsidR="00346A7B" w:rsidRPr="00934FDF">
              <w:rPr>
                <w:rStyle w:val="Hyperlink"/>
                <w:noProof/>
              </w:rPr>
              <w:t>Executive Summary</w:t>
            </w:r>
            <w:r w:rsidR="00346A7B">
              <w:rPr>
                <w:noProof/>
                <w:webHidden/>
              </w:rPr>
              <w:tab/>
            </w:r>
            <w:r w:rsidR="00346A7B">
              <w:rPr>
                <w:noProof/>
                <w:webHidden/>
              </w:rPr>
              <w:fldChar w:fldCharType="begin"/>
            </w:r>
            <w:r w:rsidR="00346A7B">
              <w:rPr>
                <w:noProof/>
                <w:webHidden/>
              </w:rPr>
              <w:instrText xml:space="preserve"> PAGEREF _Toc26180868 \h </w:instrText>
            </w:r>
            <w:r w:rsidR="00346A7B">
              <w:rPr>
                <w:noProof/>
                <w:webHidden/>
              </w:rPr>
            </w:r>
            <w:r w:rsidR="00346A7B">
              <w:rPr>
                <w:noProof/>
                <w:webHidden/>
              </w:rPr>
              <w:fldChar w:fldCharType="separate"/>
            </w:r>
            <w:r w:rsidR="00E75A4E">
              <w:rPr>
                <w:noProof/>
                <w:webHidden/>
              </w:rPr>
              <w:t>i</w:t>
            </w:r>
            <w:r w:rsidR="00346A7B">
              <w:rPr>
                <w:noProof/>
                <w:webHidden/>
              </w:rPr>
              <w:fldChar w:fldCharType="end"/>
            </w:r>
          </w:hyperlink>
        </w:p>
        <w:p w14:paraId="34CE9C44" w14:textId="0B426FFF" w:rsidR="00346A7B" w:rsidRDefault="00347D32">
          <w:pPr>
            <w:pStyle w:val="TOC1"/>
            <w:tabs>
              <w:tab w:val="left" w:pos="480"/>
              <w:tab w:val="right" w:leader="dot" w:pos="9016"/>
            </w:tabs>
            <w:rPr>
              <w:rFonts w:asciiTheme="minorHAnsi" w:eastAsiaTheme="minorEastAsia" w:hAnsiTheme="minorHAnsi"/>
              <w:noProof/>
              <w:sz w:val="22"/>
              <w:lang w:val="en-CA" w:eastAsia="en-CA"/>
            </w:rPr>
          </w:pPr>
          <w:hyperlink w:anchor="_Toc26180869" w:history="1">
            <w:r w:rsidR="00346A7B" w:rsidRPr="00934FDF">
              <w:rPr>
                <w:rStyle w:val="Hyperlink"/>
                <w:noProof/>
              </w:rPr>
              <w:t>1</w:t>
            </w:r>
            <w:r w:rsidR="00346A7B">
              <w:rPr>
                <w:rFonts w:asciiTheme="minorHAnsi" w:eastAsiaTheme="minorEastAsia" w:hAnsiTheme="minorHAnsi"/>
                <w:noProof/>
                <w:sz w:val="22"/>
                <w:lang w:val="en-CA" w:eastAsia="en-CA"/>
              </w:rPr>
              <w:tab/>
            </w:r>
            <w:r w:rsidR="00346A7B" w:rsidRPr="00934FDF">
              <w:rPr>
                <w:rStyle w:val="Hyperlink"/>
                <w:noProof/>
              </w:rPr>
              <w:t>Purpose</w:t>
            </w:r>
            <w:r w:rsidR="00346A7B">
              <w:rPr>
                <w:noProof/>
                <w:webHidden/>
              </w:rPr>
              <w:tab/>
            </w:r>
            <w:r w:rsidR="00346A7B">
              <w:rPr>
                <w:noProof/>
                <w:webHidden/>
              </w:rPr>
              <w:fldChar w:fldCharType="begin"/>
            </w:r>
            <w:r w:rsidR="00346A7B">
              <w:rPr>
                <w:noProof/>
                <w:webHidden/>
              </w:rPr>
              <w:instrText xml:space="preserve"> PAGEREF _Toc26180869 \h </w:instrText>
            </w:r>
            <w:r w:rsidR="00346A7B">
              <w:rPr>
                <w:noProof/>
                <w:webHidden/>
              </w:rPr>
            </w:r>
            <w:r w:rsidR="00346A7B">
              <w:rPr>
                <w:noProof/>
                <w:webHidden/>
              </w:rPr>
              <w:fldChar w:fldCharType="separate"/>
            </w:r>
            <w:r w:rsidR="00E75A4E">
              <w:rPr>
                <w:noProof/>
                <w:webHidden/>
              </w:rPr>
              <w:t>1</w:t>
            </w:r>
            <w:r w:rsidR="00346A7B">
              <w:rPr>
                <w:noProof/>
                <w:webHidden/>
              </w:rPr>
              <w:fldChar w:fldCharType="end"/>
            </w:r>
          </w:hyperlink>
        </w:p>
        <w:p w14:paraId="754DB471" w14:textId="026F5483"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70" w:history="1">
            <w:r w:rsidR="00346A7B" w:rsidRPr="00934FDF">
              <w:rPr>
                <w:rStyle w:val="Hyperlink"/>
                <w:noProof/>
              </w:rPr>
              <w:t>1.1</w:t>
            </w:r>
            <w:r w:rsidR="00346A7B">
              <w:rPr>
                <w:rFonts w:asciiTheme="minorHAnsi" w:eastAsiaTheme="minorEastAsia" w:hAnsiTheme="minorHAnsi"/>
                <w:noProof/>
                <w:sz w:val="22"/>
                <w:lang w:val="en-CA" w:eastAsia="en-CA"/>
              </w:rPr>
              <w:tab/>
            </w:r>
            <w:r w:rsidR="00346A7B" w:rsidRPr="00934FDF">
              <w:rPr>
                <w:rStyle w:val="Hyperlink"/>
                <w:noProof/>
              </w:rPr>
              <w:t>Purpose</w:t>
            </w:r>
            <w:r w:rsidR="00346A7B">
              <w:rPr>
                <w:noProof/>
                <w:webHidden/>
              </w:rPr>
              <w:tab/>
            </w:r>
            <w:r w:rsidR="00346A7B">
              <w:rPr>
                <w:noProof/>
                <w:webHidden/>
              </w:rPr>
              <w:fldChar w:fldCharType="begin"/>
            </w:r>
            <w:r w:rsidR="00346A7B">
              <w:rPr>
                <w:noProof/>
                <w:webHidden/>
              </w:rPr>
              <w:instrText xml:space="preserve"> PAGEREF _Toc26180870 \h </w:instrText>
            </w:r>
            <w:r w:rsidR="00346A7B">
              <w:rPr>
                <w:noProof/>
                <w:webHidden/>
              </w:rPr>
            </w:r>
            <w:r w:rsidR="00346A7B">
              <w:rPr>
                <w:noProof/>
                <w:webHidden/>
              </w:rPr>
              <w:fldChar w:fldCharType="separate"/>
            </w:r>
            <w:r w:rsidR="00E75A4E">
              <w:rPr>
                <w:noProof/>
                <w:webHidden/>
              </w:rPr>
              <w:t>1</w:t>
            </w:r>
            <w:r w:rsidR="00346A7B">
              <w:rPr>
                <w:noProof/>
                <w:webHidden/>
              </w:rPr>
              <w:fldChar w:fldCharType="end"/>
            </w:r>
          </w:hyperlink>
        </w:p>
        <w:p w14:paraId="411047CA" w14:textId="28B6A87A"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71" w:history="1">
            <w:r w:rsidR="00346A7B" w:rsidRPr="00934FDF">
              <w:rPr>
                <w:rStyle w:val="Hyperlink"/>
                <w:noProof/>
              </w:rPr>
              <w:t>1.2</w:t>
            </w:r>
            <w:r w:rsidR="00346A7B">
              <w:rPr>
                <w:rFonts w:asciiTheme="minorHAnsi" w:eastAsiaTheme="minorEastAsia" w:hAnsiTheme="minorHAnsi"/>
                <w:noProof/>
                <w:sz w:val="22"/>
                <w:lang w:val="en-CA" w:eastAsia="en-CA"/>
              </w:rPr>
              <w:tab/>
            </w:r>
            <w:r w:rsidR="00346A7B" w:rsidRPr="00934FDF">
              <w:rPr>
                <w:rStyle w:val="Hyperlink"/>
                <w:noProof/>
              </w:rPr>
              <w:t>Methodology</w:t>
            </w:r>
            <w:r w:rsidR="00346A7B">
              <w:rPr>
                <w:noProof/>
                <w:webHidden/>
              </w:rPr>
              <w:tab/>
            </w:r>
            <w:r w:rsidR="00346A7B">
              <w:rPr>
                <w:noProof/>
                <w:webHidden/>
              </w:rPr>
              <w:fldChar w:fldCharType="begin"/>
            </w:r>
            <w:r w:rsidR="00346A7B">
              <w:rPr>
                <w:noProof/>
                <w:webHidden/>
              </w:rPr>
              <w:instrText xml:space="preserve"> PAGEREF _Toc26180871 \h </w:instrText>
            </w:r>
            <w:r w:rsidR="00346A7B">
              <w:rPr>
                <w:noProof/>
                <w:webHidden/>
              </w:rPr>
            </w:r>
            <w:r w:rsidR="00346A7B">
              <w:rPr>
                <w:noProof/>
                <w:webHidden/>
              </w:rPr>
              <w:fldChar w:fldCharType="separate"/>
            </w:r>
            <w:r w:rsidR="00E75A4E">
              <w:rPr>
                <w:noProof/>
                <w:webHidden/>
              </w:rPr>
              <w:t>2</w:t>
            </w:r>
            <w:r w:rsidR="00346A7B">
              <w:rPr>
                <w:noProof/>
                <w:webHidden/>
              </w:rPr>
              <w:fldChar w:fldCharType="end"/>
            </w:r>
          </w:hyperlink>
        </w:p>
        <w:p w14:paraId="289EEA39" w14:textId="27A1C27F"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72" w:history="1">
            <w:r w:rsidR="00346A7B" w:rsidRPr="00934FDF">
              <w:rPr>
                <w:rStyle w:val="Hyperlink"/>
                <w:noProof/>
              </w:rPr>
              <w:t>1.2.1</w:t>
            </w:r>
            <w:r w:rsidR="00346A7B">
              <w:rPr>
                <w:rFonts w:asciiTheme="minorHAnsi" w:eastAsiaTheme="minorEastAsia" w:hAnsiTheme="minorHAnsi"/>
                <w:noProof/>
                <w:sz w:val="22"/>
                <w:lang w:val="en-CA" w:eastAsia="en-CA"/>
              </w:rPr>
              <w:tab/>
            </w:r>
            <w:r w:rsidR="00346A7B" w:rsidRPr="00934FDF">
              <w:rPr>
                <w:rStyle w:val="Hyperlink"/>
                <w:noProof/>
              </w:rPr>
              <w:t>AQC Rating Methodology</w:t>
            </w:r>
            <w:r w:rsidR="00346A7B">
              <w:rPr>
                <w:noProof/>
                <w:webHidden/>
              </w:rPr>
              <w:tab/>
            </w:r>
            <w:r w:rsidR="00346A7B">
              <w:rPr>
                <w:noProof/>
                <w:webHidden/>
              </w:rPr>
              <w:fldChar w:fldCharType="begin"/>
            </w:r>
            <w:r w:rsidR="00346A7B">
              <w:rPr>
                <w:noProof/>
                <w:webHidden/>
              </w:rPr>
              <w:instrText xml:space="preserve"> PAGEREF _Toc26180872 \h </w:instrText>
            </w:r>
            <w:r w:rsidR="00346A7B">
              <w:rPr>
                <w:noProof/>
                <w:webHidden/>
              </w:rPr>
            </w:r>
            <w:r w:rsidR="00346A7B">
              <w:rPr>
                <w:noProof/>
                <w:webHidden/>
              </w:rPr>
              <w:fldChar w:fldCharType="separate"/>
            </w:r>
            <w:r w:rsidR="00E75A4E">
              <w:rPr>
                <w:noProof/>
                <w:webHidden/>
              </w:rPr>
              <w:t>2</w:t>
            </w:r>
            <w:r w:rsidR="00346A7B">
              <w:rPr>
                <w:noProof/>
                <w:webHidden/>
              </w:rPr>
              <w:fldChar w:fldCharType="end"/>
            </w:r>
          </w:hyperlink>
        </w:p>
        <w:p w14:paraId="738C5E60" w14:textId="028B44D2"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73" w:history="1">
            <w:r w:rsidR="00346A7B" w:rsidRPr="00934FDF">
              <w:rPr>
                <w:rStyle w:val="Hyperlink"/>
                <w:noProof/>
              </w:rPr>
              <w:t>1.2.2</w:t>
            </w:r>
            <w:r w:rsidR="00346A7B">
              <w:rPr>
                <w:rFonts w:asciiTheme="minorHAnsi" w:eastAsiaTheme="minorEastAsia" w:hAnsiTheme="minorHAnsi"/>
                <w:noProof/>
                <w:sz w:val="22"/>
                <w:lang w:val="en-CA" w:eastAsia="en-CA"/>
              </w:rPr>
              <w:tab/>
            </w:r>
            <w:r w:rsidR="00346A7B" w:rsidRPr="00934FDF">
              <w:rPr>
                <w:rStyle w:val="Hyperlink"/>
                <w:noProof/>
              </w:rPr>
              <w:t>AQC Criteria and IAFFORD Evaluation Questions</w:t>
            </w:r>
            <w:r w:rsidR="00346A7B">
              <w:rPr>
                <w:noProof/>
                <w:webHidden/>
              </w:rPr>
              <w:tab/>
            </w:r>
            <w:r w:rsidR="00346A7B">
              <w:rPr>
                <w:noProof/>
                <w:webHidden/>
              </w:rPr>
              <w:fldChar w:fldCharType="begin"/>
            </w:r>
            <w:r w:rsidR="00346A7B">
              <w:rPr>
                <w:noProof/>
                <w:webHidden/>
              </w:rPr>
              <w:instrText xml:space="preserve"> PAGEREF _Toc26180873 \h </w:instrText>
            </w:r>
            <w:r w:rsidR="00346A7B">
              <w:rPr>
                <w:noProof/>
                <w:webHidden/>
              </w:rPr>
            </w:r>
            <w:r w:rsidR="00346A7B">
              <w:rPr>
                <w:noProof/>
                <w:webHidden/>
              </w:rPr>
              <w:fldChar w:fldCharType="separate"/>
            </w:r>
            <w:r w:rsidR="00E75A4E">
              <w:rPr>
                <w:noProof/>
                <w:webHidden/>
              </w:rPr>
              <w:t>3</w:t>
            </w:r>
            <w:r w:rsidR="00346A7B">
              <w:rPr>
                <w:noProof/>
                <w:webHidden/>
              </w:rPr>
              <w:fldChar w:fldCharType="end"/>
            </w:r>
          </w:hyperlink>
        </w:p>
        <w:p w14:paraId="6B0D88A0" w14:textId="32697D17" w:rsidR="00346A7B" w:rsidRDefault="00347D32">
          <w:pPr>
            <w:pStyle w:val="TOC1"/>
            <w:tabs>
              <w:tab w:val="left" w:pos="480"/>
              <w:tab w:val="right" w:leader="dot" w:pos="9016"/>
            </w:tabs>
            <w:rPr>
              <w:rFonts w:asciiTheme="minorHAnsi" w:eastAsiaTheme="minorEastAsia" w:hAnsiTheme="minorHAnsi"/>
              <w:noProof/>
              <w:sz w:val="22"/>
              <w:lang w:val="en-CA" w:eastAsia="en-CA"/>
            </w:rPr>
          </w:pPr>
          <w:hyperlink w:anchor="_Toc26180874" w:history="1">
            <w:r w:rsidR="00346A7B" w:rsidRPr="00934FDF">
              <w:rPr>
                <w:rStyle w:val="Hyperlink"/>
                <w:noProof/>
              </w:rPr>
              <w:t>2</w:t>
            </w:r>
            <w:r w:rsidR="00346A7B">
              <w:rPr>
                <w:rFonts w:asciiTheme="minorHAnsi" w:eastAsiaTheme="minorEastAsia" w:hAnsiTheme="minorHAnsi"/>
                <w:noProof/>
                <w:sz w:val="22"/>
                <w:lang w:val="en-CA" w:eastAsia="en-CA"/>
              </w:rPr>
              <w:tab/>
            </w:r>
            <w:r w:rsidR="00346A7B" w:rsidRPr="00934FDF">
              <w:rPr>
                <w:rStyle w:val="Hyperlink"/>
                <w:noProof/>
              </w:rPr>
              <w:t>History of IAFFORD’s Investment Design</w:t>
            </w:r>
            <w:r w:rsidR="00346A7B">
              <w:rPr>
                <w:noProof/>
                <w:webHidden/>
              </w:rPr>
              <w:tab/>
            </w:r>
            <w:r w:rsidR="00346A7B">
              <w:rPr>
                <w:noProof/>
                <w:webHidden/>
              </w:rPr>
              <w:fldChar w:fldCharType="begin"/>
            </w:r>
            <w:r w:rsidR="00346A7B">
              <w:rPr>
                <w:noProof/>
                <w:webHidden/>
              </w:rPr>
              <w:instrText xml:space="preserve"> PAGEREF _Toc26180874 \h </w:instrText>
            </w:r>
            <w:r w:rsidR="00346A7B">
              <w:rPr>
                <w:noProof/>
                <w:webHidden/>
              </w:rPr>
            </w:r>
            <w:r w:rsidR="00346A7B">
              <w:rPr>
                <w:noProof/>
                <w:webHidden/>
              </w:rPr>
              <w:fldChar w:fldCharType="separate"/>
            </w:r>
            <w:r w:rsidR="00E75A4E">
              <w:rPr>
                <w:noProof/>
                <w:webHidden/>
              </w:rPr>
              <w:t>4</w:t>
            </w:r>
            <w:r w:rsidR="00346A7B">
              <w:rPr>
                <w:noProof/>
                <w:webHidden/>
              </w:rPr>
              <w:fldChar w:fldCharType="end"/>
            </w:r>
          </w:hyperlink>
        </w:p>
        <w:p w14:paraId="013F56CB" w14:textId="0FE146DF" w:rsidR="00346A7B" w:rsidRDefault="00347D32">
          <w:pPr>
            <w:pStyle w:val="TOC1"/>
            <w:tabs>
              <w:tab w:val="left" w:pos="480"/>
              <w:tab w:val="right" w:leader="dot" w:pos="9016"/>
            </w:tabs>
            <w:rPr>
              <w:rFonts w:asciiTheme="minorHAnsi" w:eastAsiaTheme="minorEastAsia" w:hAnsiTheme="minorHAnsi"/>
              <w:noProof/>
              <w:sz w:val="22"/>
              <w:lang w:val="en-CA" w:eastAsia="en-CA"/>
            </w:rPr>
          </w:pPr>
          <w:hyperlink w:anchor="_Toc26180875" w:history="1">
            <w:r w:rsidR="00346A7B" w:rsidRPr="00934FDF">
              <w:rPr>
                <w:rStyle w:val="Hyperlink"/>
                <w:noProof/>
              </w:rPr>
              <w:t>3</w:t>
            </w:r>
            <w:r w:rsidR="00346A7B">
              <w:rPr>
                <w:rFonts w:asciiTheme="minorHAnsi" w:eastAsiaTheme="minorEastAsia" w:hAnsiTheme="minorHAnsi"/>
                <w:noProof/>
                <w:sz w:val="22"/>
                <w:lang w:val="en-CA" w:eastAsia="en-CA"/>
              </w:rPr>
              <w:tab/>
            </w:r>
            <w:r w:rsidR="00346A7B" w:rsidRPr="00934FDF">
              <w:rPr>
                <w:rStyle w:val="Hyperlink"/>
                <w:noProof/>
              </w:rPr>
              <w:t>Evaluation Findings</w:t>
            </w:r>
            <w:r w:rsidR="00346A7B">
              <w:rPr>
                <w:noProof/>
                <w:webHidden/>
              </w:rPr>
              <w:tab/>
            </w:r>
            <w:r w:rsidR="00346A7B">
              <w:rPr>
                <w:noProof/>
                <w:webHidden/>
              </w:rPr>
              <w:fldChar w:fldCharType="begin"/>
            </w:r>
            <w:r w:rsidR="00346A7B">
              <w:rPr>
                <w:noProof/>
                <w:webHidden/>
              </w:rPr>
              <w:instrText xml:space="preserve"> PAGEREF _Toc26180875 \h </w:instrText>
            </w:r>
            <w:r w:rsidR="00346A7B">
              <w:rPr>
                <w:noProof/>
                <w:webHidden/>
              </w:rPr>
            </w:r>
            <w:r w:rsidR="00346A7B">
              <w:rPr>
                <w:noProof/>
                <w:webHidden/>
              </w:rPr>
              <w:fldChar w:fldCharType="separate"/>
            </w:r>
            <w:r w:rsidR="00E75A4E">
              <w:rPr>
                <w:noProof/>
                <w:webHidden/>
              </w:rPr>
              <w:t>6</w:t>
            </w:r>
            <w:r w:rsidR="00346A7B">
              <w:rPr>
                <w:noProof/>
                <w:webHidden/>
              </w:rPr>
              <w:fldChar w:fldCharType="end"/>
            </w:r>
          </w:hyperlink>
        </w:p>
        <w:p w14:paraId="75F1562D" w14:textId="5277E1B7"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76" w:history="1">
            <w:r w:rsidR="00346A7B" w:rsidRPr="00934FDF">
              <w:rPr>
                <w:rStyle w:val="Hyperlink"/>
                <w:noProof/>
              </w:rPr>
              <w:t>3.1</w:t>
            </w:r>
            <w:r w:rsidR="00346A7B">
              <w:rPr>
                <w:rFonts w:asciiTheme="minorHAnsi" w:eastAsiaTheme="minorEastAsia" w:hAnsiTheme="minorHAnsi"/>
                <w:noProof/>
                <w:sz w:val="22"/>
                <w:lang w:val="en-CA" w:eastAsia="en-CA"/>
              </w:rPr>
              <w:tab/>
            </w:r>
            <w:r w:rsidR="00346A7B" w:rsidRPr="00934FDF">
              <w:rPr>
                <w:rStyle w:val="Hyperlink"/>
                <w:noProof/>
              </w:rPr>
              <w:t>M&amp;E Systems</w:t>
            </w:r>
            <w:r w:rsidR="00346A7B">
              <w:rPr>
                <w:noProof/>
                <w:webHidden/>
              </w:rPr>
              <w:tab/>
            </w:r>
            <w:r w:rsidR="00346A7B">
              <w:rPr>
                <w:noProof/>
                <w:webHidden/>
              </w:rPr>
              <w:fldChar w:fldCharType="begin"/>
            </w:r>
            <w:r w:rsidR="00346A7B">
              <w:rPr>
                <w:noProof/>
                <w:webHidden/>
              </w:rPr>
              <w:instrText xml:space="preserve"> PAGEREF _Toc26180876 \h </w:instrText>
            </w:r>
            <w:r w:rsidR="00346A7B">
              <w:rPr>
                <w:noProof/>
                <w:webHidden/>
              </w:rPr>
            </w:r>
            <w:r w:rsidR="00346A7B">
              <w:rPr>
                <w:noProof/>
                <w:webHidden/>
              </w:rPr>
              <w:fldChar w:fldCharType="separate"/>
            </w:r>
            <w:r w:rsidR="00E75A4E">
              <w:rPr>
                <w:noProof/>
                <w:webHidden/>
              </w:rPr>
              <w:t>6</w:t>
            </w:r>
            <w:r w:rsidR="00346A7B">
              <w:rPr>
                <w:noProof/>
                <w:webHidden/>
              </w:rPr>
              <w:fldChar w:fldCharType="end"/>
            </w:r>
          </w:hyperlink>
        </w:p>
        <w:p w14:paraId="4683F189" w14:textId="0C89D9BE"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77" w:history="1">
            <w:r w:rsidR="00346A7B" w:rsidRPr="00934FDF">
              <w:rPr>
                <w:rStyle w:val="Hyperlink"/>
                <w:noProof/>
              </w:rPr>
              <w:t>3.1.1</w:t>
            </w:r>
            <w:r w:rsidR="00346A7B">
              <w:rPr>
                <w:rFonts w:asciiTheme="minorHAnsi" w:eastAsiaTheme="minorEastAsia" w:hAnsiTheme="minorHAnsi"/>
                <w:noProof/>
                <w:sz w:val="22"/>
                <w:lang w:val="en-CA" w:eastAsia="en-CA"/>
              </w:rPr>
              <w:tab/>
            </w:r>
            <w:r w:rsidR="00346A7B" w:rsidRPr="00934FDF">
              <w:rPr>
                <w:rStyle w:val="Hyperlink"/>
                <w:noProof/>
              </w:rPr>
              <w:t>M&amp;E Systems and Evidence-based Decision-making</w:t>
            </w:r>
            <w:r w:rsidR="00346A7B">
              <w:rPr>
                <w:noProof/>
                <w:webHidden/>
              </w:rPr>
              <w:tab/>
            </w:r>
            <w:r w:rsidR="00346A7B">
              <w:rPr>
                <w:noProof/>
                <w:webHidden/>
              </w:rPr>
              <w:fldChar w:fldCharType="begin"/>
            </w:r>
            <w:r w:rsidR="00346A7B">
              <w:rPr>
                <w:noProof/>
                <w:webHidden/>
              </w:rPr>
              <w:instrText xml:space="preserve"> PAGEREF _Toc26180877 \h </w:instrText>
            </w:r>
            <w:r w:rsidR="00346A7B">
              <w:rPr>
                <w:noProof/>
                <w:webHidden/>
              </w:rPr>
            </w:r>
            <w:r w:rsidR="00346A7B">
              <w:rPr>
                <w:noProof/>
                <w:webHidden/>
              </w:rPr>
              <w:fldChar w:fldCharType="separate"/>
            </w:r>
            <w:r w:rsidR="00E75A4E">
              <w:rPr>
                <w:noProof/>
                <w:webHidden/>
              </w:rPr>
              <w:t>6</w:t>
            </w:r>
            <w:r w:rsidR="00346A7B">
              <w:rPr>
                <w:noProof/>
                <w:webHidden/>
              </w:rPr>
              <w:fldChar w:fldCharType="end"/>
            </w:r>
          </w:hyperlink>
        </w:p>
        <w:p w14:paraId="4ED5FD72" w14:textId="01F58AAD"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78" w:history="1">
            <w:r w:rsidR="00346A7B" w:rsidRPr="00934FDF">
              <w:rPr>
                <w:rStyle w:val="Hyperlink"/>
                <w:noProof/>
              </w:rPr>
              <w:t>3.2</w:t>
            </w:r>
            <w:r w:rsidR="00346A7B">
              <w:rPr>
                <w:rFonts w:asciiTheme="minorHAnsi" w:eastAsiaTheme="minorEastAsia" w:hAnsiTheme="minorHAnsi"/>
                <w:noProof/>
                <w:sz w:val="22"/>
                <w:lang w:val="en-CA" w:eastAsia="en-CA"/>
              </w:rPr>
              <w:tab/>
            </w:r>
            <w:r w:rsidR="00346A7B" w:rsidRPr="00934FDF">
              <w:rPr>
                <w:rStyle w:val="Hyperlink"/>
                <w:noProof/>
              </w:rPr>
              <w:t>Effectiveness</w:t>
            </w:r>
            <w:r w:rsidR="00346A7B">
              <w:rPr>
                <w:noProof/>
                <w:webHidden/>
              </w:rPr>
              <w:tab/>
            </w:r>
            <w:r w:rsidR="00346A7B">
              <w:rPr>
                <w:noProof/>
                <w:webHidden/>
              </w:rPr>
              <w:fldChar w:fldCharType="begin"/>
            </w:r>
            <w:r w:rsidR="00346A7B">
              <w:rPr>
                <w:noProof/>
                <w:webHidden/>
              </w:rPr>
              <w:instrText xml:space="preserve"> PAGEREF _Toc26180878 \h </w:instrText>
            </w:r>
            <w:r w:rsidR="00346A7B">
              <w:rPr>
                <w:noProof/>
                <w:webHidden/>
              </w:rPr>
            </w:r>
            <w:r w:rsidR="00346A7B">
              <w:rPr>
                <w:noProof/>
                <w:webHidden/>
              </w:rPr>
              <w:fldChar w:fldCharType="separate"/>
            </w:r>
            <w:r w:rsidR="00E75A4E">
              <w:rPr>
                <w:noProof/>
                <w:webHidden/>
              </w:rPr>
              <w:t>8</w:t>
            </w:r>
            <w:r w:rsidR="00346A7B">
              <w:rPr>
                <w:noProof/>
                <w:webHidden/>
              </w:rPr>
              <w:fldChar w:fldCharType="end"/>
            </w:r>
          </w:hyperlink>
        </w:p>
        <w:p w14:paraId="0268CEBE" w14:textId="048AF27A"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79" w:history="1">
            <w:r w:rsidR="00346A7B" w:rsidRPr="00934FDF">
              <w:rPr>
                <w:rStyle w:val="Hyperlink"/>
                <w:noProof/>
              </w:rPr>
              <w:t>3.2.1</w:t>
            </w:r>
            <w:r w:rsidR="00346A7B">
              <w:rPr>
                <w:rFonts w:asciiTheme="minorHAnsi" w:eastAsiaTheme="minorEastAsia" w:hAnsiTheme="minorHAnsi"/>
                <w:noProof/>
                <w:sz w:val="22"/>
                <w:lang w:val="en-CA" w:eastAsia="en-CA"/>
              </w:rPr>
              <w:tab/>
            </w:r>
            <w:r w:rsidR="00346A7B" w:rsidRPr="00934FDF">
              <w:rPr>
                <w:rStyle w:val="Hyperlink"/>
                <w:noProof/>
              </w:rPr>
              <w:t>Effect of DCT on Beneficiaries and the Community</w:t>
            </w:r>
            <w:r w:rsidR="00346A7B">
              <w:rPr>
                <w:noProof/>
                <w:webHidden/>
              </w:rPr>
              <w:tab/>
            </w:r>
            <w:r w:rsidR="00346A7B">
              <w:rPr>
                <w:noProof/>
                <w:webHidden/>
              </w:rPr>
              <w:fldChar w:fldCharType="begin"/>
            </w:r>
            <w:r w:rsidR="00346A7B">
              <w:rPr>
                <w:noProof/>
                <w:webHidden/>
              </w:rPr>
              <w:instrText xml:space="preserve"> PAGEREF _Toc26180879 \h </w:instrText>
            </w:r>
            <w:r w:rsidR="00346A7B">
              <w:rPr>
                <w:noProof/>
                <w:webHidden/>
              </w:rPr>
            </w:r>
            <w:r w:rsidR="00346A7B">
              <w:rPr>
                <w:noProof/>
                <w:webHidden/>
              </w:rPr>
              <w:fldChar w:fldCharType="separate"/>
            </w:r>
            <w:r w:rsidR="00E75A4E">
              <w:rPr>
                <w:noProof/>
                <w:webHidden/>
              </w:rPr>
              <w:t>8</w:t>
            </w:r>
            <w:r w:rsidR="00346A7B">
              <w:rPr>
                <w:noProof/>
                <w:webHidden/>
              </w:rPr>
              <w:fldChar w:fldCharType="end"/>
            </w:r>
          </w:hyperlink>
        </w:p>
        <w:p w14:paraId="09CFF7B7" w14:textId="39080A6C"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80" w:history="1">
            <w:r w:rsidR="00346A7B" w:rsidRPr="00934FDF">
              <w:rPr>
                <w:rStyle w:val="Hyperlink"/>
                <w:noProof/>
              </w:rPr>
              <w:t>3.2.2</w:t>
            </w:r>
            <w:r w:rsidR="00346A7B">
              <w:rPr>
                <w:rFonts w:asciiTheme="minorHAnsi" w:eastAsiaTheme="minorEastAsia" w:hAnsiTheme="minorHAnsi"/>
                <w:noProof/>
                <w:sz w:val="22"/>
                <w:lang w:val="en-CA" w:eastAsia="en-CA"/>
              </w:rPr>
              <w:tab/>
            </w:r>
            <w:r w:rsidR="00346A7B" w:rsidRPr="00934FDF">
              <w:rPr>
                <w:rStyle w:val="Hyperlink"/>
                <w:noProof/>
              </w:rPr>
              <w:t>Effect of IAFFORD Interventions Related to Financial Inclusion</w:t>
            </w:r>
            <w:r w:rsidR="00346A7B">
              <w:rPr>
                <w:noProof/>
                <w:webHidden/>
              </w:rPr>
              <w:tab/>
            </w:r>
            <w:r w:rsidR="00346A7B">
              <w:rPr>
                <w:noProof/>
                <w:webHidden/>
              </w:rPr>
              <w:fldChar w:fldCharType="begin"/>
            </w:r>
            <w:r w:rsidR="00346A7B">
              <w:rPr>
                <w:noProof/>
                <w:webHidden/>
              </w:rPr>
              <w:instrText xml:space="preserve"> PAGEREF _Toc26180880 \h </w:instrText>
            </w:r>
            <w:r w:rsidR="00346A7B">
              <w:rPr>
                <w:noProof/>
                <w:webHidden/>
              </w:rPr>
            </w:r>
            <w:r w:rsidR="00346A7B">
              <w:rPr>
                <w:noProof/>
                <w:webHidden/>
              </w:rPr>
              <w:fldChar w:fldCharType="separate"/>
            </w:r>
            <w:r w:rsidR="00E75A4E">
              <w:rPr>
                <w:noProof/>
                <w:webHidden/>
              </w:rPr>
              <w:t>10</w:t>
            </w:r>
            <w:r w:rsidR="00346A7B">
              <w:rPr>
                <w:noProof/>
                <w:webHidden/>
              </w:rPr>
              <w:fldChar w:fldCharType="end"/>
            </w:r>
          </w:hyperlink>
        </w:p>
        <w:p w14:paraId="0A5ECCCD" w14:textId="6AD40E9B"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81" w:history="1">
            <w:r w:rsidR="00346A7B" w:rsidRPr="00934FDF">
              <w:rPr>
                <w:rStyle w:val="Hyperlink"/>
                <w:noProof/>
              </w:rPr>
              <w:t>3.3</w:t>
            </w:r>
            <w:r w:rsidR="00346A7B">
              <w:rPr>
                <w:rFonts w:asciiTheme="minorHAnsi" w:eastAsiaTheme="minorEastAsia" w:hAnsiTheme="minorHAnsi"/>
                <w:noProof/>
                <w:sz w:val="22"/>
                <w:lang w:val="en-CA" w:eastAsia="en-CA"/>
              </w:rPr>
              <w:tab/>
            </w:r>
            <w:r w:rsidR="00346A7B" w:rsidRPr="00934FDF">
              <w:rPr>
                <w:rStyle w:val="Hyperlink"/>
                <w:noProof/>
              </w:rPr>
              <w:t>Efficiency</w:t>
            </w:r>
            <w:r w:rsidR="00346A7B">
              <w:rPr>
                <w:noProof/>
                <w:webHidden/>
              </w:rPr>
              <w:tab/>
            </w:r>
            <w:r w:rsidR="00346A7B">
              <w:rPr>
                <w:noProof/>
                <w:webHidden/>
              </w:rPr>
              <w:fldChar w:fldCharType="begin"/>
            </w:r>
            <w:r w:rsidR="00346A7B">
              <w:rPr>
                <w:noProof/>
                <w:webHidden/>
              </w:rPr>
              <w:instrText xml:space="preserve"> PAGEREF _Toc26180881 \h </w:instrText>
            </w:r>
            <w:r w:rsidR="00346A7B">
              <w:rPr>
                <w:noProof/>
                <w:webHidden/>
              </w:rPr>
            </w:r>
            <w:r w:rsidR="00346A7B">
              <w:rPr>
                <w:noProof/>
                <w:webHidden/>
              </w:rPr>
              <w:fldChar w:fldCharType="separate"/>
            </w:r>
            <w:r w:rsidR="00E75A4E">
              <w:rPr>
                <w:noProof/>
                <w:webHidden/>
              </w:rPr>
              <w:t>13</w:t>
            </w:r>
            <w:r w:rsidR="00346A7B">
              <w:rPr>
                <w:noProof/>
                <w:webHidden/>
              </w:rPr>
              <w:fldChar w:fldCharType="end"/>
            </w:r>
          </w:hyperlink>
        </w:p>
        <w:p w14:paraId="71E38A1C" w14:textId="0A7B3577" w:rsidR="00346A7B" w:rsidRDefault="00347D32">
          <w:pPr>
            <w:pStyle w:val="TOC3"/>
            <w:tabs>
              <w:tab w:val="left" w:pos="1320"/>
              <w:tab w:val="right" w:leader="dot" w:pos="9016"/>
            </w:tabs>
            <w:rPr>
              <w:rFonts w:asciiTheme="minorHAnsi" w:eastAsiaTheme="minorEastAsia" w:hAnsiTheme="minorHAnsi"/>
              <w:noProof/>
              <w:sz w:val="22"/>
              <w:lang w:val="en-CA" w:eastAsia="en-CA"/>
            </w:rPr>
          </w:pPr>
          <w:hyperlink w:anchor="_Toc26180882" w:history="1">
            <w:r w:rsidR="00346A7B" w:rsidRPr="00934FDF">
              <w:rPr>
                <w:rStyle w:val="Hyperlink"/>
                <w:noProof/>
              </w:rPr>
              <w:t>3.3.1</w:t>
            </w:r>
            <w:r w:rsidR="00346A7B">
              <w:rPr>
                <w:rFonts w:asciiTheme="minorHAnsi" w:eastAsiaTheme="minorEastAsia" w:hAnsiTheme="minorHAnsi"/>
                <w:noProof/>
                <w:sz w:val="22"/>
                <w:lang w:val="en-CA" w:eastAsia="en-CA"/>
              </w:rPr>
              <w:tab/>
            </w:r>
            <w:r w:rsidR="00346A7B" w:rsidRPr="00934FDF">
              <w:rPr>
                <w:rStyle w:val="Hyperlink"/>
                <w:noProof/>
              </w:rPr>
              <w:t>Cost Efficiency of IAFFORD DCT Platform for Emergency Relief</w:t>
            </w:r>
            <w:r w:rsidR="00346A7B">
              <w:rPr>
                <w:noProof/>
                <w:webHidden/>
              </w:rPr>
              <w:tab/>
            </w:r>
            <w:r w:rsidR="00346A7B">
              <w:rPr>
                <w:noProof/>
                <w:webHidden/>
              </w:rPr>
              <w:fldChar w:fldCharType="begin"/>
            </w:r>
            <w:r w:rsidR="00346A7B">
              <w:rPr>
                <w:noProof/>
                <w:webHidden/>
              </w:rPr>
              <w:instrText xml:space="preserve"> PAGEREF _Toc26180882 \h </w:instrText>
            </w:r>
            <w:r w:rsidR="00346A7B">
              <w:rPr>
                <w:noProof/>
                <w:webHidden/>
              </w:rPr>
            </w:r>
            <w:r w:rsidR="00346A7B">
              <w:rPr>
                <w:noProof/>
                <w:webHidden/>
              </w:rPr>
              <w:fldChar w:fldCharType="separate"/>
            </w:r>
            <w:r w:rsidR="00E75A4E">
              <w:rPr>
                <w:noProof/>
                <w:webHidden/>
              </w:rPr>
              <w:t>14</w:t>
            </w:r>
            <w:r w:rsidR="00346A7B">
              <w:rPr>
                <w:noProof/>
                <w:webHidden/>
              </w:rPr>
              <w:fldChar w:fldCharType="end"/>
            </w:r>
          </w:hyperlink>
        </w:p>
        <w:p w14:paraId="41364737" w14:textId="4B081653"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83" w:history="1">
            <w:r w:rsidR="00346A7B" w:rsidRPr="00934FDF">
              <w:rPr>
                <w:rStyle w:val="Hyperlink"/>
                <w:noProof/>
              </w:rPr>
              <w:t>3.4</w:t>
            </w:r>
            <w:r w:rsidR="00346A7B">
              <w:rPr>
                <w:rFonts w:asciiTheme="minorHAnsi" w:eastAsiaTheme="minorEastAsia" w:hAnsiTheme="minorHAnsi"/>
                <w:noProof/>
                <w:sz w:val="22"/>
                <w:lang w:val="en-CA" w:eastAsia="en-CA"/>
              </w:rPr>
              <w:tab/>
            </w:r>
            <w:r w:rsidR="00346A7B" w:rsidRPr="00934FDF">
              <w:rPr>
                <w:rStyle w:val="Hyperlink"/>
                <w:noProof/>
              </w:rPr>
              <w:t>Relevance</w:t>
            </w:r>
            <w:r w:rsidR="00346A7B">
              <w:rPr>
                <w:noProof/>
                <w:webHidden/>
              </w:rPr>
              <w:tab/>
            </w:r>
            <w:r w:rsidR="00346A7B">
              <w:rPr>
                <w:noProof/>
                <w:webHidden/>
              </w:rPr>
              <w:fldChar w:fldCharType="begin"/>
            </w:r>
            <w:r w:rsidR="00346A7B">
              <w:rPr>
                <w:noProof/>
                <w:webHidden/>
              </w:rPr>
              <w:instrText xml:space="preserve"> PAGEREF _Toc26180883 \h </w:instrText>
            </w:r>
            <w:r w:rsidR="00346A7B">
              <w:rPr>
                <w:noProof/>
                <w:webHidden/>
              </w:rPr>
            </w:r>
            <w:r w:rsidR="00346A7B">
              <w:rPr>
                <w:noProof/>
                <w:webHidden/>
              </w:rPr>
              <w:fldChar w:fldCharType="separate"/>
            </w:r>
            <w:r w:rsidR="00E75A4E">
              <w:rPr>
                <w:noProof/>
                <w:webHidden/>
              </w:rPr>
              <w:t>15</w:t>
            </w:r>
            <w:r w:rsidR="00346A7B">
              <w:rPr>
                <w:noProof/>
                <w:webHidden/>
              </w:rPr>
              <w:fldChar w:fldCharType="end"/>
            </w:r>
          </w:hyperlink>
        </w:p>
        <w:p w14:paraId="5A56E345" w14:textId="6E67BAFC"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84" w:history="1">
            <w:r w:rsidR="00346A7B" w:rsidRPr="00934FDF">
              <w:rPr>
                <w:rStyle w:val="Hyperlink"/>
                <w:noProof/>
              </w:rPr>
              <w:t>3.5</w:t>
            </w:r>
            <w:r w:rsidR="00346A7B">
              <w:rPr>
                <w:rFonts w:asciiTheme="minorHAnsi" w:eastAsiaTheme="minorEastAsia" w:hAnsiTheme="minorHAnsi"/>
                <w:noProof/>
                <w:sz w:val="22"/>
                <w:lang w:val="en-CA" w:eastAsia="en-CA"/>
              </w:rPr>
              <w:tab/>
            </w:r>
            <w:r w:rsidR="00346A7B" w:rsidRPr="00934FDF">
              <w:rPr>
                <w:rStyle w:val="Hyperlink"/>
                <w:noProof/>
              </w:rPr>
              <w:t>Gender Equality</w:t>
            </w:r>
            <w:r w:rsidR="00346A7B">
              <w:rPr>
                <w:noProof/>
                <w:webHidden/>
              </w:rPr>
              <w:tab/>
            </w:r>
            <w:r w:rsidR="00346A7B">
              <w:rPr>
                <w:noProof/>
                <w:webHidden/>
              </w:rPr>
              <w:fldChar w:fldCharType="begin"/>
            </w:r>
            <w:r w:rsidR="00346A7B">
              <w:rPr>
                <w:noProof/>
                <w:webHidden/>
              </w:rPr>
              <w:instrText xml:space="preserve"> PAGEREF _Toc26180884 \h </w:instrText>
            </w:r>
            <w:r w:rsidR="00346A7B">
              <w:rPr>
                <w:noProof/>
                <w:webHidden/>
              </w:rPr>
            </w:r>
            <w:r w:rsidR="00346A7B">
              <w:rPr>
                <w:noProof/>
                <w:webHidden/>
              </w:rPr>
              <w:fldChar w:fldCharType="separate"/>
            </w:r>
            <w:r w:rsidR="00E75A4E">
              <w:rPr>
                <w:noProof/>
                <w:webHidden/>
              </w:rPr>
              <w:t>15</w:t>
            </w:r>
            <w:r w:rsidR="00346A7B">
              <w:rPr>
                <w:noProof/>
                <w:webHidden/>
              </w:rPr>
              <w:fldChar w:fldCharType="end"/>
            </w:r>
          </w:hyperlink>
        </w:p>
        <w:p w14:paraId="5259A32F" w14:textId="65524C37" w:rsidR="00346A7B" w:rsidRDefault="00347D32">
          <w:pPr>
            <w:pStyle w:val="TOC2"/>
            <w:tabs>
              <w:tab w:val="left" w:pos="880"/>
              <w:tab w:val="right" w:leader="dot" w:pos="9016"/>
            </w:tabs>
            <w:rPr>
              <w:rFonts w:asciiTheme="minorHAnsi" w:eastAsiaTheme="minorEastAsia" w:hAnsiTheme="minorHAnsi"/>
              <w:noProof/>
              <w:sz w:val="22"/>
              <w:lang w:val="en-CA" w:eastAsia="en-CA"/>
            </w:rPr>
          </w:pPr>
          <w:hyperlink w:anchor="_Toc26180885" w:history="1">
            <w:r w:rsidR="00346A7B" w:rsidRPr="00934FDF">
              <w:rPr>
                <w:rStyle w:val="Hyperlink"/>
                <w:noProof/>
              </w:rPr>
              <w:t>3.6</w:t>
            </w:r>
            <w:r w:rsidR="00346A7B">
              <w:rPr>
                <w:rFonts w:asciiTheme="minorHAnsi" w:eastAsiaTheme="minorEastAsia" w:hAnsiTheme="minorHAnsi"/>
                <w:noProof/>
                <w:sz w:val="22"/>
                <w:lang w:val="en-CA" w:eastAsia="en-CA"/>
              </w:rPr>
              <w:tab/>
            </w:r>
            <w:r w:rsidR="00346A7B" w:rsidRPr="00934FDF">
              <w:rPr>
                <w:rStyle w:val="Hyperlink"/>
                <w:noProof/>
              </w:rPr>
              <w:t>Sustainability</w:t>
            </w:r>
            <w:r w:rsidR="00346A7B">
              <w:rPr>
                <w:noProof/>
                <w:webHidden/>
              </w:rPr>
              <w:tab/>
            </w:r>
            <w:r w:rsidR="00346A7B">
              <w:rPr>
                <w:noProof/>
                <w:webHidden/>
              </w:rPr>
              <w:fldChar w:fldCharType="begin"/>
            </w:r>
            <w:r w:rsidR="00346A7B">
              <w:rPr>
                <w:noProof/>
                <w:webHidden/>
              </w:rPr>
              <w:instrText xml:space="preserve"> PAGEREF _Toc26180885 \h </w:instrText>
            </w:r>
            <w:r w:rsidR="00346A7B">
              <w:rPr>
                <w:noProof/>
                <w:webHidden/>
              </w:rPr>
            </w:r>
            <w:r w:rsidR="00346A7B">
              <w:rPr>
                <w:noProof/>
                <w:webHidden/>
              </w:rPr>
              <w:fldChar w:fldCharType="separate"/>
            </w:r>
            <w:r w:rsidR="00E75A4E">
              <w:rPr>
                <w:noProof/>
                <w:webHidden/>
              </w:rPr>
              <w:t>16</w:t>
            </w:r>
            <w:r w:rsidR="00346A7B">
              <w:rPr>
                <w:noProof/>
                <w:webHidden/>
              </w:rPr>
              <w:fldChar w:fldCharType="end"/>
            </w:r>
          </w:hyperlink>
        </w:p>
        <w:p w14:paraId="53D6291A" w14:textId="45901F16" w:rsidR="00346A7B" w:rsidRDefault="00347D32">
          <w:pPr>
            <w:pStyle w:val="TOC1"/>
            <w:tabs>
              <w:tab w:val="left" w:pos="480"/>
              <w:tab w:val="right" w:leader="dot" w:pos="9016"/>
            </w:tabs>
            <w:rPr>
              <w:rFonts w:asciiTheme="minorHAnsi" w:eastAsiaTheme="minorEastAsia" w:hAnsiTheme="minorHAnsi"/>
              <w:noProof/>
              <w:sz w:val="22"/>
              <w:lang w:val="en-CA" w:eastAsia="en-CA"/>
            </w:rPr>
          </w:pPr>
          <w:hyperlink w:anchor="_Toc26180886" w:history="1">
            <w:r w:rsidR="00346A7B" w:rsidRPr="00934FDF">
              <w:rPr>
                <w:rStyle w:val="Hyperlink"/>
                <w:noProof/>
              </w:rPr>
              <w:t>4</w:t>
            </w:r>
            <w:r w:rsidR="00346A7B">
              <w:rPr>
                <w:rFonts w:asciiTheme="minorHAnsi" w:eastAsiaTheme="minorEastAsia" w:hAnsiTheme="minorHAnsi"/>
                <w:noProof/>
                <w:sz w:val="22"/>
                <w:lang w:val="en-CA" w:eastAsia="en-CA"/>
              </w:rPr>
              <w:tab/>
            </w:r>
            <w:r w:rsidR="00346A7B" w:rsidRPr="00934FDF">
              <w:rPr>
                <w:rStyle w:val="Hyperlink"/>
                <w:noProof/>
              </w:rPr>
              <w:t>IAFFORD AQC Ratings</w:t>
            </w:r>
            <w:r w:rsidR="00346A7B">
              <w:rPr>
                <w:noProof/>
                <w:webHidden/>
              </w:rPr>
              <w:tab/>
            </w:r>
            <w:r w:rsidR="00346A7B">
              <w:rPr>
                <w:noProof/>
                <w:webHidden/>
              </w:rPr>
              <w:fldChar w:fldCharType="begin"/>
            </w:r>
            <w:r w:rsidR="00346A7B">
              <w:rPr>
                <w:noProof/>
                <w:webHidden/>
              </w:rPr>
              <w:instrText xml:space="preserve"> PAGEREF _Toc26180886 \h </w:instrText>
            </w:r>
            <w:r w:rsidR="00346A7B">
              <w:rPr>
                <w:noProof/>
                <w:webHidden/>
              </w:rPr>
            </w:r>
            <w:r w:rsidR="00346A7B">
              <w:rPr>
                <w:noProof/>
                <w:webHidden/>
              </w:rPr>
              <w:fldChar w:fldCharType="separate"/>
            </w:r>
            <w:r w:rsidR="00E75A4E">
              <w:rPr>
                <w:noProof/>
                <w:webHidden/>
              </w:rPr>
              <w:t>17</w:t>
            </w:r>
            <w:r w:rsidR="00346A7B">
              <w:rPr>
                <w:noProof/>
                <w:webHidden/>
              </w:rPr>
              <w:fldChar w:fldCharType="end"/>
            </w:r>
          </w:hyperlink>
        </w:p>
        <w:p w14:paraId="59F39AEB" w14:textId="7D1099A0" w:rsidR="00346A7B" w:rsidRDefault="00347D32">
          <w:pPr>
            <w:pStyle w:val="TOC1"/>
            <w:tabs>
              <w:tab w:val="left" w:pos="480"/>
              <w:tab w:val="right" w:leader="dot" w:pos="9016"/>
            </w:tabs>
            <w:rPr>
              <w:rFonts w:asciiTheme="minorHAnsi" w:eastAsiaTheme="minorEastAsia" w:hAnsiTheme="minorHAnsi"/>
              <w:noProof/>
              <w:sz w:val="22"/>
              <w:lang w:val="en-CA" w:eastAsia="en-CA"/>
            </w:rPr>
          </w:pPr>
          <w:hyperlink w:anchor="_Toc26180887" w:history="1">
            <w:r w:rsidR="00346A7B" w:rsidRPr="00934FDF">
              <w:rPr>
                <w:rStyle w:val="Hyperlink"/>
                <w:noProof/>
              </w:rPr>
              <w:t>5</w:t>
            </w:r>
            <w:r w:rsidR="00346A7B">
              <w:rPr>
                <w:rFonts w:asciiTheme="minorHAnsi" w:eastAsiaTheme="minorEastAsia" w:hAnsiTheme="minorHAnsi"/>
                <w:noProof/>
                <w:sz w:val="22"/>
                <w:lang w:val="en-CA" w:eastAsia="en-CA"/>
              </w:rPr>
              <w:tab/>
            </w:r>
            <w:r w:rsidR="00346A7B" w:rsidRPr="00934FDF">
              <w:rPr>
                <w:rStyle w:val="Hyperlink"/>
                <w:noProof/>
              </w:rPr>
              <w:t>Lessons Learned</w:t>
            </w:r>
            <w:r w:rsidR="00346A7B">
              <w:rPr>
                <w:noProof/>
                <w:webHidden/>
              </w:rPr>
              <w:tab/>
            </w:r>
            <w:r w:rsidR="00346A7B">
              <w:rPr>
                <w:noProof/>
                <w:webHidden/>
              </w:rPr>
              <w:fldChar w:fldCharType="begin"/>
            </w:r>
            <w:r w:rsidR="00346A7B">
              <w:rPr>
                <w:noProof/>
                <w:webHidden/>
              </w:rPr>
              <w:instrText xml:space="preserve"> PAGEREF _Toc26180887 \h </w:instrText>
            </w:r>
            <w:r w:rsidR="00346A7B">
              <w:rPr>
                <w:noProof/>
                <w:webHidden/>
              </w:rPr>
            </w:r>
            <w:r w:rsidR="00346A7B">
              <w:rPr>
                <w:noProof/>
                <w:webHidden/>
              </w:rPr>
              <w:fldChar w:fldCharType="separate"/>
            </w:r>
            <w:r w:rsidR="00E75A4E">
              <w:rPr>
                <w:noProof/>
                <w:webHidden/>
              </w:rPr>
              <w:t>18</w:t>
            </w:r>
            <w:r w:rsidR="00346A7B">
              <w:rPr>
                <w:noProof/>
                <w:webHidden/>
              </w:rPr>
              <w:fldChar w:fldCharType="end"/>
            </w:r>
          </w:hyperlink>
        </w:p>
        <w:p w14:paraId="718B065B" w14:textId="77777777" w:rsidR="00403A52" w:rsidRPr="00802B02" w:rsidRDefault="00403A52">
          <w:r w:rsidRPr="00802B02">
            <w:rPr>
              <w:b/>
              <w:bCs/>
              <w:noProof/>
            </w:rPr>
            <w:fldChar w:fldCharType="end"/>
          </w:r>
        </w:p>
      </w:sdtContent>
    </w:sdt>
    <w:p w14:paraId="7D7FBADB" w14:textId="77777777" w:rsidR="001063BF" w:rsidRPr="00802B02" w:rsidRDefault="001063BF" w:rsidP="001063BF"/>
    <w:p w14:paraId="28304FAF" w14:textId="77777777" w:rsidR="000C6583" w:rsidRPr="00802B02" w:rsidRDefault="000C6583" w:rsidP="00CC4B7F">
      <w:pPr>
        <w:sectPr w:rsidR="000C6583" w:rsidRPr="00802B02" w:rsidSect="00CC4B7F">
          <w:headerReference w:type="default" r:id="rId21"/>
          <w:footerReference w:type="default" r:id="rId22"/>
          <w:pgSz w:w="11906" w:h="16838" w:code="9"/>
          <w:pgMar w:top="1440" w:right="1440" w:bottom="1440" w:left="1440" w:header="720" w:footer="720" w:gutter="0"/>
          <w:pgNumType w:start="0"/>
          <w:cols w:space="720"/>
          <w:docGrid w:linePitch="360"/>
        </w:sectPr>
      </w:pPr>
    </w:p>
    <w:p w14:paraId="606DA43F" w14:textId="77777777" w:rsidR="008E71A6" w:rsidRPr="00802B02" w:rsidRDefault="000C6583" w:rsidP="005270EC">
      <w:pPr>
        <w:pStyle w:val="Heading1"/>
        <w:numPr>
          <w:ilvl w:val="0"/>
          <w:numId w:val="0"/>
        </w:numPr>
      </w:pPr>
      <w:bookmarkStart w:id="2" w:name="_Toc26180868"/>
      <w:r w:rsidRPr="00802B02">
        <w:t>Executive Summary</w:t>
      </w:r>
      <w:bookmarkEnd w:id="2"/>
    </w:p>
    <w:p w14:paraId="6942DD26" w14:textId="77777777" w:rsidR="00CF238A" w:rsidRPr="00802B02" w:rsidRDefault="00CF238A" w:rsidP="00CF238A">
      <w:r w:rsidRPr="00802B02">
        <w:t xml:space="preserve">The Australian Department of Foreign Affairs and Trade (DFAT) funded the </w:t>
      </w:r>
      <w:r w:rsidRPr="00802B02">
        <w:rPr>
          <w:i/>
        </w:rPr>
        <w:t>Inclusive and Affordable Financial Facilities for Resilient and Developed Filipinos</w:t>
      </w:r>
      <w:r w:rsidR="00CC071C">
        <w:t xml:space="preserve"> (“IAFFORD”) P</w:t>
      </w:r>
      <w:r w:rsidRPr="00802B02">
        <w:t>roject to pilot a digital cash transfer (DCT) platform to provide financial services to the poor. The project was implemented by Oxfam Australia, in partnership and collaboration with Philippine government agencies, civil society organizations, microfinance institutions and financial technologies (fin-tech) companies.</w:t>
      </w:r>
    </w:p>
    <w:p w14:paraId="452AF9F5" w14:textId="21E182B5" w:rsidR="00CF238A" w:rsidRPr="008033BB" w:rsidRDefault="00CF238A" w:rsidP="00CF238A">
      <w:pPr>
        <w:rPr>
          <w:lang w:val="en-CA"/>
        </w:rPr>
      </w:pPr>
      <w:r w:rsidRPr="008033BB">
        <w:rPr>
          <w:lang w:val="en-CA"/>
        </w:rPr>
        <w:t>The IAFFORD investment</w:t>
      </w:r>
      <w:r w:rsidR="00BE66E8" w:rsidRPr="008033BB">
        <w:rPr>
          <w:rStyle w:val="FootnoteReference"/>
          <w:lang w:val="en-CA"/>
        </w:rPr>
        <w:footnoteReference w:id="1"/>
      </w:r>
      <w:r w:rsidRPr="008033BB">
        <w:rPr>
          <w:lang w:val="en-CA"/>
        </w:rPr>
        <w:t xml:space="preserve"> was supported through the </w:t>
      </w:r>
      <w:r w:rsidR="006670AD" w:rsidRPr="008033BB">
        <w:rPr>
          <w:i/>
          <w:lang w:val="en-CA"/>
        </w:rPr>
        <w:t>DFAT Technology Against Poverty Prize</w:t>
      </w:r>
      <w:r w:rsidR="006670AD" w:rsidRPr="008033BB">
        <w:rPr>
          <w:lang w:val="en-CA"/>
        </w:rPr>
        <w:t xml:space="preserve"> grant provided by </w:t>
      </w:r>
      <w:r w:rsidR="00CC071C" w:rsidRPr="008033BB">
        <w:rPr>
          <w:lang w:val="en-CA"/>
        </w:rPr>
        <w:t xml:space="preserve">DFAT </w:t>
      </w:r>
      <w:r w:rsidR="006670AD" w:rsidRPr="008033BB">
        <w:rPr>
          <w:lang w:val="en-CA"/>
        </w:rPr>
        <w:t>innovationXchange</w:t>
      </w:r>
      <w:r w:rsidR="00CC071C" w:rsidRPr="008033BB">
        <w:rPr>
          <w:lang w:val="en-CA"/>
        </w:rPr>
        <w:t xml:space="preserve"> (iXc)</w:t>
      </w:r>
      <w:r w:rsidR="006670AD" w:rsidRPr="008033BB">
        <w:rPr>
          <w:lang w:val="en-CA"/>
        </w:rPr>
        <w:t xml:space="preserve"> as part of the 2016 </w:t>
      </w:r>
      <w:r w:rsidRPr="008033BB">
        <w:rPr>
          <w:lang w:val="en-CA"/>
        </w:rPr>
        <w:t>Google Impact Challenge.</w:t>
      </w:r>
      <w:r w:rsidR="0024246B" w:rsidRPr="008033BB">
        <w:rPr>
          <w:lang w:val="en-CA"/>
        </w:rPr>
        <w:t xml:space="preserve"> </w:t>
      </w:r>
      <w:r w:rsidRPr="008033BB">
        <w:rPr>
          <w:lang w:val="en-CA"/>
        </w:rPr>
        <w:t>The core belief of Google Impact Challenge is “technology and innovation can accelerate change across the non-profit sector”.</w:t>
      </w:r>
      <w:r w:rsidR="0024246B" w:rsidRPr="008033BB">
        <w:rPr>
          <w:lang w:val="en-CA"/>
        </w:rPr>
        <w:t xml:space="preserve">  </w:t>
      </w:r>
      <w:r w:rsidR="008449C7">
        <w:rPr>
          <w:lang w:val="en-CA"/>
        </w:rPr>
        <w:t xml:space="preserve"> </w:t>
      </w:r>
      <w:r w:rsidRPr="008033BB">
        <w:rPr>
          <w:lang w:val="en-CA"/>
        </w:rPr>
        <w:t xml:space="preserve">The self-described mandate of iXc is “(to) build on innovation capability at (DFAT) </w:t>
      </w:r>
      <w:r w:rsidR="00CC071C" w:rsidRPr="008033BB">
        <w:rPr>
          <w:lang w:val="en-CA"/>
        </w:rPr>
        <w:t xml:space="preserve">embassies or </w:t>
      </w:r>
      <w:r w:rsidRPr="008033BB">
        <w:rPr>
          <w:lang w:val="en-CA"/>
        </w:rPr>
        <w:t>posts, improving more lives by adopting cross-cutting themes (e.g. science and technology), approaches (e.g. systems thinking) and tools (e.g. digital inclusion).”</w:t>
      </w:r>
    </w:p>
    <w:p w14:paraId="1CC40F36" w14:textId="77777777" w:rsidR="005A09B7" w:rsidRPr="00802B02" w:rsidRDefault="005A09B7" w:rsidP="005A09B7">
      <w:r w:rsidRPr="008033BB">
        <w:t>The IAFFORD project represents a further scaling-up of the DCT platform, initially developed in 2014. In its grant application</w:t>
      </w:r>
      <w:r w:rsidRPr="00802B02">
        <w:t>, Oxfam’s broad objective was to distribute 50,000 electronic cards to provide access to micro-credit, insurance and savings based on the ‘Oxfam-VISA</w:t>
      </w:r>
      <w:r w:rsidR="00CC071C">
        <w:t xml:space="preserve"> Philippines</w:t>
      </w:r>
      <w:r w:rsidRPr="00802B02">
        <w:t xml:space="preserve">-PayMaya’ partnership model. Therefore, as initially conceived, IAFFORD was meant to promote long-term development objectives of financial inclusion and resilience to disasters. </w:t>
      </w:r>
    </w:p>
    <w:p w14:paraId="288850FA" w14:textId="77777777" w:rsidR="005A09B7" w:rsidRPr="00802B02" w:rsidRDefault="005A09B7" w:rsidP="005A09B7">
      <w:r w:rsidRPr="00802B02">
        <w:t>In 2017, at the request of DFAT in the Australian Embassy Manila, IAFFORD’s focus on long-term development was extended to include relief operations related to the siege in Marawi</w:t>
      </w:r>
      <w:r w:rsidRPr="00802B02">
        <w:rPr>
          <w:rStyle w:val="FootnoteReference"/>
        </w:rPr>
        <w:footnoteReference w:id="2"/>
      </w:r>
      <w:r w:rsidR="00CC071C">
        <w:t>. The project</w:t>
      </w:r>
      <w:r w:rsidRPr="00802B02">
        <w:t>, therefore, extended its activities to support the livelihoods recovery of internally displaced people</w:t>
      </w:r>
      <w:r w:rsidR="00CC071C">
        <w:t>s</w:t>
      </w:r>
      <w:r w:rsidRPr="00802B02">
        <w:t xml:space="preserve"> (IDPs). During the emergency response, a significant issue that emerged was the lack of identifying documentation, which prevented many disaster-affected victims from accessing relief services. A significant use of the IAFFORD DCT platform during the Marawi siege was the distribution of so-called “2-in-1” cards that served both as a cash card and a means of identity verification.</w:t>
      </w:r>
    </w:p>
    <w:p w14:paraId="10974FCE" w14:textId="77777777" w:rsidR="002F462F" w:rsidRPr="00802B02" w:rsidRDefault="002F462F" w:rsidP="002F462F">
      <w:r w:rsidRPr="00802B02">
        <w:t>DFAT would</w:t>
      </w:r>
      <w:r w:rsidR="008B70A0">
        <w:t xml:space="preserve"> like to evaluate the IAFFORD project</w:t>
      </w:r>
      <w:r w:rsidRPr="00802B02">
        <w:t xml:space="preserve"> in terms of the: </w:t>
      </w:r>
      <w:r w:rsidRPr="00802B02">
        <w:rPr>
          <w:i/>
          <w:iCs/>
        </w:rPr>
        <w:t>quality of Monitoring and Evaluation (M&amp;E) Systems</w:t>
      </w:r>
      <w:r w:rsidRPr="00802B02">
        <w:t xml:space="preserve">; </w:t>
      </w:r>
      <w:r w:rsidRPr="00802B02">
        <w:rPr>
          <w:i/>
          <w:iCs/>
        </w:rPr>
        <w:t>Effectiveness</w:t>
      </w:r>
      <w:r w:rsidRPr="00802B02">
        <w:t xml:space="preserve">; </w:t>
      </w:r>
      <w:r w:rsidRPr="00802B02">
        <w:rPr>
          <w:i/>
          <w:iCs/>
        </w:rPr>
        <w:t>Efficiency</w:t>
      </w:r>
      <w:r w:rsidRPr="00802B02">
        <w:t xml:space="preserve">; </w:t>
      </w:r>
      <w:r w:rsidRPr="00802B02">
        <w:rPr>
          <w:i/>
          <w:iCs/>
        </w:rPr>
        <w:t>Relevance</w:t>
      </w:r>
      <w:r w:rsidRPr="00802B02">
        <w:t xml:space="preserve">, contribution to </w:t>
      </w:r>
      <w:r w:rsidRPr="00802B02">
        <w:rPr>
          <w:i/>
          <w:iCs/>
        </w:rPr>
        <w:t>Gender Equality;</w:t>
      </w:r>
      <w:r w:rsidRPr="00802B02">
        <w:t xml:space="preserve"> and </w:t>
      </w:r>
      <w:r w:rsidRPr="00802B02">
        <w:rPr>
          <w:i/>
          <w:iCs/>
        </w:rPr>
        <w:t>Sustainability</w:t>
      </w:r>
      <w:r w:rsidRPr="00802B02">
        <w:t xml:space="preserve">. DFAT also wants to identify </w:t>
      </w:r>
      <w:r w:rsidRPr="00802B02">
        <w:rPr>
          <w:i/>
          <w:iCs/>
        </w:rPr>
        <w:t>lessons learned</w:t>
      </w:r>
      <w:r w:rsidRPr="00802B02">
        <w:t xml:space="preserve"> from the implementation of IAFFORD's digital infrastructure platform. The purpose of this Report is to describe findings of the Evaluation. </w:t>
      </w:r>
    </w:p>
    <w:p w14:paraId="17DD422B" w14:textId="77777777" w:rsidR="00496420" w:rsidRPr="00802B02" w:rsidRDefault="00AD3B0A" w:rsidP="00CF238A">
      <w:pPr>
        <w:rPr>
          <w:lang w:val="en-CA"/>
        </w:rPr>
      </w:pPr>
      <w:r w:rsidRPr="00802B02">
        <w:t>In general terms, this evaluation methodology applies the guidance on investment quality as articulated in the Aid Quality Check</w:t>
      </w:r>
      <w:r w:rsidR="008B70A0">
        <w:t xml:space="preserve"> (AQC)</w:t>
      </w:r>
      <w:r w:rsidRPr="00802B02">
        <w:t xml:space="preserve"> Ratings Matrix documents (2018 and 2019)</w:t>
      </w:r>
      <w:r w:rsidRPr="00802B02">
        <w:rPr>
          <w:rStyle w:val="FootnoteReference"/>
        </w:rPr>
        <w:t xml:space="preserve"> </w:t>
      </w:r>
      <w:r w:rsidRPr="00802B02">
        <w:rPr>
          <w:rStyle w:val="FootnoteReference"/>
        </w:rPr>
        <w:footnoteReference w:id="3"/>
      </w:r>
      <w:r w:rsidRPr="00802B02">
        <w:t xml:space="preserve"> which contain explicit, clear</w:t>
      </w:r>
      <w:r w:rsidR="008B70A0">
        <w:t xml:space="preserve"> and detailed criteria. See </w:t>
      </w:r>
      <w:r w:rsidRPr="00802B02">
        <w:t xml:space="preserve">table below for AQC criteria. Raters are asked to determine to what extent an investment addresses the </w:t>
      </w:r>
      <w:r w:rsidRPr="00802B02">
        <w:rPr>
          <w:i/>
          <w:iCs/>
        </w:rPr>
        <w:t>focus areas</w:t>
      </w:r>
      <w:r w:rsidRPr="00802B02">
        <w:t xml:space="preserve"> articulated for each criterion, which are indicators of investment quality.</w:t>
      </w:r>
      <w:r w:rsidR="0024246B" w:rsidRPr="00802B02">
        <w:t xml:space="preserve"> </w:t>
      </w:r>
      <w:r w:rsidRPr="00802B02">
        <w:t xml:space="preserve">When assessing the extent to which an investment addresses a </w:t>
      </w:r>
      <w:r w:rsidRPr="00802B02">
        <w:rPr>
          <w:i/>
          <w:iCs/>
        </w:rPr>
        <w:t>focus area</w:t>
      </w:r>
      <w:r w:rsidRPr="00802B02">
        <w:t xml:space="preserve"> for each criterion, raters are asked to weight their ratings according to the </w:t>
      </w:r>
      <w:r w:rsidRPr="00802B02">
        <w:rPr>
          <w:i/>
          <w:iCs/>
        </w:rPr>
        <w:t>strength of the evidence</w:t>
      </w:r>
      <w:r w:rsidRPr="00802B02">
        <w:t xml:space="preserve"> for each criterion and focus area. Finally, investments are assigned a numeric rating to support an assessment of Unsatisfactory (score of between one and three) or Satisfactory (score of 4 and higher).</w:t>
      </w:r>
      <w:r w:rsidR="002F462F" w:rsidRPr="00802B02">
        <w:t xml:space="preserve"> </w:t>
      </w:r>
      <w:r w:rsidR="002F462F" w:rsidRPr="00802B02">
        <w:rPr>
          <w:lang w:val="en-CA"/>
        </w:rPr>
        <w:t>Evaluation findings are summarised in the AQC Ratings Matrix, presented below.</w:t>
      </w:r>
    </w:p>
    <w:tbl>
      <w:tblPr>
        <w:tblStyle w:val="TableGrid"/>
        <w:tblW w:w="0" w:type="auto"/>
        <w:tblLook w:val="04A0" w:firstRow="1" w:lastRow="0" w:firstColumn="1" w:lastColumn="0" w:noHBand="0" w:noVBand="1"/>
      </w:tblPr>
      <w:tblGrid>
        <w:gridCol w:w="547"/>
        <w:gridCol w:w="2067"/>
        <w:gridCol w:w="735"/>
        <w:gridCol w:w="1159"/>
        <w:gridCol w:w="527"/>
        <w:gridCol w:w="3065"/>
        <w:gridCol w:w="916"/>
      </w:tblGrid>
      <w:tr w:rsidR="00395EC5" w:rsidRPr="00885F36" w14:paraId="1DDEA948" w14:textId="77777777" w:rsidTr="00347044">
        <w:tc>
          <w:tcPr>
            <w:tcW w:w="9016" w:type="dxa"/>
            <w:gridSpan w:val="7"/>
            <w:vAlign w:val="center"/>
          </w:tcPr>
          <w:p w14:paraId="1E40252B" w14:textId="77777777" w:rsidR="00395EC5" w:rsidRPr="005A5530" w:rsidRDefault="00395EC5" w:rsidP="008B70A0">
            <w:pPr>
              <w:jc w:val="center"/>
              <w:rPr>
                <w:rFonts w:ascii="Corbel" w:hAnsi="Corbel"/>
                <w:b/>
                <w:bCs/>
                <w:sz w:val="22"/>
                <w:lang w:val="en-CA"/>
              </w:rPr>
            </w:pPr>
            <w:r w:rsidRPr="005A5530">
              <w:rPr>
                <w:rFonts w:ascii="Corbel" w:hAnsi="Corbel"/>
                <w:b/>
                <w:bCs/>
                <w:sz w:val="22"/>
                <w:lang w:val="en-CA"/>
              </w:rPr>
              <w:t xml:space="preserve">IAFFORD </w:t>
            </w:r>
            <w:r w:rsidR="008B70A0">
              <w:rPr>
                <w:rFonts w:ascii="Corbel" w:hAnsi="Corbel"/>
                <w:b/>
                <w:bCs/>
                <w:sz w:val="22"/>
                <w:lang w:val="en-CA"/>
              </w:rPr>
              <w:t>Projec</w:t>
            </w:r>
            <w:r w:rsidRPr="005A5530">
              <w:rPr>
                <w:rFonts w:ascii="Corbel" w:hAnsi="Corbel"/>
                <w:b/>
                <w:bCs/>
                <w:sz w:val="22"/>
                <w:lang w:val="en-CA"/>
              </w:rPr>
              <w:t>t AQC Ratings Summary</w:t>
            </w:r>
          </w:p>
        </w:tc>
      </w:tr>
      <w:tr w:rsidR="00395EC5" w:rsidRPr="00885F36" w14:paraId="425AA6A5" w14:textId="77777777" w:rsidTr="00395EC5">
        <w:tc>
          <w:tcPr>
            <w:tcW w:w="2614" w:type="dxa"/>
            <w:gridSpan w:val="2"/>
            <w:vAlign w:val="center"/>
          </w:tcPr>
          <w:p w14:paraId="0210EDA7" w14:textId="77777777" w:rsidR="00395EC5" w:rsidRDefault="00395EC5" w:rsidP="00347044">
            <w:pPr>
              <w:jc w:val="center"/>
              <w:rPr>
                <w:rFonts w:ascii="Corbel" w:hAnsi="Corbel"/>
                <w:sz w:val="22"/>
                <w:lang w:val="en-CA"/>
              </w:rPr>
            </w:pPr>
            <w:r>
              <w:rPr>
                <w:rFonts w:ascii="Corbel" w:hAnsi="Corbel"/>
                <w:sz w:val="22"/>
                <w:lang w:val="en-CA"/>
              </w:rPr>
              <w:t>Criterion</w:t>
            </w:r>
          </w:p>
        </w:tc>
        <w:tc>
          <w:tcPr>
            <w:tcW w:w="735" w:type="dxa"/>
            <w:vAlign w:val="center"/>
          </w:tcPr>
          <w:p w14:paraId="5E79BF83" w14:textId="77777777" w:rsidR="00395EC5" w:rsidRDefault="00395EC5" w:rsidP="00347044">
            <w:pPr>
              <w:jc w:val="center"/>
              <w:rPr>
                <w:rFonts w:ascii="Corbel" w:hAnsi="Corbel"/>
                <w:sz w:val="22"/>
                <w:lang w:val="en-CA"/>
              </w:rPr>
            </w:pPr>
            <w:r>
              <w:rPr>
                <w:rFonts w:ascii="Corbel" w:hAnsi="Corbel"/>
                <w:sz w:val="22"/>
                <w:lang w:val="en-CA"/>
              </w:rPr>
              <w:t>Score</w:t>
            </w:r>
          </w:p>
        </w:tc>
        <w:tc>
          <w:tcPr>
            <w:tcW w:w="4751" w:type="dxa"/>
            <w:gridSpan w:val="3"/>
            <w:vAlign w:val="center"/>
          </w:tcPr>
          <w:p w14:paraId="7FB4E5FF" w14:textId="77777777" w:rsidR="00395EC5" w:rsidRDefault="00395EC5" w:rsidP="00347044">
            <w:pPr>
              <w:jc w:val="center"/>
              <w:rPr>
                <w:rFonts w:ascii="Corbel" w:hAnsi="Corbel"/>
                <w:sz w:val="22"/>
                <w:lang w:val="en-CA"/>
              </w:rPr>
            </w:pPr>
            <w:r>
              <w:rPr>
                <w:rFonts w:ascii="Corbel" w:hAnsi="Corbel"/>
                <w:sz w:val="22"/>
                <w:lang w:val="en-CA"/>
              </w:rPr>
              <w:t>AQC Description</w:t>
            </w:r>
          </w:p>
        </w:tc>
        <w:tc>
          <w:tcPr>
            <w:tcW w:w="916" w:type="dxa"/>
            <w:vAlign w:val="center"/>
          </w:tcPr>
          <w:p w14:paraId="59E85D93" w14:textId="77777777" w:rsidR="00395EC5" w:rsidRDefault="00395EC5" w:rsidP="00347044">
            <w:pPr>
              <w:jc w:val="center"/>
              <w:rPr>
                <w:rFonts w:ascii="Corbel" w:hAnsi="Corbel"/>
                <w:sz w:val="22"/>
                <w:lang w:val="en-CA"/>
              </w:rPr>
            </w:pPr>
            <w:r>
              <w:rPr>
                <w:rFonts w:ascii="Corbel" w:hAnsi="Corbel"/>
                <w:sz w:val="22"/>
                <w:lang w:val="en-CA"/>
              </w:rPr>
              <w:t>Rating</w:t>
            </w:r>
          </w:p>
        </w:tc>
      </w:tr>
      <w:tr w:rsidR="00395EC5" w:rsidRPr="00885F36" w14:paraId="41488CE5" w14:textId="77777777" w:rsidTr="00395EC5">
        <w:tc>
          <w:tcPr>
            <w:tcW w:w="2614" w:type="dxa"/>
            <w:gridSpan w:val="2"/>
            <w:vAlign w:val="center"/>
          </w:tcPr>
          <w:p w14:paraId="2AB7E468" w14:textId="77777777" w:rsidR="00395EC5" w:rsidRPr="00394D89" w:rsidRDefault="00395EC5" w:rsidP="00347044">
            <w:pPr>
              <w:rPr>
                <w:rFonts w:ascii="Corbel" w:hAnsi="Corbel"/>
                <w:sz w:val="22"/>
                <w:lang w:val="en-CA"/>
              </w:rPr>
            </w:pPr>
            <w:r w:rsidRPr="00394D89">
              <w:t>M&amp;E Systems</w:t>
            </w:r>
          </w:p>
        </w:tc>
        <w:tc>
          <w:tcPr>
            <w:tcW w:w="735" w:type="dxa"/>
            <w:vAlign w:val="center"/>
          </w:tcPr>
          <w:p w14:paraId="6BC222CD" w14:textId="77777777" w:rsidR="00395EC5" w:rsidRPr="00394D89" w:rsidRDefault="00395EC5" w:rsidP="00347044">
            <w:pPr>
              <w:jc w:val="center"/>
              <w:rPr>
                <w:rFonts w:ascii="Corbel" w:hAnsi="Corbel"/>
                <w:sz w:val="22"/>
                <w:lang w:val="en-CA"/>
              </w:rPr>
            </w:pPr>
            <w:r w:rsidRPr="009E05A1">
              <w:t>3</w:t>
            </w:r>
          </w:p>
        </w:tc>
        <w:tc>
          <w:tcPr>
            <w:tcW w:w="4751" w:type="dxa"/>
            <w:gridSpan w:val="3"/>
            <w:vAlign w:val="center"/>
          </w:tcPr>
          <w:p w14:paraId="11BDF515" w14:textId="77777777" w:rsidR="00395EC5" w:rsidRPr="00394D89" w:rsidRDefault="00395EC5" w:rsidP="00347044">
            <w:pPr>
              <w:rPr>
                <w:rFonts w:ascii="Corbel" w:hAnsi="Corbel"/>
                <w:sz w:val="22"/>
                <w:lang w:val="en-CA"/>
              </w:rPr>
            </w:pPr>
            <w:r w:rsidRPr="009E05A1">
              <w:t>Less than adequate; on balance does not satisfy criteria and/or fails in at least one major area</w:t>
            </w:r>
          </w:p>
        </w:tc>
        <w:tc>
          <w:tcPr>
            <w:tcW w:w="916" w:type="dxa"/>
            <w:vAlign w:val="center"/>
          </w:tcPr>
          <w:p w14:paraId="3F6FDB9B" w14:textId="77777777" w:rsidR="00395EC5" w:rsidRDefault="00395EC5" w:rsidP="00347044">
            <w:pPr>
              <w:jc w:val="center"/>
              <w:rPr>
                <w:rFonts w:ascii="Corbel" w:hAnsi="Corbel"/>
                <w:sz w:val="22"/>
                <w:lang w:val="en-CA"/>
              </w:rPr>
            </w:pPr>
            <w:r w:rsidRPr="00257FBA">
              <w:rPr>
                <w:rFonts w:ascii="Corbel" w:hAnsi="Corbel"/>
                <w:sz w:val="36"/>
              </w:rPr>
              <w:sym w:font="Wingdings" w:char="F06C"/>
            </w:r>
          </w:p>
        </w:tc>
      </w:tr>
      <w:tr w:rsidR="00395EC5" w:rsidRPr="00885F36" w14:paraId="309B47F9" w14:textId="77777777" w:rsidTr="00395EC5">
        <w:tc>
          <w:tcPr>
            <w:tcW w:w="2614" w:type="dxa"/>
            <w:gridSpan w:val="2"/>
            <w:vAlign w:val="center"/>
          </w:tcPr>
          <w:p w14:paraId="175200E4" w14:textId="77777777" w:rsidR="00395EC5" w:rsidRPr="00394D89" w:rsidRDefault="00395EC5" w:rsidP="00347044">
            <w:r w:rsidRPr="000C336A">
              <w:t>Effectiveness</w:t>
            </w:r>
          </w:p>
        </w:tc>
        <w:tc>
          <w:tcPr>
            <w:tcW w:w="735" w:type="dxa"/>
            <w:vAlign w:val="center"/>
          </w:tcPr>
          <w:p w14:paraId="3FF8DA2F" w14:textId="77777777" w:rsidR="00395EC5" w:rsidRPr="009E05A1" w:rsidRDefault="00395EC5" w:rsidP="00347044">
            <w:pPr>
              <w:jc w:val="center"/>
            </w:pPr>
            <w:r w:rsidRPr="009E05A1">
              <w:t>4</w:t>
            </w:r>
          </w:p>
        </w:tc>
        <w:tc>
          <w:tcPr>
            <w:tcW w:w="4751" w:type="dxa"/>
            <w:gridSpan w:val="3"/>
            <w:vAlign w:val="center"/>
          </w:tcPr>
          <w:p w14:paraId="48D70F1F" w14:textId="77777777" w:rsidR="00395EC5" w:rsidRPr="009E05A1" w:rsidRDefault="00395EC5" w:rsidP="00347044">
            <w:r w:rsidRPr="009E05A1">
              <w:t>Adequate; on balance satisfies criteria; does not fail in any major area</w:t>
            </w:r>
          </w:p>
        </w:tc>
        <w:tc>
          <w:tcPr>
            <w:tcW w:w="916" w:type="dxa"/>
            <w:vAlign w:val="center"/>
          </w:tcPr>
          <w:p w14:paraId="7D6BEE20" w14:textId="77777777" w:rsidR="00395EC5" w:rsidRPr="00257FBA" w:rsidRDefault="00395EC5" w:rsidP="00347044">
            <w:pPr>
              <w:jc w:val="center"/>
              <w:rPr>
                <w:rFonts w:ascii="Corbel" w:hAnsi="Corbel"/>
                <w:sz w:val="36"/>
              </w:rPr>
            </w:pPr>
            <w:r>
              <w:rPr>
                <w:rFonts w:ascii="Corbel" w:hAnsi="Corbel"/>
                <w:noProof/>
                <w:sz w:val="22"/>
                <w:lang w:val="en-AU" w:eastAsia="en-AU"/>
              </w:rPr>
              <w:drawing>
                <wp:inline distT="0" distB="0" distL="0" distR="0" wp14:anchorId="5C379BBE" wp14:editId="5C5EA3E2">
                  <wp:extent cx="200025" cy="20002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00025" cy="200025"/>
                          </a:xfrm>
                          <a:prstGeom prst="rect">
                            <a:avLst/>
                          </a:prstGeom>
                        </pic:spPr>
                      </pic:pic>
                    </a:graphicData>
                  </a:graphic>
                </wp:inline>
              </w:drawing>
            </w:r>
          </w:p>
        </w:tc>
      </w:tr>
      <w:tr w:rsidR="00395EC5" w:rsidRPr="00885F36" w14:paraId="2AE9DBF8" w14:textId="77777777" w:rsidTr="00395EC5">
        <w:tc>
          <w:tcPr>
            <w:tcW w:w="2614" w:type="dxa"/>
            <w:gridSpan w:val="2"/>
            <w:vAlign w:val="center"/>
          </w:tcPr>
          <w:p w14:paraId="5024E928" w14:textId="77777777" w:rsidR="00395EC5" w:rsidRPr="000C336A" w:rsidRDefault="00395EC5" w:rsidP="00347044">
            <w:r w:rsidRPr="000C336A">
              <w:t>Efficiency</w:t>
            </w:r>
          </w:p>
        </w:tc>
        <w:tc>
          <w:tcPr>
            <w:tcW w:w="735" w:type="dxa"/>
            <w:vAlign w:val="center"/>
          </w:tcPr>
          <w:p w14:paraId="33118B3C" w14:textId="77777777" w:rsidR="00395EC5" w:rsidRPr="009E05A1" w:rsidRDefault="00395EC5" w:rsidP="00347044">
            <w:pPr>
              <w:jc w:val="center"/>
            </w:pPr>
            <w:r w:rsidRPr="009E05A1">
              <w:t>5</w:t>
            </w:r>
          </w:p>
        </w:tc>
        <w:tc>
          <w:tcPr>
            <w:tcW w:w="4751" w:type="dxa"/>
            <w:gridSpan w:val="3"/>
            <w:vAlign w:val="center"/>
          </w:tcPr>
          <w:p w14:paraId="43173F42" w14:textId="77777777" w:rsidR="00395EC5" w:rsidRPr="009E05A1" w:rsidRDefault="00395EC5" w:rsidP="00347044">
            <w:r w:rsidRPr="009E05A1">
              <w:t>Good; satisfies criteria in almost all areas</w:t>
            </w:r>
          </w:p>
        </w:tc>
        <w:tc>
          <w:tcPr>
            <w:tcW w:w="916" w:type="dxa"/>
            <w:vAlign w:val="center"/>
          </w:tcPr>
          <w:p w14:paraId="6DE2A53C" w14:textId="77777777" w:rsidR="00395EC5" w:rsidRDefault="00395EC5" w:rsidP="00347044">
            <w:pPr>
              <w:jc w:val="center"/>
              <w:rPr>
                <w:rFonts w:ascii="Corbel" w:hAnsi="Corbel"/>
                <w:noProof/>
                <w:sz w:val="22"/>
              </w:rPr>
            </w:pPr>
            <w:r>
              <w:rPr>
                <w:rFonts w:ascii="Corbel" w:hAnsi="Corbel"/>
                <w:noProof/>
                <w:sz w:val="22"/>
                <w:lang w:val="en-AU" w:eastAsia="en-AU"/>
              </w:rPr>
              <w:drawing>
                <wp:inline distT="0" distB="0" distL="0" distR="0" wp14:anchorId="35C20977" wp14:editId="6FF1F770">
                  <wp:extent cx="200025" cy="20002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00025" cy="200025"/>
                          </a:xfrm>
                          <a:prstGeom prst="rect">
                            <a:avLst/>
                          </a:prstGeom>
                        </pic:spPr>
                      </pic:pic>
                    </a:graphicData>
                  </a:graphic>
                </wp:inline>
              </w:drawing>
            </w:r>
          </w:p>
        </w:tc>
      </w:tr>
      <w:tr w:rsidR="00395EC5" w:rsidRPr="00885F36" w14:paraId="069CAD24" w14:textId="77777777" w:rsidTr="00395EC5">
        <w:tc>
          <w:tcPr>
            <w:tcW w:w="2614" w:type="dxa"/>
            <w:gridSpan w:val="2"/>
            <w:vAlign w:val="center"/>
          </w:tcPr>
          <w:p w14:paraId="68A88598" w14:textId="77777777" w:rsidR="00395EC5" w:rsidRPr="000C336A" w:rsidRDefault="00395EC5" w:rsidP="00347044">
            <w:r w:rsidRPr="000C336A">
              <w:t>Relevance</w:t>
            </w:r>
          </w:p>
        </w:tc>
        <w:tc>
          <w:tcPr>
            <w:tcW w:w="735" w:type="dxa"/>
            <w:vAlign w:val="center"/>
          </w:tcPr>
          <w:p w14:paraId="241A0385" w14:textId="77777777" w:rsidR="00395EC5" w:rsidRPr="009E05A1" w:rsidRDefault="00395EC5" w:rsidP="00347044">
            <w:pPr>
              <w:jc w:val="center"/>
            </w:pPr>
            <w:r w:rsidRPr="009E05A1">
              <w:t>6</w:t>
            </w:r>
          </w:p>
        </w:tc>
        <w:tc>
          <w:tcPr>
            <w:tcW w:w="4751" w:type="dxa"/>
            <w:gridSpan w:val="3"/>
            <w:vAlign w:val="center"/>
          </w:tcPr>
          <w:p w14:paraId="1505BCFE" w14:textId="77777777" w:rsidR="00395EC5" w:rsidRPr="009E05A1" w:rsidRDefault="00395EC5" w:rsidP="00347044">
            <w:r w:rsidRPr="009E05A1">
              <w:t>Very good; satisfies criteria in all areas</w:t>
            </w:r>
          </w:p>
        </w:tc>
        <w:tc>
          <w:tcPr>
            <w:tcW w:w="916" w:type="dxa"/>
            <w:vAlign w:val="center"/>
          </w:tcPr>
          <w:p w14:paraId="18300E2E" w14:textId="77777777" w:rsidR="00395EC5" w:rsidRDefault="00395EC5" w:rsidP="00347044">
            <w:pPr>
              <w:jc w:val="center"/>
              <w:rPr>
                <w:rFonts w:ascii="Corbel" w:hAnsi="Corbel"/>
                <w:noProof/>
                <w:sz w:val="22"/>
              </w:rPr>
            </w:pPr>
            <w:r>
              <w:rPr>
                <w:rFonts w:ascii="Corbel" w:hAnsi="Corbel"/>
                <w:noProof/>
                <w:sz w:val="22"/>
                <w:lang w:val="en-AU" w:eastAsia="en-AU"/>
              </w:rPr>
              <w:drawing>
                <wp:inline distT="0" distB="0" distL="0" distR="0" wp14:anchorId="30AE8264" wp14:editId="31CD162A">
                  <wp:extent cx="200025" cy="20002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00025" cy="200025"/>
                          </a:xfrm>
                          <a:prstGeom prst="rect">
                            <a:avLst/>
                          </a:prstGeom>
                        </pic:spPr>
                      </pic:pic>
                    </a:graphicData>
                  </a:graphic>
                </wp:inline>
              </w:drawing>
            </w:r>
          </w:p>
        </w:tc>
      </w:tr>
      <w:tr w:rsidR="00395EC5" w:rsidRPr="00885F36" w14:paraId="2B5CCEC2" w14:textId="77777777" w:rsidTr="00395EC5">
        <w:tc>
          <w:tcPr>
            <w:tcW w:w="2614" w:type="dxa"/>
            <w:gridSpan w:val="2"/>
            <w:vAlign w:val="center"/>
          </w:tcPr>
          <w:p w14:paraId="43AAFAEC" w14:textId="77777777" w:rsidR="00395EC5" w:rsidRPr="000C336A" w:rsidRDefault="00395EC5" w:rsidP="00347044">
            <w:r w:rsidRPr="000C336A">
              <w:t>Gender Equality</w:t>
            </w:r>
          </w:p>
        </w:tc>
        <w:tc>
          <w:tcPr>
            <w:tcW w:w="735" w:type="dxa"/>
            <w:vAlign w:val="center"/>
          </w:tcPr>
          <w:p w14:paraId="1168F618" w14:textId="77777777" w:rsidR="00395EC5" w:rsidRPr="009E05A1" w:rsidRDefault="00395EC5" w:rsidP="00347044">
            <w:pPr>
              <w:jc w:val="center"/>
            </w:pPr>
            <w:r w:rsidRPr="009E05A1">
              <w:t>4</w:t>
            </w:r>
          </w:p>
        </w:tc>
        <w:tc>
          <w:tcPr>
            <w:tcW w:w="4751" w:type="dxa"/>
            <w:gridSpan w:val="3"/>
            <w:vAlign w:val="center"/>
          </w:tcPr>
          <w:p w14:paraId="02B5BFB4" w14:textId="77777777" w:rsidR="00395EC5" w:rsidRPr="009E05A1" w:rsidRDefault="00395EC5" w:rsidP="00347044">
            <w:r w:rsidRPr="009E05A1">
              <w:t>Adequate; on balance satisfies criteria; does not fail in any major area</w:t>
            </w:r>
          </w:p>
        </w:tc>
        <w:tc>
          <w:tcPr>
            <w:tcW w:w="916" w:type="dxa"/>
            <w:vAlign w:val="center"/>
          </w:tcPr>
          <w:p w14:paraId="11880CB9" w14:textId="77777777" w:rsidR="00395EC5" w:rsidRDefault="00395EC5" w:rsidP="00347044">
            <w:pPr>
              <w:jc w:val="center"/>
              <w:rPr>
                <w:rFonts w:ascii="Corbel" w:hAnsi="Corbel"/>
                <w:noProof/>
                <w:sz w:val="22"/>
              </w:rPr>
            </w:pPr>
            <w:r>
              <w:rPr>
                <w:rFonts w:ascii="Corbel" w:hAnsi="Corbel"/>
                <w:noProof/>
                <w:sz w:val="22"/>
                <w:lang w:val="en-AU" w:eastAsia="en-AU"/>
              </w:rPr>
              <w:drawing>
                <wp:inline distT="0" distB="0" distL="0" distR="0" wp14:anchorId="23D808F3" wp14:editId="31DC14E4">
                  <wp:extent cx="200025" cy="200025"/>
                  <wp:effectExtent l="0" t="0" r="9525" b="9525"/>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00025" cy="200025"/>
                          </a:xfrm>
                          <a:prstGeom prst="rect">
                            <a:avLst/>
                          </a:prstGeom>
                        </pic:spPr>
                      </pic:pic>
                    </a:graphicData>
                  </a:graphic>
                </wp:inline>
              </w:drawing>
            </w:r>
          </w:p>
        </w:tc>
      </w:tr>
      <w:tr w:rsidR="00395EC5" w:rsidRPr="00885F36" w14:paraId="56D1B4B8" w14:textId="77777777" w:rsidTr="00395EC5">
        <w:tc>
          <w:tcPr>
            <w:tcW w:w="2614" w:type="dxa"/>
            <w:gridSpan w:val="2"/>
            <w:vAlign w:val="center"/>
          </w:tcPr>
          <w:p w14:paraId="22749FC7" w14:textId="77777777" w:rsidR="00395EC5" w:rsidRPr="000C336A" w:rsidRDefault="00395EC5" w:rsidP="00347044">
            <w:r w:rsidRPr="000C336A">
              <w:t>Sustainability</w:t>
            </w:r>
          </w:p>
        </w:tc>
        <w:tc>
          <w:tcPr>
            <w:tcW w:w="735" w:type="dxa"/>
            <w:vAlign w:val="center"/>
          </w:tcPr>
          <w:p w14:paraId="6F224AB7" w14:textId="77777777" w:rsidR="00395EC5" w:rsidRPr="009E05A1" w:rsidRDefault="00395EC5" w:rsidP="00347044">
            <w:pPr>
              <w:jc w:val="center"/>
            </w:pPr>
            <w:r>
              <w:t>3</w:t>
            </w:r>
          </w:p>
        </w:tc>
        <w:tc>
          <w:tcPr>
            <w:tcW w:w="4751" w:type="dxa"/>
            <w:gridSpan w:val="3"/>
            <w:vAlign w:val="center"/>
          </w:tcPr>
          <w:p w14:paraId="11993BE1" w14:textId="77777777" w:rsidR="00395EC5" w:rsidRPr="009E05A1" w:rsidRDefault="00395EC5" w:rsidP="00347044">
            <w:r w:rsidRPr="009E05A1">
              <w:t>Less than adequate; on balance does not satisfy criteria and/or fails in at least one major area</w:t>
            </w:r>
          </w:p>
        </w:tc>
        <w:tc>
          <w:tcPr>
            <w:tcW w:w="916" w:type="dxa"/>
            <w:vAlign w:val="center"/>
          </w:tcPr>
          <w:p w14:paraId="3E9AE1B5" w14:textId="77777777" w:rsidR="00395EC5" w:rsidRDefault="00395EC5" w:rsidP="00347044">
            <w:pPr>
              <w:jc w:val="center"/>
              <w:rPr>
                <w:rFonts w:ascii="Corbel" w:hAnsi="Corbel"/>
                <w:noProof/>
                <w:sz w:val="22"/>
              </w:rPr>
            </w:pPr>
            <w:r w:rsidRPr="00257FBA">
              <w:rPr>
                <w:rFonts w:ascii="Corbel" w:hAnsi="Corbel"/>
                <w:sz w:val="36"/>
              </w:rPr>
              <w:sym w:font="Wingdings" w:char="F06C"/>
            </w:r>
          </w:p>
        </w:tc>
      </w:tr>
      <w:tr w:rsidR="00395EC5" w:rsidRPr="00885F36" w14:paraId="42D2CAF3" w14:textId="77777777" w:rsidTr="00347044">
        <w:tc>
          <w:tcPr>
            <w:tcW w:w="9016" w:type="dxa"/>
            <w:gridSpan w:val="7"/>
            <w:shd w:val="clear" w:color="auto" w:fill="B1C6D7" w:themeFill="background2" w:themeFillShade="E6"/>
            <w:vAlign w:val="center"/>
          </w:tcPr>
          <w:p w14:paraId="460EDA20" w14:textId="77777777" w:rsidR="00395EC5" w:rsidRPr="00885F36" w:rsidRDefault="00395EC5" w:rsidP="00347044">
            <w:pPr>
              <w:jc w:val="center"/>
              <w:rPr>
                <w:rFonts w:ascii="Corbel" w:hAnsi="Corbel"/>
                <w:b/>
                <w:sz w:val="22"/>
              </w:rPr>
            </w:pPr>
            <w:r w:rsidRPr="00885F36">
              <w:rPr>
                <w:rFonts w:ascii="Corbel" w:hAnsi="Corbel"/>
                <w:b/>
                <w:sz w:val="22"/>
              </w:rPr>
              <w:t>Legend</w:t>
            </w:r>
          </w:p>
        </w:tc>
      </w:tr>
      <w:tr w:rsidR="00395EC5" w:rsidRPr="00885F36" w14:paraId="7FF52CCB" w14:textId="77777777" w:rsidTr="00395EC5">
        <w:tc>
          <w:tcPr>
            <w:tcW w:w="547" w:type="dxa"/>
            <w:vAlign w:val="center"/>
          </w:tcPr>
          <w:p w14:paraId="2BC0B780" w14:textId="77777777" w:rsidR="00395EC5" w:rsidRPr="00885F36" w:rsidRDefault="00395EC5" w:rsidP="00347044">
            <w:pPr>
              <w:jc w:val="center"/>
              <w:rPr>
                <w:rFonts w:ascii="Corbel" w:hAnsi="Corbel"/>
                <w:sz w:val="22"/>
              </w:rPr>
            </w:pPr>
            <w:bookmarkStart w:id="3" w:name="_Hlk9517074"/>
            <w:r>
              <w:rPr>
                <w:rFonts w:ascii="Corbel" w:hAnsi="Corbel"/>
                <w:noProof/>
                <w:sz w:val="22"/>
                <w:lang w:val="en-AU" w:eastAsia="en-AU"/>
              </w:rPr>
              <w:drawing>
                <wp:inline distT="0" distB="0" distL="0" distR="0" wp14:anchorId="631A34A9" wp14:editId="7F631C52">
                  <wp:extent cx="200025" cy="20002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00025" cy="200025"/>
                          </a:xfrm>
                          <a:prstGeom prst="rect">
                            <a:avLst/>
                          </a:prstGeom>
                        </pic:spPr>
                      </pic:pic>
                    </a:graphicData>
                  </a:graphic>
                </wp:inline>
              </w:drawing>
            </w:r>
          </w:p>
        </w:tc>
        <w:tc>
          <w:tcPr>
            <w:tcW w:w="3961" w:type="dxa"/>
            <w:gridSpan w:val="3"/>
            <w:vAlign w:val="center"/>
          </w:tcPr>
          <w:p w14:paraId="1B4C8092" w14:textId="77777777" w:rsidR="00395EC5" w:rsidRPr="00885F36" w:rsidRDefault="00395EC5" w:rsidP="00347044">
            <w:pPr>
              <w:rPr>
                <w:rFonts w:ascii="Corbel" w:hAnsi="Corbel"/>
                <w:sz w:val="22"/>
              </w:rPr>
            </w:pPr>
            <w:r>
              <w:rPr>
                <w:rFonts w:ascii="Corbel" w:hAnsi="Corbel"/>
                <w:sz w:val="22"/>
              </w:rPr>
              <w:t>Satisfactory</w:t>
            </w:r>
          </w:p>
        </w:tc>
        <w:tc>
          <w:tcPr>
            <w:tcW w:w="527" w:type="dxa"/>
            <w:vAlign w:val="center"/>
          </w:tcPr>
          <w:p w14:paraId="60ED1710" w14:textId="77777777" w:rsidR="00395EC5" w:rsidRPr="00885F36" w:rsidRDefault="00395EC5" w:rsidP="00347044">
            <w:pPr>
              <w:rPr>
                <w:rFonts w:ascii="Corbel" w:hAnsi="Corbel"/>
                <w:sz w:val="22"/>
              </w:rPr>
            </w:pPr>
            <w:r w:rsidRPr="005A5530">
              <w:rPr>
                <w:rFonts w:ascii="Corbel" w:hAnsi="Corbel"/>
                <w:b/>
                <w:bCs/>
                <w:sz w:val="36"/>
              </w:rPr>
              <w:sym w:font="Wingdings" w:char="F06C"/>
            </w:r>
          </w:p>
        </w:tc>
        <w:tc>
          <w:tcPr>
            <w:tcW w:w="3981" w:type="dxa"/>
            <w:gridSpan w:val="2"/>
            <w:vAlign w:val="center"/>
          </w:tcPr>
          <w:p w14:paraId="029A993B" w14:textId="77777777" w:rsidR="00395EC5" w:rsidRPr="00885F36" w:rsidRDefault="00395EC5" w:rsidP="00347044">
            <w:pPr>
              <w:rPr>
                <w:rFonts w:ascii="Corbel" w:hAnsi="Corbel"/>
                <w:sz w:val="22"/>
              </w:rPr>
            </w:pPr>
            <w:r w:rsidRPr="005A5530">
              <w:rPr>
                <w:rFonts w:ascii="Corbel" w:hAnsi="Corbel"/>
                <w:sz w:val="22"/>
              </w:rPr>
              <w:t>Unsatisfactory</w:t>
            </w:r>
          </w:p>
        </w:tc>
      </w:tr>
    </w:tbl>
    <w:bookmarkEnd w:id="3"/>
    <w:p w14:paraId="38FFDC17" w14:textId="77777777" w:rsidR="00D238B5" w:rsidRPr="008B70A0" w:rsidRDefault="00D238B5" w:rsidP="004D57FE">
      <w:pPr>
        <w:pStyle w:val="ListParagraph"/>
        <w:numPr>
          <w:ilvl w:val="0"/>
          <w:numId w:val="28"/>
        </w:numPr>
        <w:spacing w:before="200"/>
        <w:ind w:left="714" w:hanging="357"/>
        <w:rPr>
          <w:b/>
        </w:rPr>
      </w:pPr>
      <w:r w:rsidRPr="008B70A0">
        <w:rPr>
          <w:b/>
        </w:rPr>
        <w:t xml:space="preserve"> M&amp;E Systems</w:t>
      </w:r>
    </w:p>
    <w:p w14:paraId="4AAB1E45" w14:textId="77777777" w:rsidR="00D238B5" w:rsidRPr="00802B02" w:rsidRDefault="00D238B5" w:rsidP="00FD3169">
      <w:pPr>
        <w:ind w:right="-188"/>
        <w:rPr>
          <w:lang w:val="en-CA" w:bidi="hi-IN"/>
        </w:rPr>
      </w:pPr>
      <w:r w:rsidRPr="00802B02">
        <w:rPr>
          <w:lang w:val="en-CA" w:bidi="hi-IN"/>
        </w:rPr>
        <w:t>The IAFFORD DCT platform, as with all information systems, generated a large amount of data on the use of digital transactions by the IAFFORD beneficiaries. This data could have yielded valuable information on how the platform can be used to deliver digital financial services</w:t>
      </w:r>
      <w:r w:rsidR="00406E47">
        <w:rPr>
          <w:lang w:val="en-CA" w:bidi="hi-IN"/>
        </w:rPr>
        <w:t>.</w:t>
      </w:r>
    </w:p>
    <w:p w14:paraId="21B51496" w14:textId="77777777" w:rsidR="00D238B5" w:rsidRPr="00802B02" w:rsidRDefault="00D238B5" w:rsidP="00D238B5">
      <w:pPr>
        <w:rPr>
          <w:lang w:val="en-CA" w:bidi="hi-IN"/>
        </w:rPr>
      </w:pPr>
      <w:r w:rsidRPr="00802B02">
        <w:rPr>
          <w:lang w:val="en-CA" w:bidi="hi-IN"/>
        </w:rPr>
        <w:t>With respect to future DFAT investments, it is important that the M&amp;E systems of investments with a digital cash component be robust and built for purpose. This means making effective use of partner systems’ data to generate decisions on how to sustain the use of a digital cash platform. This in turn means taking advantage of partners’ expertise with analysing large amounts of financial/transactional data. Staff in the investment proper should then be able to take this information and use it to make decisions about investment interventions, related to digital cash.</w:t>
      </w:r>
    </w:p>
    <w:p w14:paraId="3AE377F6" w14:textId="77777777" w:rsidR="00D238B5" w:rsidRPr="008B70A0" w:rsidRDefault="00D238B5" w:rsidP="00D238B5">
      <w:pPr>
        <w:pStyle w:val="ListParagraph"/>
        <w:numPr>
          <w:ilvl w:val="0"/>
          <w:numId w:val="28"/>
        </w:numPr>
        <w:rPr>
          <w:b/>
        </w:rPr>
      </w:pPr>
      <w:r w:rsidRPr="008B70A0">
        <w:rPr>
          <w:b/>
        </w:rPr>
        <w:t>Investment Governance</w:t>
      </w:r>
    </w:p>
    <w:p w14:paraId="437DFE6B" w14:textId="77777777" w:rsidR="00D238B5" w:rsidRPr="00802B02" w:rsidRDefault="00D238B5" w:rsidP="00D238B5">
      <w:pPr>
        <w:rPr>
          <w:lang w:val="en-CA" w:bidi="hi-IN"/>
        </w:rPr>
      </w:pPr>
      <w:r w:rsidRPr="00802B02">
        <w:rPr>
          <w:lang w:val="en-CA" w:bidi="hi-IN"/>
        </w:rPr>
        <w:t xml:space="preserve">A comparison of IAFFORD’s evaluation plan as submitted to the Google </w:t>
      </w:r>
      <w:r w:rsidR="00406E47">
        <w:rPr>
          <w:lang w:val="en-CA" w:bidi="hi-IN"/>
        </w:rPr>
        <w:t xml:space="preserve">Impact </w:t>
      </w:r>
      <w:r w:rsidRPr="00802B02">
        <w:rPr>
          <w:lang w:val="en-CA" w:bidi="hi-IN"/>
        </w:rPr>
        <w:t>Challenge Fund, and IAFFORD’s ability to produce transactional data is an indication that the ambition to, “</w:t>
      </w:r>
      <w:r w:rsidR="008B70A0">
        <w:rPr>
          <w:lang w:val="en-CA" w:bidi="hi-IN"/>
        </w:rPr>
        <w:t xml:space="preserve">… </w:t>
      </w:r>
      <w:r w:rsidRPr="00802B02">
        <w:rPr>
          <w:lang w:val="en-CA" w:bidi="hi-IN"/>
        </w:rPr>
        <w:t xml:space="preserve">(collect) </w:t>
      </w:r>
      <w:r w:rsidRPr="008B70A0">
        <w:rPr>
          <w:i/>
          <w:lang w:val="en-CA" w:bidi="hi-IN"/>
        </w:rPr>
        <w:t>anonymous client data sets via the IAFFORD platform and triangulating with qualitative feedback</w:t>
      </w:r>
      <w:r w:rsidRPr="00802B02">
        <w:rPr>
          <w:lang w:val="en-CA" w:bidi="hi-IN"/>
        </w:rPr>
        <w:t>”, was not met.</w:t>
      </w:r>
      <w:r w:rsidR="0024246B" w:rsidRPr="00802B02">
        <w:rPr>
          <w:lang w:val="en-CA" w:bidi="hi-IN"/>
        </w:rPr>
        <w:t xml:space="preserve"> </w:t>
      </w:r>
      <w:r w:rsidRPr="00802B02">
        <w:rPr>
          <w:lang w:val="en-CA" w:bidi="hi-IN"/>
        </w:rPr>
        <w:t>Part of the reason for this is due, as men</w:t>
      </w:r>
      <w:r w:rsidR="00B746EC">
        <w:rPr>
          <w:lang w:val="en-CA" w:bidi="hi-IN"/>
        </w:rPr>
        <w:t>tioned above, to IAFFORD’s M&amp;E s</w:t>
      </w:r>
      <w:r w:rsidRPr="00802B02">
        <w:rPr>
          <w:lang w:val="en-CA" w:bidi="hi-IN"/>
        </w:rPr>
        <w:t>ystem.</w:t>
      </w:r>
      <w:r w:rsidR="0024246B" w:rsidRPr="00802B02">
        <w:rPr>
          <w:lang w:val="en-CA" w:bidi="hi-IN"/>
        </w:rPr>
        <w:t xml:space="preserve"> </w:t>
      </w:r>
      <w:r w:rsidRPr="00802B02">
        <w:rPr>
          <w:lang w:val="en-CA" w:bidi="hi-IN"/>
        </w:rPr>
        <w:t>It could also be due to the fact that Oxfam Australia as the country office which seemed to take the role of executive leadership, did not seem to effectively communicate this requirement to Oxfam Philippines, which was responsible for IAFFORD operational planning.</w:t>
      </w:r>
      <w:r w:rsidR="0024246B" w:rsidRPr="00802B02">
        <w:rPr>
          <w:lang w:val="en-CA" w:bidi="hi-IN"/>
        </w:rPr>
        <w:t xml:space="preserve"> </w:t>
      </w:r>
      <w:r w:rsidRPr="00802B02">
        <w:rPr>
          <w:lang w:val="en-CA" w:bidi="hi-IN"/>
        </w:rPr>
        <w:t>There seemed to have been a disconnect between the strategic commitment to measure innovation and the need to build this into IAFFORD’s work plan.</w:t>
      </w:r>
    </w:p>
    <w:p w14:paraId="539637D8" w14:textId="77777777" w:rsidR="00D238B5" w:rsidRPr="00802B02" w:rsidRDefault="00D238B5" w:rsidP="00D238B5">
      <w:pPr>
        <w:rPr>
          <w:lang w:val="en-CA" w:bidi="hi-IN"/>
        </w:rPr>
      </w:pPr>
      <w:r w:rsidRPr="00802B02">
        <w:rPr>
          <w:lang w:val="en-CA" w:bidi="hi-IN"/>
        </w:rPr>
        <w:t>Based on the evidence presented in this report, the utilization of a DCT platform for development is an innovation that must also be rigorously tested. In future interventions involving a DCT platform, investment</w:t>
      </w:r>
      <w:r w:rsidR="00B746EC">
        <w:rPr>
          <w:lang w:val="en-CA" w:bidi="hi-IN"/>
        </w:rPr>
        <w:t xml:space="preserve"> or project</w:t>
      </w:r>
      <w:r w:rsidRPr="00802B02">
        <w:rPr>
          <w:lang w:val="en-CA" w:bidi="hi-IN"/>
        </w:rPr>
        <w:t xml:space="preserve"> governance arrangements should be set so that the implementing entity is contractually obligated to test the innovative potential of digital cash.</w:t>
      </w:r>
    </w:p>
    <w:p w14:paraId="44E945AA" w14:textId="767C9C29" w:rsidR="00D238B5" w:rsidRPr="00B746EC" w:rsidRDefault="00462546" w:rsidP="00D238B5">
      <w:pPr>
        <w:pStyle w:val="ListParagraph"/>
        <w:numPr>
          <w:ilvl w:val="0"/>
          <w:numId w:val="28"/>
        </w:numPr>
        <w:rPr>
          <w:b/>
        </w:rPr>
      </w:pPr>
      <w:r>
        <w:rPr>
          <w:b/>
        </w:rPr>
        <w:t>Intervention</w:t>
      </w:r>
      <w:r w:rsidR="00D238B5" w:rsidRPr="00B746EC">
        <w:rPr>
          <w:b/>
        </w:rPr>
        <w:t xml:space="preserve"> Design</w:t>
      </w:r>
    </w:p>
    <w:p w14:paraId="7823801C" w14:textId="5C3A50FA" w:rsidR="00D238B5" w:rsidRPr="00802B02" w:rsidRDefault="00D238B5" w:rsidP="00D238B5">
      <w:r w:rsidRPr="00802B02">
        <w:rPr>
          <w:lang w:val="en-CA" w:bidi="hi-IN"/>
        </w:rPr>
        <w:t xml:space="preserve">A clear-cut argument can be made, from the perspective of DFAT and other </w:t>
      </w:r>
      <w:r w:rsidR="00B746EC">
        <w:rPr>
          <w:lang w:val="en-CA" w:bidi="hi-IN"/>
        </w:rPr>
        <w:t>development donor institutions</w:t>
      </w:r>
      <w:r w:rsidRPr="00802B02">
        <w:rPr>
          <w:lang w:val="en-CA" w:bidi="hi-IN"/>
        </w:rPr>
        <w:t>, that a DCT platform is more efficient than alternatives for delivery of interventions related to disaster and risk reduction.</w:t>
      </w:r>
      <w:r w:rsidR="00FD3169">
        <w:rPr>
          <w:lang w:val="en-CA" w:bidi="hi-IN"/>
        </w:rPr>
        <w:t xml:space="preserve"> </w:t>
      </w:r>
      <w:r w:rsidRPr="00802B02">
        <w:rPr>
          <w:lang w:val="en-CA" w:bidi="hi-IN"/>
        </w:rPr>
        <w:t>However, for other development intervention types, such as financial inclusion, the case for its effectiveness is conditional on getting many factors right and in place.</w:t>
      </w:r>
    </w:p>
    <w:p w14:paraId="744B5CC5" w14:textId="77777777" w:rsidR="00D47813" w:rsidRPr="00935264" w:rsidRDefault="009113C1" w:rsidP="00D47813">
      <w:r w:rsidRPr="00802B02">
        <w:t>With respect to future DFAT interventions related to Disaster Response and Risk Reduction, it is best to regard the IAFFORD DCT platform as a Risk Reduction modality</w:t>
      </w:r>
      <w:r>
        <w:t>, contributing to resilience</w:t>
      </w:r>
      <w:r w:rsidRPr="00802B02">
        <w:t>. For example, although seemingly not used post-investment, the IAFFORD cards distributed among beneficiaries represents the ‘pre-positioning’ of a cash distribution system as part of local disaster planning. DFAT could consider a second version of IAFFORD, but strictly focusing on its utility for DRR. As mentioned before, a work</w:t>
      </w:r>
      <w:r>
        <w:t xml:space="preserve"> </w:t>
      </w:r>
      <w:r w:rsidRPr="00802B02">
        <w:t xml:space="preserve">plan for this hypothetical investment would need to include a measurement of the DCT platforms’ innovation potential as well as a component which strengthens the actors involved in the DCT </w:t>
      </w:r>
      <w:r w:rsidRPr="00935264">
        <w:t xml:space="preserve">network. </w:t>
      </w:r>
      <w:r w:rsidR="00D47813" w:rsidRPr="00935264">
        <w:t>For example, addressing liquidity concerns of small merchants who are under pressure to dispense cash to beneficiaries rather than using that cash to purchase their own inventory.</w:t>
      </w:r>
    </w:p>
    <w:p w14:paraId="685CA27E" w14:textId="77777777" w:rsidR="009113C1" w:rsidRDefault="009113C1" w:rsidP="009113C1">
      <w:r w:rsidRPr="00802B02">
        <w:t xml:space="preserve">Also, as with the IAFFORD Investment, this hypothetical follow-on investment would concentrate on the communities where there is no banking infrastructure at the local level and are the most vulnerable to natural disasters and instability. In the absence of this infrastructure, community-based non-bank financial service providers such as cooperatives can be more involved with clear agreements to serve as a sustaining mechanism beyond the life of the investment. </w:t>
      </w:r>
    </w:p>
    <w:p w14:paraId="07AA18AD" w14:textId="4541129A" w:rsidR="00D238B5" w:rsidRPr="00802B02" w:rsidRDefault="009113C1" w:rsidP="00D238B5">
      <w:r>
        <w:t>It is also important to remove potential barriers to micro-merchants’ participation in a DCT platform such as ceilings on the maximum value of monthly transactions, during an exceptional period, such as an emergency response.</w:t>
      </w:r>
      <w:r w:rsidR="008449C7">
        <w:t xml:space="preserve"> </w:t>
      </w:r>
      <w:r>
        <w:t>This is because the highest priority consideration during an emergency is the role these micro-merchants play in reflating the local economy post-emergency, thereby contributing to the general conditions for livelihood recovery.</w:t>
      </w:r>
      <w:r w:rsidR="0024246B" w:rsidRPr="00802B02">
        <w:t xml:space="preserve"> </w:t>
      </w:r>
    </w:p>
    <w:p w14:paraId="23816118" w14:textId="77777777" w:rsidR="00D238B5" w:rsidRPr="00802B02" w:rsidRDefault="00D238B5" w:rsidP="00D238B5">
      <w:r w:rsidRPr="00802B02">
        <w:t>Once the IAFFORD DCT platform is on a more sustainable footing, as indicated by its performance as a DRR modality, other follow-on investments can use the IAFFORD platform, especially for long-term development objectives such as financial inclusion, social protection and social security.</w:t>
      </w:r>
    </w:p>
    <w:p w14:paraId="35768AB2" w14:textId="77777777" w:rsidR="00D238B5" w:rsidRPr="00D21664" w:rsidRDefault="00BB2527" w:rsidP="00D238B5">
      <w:pPr>
        <w:pStyle w:val="ListParagraph"/>
        <w:numPr>
          <w:ilvl w:val="0"/>
          <w:numId w:val="28"/>
        </w:numPr>
        <w:rPr>
          <w:b/>
        </w:rPr>
      </w:pPr>
      <w:r w:rsidRPr="00D21664">
        <w:rPr>
          <w:b/>
        </w:rPr>
        <w:t>Use of the IAFFORD Card as Identification</w:t>
      </w:r>
    </w:p>
    <w:p w14:paraId="46FE74F2" w14:textId="2EDBA4DF" w:rsidR="00D238B5" w:rsidRPr="00C234EF" w:rsidRDefault="00C234EF" w:rsidP="00D238B5">
      <w:pPr>
        <w:rPr>
          <w:lang w:val="en-CA" w:bidi="hi-IN"/>
        </w:rPr>
      </w:pPr>
      <w:r>
        <w:rPr>
          <w:lang w:val="en-CA" w:bidi="hi-IN"/>
        </w:rPr>
        <w:t>As mentioned above, a</w:t>
      </w:r>
      <w:r w:rsidR="00BB2527">
        <w:rPr>
          <w:lang w:val="en-CA" w:bidi="hi-IN"/>
        </w:rPr>
        <w:t xml:space="preserve"> common issue in the delivery </w:t>
      </w:r>
      <w:r w:rsidR="00F24673">
        <w:rPr>
          <w:lang w:val="en-CA" w:bidi="hi-IN"/>
        </w:rPr>
        <w:t xml:space="preserve">of </w:t>
      </w:r>
      <w:r>
        <w:rPr>
          <w:lang w:val="en-CA" w:bidi="hi-IN"/>
        </w:rPr>
        <w:t>aid during an emergency is the need to establish identity before the delivery of services.</w:t>
      </w:r>
      <w:r w:rsidR="008449C7">
        <w:rPr>
          <w:lang w:val="en-CA" w:bidi="hi-IN"/>
        </w:rPr>
        <w:t xml:space="preserve"> </w:t>
      </w:r>
      <w:r>
        <w:rPr>
          <w:lang w:val="en-CA" w:bidi="hi-IN"/>
        </w:rPr>
        <w:t>As can be seen from IAFFORD’s experience, having the digital cash card serve additionally as a form of identification acted as a safeguard against abuse of the DCT system.</w:t>
      </w:r>
      <w:r w:rsidR="008449C7">
        <w:rPr>
          <w:lang w:val="en-CA" w:bidi="hi-IN"/>
        </w:rPr>
        <w:t xml:space="preserve"> </w:t>
      </w:r>
      <w:r>
        <w:rPr>
          <w:lang w:val="en-CA" w:bidi="hi-IN"/>
        </w:rPr>
        <w:t xml:space="preserve">This feature is consistent with DFAT’s priority to </w:t>
      </w:r>
      <w:r w:rsidR="00D238B5" w:rsidRPr="00802B02">
        <w:t>safeguard DCT platform</w:t>
      </w:r>
      <w:r>
        <w:t>s</w:t>
      </w:r>
      <w:r w:rsidR="00D238B5" w:rsidRPr="00802B02">
        <w:t xml:space="preserve"> against illegal activities, </w:t>
      </w:r>
      <w:r w:rsidR="00D21664">
        <w:t>especially terrorism. Both the g</w:t>
      </w:r>
      <w:r w:rsidR="00D238B5" w:rsidRPr="00802B02">
        <w:t>overnments of Australia and the Philippines emphasize the need to preserve the</w:t>
      </w:r>
      <w:r w:rsidR="00D238B5" w:rsidRPr="00802B02">
        <w:rPr>
          <w:bCs/>
        </w:rPr>
        <w:t xml:space="preserve"> </w:t>
      </w:r>
      <w:r w:rsidR="00D238B5" w:rsidRPr="00802B02">
        <w:t>integrity of digital cash transactions and to guard against its use for illegal or terrorist activities.</w:t>
      </w:r>
      <w:r w:rsidR="0024246B" w:rsidRPr="00802B02">
        <w:t xml:space="preserve"> </w:t>
      </w:r>
      <w:r w:rsidR="00A1722F">
        <w:t>Adding an identity verification functionality to a DCT component could be an act of due diligence compliant with provisions of the Anti-Money Laundering Act (AMLA) and Terrorist Financing Prevention and Suppression Act (TFPSA).</w:t>
      </w:r>
      <w:r w:rsidR="008449C7">
        <w:t xml:space="preserve">  </w:t>
      </w:r>
    </w:p>
    <w:p w14:paraId="6B1E41E5" w14:textId="77777777" w:rsidR="00CF238A" w:rsidRPr="00802B02" w:rsidRDefault="00CF238A" w:rsidP="004D57FE">
      <w:pPr>
        <w:pStyle w:val="1Spine"/>
        <w:jc w:val="left"/>
        <w:rPr>
          <w:color w:val="134163" w:themeColor="accent6" w:themeShade="80"/>
          <w:sz w:val="32"/>
          <w:szCs w:val="32"/>
        </w:rPr>
      </w:pPr>
    </w:p>
    <w:p w14:paraId="02D2EA6D" w14:textId="77777777" w:rsidR="00496420" w:rsidRPr="00802B02" w:rsidRDefault="00496420" w:rsidP="000C6583">
      <w:pPr>
        <w:pStyle w:val="1Spine"/>
        <w:rPr>
          <w:color w:val="134163" w:themeColor="accent6" w:themeShade="80"/>
          <w:sz w:val="32"/>
          <w:szCs w:val="32"/>
        </w:rPr>
        <w:sectPr w:rsidR="00496420" w:rsidRPr="00802B02" w:rsidSect="002F462F">
          <w:headerReference w:type="default" r:id="rId25"/>
          <w:footerReference w:type="default" r:id="rId26"/>
          <w:pgSz w:w="11906" w:h="16838" w:code="9"/>
          <w:pgMar w:top="1440" w:right="1440" w:bottom="1440" w:left="1440" w:header="720" w:footer="720" w:gutter="0"/>
          <w:pgNumType w:fmt="lowerRoman" w:start="1"/>
          <w:cols w:space="720"/>
          <w:docGrid w:linePitch="360"/>
        </w:sectPr>
      </w:pPr>
    </w:p>
    <w:p w14:paraId="7078115D" w14:textId="77777777" w:rsidR="00D42D2C" w:rsidRPr="00802B02" w:rsidRDefault="00D42D2C" w:rsidP="00BD1C6B">
      <w:pPr>
        <w:pStyle w:val="Heading1"/>
      </w:pPr>
      <w:bookmarkStart w:id="4" w:name="_Toc26180869"/>
      <w:r w:rsidRPr="00802B02">
        <w:t>Purpose</w:t>
      </w:r>
      <w:bookmarkEnd w:id="4"/>
    </w:p>
    <w:p w14:paraId="493F1EB7" w14:textId="77777777" w:rsidR="006B74C1" w:rsidRPr="00802B02" w:rsidRDefault="00103C8B" w:rsidP="00BD1C6B">
      <w:pPr>
        <w:pStyle w:val="Heading2"/>
      </w:pPr>
      <w:bookmarkStart w:id="5" w:name="_Toc26180870"/>
      <w:r w:rsidRPr="00802B02">
        <w:t>Purpose</w:t>
      </w:r>
      <w:bookmarkEnd w:id="5"/>
    </w:p>
    <w:p w14:paraId="158A1BB0" w14:textId="77777777" w:rsidR="00C65023" w:rsidRPr="00802B02" w:rsidRDefault="00D42D2C" w:rsidP="00BD1C6B">
      <w:bookmarkStart w:id="6" w:name="_Hlk25699303"/>
      <w:r w:rsidRPr="00802B02">
        <w:t xml:space="preserve">The Australian Department of Foreign Affairs and Trade (DFAT) funded the </w:t>
      </w:r>
      <w:r w:rsidRPr="00802B02">
        <w:rPr>
          <w:i/>
        </w:rPr>
        <w:t>Inclusive and Affordable Financial Facilities for Resilient and Developed Filipinos</w:t>
      </w:r>
      <w:r w:rsidRPr="00802B02">
        <w:t xml:space="preserve"> (</w:t>
      </w:r>
      <w:r w:rsidR="002F77CB" w:rsidRPr="00802B02">
        <w:t>“</w:t>
      </w:r>
      <w:r w:rsidRPr="00802B02">
        <w:t>IAFFORD</w:t>
      </w:r>
      <w:r w:rsidR="002F77CB" w:rsidRPr="00802B02">
        <w:t>”</w:t>
      </w:r>
      <w:r w:rsidRPr="00802B02">
        <w:t>) project to pilot a digital cash transfer (DCT) platform to provide financial services to the poor.</w:t>
      </w:r>
      <w:r w:rsidR="00415778" w:rsidRPr="00802B02">
        <w:t xml:space="preserve"> </w:t>
      </w:r>
      <w:r w:rsidR="00C65023" w:rsidRPr="00802B02">
        <w:t>Th</w:t>
      </w:r>
      <w:r w:rsidR="002F77CB" w:rsidRPr="00802B02">
        <w:t>e</w:t>
      </w:r>
      <w:r w:rsidR="00C65023" w:rsidRPr="00802B02">
        <w:t xml:space="preserve"> project was implemented by Oxfam</w:t>
      </w:r>
      <w:r w:rsidR="000C26AB" w:rsidRPr="00802B02">
        <w:t xml:space="preserve"> Australia</w:t>
      </w:r>
      <w:r w:rsidR="00C65023" w:rsidRPr="00802B02">
        <w:t xml:space="preserve">, in partnership and collaboration with </w:t>
      </w:r>
      <w:r w:rsidR="002F77CB" w:rsidRPr="00802B02">
        <w:t xml:space="preserve">Philippine </w:t>
      </w:r>
      <w:r w:rsidR="00C65023" w:rsidRPr="00802B02">
        <w:t>government agencies, civil society organizations, microfinance institution</w:t>
      </w:r>
      <w:r w:rsidR="002F77CB" w:rsidRPr="00802B02">
        <w:t>s</w:t>
      </w:r>
      <w:r w:rsidR="00C65023" w:rsidRPr="00802B02">
        <w:t xml:space="preserve"> and </w:t>
      </w:r>
      <w:r w:rsidR="000C26AB" w:rsidRPr="00802B02">
        <w:t>f</w:t>
      </w:r>
      <w:r w:rsidR="00C65023" w:rsidRPr="00802B02">
        <w:t xml:space="preserve">inancial </w:t>
      </w:r>
      <w:r w:rsidR="000C26AB" w:rsidRPr="00802B02">
        <w:t>t</w:t>
      </w:r>
      <w:r w:rsidR="00C65023" w:rsidRPr="00802B02">
        <w:t>echnologies (</w:t>
      </w:r>
      <w:r w:rsidR="000C26AB" w:rsidRPr="00802B02">
        <w:t>f</w:t>
      </w:r>
      <w:r w:rsidR="00C65023" w:rsidRPr="00802B02">
        <w:t>in</w:t>
      </w:r>
      <w:r w:rsidR="000C26AB" w:rsidRPr="00802B02">
        <w:t>-</w:t>
      </w:r>
      <w:r w:rsidR="00C65023" w:rsidRPr="00802B02">
        <w:t>tech) companies.</w:t>
      </w:r>
    </w:p>
    <w:p w14:paraId="6E54F42B" w14:textId="77777777" w:rsidR="005E0A22" w:rsidRPr="00802B02" w:rsidRDefault="005E0A22" w:rsidP="005E0A22">
      <w:pPr>
        <w:rPr>
          <w:lang w:val="en-CA"/>
        </w:rPr>
      </w:pPr>
      <w:r w:rsidRPr="00802B02">
        <w:rPr>
          <w:lang w:val="en-CA"/>
        </w:rPr>
        <w:t xml:space="preserve">The IAFFORD </w:t>
      </w:r>
      <w:r w:rsidR="00D21664">
        <w:rPr>
          <w:lang w:val="en-CA"/>
        </w:rPr>
        <w:t>project</w:t>
      </w:r>
      <w:r w:rsidRPr="00802B02">
        <w:rPr>
          <w:lang w:val="en-CA"/>
        </w:rPr>
        <w:t xml:space="preserve"> was supported through the </w:t>
      </w:r>
      <w:r w:rsidR="005D30DB" w:rsidRPr="00D21664">
        <w:rPr>
          <w:i/>
          <w:lang w:val="en-CA"/>
        </w:rPr>
        <w:t>DFAT Technology Against Poverty Prize</w:t>
      </w:r>
      <w:r w:rsidR="005D30DB" w:rsidRPr="00802B02">
        <w:rPr>
          <w:lang w:val="en-CA"/>
        </w:rPr>
        <w:t xml:space="preserve"> grant provided </w:t>
      </w:r>
      <w:r w:rsidR="00D21664">
        <w:rPr>
          <w:lang w:val="en-CA"/>
        </w:rPr>
        <w:t xml:space="preserve">also </w:t>
      </w:r>
      <w:r w:rsidR="005D30DB" w:rsidRPr="00802B02">
        <w:rPr>
          <w:lang w:val="en-CA"/>
        </w:rPr>
        <w:t xml:space="preserve">by </w:t>
      </w:r>
      <w:r w:rsidR="00D21664">
        <w:rPr>
          <w:lang w:val="en-CA"/>
        </w:rPr>
        <w:t>DFAT i</w:t>
      </w:r>
      <w:r w:rsidR="005D30DB" w:rsidRPr="00802B02">
        <w:rPr>
          <w:lang w:val="en-CA"/>
        </w:rPr>
        <w:t>nnovationXchange</w:t>
      </w:r>
      <w:r w:rsidR="00D21664">
        <w:rPr>
          <w:lang w:val="en-CA"/>
        </w:rPr>
        <w:t xml:space="preserve"> (iXc)</w:t>
      </w:r>
      <w:r w:rsidR="005D30DB" w:rsidRPr="00802B02">
        <w:rPr>
          <w:lang w:val="en-CA"/>
        </w:rPr>
        <w:t xml:space="preserve"> as part of the 2016 </w:t>
      </w:r>
      <w:r w:rsidRPr="00802B02">
        <w:rPr>
          <w:lang w:val="en-CA"/>
        </w:rPr>
        <w:t>Google Impact Challenge</w:t>
      </w:r>
      <w:r w:rsidR="005D30DB" w:rsidRPr="00802B02">
        <w:rPr>
          <w:lang w:val="en-CA"/>
        </w:rPr>
        <w:t>.</w:t>
      </w:r>
      <w:r w:rsidRPr="00802B02">
        <w:rPr>
          <w:vertAlign w:val="superscript"/>
          <w:lang w:val="en-CA"/>
        </w:rPr>
        <w:footnoteReference w:id="4"/>
      </w:r>
      <w:r w:rsidR="0024246B" w:rsidRPr="00802B02">
        <w:rPr>
          <w:lang w:val="en-CA"/>
        </w:rPr>
        <w:t xml:space="preserve"> </w:t>
      </w:r>
      <w:r w:rsidRPr="00802B02">
        <w:rPr>
          <w:lang w:val="en-CA"/>
        </w:rPr>
        <w:t>The core belief of Google Impact Challenge is “technology and innovation can accelerate change across the non-profit sector”.</w:t>
      </w:r>
      <w:r w:rsidR="0024246B" w:rsidRPr="00802B02">
        <w:rPr>
          <w:lang w:val="en-CA"/>
        </w:rPr>
        <w:t xml:space="preserve"> </w:t>
      </w:r>
      <w:r w:rsidRPr="00802B02">
        <w:rPr>
          <w:lang w:val="en-CA"/>
        </w:rPr>
        <w:t>The self-described mandate of iXc is “(to) build on innovation capability at (DFAT) posts, improving more lives by adopting cross-cutting themes (e.g. science and technology), approaches (e.g. systems thinking) and tools (e.g. digital inclusion).”</w:t>
      </w:r>
      <w:r w:rsidRPr="00802B02">
        <w:rPr>
          <w:vertAlign w:val="superscript"/>
          <w:lang w:val="en-CA"/>
        </w:rPr>
        <w:footnoteReference w:id="5"/>
      </w:r>
    </w:p>
    <w:bookmarkEnd w:id="6"/>
    <w:p w14:paraId="4C280F87" w14:textId="77777777" w:rsidR="005E0A22" w:rsidRPr="00802B02" w:rsidRDefault="005E0A22" w:rsidP="00BD1C6B">
      <w:r w:rsidRPr="00802B02">
        <w:rPr>
          <w:lang w:val="en-CA"/>
        </w:rPr>
        <w:t xml:space="preserve">In terms of </w:t>
      </w:r>
      <w:r w:rsidR="00D21664">
        <w:rPr>
          <w:lang w:val="en-CA"/>
        </w:rPr>
        <w:t>project/</w:t>
      </w:r>
      <w:r w:rsidRPr="00802B02">
        <w:rPr>
          <w:lang w:val="en-CA"/>
        </w:rPr>
        <w:t xml:space="preserve">investment governance, </w:t>
      </w:r>
      <w:r w:rsidR="00976847" w:rsidRPr="00802B02">
        <w:rPr>
          <w:lang w:val="en-CA"/>
        </w:rPr>
        <w:t xml:space="preserve">DFAT’s </w:t>
      </w:r>
      <w:r w:rsidRPr="00802B02">
        <w:rPr>
          <w:lang w:val="en-CA"/>
        </w:rPr>
        <w:t xml:space="preserve">managing contractor </w:t>
      </w:r>
      <w:r w:rsidR="00E047A7" w:rsidRPr="00802B02">
        <w:rPr>
          <w:lang w:val="en-CA"/>
        </w:rPr>
        <w:t xml:space="preserve">for the Google </w:t>
      </w:r>
      <w:r w:rsidR="00976847" w:rsidRPr="00802B02">
        <w:rPr>
          <w:lang w:val="en-CA"/>
        </w:rPr>
        <w:t xml:space="preserve">Impact </w:t>
      </w:r>
      <w:r w:rsidR="00E047A7" w:rsidRPr="00802B02">
        <w:rPr>
          <w:lang w:val="en-CA"/>
        </w:rPr>
        <w:t xml:space="preserve">Challenge </w:t>
      </w:r>
      <w:r w:rsidR="00976847" w:rsidRPr="00802B02">
        <w:rPr>
          <w:lang w:val="en-CA"/>
        </w:rPr>
        <w:t xml:space="preserve">Technology Against Poverty Prize </w:t>
      </w:r>
      <w:r w:rsidRPr="00802B02">
        <w:rPr>
          <w:lang w:val="en-CA"/>
        </w:rPr>
        <w:t>was DT Global (then known as AECOM) acting on behalf of iXc.</w:t>
      </w:r>
      <w:r w:rsidR="0024246B" w:rsidRPr="00802B02">
        <w:rPr>
          <w:lang w:val="en-CA"/>
        </w:rPr>
        <w:t xml:space="preserve"> </w:t>
      </w:r>
      <w:r w:rsidRPr="00802B02">
        <w:rPr>
          <w:lang w:val="en-CA"/>
        </w:rPr>
        <w:t xml:space="preserve">The implementing partner was composed of two Oxfam Country Offices: Oxfam Australia and </w:t>
      </w:r>
      <w:r w:rsidR="00D21664">
        <w:rPr>
          <w:lang w:val="en-CA"/>
        </w:rPr>
        <w:t>‘</w:t>
      </w:r>
      <w:r w:rsidRPr="00802B02">
        <w:rPr>
          <w:lang w:val="en-CA"/>
        </w:rPr>
        <w:t xml:space="preserve">Oxfam </w:t>
      </w:r>
      <w:r w:rsidR="00D21664">
        <w:rPr>
          <w:lang w:val="en-CA"/>
        </w:rPr>
        <w:t xml:space="preserve">in the </w:t>
      </w:r>
      <w:r w:rsidRPr="00802B02">
        <w:rPr>
          <w:lang w:val="en-CA"/>
        </w:rPr>
        <w:t>Philippines</w:t>
      </w:r>
      <w:r w:rsidR="00D21664">
        <w:rPr>
          <w:lang w:val="en-CA"/>
        </w:rPr>
        <w:t>’</w:t>
      </w:r>
      <w:r w:rsidRPr="00802B02">
        <w:rPr>
          <w:lang w:val="en-CA"/>
        </w:rPr>
        <w:t>.</w:t>
      </w:r>
      <w:r w:rsidR="0024246B" w:rsidRPr="00802B02">
        <w:rPr>
          <w:lang w:val="en-CA"/>
        </w:rPr>
        <w:t xml:space="preserve"> </w:t>
      </w:r>
      <w:r w:rsidRPr="00802B02">
        <w:rPr>
          <w:lang w:val="en-CA"/>
        </w:rPr>
        <w:t>Oxfam Philippines</w:t>
      </w:r>
      <w:r w:rsidR="00386F83" w:rsidRPr="00802B02">
        <w:rPr>
          <w:lang w:val="en-CA"/>
        </w:rPr>
        <w:t xml:space="preserve"> held the responsibility for the operational activities for IAFFORD, with oversight from Oxfam Australia.</w:t>
      </w:r>
    </w:p>
    <w:p w14:paraId="37E89C43" w14:textId="77777777" w:rsidR="00826F97" w:rsidRPr="00802B02" w:rsidRDefault="00D42D2C" w:rsidP="009867B8">
      <w:r w:rsidRPr="00802B02">
        <w:t xml:space="preserve">DFAT would like to evaluate the </w:t>
      </w:r>
      <w:r w:rsidR="00D21664">
        <w:t xml:space="preserve">project </w:t>
      </w:r>
      <w:r w:rsidRPr="00802B02">
        <w:t xml:space="preserve">in terms of </w:t>
      </w:r>
      <w:r w:rsidR="00AB54EC" w:rsidRPr="00802B02">
        <w:t>the</w:t>
      </w:r>
      <w:r w:rsidR="002E59D4" w:rsidRPr="00802B02">
        <w:t>:</w:t>
      </w:r>
      <w:r w:rsidR="00AB54EC" w:rsidRPr="00802B02">
        <w:t xml:space="preserve"> </w:t>
      </w:r>
      <w:r w:rsidR="008F0A4B">
        <w:rPr>
          <w:i/>
          <w:iCs/>
        </w:rPr>
        <w:t>Q</w:t>
      </w:r>
      <w:r w:rsidR="00AB54EC" w:rsidRPr="00802B02">
        <w:rPr>
          <w:i/>
          <w:iCs/>
        </w:rPr>
        <w:t xml:space="preserve">uality of </w:t>
      </w:r>
      <w:r w:rsidR="002E59D4" w:rsidRPr="00802B02">
        <w:rPr>
          <w:i/>
          <w:iCs/>
        </w:rPr>
        <w:t>Monitoring and Evaluation (M&amp;E) Systems</w:t>
      </w:r>
      <w:r w:rsidR="002E59D4" w:rsidRPr="00802B02">
        <w:t xml:space="preserve">; </w:t>
      </w:r>
      <w:r w:rsidRPr="00802B02">
        <w:rPr>
          <w:i/>
          <w:iCs/>
        </w:rPr>
        <w:t>Effectiveness</w:t>
      </w:r>
      <w:r w:rsidR="003F577E" w:rsidRPr="00802B02">
        <w:t>;</w:t>
      </w:r>
      <w:r w:rsidRPr="00802B02">
        <w:t xml:space="preserve"> </w:t>
      </w:r>
      <w:r w:rsidRPr="00802B02">
        <w:rPr>
          <w:i/>
          <w:iCs/>
        </w:rPr>
        <w:t>Efficiency</w:t>
      </w:r>
      <w:r w:rsidR="003F577E" w:rsidRPr="00802B02">
        <w:t>;</w:t>
      </w:r>
      <w:r w:rsidRPr="00802B02">
        <w:t xml:space="preserve"> </w:t>
      </w:r>
      <w:r w:rsidR="002E59D4" w:rsidRPr="00802B02">
        <w:rPr>
          <w:i/>
          <w:iCs/>
        </w:rPr>
        <w:t>Relevance</w:t>
      </w:r>
      <w:r w:rsidR="002E59D4" w:rsidRPr="00802B02">
        <w:t xml:space="preserve">, contribution to </w:t>
      </w:r>
      <w:r w:rsidR="002E59D4" w:rsidRPr="00802B02">
        <w:rPr>
          <w:i/>
          <w:iCs/>
        </w:rPr>
        <w:t>Gender Equality</w:t>
      </w:r>
      <w:r w:rsidR="003F577E" w:rsidRPr="00802B02">
        <w:rPr>
          <w:i/>
          <w:iCs/>
        </w:rPr>
        <w:t>;</w:t>
      </w:r>
      <w:r w:rsidR="002E59D4" w:rsidRPr="00802B02">
        <w:t xml:space="preserve"> and </w:t>
      </w:r>
      <w:r w:rsidRPr="00802B02">
        <w:rPr>
          <w:i/>
          <w:iCs/>
        </w:rPr>
        <w:t>Sustainability</w:t>
      </w:r>
      <w:r w:rsidRPr="00802B02">
        <w:t xml:space="preserve">. </w:t>
      </w:r>
      <w:r w:rsidR="009867B8" w:rsidRPr="00802B02">
        <w:t xml:space="preserve">DFAT also wants to identify </w:t>
      </w:r>
      <w:r w:rsidR="009867B8" w:rsidRPr="00802B02">
        <w:rPr>
          <w:i/>
          <w:iCs/>
        </w:rPr>
        <w:t>lessons learned</w:t>
      </w:r>
      <w:r w:rsidR="009867B8" w:rsidRPr="00802B02">
        <w:t xml:space="preserve"> from the implementation of IAFFORD's digital infrastructure platform</w:t>
      </w:r>
      <w:r w:rsidRPr="00802B02">
        <w:t>.</w:t>
      </w:r>
      <w:r w:rsidR="00415778" w:rsidRPr="00802B02">
        <w:t xml:space="preserve"> </w:t>
      </w:r>
      <w:r w:rsidR="00A513D2" w:rsidRPr="00802B02">
        <w:t xml:space="preserve">The purpose of this </w:t>
      </w:r>
      <w:r w:rsidR="000C26AB" w:rsidRPr="00802B02">
        <w:t>Report</w:t>
      </w:r>
      <w:r w:rsidR="00A513D2" w:rsidRPr="00802B02">
        <w:t xml:space="preserve"> is to describe findings of the </w:t>
      </w:r>
      <w:r w:rsidR="000C26AB" w:rsidRPr="00802B02">
        <w:t>E</w:t>
      </w:r>
      <w:r w:rsidR="00A513D2" w:rsidRPr="00802B02">
        <w:t>valuation.</w:t>
      </w:r>
      <w:r w:rsidR="00415778" w:rsidRPr="00802B02">
        <w:t xml:space="preserve"> </w:t>
      </w:r>
    </w:p>
    <w:p w14:paraId="71BF9798" w14:textId="77777777" w:rsidR="002D0017" w:rsidRPr="00802B02" w:rsidRDefault="002D0017" w:rsidP="009867B8">
      <w:r w:rsidRPr="00802B02">
        <w:t>In order to objectively evaluate the IAFFORD project, it is important to describe the history of Oxfam’s use of Digital Cash Transfer (DCT) for its operations in the Philippines. The main sources for this history is the Google Impact Challenge (GIC</w:t>
      </w:r>
      <w:r w:rsidR="005E0A22" w:rsidRPr="00802B02">
        <w:t xml:space="preserve">) </w:t>
      </w:r>
      <w:r w:rsidRPr="00802B02">
        <w:t>application document authored by Oxfam for its initial grant submission, as well as consultations with key informants at Visa Philippines Office, PayMaya Philippines Incorporated and Oxfam Philippines. Further information on IAFFORD’s investment design is provided below.</w:t>
      </w:r>
    </w:p>
    <w:p w14:paraId="5E279994" w14:textId="77777777" w:rsidR="00826F97" w:rsidRPr="00802B02" w:rsidRDefault="00826F97" w:rsidP="00BD1C6B">
      <w:pPr>
        <w:pStyle w:val="Heading2"/>
      </w:pPr>
      <w:bookmarkStart w:id="7" w:name="_Toc26180871"/>
      <w:r w:rsidRPr="00802B02">
        <w:t>Methodology</w:t>
      </w:r>
      <w:bookmarkEnd w:id="7"/>
    </w:p>
    <w:p w14:paraId="303BAA3E" w14:textId="77777777" w:rsidR="00FB29E6" w:rsidRPr="00802B02" w:rsidRDefault="00D21664" w:rsidP="004D57FE">
      <w:pPr>
        <w:pStyle w:val="Heading3"/>
        <w:spacing w:before="0" w:after="240"/>
      </w:pPr>
      <w:bookmarkStart w:id="8" w:name="_Toc26180872"/>
      <w:r>
        <w:t xml:space="preserve">Aid </w:t>
      </w:r>
      <w:r w:rsidR="00FB29E6" w:rsidRPr="00802B02">
        <w:t>Q</w:t>
      </w:r>
      <w:r>
        <w:t xml:space="preserve">uality </w:t>
      </w:r>
      <w:r w:rsidR="00FB29E6" w:rsidRPr="00802B02">
        <w:t>C</w:t>
      </w:r>
      <w:r>
        <w:t>heck (AQC)</w:t>
      </w:r>
      <w:r w:rsidR="00FB29E6" w:rsidRPr="00802B02">
        <w:t xml:space="preserve"> Rating Methodology</w:t>
      </w:r>
      <w:bookmarkEnd w:id="8"/>
    </w:p>
    <w:p w14:paraId="7BFEE071" w14:textId="77777777" w:rsidR="005270EC" w:rsidRPr="00802B02" w:rsidRDefault="00CD1800" w:rsidP="00CD1800">
      <w:r w:rsidRPr="00802B02">
        <w:t xml:space="preserve">In general terms, this evaluation methodology applies the guidance on investment quality as articulated in the Aid Quality Check </w:t>
      </w:r>
      <w:r w:rsidR="00E3076A">
        <w:t xml:space="preserve">(AQC) </w:t>
      </w:r>
      <w:r w:rsidRPr="00802B02">
        <w:t>Ratings Matrix documents (2018 and 2019)</w:t>
      </w:r>
      <w:r w:rsidRPr="00802B02">
        <w:rPr>
          <w:rStyle w:val="FootnoteReference"/>
        </w:rPr>
        <w:t xml:space="preserve"> </w:t>
      </w:r>
      <w:r w:rsidRPr="00802B02">
        <w:rPr>
          <w:rStyle w:val="FootnoteReference"/>
        </w:rPr>
        <w:footnoteReference w:id="6"/>
      </w:r>
      <w:r w:rsidRPr="00802B02">
        <w:t xml:space="preserve"> which contain explicit, clear and detailed criteria. See the table below for </w:t>
      </w:r>
      <w:r w:rsidR="00E3076A">
        <w:t xml:space="preserve">the </w:t>
      </w:r>
      <w:r w:rsidRPr="00802B02">
        <w:t xml:space="preserve">AQC criteria. Raters are asked to determine to what extent an investment addresses the </w:t>
      </w:r>
      <w:r w:rsidRPr="00802B02">
        <w:rPr>
          <w:i/>
          <w:iCs/>
        </w:rPr>
        <w:t>focus areas</w:t>
      </w:r>
      <w:r w:rsidRPr="00802B02">
        <w:t xml:space="preserve"> articulated for each </w:t>
      </w:r>
      <w:r w:rsidR="00D330DA" w:rsidRPr="00802B02">
        <w:t>criterion</w:t>
      </w:r>
      <w:r w:rsidRPr="00802B02">
        <w:t>, which are indicators of investment quality.</w:t>
      </w:r>
      <w:r w:rsidR="0024246B" w:rsidRPr="00802B02">
        <w:t xml:space="preserve"> </w:t>
      </w:r>
      <w:r w:rsidRPr="00802B02">
        <w:t xml:space="preserve">When assessing the extent to which an investment addresses a </w:t>
      </w:r>
      <w:r w:rsidRPr="00802B02">
        <w:rPr>
          <w:i/>
          <w:iCs/>
        </w:rPr>
        <w:t>focus area</w:t>
      </w:r>
      <w:r w:rsidRPr="00802B02">
        <w:t xml:space="preserve"> for each </w:t>
      </w:r>
      <w:r w:rsidR="00D330DA" w:rsidRPr="00802B02">
        <w:t>criterion</w:t>
      </w:r>
      <w:r w:rsidRPr="00802B02">
        <w:t>,</w:t>
      </w:r>
      <w:r w:rsidR="00D330DA" w:rsidRPr="00802B02">
        <w:t xml:space="preserve"> raters are asked to weight their ratings according to the </w:t>
      </w:r>
      <w:r w:rsidR="00D330DA" w:rsidRPr="00802B02">
        <w:rPr>
          <w:i/>
          <w:iCs/>
        </w:rPr>
        <w:t>strength of the evidence</w:t>
      </w:r>
      <w:r w:rsidR="00D330DA" w:rsidRPr="00802B02">
        <w:t xml:space="preserve"> for each criterion and focus area.</w:t>
      </w:r>
      <w:r w:rsidR="00C93037" w:rsidRPr="00802B02">
        <w:t xml:space="preserve"> Finally, investments are assigned a numeric rating to support an assessment of Unsatisfactory (score of between one and three) or Satisfactory (score of </w:t>
      </w:r>
      <w:r w:rsidR="008F0A4B">
        <w:t>four</w:t>
      </w:r>
      <w:r w:rsidR="00C93037" w:rsidRPr="00802B02">
        <w:t xml:space="preserve"> and higher).</w:t>
      </w:r>
    </w:p>
    <w:tbl>
      <w:tblPr>
        <w:tblStyle w:val="TableGrid"/>
        <w:tblW w:w="9209" w:type="dxa"/>
        <w:tblLook w:val="04A0" w:firstRow="1" w:lastRow="0" w:firstColumn="1" w:lastColumn="0" w:noHBand="0" w:noVBand="1"/>
      </w:tblPr>
      <w:tblGrid>
        <w:gridCol w:w="1555"/>
        <w:gridCol w:w="7654"/>
      </w:tblGrid>
      <w:tr w:rsidR="005270EC" w:rsidRPr="00802B02" w14:paraId="09B2679C" w14:textId="77777777" w:rsidTr="00FD3169">
        <w:trPr>
          <w:tblHeader/>
        </w:trPr>
        <w:tc>
          <w:tcPr>
            <w:tcW w:w="9209" w:type="dxa"/>
            <w:gridSpan w:val="2"/>
          </w:tcPr>
          <w:p w14:paraId="7BF539AC" w14:textId="2052F34F" w:rsidR="005270EC" w:rsidRPr="00E3076A" w:rsidRDefault="005270EC" w:rsidP="00E3076A">
            <w:pPr>
              <w:contextualSpacing/>
              <w:jc w:val="center"/>
              <w:rPr>
                <w:b/>
              </w:rPr>
            </w:pPr>
            <w:r w:rsidRPr="00E3076A">
              <w:rPr>
                <w:b/>
              </w:rPr>
              <w:t xml:space="preserve">Table </w:t>
            </w:r>
            <w:r w:rsidR="00D9135B" w:rsidRPr="00E3076A">
              <w:rPr>
                <w:b/>
              </w:rPr>
              <w:fldChar w:fldCharType="begin"/>
            </w:r>
            <w:r w:rsidR="00D9135B" w:rsidRPr="00E3076A">
              <w:rPr>
                <w:b/>
              </w:rPr>
              <w:instrText xml:space="preserve"> SEQ Table \* ARABIC </w:instrText>
            </w:r>
            <w:r w:rsidR="00D9135B" w:rsidRPr="00E3076A">
              <w:rPr>
                <w:b/>
              </w:rPr>
              <w:fldChar w:fldCharType="separate"/>
            </w:r>
            <w:r w:rsidR="00522838">
              <w:rPr>
                <w:b/>
                <w:noProof/>
              </w:rPr>
              <w:t>1</w:t>
            </w:r>
            <w:r w:rsidR="00D9135B" w:rsidRPr="00E3076A">
              <w:rPr>
                <w:b/>
                <w:noProof/>
              </w:rPr>
              <w:fldChar w:fldCharType="end"/>
            </w:r>
            <w:r w:rsidR="00E3076A">
              <w:rPr>
                <w:b/>
              </w:rPr>
              <w:t xml:space="preserve">. </w:t>
            </w:r>
            <w:r w:rsidRPr="00E3076A">
              <w:rPr>
                <w:b/>
                <w:bCs/>
              </w:rPr>
              <w:t>AQC Criterion and Focus Areas</w:t>
            </w:r>
          </w:p>
        </w:tc>
      </w:tr>
      <w:tr w:rsidR="005270EC" w:rsidRPr="00802B02" w14:paraId="23BD9997" w14:textId="77777777" w:rsidTr="00FD3169">
        <w:trPr>
          <w:tblHeader/>
        </w:trPr>
        <w:tc>
          <w:tcPr>
            <w:tcW w:w="1555" w:type="dxa"/>
          </w:tcPr>
          <w:p w14:paraId="1C3D8359" w14:textId="77777777" w:rsidR="005270EC" w:rsidRPr="00802B02" w:rsidRDefault="005270EC" w:rsidP="005270EC">
            <w:pPr>
              <w:contextualSpacing/>
            </w:pPr>
            <w:r w:rsidRPr="00802B02">
              <w:rPr>
                <w:b/>
              </w:rPr>
              <w:t>Criterion</w:t>
            </w:r>
          </w:p>
        </w:tc>
        <w:tc>
          <w:tcPr>
            <w:tcW w:w="7654" w:type="dxa"/>
          </w:tcPr>
          <w:p w14:paraId="7EE49F3B" w14:textId="77777777" w:rsidR="005270EC" w:rsidRPr="00802B02" w:rsidRDefault="005270EC" w:rsidP="005270EC">
            <w:pPr>
              <w:contextualSpacing/>
            </w:pPr>
            <w:r w:rsidRPr="00802B02">
              <w:rPr>
                <w:b/>
              </w:rPr>
              <w:t>Focus Areas</w:t>
            </w:r>
          </w:p>
        </w:tc>
      </w:tr>
      <w:tr w:rsidR="005270EC" w:rsidRPr="00802B02" w14:paraId="16D9A547" w14:textId="77777777" w:rsidTr="00FD3169">
        <w:tc>
          <w:tcPr>
            <w:tcW w:w="1555" w:type="dxa"/>
          </w:tcPr>
          <w:p w14:paraId="3BB9F2C6" w14:textId="77777777" w:rsidR="005270EC" w:rsidRPr="00802B02" w:rsidRDefault="005270EC" w:rsidP="005270EC">
            <w:pPr>
              <w:contextualSpacing/>
            </w:pPr>
            <w:r w:rsidRPr="00802B02">
              <w:t>M&amp;E Systems</w:t>
            </w:r>
          </w:p>
        </w:tc>
        <w:tc>
          <w:tcPr>
            <w:tcW w:w="7654" w:type="dxa"/>
          </w:tcPr>
          <w:p w14:paraId="67A36341"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M&amp;E plan meets DFAT’s M&amp;E standards</w:t>
            </w:r>
          </w:p>
          <w:p w14:paraId="02239FD7"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M&amp;E resources</w:t>
            </w:r>
          </w:p>
          <w:p w14:paraId="2BB7ABCF"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Baseline data</w:t>
            </w:r>
          </w:p>
          <w:p w14:paraId="40470097"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Availability of performance information</w:t>
            </w:r>
          </w:p>
          <w:p w14:paraId="7EEE69E8"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Evidence-based decision making</w:t>
            </w:r>
          </w:p>
          <w:p w14:paraId="1B61ED4F"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Use of partner systems</w:t>
            </w:r>
          </w:p>
        </w:tc>
      </w:tr>
      <w:tr w:rsidR="005270EC" w:rsidRPr="00802B02" w14:paraId="544E8BF7" w14:textId="77777777" w:rsidTr="00FD3169">
        <w:tc>
          <w:tcPr>
            <w:tcW w:w="1555" w:type="dxa"/>
          </w:tcPr>
          <w:p w14:paraId="36A64366" w14:textId="77777777" w:rsidR="005270EC" w:rsidRPr="00802B02" w:rsidRDefault="005270EC" w:rsidP="005270EC">
            <w:pPr>
              <w:contextualSpacing/>
            </w:pPr>
            <w:r w:rsidRPr="00802B02">
              <w:t>Effectiveness</w:t>
            </w:r>
          </w:p>
        </w:tc>
        <w:tc>
          <w:tcPr>
            <w:tcW w:w="7654" w:type="dxa"/>
          </w:tcPr>
          <w:p w14:paraId="23747926"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Outputs, targets and final outcomes</w:t>
            </w:r>
          </w:p>
          <w:p w14:paraId="46585928"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Behaviour change amongst partners and beneficiaries</w:t>
            </w:r>
          </w:p>
          <w:p w14:paraId="46612FC5"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Policy dialogue</w:t>
            </w:r>
          </w:p>
          <w:p w14:paraId="1972630C"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 Performance information is being used for management decision-making, learning and accountability</w:t>
            </w:r>
          </w:p>
        </w:tc>
      </w:tr>
      <w:tr w:rsidR="005270EC" w:rsidRPr="00802B02" w14:paraId="5B507346" w14:textId="77777777" w:rsidTr="00FD3169">
        <w:trPr>
          <w:cantSplit/>
        </w:trPr>
        <w:tc>
          <w:tcPr>
            <w:tcW w:w="1555" w:type="dxa"/>
          </w:tcPr>
          <w:p w14:paraId="645C5CF1" w14:textId="77777777" w:rsidR="005270EC" w:rsidRPr="00802B02" w:rsidRDefault="005270EC" w:rsidP="005270EC">
            <w:pPr>
              <w:contextualSpacing/>
            </w:pPr>
            <w:r w:rsidRPr="00802B02">
              <w:t>Efficiency</w:t>
            </w:r>
          </w:p>
        </w:tc>
        <w:tc>
          <w:tcPr>
            <w:tcW w:w="7654" w:type="dxa"/>
          </w:tcPr>
          <w:p w14:paraId="46667E10"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Appropriate use of resources</w:t>
            </w:r>
          </w:p>
          <w:p w14:paraId="64FF16F5"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Efficiency of the aid modality and governance arrangements</w:t>
            </w:r>
          </w:p>
          <w:p w14:paraId="2920AB78"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Suitable staffing</w:t>
            </w:r>
          </w:p>
          <w:p w14:paraId="655ED4BC"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Harmonisation</w:t>
            </w:r>
          </w:p>
          <w:p w14:paraId="02142EB4"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 The M&amp;E System supports assessment of efficiency</w:t>
            </w:r>
          </w:p>
        </w:tc>
      </w:tr>
      <w:tr w:rsidR="005270EC" w:rsidRPr="00802B02" w14:paraId="69F9B808" w14:textId="77777777" w:rsidTr="00FD3169">
        <w:tc>
          <w:tcPr>
            <w:tcW w:w="1555" w:type="dxa"/>
          </w:tcPr>
          <w:p w14:paraId="38633400" w14:textId="77777777" w:rsidR="005270EC" w:rsidRPr="00802B02" w:rsidRDefault="005270EC" w:rsidP="005270EC">
            <w:pPr>
              <w:contextualSpacing/>
            </w:pPr>
            <w:r w:rsidRPr="00802B02">
              <w:t>Relevance</w:t>
            </w:r>
          </w:p>
        </w:tc>
        <w:tc>
          <w:tcPr>
            <w:tcW w:w="7654" w:type="dxa"/>
          </w:tcPr>
          <w:p w14:paraId="50CEC03C"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Australia’s national interests and partner priorities</w:t>
            </w:r>
          </w:p>
          <w:p w14:paraId="26B1AEA4"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Alignment with relevant Aid Investment Plan (AIP) or strategy frameworks</w:t>
            </w:r>
          </w:p>
          <w:p w14:paraId="09859230"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Appropriateness of the modality</w:t>
            </w:r>
          </w:p>
          <w:p w14:paraId="6445EF49"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Responsiveness to contextual changes (if applicable)</w:t>
            </w:r>
          </w:p>
        </w:tc>
      </w:tr>
      <w:tr w:rsidR="005270EC" w:rsidRPr="00802B02" w14:paraId="5EC5F293" w14:textId="77777777" w:rsidTr="00FD3169">
        <w:tc>
          <w:tcPr>
            <w:tcW w:w="1555" w:type="dxa"/>
          </w:tcPr>
          <w:p w14:paraId="2C15F60E" w14:textId="77777777" w:rsidR="005270EC" w:rsidRPr="00802B02" w:rsidRDefault="005270EC" w:rsidP="005270EC">
            <w:pPr>
              <w:contextualSpacing/>
            </w:pPr>
            <w:r w:rsidRPr="00802B02">
              <w:t>Gender Equality</w:t>
            </w:r>
          </w:p>
        </w:tc>
        <w:tc>
          <w:tcPr>
            <w:tcW w:w="7654" w:type="dxa"/>
          </w:tcPr>
          <w:p w14:paraId="618D472F"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Achievement of results on gender equality and women’s empowerment</w:t>
            </w:r>
          </w:p>
          <w:p w14:paraId="03F0B696"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Development and implementation of a gender strategy based on gender analysis</w:t>
            </w:r>
          </w:p>
          <w:p w14:paraId="44994A2B"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Adequate resources</w:t>
            </w:r>
          </w:p>
          <w:p w14:paraId="47BF3DDF"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M&amp;E system monitors performance on gender equality</w:t>
            </w:r>
          </w:p>
          <w:p w14:paraId="0EB55D38" w14:textId="77777777" w:rsidR="005270EC" w:rsidRPr="00802B02" w:rsidRDefault="005270EC" w:rsidP="004D57FE">
            <w:pPr>
              <w:numPr>
                <w:ilvl w:val="0"/>
                <w:numId w:val="32"/>
              </w:numPr>
              <w:spacing w:after="200"/>
              <w:ind w:left="318" w:hanging="284"/>
              <w:contextualSpacing/>
              <w:rPr>
                <w:bCs/>
                <w:lang w:val="en-CA"/>
              </w:rPr>
            </w:pPr>
            <w:r w:rsidRPr="00802B02">
              <w:rPr>
                <w:bCs/>
                <w:lang w:val="en-CA"/>
              </w:rPr>
              <w:t>Partners demonstrate commitment and ownership</w:t>
            </w:r>
          </w:p>
        </w:tc>
      </w:tr>
      <w:tr w:rsidR="005270EC" w:rsidRPr="00802B02" w14:paraId="51BEE195" w14:textId="77777777" w:rsidTr="00FD3169">
        <w:tc>
          <w:tcPr>
            <w:tcW w:w="1555" w:type="dxa"/>
          </w:tcPr>
          <w:p w14:paraId="6AF7EB4F" w14:textId="77777777" w:rsidR="005270EC" w:rsidRPr="00802B02" w:rsidRDefault="005270EC" w:rsidP="005270EC">
            <w:pPr>
              <w:contextualSpacing/>
            </w:pPr>
            <w:r w:rsidRPr="00802B02">
              <w:t>Sustainability</w:t>
            </w:r>
          </w:p>
        </w:tc>
        <w:tc>
          <w:tcPr>
            <w:tcW w:w="7654" w:type="dxa"/>
          </w:tcPr>
          <w:p w14:paraId="440B23D8" w14:textId="77777777" w:rsidR="005270EC" w:rsidRPr="00802B02" w:rsidRDefault="005270EC" w:rsidP="00FD3169">
            <w:pPr>
              <w:numPr>
                <w:ilvl w:val="0"/>
                <w:numId w:val="32"/>
              </w:numPr>
              <w:spacing w:after="200" w:line="276" w:lineRule="auto"/>
              <w:ind w:left="316" w:hanging="283"/>
              <w:contextualSpacing/>
              <w:rPr>
                <w:bCs/>
                <w:lang w:val="en-CA"/>
              </w:rPr>
            </w:pPr>
            <w:r w:rsidRPr="00802B02">
              <w:rPr>
                <w:bCs/>
                <w:lang w:val="en-CA"/>
              </w:rPr>
              <w:t>Enduring benefits</w:t>
            </w:r>
          </w:p>
          <w:p w14:paraId="7A6AEFE7" w14:textId="77777777" w:rsidR="005270EC" w:rsidRPr="00802B02" w:rsidRDefault="005270EC" w:rsidP="00FD3169">
            <w:pPr>
              <w:numPr>
                <w:ilvl w:val="0"/>
                <w:numId w:val="32"/>
              </w:numPr>
              <w:spacing w:after="200" w:line="276" w:lineRule="auto"/>
              <w:ind w:left="316" w:hanging="283"/>
              <w:contextualSpacing/>
              <w:rPr>
                <w:bCs/>
                <w:lang w:val="en-CA"/>
              </w:rPr>
            </w:pPr>
            <w:r w:rsidRPr="00802B02">
              <w:rPr>
                <w:bCs/>
                <w:lang w:val="en-CA"/>
              </w:rPr>
              <w:t>Local systems used</w:t>
            </w:r>
          </w:p>
          <w:p w14:paraId="73827A55" w14:textId="77777777" w:rsidR="005270EC" w:rsidRPr="00802B02" w:rsidRDefault="005270EC" w:rsidP="00FD3169">
            <w:pPr>
              <w:numPr>
                <w:ilvl w:val="0"/>
                <w:numId w:val="32"/>
              </w:numPr>
              <w:spacing w:after="200" w:line="276" w:lineRule="auto"/>
              <w:ind w:left="316" w:hanging="283"/>
              <w:contextualSpacing/>
              <w:rPr>
                <w:bCs/>
                <w:lang w:val="en-CA"/>
              </w:rPr>
            </w:pPr>
            <w:r w:rsidRPr="00802B02">
              <w:rPr>
                <w:bCs/>
                <w:lang w:val="en-CA"/>
              </w:rPr>
              <w:t>Ownership</w:t>
            </w:r>
          </w:p>
          <w:p w14:paraId="6F9C142C" w14:textId="77777777" w:rsidR="005270EC" w:rsidRPr="00802B02" w:rsidRDefault="005270EC" w:rsidP="00FD3169">
            <w:pPr>
              <w:numPr>
                <w:ilvl w:val="0"/>
                <w:numId w:val="32"/>
              </w:numPr>
              <w:spacing w:after="200" w:line="276" w:lineRule="auto"/>
              <w:ind w:left="316" w:hanging="283"/>
              <w:contextualSpacing/>
              <w:rPr>
                <w:bCs/>
                <w:lang w:val="en-CA"/>
              </w:rPr>
            </w:pPr>
            <w:r w:rsidRPr="00802B02">
              <w:rPr>
                <w:bCs/>
                <w:lang w:val="en-CA"/>
              </w:rPr>
              <w:t>Risk management</w:t>
            </w:r>
          </w:p>
        </w:tc>
      </w:tr>
      <w:tr w:rsidR="001764A9" w:rsidRPr="00802B02" w14:paraId="28DF8690" w14:textId="77777777" w:rsidTr="00FD3169">
        <w:tc>
          <w:tcPr>
            <w:tcW w:w="9209" w:type="dxa"/>
            <w:gridSpan w:val="2"/>
          </w:tcPr>
          <w:p w14:paraId="22E0E5E0" w14:textId="77777777" w:rsidR="001764A9" w:rsidRPr="00802B02" w:rsidRDefault="001764A9" w:rsidP="005270EC">
            <w:pPr>
              <w:contextualSpacing/>
            </w:pPr>
            <w:r w:rsidRPr="00802B02">
              <w:rPr>
                <w:b/>
                <w:lang w:val="en-CA"/>
              </w:rPr>
              <w:t>* 2019 Guidance</w:t>
            </w:r>
          </w:p>
        </w:tc>
      </w:tr>
    </w:tbl>
    <w:p w14:paraId="223A0108" w14:textId="77777777" w:rsidR="001764A9" w:rsidRPr="00802B02" w:rsidRDefault="001764A9" w:rsidP="00373E3C">
      <w:pPr>
        <w:spacing w:after="0"/>
      </w:pPr>
    </w:p>
    <w:p w14:paraId="264644A8" w14:textId="77777777" w:rsidR="00CD1800" w:rsidRPr="00802B02" w:rsidRDefault="00E4279B" w:rsidP="00F6365C">
      <w:pPr>
        <w:pStyle w:val="Heading3"/>
        <w:spacing w:before="0" w:after="200"/>
      </w:pPr>
      <w:bookmarkStart w:id="9" w:name="_Toc26180873"/>
      <w:r w:rsidRPr="00802B02">
        <w:t>AQC Criteria and IAFFORD</w:t>
      </w:r>
      <w:r w:rsidR="00E3076A">
        <w:t xml:space="preserve"> Project</w:t>
      </w:r>
      <w:r w:rsidRPr="00802B02">
        <w:t xml:space="preserve"> Evaluation Questions</w:t>
      </w:r>
      <w:bookmarkEnd w:id="9"/>
    </w:p>
    <w:p w14:paraId="70C4B612" w14:textId="77777777" w:rsidR="00BF33D2" w:rsidRPr="00802B02" w:rsidRDefault="00E9034B" w:rsidP="00BD1C6B">
      <w:r w:rsidRPr="00802B02">
        <w:t>S</w:t>
      </w:r>
      <w:r w:rsidR="00635373" w:rsidRPr="00802B02">
        <w:t xml:space="preserve">pecific guidance is </w:t>
      </w:r>
      <w:r w:rsidRPr="00802B02">
        <w:t xml:space="preserve">derived from </w:t>
      </w:r>
      <w:r w:rsidR="0069032C" w:rsidRPr="00802B02">
        <w:t xml:space="preserve">the </w:t>
      </w:r>
      <w:r w:rsidR="00444B95" w:rsidRPr="00802B02">
        <w:t>Terms of Reference developed for this evaluation, in the form of evaluation questions.</w:t>
      </w:r>
    </w:p>
    <w:p w14:paraId="4589D6F6" w14:textId="77777777" w:rsidR="00FB081D" w:rsidRPr="00802B02" w:rsidRDefault="00444B95" w:rsidP="004D57FE">
      <w:pPr>
        <w:spacing w:after="120"/>
        <w:contextualSpacing/>
      </w:pPr>
      <w:r w:rsidRPr="00802B02">
        <w:t xml:space="preserve">AQC Criteria 1: </w:t>
      </w:r>
      <w:r w:rsidR="00FB081D" w:rsidRPr="00802B02">
        <w:t>M&amp;E Systems</w:t>
      </w:r>
    </w:p>
    <w:p w14:paraId="5408701C" w14:textId="77777777" w:rsidR="00444B95" w:rsidRPr="00E3076A" w:rsidRDefault="00FB081D" w:rsidP="00E3076A">
      <w:pPr>
        <w:pStyle w:val="ListParagraph"/>
        <w:spacing w:after="120"/>
        <w:ind w:left="450"/>
        <w:contextualSpacing/>
        <w:rPr>
          <w:b/>
          <w:i/>
        </w:rPr>
      </w:pPr>
      <w:r w:rsidRPr="00E3076A">
        <w:rPr>
          <w:i/>
        </w:rPr>
        <w:t xml:space="preserve">Did the project’s M&amp;E system generate robust evidence to measure results achieved? </w:t>
      </w:r>
    </w:p>
    <w:p w14:paraId="62C1CCB8" w14:textId="77777777" w:rsidR="00FB081D" w:rsidRPr="00802B02" w:rsidRDefault="00F974C3" w:rsidP="004D57FE">
      <w:pPr>
        <w:spacing w:after="120"/>
        <w:contextualSpacing/>
      </w:pPr>
      <w:r w:rsidRPr="00802B02">
        <w:t xml:space="preserve">AQC </w:t>
      </w:r>
      <w:r w:rsidR="00444B95" w:rsidRPr="00802B02">
        <w:t xml:space="preserve">Criteria 2: </w:t>
      </w:r>
      <w:r w:rsidR="00FB081D" w:rsidRPr="00802B02">
        <w:t xml:space="preserve">Effectiveness </w:t>
      </w:r>
    </w:p>
    <w:p w14:paraId="3FD793EC" w14:textId="77777777" w:rsidR="00FB081D" w:rsidRPr="00E3076A" w:rsidRDefault="00FB081D" w:rsidP="00E3076A">
      <w:pPr>
        <w:pStyle w:val="ListParagraph"/>
        <w:numPr>
          <w:ilvl w:val="0"/>
          <w:numId w:val="31"/>
        </w:numPr>
        <w:spacing w:after="0"/>
        <w:contextualSpacing/>
        <w:rPr>
          <w:b/>
          <w:i/>
        </w:rPr>
      </w:pPr>
      <w:r w:rsidRPr="00E3076A">
        <w:rPr>
          <w:i/>
        </w:rPr>
        <w:t xml:space="preserve">Did the IAFFORD project achieve the results that were expected? </w:t>
      </w:r>
    </w:p>
    <w:p w14:paraId="4C529FD9" w14:textId="77777777" w:rsidR="00FB081D" w:rsidRPr="00E3076A" w:rsidRDefault="00FB081D" w:rsidP="00E3076A">
      <w:pPr>
        <w:pStyle w:val="ListParagraph"/>
        <w:numPr>
          <w:ilvl w:val="0"/>
          <w:numId w:val="31"/>
        </w:numPr>
        <w:spacing w:after="0"/>
        <w:contextualSpacing/>
        <w:rPr>
          <w:b/>
          <w:i/>
        </w:rPr>
      </w:pPr>
      <w:r w:rsidRPr="00E3076A">
        <w:rPr>
          <w:i/>
        </w:rPr>
        <w:t>To what extent did IAFFORD meet its intended goal, outcomes, and outputs?</w:t>
      </w:r>
    </w:p>
    <w:p w14:paraId="18CB1CE1" w14:textId="77777777" w:rsidR="00FB081D" w:rsidRPr="00E3076A" w:rsidRDefault="00FB081D" w:rsidP="00E3076A">
      <w:pPr>
        <w:pStyle w:val="ListParagraph"/>
        <w:numPr>
          <w:ilvl w:val="0"/>
          <w:numId w:val="31"/>
        </w:numPr>
        <w:spacing w:after="0"/>
        <w:contextualSpacing/>
        <w:rPr>
          <w:b/>
          <w:i/>
        </w:rPr>
      </w:pPr>
      <w:r w:rsidRPr="00E3076A">
        <w:rPr>
          <w:i/>
        </w:rPr>
        <w:t xml:space="preserve">Did the project’s M&amp;E system generate robust evidence to measure effectiveness? </w:t>
      </w:r>
    </w:p>
    <w:p w14:paraId="431F9D6F" w14:textId="77777777" w:rsidR="00FB081D" w:rsidRPr="00E3076A" w:rsidRDefault="00FB081D" w:rsidP="00E3076A">
      <w:pPr>
        <w:pStyle w:val="ListParagraph"/>
        <w:numPr>
          <w:ilvl w:val="0"/>
          <w:numId w:val="31"/>
        </w:numPr>
        <w:spacing w:after="0"/>
        <w:contextualSpacing/>
        <w:rPr>
          <w:b/>
          <w:i/>
        </w:rPr>
      </w:pPr>
      <w:r w:rsidRPr="00E3076A">
        <w:rPr>
          <w:i/>
        </w:rPr>
        <w:t xml:space="preserve">What changes in behaviour, if any, did IAFFORD lead to in the project beneficiaries’ use of/demand for digital financial services to address their social welfare needs, accumulate savings, expand on livelihood projects, or mitigate effects of economic shocks and/or natural disasters? </w:t>
      </w:r>
    </w:p>
    <w:p w14:paraId="2EE77FEB" w14:textId="77777777" w:rsidR="00FB081D" w:rsidRPr="00802B02" w:rsidRDefault="00FB081D" w:rsidP="00E3076A">
      <w:pPr>
        <w:pStyle w:val="ListParagraph"/>
        <w:numPr>
          <w:ilvl w:val="0"/>
          <w:numId w:val="31"/>
        </w:numPr>
        <w:spacing w:after="120"/>
        <w:contextualSpacing/>
      </w:pPr>
      <w:r w:rsidRPr="00E3076A">
        <w:rPr>
          <w:i/>
        </w:rPr>
        <w:t>Is there any evidence that any of the project beneficiaries continue to apply new financial management skills since the project concluded?</w:t>
      </w:r>
    </w:p>
    <w:p w14:paraId="022336FD" w14:textId="77777777" w:rsidR="00444B95" w:rsidRPr="00802B02" w:rsidRDefault="00A335D3" w:rsidP="004D57FE">
      <w:pPr>
        <w:spacing w:after="120"/>
        <w:ind w:left="68"/>
        <w:contextualSpacing/>
      </w:pPr>
      <w:r w:rsidRPr="00802B02">
        <w:t xml:space="preserve">AQC Criteria 3: </w:t>
      </w:r>
      <w:r w:rsidR="00444B95" w:rsidRPr="00802B02">
        <w:t xml:space="preserve">Efficiency </w:t>
      </w:r>
    </w:p>
    <w:p w14:paraId="1C012882" w14:textId="77777777" w:rsidR="0069032C" w:rsidRPr="00E3076A" w:rsidRDefault="00444B95" w:rsidP="00FB081D">
      <w:pPr>
        <w:pStyle w:val="ListParagraph"/>
        <w:numPr>
          <w:ilvl w:val="0"/>
          <w:numId w:val="5"/>
        </w:numPr>
        <w:contextualSpacing/>
        <w:rPr>
          <w:b/>
          <w:i/>
        </w:rPr>
      </w:pPr>
      <w:r w:rsidRPr="00E3076A">
        <w:rPr>
          <w:i/>
        </w:rPr>
        <w:t>Did the IAFFORD project make appropriate use of Australia’s and the partners’ time and resources to achieve outcomes?</w:t>
      </w:r>
    </w:p>
    <w:p w14:paraId="737BB73A" w14:textId="77777777" w:rsidR="0069032C" w:rsidRPr="00802B02" w:rsidRDefault="00444B95" w:rsidP="00E3076A">
      <w:pPr>
        <w:pStyle w:val="ListParagraph"/>
        <w:numPr>
          <w:ilvl w:val="0"/>
          <w:numId w:val="5"/>
        </w:numPr>
        <w:spacing w:after="120"/>
        <w:contextualSpacing/>
      </w:pPr>
      <w:r w:rsidRPr="00E3076A">
        <w:rPr>
          <w:i/>
        </w:rPr>
        <w:t>What were the identified risks in using the IAFFORD modality and how were they managed?</w:t>
      </w:r>
    </w:p>
    <w:p w14:paraId="6C311F28" w14:textId="77777777" w:rsidR="00A335D3" w:rsidRPr="00802B02" w:rsidRDefault="00A335D3" w:rsidP="004D57FE">
      <w:pPr>
        <w:spacing w:after="120"/>
        <w:contextualSpacing/>
        <w:rPr>
          <w:lang w:val="en-CA" w:bidi="hi-IN"/>
        </w:rPr>
      </w:pPr>
      <w:r w:rsidRPr="00802B02">
        <w:rPr>
          <w:lang w:val="en-CA" w:bidi="hi-IN"/>
        </w:rPr>
        <w:t>AQC Criteria 4: Relevance</w:t>
      </w:r>
      <w:r w:rsidRPr="00802B02">
        <w:rPr>
          <w:rStyle w:val="FootnoteReference"/>
          <w:lang w:val="en-CA" w:bidi="hi-IN"/>
        </w:rPr>
        <w:footnoteReference w:id="7"/>
      </w:r>
    </w:p>
    <w:p w14:paraId="338541BC" w14:textId="77777777" w:rsidR="00A335D3" w:rsidRPr="00E3076A" w:rsidRDefault="00A335D3" w:rsidP="00E3076A">
      <w:pPr>
        <w:pStyle w:val="ListParagraph"/>
        <w:numPr>
          <w:ilvl w:val="0"/>
          <w:numId w:val="5"/>
        </w:numPr>
        <w:spacing w:after="120"/>
        <w:contextualSpacing/>
        <w:rPr>
          <w:i/>
        </w:rPr>
      </w:pPr>
      <w:r w:rsidRPr="00E3076A">
        <w:rPr>
          <w:i/>
        </w:rPr>
        <w:t xml:space="preserve">Is </w:t>
      </w:r>
      <w:r w:rsidR="00617F88" w:rsidRPr="00E3076A">
        <w:rPr>
          <w:i/>
        </w:rPr>
        <w:t>t</w:t>
      </w:r>
      <w:r w:rsidRPr="00E3076A">
        <w:rPr>
          <w:i/>
        </w:rPr>
        <w:t>he investment highly relevant to Australia’s national interests, to the development context and partner priorities?</w:t>
      </w:r>
    </w:p>
    <w:p w14:paraId="1A379B0C" w14:textId="77777777" w:rsidR="00444B95" w:rsidRPr="00802B02" w:rsidRDefault="00617F88" w:rsidP="004D57FE">
      <w:pPr>
        <w:spacing w:after="120"/>
        <w:contextualSpacing/>
      </w:pPr>
      <w:r w:rsidRPr="00802B02">
        <w:rPr>
          <w:lang w:val="en-CA" w:bidi="hi-IN"/>
        </w:rPr>
        <w:t xml:space="preserve">AQC Criteria </w:t>
      </w:r>
      <w:r w:rsidR="00600510" w:rsidRPr="00802B02">
        <w:rPr>
          <w:lang w:val="en-CA" w:bidi="hi-IN"/>
        </w:rPr>
        <w:t>5</w:t>
      </w:r>
      <w:r w:rsidRPr="00802B02">
        <w:rPr>
          <w:lang w:val="en-CA" w:bidi="hi-IN"/>
        </w:rPr>
        <w:t xml:space="preserve">: </w:t>
      </w:r>
      <w:r w:rsidR="00444B95" w:rsidRPr="00802B02">
        <w:t>Gender Equality</w:t>
      </w:r>
      <w:r w:rsidR="00E3076A">
        <w:t xml:space="preserve"> and Women Empowerment</w:t>
      </w:r>
    </w:p>
    <w:p w14:paraId="6243D55A" w14:textId="77777777" w:rsidR="0069032C" w:rsidRPr="00E3076A" w:rsidRDefault="00444B95" w:rsidP="00FB081D">
      <w:pPr>
        <w:pStyle w:val="ListParagraph"/>
        <w:numPr>
          <w:ilvl w:val="0"/>
          <w:numId w:val="7"/>
        </w:numPr>
        <w:contextualSpacing/>
        <w:rPr>
          <w:b/>
          <w:i/>
        </w:rPr>
      </w:pPr>
      <w:r w:rsidRPr="00E3076A">
        <w:rPr>
          <w:i/>
        </w:rPr>
        <w:t xml:space="preserve">Did the IAFFORD project make a difference to gender equality and empower women and girls among the project beneficiaries? </w:t>
      </w:r>
    </w:p>
    <w:p w14:paraId="5F5CCE29" w14:textId="77777777" w:rsidR="0069032C" w:rsidRPr="00E3076A" w:rsidRDefault="00444B95" w:rsidP="00FB081D">
      <w:pPr>
        <w:pStyle w:val="ListParagraph"/>
        <w:numPr>
          <w:ilvl w:val="0"/>
          <w:numId w:val="7"/>
        </w:numPr>
        <w:contextualSpacing/>
        <w:rPr>
          <w:b/>
          <w:i/>
        </w:rPr>
      </w:pPr>
      <w:r w:rsidRPr="00E3076A">
        <w:rPr>
          <w:i/>
        </w:rPr>
        <w:t>To what extent did the project benefit women and girls, particularly in those in Internally Displaced People (IDPs) and vulnerable groups?</w:t>
      </w:r>
    </w:p>
    <w:p w14:paraId="065DED64" w14:textId="77777777" w:rsidR="00444B95" w:rsidRPr="00802B02" w:rsidRDefault="00444B95" w:rsidP="00E3076A">
      <w:pPr>
        <w:pStyle w:val="ListParagraph"/>
        <w:numPr>
          <w:ilvl w:val="0"/>
          <w:numId w:val="7"/>
        </w:numPr>
        <w:spacing w:after="120"/>
        <w:contextualSpacing/>
      </w:pPr>
      <w:r w:rsidRPr="00E3076A">
        <w:rPr>
          <w:i/>
        </w:rPr>
        <w:t>Did the project’s M&amp;E system generate robust evidence to measure performance on gender equality and women’s empowerment?</w:t>
      </w:r>
      <w:r w:rsidRPr="00802B02">
        <w:t xml:space="preserve"> </w:t>
      </w:r>
    </w:p>
    <w:p w14:paraId="5C68B76B" w14:textId="77777777" w:rsidR="00444B95" w:rsidRPr="00802B02" w:rsidRDefault="0069032C" w:rsidP="00F6365C">
      <w:pPr>
        <w:spacing w:after="0"/>
        <w:contextualSpacing/>
      </w:pPr>
      <w:r w:rsidRPr="00802B02">
        <w:t xml:space="preserve">AQC </w:t>
      </w:r>
      <w:r w:rsidR="00444B95" w:rsidRPr="00802B02">
        <w:t xml:space="preserve">Criteria </w:t>
      </w:r>
      <w:r w:rsidR="00600510" w:rsidRPr="00802B02">
        <w:t>6</w:t>
      </w:r>
      <w:r w:rsidR="00444B95" w:rsidRPr="00802B02">
        <w:t>: Sustainability</w:t>
      </w:r>
    </w:p>
    <w:p w14:paraId="38517683" w14:textId="77777777" w:rsidR="00444B95" w:rsidRPr="00E3076A" w:rsidRDefault="00444B95" w:rsidP="00E3076A">
      <w:pPr>
        <w:pStyle w:val="ListParagraph"/>
        <w:numPr>
          <w:ilvl w:val="0"/>
          <w:numId w:val="8"/>
        </w:numPr>
        <w:spacing w:after="240"/>
        <w:contextualSpacing/>
        <w:rPr>
          <w:b/>
          <w:i/>
        </w:rPr>
      </w:pPr>
      <w:r w:rsidRPr="00E3076A">
        <w:rPr>
          <w:i/>
        </w:rPr>
        <w:t>Wha</w:t>
      </w:r>
      <w:r w:rsidR="00DB19B8" w:rsidRPr="00E3076A">
        <w:rPr>
          <w:i/>
        </w:rPr>
        <w:t>t</w:t>
      </w:r>
      <w:r w:rsidRPr="00E3076A">
        <w:rPr>
          <w:i/>
        </w:rPr>
        <w:t xml:space="preserve"> benefits were gained from IAFFORD and are these benefits expected to last?</w:t>
      </w:r>
    </w:p>
    <w:p w14:paraId="283C55FC" w14:textId="77777777" w:rsidR="00F40C4D" w:rsidRPr="00802B02" w:rsidRDefault="00F40C4D" w:rsidP="00BD1C6B">
      <w:r w:rsidRPr="00802B02">
        <w:t>Evidence for this evaluation is based on primary and secondary sources of information.</w:t>
      </w:r>
      <w:r w:rsidR="0024246B" w:rsidRPr="00802B02">
        <w:t xml:space="preserve"> </w:t>
      </w:r>
      <w:r w:rsidRPr="00802B02">
        <w:t xml:space="preserve">In terms of secondary sources of information, evidence was gathered by reviewing project documents in the form of formal reports submitted to the donor, ‘raw’ information derived from internal, </w:t>
      </w:r>
      <w:r w:rsidR="008F0A4B">
        <w:t xml:space="preserve">as well as </w:t>
      </w:r>
      <w:r w:rsidRPr="00802B02">
        <w:t>routinely produced documents used by the investment to monitor activities and results achieved.</w:t>
      </w:r>
      <w:r w:rsidR="0024246B" w:rsidRPr="00802B02">
        <w:t xml:space="preserve"> </w:t>
      </w:r>
      <w:r w:rsidRPr="00802B02">
        <w:t>Primary sources of evidence include key informant interviews with project stakeholders, and those with general technical knowledge of DCT platforms, which included key informants in government, and the private sector. In addition, anecdotal evidence was gathered from selected IAFFORD project beneficiaries during phone interview sessions conducted by the evaluation team.</w:t>
      </w:r>
    </w:p>
    <w:p w14:paraId="2DBB6895" w14:textId="77777777" w:rsidR="00DB19B8" w:rsidRPr="00802B02" w:rsidRDefault="00DB19B8" w:rsidP="00DB19B8">
      <w:r w:rsidRPr="00802B02">
        <w:t>According to DFAT guidance</w:t>
      </w:r>
      <w:r w:rsidR="00572198" w:rsidRPr="00802B02">
        <w:t>,</w:t>
      </w:r>
      <w:r w:rsidRPr="00802B02">
        <w:t xml:space="preserve"> one method for evaluating the efficiency of an investment is “</w:t>
      </w:r>
      <w:r w:rsidRPr="00E3076A">
        <w:rPr>
          <w:i/>
        </w:rPr>
        <w:t>to … value … this investment against alternative</w:t>
      </w:r>
      <w:r w:rsidRPr="00802B02">
        <w:t xml:space="preserve">(s)” </w:t>
      </w:r>
      <w:r w:rsidR="00ED562F">
        <w:t>Therefore</w:t>
      </w:r>
      <w:r w:rsidRPr="00802B02">
        <w:t>, part of this evaluation methodology is to compare the DCT intervention modality implemented by IAFFORD against other potential forms of aid and development delivery.</w:t>
      </w:r>
      <w:r w:rsidR="0024246B" w:rsidRPr="00802B02">
        <w:t xml:space="preserve"> </w:t>
      </w:r>
      <w:r w:rsidRPr="00802B02">
        <w:t xml:space="preserve">Please note that this is a </w:t>
      </w:r>
      <w:r w:rsidRPr="00802B02">
        <w:rPr>
          <w:i/>
          <w:iCs/>
        </w:rPr>
        <w:t>qualitative</w:t>
      </w:r>
      <w:r w:rsidRPr="00802B02">
        <w:t xml:space="preserve"> and not a quantitative assessment and will be based on logical conclusions drawn from the results of this evaluation.</w:t>
      </w:r>
    </w:p>
    <w:p w14:paraId="09A7F346" w14:textId="77777777" w:rsidR="00103C8B" w:rsidRPr="00802B02" w:rsidRDefault="00760F2B" w:rsidP="002D0017">
      <w:pPr>
        <w:pStyle w:val="Heading1"/>
      </w:pPr>
      <w:bookmarkStart w:id="10" w:name="_Toc26180874"/>
      <w:r w:rsidRPr="00802B02">
        <w:t xml:space="preserve">History of </w:t>
      </w:r>
      <w:r w:rsidR="00E3076A">
        <w:t xml:space="preserve">the </w:t>
      </w:r>
      <w:r w:rsidR="002D0017" w:rsidRPr="00802B02">
        <w:t>IAFFORD</w:t>
      </w:r>
      <w:r w:rsidR="00E3076A">
        <w:t xml:space="preserve"> Project</w:t>
      </w:r>
      <w:r w:rsidR="002D0017" w:rsidRPr="00802B02">
        <w:t xml:space="preserve"> Design</w:t>
      </w:r>
      <w:bookmarkEnd w:id="10"/>
    </w:p>
    <w:p w14:paraId="0B2C816D" w14:textId="77777777" w:rsidR="00103C8B" w:rsidRPr="00802B02" w:rsidRDefault="00082E1D" w:rsidP="00BD1C6B">
      <w:r w:rsidRPr="00802B02">
        <w:t xml:space="preserve">The basis for the IAFFORD project began with a partnership between Oxfam Philippines and Visa Philippines during the emergency response to </w:t>
      </w:r>
      <w:r w:rsidR="0014624E" w:rsidRPr="00802B02">
        <w:t xml:space="preserve">typhoon </w:t>
      </w:r>
      <w:r w:rsidRPr="00802B02">
        <w:rPr>
          <w:i/>
        </w:rPr>
        <w:t>Haiyan</w:t>
      </w:r>
      <w:r w:rsidRPr="00802B02">
        <w:t xml:space="preserve"> </w:t>
      </w:r>
      <w:r w:rsidR="0014624E" w:rsidRPr="00802B02">
        <w:t xml:space="preserve">(locally known as Super Typhoon </w:t>
      </w:r>
      <w:r w:rsidR="0014624E" w:rsidRPr="00802B02">
        <w:rPr>
          <w:i/>
        </w:rPr>
        <w:t>Yolanda</w:t>
      </w:r>
      <w:r w:rsidR="0014624E" w:rsidRPr="00802B02">
        <w:t xml:space="preserve">) </w:t>
      </w:r>
      <w:r w:rsidRPr="00802B02">
        <w:t>in 201</w:t>
      </w:r>
      <w:r w:rsidR="0014624E" w:rsidRPr="00802B02">
        <w:t>3</w:t>
      </w:r>
      <w:r w:rsidRPr="00802B02">
        <w:t>.</w:t>
      </w:r>
      <w:r w:rsidR="00415778" w:rsidRPr="00802B02">
        <w:t xml:space="preserve"> </w:t>
      </w:r>
      <w:r w:rsidR="00141309" w:rsidRPr="00802B02">
        <w:t xml:space="preserve">During that time, </w:t>
      </w:r>
      <w:r w:rsidR="0014624E" w:rsidRPr="00802B02">
        <w:t xml:space="preserve">the </w:t>
      </w:r>
      <w:r w:rsidR="00141309" w:rsidRPr="00802B02">
        <w:t xml:space="preserve">Oxfam and VISA </w:t>
      </w:r>
      <w:r w:rsidR="0014624E" w:rsidRPr="00802B02">
        <w:t xml:space="preserve">Philippine offices </w:t>
      </w:r>
      <w:r w:rsidR="00141309" w:rsidRPr="00802B02">
        <w:t>implemented a digital e-payment infrastructure using electronic prepaid cards for secure and transparent aid disbursement. The</w:t>
      </w:r>
      <w:r w:rsidR="00A42502" w:rsidRPr="00802B02">
        <w:t xml:space="preserve"> </w:t>
      </w:r>
      <w:r w:rsidR="00E5034C" w:rsidRPr="00802B02">
        <w:t xml:space="preserve">Philippine </w:t>
      </w:r>
      <w:r w:rsidR="00A42502" w:rsidRPr="00802B02">
        <w:t>Central Bank or</w:t>
      </w:r>
      <w:r w:rsidR="00141309" w:rsidRPr="00802B02">
        <w:t xml:space="preserve"> </w:t>
      </w:r>
      <w:r w:rsidR="0014624E" w:rsidRPr="00802B02">
        <w:rPr>
          <w:i/>
        </w:rPr>
        <w:t>Bangko Sentral ng Pilipinas</w:t>
      </w:r>
      <w:r w:rsidR="0014624E" w:rsidRPr="00802B02">
        <w:t xml:space="preserve"> (BSP)</w:t>
      </w:r>
      <w:r w:rsidR="00141309" w:rsidRPr="00802B02">
        <w:t xml:space="preserve"> noted that this was the </w:t>
      </w:r>
      <w:r w:rsidR="00141309" w:rsidRPr="00802B02">
        <w:rPr>
          <w:rFonts w:eastAsia="Corbel" w:cs="Corbel"/>
        </w:rPr>
        <w:t>fi</w:t>
      </w:r>
      <w:r w:rsidR="00141309" w:rsidRPr="00802B02">
        <w:t xml:space="preserve">rst collaboration of its kind; distributing 10,020 prepaid cards to disaster affected provinces in Leyte and </w:t>
      </w:r>
      <w:r w:rsidR="0014624E" w:rsidRPr="00802B02">
        <w:t xml:space="preserve">in the then-Autonomous Region in </w:t>
      </w:r>
      <w:r w:rsidR="00141309" w:rsidRPr="00802B02">
        <w:t>Muslim Mindanao</w:t>
      </w:r>
      <w:r w:rsidR="0014624E" w:rsidRPr="00802B02">
        <w:t xml:space="preserve"> (ARMM)</w:t>
      </w:r>
      <w:r w:rsidR="00141309" w:rsidRPr="00802B02">
        <w:t>, supporting the rebuilding of homes and the livelihoods of beneficiaries.</w:t>
      </w:r>
      <w:r w:rsidR="00415778" w:rsidRPr="00802B02">
        <w:t xml:space="preserve"> </w:t>
      </w:r>
      <w:r w:rsidR="00141309" w:rsidRPr="00802B02">
        <w:t xml:space="preserve">Since </w:t>
      </w:r>
      <w:r w:rsidR="00BC7055" w:rsidRPr="00802B02">
        <w:t>2014,</w:t>
      </w:r>
      <w:r w:rsidR="00141309" w:rsidRPr="00802B02">
        <w:t xml:space="preserve"> Oxfam has </w:t>
      </w:r>
      <w:r w:rsidR="00CC7DA7" w:rsidRPr="00802B02">
        <w:t xml:space="preserve">promoted disaster resilience by building on the DCT infrastructure developed </w:t>
      </w:r>
      <w:r w:rsidR="00F9348D" w:rsidRPr="00802B02">
        <w:t xml:space="preserve">during the recovery phase of </w:t>
      </w:r>
      <w:r w:rsidR="0014624E" w:rsidRPr="00802B02">
        <w:t xml:space="preserve">typhoon </w:t>
      </w:r>
      <w:r w:rsidR="00CC7DA7" w:rsidRPr="00802B02">
        <w:t>Haiyan</w:t>
      </w:r>
      <w:r w:rsidR="00BC7055" w:rsidRPr="00802B02">
        <w:t>.</w:t>
      </w:r>
      <w:r w:rsidR="00415778" w:rsidRPr="00802B02">
        <w:t xml:space="preserve"> </w:t>
      </w:r>
      <w:r w:rsidR="00BC7055" w:rsidRPr="00802B02">
        <w:t>To scale up the project, Oxfam</w:t>
      </w:r>
      <w:r w:rsidR="0014624E" w:rsidRPr="00802B02">
        <w:t xml:space="preserve"> in the Philippines</w:t>
      </w:r>
      <w:r w:rsidR="00BC7055" w:rsidRPr="00802B02">
        <w:t xml:space="preserve"> partnered with SMART</w:t>
      </w:r>
      <w:r w:rsidR="0014624E" w:rsidRPr="00802B02">
        <w:t xml:space="preserve"> eMoney Inc</w:t>
      </w:r>
      <w:r w:rsidR="002E6A9F">
        <w:t>.</w:t>
      </w:r>
      <w:r w:rsidR="002D0460">
        <w:rPr>
          <w:rStyle w:val="FootnoteReference"/>
        </w:rPr>
        <w:footnoteReference w:id="8"/>
      </w:r>
      <w:r w:rsidR="00BC7055" w:rsidRPr="00802B02">
        <w:t xml:space="preserve"> to expand the use of e-payments</w:t>
      </w:r>
      <w:r w:rsidR="00213637" w:rsidRPr="00802B02">
        <w:t xml:space="preserve"> </w:t>
      </w:r>
      <w:r w:rsidR="00BC7055" w:rsidRPr="00802B02">
        <w:t xml:space="preserve">by supporting small village merchants to accept </w:t>
      </w:r>
      <w:r w:rsidR="00213637" w:rsidRPr="00802B02">
        <w:t>prepaid</w:t>
      </w:r>
      <w:r w:rsidR="00BC7055" w:rsidRPr="00802B02">
        <w:t xml:space="preserve"> cards.</w:t>
      </w:r>
    </w:p>
    <w:p w14:paraId="456DE087" w14:textId="77777777" w:rsidR="00F9348D" w:rsidRPr="00802B02" w:rsidRDefault="00BC7055" w:rsidP="00BD1C6B">
      <w:r w:rsidRPr="00802B02">
        <w:t>The IAFFORD pro</w:t>
      </w:r>
      <w:r w:rsidR="00A42502" w:rsidRPr="00802B02">
        <w:t>ject</w:t>
      </w:r>
      <w:r w:rsidRPr="00802B02">
        <w:t xml:space="preserve"> represents a further scaling-up of the </w:t>
      </w:r>
      <w:r w:rsidR="00A42502" w:rsidRPr="00802B02">
        <w:t>DCT</w:t>
      </w:r>
      <w:r w:rsidRPr="00802B02">
        <w:t xml:space="preserve"> platform</w:t>
      </w:r>
      <w:r w:rsidR="00206083" w:rsidRPr="00802B02">
        <w:t>, initially developed in 2014</w:t>
      </w:r>
      <w:r w:rsidRPr="00802B02">
        <w:t>.</w:t>
      </w:r>
      <w:r w:rsidR="00415778" w:rsidRPr="00802B02">
        <w:t xml:space="preserve"> </w:t>
      </w:r>
      <w:r w:rsidR="00206083" w:rsidRPr="00802B02">
        <w:t xml:space="preserve">In its grant application, Oxfam’s broad objective was to </w:t>
      </w:r>
      <w:r w:rsidRPr="00802B02">
        <w:t>distribute 50,000 electronic cards to provide access</w:t>
      </w:r>
      <w:r w:rsidR="00206083" w:rsidRPr="00802B02">
        <w:t xml:space="preserve"> </w:t>
      </w:r>
      <w:r w:rsidRPr="00802B02">
        <w:t>to micro-credit, insurance and savings based on the Oxfam-VISA</w:t>
      </w:r>
      <w:r w:rsidR="00206083" w:rsidRPr="00802B02">
        <w:t xml:space="preserve">-PayMaya </w:t>
      </w:r>
      <w:r w:rsidRPr="00802B02">
        <w:t>partnership</w:t>
      </w:r>
      <w:r w:rsidR="00206083" w:rsidRPr="00802B02">
        <w:t xml:space="preserve"> </w:t>
      </w:r>
      <w:r w:rsidRPr="00802B02">
        <w:t>model</w:t>
      </w:r>
      <w:r w:rsidR="00206083" w:rsidRPr="00802B02">
        <w:t>.</w:t>
      </w:r>
      <w:r w:rsidR="00415778" w:rsidRPr="00802B02">
        <w:t xml:space="preserve"> </w:t>
      </w:r>
      <w:r w:rsidR="00206083" w:rsidRPr="00802B02">
        <w:t>Therefore, as initially conceived, IAFFORD was meant to promote long-term development objectives of financial inclusion and resilience to disasters.</w:t>
      </w:r>
      <w:r w:rsidR="00415778" w:rsidRPr="00802B02">
        <w:t xml:space="preserve"> </w:t>
      </w:r>
      <w:r w:rsidR="00206083" w:rsidRPr="00802B02">
        <w:t xml:space="preserve">These long-term objectives </w:t>
      </w:r>
      <w:r w:rsidR="00746B82" w:rsidRPr="00802B02">
        <w:t>are</w:t>
      </w:r>
      <w:r w:rsidR="00206083" w:rsidRPr="00802B02">
        <w:t xml:space="preserve"> represented in</w:t>
      </w:r>
      <w:r w:rsidR="00A42502" w:rsidRPr="00802B02">
        <w:t xml:space="preserve"> the</w:t>
      </w:r>
      <w:r w:rsidR="00206083" w:rsidRPr="00802B02">
        <w:t xml:space="preserve"> IAFFORD design.</w:t>
      </w:r>
      <w:r w:rsidR="00415778" w:rsidRPr="00802B02">
        <w:t xml:space="preserve"> </w:t>
      </w:r>
      <w:r w:rsidR="00746B82" w:rsidRPr="00802B02">
        <w:t xml:space="preserve">For example, </w:t>
      </w:r>
      <w:r w:rsidR="00FC36AC" w:rsidRPr="00802B02">
        <w:t>IAFFORD</w:t>
      </w:r>
      <w:r w:rsidR="00213637" w:rsidRPr="00802B02">
        <w:t>’s</w:t>
      </w:r>
      <w:r w:rsidR="00FC36AC" w:rsidRPr="00802B02">
        <w:t xml:space="preserve"> areas of operation include locations in the Philippines where, according to the </w:t>
      </w:r>
      <w:r w:rsidR="00A42502" w:rsidRPr="00802B02">
        <w:t>BSP</w:t>
      </w:r>
      <w:r w:rsidR="00FC36AC" w:rsidRPr="00802B02">
        <w:t>, 36% of the population have no access to financial services at all.</w:t>
      </w:r>
      <w:r w:rsidR="00415778" w:rsidRPr="00802B02">
        <w:t xml:space="preserve"> </w:t>
      </w:r>
      <w:r w:rsidR="00FC36AC" w:rsidRPr="00802B02">
        <w:t xml:space="preserve">In addition, </w:t>
      </w:r>
      <w:r w:rsidR="00746B82" w:rsidRPr="00802B02">
        <w:t xml:space="preserve">beneficiaries were not only trained in the mechanics of the use of e-payments, but also in </w:t>
      </w:r>
      <w:r w:rsidR="00F9348D" w:rsidRPr="00802B02">
        <w:t xml:space="preserve">digital </w:t>
      </w:r>
      <w:r w:rsidR="00746B82" w:rsidRPr="00802B02">
        <w:t>financial literacy.</w:t>
      </w:r>
      <w:r w:rsidR="00415778" w:rsidRPr="00802B02">
        <w:t xml:space="preserve"> </w:t>
      </w:r>
      <w:r w:rsidR="00746B82" w:rsidRPr="00802B02">
        <w:t xml:space="preserve">Oxfam </w:t>
      </w:r>
      <w:r w:rsidR="00213637" w:rsidRPr="00802B02">
        <w:t>targeted</w:t>
      </w:r>
      <w:r w:rsidR="00746B82" w:rsidRPr="00802B02">
        <w:t xml:space="preserve"> micro-merchants in the communities where beneficiaries lived so the economic benefits of the use of DCT would accrue to the local economy.</w:t>
      </w:r>
      <w:r w:rsidR="00415778" w:rsidRPr="00802B02">
        <w:t xml:space="preserve"> </w:t>
      </w:r>
    </w:p>
    <w:p w14:paraId="234B8225" w14:textId="77777777" w:rsidR="00EF6F5D" w:rsidRPr="00802B02" w:rsidRDefault="00BC0236" w:rsidP="00BD1C6B">
      <w:r w:rsidRPr="00802B02">
        <w:t>IAFFORD’s design also included provisions for third parties to offer microfinance loans and micro-insurance.</w:t>
      </w:r>
      <w:r w:rsidR="00415778" w:rsidRPr="00802B02">
        <w:t xml:space="preserve"> </w:t>
      </w:r>
      <w:r w:rsidR="00F9348D" w:rsidRPr="00802B02">
        <w:t>This includes access to these financial products provided by the Metro Ormoc Community Multi-Purpose Cooperative (OCCI), with branch operations in Leyte and Samar municipalities. For micro-insurance, OCCI partners with CLIMBS Life and General Cooperative, a licensed insurer.</w:t>
      </w:r>
    </w:p>
    <w:p w14:paraId="22CC9CE3" w14:textId="77777777" w:rsidR="00BC0236" w:rsidRPr="00802B02" w:rsidRDefault="00BC0236" w:rsidP="00BD1C6B">
      <w:r w:rsidRPr="00802B02">
        <w:t>In 2017</w:t>
      </w:r>
      <w:r w:rsidR="00EF6F5D" w:rsidRPr="00802B02">
        <w:t>, at the request of DFAT</w:t>
      </w:r>
      <w:r w:rsidR="00A42502" w:rsidRPr="00802B02">
        <w:t xml:space="preserve"> </w:t>
      </w:r>
      <w:r w:rsidR="00170698" w:rsidRPr="00802B02">
        <w:t xml:space="preserve">in the </w:t>
      </w:r>
      <w:r w:rsidR="00A42502" w:rsidRPr="00802B02">
        <w:t>Australia</w:t>
      </w:r>
      <w:r w:rsidR="00170698" w:rsidRPr="00802B02">
        <w:t>n Embassy Manila</w:t>
      </w:r>
      <w:r w:rsidR="00EF6F5D" w:rsidRPr="00802B02">
        <w:t>,</w:t>
      </w:r>
      <w:r w:rsidRPr="00802B02">
        <w:t xml:space="preserve"> IAFFORD’s focus on long-term development was extended to </w:t>
      </w:r>
      <w:r w:rsidR="00EF6F5D" w:rsidRPr="00802B02">
        <w:t>include relief operations related to the siege in Marawi.</w:t>
      </w:r>
      <w:r w:rsidR="00415778" w:rsidRPr="00802B02">
        <w:t xml:space="preserve"> </w:t>
      </w:r>
      <w:r w:rsidR="00EF6F5D" w:rsidRPr="00802B02">
        <w:t>IAFFORD</w:t>
      </w:r>
      <w:r w:rsidR="00131C09" w:rsidRPr="00802B02">
        <w:t>,</w:t>
      </w:r>
      <w:r w:rsidR="00EF6F5D" w:rsidRPr="00802B02">
        <w:t xml:space="preserve"> therefore</w:t>
      </w:r>
      <w:r w:rsidR="00131C09" w:rsidRPr="00802B02">
        <w:t>,</w:t>
      </w:r>
      <w:r w:rsidR="00EF6F5D" w:rsidRPr="00802B02">
        <w:t xml:space="preserve"> extended its activities to support the livelihoods recovery </w:t>
      </w:r>
      <w:r w:rsidR="00E81E56" w:rsidRPr="00802B02">
        <w:t xml:space="preserve">of </w:t>
      </w:r>
      <w:r w:rsidR="00EF6F5D" w:rsidRPr="00802B02">
        <w:t>internally displace</w:t>
      </w:r>
      <w:r w:rsidR="00A42502" w:rsidRPr="00802B02">
        <w:t>d</w:t>
      </w:r>
      <w:r w:rsidR="00EF6F5D" w:rsidRPr="00802B02">
        <w:t xml:space="preserve"> people (IDPs).</w:t>
      </w:r>
      <w:r w:rsidR="00415778" w:rsidRPr="00802B02">
        <w:t xml:space="preserve"> </w:t>
      </w:r>
      <w:r w:rsidR="00B33107" w:rsidRPr="00802B02">
        <w:t xml:space="preserve">During </w:t>
      </w:r>
      <w:r w:rsidR="0057775C" w:rsidRPr="00802B02">
        <w:t>the emergency</w:t>
      </w:r>
      <w:r w:rsidR="00B33107" w:rsidRPr="00802B02">
        <w:t xml:space="preserve"> response, a significant issue</w:t>
      </w:r>
      <w:r w:rsidR="002E5FF4" w:rsidRPr="00802B02">
        <w:t xml:space="preserve"> that emerged </w:t>
      </w:r>
      <w:r w:rsidR="006827B1" w:rsidRPr="00802B02">
        <w:t>was the</w:t>
      </w:r>
      <w:r w:rsidR="00B33107" w:rsidRPr="00802B02">
        <w:t xml:space="preserve"> lack of </w:t>
      </w:r>
      <w:r w:rsidR="00E81E56" w:rsidRPr="00802B02">
        <w:t xml:space="preserve">identifying </w:t>
      </w:r>
      <w:r w:rsidR="00B33107" w:rsidRPr="00802B02">
        <w:t>documentati</w:t>
      </w:r>
      <w:r w:rsidR="00E81E56" w:rsidRPr="00802B02">
        <w:t>on</w:t>
      </w:r>
      <w:r w:rsidR="00B33107" w:rsidRPr="00802B02">
        <w:t xml:space="preserve">, which </w:t>
      </w:r>
      <w:r w:rsidR="006827B1" w:rsidRPr="00802B02">
        <w:t>prevented many</w:t>
      </w:r>
      <w:r w:rsidR="00B33107" w:rsidRPr="00802B02">
        <w:t xml:space="preserve"> disaster-affected victims from accessing relief services.</w:t>
      </w:r>
      <w:r w:rsidR="00415778" w:rsidRPr="00802B02">
        <w:t xml:space="preserve"> </w:t>
      </w:r>
      <w:r w:rsidR="00EF6F5D" w:rsidRPr="00802B02">
        <w:t xml:space="preserve">A significant use of the </w:t>
      </w:r>
      <w:r w:rsidR="00B33107" w:rsidRPr="00802B02">
        <w:t xml:space="preserve">IAFFORD </w:t>
      </w:r>
      <w:r w:rsidR="00EF6F5D" w:rsidRPr="00802B02">
        <w:t xml:space="preserve">DCT </w:t>
      </w:r>
      <w:r w:rsidR="00A42502" w:rsidRPr="00802B02">
        <w:t xml:space="preserve">platform </w:t>
      </w:r>
      <w:r w:rsidR="00B33107" w:rsidRPr="00802B02">
        <w:t xml:space="preserve">during </w:t>
      </w:r>
      <w:r w:rsidR="00E81E56" w:rsidRPr="00802B02">
        <w:t xml:space="preserve">the </w:t>
      </w:r>
      <w:r w:rsidR="00B33107" w:rsidRPr="00802B02">
        <w:t xml:space="preserve">Marawi siege </w:t>
      </w:r>
      <w:r w:rsidR="006827B1" w:rsidRPr="00802B02">
        <w:t>was the</w:t>
      </w:r>
      <w:r w:rsidR="00B33107" w:rsidRPr="00802B02">
        <w:t xml:space="preserve"> distribution </w:t>
      </w:r>
      <w:r w:rsidR="00A42502" w:rsidRPr="00802B02">
        <w:t>o</w:t>
      </w:r>
      <w:r w:rsidR="00B33107" w:rsidRPr="00802B02">
        <w:t xml:space="preserve">f so-called </w:t>
      </w:r>
      <w:r w:rsidR="00A42502" w:rsidRPr="00802B02">
        <w:t>“</w:t>
      </w:r>
      <w:r w:rsidR="00B33107" w:rsidRPr="00802B02">
        <w:t>2-in-</w:t>
      </w:r>
      <w:r w:rsidR="00A42502" w:rsidRPr="00802B02">
        <w:t>1”</w:t>
      </w:r>
      <w:r w:rsidR="00B33107" w:rsidRPr="00802B02">
        <w:t xml:space="preserve"> cards that serve</w:t>
      </w:r>
      <w:r w:rsidR="002E5FF4" w:rsidRPr="00802B02">
        <w:t>d</w:t>
      </w:r>
      <w:r w:rsidR="00B33107" w:rsidRPr="00802B02">
        <w:t xml:space="preserve"> both as a cash card and a means of identity verification.</w:t>
      </w:r>
    </w:p>
    <w:p w14:paraId="1EAB62F8" w14:textId="77777777" w:rsidR="00227B55" w:rsidRPr="00802B02" w:rsidRDefault="00227B55" w:rsidP="004D57FE">
      <w:pPr>
        <w:spacing w:after="0"/>
      </w:pPr>
      <w:r w:rsidRPr="00802B02">
        <w:t xml:space="preserve">The suite of financial services on the IAFFORD </w:t>
      </w:r>
      <w:r w:rsidR="00722FD2" w:rsidRPr="00802B02">
        <w:t xml:space="preserve">DCT </w:t>
      </w:r>
      <w:r w:rsidRPr="00802B02">
        <w:t xml:space="preserve">platform includes </w:t>
      </w:r>
      <w:r w:rsidR="00722FD2" w:rsidRPr="00802B02">
        <w:t>several functionalities</w:t>
      </w:r>
      <w:r w:rsidR="00F9459E">
        <w:t xml:space="preserve">, </w:t>
      </w:r>
      <w:r w:rsidR="00D835C6">
        <w:t>such that the IAFFORD card</w:t>
      </w:r>
      <w:r w:rsidR="007C234D">
        <w:t xml:space="preserve"> or mobile application</w:t>
      </w:r>
      <w:r w:rsidR="00F9459E">
        <w:t xml:space="preserve"> can be used:</w:t>
      </w:r>
    </w:p>
    <w:p w14:paraId="300087E8" w14:textId="77777777" w:rsidR="00227B55" w:rsidRPr="00802B02" w:rsidRDefault="00F9459E" w:rsidP="00373E3C">
      <w:pPr>
        <w:pStyle w:val="ListParagraph"/>
        <w:numPr>
          <w:ilvl w:val="0"/>
          <w:numId w:val="5"/>
        </w:numPr>
        <w:ind w:left="714" w:hanging="357"/>
        <w:contextualSpacing/>
        <w:rPr>
          <w:b/>
        </w:rPr>
      </w:pPr>
      <w:r>
        <w:t>as</w:t>
      </w:r>
      <w:r w:rsidR="00227B55" w:rsidRPr="00802B02">
        <w:t xml:space="preserve"> </w:t>
      </w:r>
      <w:r>
        <w:t>a</w:t>
      </w:r>
      <w:r w:rsidR="007C234D">
        <w:t xml:space="preserve"> </w:t>
      </w:r>
      <w:r w:rsidR="00227B55" w:rsidRPr="00802B02">
        <w:t xml:space="preserve">store </w:t>
      </w:r>
      <w:r w:rsidR="007C234D">
        <w:t xml:space="preserve">of </w:t>
      </w:r>
      <w:r>
        <w:t>value</w:t>
      </w:r>
      <w:r w:rsidR="00227B55" w:rsidRPr="00802B02">
        <w:t xml:space="preserve">, </w:t>
      </w:r>
      <w:r w:rsidR="00D835C6">
        <w:t>through which</w:t>
      </w:r>
      <w:r w:rsidR="00227B55" w:rsidRPr="00802B02">
        <w:t xml:space="preserve"> donor</w:t>
      </w:r>
      <w:r w:rsidR="00EC4CAF" w:rsidRPr="00802B02">
        <w:t>s</w:t>
      </w:r>
      <w:r w:rsidR="00227B55" w:rsidRPr="00802B02">
        <w:t xml:space="preserve"> and the Philippines government </w:t>
      </w:r>
      <w:r w:rsidR="00D835C6">
        <w:t>can</w:t>
      </w:r>
      <w:r w:rsidR="00227B55" w:rsidRPr="00802B02">
        <w:t xml:space="preserve"> </w:t>
      </w:r>
      <w:r w:rsidR="00157A86">
        <w:t>deposit</w:t>
      </w:r>
      <w:r w:rsidR="00227B55" w:rsidRPr="00802B02">
        <w:t xml:space="preserve"> </w:t>
      </w:r>
      <w:r w:rsidR="00157A86">
        <w:t xml:space="preserve">electronic </w:t>
      </w:r>
      <w:r w:rsidR="00227B55" w:rsidRPr="00802B02">
        <w:t>cash transfers</w:t>
      </w:r>
      <w:r>
        <w:t>;</w:t>
      </w:r>
    </w:p>
    <w:p w14:paraId="1F6A9185" w14:textId="3B50C67E" w:rsidR="00227B55" w:rsidRPr="00802B02" w:rsidRDefault="00F9459E" w:rsidP="00373E3C">
      <w:pPr>
        <w:pStyle w:val="ListParagraph"/>
        <w:numPr>
          <w:ilvl w:val="0"/>
          <w:numId w:val="5"/>
        </w:numPr>
        <w:ind w:left="714" w:hanging="357"/>
        <w:contextualSpacing/>
        <w:rPr>
          <w:b/>
        </w:rPr>
      </w:pPr>
      <w:r>
        <w:t>as a way for users to digitally t</w:t>
      </w:r>
      <w:r w:rsidR="00227B55" w:rsidRPr="00802B02">
        <w:t xml:space="preserve">ransfer </w:t>
      </w:r>
      <w:r w:rsidR="00131C09" w:rsidRPr="00802B02">
        <w:t>f</w:t>
      </w:r>
      <w:r w:rsidR="00227B55" w:rsidRPr="00802B02">
        <w:t>unds to recipients such as friends and family</w:t>
      </w:r>
      <w:r w:rsidR="00C84515">
        <w:t>;</w:t>
      </w:r>
    </w:p>
    <w:p w14:paraId="565D64AC" w14:textId="77777777" w:rsidR="00227B55" w:rsidRPr="00802B02" w:rsidRDefault="00F9459E" w:rsidP="00373E3C">
      <w:pPr>
        <w:pStyle w:val="ListParagraph"/>
        <w:numPr>
          <w:ilvl w:val="0"/>
          <w:numId w:val="5"/>
        </w:numPr>
        <w:ind w:left="714" w:hanging="357"/>
        <w:contextualSpacing/>
        <w:rPr>
          <w:b/>
        </w:rPr>
      </w:pPr>
      <w:r>
        <w:t>to p</w:t>
      </w:r>
      <w:r w:rsidR="00227B55" w:rsidRPr="00802B02">
        <w:t>urchase goods from local merchants</w:t>
      </w:r>
      <w:r>
        <w:t>;</w:t>
      </w:r>
    </w:p>
    <w:p w14:paraId="57EBEDA7" w14:textId="3D407E22" w:rsidR="00227B55" w:rsidRPr="00802B02" w:rsidRDefault="00F9459E" w:rsidP="00373E3C">
      <w:pPr>
        <w:pStyle w:val="ListParagraph"/>
        <w:numPr>
          <w:ilvl w:val="0"/>
          <w:numId w:val="5"/>
        </w:numPr>
        <w:ind w:left="714" w:hanging="357"/>
        <w:contextualSpacing/>
        <w:rPr>
          <w:b/>
        </w:rPr>
      </w:pPr>
      <w:r>
        <w:t>to p</w:t>
      </w:r>
      <w:r w:rsidR="00227B55" w:rsidRPr="00802B02">
        <w:t xml:space="preserve">ay </w:t>
      </w:r>
      <w:r w:rsidR="00AB25C3" w:rsidRPr="00802B02">
        <w:t>government bills such as for utilities</w:t>
      </w:r>
      <w:r>
        <w:t>;</w:t>
      </w:r>
    </w:p>
    <w:p w14:paraId="7E793DCB" w14:textId="77777777" w:rsidR="0025360C" w:rsidRPr="0025360C" w:rsidRDefault="00515FBC" w:rsidP="00373E3C">
      <w:pPr>
        <w:pStyle w:val="ListParagraph"/>
        <w:numPr>
          <w:ilvl w:val="0"/>
          <w:numId w:val="5"/>
        </w:numPr>
        <w:ind w:left="714" w:hanging="357"/>
        <w:contextualSpacing/>
        <w:rPr>
          <w:b/>
        </w:rPr>
      </w:pPr>
      <w:r>
        <w:t>t</w:t>
      </w:r>
      <w:r w:rsidR="00F9459E">
        <w:t xml:space="preserve">o </w:t>
      </w:r>
      <w:r>
        <w:t>a</w:t>
      </w:r>
      <w:r w:rsidR="00547842" w:rsidRPr="00802B02">
        <w:t xml:space="preserve">llow third parties to offer </w:t>
      </w:r>
      <w:r w:rsidR="00502689" w:rsidRPr="00802B02">
        <w:t xml:space="preserve">card/mobile </w:t>
      </w:r>
      <w:r w:rsidR="00547842" w:rsidRPr="00802B02">
        <w:t>users micro-financial services such as micro-loans and micro-insurance</w:t>
      </w:r>
      <w:r w:rsidR="0025360C">
        <w:t>, and;</w:t>
      </w:r>
    </w:p>
    <w:p w14:paraId="11091156" w14:textId="04C7912B" w:rsidR="00227B55" w:rsidRPr="00802B02" w:rsidRDefault="0025360C" w:rsidP="00373E3C">
      <w:pPr>
        <w:pStyle w:val="ListParagraph"/>
        <w:numPr>
          <w:ilvl w:val="0"/>
          <w:numId w:val="5"/>
        </w:numPr>
        <w:ind w:left="714" w:hanging="357"/>
        <w:contextualSpacing/>
        <w:rPr>
          <w:b/>
        </w:rPr>
      </w:pPr>
      <w:r>
        <w:t>as an identification card</w:t>
      </w:r>
      <w:r w:rsidR="00547842" w:rsidRPr="00802B02">
        <w:t>.</w:t>
      </w:r>
      <w:r w:rsidR="00FC4ADE" w:rsidRPr="00802B02">
        <w:rPr>
          <w:rStyle w:val="FootnoteReference"/>
        </w:rPr>
        <w:footnoteReference w:id="9"/>
      </w:r>
    </w:p>
    <w:p w14:paraId="23EAD8C6" w14:textId="77777777" w:rsidR="00EA29D8" w:rsidRPr="00802B02" w:rsidRDefault="00EA29D8" w:rsidP="00BD1C6B">
      <w:pPr>
        <w:pStyle w:val="Heading1"/>
      </w:pPr>
      <w:bookmarkStart w:id="11" w:name="_Toc26180875"/>
      <w:r w:rsidRPr="00802B02">
        <w:t>Evaluation Findings</w:t>
      </w:r>
      <w:bookmarkEnd w:id="11"/>
    </w:p>
    <w:p w14:paraId="038AF72E" w14:textId="77777777" w:rsidR="004659D7" w:rsidRPr="00802B02" w:rsidRDefault="004659D7" w:rsidP="00BD1C6B">
      <w:r w:rsidRPr="00802B02">
        <w:t xml:space="preserve">This </w:t>
      </w:r>
      <w:r w:rsidR="003C5F12" w:rsidRPr="00802B02">
        <w:t>E</w:t>
      </w:r>
      <w:r w:rsidRPr="00802B02">
        <w:t>valuation applies</w:t>
      </w:r>
      <w:r w:rsidR="00C1095E" w:rsidRPr="00802B02">
        <w:t xml:space="preserve"> </w:t>
      </w:r>
      <w:r w:rsidR="001008F6" w:rsidRPr="00802B02">
        <w:t xml:space="preserve">DFAT </w:t>
      </w:r>
      <w:r w:rsidR="00E3076A">
        <w:t xml:space="preserve">internal </w:t>
      </w:r>
      <w:r w:rsidR="00C1095E" w:rsidRPr="00802B02">
        <w:t xml:space="preserve">guidance </w:t>
      </w:r>
      <w:r w:rsidR="001008F6" w:rsidRPr="00802B02">
        <w:t xml:space="preserve">on </w:t>
      </w:r>
      <w:r w:rsidR="00E3076A">
        <w:t>monitoring and evaluation (M&amp;E) s</w:t>
      </w:r>
      <w:r w:rsidR="003C5F12" w:rsidRPr="00802B02">
        <w:t xml:space="preserve">tandards and </w:t>
      </w:r>
      <w:r w:rsidR="00E3076A">
        <w:t>the annual aid investment quality r</w:t>
      </w:r>
      <w:r w:rsidR="003C5F12" w:rsidRPr="00802B02">
        <w:t>eporting (IQR). T</w:t>
      </w:r>
      <w:r w:rsidR="00E50C25" w:rsidRPr="00802B02">
        <w:t xml:space="preserve">he </w:t>
      </w:r>
      <w:r w:rsidR="003C5F12" w:rsidRPr="00802B02">
        <w:t>M&amp;E and the Aid Quality Checks (</w:t>
      </w:r>
      <w:r w:rsidR="00E50C25" w:rsidRPr="00802B02">
        <w:t>AQC</w:t>
      </w:r>
      <w:r w:rsidR="003C5F12" w:rsidRPr="00802B02">
        <w:t>)</w:t>
      </w:r>
      <w:r w:rsidR="00E50C25" w:rsidRPr="00802B02">
        <w:t xml:space="preserve"> describes specific criteria to be applied to a specific set of focus areas: </w:t>
      </w:r>
      <w:r w:rsidR="0077661D" w:rsidRPr="00802B02">
        <w:t>M&amp;E Systems</w:t>
      </w:r>
      <w:r w:rsidR="00E3076A">
        <w:t>;</w:t>
      </w:r>
      <w:r w:rsidR="0077661D" w:rsidRPr="00802B02">
        <w:t xml:space="preserve"> </w:t>
      </w:r>
      <w:r w:rsidR="00E50C25" w:rsidRPr="00802B02">
        <w:t>Effectiveness; Efficiency; Relevance</w:t>
      </w:r>
      <w:r w:rsidR="00E3076A">
        <w:t>; Gender Equality;</w:t>
      </w:r>
      <w:r w:rsidR="00E50C25" w:rsidRPr="00802B02">
        <w:t xml:space="preserve"> and Sustainability.</w:t>
      </w:r>
      <w:r w:rsidR="00415778" w:rsidRPr="00802B02">
        <w:t xml:space="preserve"> </w:t>
      </w:r>
      <w:r w:rsidR="00E50C25" w:rsidRPr="00802B02">
        <w:t>This section describe</w:t>
      </w:r>
      <w:r w:rsidR="00050754" w:rsidRPr="00802B02">
        <w:t>s</w:t>
      </w:r>
      <w:r w:rsidR="00E50C25" w:rsidRPr="00802B02">
        <w:t xml:space="preserve"> the findings in </w:t>
      </w:r>
      <w:r w:rsidR="00E3076A">
        <w:t xml:space="preserve">each of </w:t>
      </w:r>
      <w:r w:rsidR="00E50C25" w:rsidRPr="00802B02">
        <w:t>these areas.</w:t>
      </w:r>
    </w:p>
    <w:p w14:paraId="05394B9F" w14:textId="77777777" w:rsidR="009567F1" w:rsidRPr="00802B02" w:rsidRDefault="009567F1" w:rsidP="00BD1C6B">
      <w:pPr>
        <w:pStyle w:val="Heading2"/>
      </w:pPr>
      <w:bookmarkStart w:id="12" w:name="_Toc26180876"/>
      <w:r w:rsidRPr="00802B02">
        <w:t>M&amp;E Systems</w:t>
      </w:r>
      <w:bookmarkEnd w:id="12"/>
    </w:p>
    <w:p w14:paraId="0216D72D" w14:textId="77777777" w:rsidR="00AA4B4C" w:rsidRDefault="00430DB9" w:rsidP="00BD1C6B">
      <w:r w:rsidRPr="00802B02">
        <w:rPr>
          <w:noProof/>
          <w:lang w:val="en-AU" w:eastAsia="en-AU"/>
        </w:rPr>
        <mc:AlternateContent>
          <mc:Choice Requires="wpg">
            <w:drawing>
              <wp:anchor distT="0" distB="0" distL="228600" distR="228600" simplePos="0" relativeHeight="251870208" behindDoc="0" locked="0" layoutInCell="1" allowOverlap="1" wp14:anchorId="18426955" wp14:editId="46CF98F3">
                <wp:simplePos x="0" y="0"/>
                <wp:positionH relativeFrom="page">
                  <wp:posOffset>3455670</wp:posOffset>
                </wp:positionH>
                <wp:positionV relativeFrom="paragraph">
                  <wp:posOffset>57150</wp:posOffset>
                </wp:positionV>
                <wp:extent cx="2854960" cy="1828800"/>
                <wp:effectExtent l="0" t="0" r="2540" b="0"/>
                <wp:wrapSquare wrapText="bothSides"/>
                <wp:docPr id="173" name="Group 173"/>
                <wp:cNvGraphicFramePr/>
                <a:graphic xmlns:a="http://schemas.openxmlformats.org/drawingml/2006/main">
                  <a:graphicData uri="http://schemas.microsoft.com/office/word/2010/wordprocessingGroup">
                    <wpg:wgp>
                      <wpg:cNvGrpSpPr/>
                      <wpg:grpSpPr>
                        <a:xfrm>
                          <a:off x="0" y="0"/>
                          <a:ext cx="2854960" cy="1828800"/>
                          <a:chOff x="0" y="0"/>
                          <a:chExt cx="321870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2" y="19051"/>
                            <a:ext cx="2052306" cy="550289"/>
                            <a:chOff x="228601" y="1"/>
                            <a:chExt cx="1343176" cy="677278"/>
                          </a:xfrm>
                        </wpg:grpSpPr>
                        <wps:wsp>
                          <wps:cNvPr id="176" name="Rectangle 10"/>
                          <wps:cNvSpPr/>
                          <wps:spPr>
                            <a:xfrm>
                              <a:off x="228601" y="1"/>
                              <a:ext cx="1337769" cy="6694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1" y="1"/>
                              <a:ext cx="1343176" cy="677278"/>
                            </a:xfrm>
                            <a:prstGeom prst="rect">
                              <a:avLst/>
                            </a:prstGeom>
                            <a:blipFill>
                              <a:blip r:embed="rId2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96625" y="70034"/>
                            <a:ext cx="3022078" cy="1798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2B625" w14:textId="77777777" w:rsidR="000D5A86" w:rsidRDefault="000D5A86" w:rsidP="00BD1C6B"/>
                            <w:p w14:paraId="4462751E" w14:textId="77777777" w:rsidR="000D5A86" w:rsidRPr="00430DB9" w:rsidRDefault="000D5A86" w:rsidP="00BD1C6B">
                              <w:pPr>
                                <w:rPr>
                                  <w:i/>
                                  <w:iCs/>
                                  <w:sz w:val="18"/>
                                  <w:szCs w:val="16"/>
                                </w:rPr>
                              </w:pPr>
                              <w:r>
                                <w:t>“</w:t>
                              </w:r>
                              <w:r w:rsidRPr="00C219A5">
                                <w:t>The IAFFORD project…</w:t>
                              </w:r>
                              <w:r>
                                <w:t xml:space="preserve"> </w:t>
                              </w:r>
                              <w:r w:rsidRPr="00C219A5">
                                <w:t xml:space="preserve">will have reach beyond the project duration by building </w:t>
                              </w:r>
                              <w:r>
                                <w:t>an evidence-</w:t>
                              </w:r>
                              <w:r w:rsidRPr="00C219A5">
                                <w:t xml:space="preserve"> base demonstrating the effectiveness of a digital platform that the Filipino</w:t>
                              </w:r>
                              <w:r>
                                <w:t xml:space="preserve"> </w:t>
                              </w:r>
                              <w:r w:rsidRPr="00C219A5">
                                <w:t>government can utilize</w:t>
                              </w:r>
                              <w:r>
                                <w:t>”</w:t>
                              </w:r>
                              <w:r>
                                <w:br/>
                              </w:r>
                              <w:r w:rsidRPr="00430DB9">
                                <w:rPr>
                                  <w:i/>
                                  <w:iCs/>
                                  <w:sz w:val="18"/>
                                  <w:szCs w:val="16"/>
                                </w:rPr>
                                <w:t xml:space="preserve">Google Impact Challenge: Evaluation Document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26955" id="Group 173" o:spid="_x0000_s1029" style="position:absolute;margin-left:272.1pt;margin-top:4.5pt;width:224.8pt;height:2in;z-index:251870208;mso-wrap-distance-left:18pt;mso-wrap-distance-right:18pt;mso-position-horizontal-relative:page;mso-width-relative:margin;mso-height-relative:margin" coordsize="3218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">
                <v:rect id="Rectangle 174" o:spid="_x0000_s103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" fillcolor="white [3212]" stroked="f" strokeweight="1.25pt">
                  <v:fill opacity="0"/>
                  <v:stroke endcap="round"/>
                </v:rect>
                <v:group id="Group 175" o:spid="_x0000_s1031" style="position:absolute;top:190;width:20523;height:5503" coordorigin="2286" coordsize="13431,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2" style="position:absolute;left:2286;width:13377;height:669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" path="m,l2240281,,1659256,222885,,822960,,xe" fillcolor="#3494ba [3204]" stroked="f" strokeweight="1.25pt">
                    <v:stroke endcap="round"/>
                    <v:path arrowok="t" o:connecttype="custom" o:connectlocs="0,0;1337769,0;990814,181306;0,669439;0,0" o:connectangles="0,0,0,0,0"/>
                  </v:shape>
                  <v:rect id="Rectangle 177" o:spid="_x0000_s1033" style="position:absolute;left:2286;width:13431;height:6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" stroked="f" strokeweight="1.25pt">
                    <v:fill r:id="rId28" o:title="" recolor="t" rotate="t" type="frame"/>
                    <v:stroke endcap="round"/>
                  </v:rect>
                </v:group>
                <v:shapetype id="_x0000_t202" coordsize="21600,21600" o:spt="202" path="m,l,21600r21600,l21600,xe">
                  <v:stroke joinstyle="miter"/>
                  <v:path gradientshapeok="t" o:connecttype="rect"/>
                </v:shapetype>
                <v:shape id="Text Box 178" o:spid="_x0000_s1034" type="#_x0000_t202" style="position:absolute;left:1966;top:700;width:30221;height:17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1192B625" w14:textId="77777777" w:rsidR="000D5A86" w:rsidRDefault="000D5A86" w:rsidP="00BD1C6B"/>
                      <w:p w14:paraId="4462751E" w14:textId="77777777" w:rsidR="000D5A86" w:rsidRPr="00430DB9" w:rsidRDefault="000D5A86" w:rsidP="00BD1C6B">
                        <w:pPr>
                          <w:rPr>
                            <w:i/>
                            <w:iCs/>
                            <w:sz w:val="18"/>
                            <w:szCs w:val="16"/>
                          </w:rPr>
                        </w:pPr>
                        <w:r>
                          <w:t>“</w:t>
                        </w:r>
                        <w:r w:rsidRPr="00C219A5">
                          <w:t>The IAFFORD project…</w:t>
                        </w:r>
                        <w:r>
                          <w:t xml:space="preserve"> </w:t>
                        </w:r>
                        <w:r w:rsidRPr="00C219A5">
                          <w:t xml:space="preserve">will have reach beyond the project duration by building </w:t>
                        </w:r>
                        <w:r>
                          <w:t>an evidence-</w:t>
                        </w:r>
                        <w:r w:rsidRPr="00C219A5">
                          <w:t xml:space="preserve"> base demonstrating the effectiveness of a digital platform that the Filipino</w:t>
                        </w:r>
                        <w:r>
                          <w:t xml:space="preserve"> </w:t>
                        </w:r>
                        <w:r w:rsidRPr="00C219A5">
                          <w:t>government can utilize</w:t>
                        </w:r>
                        <w:r>
                          <w:t>”</w:t>
                        </w:r>
                        <w:r>
                          <w:br/>
                        </w:r>
                        <w:r w:rsidRPr="00430DB9">
                          <w:rPr>
                            <w:i/>
                            <w:iCs/>
                            <w:sz w:val="18"/>
                            <w:szCs w:val="16"/>
                          </w:rPr>
                          <w:t xml:space="preserve">Google Impact Challenge: Evaluation Document </w:t>
                        </w:r>
                      </w:p>
                    </w:txbxContent>
                  </v:textbox>
                </v:shape>
                <w10:wrap type="square" anchorx="page"/>
              </v:group>
            </w:pict>
          </mc:Fallback>
        </mc:AlternateContent>
      </w:r>
      <w:r w:rsidR="00670407" w:rsidRPr="00802B02">
        <w:t>The evaluation document submitted by Oxfam</w:t>
      </w:r>
      <w:r w:rsidR="00A42502" w:rsidRPr="00802B02">
        <w:t xml:space="preserve"> Philippines</w:t>
      </w:r>
      <w:r w:rsidR="00670407" w:rsidRPr="00802B02">
        <w:t xml:space="preserve"> to support IAFFORD’s application to the</w:t>
      </w:r>
      <w:r w:rsidR="009E0829" w:rsidRPr="00802B02">
        <w:t xml:space="preserve"> GIC</w:t>
      </w:r>
      <w:r w:rsidR="00670407" w:rsidRPr="00802B02">
        <w:t xml:space="preserve"> describe</w:t>
      </w:r>
      <w:r w:rsidR="00D910F0" w:rsidRPr="00802B02">
        <w:t>s</w:t>
      </w:r>
      <w:r w:rsidR="00670407" w:rsidRPr="00802B02">
        <w:t xml:space="preserve"> a</w:t>
      </w:r>
      <w:r w:rsidR="00AA4B4C">
        <w:t xml:space="preserve">n </w:t>
      </w:r>
      <w:r w:rsidR="00670407" w:rsidRPr="00802B02">
        <w:t xml:space="preserve">ambitious use of data from </w:t>
      </w:r>
      <w:r w:rsidR="00D910F0" w:rsidRPr="00802B02">
        <w:t>IAFFORD</w:t>
      </w:r>
      <w:r w:rsidR="006827B1" w:rsidRPr="00802B02">
        <w:t>’s</w:t>
      </w:r>
      <w:r w:rsidR="00B7300D" w:rsidRPr="00802B02">
        <w:t xml:space="preserve"> </w:t>
      </w:r>
      <w:r w:rsidR="00A42502" w:rsidRPr="00802B02">
        <w:t>DCT platform</w:t>
      </w:r>
      <w:r w:rsidR="00C7216D" w:rsidRPr="00802B02">
        <w:t>.</w:t>
      </w:r>
      <w:r w:rsidR="00415778" w:rsidRPr="00802B02">
        <w:t xml:space="preserve"> </w:t>
      </w:r>
      <w:r w:rsidR="00662639" w:rsidRPr="00802B02">
        <w:t>The document mentions the use of the mobile cash transfer systems of partners Visa</w:t>
      </w:r>
      <w:r w:rsidR="00A42502" w:rsidRPr="00802B02">
        <w:t xml:space="preserve"> Philippines</w:t>
      </w:r>
      <w:r w:rsidR="00662639" w:rsidRPr="00802B02">
        <w:t xml:space="preserve"> and Smart</w:t>
      </w:r>
      <w:r w:rsidR="00F9348D" w:rsidRPr="00802B02">
        <w:t>/PayMaya</w:t>
      </w:r>
      <w:r w:rsidR="00662639" w:rsidRPr="00802B02">
        <w:t xml:space="preserve"> to produce “data analytics of credit and savings behavior and set-up of real-time application to monitor card utilization and behavior on entrepreneur and social protection program</w:t>
      </w:r>
      <w:r w:rsidR="00A42502" w:rsidRPr="00802B02">
        <w:t>s</w:t>
      </w:r>
      <w:r w:rsidR="00662639" w:rsidRPr="00802B02">
        <w:t>”.</w:t>
      </w:r>
      <w:r w:rsidR="00415778" w:rsidRPr="00802B02">
        <w:t xml:space="preserve"> </w:t>
      </w:r>
      <w:r w:rsidR="00D910F0" w:rsidRPr="00802B02">
        <w:t>The evaluation document further describes the use of systems from government partners to “support government to adapt a digital database and integrate its conditional cash transfer</w:t>
      </w:r>
      <w:r w:rsidR="00A42502" w:rsidRPr="00802B02">
        <w:t xml:space="preserve"> (CCT)</w:t>
      </w:r>
      <w:r w:rsidR="00D910F0" w:rsidRPr="00802B02">
        <w:t xml:space="preserve"> program with mapping of vulnerable individuals located along danger zones and high risks areas</w:t>
      </w:r>
      <w:r w:rsidR="00AC70C5" w:rsidRPr="00802B02">
        <w:t>.”</w:t>
      </w:r>
      <w:r w:rsidR="00415778" w:rsidRPr="00802B02">
        <w:t xml:space="preserve"> </w:t>
      </w:r>
    </w:p>
    <w:p w14:paraId="4149869B" w14:textId="77777777" w:rsidR="002650A5" w:rsidRDefault="002650A5" w:rsidP="00D9135B">
      <w:pPr>
        <w:pStyle w:val="Heading3"/>
        <w:spacing w:after="200"/>
      </w:pPr>
      <w:bookmarkStart w:id="13" w:name="_Toc26180877"/>
      <w:r>
        <w:t>M&amp;E Systems and Evidence-based Decision-making</w:t>
      </w:r>
      <w:bookmarkEnd w:id="13"/>
    </w:p>
    <w:p w14:paraId="3CBDB710" w14:textId="77777777" w:rsidR="00FF73AE" w:rsidRPr="00802B02" w:rsidRDefault="00AA4B4C" w:rsidP="00D9135B">
      <w:r>
        <w:t xml:space="preserve">Evidence from </w:t>
      </w:r>
      <w:r w:rsidR="00FF73AE">
        <w:t xml:space="preserve">this evaluation </w:t>
      </w:r>
      <w:r>
        <w:t xml:space="preserve">supports the finding that </w:t>
      </w:r>
      <w:r w:rsidR="00AC70C5" w:rsidRPr="00802B02">
        <w:t>IAFFORD</w:t>
      </w:r>
      <w:r>
        <w:t xml:space="preserve"> did </w:t>
      </w:r>
      <w:r w:rsidR="00FF73AE">
        <w:t xml:space="preserve">utilize </w:t>
      </w:r>
      <w:r w:rsidR="00AC70C5" w:rsidRPr="00802B02">
        <w:t xml:space="preserve">data contained in the </w:t>
      </w:r>
      <w:r w:rsidR="00606F00" w:rsidRPr="00802B02">
        <w:t>information systems</w:t>
      </w:r>
      <w:r w:rsidR="00AC70C5" w:rsidRPr="00802B02">
        <w:t xml:space="preserve"> of government partner systems</w:t>
      </w:r>
      <w:r>
        <w:t xml:space="preserve">, </w:t>
      </w:r>
      <w:r w:rsidR="00AC70C5" w:rsidRPr="00802B02">
        <w:t>to identify socio-economically vulnerable areas as well as the beneficiaries eligible for inclusion in IAFFORD.</w:t>
      </w:r>
      <w:r w:rsidR="00415778" w:rsidRPr="00802B02">
        <w:t xml:space="preserve"> </w:t>
      </w:r>
      <w:r w:rsidR="00FF73AE" w:rsidRPr="00802B02">
        <w:t xml:space="preserve">Key informants mentioned the fact that IAFFORD </w:t>
      </w:r>
      <w:r w:rsidR="00FF73AE">
        <w:t>made</w:t>
      </w:r>
      <w:r w:rsidR="00FF73AE" w:rsidRPr="00802B02">
        <w:t xml:space="preserve"> use of the Philippines’ Department of Social Welfare and Development’s (DSWD) “</w:t>
      </w:r>
      <w:r w:rsidR="00FF73AE" w:rsidRPr="00802B02">
        <w:rPr>
          <w:i/>
        </w:rPr>
        <w:t>Listahanan</w:t>
      </w:r>
      <w:r w:rsidR="00FF73AE" w:rsidRPr="00802B02">
        <w:t xml:space="preserve">” or the National Household Targeting System for Poverty Reduction (NHTS-PR), which is a management information system that identifies eligible beneficiaries for its </w:t>
      </w:r>
      <w:r w:rsidR="00E3076A">
        <w:t>“</w:t>
      </w:r>
      <w:r w:rsidR="00FF73AE" w:rsidRPr="00802B02">
        <w:t>Bridging Program for the Filipino Family</w:t>
      </w:r>
      <w:r w:rsidR="00E3076A">
        <w:t>”</w:t>
      </w:r>
      <w:r w:rsidR="00FF73AE" w:rsidRPr="00802B02">
        <w:t xml:space="preserve"> (Filipino: </w:t>
      </w:r>
      <w:r w:rsidR="00FF73AE" w:rsidRPr="00802B02">
        <w:rPr>
          <w:i/>
        </w:rPr>
        <w:t>Pantawid Pamilyang Pilipino Program</w:t>
      </w:r>
      <w:r w:rsidR="00FF73AE" w:rsidRPr="00802B02">
        <w:t>) also known as the “4Ps Program”, a conditional cash transfer program. In Marawi, Leyte and Samar provinces, IAFFORD also used lists of the most vulnerable maintained at the municipal level, to identify potential beneficiaries. Th</w:t>
      </w:r>
      <w:r w:rsidR="00FF73AE">
        <w:t>ese facts mean that IAFFORD fulfilled one aspect of the</w:t>
      </w:r>
      <w:r w:rsidR="00FF73AE" w:rsidRPr="00802B02">
        <w:t xml:space="preserve"> </w:t>
      </w:r>
      <w:r w:rsidR="00FF73AE">
        <w:t>purpose stated in the GIC document</w:t>
      </w:r>
      <w:r w:rsidR="00FF73AE" w:rsidRPr="00802B02">
        <w:t xml:space="preserve"> “(</w:t>
      </w:r>
      <w:r w:rsidR="00FF73AE">
        <w:t>use of</w:t>
      </w:r>
      <w:r w:rsidR="00FF73AE" w:rsidRPr="00802B02">
        <w:t xml:space="preserve">) </w:t>
      </w:r>
      <w:r w:rsidR="00FF73AE">
        <w:t xml:space="preserve">(a) </w:t>
      </w:r>
      <w:r w:rsidR="00FF73AE" w:rsidRPr="00802B02">
        <w:t>pre-existing databas</w:t>
      </w:r>
      <w:r w:rsidR="00FF73AE">
        <w:t xml:space="preserve">e </w:t>
      </w:r>
      <w:r w:rsidR="00FF73AE" w:rsidRPr="00802B02">
        <w:t>and registration tool for beneficiary tracking, potential beneficiaries will be profiled by the government to build a database of poor and vulnerable individuals”.</w:t>
      </w:r>
    </w:p>
    <w:p w14:paraId="5524A79E" w14:textId="1BAA6AD4" w:rsidR="0088062A" w:rsidRDefault="00FC624F" w:rsidP="00D9135B">
      <w:r>
        <w:t>While IAFFORD did use partner systems (specifically that of the government) to develop evidence for operational planning, other data that could have been used to evaluate the innovative potential of the DCT platform was not</w:t>
      </w:r>
      <w:r w:rsidR="00FF73AE">
        <w:t xml:space="preserve"> used by IAFFORD</w:t>
      </w:r>
      <w:r>
        <w:t xml:space="preserve">. </w:t>
      </w:r>
      <w:r w:rsidR="00FF73AE">
        <w:t xml:space="preserve">Specifically, IAFFORD did not use data from the DCT platform itself, on the utilization of the financial </w:t>
      </w:r>
      <w:r w:rsidR="0088062A">
        <w:t>functions contained in the card.</w:t>
      </w:r>
      <w:r w:rsidR="008449C7">
        <w:t xml:space="preserve"> </w:t>
      </w:r>
      <w:r w:rsidR="009644A8" w:rsidRPr="00802B02">
        <w:t xml:space="preserve">From a </w:t>
      </w:r>
      <w:r w:rsidR="00A42502" w:rsidRPr="00802B02">
        <w:t>m</w:t>
      </w:r>
      <w:r w:rsidR="009644A8" w:rsidRPr="00802B02">
        <w:t>onitoring</w:t>
      </w:r>
      <w:r w:rsidR="00A42502" w:rsidRPr="00802B02">
        <w:t>,</w:t>
      </w:r>
      <w:r w:rsidR="009644A8" w:rsidRPr="00802B02">
        <w:t xml:space="preserve"> </w:t>
      </w:r>
      <w:r w:rsidR="00A42502" w:rsidRPr="00802B02">
        <w:t>e</w:t>
      </w:r>
      <w:r w:rsidR="009644A8" w:rsidRPr="00802B02">
        <w:t xml:space="preserve">valuation and </w:t>
      </w:r>
      <w:r w:rsidR="00A42502" w:rsidRPr="00802B02">
        <w:t>l</w:t>
      </w:r>
      <w:r w:rsidR="009644A8" w:rsidRPr="00802B02">
        <w:t xml:space="preserve">earning (MEAL) perspective, </w:t>
      </w:r>
      <w:r w:rsidR="0088062A">
        <w:t xml:space="preserve">this data is key to assessing the innovative potential of the IAFFORD DCT platform. </w:t>
      </w:r>
    </w:p>
    <w:p w14:paraId="7A3F4B2F" w14:textId="77777777" w:rsidR="001B25ED" w:rsidRPr="00802B02" w:rsidRDefault="009644A8" w:rsidP="00D9135B">
      <w:r w:rsidRPr="00802B02">
        <w:t>Key informants did mention that IAFFORD sign</w:t>
      </w:r>
      <w:r w:rsidR="00AD1343" w:rsidRPr="00802B02">
        <w:t>ed</w:t>
      </w:r>
      <w:r w:rsidRPr="00802B02">
        <w:t xml:space="preserve"> a memorandum of understanding </w:t>
      </w:r>
      <w:r w:rsidR="00AD1343" w:rsidRPr="00802B02">
        <w:t xml:space="preserve">(MOU) </w:t>
      </w:r>
      <w:r w:rsidRPr="00802B02">
        <w:t xml:space="preserve">with PayMaya, the </w:t>
      </w:r>
      <w:r w:rsidR="00E70F8B" w:rsidRPr="00802B02">
        <w:t>DCT mobile money platform provider</w:t>
      </w:r>
      <w:r w:rsidR="00AD1343" w:rsidRPr="00802B02">
        <w:t>,</w:t>
      </w:r>
      <w:r w:rsidR="00E70F8B" w:rsidRPr="00802B02">
        <w:t xml:space="preserve"> for </w:t>
      </w:r>
      <w:r w:rsidR="00B377A1" w:rsidRPr="00802B02">
        <w:t xml:space="preserve">the provision of </w:t>
      </w:r>
      <w:r w:rsidR="00E70F8B" w:rsidRPr="00802B02">
        <w:t>analytics.</w:t>
      </w:r>
      <w:r w:rsidR="00415778" w:rsidRPr="00802B02">
        <w:t xml:space="preserve"> </w:t>
      </w:r>
      <w:r w:rsidR="00E70F8B" w:rsidRPr="00802B02">
        <w:t>The evaluation team did see presentations developed by Oxfam</w:t>
      </w:r>
      <w:r w:rsidR="00A42502" w:rsidRPr="00802B02">
        <w:t xml:space="preserve"> Philippines</w:t>
      </w:r>
      <w:r w:rsidR="00E70F8B" w:rsidRPr="00802B02">
        <w:t xml:space="preserve"> partner Visa </w:t>
      </w:r>
      <w:r w:rsidR="00A42502" w:rsidRPr="00802B02">
        <w:t xml:space="preserve">Philippines </w:t>
      </w:r>
      <w:r w:rsidR="00E70F8B" w:rsidRPr="00802B02">
        <w:t xml:space="preserve">citing statistics on savings behavior of beneficiaries during a cash transfer pilot test conducted </w:t>
      </w:r>
      <w:r w:rsidR="00AD1343" w:rsidRPr="00802B02">
        <w:t>at the reconstruction and rehabilitation stage of</w:t>
      </w:r>
      <w:r w:rsidR="00E70F8B" w:rsidRPr="00802B02">
        <w:t xml:space="preserve"> </w:t>
      </w:r>
      <w:r w:rsidR="00A42502" w:rsidRPr="00802B02">
        <w:t xml:space="preserve">typhoon </w:t>
      </w:r>
      <w:r w:rsidR="00E70F8B" w:rsidRPr="00802B02">
        <w:t>Ha</w:t>
      </w:r>
      <w:r w:rsidR="00E81E56" w:rsidRPr="00802B02">
        <w:t>i</w:t>
      </w:r>
      <w:r w:rsidR="00E70F8B" w:rsidRPr="00802B02">
        <w:t>yan</w:t>
      </w:r>
      <w:r w:rsidR="00F15E1F" w:rsidRPr="00802B02">
        <w:t xml:space="preserve"> (local name “Yolanda”)</w:t>
      </w:r>
      <w:r w:rsidR="00B377A1" w:rsidRPr="00802B02">
        <w:t xml:space="preserve"> </w:t>
      </w:r>
      <w:r w:rsidR="00E70F8B" w:rsidRPr="00802B02">
        <w:t>in 20</w:t>
      </w:r>
      <w:r w:rsidR="00E81E56" w:rsidRPr="00802B02">
        <w:t>1</w:t>
      </w:r>
      <w:r w:rsidR="00F9348D" w:rsidRPr="00802B02">
        <w:t>3</w:t>
      </w:r>
      <w:r w:rsidR="00E70F8B" w:rsidRPr="00802B02">
        <w:t>.</w:t>
      </w:r>
      <w:r w:rsidR="00415778" w:rsidRPr="00802B02">
        <w:t xml:space="preserve"> </w:t>
      </w:r>
      <w:r w:rsidR="0088062A">
        <w:t xml:space="preserve">However, this type of evidence was </w:t>
      </w:r>
      <w:r w:rsidR="002650A5">
        <w:t xml:space="preserve">not </w:t>
      </w:r>
      <w:r w:rsidR="0088062A">
        <w:t>provided to the evaluation team.</w:t>
      </w:r>
    </w:p>
    <w:p w14:paraId="693454C4" w14:textId="77777777" w:rsidR="009567F1" w:rsidRPr="00802B02" w:rsidRDefault="00772DD9" w:rsidP="00D9135B">
      <w:r w:rsidRPr="00802B02">
        <w:t>Another issue is the scope of the results data that is available.</w:t>
      </w:r>
      <w:r w:rsidR="00415778" w:rsidRPr="00802B02">
        <w:t xml:space="preserve"> </w:t>
      </w:r>
      <w:r w:rsidRPr="00802B02">
        <w:t xml:space="preserve">The </w:t>
      </w:r>
      <w:r w:rsidR="006952B4" w:rsidRPr="00802B02">
        <w:t>F</w:t>
      </w:r>
      <w:r w:rsidRPr="00802B02">
        <w:t xml:space="preserve">inal </w:t>
      </w:r>
      <w:r w:rsidR="006952B4" w:rsidRPr="00802B02">
        <w:t>R</w:t>
      </w:r>
      <w:r w:rsidRPr="00802B02">
        <w:t>eport mentions baseline and end</w:t>
      </w:r>
      <w:r w:rsidR="00B0070C" w:rsidRPr="00802B02">
        <w:t>-</w:t>
      </w:r>
      <w:r w:rsidRPr="00802B02">
        <w:t xml:space="preserve">line </w:t>
      </w:r>
      <w:r w:rsidR="00B0070C" w:rsidRPr="00802B02">
        <w:t>surveys,</w:t>
      </w:r>
      <w:r w:rsidRPr="00802B02">
        <w:t xml:space="preserve"> but these </w:t>
      </w:r>
      <w:r w:rsidR="000203C9" w:rsidRPr="00802B02">
        <w:t xml:space="preserve">surveys </w:t>
      </w:r>
      <w:r w:rsidRPr="00802B02">
        <w:t xml:space="preserve">seem to be restricted to </w:t>
      </w:r>
      <w:r w:rsidR="00F20BD3" w:rsidRPr="00802B02">
        <w:t xml:space="preserve">Samar </w:t>
      </w:r>
      <w:r w:rsidR="00372801" w:rsidRPr="00802B02">
        <w:t xml:space="preserve">provinces only </w:t>
      </w:r>
      <w:r w:rsidR="00F20BD3" w:rsidRPr="00802B02">
        <w:t>and not the whole IAFFORD area</w:t>
      </w:r>
      <w:r w:rsidR="000203C9" w:rsidRPr="00802B02">
        <w:t>s</w:t>
      </w:r>
      <w:r w:rsidR="00F20BD3" w:rsidRPr="00802B02">
        <w:t xml:space="preserve"> of operations</w:t>
      </w:r>
      <w:r w:rsidRPr="00802B02">
        <w:t>.</w:t>
      </w:r>
      <w:r w:rsidR="00415778" w:rsidRPr="00802B02">
        <w:t xml:space="preserve"> </w:t>
      </w:r>
      <w:r w:rsidR="0036776B" w:rsidRPr="00802B02">
        <w:t>Key</w:t>
      </w:r>
      <w:r w:rsidR="006E2463" w:rsidRPr="00802B02">
        <w:t xml:space="preserve"> informants</w:t>
      </w:r>
      <w:r w:rsidR="00580CDB" w:rsidRPr="00802B02">
        <w:t xml:space="preserve"> from Oxfam Philippines</w:t>
      </w:r>
      <w:r w:rsidR="006E2463" w:rsidRPr="00802B02">
        <w:t xml:space="preserve"> </w:t>
      </w:r>
      <w:r w:rsidR="00580CDB" w:rsidRPr="00802B02">
        <w:t>were asked to clarify</w:t>
      </w:r>
      <w:r w:rsidR="0036776B" w:rsidRPr="00802B02">
        <w:t xml:space="preserve"> the </w:t>
      </w:r>
      <w:r w:rsidR="009567F1" w:rsidRPr="00802B02">
        <w:t xml:space="preserve">reason for </w:t>
      </w:r>
      <w:r w:rsidR="00170099" w:rsidRPr="00802B02">
        <w:t xml:space="preserve">the mismatch </w:t>
      </w:r>
      <w:r w:rsidR="0036776B" w:rsidRPr="00802B02">
        <w:t>between</w:t>
      </w:r>
      <w:r w:rsidR="00170099" w:rsidRPr="00802B02">
        <w:t xml:space="preserve"> </w:t>
      </w:r>
      <w:r w:rsidR="009567F1" w:rsidRPr="00802B02">
        <w:t xml:space="preserve">the extent of the M&amp;E systems </w:t>
      </w:r>
      <w:r w:rsidR="0036776B" w:rsidRPr="00802B02">
        <w:t>and</w:t>
      </w:r>
      <w:r w:rsidR="00170099" w:rsidRPr="00802B02">
        <w:t xml:space="preserve"> </w:t>
      </w:r>
      <w:r w:rsidR="009567F1" w:rsidRPr="00802B02">
        <w:t>the scope and nature of</w:t>
      </w:r>
      <w:r w:rsidR="00360227" w:rsidRPr="00802B02">
        <w:t xml:space="preserve"> </w:t>
      </w:r>
      <w:r w:rsidR="009567F1" w:rsidRPr="00802B02">
        <w:t>IAFFORD interventions</w:t>
      </w:r>
      <w:r w:rsidR="0036776B" w:rsidRPr="00802B02">
        <w:t>. The response given was that it was due the</w:t>
      </w:r>
      <w:r w:rsidR="009567F1" w:rsidRPr="00802B02">
        <w:t xml:space="preserve"> specific request made by DFAT to extend</w:t>
      </w:r>
      <w:r w:rsidR="00360227" w:rsidRPr="00802B02">
        <w:t xml:space="preserve"> its geographi</w:t>
      </w:r>
      <w:r w:rsidR="0036776B" w:rsidRPr="00802B02">
        <w:t xml:space="preserve">c </w:t>
      </w:r>
      <w:r w:rsidR="009567F1" w:rsidRPr="00802B02">
        <w:t xml:space="preserve">scope beyond the original terms </w:t>
      </w:r>
      <w:r w:rsidR="00E72736" w:rsidRPr="00802B02">
        <w:t xml:space="preserve">of reference </w:t>
      </w:r>
      <w:r w:rsidR="009567F1" w:rsidRPr="00802B02">
        <w:t>to post-</w:t>
      </w:r>
      <w:r w:rsidR="006952B4" w:rsidRPr="00802B02">
        <w:t xml:space="preserve">Marawi </w:t>
      </w:r>
      <w:r w:rsidR="009567F1" w:rsidRPr="00802B02">
        <w:t>siege reconstruction and rehabilitation interventions.</w:t>
      </w:r>
      <w:r w:rsidR="00415778" w:rsidRPr="00802B02">
        <w:t xml:space="preserve"> </w:t>
      </w:r>
      <w:r w:rsidRPr="00802B02">
        <w:t xml:space="preserve">It is important to note that the </w:t>
      </w:r>
      <w:r w:rsidR="003925A5" w:rsidRPr="00802B02">
        <w:t>effective utilization</w:t>
      </w:r>
      <w:r w:rsidRPr="00802B02">
        <w:t xml:space="preserve"> of </w:t>
      </w:r>
      <w:r w:rsidR="003925A5" w:rsidRPr="00802B02">
        <w:t xml:space="preserve">analytics </w:t>
      </w:r>
      <w:r w:rsidR="00B0070C" w:rsidRPr="00802B02">
        <w:t xml:space="preserve">from </w:t>
      </w:r>
      <w:r w:rsidR="0036776B" w:rsidRPr="00802B02">
        <w:t xml:space="preserve">IAFFORD’s </w:t>
      </w:r>
      <w:r w:rsidR="00B0070C" w:rsidRPr="00802B02">
        <w:t>partner</w:t>
      </w:r>
      <w:r w:rsidR="006E2463" w:rsidRPr="00802B02">
        <w:t>s’</w:t>
      </w:r>
      <w:r w:rsidR="00B0070C" w:rsidRPr="00802B02">
        <w:t xml:space="preserve"> systems </w:t>
      </w:r>
      <w:r w:rsidR="0067202B">
        <w:t>(specifically Pay</w:t>
      </w:r>
      <w:r w:rsidR="00C54009">
        <w:t xml:space="preserve">Maya) </w:t>
      </w:r>
      <w:r w:rsidR="00B0070C" w:rsidRPr="00802B02">
        <w:t xml:space="preserve">would have </w:t>
      </w:r>
      <w:r w:rsidR="00C54009">
        <w:t xml:space="preserve">somewhat </w:t>
      </w:r>
      <w:r w:rsidR="00B0070C" w:rsidRPr="00802B02">
        <w:t>mitigated the issue of M&amp;E system coverage.</w:t>
      </w:r>
    </w:p>
    <w:p w14:paraId="17A4C570" w14:textId="77777777" w:rsidR="003925A5" w:rsidRDefault="00C54009" w:rsidP="00D9135B">
      <w:r>
        <w:t>Lastly, other secondary sources of data important for this evaluation were mentioned by</w:t>
      </w:r>
      <w:r w:rsidR="003925A5" w:rsidRPr="00802B02">
        <w:t xml:space="preserve"> informants </w:t>
      </w:r>
      <w:r w:rsidR="00E72736" w:rsidRPr="00802B02">
        <w:t>from Oxfam Philippines</w:t>
      </w:r>
      <w:r>
        <w:t>.</w:t>
      </w:r>
      <w:r w:rsidR="00E72736" w:rsidRPr="00802B02">
        <w:t xml:space="preserve"> </w:t>
      </w:r>
      <w:r>
        <w:t>This included data from</w:t>
      </w:r>
      <w:r w:rsidR="003925A5" w:rsidRPr="00802B02">
        <w:t xml:space="preserve"> field teams </w:t>
      </w:r>
      <w:r w:rsidR="00E72736" w:rsidRPr="00802B02">
        <w:t>to monitor project implementation at the community level.</w:t>
      </w:r>
      <w:r w:rsidR="00415778" w:rsidRPr="00802B02">
        <w:t xml:space="preserve"> </w:t>
      </w:r>
      <w:r w:rsidR="006E2463" w:rsidRPr="00802B02">
        <w:t xml:space="preserve">Key informants from </w:t>
      </w:r>
      <w:r w:rsidR="00E72736" w:rsidRPr="00802B02">
        <w:t>Oxfam partners in Marawi mentioned</w:t>
      </w:r>
      <w:r w:rsidR="00FB5C78" w:rsidRPr="00802B02">
        <w:t xml:space="preserve"> the use of post-</w:t>
      </w:r>
      <w:r w:rsidR="00BB2986" w:rsidRPr="00802B02">
        <w:t xml:space="preserve">cash card </w:t>
      </w:r>
      <w:r w:rsidR="00FB5C78" w:rsidRPr="00802B02">
        <w:t>distribution surveys as well as qualitative methods such as key informant interviews and focus group discussions as monitoring tools.</w:t>
      </w:r>
      <w:r w:rsidR="00415778" w:rsidRPr="00802B02">
        <w:t xml:space="preserve"> </w:t>
      </w:r>
      <w:r w:rsidR="00A95B49" w:rsidRPr="00802B02">
        <w:t xml:space="preserve">However, the evaluation team was not provided </w:t>
      </w:r>
      <w:r>
        <w:t>with data from the results of these</w:t>
      </w:r>
      <w:r w:rsidR="00A95B49" w:rsidRPr="00802B02">
        <w:t xml:space="preserve"> surveys</w:t>
      </w:r>
      <w:r w:rsidR="002650A5">
        <w:t>.</w:t>
      </w:r>
      <w:r w:rsidR="002A41D7" w:rsidRPr="00802B02">
        <w:t xml:space="preserve"> </w:t>
      </w:r>
    </w:p>
    <w:p w14:paraId="2737122F" w14:textId="77777777" w:rsidR="002650A5" w:rsidRPr="00802B02" w:rsidRDefault="00F46343" w:rsidP="00D30F2E">
      <w:pPr>
        <w:spacing w:after="0"/>
      </w:pPr>
      <w:r>
        <w:t>The</w:t>
      </w:r>
      <w:r w:rsidR="002650A5" w:rsidRPr="00802B02">
        <w:t xml:space="preserve"> evaluation team </w:t>
      </w:r>
      <w:r>
        <w:t xml:space="preserve">therefore has </w:t>
      </w:r>
      <w:r w:rsidR="002650A5" w:rsidRPr="00802B02">
        <w:t>had to largely rely on qualitative evidence provided by key informant consultations and case studies mentioned in IAFFORD reports, with no recourse to validate against sources of analytics information</w:t>
      </w:r>
      <w:r w:rsidR="002650A5">
        <w:t xml:space="preserve"> from the IAFFORD DCT platform</w:t>
      </w:r>
      <w:r w:rsidR="002650A5" w:rsidRPr="00802B02">
        <w:t>, except for statistics (mostly at output level) mentioned in progress reports. This despite the hypothetical availability of large amounts of transactional data flowing through the IAFFORD project’s DCT system. An indication of this is the limited analytical content presented by Oxfam Philippines in i</w:t>
      </w:r>
      <w:r w:rsidR="0067202B">
        <w:t>ts IAFFORD Project’s Final R</w:t>
      </w:r>
      <w:r w:rsidR="002650A5" w:rsidRPr="00802B02">
        <w:t>eport. An example is the absence of comprehensive analysis on card data utilization rate (i.e. purchase, cash withdrawal, payments received and savings) in the report</w:t>
      </w:r>
      <w:r w:rsidR="002650A5">
        <w:t>.</w:t>
      </w:r>
      <w:r w:rsidR="002650A5" w:rsidRPr="00802B02">
        <w:t xml:space="preserve"> </w:t>
      </w:r>
    </w:p>
    <w:p w14:paraId="06C16D45" w14:textId="77777777" w:rsidR="002650A5" w:rsidRPr="00802B02" w:rsidRDefault="002650A5" w:rsidP="00BD1C6B"/>
    <w:bookmarkStart w:id="14" w:name="_Toc26180878"/>
    <w:p w14:paraId="45899B86" w14:textId="77777777" w:rsidR="00E50C25" w:rsidRPr="00802B02" w:rsidRDefault="00F6365C" w:rsidP="00BD1C6B">
      <w:pPr>
        <w:pStyle w:val="Heading2"/>
      </w:pPr>
      <w:r w:rsidRPr="00802B02">
        <w:rPr>
          <w:noProof/>
          <w:lang w:val="en-AU" w:eastAsia="en-AU"/>
        </w:rPr>
        <mc:AlternateContent>
          <mc:Choice Requires="wpg">
            <w:drawing>
              <wp:anchor distT="0" distB="0" distL="228600" distR="228600" simplePos="0" relativeHeight="251868160" behindDoc="0" locked="0" layoutInCell="1" allowOverlap="1" wp14:anchorId="252B8F86" wp14:editId="132DDB14">
                <wp:simplePos x="0" y="0"/>
                <wp:positionH relativeFrom="page">
                  <wp:posOffset>3487422</wp:posOffset>
                </wp:positionH>
                <wp:positionV relativeFrom="paragraph">
                  <wp:posOffset>157563</wp:posOffset>
                </wp:positionV>
                <wp:extent cx="3289300" cy="1649730"/>
                <wp:effectExtent l="0" t="0" r="6350" b="0"/>
                <wp:wrapSquare wrapText="bothSides"/>
                <wp:docPr id="14" name="Group 14"/>
                <wp:cNvGraphicFramePr/>
                <a:graphic xmlns:a="http://schemas.openxmlformats.org/drawingml/2006/main">
                  <a:graphicData uri="http://schemas.microsoft.com/office/word/2010/wordprocessingGroup">
                    <wpg:wgp>
                      <wpg:cNvGrpSpPr/>
                      <wpg:grpSpPr>
                        <a:xfrm>
                          <a:off x="0" y="0"/>
                          <a:ext cx="3289300" cy="1649730"/>
                          <a:chOff x="0" y="0"/>
                          <a:chExt cx="3218703" cy="2028766"/>
                        </a:xfrm>
                      </wpg:grpSpPr>
                      <wps:wsp>
                        <wps:cNvPr id="15" name="Rectangle 15"/>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2" y="19051"/>
                            <a:ext cx="2052306" cy="550289"/>
                            <a:chOff x="228601" y="1"/>
                            <a:chExt cx="1343176" cy="677278"/>
                          </a:xfrm>
                        </wpg:grpSpPr>
                        <wps:wsp>
                          <wps:cNvPr id="17" name="Rectangle 10"/>
                          <wps:cNvSpPr/>
                          <wps:spPr>
                            <a:xfrm>
                              <a:off x="228601" y="1"/>
                              <a:ext cx="1337769" cy="6694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8601" y="1"/>
                              <a:ext cx="1343176" cy="677278"/>
                            </a:xfrm>
                            <a:prstGeom prst="rect">
                              <a:avLst/>
                            </a:prstGeom>
                            <a:blipFill>
                              <a:blip r:embed="rId2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196625" y="70033"/>
                            <a:ext cx="3022078" cy="1798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59B12" w14:textId="77777777" w:rsidR="000D5A86" w:rsidRDefault="000D5A86" w:rsidP="00BD1C6B"/>
                            <w:p w14:paraId="47AAD5AF" w14:textId="70D3D12A" w:rsidR="000D5A86" w:rsidRPr="00022DBD" w:rsidRDefault="000D5A86" w:rsidP="00BD1C6B">
                              <w:r>
                                <w:t xml:space="preserve">“(IAFFORD established </w:t>
                              </w:r>
                              <w:r w:rsidRPr="00CA7C9E">
                                <w:t>Savings for</w:t>
                              </w:r>
                              <w:r>
                                <w:t xml:space="preserve"> </w:t>
                              </w:r>
                              <w:r w:rsidRPr="00CA7C9E">
                                <w:t>Change Groups</w:t>
                              </w:r>
                              <w:r>
                                <w:t>) …</w:t>
                              </w:r>
                              <w:r w:rsidRPr="00CA7C9E">
                                <w:t xml:space="preserve"> in 3 clusters in Eastern Samar and 7 clusters in Western Samar province with an accumulated savings of PhP73,560 (AUD 2,093)</w:t>
                              </w:r>
                              <w:r>
                                <w:t>”</w:t>
                              </w:r>
                              <w:r>
                                <w:br/>
                              </w:r>
                              <w:r w:rsidRPr="00430DB9">
                                <w:rPr>
                                  <w:sz w:val="18"/>
                                  <w:szCs w:val="16"/>
                                </w:rPr>
                                <w:t xml:space="preserve">IAFFORD Project Specific Update </w:t>
                              </w:r>
                              <w:r>
                                <w:rPr>
                                  <w:sz w:val="18"/>
                                  <w:szCs w:val="16"/>
                                </w:rPr>
                                <w:t>–</w:t>
                              </w:r>
                              <w:r w:rsidRPr="00430DB9">
                                <w:rPr>
                                  <w:sz w:val="18"/>
                                  <w:szCs w:val="16"/>
                                </w:rPr>
                                <w:t xml:space="preserve"> April</w:t>
                              </w:r>
                              <w:r>
                                <w:rPr>
                                  <w:sz w:val="18"/>
                                  <w:szCs w:val="16"/>
                                </w:rPr>
                                <w:t xml:space="preserve"> </w:t>
                              </w:r>
                              <w:r w:rsidRPr="00430DB9">
                                <w:rPr>
                                  <w:sz w:val="18"/>
                                  <w:szCs w:val="16"/>
                                </w:rPr>
                                <w:t>1-June</w:t>
                              </w:r>
                              <w:r>
                                <w:rPr>
                                  <w:sz w:val="18"/>
                                  <w:szCs w:val="16"/>
                                </w:rPr>
                                <w:t xml:space="preserve"> </w:t>
                              </w:r>
                              <w:r w:rsidRPr="00430DB9">
                                <w:rPr>
                                  <w:sz w:val="18"/>
                                  <w:szCs w:val="16"/>
                                </w:rPr>
                                <w:t>31 2018</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2B8F86" id="Group 14" o:spid="_x0000_s1035" style="position:absolute;left:0;text-align:left;margin-left:274.6pt;margin-top:12.4pt;width:259pt;height:129.9pt;z-index:251868160;mso-wrap-distance-left:18pt;mso-wrap-distance-right:18pt;mso-position-horizontal-relative:page;mso-width-relative:margin;mso-height-relative:margin" coordsize="3218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">
                <v:rect id="Rectangle 15" o:spid="_x0000_s1036"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" fillcolor="white [3212]" stroked="f" strokeweight="1.25pt">
                  <v:fill opacity="0"/>
                  <v:stroke endcap="round"/>
                </v:rect>
                <v:group id="Group 16" o:spid="_x0000_s1037" style="position:absolute;top:190;width:20523;height:5503" coordorigin="2286" coordsize="13431,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10" o:spid="_x0000_s1038" style="position:absolute;left:2286;width:13377;height:669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" path="m,l2240281,,1659256,222885,,822960,,xe" fillcolor="#3494ba [3204]" stroked="f" strokeweight="1.25pt">
                    <v:stroke endcap="round"/>
                    <v:path arrowok="t" o:connecttype="custom" o:connectlocs="0,0;1337769,0;990814,181306;0,669439;0,0" o:connectangles="0,0,0,0,0"/>
                  </v:shape>
                  <v:rect id="Rectangle 18" o:spid="_x0000_s1039" style="position:absolute;left:2286;width:13431;height:6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" stroked="f" strokeweight="1.25pt">
                    <v:fill r:id="rId28" o:title="" recolor="t" rotate="t" type="frame"/>
                    <v:stroke endcap="round"/>
                  </v:rect>
                </v:group>
                <v:shape id="Text Box 19" o:spid="_x0000_s1040" type="#_x0000_t202" style="position:absolute;left:1966;top:700;width:30221;height:17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" filled="f" stroked="f" strokeweight=".5pt">
                  <v:textbox inset="3.6pt,7.2pt,0,0">
                    <w:txbxContent>
                      <w:p w14:paraId="32D59B12" w14:textId="77777777" w:rsidR="000D5A86" w:rsidRDefault="000D5A86" w:rsidP="00BD1C6B"/>
                      <w:p w14:paraId="47AAD5AF" w14:textId="70D3D12A" w:rsidR="000D5A86" w:rsidRPr="00022DBD" w:rsidRDefault="000D5A86" w:rsidP="00BD1C6B">
                        <w:r>
                          <w:t xml:space="preserve">“(IAFFORD established </w:t>
                        </w:r>
                        <w:r w:rsidRPr="00CA7C9E">
                          <w:t>Savings for</w:t>
                        </w:r>
                        <w:r>
                          <w:t xml:space="preserve"> </w:t>
                        </w:r>
                        <w:r w:rsidRPr="00CA7C9E">
                          <w:t>Change Groups</w:t>
                        </w:r>
                        <w:r>
                          <w:t>) …</w:t>
                        </w:r>
                        <w:r w:rsidRPr="00CA7C9E">
                          <w:t xml:space="preserve"> in 3 clusters in Eastern Samar and 7 clusters in Western Samar province with an accumulated savings of PhP73</w:t>
                        </w:r>
                        <w:proofErr w:type="gramStart"/>
                        <w:r w:rsidRPr="00CA7C9E">
                          <w:t>,560</w:t>
                        </w:r>
                        <w:proofErr w:type="gramEnd"/>
                        <w:r w:rsidRPr="00CA7C9E">
                          <w:t xml:space="preserve"> (AUD 2,093)</w:t>
                        </w:r>
                        <w:r>
                          <w:t>”</w:t>
                        </w:r>
                        <w:r>
                          <w:br/>
                        </w:r>
                        <w:r w:rsidRPr="00430DB9">
                          <w:rPr>
                            <w:sz w:val="18"/>
                            <w:szCs w:val="16"/>
                          </w:rPr>
                          <w:t xml:space="preserve">IAFFORD Project Specific Update </w:t>
                        </w:r>
                        <w:r>
                          <w:rPr>
                            <w:sz w:val="18"/>
                            <w:szCs w:val="16"/>
                          </w:rPr>
                          <w:t>–</w:t>
                        </w:r>
                        <w:r w:rsidRPr="00430DB9">
                          <w:rPr>
                            <w:sz w:val="18"/>
                            <w:szCs w:val="16"/>
                          </w:rPr>
                          <w:t xml:space="preserve"> April</w:t>
                        </w:r>
                        <w:r>
                          <w:rPr>
                            <w:sz w:val="18"/>
                            <w:szCs w:val="16"/>
                          </w:rPr>
                          <w:t xml:space="preserve"> </w:t>
                        </w:r>
                        <w:r w:rsidRPr="00430DB9">
                          <w:rPr>
                            <w:sz w:val="18"/>
                            <w:szCs w:val="16"/>
                          </w:rPr>
                          <w:t>1-June</w:t>
                        </w:r>
                        <w:r>
                          <w:rPr>
                            <w:sz w:val="18"/>
                            <w:szCs w:val="16"/>
                          </w:rPr>
                          <w:t xml:space="preserve"> </w:t>
                        </w:r>
                        <w:r w:rsidRPr="00430DB9">
                          <w:rPr>
                            <w:sz w:val="18"/>
                            <w:szCs w:val="16"/>
                          </w:rPr>
                          <w:t>31 2018</w:t>
                        </w:r>
                      </w:p>
                    </w:txbxContent>
                  </v:textbox>
                </v:shape>
                <w10:wrap type="square" anchorx="page"/>
              </v:group>
            </w:pict>
          </mc:Fallback>
        </mc:AlternateContent>
      </w:r>
      <w:r w:rsidR="00E50C25" w:rsidRPr="00802B02">
        <w:t>Effectiveness</w:t>
      </w:r>
      <w:bookmarkEnd w:id="14"/>
    </w:p>
    <w:p w14:paraId="4B204B01" w14:textId="77777777" w:rsidR="00CA693C" w:rsidRPr="00802B02" w:rsidRDefault="00CA7C9E" w:rsidP="00BD1C6B">
      <w:r w:rsidRPr="00802B02">
        <w:t>T</w:t>
      </w:r>
      <w:r w:rsidR="00E50C25" w:rsidRPr="00802B02">
        <w:t xml:space="preserve">here exists anecdotal </w:t>
      </w:r>
      <w:r w:rsidR="00707D1C" w:rsidRPr="00802B02">
        <w:t>evidence that</w:t>
      </w:r>
      <w:r w:rsidR="00E50C25" w:rsidRPr="00802B02">
        <w:t xml:space="preserve"> </w:t>
      </w:r>
      <w:r w:rsidR="004D786D" w:rsidRPr="00802B02">
        <w:t>beneficiaries’ behavior and attitudes towards the use of digital cash, digital savings</w:t>
      </w:r>
      <w:r w:rsidR="00DC56B3" w:rsidRPr="00802B02">
        <w:t xml:space="preserve">, </w:t>
      </w:r>
      <w:r w:rsidR="004D786D" w:rsidRPr="00802B02">
        <w:t>microfinance</w:t>
      </w:r>
      <w:r w:rsidR="00C2132E" w:rsidRPr="00802B02">
        <w:t xml:space="preserve"> </w:t>
      </w:r>
      <w:r w:rsidR="00DC56B3" w:rsidRPr="00802B02">
        <w:t xml:space="preserve">and microinsurance </w:t>
      </w:r>
      <w:r w:rsidR="004D786D" w:rsidRPr="00802B02">
        <w:t xml:space="preserve">changed due to the IAFFORD beneficiary workshop </w:t>
      </w:r>
      <w:r w:rsidR="00754D8A" w:rsidRPr="00802B02">
        <w:t>interventions</w:t>
      </w:r>
      <w:r w:rsidR="00DC56B3" w:rsidRPr="00802B02">
        <w:t xml:space="preserve"> such as financial literacy</w:t>
      </w:r>
      <w:r w:rsidR="00415778" w:rsidRPr="00802B02">
        <w:t xml:space="preserve"> </w:t>
      </w:r>
      <w:r w:rsidR="00DC56B3" w:rsidRPr="00802B02">
        <w:t>training</w:t>
      </w:r>
      <w:r w:rsidR="00754D8A" w:rsidRPr="00802B02">
        <w:t>.</w:t>
      </w:r>
      <w:r w:rsidR="00415778" w:rsidRPr="00802B02">
        <w:t xml:space="preserve"> </w:t>
      </w:r>
      <w:r w:rsidR="004D786D" w:rsidRPr="00802B02">
        <w:t xml:space="preserve">At the outcome level, there exists case-study </w:t>
      </w:r>
      <w:r w:rsidR="0009088B" w:rsidRPr="00802B02">
        <w:t xml:space="preserve">evidence </w:t>
      </w:r>
      <w:r w:rsidR="004D786D" w:rsidRPr="00802B02">
        <w:t xml:space="preserve">documenting IAFFORD interventions </w:t>
      </w:r>
      <w:r w:rsidR="0009088B" w:rsidRPr="00802B02">
        <w:t>contributing</w:t>
      </w:r>
      <w:r w:rsidR="004D786D" w:rsidRPr="00802B02">
        <w:t xml:space="preserve"> to the recovery of livelihoods post-emergency in Marawi.</w:t>
      </w:r>
      <w:r w:rsidR="00415778" w:rsidRPr="00802B02">
        <w:t xml:space="preserve"> </w:t>
      </w:r>
      <w:r w:rsidR="004B7580" w:rsidRPr="00802B02">
        <w:t>There is also evidence that the structure of th</w:t>
      </w:r>
      <w:r w:rsidR="006E166A" w:rsidRPr="00802B02">
        <w:t>e</w:t>
      </w:r>
      <w:r w:rsidR="004B7580" w:rsidRPr="00802B02">
        <w:t xml:space="preserve"> </w:t>
      </w:r>
      <w:r w:rsidR="003A42E1" w:rsidRPr="00802B02">
        <w:t xml:space="preserve">digital </w:t>
      </w:r>
      <w:r w:rsidR="004B7580" w:rsidRPr="00802B02">
        <w:t>cash transfer system</w:t>
      </w:r>
      <w:r w:rsidR="003A42E1" w:rsidRPr="00802B02">
        <w:t xml:space="preserve"> under the project</w:t>
      </w:r>
      <w:r w:rsidR="004B7580" w:rsidRPr="00802B02">
        <w:t xml:space="preserve"> </w:t>
      </w:r>
      <w:r w:rsidR="003A42E1" w:rsidRPr="00802B02">
        <w:t xml:space="preserve">resulted </w:t>
      </w:r>
      <w:r w:rsidR="006E166A" w:rsidRPr="00802B02">
        <w:t>in</w:t>
      </w:r>
      <w:r w:rsidR="003A42E1" w:rsidRPr="00802B02">
        <w:t xml:space="preserve"> </w:t>
      </w:r>
      <w:r w:rsidR="004B7580" w:rsidRPr="00802B02">
        <w:t xml:space="preserve">economic benefits </w:t>
      </w:r>
      <w:r w:rsidR="006E166A" w:rsidRPr="00802B02">
        <w:t>accruing to</w:t>
      </w:r>
      <w:r w:rsidR="004B7580" w:rsidRPr="00802B02">
        <w:t xml:space="preserve"> the local community of </w:t>
      </w:r>
      <w:r w:rsidR="004516BB" w:rsidRPr="00802B02">
        <w:t xml:space="preserve">the </w:t>
      </w:r>
      <w:r w:rsidR="004B7580" w:rsidRPr="00802B02">
        <w:t>beneficiaries</w:t>
      </w:r>
      <w:r w:rsidR="00AF3DF8">
        <w:t>.</w:t>
      </w:r>
      <w:r w:rsidR="004B7580" w:rsidRPr="00802B02">
        <w:t xml:space="preserve"> </w:t>
      </w:r>
      <w:r w:rsidR="00AF3DF8">
        <w:t>A</w:t>
      </w:r>
      <w:r w:rsidR="004B7580" w:rsidRPr="00802B02">
        <w:t xml:space="preserve">lthough there is no information available to date </w:t>
      </w:r>
      <w:r w:rsidR="00E420E5" w:rsidRPr="00802B02">
        <w:t>on</w:t>
      </w:r>
      <w:r w:rsidR="00953441" w:rsidRPr="00802B02">
        <w:t xml:space="preserve"> </w:t>
      </w:r>
      <w:r w:rsidR="003A42E1" w:rsidRPr="00802B02">
        <w:t>specific</w:t>
      </w:r>
      <w:r w:rsidR="00E420E5" w:rsidRPr="00802B02">
        <w:t xml:space="preserve"> effect</w:t>
      </w:r>
      <w:r w:rsidR="003A42E1" w:rsidRPr="00802B02">
        <w:t xml:space="preserve"> </w:t>
      </w:r>
      <w:r w:rsidR="00953441" w:rsidRPr="00802B02">
        <w:t xml:space="preserve">and </w:t>
      </w:r>
      <w:r w:rsidR="00E420E5" w:rsidRPr="00802B02">
        <w:t>a</w:t>
      </w:r>
      <w:r w:rsidR="00953441" w:rsidRPr="00802B02">
        <w:t xml:space="preserve"> way to measure the scale of </w:t>
      </w:r>
      <w:r w:rsidR="003A42E1" w:rsidRPr="00802B02">
        <w:t>these benefits</w:t>
      </w:r>
      <w:r w:rsidR="004B7580" w:rsidRPr="00802B02">
        <w:t>.</w:t>
      </w:r>
      <w:r w:rsidR="00415778" w:rsidRPr="00802B02">
        <w:t xml:space="preserve"> </w:t>
      </w:r>
      <w:r w:rsidR="000551EA" w:rsidRPr="00802B02">
        <w:t xml:space="preserve">However, </w:t>
      </w:r>
      <w:r w:rsidR="00E420E5" w:rsidRPr="00802B02">
        <w:t xml:space="preserve">without </w:t>
      </w:r>
      <w:r w:rsidR="006E166A" w:rsidRPr="00802B02">
        <w:t xml:space="preserve">data </w:t>
      </w:r>
      <w:r w:rsidR="00E420E5" w:rsidRPr="00802B02">
        <w:t>on</w:t>
      </w:r>
      <w:r w:rsidR="000551EA" w:rsidRPr="00802B02">
        <w:t xml:space="preserve"> </w:t>
      </w:r>
      <w:r w:rsidR="00E420E5" w:rsidRPr="00802B02">
        <w:t>how</w:t>
      </w:r>
      <w:r w:rsidR="000551EA" w:rsidRPr="00802B02">
        <w:t xml:space="preserve"> beneficiaries use</w:t>
      </w:r>
      <w:r w:rsidR="006E166A" w:rsidRPr="00802B02">
        <w:t>d</w:t>
      </w:r>
      <w:r w:rsidR="000551EA" w:rsidRPr="00802B02">
        <w:t xml:space="preserve"> the IAFFORD cards for cash in/cash out transactions and purchases through accredited merchants, the evaluation team can</w:t>
      </w:r>
      <w:r w:rsidR="00F652DB" w:rsidRPr="00802B02">
        <w:t xml:space="preserve"> only</w:t>
      </w:r>
      <w:r w:rsidR="000551EA" w:rsidRPr="00802B02">
        <w:t xml:space="preserve"> </w:t>
      </w:r>
      <w:r w:rsidR="00E420E5" w:rsidRPr="00802B02">
        <w:t>assume</w:t>
      </w:r>
      <w:r w:rsidR="000551EA" w:rsidRPr="00802B02">
        <w:t xml:space="preserve"> that </w:t>
      </w:r>
      <w:r w:rsidR="00F652DB" w:rsidRPr="00802B02">
        <w:t xml:space="preserve">these benefits </w:t>
      </w:r>
      <w:r w:rsidR="006E166A" w:rsidRPr="00802B02">
        <w:t>took</w:t>
      </w:r>
      <w:r w:rsidR="00E420E5" w:rsidRPr="00802B02">
        <w:t xml:space="preserve"> the</w:t>
      </w:r>
      <w:r w:rsidR="00ED21C6" w:rsidRPr="00802B02">
        <w:t xml:space="preserve"> form of </w:t>
      </w:r>
      <w:r w:rsidR="00E420E5" w:rsidRPr="00802B02">
        <w:t xml:space="preserve">an </w:t>
      </w:r>
      <w:r w:rsidR="00F652DB" w:rsidRPr="00802B02">
        <w:t>increas</w:t>
      </w:r>
      <w:r w:rsidR="006E166A" w:rsidRPr="00802B02">
        <w:t>e</w:t>
      </w:r>
      <w:r w:rsidR="00F652DB" w:rsidRPr="00802B02">
        <w:t xml:space="preserve"> in the use of </w:t>
      </w:r>
      <w:r w:rsidR="00E420E5" w:rsidRPr="00802B02">
        <w:t xml:space="preserve">digital </w:t>
      </w:r>
      <w:r w:rsidR="00F652DB" w:rsidRPr="00802B02">
        <w:t>accounts</w:t>
      </w:r>
      <w:r w:rsidR="00E420E5" w:rsidRPr="00802B02">
        <w:t xml:space="preserve"> to make </w:t>
      </w:r>
      <w:r w:rsidR="006E166A" w:rsidRPr="00802B02">
        <w:t xml:space="preserve">financial </w:t>
      </w:r>
      <w:r w:rsidR="00E420E5" w:rsidRPr="00802B02">
        <w:t>transactions versus through the exchange of cash notes</w:t>
      </w:r>
      <w:r w:rsidR="00F652DB" w:rsidRPr="00802B02">
        <w:t xml:space="preserve">. </w:t>
      </w:r>
    </w:p>
    <w:p w14:paraId="30EA51B6" w14:textId="77777777" w:rsidR="00396C32" w:rsidRPr="00802B02" w:rsidRDefault="00396C32" w:rsidP="00D30F2E">
      <w:pPr>
        <w:pStyle w:val="Heading3"/>
        <w:spacing w:after="200"/>
      </w:pPr>
      <w:bookmarkStart w:id="15" w:name="_Toc26180879"/>
      <w:bookmarkStart w:id="16" w:name="_Hlk25399994"/>
      <w:r w:rsidRPr="00802B02">
        <w:t>Effect of DCT on Beneficiaries and the Community</w:t>
      </w:r>
      <w:bookmarkEnd w:id="15"/>
    </w:p>
    <w:p w14:paraId="284D7F9F" w14:textId="77777777" w:rsidR="00E420E5" w:rsidRPr="00802B02" w:rsidRDefault="00212DB0" w:rsidP="00D30F2E">
      <w:pPr>
        <w:rPr>
          <w:lang w:val="en-CA"/>
        </w:rPr>
      </w:pPr>
      <w:r w:rsidRPr="00802B02">
        <w:rPr>
          <w:lang w:val="en-CA"/>
        </w:rPr>
        <w:t xml:space="preserve">One considerable benefit </w:t>
      </w:r>
      <w:r w:rsidR="009E4937" w:rsidRPr="00802B02">
        <w:rPr>
          <w:lang w:val="en-CA"/>
        </w:rPr>
        <w:t xml:space="preserve">reported and </w:t>
      </w:r>
      <w:r w:rsidR="00AA7A74" w:rsidRPr="00802B02">
        <w:rPr>
          <w:lang w:val="en-CA"/>
        </w:rPr>
        <w:t xml:space="preserve">validated </w:t>
      </w:r>
      <w:r w:rsidR="009E4937" w:rsidRPr="00802B02">
        <w:rPr>
          <w:lang w:val="en-CA"/>
        </w:rPr>
        <w:t xml:space="preserve">by the evaluation team </w:t>
      </w:r>
      <w:r w:rsidRPr="00802B02">
        <w:rPr>
          <w:lang w:val="en-CA"/>
        </w:rPr>
        <w:t xml:space="preserve">in using the </w:t>
      </w:r>
      <w:r w:rsidR="009E4937" w:rsidRPr="00802B02">
        <w:rPr>
          <w:lang w:val="en-CA"/>
        </w:rPr>
        <w:t>IAFFORD Project’s DCT platform</w:t>
      </w:r>
      <w:r w:rsidR="00456D2B" w:rsidRPr="00802B02">
        <w:rPr>
          <w:lang w:val="en-CA"/>
        </w:rPr>
        <w:t xml:space="preserve"> </w:t>
      </w:r>
      <w:r w:rsidR="006E166A" w:rsidRPr="00802B02">
        <w:rPr>
          <w:lang w:val="en-CA"/>
        </w:rPr>
        <w:t xml:space="preserve">is </w:t>
      </w:r>
      <w:r w:rsidR="00456D2B" w:rsidRPr="00802B02">
        <w:rPr>
          <w:lang w:val="en-CA"/>
        </w:rPr>
        <w:t xml:space="preserve">in the context of </w:t>
      </w:r>
      <w:r w:rsidR="00F544D3" w:rsidRPr="00802B02">
        <w:rPr>
          <w:lang w:val="en-CA"/>
        </w:rPr>
        <w:t>humanitarian assistance</w:t>
      </w:r>
      <w:r w:rsidR="009E4937" w:rsidRPr="00802B02">
        <w:rPr>
          <w:lang w:val="en-CA"/>
        </w:rPr>
        <w:t xml:space="preserve"> is the ease of cash aid distribution as cited in the case of </w:t>
      </w:r>
      <w:r w:rsidR="00AA7A74" w:rsidRPr="00802B02">
        <w:rPr>
          <w:lang w:val="en-CA"/>
        </w:rPr>
        <w:t xml:space="preserve">the </w:t>
      </w:r>
      <w:r w:rsidR="009E4937" w:rsidRPr="00802B02">
        <w:rPr>
          <w:lang w:val="en-CA"/>
        </w:rPr>
        <w:t xml:space="preserve">Marawi </w:t>
      </w:r>
      <w:r w:rsidR="00AA7A74" w:rsidRPr="00802B02">
        <w:rPr>
          <w:lang w:val="en-CA"/>
        </w:rPr>
        <w:t xml:space="preserve">recovery </w:t>
      </w:r>
      <w:r w:rsidR="009E4937" w:rsidRPr="00802B02">
        <w:rPr>
          <w:lang w:val="en-CA"/>
        </w:rPr>
        <w:t>interventions.</w:t>
      </w:r>
      <w:r w:rsidR="00CC6C99" w:rsidRPr="00802B02">
        <w:rPr>
          <w:lang w:val="en-CA"/>
        </w:rPr>
        <w:t xml:space="preserve"> </w:t>
      </w:r>
    </w:p>
    <w:p w14:paraId="4025BBB2" w14:textId="77777777" w:rsidR="00E76874" w:rsidRPr="00802B02" w:rsidRDefault="00CC6C99" w:rsidP="00D30F2E">
      <w:pPr>
        <w:rPr>
          <w:lang w:val="en-CA"/>
        </w:rPr>
      </w:pPr>
      <w:r w:rsidRPr="00802B02">
        <w:rPr>
          <w:lang w:val="en-CA"/>
        </w:rPr>
        <w:t xml:space="preserve">The traditional </w:t>
      </w:r>
      <w:r w:rsidR="00E420E5" w:rsidRPr="00802B02">
        <w:rPr>
          <w:lang w:val="en-CA"/>
        </w:rPr>
        <w:t>modality</w:t>
      </w:r>
      <w:r w:rsidRPr="00802B02">
        <w:rPr>
          <w:lang w:val="en-CA"/>
        </w:rPr>
        <w:t xml:space="preserve"> of physical cash distribution </w:t>
      </w:r>
      <w:r w:rsidR="00E420E5" w:rsidRPr="00802B02">
        <w:rPr>
          <w:lang w:val="en-CA"/>
        </w:rPr>
        <w:t>was</w:t>
      </w:r>
      <w:r w:rsidR="00F652DB" w:rsidRPr="00802B02">
        <w:rPr>
          <w:lang w:val="en-CA"/>
        </w:rPr>
        <w:t xml:space="preserve"> </w:t>
      </w:r>
      <w:r w:rsidR="009B52F2" w:rsidRPr="00802B02">
        <w:rPr>
          <w:lang w:val="en-CA"/>
        </w:rPr>
        <w:t xml:space="preserve">replaced with the introduction of the platform, which reduces not only the cost of distribution on the part of Oxfam but also the cost of travel </w:t>
      </w:r>
      <w:r w:rsidR="0043031D" w:rsidRPr="00802B02">
        <w:rPr>
          <w:lang w:val="en-CA"/>
        </w:rPr>
        <w:t xml:space="preserve">that could have been incurred by the beneficiaries when claiming their cash assistance. </w:t>
      </w:r>
      <w:r w:rsidR="00E76874" w:rsidRPr="00802B02">
        <w:rPr>
          <w:lang w:val="en-CA"/>
        </w:rPr>
        <w:t xml:space="preserve">Other benefits of the IAFFORD cash card are discussed below. </w:t>
      </w:r>
    </w:p>
    <w:p w14:paraId="029E79B4" w14:textId="77777777" w:rsidR="003A42E1" w:rsidRPr="00802B02" w:rsidRDefault="008327F1" w:rsidP="00D30F2E">
      <w:pPr>
        <w:rPr>
          <w:lang w:val="en-CA"/>
        </w:rPr>
      </w:pPr>
      <w:r w:rsidRPr="00802B02">
        <w:rPr>
          <w:lang w:val="en-CA"/>
        </w:rPr>
        <w:t xml:space="preserve">A similar platform </w:t>
      </w:r>
      <w:r w:rsidR="006D1CF9">
        <w:rPr>
          <w:lang w:val="en-CA"/>
        </w:rPr>
        <w:t>was</w:t>
      </w:r>
      <w:r w:rsidRPr="00802B02">
        <w:rPr>
          <w:lang w:val="en-CA"/>
        </w:rPr>
        <w:t xml:space="preserve"> adopted by the conditional cash transfer program of the DSWD in distributing its regular social protection benefits to beneficiaries. However, </w:t>
      </w:r>
      <w:r w:rsidR="00F544D3" w:rsidRPr="00802B02">
        <w:rPr>
          <w:lang w:val="en-CA"/>
        </w:rPr>
        <w:t xml:space="preserve">unlike the IAFFORD card that serves as a transactional card, </w:t>
      </w:r>
      <w:r w:rsidRPr="00802B02">
        <w:rPr>
          <w:lang w:val="en-CA"/>
        </w:rPr>
        <w:t xml:space="preserve">the card issued to the beneficiaries </w:t>
      </w:r>
      <w:r w:rsidR="00667ED1" w:rsidRPr="00802B02">
        <w:rPr>
          <w:lang w:val="en-CA"/>
        </w:rPr>
        <w:t xml:space="preserve">has </w:t>
      </w:r>
      <w:r w:rsidRPr="00802B02">
        <w:rPr>
          <w:lang w:val="en-CA"/>
        </w:rPr>
        <w:t>restrict</w:t>
      </w:r>
      <w:r w:rsidR="00667ED1" w:rsidRPr="00802B02">
        <w:rPr>
          <w:lang w:val="en-CA"/>
        </w:rPr>
        <w:t xml:space="preserve">ions as it can be used solely for cash withdrawal only from the ATM machines operated by the Land Bank of the Philippines (LBP). </w:t>
      </w:r>
      <w:r w:rsidR="00171690" w:rsidRPr="00802B02">
        <w:rPr>
          <w:lang w:val="en-CA"/>
        </w:rPr>
        <w:t xml:space="preserve">Hence, the beneficiaries </w:t>
      </w:r>
      <w:r w:rsidR="003D62EF" w:rsidRPr="00802B02">
        <w:rPr>
          <w:lang w:val="en-CA"/>
        </w:rPr>
        <w:t xml:space="preserve">must </w:t>
      </w:r>
      <w:r w:rsidR="00171690" w:rsidRPr="00802B02">
        <w:rPr>
          <w:lang w:val="en-CA"/>
        </w:rPr>
        <w:t>travel to the nearest ATM machines to withdraw their cash benefits. It must be noted that</w:t>
      </w:r>
      <w:r w:rsidR="00B81EC2" w:rsidRPr="00802B02">
        <w:rPr>
          <w:lang w:val="en-CA"/>
        </w:rPr>
        <w:t xml:space="preserve"> people from remote and vulnerable communities in the country remain unbanked in the absence of </w:t>
      </w:r>
      <w:r w:rsidR="003D62EF" w:rsidRPr="00802B02">
        <w:rPr>
          <w:lang w:val="en-CA"/>
        </w:rPr>
        <w:t xml:space="preserve">a </w:t>
      </w:r>
      <w:r w:rsidR="00B81EC2" w:rsidRPr="00802B02">
        <w:rPr>
          <w:lang w:val="en-CA"/>
        </w:rPr>
        <w:t xml:space="preserve">formal banking </w:t>
      </w:r>
      <w:r w:rsidR="003D62EF" w:rsidRPr="00802B02">
        <w:rPr>
          <w:lang w:val="en-CA"/>
        </w:rPr>
        <w:t>infrastructure</w:t>
      </w:r>
      <w:r w:rsidR="00B81EC2" w:rsidRPr="00802B02">
        <w:rPr>
          <w:lang w:val="en-CA"/>
        </w:rPr>
        <w:t xml:space="preserve"> in the </w:t>
      </w:r>
      <w:r w:rsidR="003D62EF" w:rsidRPr="00802B02">
        <w:rPr>
          <w:lang w:val="en-CA"/>
        </w:rPr>
        <w:t xml:space="preserve">municipalities and villages. </w:t>
      </w:r>
    </w:p>
    <w:p w14:paraId="14AFA04C" w14:textId="77777777" w:rsidR="00396C32" w:rsidRPr="00802B02" w:rsidRDefault="00396C32" w:rsidP="00D30F2E">
      <w:r w:rsidRPr="00802B02">
        <w:t xml:space="preserve">Given the fact that the cash contained in the cards could be redeemed and used </w:t>
      </w:r>
      <w:r w:rsidR="00AD5A9D" w:rsidRPr="00802B02">
        <w:t xml:space="preserve">for purchases </w:t>
      </w:r>
      <w:r w:rsidRPr="00802B02">
        <w:t xml:space="preserve">at community level, it is reasonable to conclude that the provision of cash digitally </w:t>
      </w:r>
      <w:r w:rsidR="00AD5A9D" w:rsidRPr="00802B02">
        <w:t xml:space="preserve">contributes </w:t>
      </w:r>
      <w:r w:rsidRPr="00802B02">
        <w:t>to the effectiveness of the interventions provided by IAFFORD</w:t>
      </w:r>
      <w:r w:rsidR="00E76874" w:rsidRPr="00802B02">
        <w:t>.</w:t>
      </w:r>
      <w:r w:rsidR="0024246B" w:rsidRPr="00802B02">
        <w:t xml:space="preserve"> </w:t>
      </w:r>
      <w:r w:rsidR="00E76874" w:rsidRPr="00802B02">
        <w:t>As mentioned above,</w:t>
      </w:r>
      <w:r w:rsidRPr="00802B02">
        <w:t xml:space="preserve"> beneficiaries</w:t>
      </w:r>
      <w:r w:rsidR="0067655A" w:rsidRPr="00802B02">
        <w:t>’</w:t>
      </w:r>
      <w:r w:rsidRPr="00802B02">
        <w:t xml:space="preserve"> </w:t>
      </w:r>
      <w:r w:rsidR="00E76874" w:rsidRPr="00802B02">
        <w:t xml:space="preserve">transaction costs were lowered because they </w:t>
      </w:r>
      <w:r w:rsidRPr="00802B02">
        <w:t>did not have to travel out of their communities to receive cash.</w:t>
      </w:r>
      <w:r w:rsidR="0024246B" w:rsidRPr="00802B02">
        <w:t xml:space="preserve"> </w:t>
      </w:r>
      <w:r w:rsidR="00E76874" w:rsidRPr="00802B02">
        <w:t xml:space="preserve">Also, as </w:t>
      </w:r>
      <w:r w:rsidRPr="00802B02">
        <w:t xml:space="preserve">cash was redeemed or exchanged by local merchants, it </w:t>
      </w:r>
      <w:r w:rsidR="00AD5A9D" w:rsidRPr="00802B02">
        <w:t xml:space="preserve">is </w:t>
      </w:r>
      <w:r w:rsidRPr="00802B02">
        <w:t>also reasonable to believe that more cash was circulated in the local economy than would have otherwise, had beneficiaries travelled to other locations to collect cash assistance.</w:t>
      </w:r>
      <w:r w:rsidR="0024246B" w:rsidRPr="00802B02">
        <w:t xml:space="preserve"> </w:t>
      </w:r>
      <w:r w:rsidRPr="00802B02">
        <w:t xml:space="preserve">Therefore, one can assume that the transaction costs of beneficiaries to receive cash assistance </w:t>
      </w:r>
      <w:r w:rsidR="00546770" w:rsidRPr="00802B02">
        <w:t xml:space="preserve">are </w:t>
      </w:r>
      <w:r w:rsidRPr="00802B02">
        <w:t xml:space="preserve">much lower using </w:t>
      </w:r>
      <w:r w:rsidR="006D238F" w:rsidRPr="00802B02">
        <w:t>the IAFFORD card</w:t>
      </w:r>
      <w:r w:rsidR="00443290" w:rsidRPr="00802B02">
        <w:t>s</w:t>
      </w:r>
      <w:r w:rsidRPr="00802B02">
        <w:t xml:space="preserve">, compared to </w:t>
      </w:r>
      <w:r w:rsidR="006D238F" w:rsidRPr="00802B02">
        <w:t>the DSWD</w:t>
      </w:r>
      <w:r w:rsidR="00443290" w:rsidRPr="00802B02">
        <w:t>’s</w:t>
      </w:r>
      <w:r w:rsidRPr="00802B02">
        <w:t xml:space="preserve"> digital cash assistance modalit</w:t>
      </w:r>
      <w:r w:rsidR="006D238F" w:rsidRPr="00802B02">
        <w:t>y</w:t>
      </w:r>
      <w:r w:rsidRPr="00802B02">
        <w:t>.</w:t>
      </w:r>
      <w:r w:rsidR="0024246B" w:rsidRPr="00802B02">
        <w:t xml:space="preserve"> </w:t>
      </w:r>
    </w:p>
    <w:p w14:paraId="30A5360A" w14:textId="77777777" w:rsidR="00396C32" w:rsidRPr="00802B02" w:rsidRDefault="00396C32" w:rsidP="00D30F2E">
      <w:r w:rsidRPr="00802B02">
        <w:t>Logically, one can also assume that vulnerable groups such as women-headed households would positively and disproportionately benefit from this reduction in transaction costs due to the added burden on these heads of household with respect to domestic responsibilities, including child-rearing.</w:t>
      </w:r>
      <w:r w:rsidR="0024246B" w:rsidRPr="00802B02">
        <w:t xml:space="preserve"> </w:t>
      </w:r>
      <w:r w:rsidRPr="00802B02">
        <w:t>Other vulnerable groups, such as the very poor would also disproportionately benefit from a reduction in transaction costs afforded by DCT at the community level, as these transaction costs would represent a higher proportion of their household income, compared to those households who are better off.</w:t>
      </w:r>
      <w:r w:rsidR="0024246B" w:rsidRPr="00802B02">
        <w:t xml:space="preserve"> </w:t>
      </w:r>
    </w:p>
    <w:p w14:paraId="4D16F17A" w14:textId="038C1711" w:rsidR="00396C32" w:rsidRDefault="00396C32" w:rsidP="00D30F2E">
      <w:r w:rsidRPr="00802B02">
        <w:t>However, these savings in transactions costs would have been somewhat offset by the fees, which was charged for the use of the IAFFORD card.</w:t>
      </w:r>
      <w:r w:rsidR="0024246B" w:rsidRPr="00802B02">
        <w:t xml:space="preserve"> </w:t>
      </w:r>
      <w:r w:rsidRPr="00802B02">
        <w:t>Therefore, the very poor would also be more affected by a DCT fee structure, given their level of household income.</w:t>
      </w:r>
      <w:r w:rsidR="0024246B" w:rsidRPr="00802B02">
        <w:t xml:space="preserve"> </w:t>
      </w:r>
      <w:r w:rsidRPr="00802B02">
        <w:t>As mentioned in the IAFFORD report itself, the structure of these fees can</w:t>
      </w:r>
      <w:r w:rsidR="003F2DD9" w:rsidRPr="00802B02">
        <w:t>,</w:t>
      </w:r>
      <w:r w:rsidRPr="00802B02">
        <w:t xml:space="preserve"> under certain circumstances serve as a disincentive in the use of a DCT platform.</w:t>
      </w:r>
      <w:r w:rsidR="0024246B" w:rsidRPr="00802B02">
        <w:t xml:space="preserve"> </w:t>
      </w:r>
    </w:p>
    <w:p w14:paraId="5B91F4C3" w14:textId="4AF38275" w:rsidR="00522838" w:rsidRDefault="00522838" w:rsidP="00522838">
      <w:pPr>
        <w:pStyle w:val="Caption"/>
        <w:keepNext/>
      </w:pPr>
      <w:r>
        <w:t xml:space="preserve">Table </w:t>
      </w:r>
      <w:r w:rsidR="00347D32">
        <w:fldChar w:fldCharType="begin"/>
      </w:r>
      <w:r w:rsidR="00347D32">
        <w:instrText xml:space="preserve"> SEQ Table \* ARABIC </w:instrText>
      </w:r>
      <w:r w:rsidR="00347D32">
        <w:fldChar w:fldCharType="separate"/>
      </w:r>
      <w:r>
        <w:rPr>
          <w:noProof/>
        </w:rPr>
        <w:t>2</w:t>
      </w:r>
      <w:r w:rsidR="00347D32">
        <w:rPr>
          <w:noProof/>
        </w:rPr>
        <w:fldChar w:fldCharType="end"/>
      </w:r>
      <w:r>
        <w:t xml:space="preserve"> IAFFORD DCT Platform Fee Structure</w:t>
      </w:r>
    </w:p>
    <w:tbl>
      <w:tblPr>
        <w:tblStyle w:val="TableGrid"/>
        <w:tblW w:w="0" w:type="auto"/>
        <w:tblLook w:val="04A0" w:firstRow="1" w:lastRow="0" w:firstColumn="1" w:lastColumn="0" w:noHBand="0" w:noVBand="1"/>
      </w:tblPr>
      <w:tblGrid>
        <w:gridCol w:w="3588"/>
        <w:gridCol w:w="1006"/>
        <w:gridCol w:w="4422"/>
      </w:tblGrid>
      <w:tr w:rsidR="00800948" w14:paraId="58C3FDFA" w14:textId="77777777" w:rsidTr="00522838">
        <w:tc>
          <w:tcPr>
            <w:tcW w:w="3588" w:type="dxa"/>
          </w:tcPr>
          <w:p w14:paraId="5E12418E" w14:textId="33B68966" w:rsidR="00800948" w:rsidRDefault="00800948" w:rsidP="00D30F2E">
            <w:r>
              <w:t>Pay Maya DCT Service</w:t>
            </w:r>
          </w:p>
        </w:tc>
        <w:tc>
          <w:tcPr>
            <w:tcW w:w="1006" w:type="dxa"/>
          </w:tcPr>
          <w:p w14:paraId="7D69BB6D" w14:textId="1D22A5BB" w:rsidR="00800948" w:rsidRDefault="00800948" w:rsidP="00D30F2E">
            <w:r>
              <w:t>Amount</w:t>
            </w:r>
          </w:p>
        </w:tc>
        <w:tc>
          <w:tcPr>
            <w:tcW w:w="4422" w:type="dxa"/>
          </w:tcPr>
          <w:p w14:paraId="5C483271" w14:textId="2B516B4D" w:rsidR="00800948" w:rsidRDefault="00800948" w:rsidP="00D30F2E">
            <w:r>
              <w:t>Comment</w:t>
            </w:r>
          </w:p>
        </w:tc>
      </w:tr>
      <w:tr w:rsidR="00800948" w14:paraId="7286B951" w14:textId="77777777" w:rsidTr="00522838">
        <w:tc>
          <w:tcPr>
            <w:tcW w:w="3588" w:type="dxa"/>
          </w:tcPr>
          <w:p w14:paraId="71F3535B" w14:textId="3E978378" w:rsidR="00800948" w:rsidRDefault="00800948" w:rsidP="00D30F2E">
            <w:r>
              <w:t>Load Cash into IAFFORD Card</w:t>
            </w:r>
          </w:p>
        </w:tc>
        <w:tc>
          <w:tcPr>
            <w:tcW w:w="1006" w:type="dxa"/>
          </w:tcPr>
          <w:p w14:paraId="1ED1CDB6" w14:textId="14F3832C" w:rsidR="00800948" w:rsidRDefault="00800948" w:rsidP="00D30F2E">
            <w:r>
              <w:t>1.5%</w:t>
            </w:r>
          </w:p>
        </w:tc>
        <w:tc>
          <w:tcPr>
            <w:tcW w:w="4422" w:type="dxa"/>
          </w:tcPr>
          <w:p w14:paraId="71CD7823" w14:textId="3DFFE40C" w:rsidR="00800948" w:rsidRDefault="00800948" w:rsidP="00D30F2E">
            <w:r>
              <w:t xml:space="preserve">… of transaction amount at SMART </w:t>
            </w:r>
            <w:r w:rsidRPr="000D5A86">
              <w:rPr>
                <w:i/>
              </w:rPr>
              <w:t>Padala</w:t>
            </w:r>
            <w:r>
              <w:t xml:space="preserve"> Centres, free at a Robinsons </w:t>
            </w:r>
            <w:r w:rsidR="00522838">
              <w:t>or SM Department Stores</w:t>
            </w:r>
            <w:r>
              <w:t xml:space="preserve"> Location</w:t>
            </w:r>
            <w:r w:rsidR="00522838">
              <w:t>s</w:t>
            </w:r>
          </w:p>
        </w:tc>
      </w:tr>
      <w:tr w:rsidR="00800948" w14:paraId="0B367596" w14:textId="77777777" w:rsidTr="00522838">
        <w:tc>
          <w:tcPr>
            <w:tcW w:w="3588" w:type="dxa"/>
          </w:tcPr>
          <w:p w14:paraId="0A4EF942" w14:textId="116779F7" w:rsidR="00800948" w:rsidRDefault="00800948" w:rsidP="00D30F2E">
            <w:r>
              <w:t>ATM Withdrawal (Land Bank)</w:t>
            </w:r>
          </w:p>
        </w:tc>
        <w:tc>
          <w:tcPr>
            <w:tcW w:w="1006" w:type="dxa"/>
          </w:tcPr>
          <w:p w14:paraId="12BD190B" w14:textId="242FA32F" w:rsidR="00800948" w:rsidRDefault="00800948" w:rsidP="00D30F2E">
            <w:r>
              <w:t>5Ph</w:t>
            </w:r>
            <w:r w:rsidR="00564110">
              <w:t>p</w:t>
            </w:r>
          </w:p>
        </w:tc>
        <w:tc>
          <w:tcPr>
            <w:tcW w:w="4422" w:type="dxa"/>
          </w:tcPr>
          <w:p w14:paraId="7B767A15" w14:textId="77777777" w:rsidR="00800948" w:rsidRDefault="00800948" w:rsidP="00D30F2E"/>
        </w:tc>
      </w:tr>
      <w:tr w:rsidR="00800948" w14:paraId="62352D41" w14:textId="77777777" w:rsidTr="00522838">
        <w:tc>
          <w:tcPr>
            <w:tcW w:w="3588" w:type="dxa"/>
          </w:tcPr>
          <w:p w14:paraId="17DD2258" w14:textId="3F61242A" w:rsidR="00800948" w:rsidRDefault="00800948" w:rsidP="00D30F2E">
            <w:r>
              <w:t>ATM Withdrawal (BancNet)</w:t>
            </w:r>
          </w:p>
        </w:tc>
        <w:tc>
          <w:tcPr>
            <w:tcW w:w="1006" w:type="dxa"/>
          </w:tcPr>
          <w:p w14:paraId="197B380D" w14:textId="30AACC3F" w:rsidR="00800948" w:rsidRDefault="00800948" w:rsidP="00D30F2E">
            <w:r>
              <w:t>15Ph</w:t>
            </w:r>
            <w:r w:rsidR="00564110">
              <w:t>p</w:t>
            </w:r>
          </w:p>
        </w:tc>
        <w:tc>
          <w:tcPr>
            <w:tcW w:w="4422" w:type="dxa"/>
          </w:tcPr>
          <w:p w14:paraId="27221966" w14:textId="77777777" w:rsidR="00800948" w:rsidRDefault="00800948" w:rsidP="00D30F2E"/>
        </w:tc>
      </w:tr>
      <w:tr w:rsidR="00800948" w14:paraId="118921C8" w14:textId="77777777" w:rsidTr="00522838">
        <w:tc>
          <w:tcPr>
            <w:tcW w:w="3588" w:type="dxa"/>
          </w:tcPr>
          <w:p w14:paraId="3DAFB974" w14:textId="69F93493" w:rsidR="00800948" w:rsidRDefault="00800948" w:rsidP="00D30F2E">
            <w:r>
              <w:t>Money Transfer</w:t>
            </w:r>
          </w:p>
        </w:tc>
        <w:tc>
          <w:tcPr>
            <w:tcW w:w="1006" w:type="dxa"/>
          </w:tcPr>
          <w:p w14:paraId="196A7CE6" w14:textId="344A603B" w:rsidR="00800948" w:rsidRDefault="00800948" w:rsidP="00D30F2E">
            <w:r>
              <w:t>1.%</w:t>
            </w:r>
          </w:p>
        </w:tc>
        <w:tc>
          <w:tcPr>
            <w:tcW w:w="4422" w:type="dxa"/>
          </w:tcPr>
          <w:p w14:paraId="254635C2" w14:textId="2A123871" w:rsidR="00800948" w:rsidRDefault="00800948" w:rsidP="00D30F2E">
            <w:r>
              <w:t>.. of transaction amount</w:t>
            </w:r>
            <w:r w:rsidR="00522838">
              <w:t>, free if Pay Maya to Pay Maya account transactions</w:t>
            </w:r>
          </w:p>
        </w:tc>
      </w:tr>
      <w:tr w:rsidR="00800948" w14:paraId="2D3002C3" w14:textId="77777777" w:rsidTr="00522838">
        <w:tc>
          <w:tcPr>
            <w:tcW w:w="3588" w:type="dxa"/>
          </w:tcPr>
          <w:p w14:paraId="74EBD44E" w14:textId="0FB65A66" w:rsidR="00800948" w:rsidRDefault="00800948" w:rsidP="00D30F2E">
            <w:r>
              <w:t xml:space="preserve">Payment for </w:t>
            </w:r>
            <w:r w:rsidR="00522838">
              <w:t>cost of goods purchased</w:t>
            </w:r>
          </w:p>
        </w:tc>
        <w:tc>
          <w:tcPr>
            <w:tcW w:w="1006" w:type="dxa"/>
          </w:tcPr>
          <w:p w14:paraId="163CB092" w14:textId="5F412E8C" w:rsidR="00800948" w:rsidRDefault="00522838" w:rsidP="00D30F2E">
            <w:r>
              <w:t>1.5%</w:t>
            </w:r>
          </w:p>
        </w:tc>
        <w:tc>
          <w:tcPr>
            <w:tcW w:w="4422" w:type="dxa"/>
          </w:tcPr>
          <w:p w14:paraId="314E8ACF" w14:textId="5ABCE878" w:rsidR="00800948" w:rsidRDefault="00522838" w:rsidP="00D30F2E">
            <w:r>
              <w:t>Via mobile payment.</w:t>
            </w:r>
          </w:p>
        </w:tc>
      </w:tr>
    </w:tbl>
    <w:p w14:paraId="043AB8FB" w14:textId="1BD9553F" w:rsidR="00E76874" w:rsidRDefault="00396C32" w:rsidP="00D47813">
      <w:pPr>
        <w:spacing w:before="200"/>
      </w:pPr>
      <w:r w:rsidRPr="00802B02">
        <w:t>From the perspective of merchants participating in the DCT network, acting as an IAFFORD agent meant a new income stream in the form of being able to top-up mobile usage of beneficiaries.</w:t>
      </w:r>
      <w:r w:rsidR="0024246B" w:rsidRPr="00802B02">
        <w:t xml:space="preserve"> </w:t>
      </w:r>
      <w:r w:rsidRPr="00802B02">
        <w:t>It is also likely that the financial and economic benefits to merchants participating in the IAFFORD DCT platform is conditional.</w:t>
      </w:r>
      <w:r w:rsidR="0024246B" w:rsidRPr="00802B02">
        <w:t xml:space="preserve"> </w:t>
      </w:r>
    </w:p>
    <w:p w14:paraId="787DCB78" w14:textId="77777777" w:rsidR="00522838" w:rsidRPr="00802B02" w:rsidRDefault="00522838" w:rsidP="00522838">
      <w:r w:rsidRPr="00802B02">
        <w:t xml:space="preserve">The need to manage liquidity for cash redemptions is a clear additional cost that the agents must absorb and could act as a disincentive to participate in a DCT network. Likewise, there are other potential elements of the IAFFORD DCT system related to merchant liquidity that could act as disincentives. </w:t>
      </w:r>
    </w:p>
    <w:p w14:paraId="5BD718A0" w14:textId="77777777" w:rsidR="00396C32" w:rsidRPr="00802B02" w:rsidRDefault="00396C32" w:rsidP="00D30F2E">
      <w:r w:rsidRPr="00802B02">
        <w:t>Key informant interviews indicate that using micro-merchants as agents for the redemption of digital cash means</w:t>
      </w:r>
      <w:r w:rsidR="003F2DD9" w:rsidRPr="00802B02">
        <w:t xml:space="preserve"> </w:t>
      </w:r>
      <w:r w:rsidR="00443290" w:rsidRPr="00802B02">
        <w:t>that participating</w:t>
      </w:r>
      <w:r w:rsidRPr="00802B02">
        <w:t xml:space="preserve"> merchants </w:t>
      </w:r>
      <w:r w:rsidR="003F2DD9" w:rsidRPr="00802B02">
        <w:t xml:space="preserve">are obliged to </w:t>
      </w:r>
      <w:r w:rsidRPr="00802B02">
        <w:t>set</w:t>
      </w:r>
      <w:r w:rsidR="00443290" w:rsidRPr="00802B02">
        <w:t xml:space="preserve"> </w:t>
      </w:r>
      <w:r w:rsidRPr="00802B02">
        <w:t xml:space="preserve">aside </w:t>
      </w:r>
      <w:r w:rsidR="003F2DD9" w:rsidRPr="00802B02">
        <w:t xml:space="preserve">a certain level </w:t>
      </w:r>
      <w:r w:rsidRPr="00802B02">
        <w:t>of cash for redemptions</w:t>
      </w:r>
      <w:r w:rsidR="003F2DD9" w:rsidRPr="00802B02">
        <w:t>,</w:t>
      </w:r>
      <w:r w:rsidRPr="00802B02">
        <w:t xml:space="preserve"> which could have been used to purchase fast-moving inventory instead.</w:t>
      </w:r>
      <w:r w:rsidR="0024246B" w:rsidRPr="00802B02">
        <w:t xml:space="preserve"> </w:t>
      </w:r>
      <w:r w:rsidRPr="00802B02">
        <w:t>Thus, participation in a DCT agent network may have a negative effect on agent cash-flow, if not managed correctly by the agent</w:t>
      </w:r>
      <w:r w:rsidR="003F2DD9" w:rsidRPr="00802B02">
        <w:t xml:space="preserve"> or in the absence of additional fund</w:t>
      </w:r>
      <w:r w:rsidR="00E76874" w:rsidRPr="00802B02">
        <w:t>s</w:t>
      </w:r>
      <w:r w:rsidR="003F2DD9" w:rsidRPr="00802B02">
        <w:t xml:space="preserve"> infusion</w:t>
      </w:r>
      <w:r w:rsidRPr="00802B02">
        <w:t>.</w:t>
      </w:r>
      <w:r w:rsidR="0024246B" w:rsidRPr="00802B02">
        <w:t xml:space="preserve"> </w:t>
      </w:r>
      <w:r w:rsidRPr="00802B02">
        <w:t xml:space="preserve">Therefore, in order to fully benefit from participation in a DCT system, agents need </w:t>
      </w:r>
      <w:r w:rsidR="00D40573" w:rsidRPr="00802B02">
        <w:t xml:space="preserve">to </w:t>
      </w:r>
      <w:r w:rsidR="00C54A4B" w:rsidRPr="00802B02">
        <w:t>improve their</w:t>
      </w:r>
      <w:r w:rsidRPr="00802B02">
        <w:t xml:space="preserve"> skills to manage the liquidity of their business, as well as other business </w:t>
      </w:r>
      <w:r w:rsidR="00D40573" w:rsidRPr="00802B02">
        <w:t xml:space="preserve">management </w:t>
      </w:r>
      <w:r w:rsidRPr="00802B02">
        <w:t>skills.</w:t>
      </w:r>
    </w:p>
    <w:p w14:paraId="3F02B9F7" w14:textId="77777777" w:rsidR="006D1CF9" w:rsidRDefault="00396C32" w:rsidP="00D30F2E">
      <w:r w:rsidRPr="00802B02">
        <w:t>In the IAFFORD DCT platform</w:t>
      </w:r>
      <w:r w:rsidR="00EE33BB" w:rsidRPr="00802B02">
        <w:t>,</w:t>
      </w:r>
      <w:r w:rsidRPr="00802B02">
        <w:t xml:space="preserve"> a monthly ceiling</w:t>
      </w:r>
      <w:r w:rsidR="00464190" w:rsidRPr="00802B02">
        <w:t xml:space="preserve"> amount</w:t>
      </w:r>
      <w:r w:rsidRPr="00802B02">
        <w:t xml:space="preserve"> is set for </w:t>
      </w:r>
      <w:r w:rsidR="00EE33BB" w:rsidRPr="00802B02">
        <w:t xml:space="preserve">the total </w:t>
      </w:r>
      <w:r w:rsidRPr="00802B02">
        <w:t>value of cash transactions</w:t>
      </w:r>
      <w:r w:rsidR="006D1CF9">
        <w:t xml:space="preserve">, of up to </w:t>
      </w:r>
      <w:r w:rsidRPr="00802B02">
        <w:t>Php 20</w:t>
      </w:r>
      <w:r w:rsidR="00CF5EC9" w:rsidRPr="00802B02">
        <w:t>0</w:t>
      </w:r>
      <w:r w:rsidRPr="00802B02">
        <w:t>,000.</w:t>
      </w:r>
      <w:r w:rsidR="0024246B" w:rsidRPr="00802B02">
        <w:t xml:space="preserve"> </w:t>
      </w:r>
      <w:r w:rsidRPr="00802B02">
        <w:t xml:space="preserve">If merchants </w:t>
      </w:r>
      <w:r w:rsidR="00CF5EC9" w:rsidRPr="00802B02">
        <w:t>reach</w:t>
      </w:r>
      <w:r w:rsidRPr="00802B02">
        <w:t xml:space="preserve"> this amount, they </w:t>
      </w:r>
      <w:r w:rsidR="00535293" w:rsidRPr="00802B02">
        <w:t>must</w:t>
      </w:r>
      <w:r w:rsidRPr="00802B02">
        <w:t xml:space="preserve"> wait for another month to resume transactions. </w:t>
      </w:r>
      <w:r w:rsidR="00535293" w:rsidRPr="00802B02">
        <w:t>This limit was</w:t>
      </w:r>
      <w:r w:rsidR="00CF5EC9" w:rsidRPr="00802B02">
        <w:t xml:space="preserve"> set by </w:t>
      </w:r>
      <w:r w:rsidR="002A4B74" w:rsidRPr="00802B02">
        <w:t xml:space="preserve">SMART Padala and </w:t>
      </w:r>
      <w:r w:rsidR="00CF5EC9" w:rsidRPr="00802B02">
        <w:t>PayMaya</w:t>
      </w:r>
      <w:r w:rsidR="002A4B74" w:rsidRPr="00802B02">
        <w:t xml:space="preserve">, </w:t>
      </w:r>
      <w:r w:rsidR="00535293" w:rsidRPr="00802B02">
        <w:t>IAFFORD’s</w:t>
      </w:r>
      <w:r w:rsidR="002A4B74" w:rsidRPr="00802B02">
        <w:t xml:space="preserve"> fintech partners.</w:t>
      </w:r>
      <w:r w:rsidR="00CF5EC9" w:rsidRPr="00802B02">
        <w:t xml:space="preserve"> </w:t>
      </w:r>
      <w:r w:rsidR="002A4B74" w:rsidRPr="00802B02">
        <w:t xml:space="preserve">Should a merchant </w:t>
      </w:r>
      <w:r w:rsidR="00464190" w:rsidRPr="00802B02">
        <w:t>want</w:t>
      </w:r>
      <w:r w:rsidR="002A4B74" w:rsidRPr="00802B02">
        <w:t xml:space="preserve"> to increase the ceiling amount, they </w:t>
      </w:r>
      <w:r w:rsidR="0026466C" w:rsidRPr="00802B02">
        <w:t xml:space="preserve">must </w:t>
      </w:r>
      <w:r w:rsidR="002A4B74" w:rsidRPr="00802B02">
        <w:t xml:space="preserve">apply for authorization, which </w:t>
      </w:r>
      <w:r w:rsidR="00535293" w:rsidRPr="00802B02">
        <w:t>includes but is not limited to</w:t>
      </w:r>
      <w:r w:rsidR="002A4B74" w:rsidRPr="00802B02">
        <w:t xml:space="preserve"> additional documentary requirements such as bank </w:t>
      </w:r>
      <w:r w:rsidR="00535293" w:rsidRPr="00802B02">
        <w:t xml:space="preserve">statements and </w:t>
      </w:r>
      <w:r w:rsidR="00C971BA" w:rsidRPr="00802B02">
        <w:t xml:space="preserve">an </w:t>
      </w:r>
      <w:r w:rsidR="002A4B74" w:rsidRPr="00802B02">
        <w:t>audited financial report</w:t>
      </w:r>
      <w:r w:rsidR="00535293" w:rsidRPr="00802B02">
        <w:t>.</w:t>
      </w:r>
      <w:r w:rsidR="0024246B" w:rsidRPr="00802B02">
        <w:t xml:space="preserve"> </w:t>
      </w:r>
    </w:p>
    <w:p w14:paraId="66A50382" w14:textId="77777777" w:rsidR="00396C32" w:rsidRPr="00802B02" w:rsidRDefault="00464190" w:rsidP="00D30F2E">
      <w:r w:rsidRPr="00802B02">
        <w:t>The</w:t>
      </w:r>
      <w:r w:rsidR="00F36BC8" w:rsidRPr="00802B02">
        <w:t xml:space="preserve"> merchants find these requirements tedious and unnecessary, considering the micro scale level of their business operations.</w:t>
      </w:r>
      <w:r w:rsidR="0024246B" w:rsidRPr="00802B02">
        <w:t xml:space="preserve"> </w:t>
      </w:r>
      <w:r w:rsidR="0025041B" w:rsidRPr="00802B02">
        <w:t xml:space="preserve">The evaluation team </w:t>
      </w:r>
      <w:r w:rsidR="0026466C" w:rsidRPr="00802B02">
        <w:t>assume</w:t>
      </w:r>
      <w:r w:rsidR="00535293" w:rsidRPr="00802B02">
        <w:t>s</w:t>
      </w:r>
      <w:r w:rsidR="0025041B" w:rsidRPr="00802B02">
        <w:t xml:space="preserve"> setting a ceiling amount is </w:t>
      </w:r>
      <w:r w:rsidR="0026466C" w:rsidRPr="00802B02">
        <w:t xml:space="preserve">a method </w:t>
      </w:r>
      <w:r w:rsidR="0025041B" w:rsidRPr="00802B02">
        <w:t>to prevent or discourage potential exploitation of the</w:t>
      </w:r>
      <w:r w:rsidR="0026466C" w:rsidRPr="00802B02">
        <w:t xml:space="preserve"> DCT platform by</w:t>
      </w:r>
      <w:r w:rsidR="0025041B" w:rsidRPr="00802B02">
        <w:t xml:space="preserve"> merchants for </w:t>
      </w:r>
      <w:r w:rsidR="00546770" w:rsidRPr="00802B02">
        <w:t xml:space="preserve">money laundering </w:t>
      </w:r>
      <w:r w:rsidR="00C971BA" w:rsidRPr="00802B02">
        <w:t xml:space="preserve">or </w:t>
      </w:r>
      <w:r w:rsidR="0026466C" w:rsidRPr="00802B02">
        <w:t xml:space="preserve">other </w:t>
      </w:r>
      <w:r w:rsidR="00546770" w:rsidRPr="00802B02">
        <w:t>illicit transactions.</w:t>
      </w:r>
      <w:r w:rsidR="0024246B" w:rsidRPr="00802B02">
        <w:t xml:space="preserve"> </w:t>
      </w:r>
      <w:r w:rsidR="00396C32" w:rsidRPr="00802B02">
        <w:t xml:space="preserve">However, when </w:t>
      </w:r>
      <w:r w:rsidR="00C971BA" w:rsidRPr="00802B02">
        <w:t xml:space="preserve">these two competing priorities are </w:t>
      </w:r>
      <w:r w:rsidR="00396C32" w:rsidRPr="00802B02">
        <w:t>combined</w:t>
      </w:r>
      <w:r w:rsidR="00C971BA" w:rsidRPr="00802B02">
        <w:t>,</w:t>
      </w:r>
      <w:r w:rsidR="00396C32" w:rsidRPr="00802B02">
        <w:t xml:space="preserve"> </w:t>
      </w:r>
      <w:r w:rsidR="00C971BA" w:rsidRPr="00802B02">
        <w:t>the result</w:t>
      </w:r>
      <w:r w:rsidR="00396C32" w:rsidRPr="00802B02">
        <w:t xml:space="preserve"> </w:t>
      </w:r>
      <w:r w:rsidR="00C971BA" w:rsidRPr="00802B02">
        <w:t xml:space="preserve">is that </w:t>
      </w:r>
      <w:r w:rsidR="00396C32" w:rsidRPr="00802B02">
        <w:t xml:space="preserve">merchants could face a </w:t>
      </w:r>
      <w:r w:rsidR="00F36BC8" w:rsidRPr="00802B02">
        <w:t xml:space="preserve">liquidity crisis. </w:t>
      </w:r>
    </w:p>
    <w:p w14:paraId="638476B4" w14:textId="77777777" w:rsidR="00396C32" w:rsidRPr="00802B02" w:rsidRDefault="00396C32" w:rsidP="00D30F2E">
      <w:r w:rsidRPr="00802B02">
        <w:t xml:space="preserve">Notwithstanding, issues described above, which </w:t>
      </w:r>
      <w:r w:rsidR="00E2601D" w:rsidRPr="00802B02">
        <w:t>may</w:t>
      </w:r>
      <w:r w:rsidRPr="00802B02">
        <w:t xml:space="preserve"> affect the long-term viability of IAFFORD’s digital cash platform</w:t>
      </w:r>
      <w:r w:rsidR="000F1889" w:rsidRPr="00802B02">
        <w:t xml:space="preserve"> (see the </w:t>
      </w:r>
      <w:r w:rsidR="000F1889" w:rsidRPr="00802B02">
        <w:rPr>
          <w:i/>
          <w:iCs/>
        </w:rPr>
        <w:t xml:space="preserve">Sustainability </w:t>
      </w:r>
      <w:r w:rsidR="000F1889" w:rsidRPr="00802B02">
        <w:t>section)</w:t>
      </w:r>
      <w:r w:rsidRPr="00802B02">
        <w:t xml:space="preserve">, in the context of livelihoods support during an emergency, it is the conclusion of this evaluation that IAFFORD did achieve its intended results </w:t>
      </w:r>
      <w:r w:rsidR="00546770" w:rsidRPr="00802B02">
        <w:t xml:space="preserve">in the context of </w:t>
      </w:r>
      <w:r w:rsidRPr="00802B02">
        <w:t xml:space="preserve">the Marawi </w:t>
      </w:r>
      <w:r w:rsidR="006D238F" w:rsidRPr="00802B02">
        <w:t>recovery intervention</w:t>
      </w:r>
      <w:r w:rsidR="00C971BA" w:rsidRPr="00802B02">
        <w:t>.</w:t>
      </w:r>
    </w:p>
    <w:p w14:paraId="6BCAC77B" w14:textId="77777777" w:rsidR="00396C32" w:rsidRPr="00802B02" w:rsidRDefault="00396C32" w:rsidP="00D9135B">
      <w:pPr>
        <w:pStyle w:val="Heading3"/>
        <w:spacing w:after="200"/>
      </w:pPr>
      <w:bookmarkStart w:id="17" w:name="_Toc26180880"/>
      <w:bookmarkEnd w:id="16"/>
      <w:r w:rsidRPr="00802B02">
        <w:t>Effect of IAFFORD Interventions Related to Financial Inclusion</w:t>
      </w:r>
      <w:bookmarkEnd w:id="17"/>
    </w:p>
    <w:p w14:paraId="5D53AFB2" w14:textId="77777777" w:rsidR="00E2155B" w:rsidRPr="00802B02" w:rsidRDefault="00396C32" w:rsidP="00D30F2E">
      <w:pPr>
        <w:rPr>
          <w:lang w:val="en-CA"/>
        </w:rPr>
      </w:pPr>
      <w:r w:rsidRPr="00802B02">
        <w:rPr>
          <w:lang w:val="en-CA"/>
        </w:rPr>
        <w:t xml:space="preserve">With respect to the use of IAFFORD’s digital cash platform </w:t>
      </w:r>
      <w:r w:rsidR="00586CF2" w:rsidRPr="00802B02">
        <w:rPr>
          <w:lang w:val="en-CA"/>
        </w:rPr>
        <w:t xml:space="preserve">in the context of </w:t>
      </w:r>
      <w:r w:rsidR="006F0319" w:rsidRPr="00802B02">
        <w:rPr>
          <w:lang w:val="en-CA"/>
        </w:rPr>
        <w:t>financial inclusion</w:t>
      </w:r>
      <w:r w:rsidRPr="00802B02">
        <w:rPr>
          <w:lang w:val="en-CA"/>
        </w:rPr>
        <w:t xml:space="preserve">, </w:t>
      </w:r>
      <w:r w:rsidR="006E37F8" w:rsidRPr="00802B02">
        <w:rPr>
          <w:lang w:val="en-CA"/>
        </w:rPr>
        <w:t>the evaluation team</w:t>
      </w:r>
      <w:r w:rsidR="00586CF2" w:rsidRPr="00802B02">
        <w:rPr>
          <w:lang w:val="en-CA"/>
        </w:rPr>
        <w:t xml:space="preserve"> focused its assessment on </w:t>
      </w:r>
      <w:r w:rsidRPr="00802B02">
        <w:rPr>
          <w:lang w:val="en-CA"/>
        </w:rPr>
        <w:t xml:space="preserve">comparing the </w:t>
      </w:r>
      <w:r w:rsidRPr="00802B02">
        <w:rPr>
          <w:i/>
          <w:iCs/>
          <w:lang w:val="en-CA"/>
        </w:rPr>
        <w:t xml:space="preserve">incremental contribution </w:t>
      </w:r>
      <w:r w:rsidRPr="00802B02">
        <w:rPr>
          <w:lang w:val="en-CA"/>
        </w:rPr>
        <w:t xml:space="preserve">of the DCT platform </w:t>
      </w:r>
      <w:r w:rsidR="006D1CF9">
        <w:rPr>
          <w:lang w:val="en-CA"/>
        </w:rPr>
        <w:t>relative to</w:t>
      </w:r>
      <w:r w:rsidRPr="00802B02">
        <w:rPr>
          <w:lang w:val="en-CA"/>
        </w:rPr>
        <w:t xml:space="preserve"> other financial inclusion interventions delivered by </w:t>
      </w:r>
      <w:r w:rsidR="002A1E87" w:rsidRPr="00802B02">
        <w:rPr>
          <w:lang w:val="en-CA"/>
        </w:rPr>
        <w:t xml:space="preserve">the </w:t>
      </w:r>
      <w:r w:rsidR="0026466C" w:rsidRPr="00802B02">
        <w:rPr>
          <w:lang w:val="en-CA"/>
        </w:rPr>
        <w:t>investment</w:t>
      </w:r>
      <w:r w:rsidRPr="00802B02">
        <w:rPr>
          <w:lang w:val="en-CA"/>
        </w:rPr>
        <w:t>.</w:t>
      </w:r>
      <w:r w:rsidR="0024246B" w:rsidRPr="00802B02">
        <w:rPr>
          <w:lang w:val="en-CA"/>
        </w:rPr>
        <w:t xml:space="preserve"> </w:t>
      </w:r>
      <w:r w:rsidR="002A1E87" w:rsidRPr="00802B02">
        <w:rPr>
          <w:lang w:val="en-CA"/>
        </w:rPr>
        <w:t>It must be noted that i</w:t>
      </w:r>
      <w:r w:rsidRPr="00802B02">
        <w:rPr>
          <w:lang w:val="en-CA"/>
        </w:rPr>
        <w:t xml:space="preserve">n addition to providing interventions with respect to the use of digital cash, </w:t>
      </w:r>
      <w:r w:rsidR="002A1E87" w:rsidRPr="00802B02">
        <w:rPr>
          <w:lang w:val="en-CA"/>
        </w:rPr>
        <w:t xml:space="preserve">the </w:t>
      </w:r>
      <w:r w:rsidR="006F0319" w:rsidRPr="00802B02">
        <w:rPr>
          <w:lang w:val="en-CA"/>
        </w:rPr>
        <w:t>investment carried</w:t>
      </w:r>
      <w:r w:rsidRPr="00802B02">
        <w:rPr>
          <w:lang w:val="en-CA"/>
        </w:rPr>
        <w:t xml:space="preserve"> out activities related to financial inclusion.</w:t>
      </w:r>
      <w:r w:rsidR="0024246B" w:rsidRPr="00802B02">
        <w:rPr>
          <w:lang w:val="en-CA"/>
        </w:rPr>
        <w:t xml:space="preserve"> </w:t>
      </w:r>
      <w:r w:rsidR="006F0319" w:rsidRPr="00802B02">
        <w:rPr>
          <w:lang w:val="en-CA"/>
        </w:rPr>
        <w:t>These took</w:t>
      </w:r>
      <w:r w:rsidRPr="00802B02">
        <w:rPr>
          <w:lang w:val="en-CA"/>
        </w:rPr>
        <w:t xml:space="preserve"> the form of organizing beneficiaries into savings groups as well as </w:t>
      </w:r>
      <w:r w:rsidR="00386F83" w:rsidRPr="00802B02">
        <w:rPr>
          <w:lang w:val="en-CA"/>
        </w:rPr>
        <w:t>providing financial</w:t>
      </w:r>
      <w:r w:rsidRPr="00802B02">
        <w:rPr>
          <w:lang w:val="en-CA"/>
        </w:rPr>
        <w:t xml:space="preserve"> </w:t>
      </w:r>
      <w:r w:rsidR="00A675E5" w:rsidRPr="00802B02">
        <w:rPr>
          <w:lang w:val="en-CA"/>
        </w:rPr>
        <w:t xml:space="preserve">and digital </w:t>
      </w:r>
      <w:r w:rsidRPr="00802B02">
        <w:rPr>
          <w:lang w:val="en-CA"/>
        </w:rPr>
        <w:t xml:space="preserve">literacy workshops </w:t>
      </w:r>
    </w:p>
    <w:p w14:paraId="6E881CCC" w14:textId="77777777" w:rsidR="0026466C" w:rsidRPr="00802B02" w:rsidRDefault="00E2155B" w:rsidP="00D30F2E">
      <w:pPr>
        <w:rPr>
          <w:lang w:val="en-CA"/>
        </w:rPr>
      </w:pPr>
      <w:r w:rsidRPr="00802B02">
        <w:rPr>
          <w:lang w:val="en-CA"/>
        </w:rPr>
        <w:t xml:space="preserve">There is ample evidence </w:t>
      </w:r>
      <w:r w:rsidR="00FB6AD7" w:rsidRPr="00802B02">
        <w:rPr>
          <w:lang w:val="en-CA"/>
        </w:rPr>
        <w:t xml:space="preserve">based on </w:t>
      </w:r>
      <w:r w:rsidRPr="00802B02">
        <w:rPr>
          <w:lang w:val="en-CA"/>
        </w:rPr>
        <w:t xml:space="preserve">beneficiary interviews that organizing </w:t>
      </w:r>
      <w:r w:rsidR="00FB52D0" w:rsidRPr="00802B02">
        <w:rPr>
          <w:lang w:val="en-CA"/>
        </w:rPr>
        <w:t xml:space="preserve">survivors from the Typhoon Haiyan </w:t>
      </w:r>
      <w:r w:rsidR="00E85204" w:rsidRPr="00802B02">
        <w:rPr>
          <w:lang w:val="en-CA"/>
        </w:rPr>
        <w:t xml:space="preserve">disaster </w:t>
      </w:r>
      <w:r w:rsidRPr="00802B02">
        <w:rPr>
          <w:lang w:val="en-CA"/>
        </w:rPr>
        <w:t>into savings groups was a transformative and an effective mechanism in building pre-and post-disaster resiliency among the poor/low income members.</w:t>
      </w:r>
      <w:r w:rsidR="0024246B" w:rsidRPr="00802B02">
        <w:rPr>
          <w:lang w:val="en-CA"/>
        </w:rPr>
        <w:t xml:space="preserve"> </w:t>
      </w:r>
      <w:r w:rsidR="006D1CF9">
        <w:rPr>
          <w:lang w:val="en-CA"/>
        </w:rPr>
        <w:t>P</w:t>
      </w:r>
      <w:r w:rsidR="002A1E87" w:rsidRPr="00802B02">
        <w:rPr>
          <w:lang w:val="en-CA"/>
        </w:rPr>
        <w:t xml:space="preserve">rior to the distribution of the IAFFORD cards, beneficiaries </w:t>
      </w:r>
      <w:r w:rsidR="006F0319" w:rsidRPr="00802B02">
        <w:rPr>
          <w:lang w:val="en-CA"/>
        </w:rPr>
        <w:t>were required to</w:t>
      </w:r>
      <w:r w:rsidR="002A1E87" w:rsidRPr="00802B02">
        <w:rPr>
          <w:lang w:val="en-CA"/>
        </w:rPr>
        <w:t xml:space="preserve"> become member</w:t>
      </w:r>
      <w:r w:rsidR="006F0319" w:rsidRPr="00802B02">
        <w:rPr>
          <w:lang w:val="en-CA"/>
        </w:rPr>
        <w:t>s</w:t>
      </w:r>
      <w:r w:rsidR="002A1E87" w:rsidRPr="00802B02">
        <w:rPr>
          <w:lang w:val="en-CA"/>
        </w:rPr>
        <w:t xml:space="preserve"> of </w:t>
      </w:r>
      <w:r w:rsidR="00E85204" w:rsidRPr="00802B02">
        <w:rPr>
          <w:lang w:val="en-CA"/>
        </w:rPr>
        <w:t xml:space="preserve">Oxfam-organized savings </w:t>
      </w:r>
      <w:r w:rsidR="002A1E87" w:rsidRPr="00802B02">
        <w:rPr>
          <w:lang w:val="en-CA"/>
        </w:rPr>
        <w:t>group</w:t>
      </w:r>
      <w:r w:rsidR="002634F5" w:rsidRPr="00802B02">
        <w:rPr>
          <w:lang w:val="en-CA"/>
        </w:rPr>
        <w:t xml:space="preserve">. </w:t>
      </w:r>
      <w:r w:rsidR="00DB123D" w:rsidRPr="00802B02">
        <w:rPr>
          <w:lang w:val="en-CA"/>
        </w:rPr>
        <w:t xml:space="preserve">In contrast to the experience in Marawi, the distributed cards </w:t>
      </w:r>
      <w:r w:rsidR="006F0319" w:rsidRPr="00802B02">
        <w:rPr>
          <w:lang w:val="en-CA"/>
        </w:rPr>
        <w:t>were</w:t>
      </w:r>
      <w:r w:rsidR="0026466C" w:rsidRPr="00802B02">
        <w:rPr>
          <w:lang w:val="en-CA"/>
        </w:rPr>
        <w:t xml:space="preserve"> not used as</w:t>
      </w:r>
      <w:r w:rsidR="00DB123D" w:rsidRPr="00802B02">
        <w:rPr>
          <w:lang w:val="en-CA"/>
        </w:rPr>
        <w:t xml:space="preserve"> </w:t>
      </w:r>
      <w:r w:rsidR="0026466C" w:rsidRPr="00802B02">
        <w:rPr>
          <w:lang w:val="en-CA"/>
        </w:rPr>
        <w:t xml:space="preserve">digital </w:t>
      </w:r>
      <w:r w:rsidR="00DB123D" w:rsidRPr="00802B02">
        <w:rPr>
          <w:lang w:val="en-CA"/>
        </w:rPr>
        <w:t xml:space="preserve">store </w:t>
      </w:r>
      <w:r w:rsidR="0026466C" w:rsidRPr="00802B02">
        <w:rPr>
          <w:lang w:val="en-CA"/>
        </w:rPr>
        <w:t xml:space="preserve">of cash </w:t>
      </w:r>
      <w:r w:rsidR="00DB123D" w:rsidRPr="00802B02">
        <w:rPr>
          <w:lang w:val="en-CA"/>
        </w:rPr>
        <w:t xml:space="preserve">value. </w:t>
      </w:r>
    </w:p>
    <w:p w14:paraId="76C5B5D7" w14:textId="77777777" w:rsidR="000779AA" w:rsidRPr="00802B02" w:rsidRDefault="006F0319" w:rsidP="00D30F2E">
      <w:pPr>
        <w:rPr>
          <w:lang w:val="en-CA"/>
        </w:rPr>
      </w:pPr>
      <w:r w:rsidRPr="00802B02">
        <w:rPr>
          <w:lang w:val="en-CA"/>
        </w:rPr>
        <w:t>Over and above</w:t>
      </w:r>
      <w:r w:rsidR="002634F5" w:rsidRPr="00802B02">
        <w:rPr>
          <w:lang w:val="en-CA"/>
        </w:rPr>
        <w:t xml:space="preserve"> the individual cards provided to the members, each group was also provided with one card, which served as a “mother” account and a savings deposit box. Both facilities were under the control of the group’s </w:t>
      </w:r>
      <w:r w:rsidR="00AE7720" w:rsidRPr="00802B02">
        <w:rPr>
          <w:lang w:val="en-CA"/>
        </w:rPr>
        <w:t>management</w:t>
      </w:r>
      <w:r w:rsidR="002634F5" w:rsidRPr="00802B02">
        <w:rPr>
          <w:lang w:val="en-CA"/>
        </w:rPr>
        <w:t xml:space="preserve">. </w:t>
      </w:r>
      <w:r w:rsidR="0026466C" w:rsidRPr="00802B02">
        <w:rPr>
          <w:lang w:val="en-CA"/>
        </w:rPr>
        <w:t>Groups instituted a practice where</w:t>
      </w:r>
      <w:r w:rsidR="00141388" w:rsidRPr="00802B02">
        <w:rPr>
          <w:lang w:val="en-CA"/>
        </w:rPr>
        <w:t xml:space="preserve"> </w:t>
      </w:r>
      <w:r w:rsidR="0026466C" w:rsidRPr="00802B02">
        <w:rPr>
          <w:lang w:val="en-CA"/>
        </w:rPr>
        <w:t xml:space="preserve">members contributed </w:t>
      </w:r>
      <w:r w:rsidR="00DE474B" w:rsidRPr="00802B02">
        <w:rPr>
          <w:lang w:val="en-CA"/>
        </w:rPr>
        <w:t xml:space="preserve">weekly </w:t>
      </w:r>
      <w:r w:rsidR="0026466C" w:rsidRPr="00802B02">
        <w:rPr>
          <w:lang w:val="en-CA"/>
        </w:rPr>
        <w:t xml:space="preserve">an agreed amount as </w:t>
      </w:r>
      <w:r w:rsidR="00DE474B" w:rsidRPr="00802B02">
        <w:rPr>
          <w:lang w:val="en-CA"/>
        </w:rPr>
        <w:t xml:space="preserve">collective </w:t>
      </w:r>
      <w:r w:rsidR="00AE7720" w:rsidRPr="00802B02">
        <w:rPr>
          <w:lang w:val="en-CA"/>
        </w:rPr>
        <w:t>savings.</w:t>
      </w:r>
      <w:r w:rsidR="00DB2A2B" w:rsidRPr="00802B02">
        <w:rPr>
          <w:lang w:val="en-CA"/>
        </w:rPr>
        <w:t xml:space="preserve"> Th</w:t>
      </w:r>
      <w:r w:rsidR="00F35221" w:rsidRPr="00802B02">
        <w:rPr>
          <w:lang w:val="en-CA"/>
        </w:rPr>
        <w:t xml:space="preserve">e collected </w:t>
      </w:r>
      <w:r w:rsidR="00E2155B" w:rsidRPr="00802B02">
        <w:rPr>
          <w:lang w:val="en-CA"/>
        </w:rPr>
        <w:t xml:space="preserve">amount </w:t>
      </w:r>
      <w:r w:rsidR="00A63EB3" w:rsidRPr="00802B02">
        <w:rPr>
          <w:lang w:val="en-CA"/>
        </w:rPr>
        <w:t>became</w:t>
      </w:r>
      <w:r w:rsidR="00DB2A2B" w:rsidRPr="00802B02">
        <w:rPr>
          <w:lang w:val="en-CA"/>
        </w:rPr>
        <w:t xml:space="preserve"> the </w:t>
      </w:r>
      <w:r w:rsidR="00F35221" w:rsidRPr="00802B02">
        <w:rPr>
          <w:lang w:val="en-CA"/>
        </w:rPr>
        <w:t>group</w:t>
      </w:r>
      <w:r w:rsidR="00A63EB3" w:rsidRPr="00802B02">
        <w:rPr>
          <w:lang w:val="en-CA"/>
        </w:rPr>
        <w:t>’s</w:t>
      </w:r>
      <w:r w:rsidR="00F35221" w:rsidRPr="00802B02">
        <w:rPr>
          <w:lang w:val="en-CA"/>
        </w:rPr>
        <w:t xml:space="preserve"> </w:t>
      </w:r>
      <w:r w:rsidR="00DB2A2B" w:rsidRPr="00802B02">
        <w:rPr>
          <w:lang w:val="en-CA"/>
        </w:rPr>
        <w:t>pool of fund</w:t>
      </w:r>
      <w:r w:rsidR="00F35221" w:rsidRPr="00802B02">
        <w:rPr>
          <w:lang w:val="en-CA"/>
        </w:rPr>
        <w:t>s</w:t>
      </w:r>
      <w:r w:rsidR="000914AB" w:rsidRPr="00802B02">
        <w:rPr>
          <w:lang w:val="en-CA"/>
        </w:rPr>
        <w:t>,</w:t>
      </w:r>
      <w:r w:rsidR="00DB2A2B" w:rsidRPr="00802B02">
        <w:rPr>
          <w:lang w:val="en-CA"/>
        </w:rPr>
        <w:t xml:space="preserve"> which </w:t>
      </w:r>
      <w:r w:rsidR="00AE7720" w:rsidRPr="00802B02">
        <w:rPr>
          <w:lang w:val="en-CA"/>
        </w:rPr>
        <w:t>is allocated</w:t>
      </w:r>
      <w:r w:rsidR="00A63EB3" w:rsidRPr="00802B02">
        <w:rPr>
          <w:lang w:val="en-CA"/>
        </w:rPr>
        <w:t xml:space="preserve"> to members</w:t>
      </w:r>
      <w:r w:rsidR="00DB2A2B" w:rsidRPr="00802B02">
        <w:rPr>
          <w:lang w:val="en-CA"/>
        </w:rPr>
        <w:t xml:space="preserve"> for reserve</w:t>
      </w:r>
      <w:r w:rsidR="000914AB" w:rsidRPr="00802B02">
        <w:rPr>
          <w:lang w:val="en-CA"/>
        </w:rPr>
        <w:t xml:space="preserve"> </w:t>
      </w:r>
      <w:r w:rsidR="00F35221" w:rsidRPr="00802B02">
        <w:rPr>
          <w:lang w:val="en-CA"/>
        </w:rPr>
        <w:t xml:space="preserve">purposes </w:t>
      </w:r>
      <w:r w:rsidR="00DB2A2B" w:rsidRPr="00802B02">
        <w:rPr>
          <w:lang w:val="en-CA"/>
        </w:rPr>
        <w:t xml:space="preserve">and lending </w:t>
      </w:r>
      <w:r w:rsidR="0001202E" w:rsidRPr="00802B02">
        <w:rPr>
          <w:lang w:val="en-CA"/>
        </w:rPr>
        <w:t>capital for</w:t>
      </w:r>
      <w:r w:rsidR="00DB2A2B" w:rsidRPr="00802B02">
        <w:rPr>
          <w:lang w:val="en-CA"/>
        </w:rPr>
        <w:t xml:space="preserve"> credit needs.</w:t>
      </w:r>
      <w:r w:rsidR="00E85204" w:rsidRPr="00802B02">
        <w:rPr>
          <w:lang w:val="en-CA"/>
        </w:rPr>
        <w:t xml:space="preserve"> While the lending capital is stored in the deposit box, t</w:t>
      </w:r>
      <w:r w:rsidR="000914AB" w:rsidRPr="00802B02">
        <w:rPr>
          <w:lang w:val="en-CA"/>
        </w:rPr>
        <w:t xml:space="preserve">he reserve fund </w:t>
      </w:r>
      <w:r w:rsidR="009F7D05" w:rsidRPr="00802B02">
        <w:rPr>
          <w:lang w:val="en-CA"/>
        </w:rPr>
        <w:t>is deposited in</w:t>
      </w:r>
      <w:r w:rsidR="000914AB" w:rsidRPr="00802B02">
        <w:rPr>
          <w:lang w:val="en-CA"/>
        </w:rPr>
        <w:t xml:space="preserve"> the IAFFORD </w:t>
      </w:r>
      <w:r w:rsidR="009F7D05" w:rsidRPr="00802B02">
        <w:rPr>
          <w:lang w:val="en-CA"/>
        </w:rPr>
        <w:t xml:space="preserve">card group </w:t>
      </w:r>
      <w:r w:rsidR="000914AB" w:rsidRPr="00802B02">
        <w:rPr>
          <w:lang w:val="en-CA"/>
        </w:rPr>
        <w:t xml:space="preserve">account. </w:t>
      </w:r>
    </w:p>
    <w:p w14:paraId="19DE0380" w14:textId="1B76C5EB" w:rsidR="00C2661D" w:rsidRDefault="0049682A" w:rsidP="00D30F2E">
      <w:pPr>
        <w:rPr>
          <w:lang w:val="en-CA"/>
        </w:rPr>
      </w:pPr>
      <w:r>
        <w:rPr>
          <w:lang w:val="en-CA"/>
        </w:rPr>
        <w:t>Although the amount of stored value in the digital account accumulates through time, it does not earn interest, because of specific BSP regulations</w:t>
      </w:r>
      <w:r>
        <w:rPr>
          <w:rStyle w:val="FootnoteReference"/>
          <w:lang w:val="en-CA"/>
        </w:rPr>
        <w:footnoteReference w:id="10"/>
      </w:r>
      <w:r>
        <w:rPr>
          <w:lang w:val="en-CA"/>
        </w:rPr>
        <w:t>.</w:t>
      </w:r>
      <w:r w:rsidR="008449C7">
        <w:rPr>
          <w:lang w:val="en-CA"/>
        </w:rPr>
        <w:t xml:space="preserve"> </w:t>
      </w:r>
      <w:r>
        <w:rPr>
          <w:lang w:val="en-CA"/>
        </w:rPr>
        <w:t>Also, the fact that the savings amount collected for lending purposes is kept within the group’s cash box and not deposited in the account of a legally recognised financial service provider, means the practice is not one considered by BSP as an indication of financial inclusion</w:t>
      </w:r>
      <w:r w:rsidR="00C2661D">
        <w:rPr>
          <w:rStyle w:val="FootnoteReference"/>
          <w:lang w:val="en-CA"/>
        </w:rPr>
        <w:footnoteReference w:id="11"/>
      </w:r>
      <w:r w:rsidR="00C2661D">
        <w:rPr>
          <w:lang w:val="en-CA"/>
        </w:rPr>
        <w:t>.</w:t>
      </w:r>
    </w:p>
    <w:p w14:paraId="75390BDB" w14:textId="77777777" w:rsidR="00EB6C8E" w:rsidRPr="00802B02" w:rsidRDefault="00FB6AD7" w:rsidP="00D30F2E">
      <w:pPr>
        <w:rPr>
          <w:lang w:val="en-CA"/>
        </w:rPr>
      </w:pPr>
      <w:r w:rsidRPr="00802B02">
        <w:rPr>
          <w:lang w:val="en-CA"/>
        </w:rPr>
        <w:t xml:space="preserve">On the other hand, </w:t>
      </w:r>
      <w:r w:rsidR="00747E4A" w:rsidRPr="00802B02">
        <w:rPr>
          <w:lang w:val="en-CA"/>
        </w:rPr>
        <w:t xml:space="preserve">the </w:t>
      </w:r>
      <w:r w:rsidR="00864E52" w:rsidRPr="00802B02">
        <w:rPr>
          <w:lang w:val="en-CA"/>
        </w:rPr>
        <w:t xml:space="preserve">savings </w:t>
      </w:r>
      <w:r w:rsidR="00747E4A" w:rsidRPr="00802B02">
        <w:rPr>
          <w:lang w:val="en-CA"/>
        </w:rPr>
        <w:t xml:space="preserve">groups </w:t>
      </w:r>
      <w:r w:rsidR="00864E52" w:rsidRPr="00802B02">
        <w:rPr>
          <w:lang w:val="en-CA"/>
        </w:rPr>
        <w:t xml:space="preserve">also instituted a </w:t>
      </w:r>
      <w:r w:rsidR="00747E4A" w:rsidRPr="00802B02">
        <w:rPr>
          <w:lang w:val="en-CA"/>
        </w:rPr>
        <w:t>lending practice</w:t>
      </w:r>
      <w:r w:rsidRPr="00802B02">
        <w:rPr>
          <w:lang w:val="en-CA"/>
        </w:rPr>
        <w:t xml:space="preserve"> of disbursing </w:t>
      </w:r>
      <w:r w:rsidR="007F00AB" w:rsidRPr="00802B02">
        <w:rPr>
          <w:lang w:val="en-CA"/>
        </w:rPr>
        <w:t>micro</w:t>
      </w:r>
      <w:r w:rsidR="00827B4B" w:rsidRPr="00802B02">
        <w:rPr>
          <w:lang w:val="en-CA"/>
        </w:rPr>
        <w:t>loans</w:t>
      </w:r>
      <w:r w:rsidR="00747E4A" w:rsidRPr="00802B02">
        <w:rPr>
          <w:lang w:val="en-CA"/>
        </w:rPr>
        <w:t xml:space="preserve"> to members</w:t>
      </w:r>
      <w:r w:rsidR="00575E2C" w:rsidRPr="00802B02">
        <w:rPr>
          <w:lang w:val="en-CA"/>
        </w:rPr>
        <w:t xml:space="preserve">, ranging from Php 1,000 to Php 20,000 (depending on the members’ need) </w:t>
      </w:r>
      <w:r w:rsidR="00864E52" w:rsidRPr="00802B02">
        <w:rPr>
          <w:lang w:val="en-CA"/>
        </w:rPr>
        <w:t>and accrued</w:t>
      </w:r>
      <w:r w:rsidR="00827B4B" w:rsidRPr="00802B02">
        <w:rPr>
          <w:lang w:val="en-CA"/>
        </w:rPr>
        <w:t xml:space="preserve"> interest</w:t>
      </w:r>
      <w:r w:rsidR="00864E52" w:rsidRPr="00802B02">
        <w:rPr>
          <w:lang w:val="en-CA"/>
        </w:rPr>
        <w:t xml:space="preserve"> at a</w:t>
      </w:r>
      <w:r w:rsidR="00827B4B" w:rsidRPr="00802B02">
        <w:rPr>
          <w:lang w:val="en-CA"/>
        </w:rPr>
        <w:t xml:space="preserve"> rate </w:t>
      </w:r>
      <w:r w:rsidR="00575E2C" w:rsidRPr="00802B02">
        <w:rPr>
          <w:lang w:val="en-CA"/>
        </w:rPr>
        <w:t xml:space="preserve">of two percent (2%) per week with a weekly repayment </w:t>
      </w:r>
      <w:r w:rsidR="000B4633" w:rsidRPr="00802B02">
        <w:rPr>
          <w:lang w:val="en-CA"/>
        </w:rPr>
        <w:t>term</w:t>
      </w:r>
      <w:r w:rsidR="00037454" w:rsidRPr="00802B02">
        <w:rPr>
          <w:lang w:val="en-CA"/>
        </w:rPr>
        <w:t>. The loan interest earned is apportioned to the group members at the end of the year</w:t>
      </w:r>
      <w:r w:rsidR="00DE29DB" w:rsidRPr="00802B02">
        <w:rPr>
          <w:lang w:val="en-CA"/>
        </w:rPr>
        <w:t xml:space="preserve"> and distributed in cash, which </w:t>
      </w:r>
      <w:r w:rsidR="00037454" w:rsidRPr="00802B02">
        <w:rPr>
          <w:lang w:val="en-CA"/>
        </w:rPr>
        <w:t>served as added income to each individual member</w:t>
      </w:r>
      <w:r w:rsidR="00DE29DB" w:rsidRPr="00802B02">
        <w:rPr>
          <w:lang w:val="en-CA"/>
        </w:rPr>
        <w:t xml:space="preserve">. While the evaluation team viewed this </w:t>
      </w:r>
      <w:r w:rsidR="001C1621" w:rsidRPr="00802B02">
        <w:rPr>
          <w:lang w:val="en-CA"/>
        </w:rPr>
        <w:t xml:space="preserve">practice </w:t>
      </w:r>
      <w:r w:rsidR="00DE29DB" w:rsidRPr="00802B02">
        <w:rPr>
          <w:lang w:val="en-CA"/>
        </w:rPr>
        <w:t xml:space="preserve">as </w:t>
      </w:r>
      <w:r w:rsidR="00864E52" w:rsidRPr="00802B02">
        <w:rPr>
          <w:lang w:val="en-CA"/>
        </w:rPr>
        <w:t>an important</w:t>
      </w:r>
      <w:r w:rsidR="00703790" w:rsidRPr="00802B02">
        <w:rPr>
          <w:lang w:val="en-CA"/>
        </w:rPr>
        <w:t xml:space="preserve"> innovation </w:t>
      </w:r>
      <w:r w:rsidR="00B20023" w:rsidRPr="00802B02">
        <w:rPr>
          <w:lang w:val="en-CA"/>
        </w:rPr>
        <w:t xml:space="preserve">to </w:t>
      </w:r>
      <w:r w:rsidR="0083235D" w:rsidRPr="00802B02">
        <w:rPr>
          <w:lang w:val="en-CA"/>
        </w:rPr>
        <w:t xml:space="preserve">ease financial </w:t>
      </w:r>
      <w:r w:rsidR="00B20023" w:rsidRPr="00802B02">
        <w:rPr>
          <w:lang w:val="en-CA"/>
        </w:rPr>
        <w:t xml:space="preserve">access, </w:t>
      </w:r>
      <w:r w:rsidR="00703790" w:rsidRPr="00802B02">
        <w:rPr>
          <w:lang w:val="en-CA"/>
        </w:rPr>
        <w:t>smooth</w:t>
      </w:r>
      <w:r w:rsidR="00184734" w:rsidRPr="00802B02">
        <w:rPr>
          <w:lang w:val="en-CA"/>
        </w:rPr>
        <w:t xml:space="preserve"> the</w:t>
      </w:r>
      <w:r w:rsidR="00747E4A" w:rsidRPr="00802B02">
        <w:rPr>
          <w:lang w:val="en-CA"/>
        </w:rPr>
        <w:t xml:space="preserve"> members’ </w:t>
      </w:r>
      <w:r w:rsidR="0083235D" w:rsidRPr="00802B02">
        <w:rPr>
          <w:lang w:val="en-CA"/>
        </w:rPr>
        <w:t>cash flow needs</w:t>
      </w:r>
      <w:r w:rsidR="00B20023" w:rsidRPr="00802B02">
        <w:rPr>
          <w:lang w:val="en-CA"/>
        </w:rPr>
        <w:t xml:space="preserve"> and gradually build resiliency and self-reliance</w:t>
      </w:r>
      <w:r w:rsidR="0083235D" w:rsidRPr="00802B02">
        <w:rPr>
          <w:lang w:val="en-CA"/>
        </w:rPr>
        <w:t xml:space="preserve">, </w:t>
      </w:r>
      <w:r w:rsidR="001C1621" w:rsidRPr="00802B02">
        <w:rPr>
          <w:lang w:val="en-CA"/>
        </w:rPr>
        <w:t xml:space="preserve">it </w:t>
      </w:r>
      <w:r w:rsidR="004D419C" w:rsidRPr="00802B02">
        <w:rPr>
          <w:lang w:val="en-CA"/>
        </w:rPr>
        <w:t xml:space="preserve">is not linked to the use of their IAFFORD cards. </w:t>
      </w:r>
      <w:r w:rsidR="00CD4137" w:rsidRPr="00802B02">
        <w:rPr>
          <w:lang w:val="en-CA"/>
        </w:rPr>
        <w:t xml:space="preserve">Beneficiaries interviewed claimed </w:t>
      </w:r>
      <w:r w:rsidR="00EE389A" w:rsidRPr="00802B02">
        <w:rPr>
          <w:lang w:val="en-CA"/>
        </w:rPr>
        <w:t>that members</w:t>
      </w:r>
      <w:r w:rsidR="004D419C" w:rsidRPr="00802B02">
        <w:rPr>
          <w:lang w:val="en-CA"/>
        </w:rPr>
        <w:t xml:space="preserve"> still prefer to </w:t>
      </w:r>
      <w:r w:rsidR="0067202B">
        <w:rPr>
          <w:lang w:val="en-CA"/>
        </w:rPr>
        <w:t>receive</w:t>
      </w:r>
      <w:r w:rsidR="004D419C" w:rsidRPr="00802B02">
        <w:rPr>
          <w:lang w:val="en-CA"/>
        </w:rPr>
        <w:t xml:space="preserve"> their loans in cash</w:t>
      </w:r>
      <w:r w:rsidR="00703790" w:rsidRPr="00802B02">
        <w:rPr>
          <w:lang w:val="en-CA"/>
        </w:rPr>
        <w:t xml:space="preserve"> notes</w:t>
      </w:r>
      <w:r w:rsidR="00914818" w:rsidRPr="00802B02">
        <w:rPr>
          <w:lang w:val="en-CA"/>
        </w:rPr>
        <w:t>.</w:t>
      </w:r>
      <w:r w:rsidR="00CD4137" w:rsidRPr="00802B02">
        <w:rPr>
          <w:lang w:val="en-CA"/>
        </w:rPr>
        <w:t xml:space="preserve"> </w:t>
      </w:r>
    </w:p>
    <w:p w14:paraId="2888BFE7" w14:textId="77777777" w:rsidR="000C39FC" w:rsidRPr="00802B02" w:rsidRDefault="000C39FC" w:rsidP="00D30F2E">
      <w:pPr>
        <w:rPr>
          <w:lang w:val="en-CA"/>
        </w:rPr>
      </w:pPr>
      <w:r w:rsidRPr="00802B02">
        <w:rPr>
          <w:lang w:val="en-CA"/>
        </w:rPr>
        <w:t xml:space="preserve">Likewise, </w:t>
      </w:r>
      <w:r w:rsidR="0071720A" w:rsidRPr="00802B02">
        <w:rPr>
          <w:lang w:val="en-CA"/>
        </w:rPr>
        <w:t>a</w:t>
      </w:r>
      <w:r w:rsidRPr="00802B02">
        <w:rPr>
          <w:lang w:val="en-CA"/>
        </w:rPr>
        <w:t xml:space="preserve">dditional IAFFORD </w:t>
      </w:r>
      <w:r w:rsidR="00386F83" w:rsidRPr="00802B02">
        <w:rPr>
          <w:lang w:val="en-CA"/>
        </w:rPr>
        <w:t>investment</w:t>
      </w:r>
      <w:r w:rsidR="00694797" w:rsidRPr="00802B02">
        <w:rPr>
          <w:lang w:val="en-CA"/>
        </w:rPr>
        <w:t xml:space="preserve">’s </w:t>
      </w:r>
      <w:r w:rsidRPr="00802B02">
        <w:rPr>
          <w:lang w:val="en-CA"/>
        </w:rPr>
        <w:t xml:space="preserve">intervention with respect to financial inclusion </w:t>
      </w:r>
      <w:r w:rsidR="0071720A" w:rsidRPr="00802B02">
        <w:rPr>
          <w:lang w:val="en-CA"/>
        </w:rPr>
        <w:t xml:space="preserve">was the </w:t>
      </w:r>
      <w:r w:rsidRPr="00802B02">
        <w:rPr>
          <w:lang w:val="en-CA"/>
        </w:rPr>
        <w:t>provi</w:t>
      </w:r>
      <w:r w:rsidR="0071720A" w:rsidRPr="00802B02">
        <w:rPr>
          <w:lang w:val="en-CA"/>
        </w:rPr>
        <w:t xml:space="preserve">sion of </w:t>
      </w:r>
      <w:r w:rsidRPr="00802B02">
        <w:rPr>
          <w:lang w:val="en-CA"/>
        </w:rPr>
        <w:t xml:space="preserve">micro-insurance to </w:t>
      </w:r>
      <w:r w:rsidR="0071720A" w:rsidRPr="00802B02">
        <w:rPr>
          <w:lang w:val="en-CA"/>
        </w:rPr>
        <w:t>the group members</w:t>
      </w:r>
      <w:r w:rsidR="00C93CC0" w:rsidRPr="00802B02">
        <w:rPr>
          <w:lang w:val="en-CA"/>
        </w:rPr>
        <w:t xml:space="preserve"> in partnership with </w:t>
      </w:r>
      <w:r w:rsidR="00694797" w:rsidRPr="00802B02">
        <w:rPr>
          <w:lang w:val="en-CA"/>
        </w:rPr>
        <w:t>OCCI</w:t>
      </w:r>
      <w:r w:rsidR="009B2F8D" w:rsidRPr="00802B02">
        <w:rPr>
          <w:lang w:val="en-CA"/>
        </w:rPr>
        <w:t xml:space="preserve">, </w:t>
      </w:r>
      <w:r w:rsidR="0031090F" w:rsidRPr="00802B02">
        <w:rPr>
          <w:lang w:val="en-CA"/>
        </w:rPr>
        <w:t xml:space="preserve">the credit and savings </w:t>
      </w:r>
      <w:r w:rsidR="009B2F8D" w:rsidRPr="00802B02">
        <w:t xml:space="preserve">cooperative administering the micro-insurance component for its </w:t>
      </w:r>
      <w:r w:rsidR="00864E52" w:rsidRPr="00802B02">
        <w:t xml:space="preserve">members. </w:t>
      </w:r>
      <w:r w:rsidR="0071720A" w:rsidRPr="00802B02">
        <w:rPr>
          <w:lang w:val="en-CA"/>
        </w:rPr>
        <w:t xml:space="preserve">Oxfam </w:t>
      </w:r>
      <w:r w:rsidR="00C93CC0" w:rsidRPr="00802B02">
        <w:rPr>
          <w:lang w:val="en-CA"/>
        </w:rPr>
        <w:t xml:space="preserve">directly paid OCCI for the </w:t>
      </w:r>
      <w:r w:rsidR="0071720A" w:rsidRPr="00802B02">
        <w:rPr>
          <w:lang w:val="en-CA"/>
        </w:rPr>
        <w:t xml:space="preserve">one-time premium </w:t>
      </w:r>
      <w:r w:rsidR="00EF791B" w:rsidRPr="00802B02">
        <w:rPr>
          <w:lang w:val="en-CA"/>
        </w:rPr>
        <w:t xml:space="preserve">amount </w:t>
      </w:r>
      <w:r w:rsidR="0071720A" w:rsidRPr="00802B02">
        <w:rPr>
          <w:lang w:val="en-CA"/>
        </w:rPr>
        <w:t>for</w:t>
      </w:r>
      <w:r w:rsidR="00694797" w:rsidRPr="00802B02">
        <w:rPr>
          <w:lang w:val="en-CA"/>
        </w:rPr>
        <w:t xml:space="preserve"> a one-year coverage</w:t>
      </w:r>
      <w:r w:rsidR="00C93CC0" w:rsidRPr="00802B02">
        <w:rPr>
          <w:lang w:val="en-CA"/>
        </w:rPr>
        <w:t xml:space="preserve"> for each member</w:t>
      </w:r>
      <w:r w:rsidRPr="00802B02">
        <w:rPr>
          <w:lang w:val="en-CA"/>
        </w:rPr>
        <w:t>.</w:t>
      </w:r>
      <w:r w:rsidR="00C93CC0" w:rsidRPr="00802B02">
        <w:rPr>
          <w:lang w:val="en-CA"/>
        </w:rPr>
        <w:t xml:space="preserve"> However,</w:t>
      </w:r>
      <w:r w:rsidR="00F60264" w:rsidRPr="00802B02">
        <w:rPr>
          <w:lang w:val="en-CA"/>
        </w:rPr>
        <w:t xml:space="preserve"> after </w:t>
      </w:r>
      <w:r w:rsidR="00C93CC0" w:rsidRPr="00802B02">
        <w:rPr>
          <w:lang w:val="en-CA"/>
        </w:rPr>
        <w:t xml:space="preserve">the </w:t>
      </w:r>
      <w:r w:rsidR="00F60264" w:rsidRPr="00802B02">
        <w:rPr>
          <w:lang w:val="en-CA"/>
        </w:rPr>
        <w:t>one-year period</w:t>
      </w:r>
      <w:r w:rsidR="00EF791B" w:rsidRPr="00802B02">
        <w:rPr>
          <w:lang w:val="en-CA"/>
        </w:rPr>
        <w:t xml:space="preserve"> </w:t>
      </w:r>
      <w:r w:rsidR="009B2F8D" w:rsidRPr="00802B02">
        <w:rPr>
          <w:lang w:val="en-CA"/>
        </w:rPr>
        <w:t>ended</w:t>
      </w:r>
      <w:r w:rsidR="00F60264" w:rsidRPr="00802B02">
        <w:rPr>
          <w:lang w:val="en-CA"/>
        </w:rPr>
        <w:t xml:space="preserve">, this was not continued despite the interest of the members to pay the premium themselves. Accordingly, there was no follow-up </w:t>
      </w:r>
      <w:r w:rsidR="00C77AA1" w:rsidRPr="00802B02">
        <w:rPr>
          <w:lang w:val="en-CA"/>
        </w:rPr>
        <w:t xml:space="preserve">made </w:t>
      </w:r>
      <w:r w:rsidR="00F60264" w:rsidRPr="00802B02">
        <w:rPr>
          <w:lang w:val="en-CA"/>
        </w:rPr>
        <w:t xml:space="preserve">from OCCI nor from Oxfam </w:t>
      </w:r>
      <w:r w:rsidR="00C77AA1" w:rsidRPr="00802B02">
        <w:rPr>
          <w:lang w:val="en-CA"/>
        </w:rPr>
        <w:t xml:space="preserve">on how to continue </w:t>
      </w:r>
      <w:r w:rsidR="00703790" w:rsidRPr="00802B02">
        <w:rPr>
          <w:lang w:val="en-CA"/>
        </w:rPr>
        <w:t>providing</w:t>
      </w:r>
      <w:r w:rsidR="009B2F8D" w:rsidRPr="00802B02">
        <w:rPr>
          <w:lang w:val="en-CA"/>
        </w:rPr>
        <w:t xml:space="preserve"> </w:t>
      </w:r>
      <w:r w:rsidR="00C77AA1" w:rsidRPr="00802B02">
        <w:rPr>
          <w:lang w:val="en-CA"/>
        </w:rPr>
        <w:t>micro-insurance</w:t>
      </w:r>
      <w:r w:rsidR="009B2F8D" w:rsidRPr="00802B02">
        <w:rPr>
          <w:lang w:val="en-CA"/>
        </w:rPr>
        <w:t xml:space="preserve"> services</w:t>
      </w:r>
      <w:r w:rsidR="00703790" w:rsidRPr="00802B02">
        <w:rPr>
          <w:lang w:val="en-CA"/>
        </w:rPr>
        <w:t xml:space="preserve"> to IAFFORD beneficiaries past the life of the</w:t>
      </w:r>
      <w:r w:rsidR="00E824DE">
        <w:rPr>
          <w:lang w:val="en-CA"/>
        </w:rPr>
        <w:t xml:space="preserve"> project.</w:t>
      </w:r>
    </w:p>
    <w:p w14:paraId="2136D7C3" w14:textId="77777777" w:rsidR="00396C32" w:rsidRPr="00802B02" w:rsidRDefault="00603308" w:rsidP="00D30F2E">
      <w:pPr>
        <w:rPr>
          <w:lang w:val="en-CA"/>
        </w:rPr>
      </w:pPr>
      <w:r w:rsidRPr="00802B02">
        <w:rPr>
          <w:lang w:val="en-CA"/>
        </w:rPr>
        <w:t>Moreover, despite the introduction of digital cash sensitization session</w:t>
      </w:r>
      <w:r w:rsidR="00703790" w:rsidRPr="00802B02">
        <w:rPr>
          <w:lang w:val="en-CA"/>
        </w:rPr>
        <w:t>s</w:t>
      </w:r>
      <w:r w:rsidRPr="00802B02">
        <w:rPr>
          <w:lang w:val="en-CA"/>
        </w:rPr>
        <w:t xml:space="preserve"> during the financial literacy workshops and inclusion of a modest digital cash component to the design of the savings groups, </w:t>
      </w:r>
      <w:r w:rsidR="00703790" w:rsidRPr="00802B02">
        <w:rPr>
          <w:lang w:val="en-CA"/>
        </w:rPr>
        <w:t>these</w:t>
      </w:r>
      <w:r w:rsidRPr="00802B02">
        <w:rPr>
          <w:lang w:val="en-CA"/>
        </w:rPr>
        <w:t xml:space="preserve"> did not translate into a </w:t>
      </w:r>
      <w:r w:rsidR="000E0401" w:rsidRPr="00802B02">
        <w:rPr>
          <w:lang w:val="en-CA"/>
        </w:rPr>
        <w:t xml:space="preserve">sustained </w:t>
      </w:r>
      <w:r w:rsidRPr="00802B02">
        <w:rPr>
          <w:lang w:val="en-CA"/>
        </w:rPr>
        <w:t xml:space="preserve">change in behavior of beneficiaries regarding digital cash over time. This </w:t>
      </w:r>
      <w:r w:rsidR="000E0401" w:rsidRPr="00802B02">
        <w:rPr>
          <w:lang w:val="en-CA"/>
        </w:rPr>
        <w:t xml:space="preserve">is manifested when the beneficiaries interviewed claimed that </w:t>
      </w:r>
      <w:r w:rsidR="00864E52" w:rsidRPr="00802B02">
        <w:rPr>
          <w:lang w:val="en-CA"/>
        </w:rPr>
        <w:t>most of</w:t>
      </w:r>
      <w:r w:rsidR="00CD4137" w:rsidRPr="00802B02">
        <w:rPr>
          <w:lang w:val="en-CA"/>
        </w:rPr>
        <w:t xml:space="preserve"> the group members were no longer using the IAFFORD cards</w:t>
      </w:r>
      <w:r w:rsidR="00EE389A" w:rsidRPr="00802B02">
        <w:rPr>
          <w:lang w:val="en-CA"/>
        </w:rPr>
        <w:t xml:space="preserve"> </w:t>
      </w:r>
      <w:r w:rsidR="000E0401" w:rsidRPr="00802B02">
        <w:rPr>
          <w:lang w:val="en-CA"/>
        </w:rPr>
        <w:t xml:space="preserve">with </w:t>
      </w:r>
      <w:r w:rsidR="00C93CC0" w:rsidRPr="00802B02">
        <w:rPr>
          <w:lang w:val="en-CA"/>
        </w:rPr>
        <w:t xml:space="preserve">most of the </w:t>
      </w:r>
      <w:r w:rsidR="000E0401" w:rsidRPr="00802B02">
        <w:rPr>
          <w:lang w:val="en-CA"/>
        </w:rPr>
        <w:t>reason</w:t>
      </w:r>
      <w:r w:rsidR="00C93CC0" w:rsidRPr="00802B02">
        <w:rPr>
          <w:lang w:val="en-CA"/>
        </w:rPr>
        <w:t>s</w:t>
      </w:r>
      <w:r w:rsidR="000E0401" w:rsidRPr="00802B02">
        <w:rPr>
          <w:lang w:val="en-CA"/>
        </w:rPr>
        <w:t xml:space="preserve"> cited </w:t>
      </w:r>
      <w:r w:rsidR="000C39FC" w:rsidRPr="00802B02">
        <w:rPr>
          <w:lang w:val="en-CA"/>
        </w:rPr>
        <w:t xml:space="preserve">as </w:t>
      </w:r>
      <w:r w:rsidR="000E0401" w:rsidRPr="00802B02">
        <w:rPr>
          <w:lang w:val="en-CA"/>
        </w:rPr>
        <w:t xml:space="preserve">the </w:t>
      </w:r>
      <w:r w:rsidR="00EE389A" w:rsidRPr="00802B02">
        <w:rPr>
          <w:lang w:val="en-CA"/>
        </w:rPr>
        <w:t xml:space="preserve">fear of losing money if electronic instructions are </w:t>
      </w:r>
      <w:r w:rsidR="00A7016B" w:rsidRPr="00802B02">
        <w:rPr>
          <w:lang w:val="en-CA"/>
        </w:rPr>
        <w:t>entered incorrectly</w:t>
      </w:r>
      <w:r w:rsidR="000C39FC" w:rsidRPr="00802B02">
        <w:rPr>
          <w:lang w:val="en-CA"/>
        </w:rPr>
        <w:t>.</w:t>
      </w:r>
      <w:r w:rsidR="0024246B" w:rsidRPr="00802B02">
        <w:rPr>
          <w:lang w:val="en-CA"/>
        </w:rPr>
        <w:t xml:space="preserve"> </w:t>
      </w:r>
    </w:p>
    <w:p w14:paraId="50001B52" w14:textId="77777777" w:rsidR="00396C32" w:rsidRPr="00802B02" w:rsidRDefault="00396C32" w:rsidP="00D47813">
      <w:pPr>
        <w:pStyle w:val="IntenseQuote"/>
        <w:spacing w:before="240" w:after="200"/>
        <w:ind w:right="96"/>
        <w:rPr>
          <w:sz w:val="20"/>
          <w:szCs w:val="20"/>
        </w:rPr>
      </w:pPr>
      <w:r w:rsidRPr="00802B02">
        <w:t>“The non-usage of the platform by the majority (78%) of the group members after the project ended, is an indication on the need for continuous digital education and shows that cash transaction is still preferred over digital cash.”</w:t>
      </w:r>
      <w:r w:rsidRPr="00802B02">
        <w:br/>
      </w:r>
      <w:r w:rsidRPr="00802B02">
        <w:rPr>
          <w:sz w:val="20"/>
          <w:szCs w:val="20"/>
        </w:rPr>
        <w:t xml:space="preserve">IAFFORD </w:t>
      </w:r>
      <w:r w:rsidR="005F363B">
        <w:rPr>
          <w:sz w:val="20"/>
          <w:szCs w:val="20"/>
        </w:rPr>
        <w:t xml:space="preserve">Evaluation </w:t>
      </w:r>
      <w:r w:rsidRPr="00802B02">
        <w:rPr>
          <w:sz w:val="20"/>
          <w:szCs w:val="20"/>
        </w:rPr>
        <w:t>Team Working Document: IAFFORD Beneficiary Interview Notes</w:t>
      </w:r>
    </w:p>
    <w:p w14:paraId="2F24FD92" w14:textId="77777777" w:rsidR="00396C32" w:rsidRDefault="00C77AA1" w:rsidP="00D30F2E">
      <w:r w:rsidRPr="00802B02">
        <w:rPr>
          <w:lang w:val="en-CA"/>
        </w:rPr>
        <w:t>Given the above</w:t>
      </w:r>
      <w:r w:rsidR="00F17D41" w:rsidRPr="00802B02">
        <w:rPr>
          <w:lang w:val="en-CA"/>
        </w:rPr>
        <w:t>-</w:t>
      </w:r>
      <w:r w:rsidRPr="00802B02">
        <w:rPr>
          <w:lang w:val="en-CA"/>
        </w:rPr>
        <w:t xml:space="preserve">mentioned </w:t>
      </w:r>
      <w:r w:rsidR="006E1E28" w:rsidRPr="00802B02">
        <w:rPr>
          <w:lang w:val="en-CA"/>
        </w:rPr>
        <w:t>findings, the</w:t>
      </w:r>
      <w:r w:rsidRPr="00802B02">
        <w:rPr>
          <w:lang w:val="en-CA"/>
        </w:rPr>
        <w:t xml:space="preserve"> evaluation team reasonably </w:t>
      </w:r>
      <w:r w:rsidR="00396C32" w:rsidRPr="00802B02">
        <w:rPr>
          <w:lang w:val="en-CA"/>
        </w:rPr>
        <w:t>assume</w:t>
      </w:r>
      <w:r w:rsidR="00072D8A" w:rsidRPr="00802B02">
        <w:rPr>
          <w:lang w:val="en-CA"/>
        </w:rPr>
        <w:t>s</w:t>
      </w:r>
      <w:r w:rsidR="00396C32" w:rsidRPr="00802B02">
        <w:rPr>
          <w:lang w:val="en-CA"/>
        </w:rPr>
        <w:t xml:space="preserve"> that whatever changes in savings behaviour manifested by beneficiaries can be </w:t>
      </w:r>
      <w:r w:rsidR="00CD65C4">
        <w:rPr>
          <w:lang w:val="en-CA"/>
        </w:rPr>
        <w:t>significantly</w:t>
      </w:r>
      <w:r w:rsidR="00EC25D8" w:rsidRPr="00802B02">
        <w:rPr>
          <w:lang w:val="en-CA"/>
        </w:rPr>
        <w:t xml:space="preserve"> </w:t>
      </w:r>
      <w:r w:rsidR="00396C32" w:rsidRPr="00802B02">
        <w:rPr>
          <w:lang w:val="en-CA"/>
        </w:rPr>
        <w:t xml:space="preserve">attributed to their organization into savings groups as well as the delivery of financial literacy, and not </w:t>
      </w:r>
      <w:r w:rsidR="00CD65C4">
        <w:rPr>
          <w:lang w:val="en-CA"/>
        </w:rPr>
        <w:t>due to</w:t>
      </w:r>
      <w:r w:rsidR="00EC25D8" w:rsidRPr="00802B02">
        <w:rPr>
          <w:lang w:val="en-CA"/>
        </w:rPr>
        <w:t xml:space="preserve"> </w:t>
      </w:r>
      <w:r w:rsidR="005178B1" w:rsidRPr="00802B02">
        <w:rPr>
          <w:lang w:val="en-CA"/>
        </w:rPr>
        <w:t xml:space="preserve">their </w:t>
      </w:r>
      <w:r w:rsidR="00CD65C4">
        <w:rPr>
          <w:lang w:val="en-CA"/>
        </w:rPr>
        <w:t>involvement</w:t>
      </w:r>
      <w:r w:rsidR="00396C32" w:rsidRPr="00802B02">
        <w:rPr>
          <w:lang w:val="en-CA"/>
        </w:rPr>
        <w:t xml:space="preserve"> in digital cash transactions.</w:t>
      </w:r>
      <w:r w:rsidR="0024246B" w:rsidRPr="00802B02">
        <w:rPr>
          <w:lang w:val="en-CA"/>
        </w:rPr>
        <w:t xml:space="preserve"> </w:t>
      </w:r>
      <w:r w:rsidR="00396C32" w:rsidRPr="00802B02">
        <w:rPr>
          <w:lang w:val="en-CA"/>
        </w:rPr>
        <w:t xml:space="preserve">This conclusion is further supported by the fact </w:t>
      </w:r>
      <w:r w:rsidR="00396C32" w:rsidRPr="00802B02">
        <w:t>that the IAFFORD card was not connected to an interest-bearing account</w:t>
      </w:r>
      <w:r w:rsidR="005178B1" w:rsidRPr="00802B02">
        <w:t xml:space="preserve"> as earlier mentioned</w:t>
      </w:r>
      <w:r w:rsidR="00396C32" w:rsidRPr="00802B02">
        <w:t>.</w:t>
      </w:r>
      <w:r w:rsidR="0024246B" w:rsidRPr="00802B02">
        <w:t xml:space="preserve"> </w:t>
      </w:r>
      <w:r w:rsidR="00396C32" w:rsidRPr="00802B02">
        <w:t xml:space="preserve">In addition, no evidence was </w:t>
      </w:r>
      <w:r w:rsidR="006E1E28" w:rsidRPr="00802B02">
        <w:t>provided to</w:t>
      </w:r>
      <w:r w:rsidR="00396C32" w:rsidRPr="00802B02">
        <w:t xml:space="preserve"> the evaluation team with respect to </w:t>
      </w:r>
      <w:r w:rsidR="005178B1" w:rsidRPr="00802B02">
        <w:t xml:space="preserve">the </w:t>
      </w:r>
      <w:r w:rsidR="00396C32" w:rsidRPr="00802B02">
        <w:t>utilization rates by IAFFORD beneficiaries of the digital financial services delivered by the Pay Maya DCT platform.</w:t>
      </w:r>
      <w:r w:rsidR="0024246B" w:rsidRPr="00802B02">
        <w:t xml:space="preserve"> </w:t>
      </w:r>
      <w:r w:rsidR="00396C32" w:rsidRPr="00802B02">
        <w:t>Th</w:t>
      </w:r>
      <w:r w:rsidR="001426C3" w:rsidRPr="00802B02">
        <w:t xml:space="preserve">e non-utilization </w:t>
      </w:r>
      <w:r w:rsidR="00396C32" w:rsidRPr="00802B02">
        <w:t xml:space="preserve">rate </w:t>
      </w:r>
      <w:r w:rsidR="001426C3" w:rsidRPr="00802B02">
        <w:t xml:space="preserve">of </w:t>
      </w:r>
      <w:r w:rsidR="00396C32" w:rsidRPr="00802B02">
        <w:t>IAFFORD card</w:t>
      </w:r>
      <w:r w:rsidR="006E1E28" w:rsidRPr="00802B02">
        <w:t>s</w:t>
      </w:r>
      <w:r w:rsidR="00396C32" w:rsidRPr="00802B02">
        <w:t xml:space="preserve"> (i.e. dormancy) </w:t>
      </w:r>
      <w:r w:rsidR="006E1E28" w:rsidRPr="00802B02">
        <w:t>could have</w:t>
      </w:r>
      <w:r w:rsidR="00396C32" w:rsidRPr="00802B02">
        <w:t xml:space="preserve"> been one definitive indicator of behavior change with respect to digital cash of IAFFORD beneficiaries.</w:t>
      </w:r>
      <w:r w:rsidR="0024246B" w:rsidRPr="00802B02">
        <w:t xml:space="preserve"> </w:t>
      </w:r>
      <w:r w:rsidR="00396C32" w:rsidRPr="00802B02">
        <w:t>Qualitative evidence derived from key informant interviews point</w:t>
      </w:r>
      <w:r w:rsidR="00EF791B" w:rsidRPr="00802B02">
        <w:t xml:space="preserve">s </w:t>
      </w:r>
      <w:r w:rsidR="00396C32" w:rsidRPr="00802B02">
        <w:t xml:space="preserve">to a reversion to </w:t>
      </w:r>
      <w:r w:rsidR="003A0C45" w:rsidRPr="00802B02">
        <w:t xml:space="preserve">complete </w:t>
      </w:r>
      <w:r w:rsidR="0080467E" w:rsidRPr="00802B02">
        <w:t>use of</w:t>
      </w:r>
      <w:r w:rsidR="00396C32" w:rsidRPr="00802B02">
        <w:t xml:space="preserve"> cash</w:t>
      </w:r>
      <w:r w:rsidR="00E2601D" w:rsidRPr="00802B02">
        <w:t xml:space="preserve"> notes</w:t>
      </w:r>
      <w:r w:rsidR="0080467E" w:rsidRPr="00802B02">
        <w:t xml:space="preserve"> </w:t>
      </w:r>
      <w:r w:rsidR="003A0C45" w:rsidRPr="00802B02">
        <w:t xml:space="preserve">for financial </w:t>
      </w:r>
      <w:r w:rsidR="00396C32" w:rsidRPr="00802B02">
        <w:t xml:space="preserve">transactions, on the part of </w:t>
      </w:r>
      <w:r w:rsidR="003A0C45" w:rsidRPr="00802B02">
        <w:t>most</w:t>
      </w:r>
      <w:r w:rsidR="00396C32" w:rsidRPr="00802B02">
        <w:t xml:space="preserve"> IAFFORD beneficiaries.</w:t>
      </w:r>
    </w:p>
    <w:p w14:paraId="39208947" w14:textId="77777777" w:rsidR="00096F04" w:rsidRPr="00802B02" w:rsidRDefault="00096F04" w:rsidP="00D30F2E">
      <w:r>
        <w:t>Based on the evidence, this evaluation notes that</w:t>
      </w:r>
      <w:r w:rsidRPr="00096F04">
        <w:t xml:space="preserve"> dormancy is a key problem with </w:t>
      </w:r>
      <w:r>
        <w:t xml:space="preserve">the IAFFORD </w:t>
      </w:r>
      <w:r w:rsidRPr="00096F04">
        <w:t>DCT</w:t>
      </w:r>
      <w:r>
        <w:t xml:space="preserve"> platform</w:t>
      </w:r>
      <w:r w:rsidRPr="00096F04">
        <w:t>. OCCI’s experience reveals that a number of beneficiaries were no longer using the IAFFORD project cards after the project ended for various reasons such as technical glitches, forgotten Personal Identification Number (PIN), weak or intermittent signal, etc. and reverted to their usual cash</w:t>
      </w:r>
      <w:r>
        <w:t xml:space="preserve"> notes-</w:t>
      </w:r>
      <w:r w:rsidRPr="00096F04">
        <w:t>based transaction.</w:t>
      </w:r>
    </w:p>
    <w:p w14:paraId="303F4E52" w14:textId="77777777" w:rsidR="00BC2377" w:rsidRPr="00802B02" w:rsidRDefault="00BC2377" w:rsidP="00D30F2E">
      <w:r w:rsidRPr="00802B02">
        <w:t xml:space="preserve">The stated aspiration of </w:t>
      </w:r>
      <w:r w:rsidR="00EF791B" w:rsidRPr="00802B02">
        <w:t xml:space="preserve">the </w:t>
      </w:r>
      <w:r w:rsidRPr="00802B02">
        <w:t>IAFFORD is that its DCT platform could be used to deliver digital financial services, specifically micro-finance and micro-insurance, thus</w:t>
      </w:r>
      <w:r w:rsidR="009B2F8D" w:rsidRPr="00802B02">
        <w:t>,</w:t>
      </w:r>
      <w:r w:rsidRPr="00802B02">
        <w:t xml:space="preserve"> improving rates of financial inclusion.</w:t>
      </w:r>
      <w:r w:rsidR="0024246B" w:rsidRPr="00802B02">
        <w:t xml:space="preserve"> </w:t>
      </w:r>
      <w:r w:rsidRPr="00802B02">
        <w:t xml:space="preserve">Given </w:t>
      </w:r>
      <w:r w:rsidR="0031090F" w:rsidRPr="00802B02">
        <w:t xml:space="preserve">the </w:t>
      </w:r>
      <w:r w:rsidRPr="00802B02">
        <w:t>rates of IAFFORD cardholder dormancy</w:t>
      </w:r>
      <w:r w:rsidR="0031090F" w:rsidRPr="00802B02">
        <w:t xml:space="preserve"> and the beneficiaries</w:t>
      </w:r>
      <w:r w:rsidR="00732011" w:rsidRPr="00802B02">
        <w:t>’</w:t>
      </w:r>
      <w:r w:rsidR="0031090F" w:rsidRPr="00802B02">
        <w:t xml:space="preserve"> preference </w:t>
      </w:r>
      <w:r w:rsidR="002A6961" w:rsidRPr="00802B02">
        <w:t>for</w:t>
      </w:r>
      <w:r w:rsidR="0031090F" w:rsidRPr="00802B02">
        <w:t xml:space="preserve"> cash </w:t>
      </w:r>
      <w:r w:rsidR="002A6961" w:rsidRPr="00802B02">
        <w:t xml:space="preserve">notes </w:t>
      </w:r>
      <w:r w:rsidR="0031090F" w:rsidRPr="00802B02">
        <w:t xml:space="preserve">transactions in their </w:t>
      </w:r>
      <w:r w:rsidR="004F6BE6" w:rsidRPr="00802B02">
        <w:t>savings collection and loans disbursement</w:t>
      </w:r>
      <w:r w:rsidRPr="00802B02">
        <w:t>, there is no reason to believe, that delivering financial services digitally would improve financial inclusion rates (as indicated by access to financial services) of IAFFORD’s intended beneficiaries.</w:t>
      </w:r>
    </w:p>
    <w:p w14:paraId="07AC7E5A" w14:textId="77777777" w:rsidR="00BC2377" w:rsidRPr="00802B02" w:rsidRDefault="00BC2377" w:rsidP="00D30F2E">
      <w:r w:rsidRPr="00802B02">
        <w:t xml:space="preserve">Furthermore, given the </w:t>
      </w:r>
      <w:r w:rsidR="00EA174D" w:rsidRPr="00802B02">
        <w:t xml:space="preserve">unqualified </w:t>
      </w:r>
      <w:r w:rsidRPr="00802B02">
        <w:t>success of IAFFORD savings groups organizing credit and savings from its own member</w:t>
      </w:r>
      <w:r w:rsidR="0092699B" w:rsidRPr="00802B02">
        <w:t>s’</w:t>
      </w:r>
      <w:r w:rsidRPr="00802B02">
        <w:t xml:space="preserve"> equity, it is not entirely clear what the added value is of using a DCT platform </w:t>
      </w:r>
      <w:r w:rsidR="0092699B" w:rsidRPr="00802B02">
        <w:t xml:space="preserve">and </w:t>
      </w:r>
      <w:r w:rsidRPr="00802B02">
        <w:t>allowing third parties to market financial products to the vulnerable and very poor</w:t>
      </w:r>
      <w:r w:rsidR="00060A46" w:rsidRPr="00802B02">
        <w:t>.</w:t>
      </w:r>
      <w:r w:rsidR="0024246B" w:rsidRPr="00802B02">
        <w:t xml:space="preserve"> </w:t>
      </w:r>
      <w:r w:rsidRPr="00802B02">
        <w:t>On the other hand, regulatory reform allowing the use of interest-bearing accounts within a DCT platform is anticipated to have a positive influence on savings behavior and is an appropriate use of a DCT platform for financial inclusion.</w:t>
      </w:r>
    </w:p>
    <w:p w14:paraId="7F77FF02" w14:textId="77777777" w:rsidR="00C0447C" w:rsidRPr="00802B02" w:rsidRDefault="00396C32" w:rsidP="00D30F2E">
      <w:r w:rsidRPr="00802B02">
        <w:t xml:space="preserve">Finally, </w:t>
      </w:r>
      <w:r w:rsidR="004F6BE6" w:rsidRPr="00802B02">
        <w:t xml:space="preserve">since </w:t>
      </w:r>
      <w:r w:rsidRPr="00802B02">
        <w:t xml:space="preserve">there </w:t>
      </w:r>
      <w:r w:rsidR="00C0447C" w:rsidRPr="00802B02">
        <w:t>is</w:t>
      </w:r>
      <w:r w:rsidR="004F6BE6" w:rsidRPr="00802B02">
        <w:t xml:space="preserve"> only</w:t>
      </w:r>
      <w:r w:rsidRPr="00802B02">
        <w:t xml:space="preserve"> anecdotal </w:t>
      </w:r>
      <w:r w:rsidR="004F6BE6" w:rsidRPr="00802B02">
        <w:t xml:space="preserve">evidence </w:t>
      </w:r>
      <w:r w:rsidRPr="00802B02">
        <w:t xml:space="preserve">and modest systematic data </w:t>
      </w:r>
      <w:r w:rsidR="004F6BE6" w:rsidRPr="00802B02">
        <w:t xml:space="preserve">available </w:t>
      </w:r>
      <w:r w:rsidRPr="00802B02">
        <w:t xml:space="preserve">to support </w:t>
      </w:r>
      <w:r w:rsidR="008405BE" w:rsidRPr="00802B02">
        <w:t xml:space="preserve">the conclusions </w:t>
      </w:r>
      <w:r w:rsidRPr="00802B02">
        <w:t>described above</w:t>
      </w:r>
      <w:r w:rsidR="004F6BE6" w:rsidRPr="00802B02">
        <w:t xml:space="preserve">, </w:t>
      </w:r>
      <w:r w:rsidR="00DE79C5" w:rsidRPr="00802B02">
        <w:t xml:space="preserve">the evaluation team is constrained </w:t>
      </w:r>
      <w:r w:rsidR="00C0447C" w:rsidRPr="00802B02">
        <w:t>by the lack of</w:t>
      </w:r>
      <w:r w:rsidR="00DE79C5" w:rsidRPr="00802B02">
        <w:t xml:space="preserve"> </w:t>
      </w:r>
      <w:r w:rsidR="004A1438" w:rsidRPr="00802B02">
        <w:t>data</w:t>
      </w:r>
      <w:r w:rsidR="00C0447C" w:rsidRPr="00802B02">
        <w:t xml:space="preserve"> to </w:t>
      </w:r>
      <w:r w:rsidR="00EA174D" w:rsidRPr="00802B02">
        <w:t>definitively</w:t>
      </w:r>
      <w:r w:rsidR="00C0447C" w:rsidRPr="00802B02">
        <w:t xml:space="preserve"> </w:t>
      </w:r>
      <w:r w:rsidRPr="00802B02">
        <w:t xml:space="preserve">measure the magnitude of the effects described in this </w:t>
      </w:r>
      <w:r w:rsidR="00DE79C5" w:rsidRPr="00802B02">
        <w:t xml:space="preserve">evaluation. </w:t>
      </w:r>
    </w:p>
    <w:p w14:paraId="397EF866" w14:textId="77777777" w:rsidR="00396C32" w:rsidRPr="00802B02" w:rsidRDefault="00C0447C" w:rsidP="00D30F2E">
      <w:r w:rsidRPr="00802B02">
        <w:t>Nonetheless</w:t>
      </w:r>
      <w:r w:rsidR="00DE79C5" w:rsidRPr="00802B02">
        <w:t xml:space="preserve">, the </w:t>
      </w:r>
      <w:r w:rsidR="00396C32" w:rsidRPr="00802B02">
        <w:t xml:space="preserve">evaluation </w:t>
      </w:r>
      <w:r w:rsidR="00DE79C5" w:rsidRPr="00802B02">
        <w:t xml:space="preserve">team </w:t>
      </w:r>
      <w:r w:rsidR="00396C32" w:rsidRPr="00802B02">
        <w:t xml:space="preserve">concludes that </w:t>
      </w:r>
      <w:r w:rsidR="00DE79C5" w:rsidRPr="00802B02">
        <w:t xml:space="preserve">the </w:t>
      </w:r>
      <w:r w:rsidR="00396C32" w:rsidRPr="00802B02">
        <w:t>IAFFORD</w:t>
      </w:r>
      <w:r w:rsidR="00DE79C5" w:rsidRPr="00802B02">
        <w:t xml:space="preserve"> </w:t>
      </w:r>
      <w:r w:rsidR="00386F83" w:rsidRPr="00802B02">
        <w:t>Investment</w:t>
      </w:r>
      <w:r w:rsidR="00396C32" w:rsidRPr="00802B02">
        <w:t xml:space="preserve"> did achieve </w:t>
      </w:r>
      <w:r w:rsidR="00C8050C" w:rsidRPr="00802B02">
        <w:t xml:space="preserve">transformative </w:t>
      </w:r>
      <w:r w:rsidR="00396C32" w:rsidRPr="00802B02">
        <w:t>results with respect to financial inclusion.</w:t>
      </w:r>
      <w:r w:rsidR="0024246B" w:rsidRPr="00802B02">
        <w:t xml:space="preserve"> </w:t>
      </w:r>
      <w:r w:rsidR="00396C32" w:rsidRPr="00802B02">
        <w:t>Th</w:t>
      </w:r>
      <w:r w:rsidR="00214CF5" w:rsidRPr="00802B02">
        <w:t>e important qualification is that</w:t>
      </w:r>
      <w:r w:rsidR="00396C32" w:rsidRPr="00802B02">
        <w:t xml:space="preserve"> </w:t>
      </w:r>
      <w:r w:rsidR="00EA174D" w:rsidRPr="00802B02">
        <w:t xml:space="preserve">the </w:t>
      </w:r>
      <w:r w:rsidR="00396C32" w:rsidRPr="00802B02">
        <w:t>IAFFORD</w:t>
      </w:r>
      <w:r w:rsidR="00214CF5" w:rsidRPr="00802B02">
        <w:t xml:space="preserve"> </w:t>
      </w:r>
      <w:r w:rsidR="00EE3985" w:rsidRPr="00802B02">
        <w:t>DCT</w:t>
      </w:r>
      <w:r w:rsidR="00396C32" w:rsidRPr="00802B02">
        <w:t xml:space="preserve"> platform contribute</w:t>
      </w:r>
      <w:r w:rsidR="00C8050C" w:rsidRPr="00802B02">
        <w:t>d</w:t>
      </w:r>
      <w:r w:rsidR="00396C32" w:rsidRPr="00802B02">
        <w:t xml:space="preserve"> </w:t>
      </w:r>
      <w:r w:rsidR="00EE3985" w:rsidRPr="00802B02">
        <w:t xml:space="preserve">minimally </w:t>
      </w:r>
      <w:r w:rsidR="00CD65C4">
        <w:t xml:space="preserve">(if at all) </w:t>
      </w:r>
      <w:r w:rsidR="00396C32" w:rsidRPr="00802B02">
        <w:t xml:space="preserve">to </w:t>
      </w:r>
      <w:r w:rsidR="00BC2377" w:rsidRPr="00802B02">
        <w:t>improved savings behavior of beneficiaries.</w:t>
      </w:r>
      <w:r w:rsidR="0024246B" w:rsidRPr="00802B02">
        <w:t xml:space="preserve"> </w:t>
      </w:r>
      <w:r w:rsidR="00060A46" w:rsidRPr="00802B02">
        <w:t xml:space="preserve">Also, given the evidence above, there is no reason to believe that including a DCT component </w:t>
      </w:r>
      <w:r w:rsidR="00CD65C4">
        <w:t xml:space="preserve">as a complement </w:t>
      </w:r>
      <w:r w:rsidR="00060A46" w:rsidRPr="00802B02">
        <w:t xml:space="preserve">to other types of financial inclusion interventions would make an incremental contribution to </w:t>
      </w:r>
      <w:r w:rsidR="003E1C13" w:rsidRPr="00802B02">
        <w:t xml:space="preserve">the </w:t>
      </w:r>
      <w:r w:rsidR="00060A46" w:rsidRPr="00802B02">
        <w:t>financial inclusion</w:t>
      </w:r>
      <w:r w:rsidR="00C8050C" w:rsidRPr="00802B02">
        <w:t xml:space="preserve"> </w:t>
      </w:r>
      <w:r w:rsidR="003E1C13" w:rsidRPr="00802B02">
        <w:t xml:space="preserve">rate </w:t>
      </w:r>
      <w:r w:rsidR="00C8050C" w:rsidRPr="00802B02">
        <w:t xml:space="preserve">with respect to </w:t>
      </w:r>
      <w:r w:rsidR="004A1438" w:rsidRPr="00802B02">
        <w:t xml:space="preserve">accessing </w:t>
      </w:r>
      <w:r w:rsidR="00C8050C" w:rsidRPr="00802B02">
        <w:t xml:space="preserve">financial </w:t>
      </w:r>
      <w:r w:rsidR="003E1C13" w:rsidRPr="00802B02">
        <w:t xml:space="preserve">products and </w:t>
      </w:r>
      <w:r w:rsidR="00C8050C" w:rsidRPr="00802B02">
        <w:t>services</w:t>
      </w:r>
      <w:r w:rsidR="00060A46" w:rsidRPr="00802B02">
        <w:t>.</w:t>
      </w:r>
      <w:r w:rsidR="00CC529B" w:rsidRPr="00802B02">
        <w:t xml:space="preserve"> </w:t>
      </w:r>
    </w:p>
    <w:p w14:paraId="570C2085" w14:textId="77777777" w:rsidR="0009088B" w:rsidRPr="00802B02" w:rsidRDefault="0009088B" w:rsidP="00BD1C6B">
      <w:pPr>
        <w:pStyle w:val="Heading2"/>
      </w:pPr>
      <w:bookmarkStart w:id="18" w:name="_Toc26180881"/>
      <w:r w:rsidRPr="00802B02">
        <w:t>Efficiency</w:t>
      </w:r>
      <w:bookmarkEnd w:id="18"/>
    </w:p>
    <w:p w14:paraId="07486264" w14:textId="77777777" w:rsidR="006433D3" w:rsidRPr="00802B02" w:rsidRDefault="00CA7C9E" w:rsidP="00BD1C6B">
      <w:r w:rsidRPr="00802B02">
        <w:t>At the output level, there is strong evidence that</w:t>
      </w:r>
      <w:r w:rsidR="00117F3F" w:rsidRPr="00802B02">
        <w:t xml:space="preserve"> </w:t>
      </w:r>
      <w:r w:rsidRPr="00802B02">
        <w:t>IAFFORD</w:t>
      </w:r>
      <w:r w:rsidR="00595C79" w:rsidRPr="00802B02">
        <w:t xml:space="preserve"> exceeded</w:t>
      </w:r>
      <w:r w:rsidRPr="00802B02">
        <w:t xml:space="preserve"> its</w:t>
      </w:r>
      <w:r w:rsidR="00EA174D" w:rsidRPr="00802B02">
        <w:t xml:space="preserve"> </w:t>
      </w:r>
      <w:r w:rsidR="00595C79" w:rsidRPr="00802B02">
        <w:t>revised targets</w:t>
      </w:r>
      <w:r w:rsidRPr="00802B02">
        <w:t xml:space="preserve"> for beneficiary enrolment in the DCT platform</w:t>
      </w:r>
      <w:r w:rsidR="004D2FAA" w:rsidRPr="00802B02">
        <w:t xml:space="preserve"> as shown in Table 1</w:t>
      </w:r>
      <w:r w:rsidRPr="00802B02">
        <w:t>.</w:t>
      </w:r>
      <w:r w:rsidR="00415778" w:rsidRPr="00802B02">
        <w:t xml:space="preserve"> </w:t>
      </w:r>
      <w:r w:rsidR="00117F3F" w:rsidRPr="00802B02">
        <w:t>However, i</w:t>
      </w:r>
      <w:r w:rsidR="00A84934" w:rsidRPr="00802B02">
        <w:t xml:space="preserve">t must be noted </w:t>
      </w:r>
      <w:r w:rsidR="004D2FAA" w:rsidRPr="00802B02">
        <w:t xml:space="preserve">the original target number of beneficiaries stipulated in the Oxfam proposal was 50,000 instead of 35,000 </w:t>
      </w:r>
      <w:r w:rsidR="00C0447C" w:rsidRPr="00802B02">
        <w:t>beneficiaries</w:t>
      </w:r>
      <w:r w:rsidR="004D2FAA" w:rsidRPr="00802B02">
        <w:t>.</w:t>
      </w:r>
      <w:r w:rsidR="00E335F3" w:rsidRPr="00802B02">
        <w:t xml:space="preserve"> </w:t>
      </w:r>
      <w:r w:rsidR="00117F3F" w:rsidRPr="00802B02">
        <w:t xml:space="preserve">As mentioned in the introductory section of this report, the change of geographical focus </w:t>
      </w:r>
      <w:r w:rsidR="00F64DE1" w:rsidRPr="00802B02">
        <w:t>(from Eastern Visayas to Marawi) and context (from development to recovery assistance) duri</w:t>
      </w:r>
      <w:r w:rsidR="00117F3F" w:rsidRPr="00802B02">
        <w:t>ng the mid-</w:t>
      </w:r>
      <w:r w:rsidR="00386F83" w:rsidRPr="00802B02">
        <w:t>investment</w:t>
      </w:r>
      <w:r w:rsidR="00117F3F" w:rsidRPr="00802B02">
        <w:t xml:space="preserve"> implementation </w:t>
      </w:r>
      <w:r w:rsidR="00F64DE1" w:rsidRPr="00802B02">
        <w:t>upon the request of DFAT</w:t>
      </w:r>
      <w:r w:rsidR="00374800" w:rsidRPr="00802B02">
        <w:t>,</w:t>
      </w:r>
      <w:r w:rsidR="00F64DE1" w:rsidRPr="00802B02">
        <w:t xml:space="preserve"> </w:t>
      </w:r>
      <w:r w:rsidR="009D4588" w:rsidRPr="00802B02">
        <w:t xml:space="preserve">prompted Oxfam to adjust </w:t>
      </w:r>
      <w:r w:rsidR="006433D3" w:rsidRPr="00802B02">
        <w:t>downward</w:t>
      </w:r>
      <w:r w:rsidR="00C0447C" w:rsidRPr="00802B02">
        <w:t xml:space="preserve"> </w:t>
      </w:r>
      <w:r w:rsidR="009D4588" w:rsidRPr="00802B02">
        <w:t xml:space="preserve">the target number of beneficiaries. This </w:t>
      </w:r>
      <w:r w:rsidR="00595C79" w:rsidRPr="00802B02">
        <w:t>downward revision can also be justified</w:t>
      </w:r>
      <w:r w:rsidR="009D4588" w:rsidRPr="00802B02">
        <w:t xml:space="preserve"> </w:t>
      </w:r>
      <w:r w:rsidR="006433D3" w:rsidRPr="00802B02">
        <w:t>by</w:t>
      </w:r>
      <w:r w:rsidR="009D4588" w:rsidRPr="00802B02">
        <w:t xml:space="preserve"> the limited duration of time remaining before the </w:t>
      </w:r>
      <w:r w:rsidR="00386F83" w:rsidRPr="00802B02">
        <w:t>investment</w:t>
      </w:r>
      <w:r w:rsidR="009D4588" w:rsidRPr="00802B02">
        <w:t xml:space="preserve"> ended. Despite </w:t>
      </w:r>
      <w:r w:rsidR="006433D3" w:rsidRPr="00802B02">
        <w:t>these</w:t>
      </w:r>
      <w:r w:rsidR="009D4588" w:rsidRPr="00802B02">
        <w:t xml:space="preserve"> </w:t>
      </w:r>
      <w:r w:rsidR="001E1C70" w:rsidRPr="00802B02">
        <w:t>unforeseen changes</w:t>
      </w:r>
      <w:r w:rsidR="00F64DE1" w:rsidRPr="00802B02">
        <w:t xml:space="preserve">, </w:t>
      </w:r>
      <w:r w:rsidR="001E1C70" w:rsidRPr="00802B02">
        <w:t xml:space="preserve">Oxfam </w:t>
      </w:r>
      <w:r w:rsidR="006433D3" w:rsidRPr="00802B02">
        <w:t>exceeded</w:t>
      </w:r>
      <w:r w:rsidR="001E1C70" w:rsidRPr="00802B02">
        <w:t xml:space="preserve"> </w:t>
      </w:r>
      <w:r w:rsidR="00C0447C" w:rsidRPr="00802B02">
        <w:t xml:space="preserve">its </w:t>
      </w:r>
      <w:r w:rsidR="001E1C70" w:rsidRPr="00802B02">
        <w:t xml:space="preserve">adjusted targets. </w:t>
      </w:r>
    </w:p>
    <w:p w14:paraId="7EF34228" w14:textId="77777777" w:rsidR="00374800" w:rsidRPr="00802B02" w:rsidRDefault="001E1C70" w:rsidP="00BD1C6B">
      <w:r w:rsidRPr="00802B02">
        <w:t xml:space="preserve">The evaluation team viewed </w:t>
      </w:r>
      <w:r w:rsidR="00C6034A" w:rsidRPr="00802B02">
        <w:t>IAFFORD’s mid-</w:t>
      </w:r>
      <w:r w:rsidR="00F40C4D" w:rsidRPr="00802B02">
        <w:t>stream</w:t>
      </w:r>
      <w:r w:rsidR="00C6034A" w:rsidRPr="00802B02">
        <w:t xml:space="preserve"> </w:t>
      </w:r>
      <w:r w:rsidR="00F40C4D" w:rsidRPr="00802B02">
        <w:t xml:space="preserve">inclusion of a </w:t>
      </w:r>
      <w:r w:rsidR="00C6034A" w:rsidRPr="00802B02">
        <w:t xml:space="preserve">relief and recovery </w:t>
      </w:r>
      <w:r w:rsidR="00F40C4D" w:rsidRPr="00802B02">
        <w:t xml:space="preserve">component </w:t>
      </w:r>
      <w:r w:rsidR="00C6034A" w:rsidRPr="00802B02">
        <w:t>as an</w:t>
      </w:r>
      <w:r w:rsidRPr="00802B02">
        <w:t xml:space="preserve"> </w:t>
      </w:r>
      <w:r w:rsidR="00C0447C" w:rsidRPr="00802B02">
        <w:t>indication</w:t>
      </w:r>
      <w:r w:rsidRPr="00802B02">
        <w:t xml:space="preserve"> of </w:t>
      </w:r>
      <w:r w:rsidR="00374800" w:rsidRPr="00802B02">
        <w:t xml:space="preserve">the </w:t>
      </w:r>
      <w:r w:rsidR="006433D3" w:rsidRPr="00802B02">
        <w:t>investment</w:t>
      </w:r>
      <w:r w:rsidR="00E36510" w:rsidRPr="00802B02">
        <w:t xml:space="preserve"> design’s </w:t>
      </w:r>
      <w:r w:rsidRPr="00802B02">
        <w:t xml:space="preserve">flexibility </w:t>
      </w:r>
      <w:r w:rsidR="00E36510" w:rsidRPr="00802B02">
        <w:t>and efficiency</w:t>
      </w:r>
      <w:r w:rsidR="00C6034A" w:rsidRPr="00802B02">
        <w:t xml:space="preserve"> as well as that of the implementer</w:t>
      </w:r>
      <w:r w:rsidR="00C0447C" w:rsidRPr="00802B02">
        <w:t>, Oxfam Philippines</w:t>
      </w:r>
      <w:r w:rsidR="00E36510" w:rsidRPr="00802B02">
        <w:t xml:space="preserve">. DFAT’s resources </w:t>
      </w:r>
      <w:r w:rsidR="00C0447C" w:rsidRPr="00802B02">
        <w:t>were applied</w:t>
      </w:r>
      <w:r w:rsidR="00E36510" w:rsidRPr="00802B02">
        <w:t xml:space="preserve"> to where it </w:t>
      </w:r>
      <w:r w:rsidR="00C0447C" w:rsidRPr="00802B02">
        <w:t>was</w:t>
      </w:r>
      <w:r w:rsidR="00E36510" w:rsidRPr="00802B02">
        <w:t xml:space="preserve"> most needed</w:t>
      </w:r>
      <w:r w:rsidR="00CF3272" w:rsidRPr="00802B02">
        <w:t xml:space="preserve"> and made a considerable contribution in rebuilding the lives of internally displaced people in Marawi.</w:t>
      </w:r>
      <w:r w:rsidR="0024246B" w:rsidRPr="00802B02">
        <w:t xml:space="preserve"> </w:t>
      </w:r>
    </w:p>
    <w:p w14:paraId="553E02B3" w14:textId="77777777" w:rsidR="00BE4809" w:rsidRPr="00802B02" w:rsidRDefault="00374800" w:rsidP="008A2BBC">
      <w:pPr>
        <w:ind w:right="-188"/>
      </w:pPr>
      <w:r w:rsidRPr="00802B02">
        <w:t>Moreover, t</w:t>
      </w:r>
      <w:r w:rsidR="00CA7C9E" w:rsidRPr="00802B02">
        <w:t xml:space="preserve">here is consistent anecdotal evidence that </w:t>
      </w:r>
      <w:r w:rsidRPr="00802B02">
        <w:t xml:space="preserve">the </w:t>
      </w:r>
      <w:r w:rsidR="00CA7C9E" w:rsidRPr="00802B02">
        <w:t xml:space="preserve">IAFFORD </w:t>
      </w:r>
      <w:r w:rsidR="00386F83" w:rsidRPr="00802B02">
        <w:t>Investment</w:t>
      </w:r>
      <w:r w:rsidRPr="00802B02">
        <w:t xml:space="preserve"> </w:t>
      </w:r>
      <w:r w:rsidR="00CA7C9E" w:rsidRPr="00802B02">
        <w:t>was able to successfully enroll the very poor</w:t>
      </w:r>
      <w:r w:rsidR="0092699B" w:rsidRPr="00802B02">
        <w:t xml:space="preserve"> individuals</w:t>
      </w:r>
      <w:r w:rsidR="00CA7C9E" w:rsidRPr="00802B02">
        <w:t xml:space="preserve"> as beneficiaries.</w:t>
      </w:r>
      <w:r w:rsidR="00415778" w:rsidRPr="00802B02">
        <w:t xml:space="preserve"> </w:t>
      </w:r>
      <w:r w:rsidR="00ED55F1" w:rsidRPr="00802B02">
        <w:t>K</w:t>
      </w:r>
      <w:r w:rsidRPr="00802B02">
        <w:t xml:space="preserve">ey informants interviewed claimed that </w:t>
      </w:r>
      <w:r w:rsidR="00B43691" w:rsidRPr="00802B02">
        <w:t>many beneficiaries</w:t>
      </w:r>
      <w:r w:rsidR="00CA7C9E" w:rsidRPr="00802B02">
        <w:t xml:space="preserve"> are also members of the DSWD’s CCT program.</w:t>
      </w:r>
      <w:r w:rsidR="004D34D0" w:rsidRPr="00802B02">
        <w:t xml:space="preserve"> However, there was no available data provided to the evaluation team to substantiate this claim</w:t>
      </w:r>
      <w:r w:rsidR="00AE3E7F" w:rsidRPr="00802B02">
        <w:t>. In the absence of the exact figures to determine the proportion of DSWD beneficiaries who were at the same time IAFFORD card holders, this finding is not conclusive</w:t>
      </w:r>
      <w:r w:rsidR="00B43691" w:rsidRPr="00802B02">
        <w:t xml:space="preserve"> or adequately supported</w:t>
      </w:r>
      <w:r w:rsidR="004D34D0" w:rsidRPr="00802B02">
        <w:t>.</w:t>
      </w:r>
      <w:r w:rsidR="0024246B" w:rsidRPr="00802B02">
        <w:t xml:space="preserve"> </w:t>
      </w:r>
    </w:p>
    <w:p w14:paraId="46FA64C5" w14:textId="77777777" w:rsidR="001B25ED" w:rsidRDefault="00BE4809" w:rsidP="00BD1C6B">
      <w:r w:rsidRPr="00802B02">
        <w:t>Likewise, t</w:t>
      </w:r>
      <w:r w:rsidR="0071681E" w:rsidRPr="00802B02">
        <w:t>here are indications that the intervention modality</w:t>
      </w:r>
      <w:r w:rsidRPr="00802B02">
        <w:t>,</w:t>
      </w:r>
      <w:r w:rsidR="0071681E" w:rsidRPr="00802B02">
        <w:t xml:space="preserve"> where the primary responsibility for the management and implementation of IAFFORD </w:t>
      </w:r>
      <w:r w:rsidR="00386F83" w:rsidRPr="00802B02">
        <w:t>investment</w:t>
      </w:r>
      <w:r w:rsidR="00CF7B52" w:rsidRPr="00802B02">
        <w:t xml:space="preserve"> </w:t>
      </w:r>
      <w:r w:rsidR="0071681E" w:rsidRPr="00802B02">
        <w:t xml:space="preserve">was located in entities outside the Philippines (i.e. </w:t>
      </w:r>
      <w:r w:rsidR="00520C0D" w:rsidRPr="00802B02">
        <w:t xml:space="preserve">DT Global </w:t>
      </w:r>
      <w:r w:rsidR="00933920" w:rsidRPr="00802B02">
        <w:t>/</w:t>
      </w:r>
      <w:r w:rsidR="0071681E" w:rsidRPr="00802B02">
        <w:t>AECOM and Oxfam Australia</w:t>
      </w:r>
      <w:r w:rsidR="008A2BBC">
        <w:t>)</w:t>
      </w:r>
      <w:r w:rsidR="000D14A1" w:rsidRPr="00802B02">
        <w:t xml:space="preserve"> </w:t>
      </w:r>
      <w:r w:rsidR="0071681E" w:rsidRPr="00802B02">
        <w:t>did have some limitations</w:t>
      </w:r>
      <w:r w:rsidRPr="00802B02">
        <w:t xml:space="preserve"> in terms of accountability,</w:t>
      </w:r>
      <w:r w:rsidR="0071681E" w:rsidRPr="00802B02">
        <w:t xml:space="preserve"> which should be mitigated in the future, if the IAFFORD modality is applied again to another DFAT intervention in the Philippines.</w:t>
      </w:r>
      <w:r w:rsidR="00415778" w:rsidRPr="00802B0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870D6" w:rsidRPr="00802B02" w14:paraId="2E0FE843" w14:textId="77777777" w:rsidTr="00170698">
        <w:tc>
          <w:tcPr>
            <w:tcW w:w="9016" w:type="dxa"/>
          </w:tcPr>
          <w:p w14:paraId="0EF8A7F2" w14:textId="24CB58B2" w:rsidR="00A870D6" w:rsidRPr="00802B02" w:rsidRDefault="00A870D6" w:rsidP="00BD1C6B">
            <w:pPr>
              <w:pStyle w:val="Caption"/>
              <w:rPr>
                <w:sz w:val="24"/>
                <w:szCs w:val="24"/>
              </w:rPr>
            </w:pPr>
            <w:r w:rsidRPr="00802B02">
              <w:rPr>
                <w:sz w:val="24"/>
                <w:szCs w:val="24"/>
              </w:rPr>
              <w:t xml:space="preserve">Table </w:t>
            </w:r>
            <w:r w:rsidR="00FB4A03" w:rsidRPr="00802B02">
              <w:rPr>
                <w:sz w:val="24"/>
                <w:szCs w:val="24"/>
              </w:rPr>
              <w:fldChar w:fldCharType="begin"/>
            </w:r>
            <w:r w:rsidR="00FB4A03" w:rsidRPr="00802B02">
              <w:rPr>
                <w:sz w:val="24"/>
                <w:szCs w:val="24"/>
              </w:rPr>
              <w:instrText xml:space="preserve"> SEQ Table \* ARABIC </w:instrText>
            </w:r>
            <w:r w:rsidR="00FB4A03" w:rsidRPr="00802B02">
              <w:rPr>
                <w:sz w:val="24"/>
                <w:szCs w:val="24"/>
              </w:rPr>
              <w:fldChar w:fldCharType="separate"/>
            </w:r>
            <w:r w:rsidR="00522838">
              <w:rPr>
                <w:noProof/>
                <w:sz w:val="24"/>
                <w:szCs w:val="24"/>
              </w:rPr>
              <w:t>3</w:t>
            </w:r>
            <w:r w:rsidR="00FB4A03" w:rsidRPr="00802B02">
              <w:rPr>
                <w:noProof/>
                <w:sz w:val="24"/>
                <w:szCs w:val="24"/>
              </w:rPr>
              <w:fldChar w:fldCharType="end"/>
            </w:r>
            <w:r w:rsidRPr="00802B02">
              <w:rPr>
                <w:sz w:val="24"/>
                <w:szCs w:val="24"/>
              </w:rPr>
              <w:t>: Headline Results Achieved</w:t>
            </w:r>
            <w:r w:rsidR="007925D0" w:rsidRPr="00802B02">
              <w:rPr>
                <w:sz w:val="24"/>
                <w:szCs w:val="24"/>
              </w:rPr>
              <w:t>, IAFFORD</w:t>
            </w:r>
            <w:r w:rsidR="00BE4809" w:rsidRPr="00802B02">
              <w:rPr>
                <w:sz w:val="24"/>
                <w:szCs w:val="24"/>
              </w:rPr>
              <w:t xml:space="preserve"> </w:t>
            </w:r>
            <w:r w:rsidR="00386F83" w:rsidRPr="00802B02">
              <w:rPr>
                <w:sz w:val="24"/>
                <w:szCs w:val="24"/>
              </w:rPr>
              <w:t>Investment</w:t>
            </w:r>
            <w:r w:rsidR="00BE4809" w:rsidRPr="00802B02">
              <w:rPr>
                <w:sz w:val="24"/>
                <w:szCs w:val="24"/>
              </w:rPr>
              <w:t xml:space="preserve">. </w:t>
            </w:r>
          </w:p>
          <w:p w14:paraId="744FA23D" w14:textId="77777777" w:rsidR="00A870D6" w:rsidRPr="00802B02" w:rsidRDefault="00A870D6" w:rsidP="00BD1C6B">
            <w:r w:rsidRPr="00802B02">
              <w:rPr>
                <w:noProof/>
                <w:lang w:val="en-AU" w:eastAsia="en-AU"/>
              </w:rPr>
              <w:drawing>
                <wp:inline distT="0" distB="0" distL="0" distR="0" wp14:anchorId="613A481C" wp14:editId="13ED3CB5">
                  <wp:extent cx="5444372" cy="263183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9575" cy="2653682"/>
                          </a:xfrm>
                          <a:prstGeom prst="rect">
                            <a:avLst/>
                          </a:prstGeom>
                          <a:noFill/>
                        </pic:spPr>
                      </pic:pic>
                    </a:graphicData>
                  </a:graphic>
                </wp:inline>
              </w:drawing>
            </w:r>
          </w:p>
        </w:tc>
      </w:tr>
      <w:tr w:rsidR="00A870D6" w:rsidRPr="00802B02" w14:paraId="546CE726" w14:textId="77777777" w:rsidTr="00170698">
        <w:tc>
          <w:tcPr>
            <w:tcW w:w="9016" w:type="dxa"/>
          </w:tcPr>
          <w:p w14:paraId="334E0D9C" w14:textId="77777777" w:rsidR="00A870D6" w:rsidRPr="00802B02" w:rsidRDefault="00A870D6" w:rsidP="00BD1C6B">
            <w:pPr>
              <w:pStyle w:val="Caption"/>
            </w:pPr>
            <w:r w:rsidRPr="00802B02">
              <w:t>Source: Oxfam Final Report, IAFFORD Project</w:t>
            </w:r>
          </w:p>
        </w:tc>
      </w:tr>
    </w:tbl>
    <w:p w14:paraId="70EC6F99" w14:textId="77777777" w:rsidR="0071681E" w:rsidRPr="00802B02" w:rsidRDefault="005C64B1" w:rsidP="00A4389A">
      <w:pPr>
        <w:spacing w:before="240"/>
      </w:pPr>
      <w:r w:rsidRPr="00802B02">
        <w:t xml:space="preserve">Furthermore, </w:t>
      </w:r>
      <w:r w:rsidR="008770F0" w:rsidRPr="00802B02">
        <w:t>key informants from Oxfam’s</w:t>
      </w:r>
      <w:r w:rsidR="00386F83" w:rsidRPr="00802B02">
        <w:t xml:space="preserve"> </w:t>
      </w:r>
      <w:r w:rsidR="008770F0" w:rsidRPr="00802B02">
        <w:t xml:space="preserve">partner in </w:t>
      </w:r>
      <w:r w:rsidR="00B43691" w:rsidRPr="00802B02">
        <w:t>Marawi the</w:t>
      </w:r>
      <w:r w:rsidR="00AC49E1" w:rsidRPr="00802B02">
        <w:t xml:space="preserve"> People’s Disaster Risk Reduction Network (PDRRN), </w:t>
      </w:r>
      <w:r w:rsidR="008770F0" w:rsidRPr="00802B02">
        <w:t>claimed that a case study was conducted</w:t>
      </w:r>
      <w:r w:rsidR="00946AC3" w:rsidRPr="00802B02">
        <w:t>,</w:t>
      </w:r>
      <w:r w:rsidR="008770F0" w:rsidRPr="00802B02">
        <w:t xml:space="preserve"> which the </w:t>
      </w:r>
      <w:r w:rsidR="0011040A" w:rsidRPr="00802B02">
        <w:t>evaluation team</w:t>
      </w:r>
      <w:r w:rsidR="008770F0" w:rsidRPr="00802B02">
        <w:t xml:space="preserve"> viewed as an indication of </w:t>
      </w:r>
      <w:r w:rsidR="00B43691" w:rsidRPr="00802B02">
        <w:t>an efficient</w:t>
      </w:r>
      <w:r w:rsidR="00F8732A" w:rsidRPr="00802B02">
        <w:t xml:space="preserve"> achievement of IAFFORD outputs.</w:t>
      </w:r>
      <w:r w:rsidR="00415778" w:rsidRPr="00802B02">
        <w:t xml:space="preserve"> </w:t>
      </w:r>
      <w:r w:rsidR="00946AC3" w:rsidRPr="00802B02">
        <w:t xml:space="preserve">The </w:t>
      </w:r>
      <w:r w:rsidR="00AD7428">
        <w:t>anecdote</w:t>
      </w:r>
      <w:r w:rsidR="00946AC3" w:rsidRPr="00802B02">
        <w:t xml:space="preserve"> refers to the </w:t>
      </w:r>
      <w:r w:rsidR="00F8732A" w:rsidRPr="00802B02">
        <w:t xml:space="preserve">use of the </w:t>
      </w:r>
      <w:r w:rsidR="00946AC3" w:rsidRPr="00802B02">
        <w:t>IAFFORD</w:t>
      </w:r>
      <w:r w:rsidR="00F8732A" w:rsidRPr="00802B02">
        <w:t xml:space="preserve"> cards database to track </w:t>
      </w:r>
      <w:r w:rsidR="00A42770" w:rsidRPr="00802B02">
        <w:t xml:space="preserve">duplicate access to </w:t>
      </w:r>
      <w:r w:rsidR="00B43691" w:rsidRPr="00802B02">
        <w:t>cash benefits</w:t>
      </w:r>
      <w:r w:rsidR="00A42770" w:rsidRPr="00802B02">
        <w:t xml:space="preserve"> of the same household, which is not permitted</w:t>
      </w:r>
      <w:r w:rsidR="00AC49E1" w:rsidRPr="00802B02">
        <w:t xml:space="preserve"> according to the </w:t>
      </w:r>
      <w:r w:rsidR="00386F83" w:rsidRPr="00802B02">
        <w:t>investment</w:t>
      </w:r>
      <w:r w:rsidR="00755244" w:rsidRPr="00802B02">
        <w:t>’</w:t>
      </w:r>
      <w:r w:rsidR="00AC49E1" w:rsidRPr="00802B02">
        <w:t>s policies and guidelines</w:t>
      </w:r>
      <w:r w:rsidR="00A42770" w:rsidRPr="00802B02">
        <w:t>.</w:t>
      </w:r>
      <w:r w:rsidR="00415778" w:rsidRPr="00802B02">
        <w:t xml:space="preserve"> </w:t>
      </w:r>
      <w:r w:rsidR="00A42770" w:rsidRPr="00802B02">
        <w:t>Using data in the cash card database</w:t>
      </w:r>
      <w:r w:rsidR="00D337B6" w:rsidRPr="00802B02">
        <w:t>,</w:t>
      </w:r>
      <w:r w:rsidR="00415778" w:rsidRPr="00802B02">
        <w:t xml:space="preserve"> </w:t>
      </w:r>
      <w:r w:rsidR="00A870D6" w:rsidRPr="00802B02">
        <w:t xml:space="preserve">PDRRN </w:t>
      </w:r>
      <w:r w:rsidR="00A42770" w:rsidRPr="00802B02">
        <w:t xml:space="preserve">was able to identify </w:t>
      </w:r>
      <w:r w:rsidR="00EA4514" w:rsidRPr="00802B02">
        <w:t xml:space="preserve">200 </w:t>
      </w:r>
      <w:r w:rsidR="00AC49E1" w:rsidRPr="00802B02">
        <w:t xml:space="preserve">units of </w:t>
      </w:r>
      <w:r w:rsidR="00B43691" w:rsidRPr="00802B02">
        <w:t>IAFFORD cards</w:t>
      </w:r>
      <w:r w:rsidR="00EA4514" w:rsidRPr="00802B02">
        <w:t xml:space="preserve"> that </w:t>
      </w:r>
      <w:r w:rsidR="00E40150" w:rsidRPr="00802B02">
        <w:t xml:space="preserve">were </w:t>
      </w:r>
      <w:r w:rsidR="002C5C81" w:rsidRPr="00802B02">
        <w:t xml:space="preserve">declared as </w:t>
      </w:r>
      <w:r w:rsidR="00EA4514" w:rsidRPr="00802B02">
        <w:t>ineligible because they were assigned to household</w:t>
      </w:r>
      <w:r w:rsidR="002C5C81" w:rsidRPr="00802B02">
        <w:t>s</w:t>
      </w:r>
      <w:r w:rsidR="00EA4514" w:rsidRPr="00802B02">
        <w:t xml:space="preserve"> which were already in possession of a cash</w:t>
      </w:r>
      <w:r w:rsidR="001B25ED" w:rsidRPr="00802B02">
        <w:t xml:space="preserve"> card</w:t>
      </w:r>
      <w:r w:rsidR="00EA4514" w:rsidRPr="00802B02">
        <w:t>.</w:t>
      </w:r>
      <w:r w:rsidR="00415778" w:rsidRPr="00802B02">
        <w:t xml:space="preserve"> </w:t>
      </w:r>
      <w:r w:rsidRPr="00802B02">
        <w:t xml:space="preserve">In the absence of a copy of the case study, the evaluation team </w:t>
      </w:r>
      <w:r w:rsidR="00575257" w:rsidRPr="00802B02">
        <w:t xml:space="preserve">made a rough estimate on the error rate. </w:t>
      </w:r>
      <w:r w:rsidR="00EA4514" w:rsidRPr="00802B02">
        <w:t>Given that the key informants mentioned that 15,000 cash cards were issued (a proxy indicator for number of households enrolled)</w:t>
      </w:r>
      <w:r w:rsidR="00575257" w:rsidRPr="00802B02">
        <w:t>,</w:t>
      </w:r>
      <w:r w:rsidR="00EA4514" w:rsidRPr="00802B02">
        <w:t xml:space="preserve"> this represents a rough</w:t>
      </w:r>
      <w:r w:rsidR="00A2469E" w:rsidRPr="00802B02">
        <w:t xml:space="preserve">, proxy </w:t>
      </w:r>
      <w:r w:rsidR="00EA4514" w:rsidRPr="00802B02">
        <w:t>‘error rate’</w:t>
      </w:r>
      <w:r w:rsidR="00A2469E" w:rsidRPr="00802B02">
        <w:t xml:space="preserve"> (i.e. </w:t>
      </w:r>
      <w:r w:rsidR="00BB2986" w:rsidRPr="00802B02">
        <w:t xml:space="preserve">a second </w:t>
      </w:r>
      <w:r w:rsidR="00A2469E" w:rsidRPr="00802B02">
        <w:t xml:space="preserve">cash card issued to ineligible </w:t>
      </w:r>
      <w:r w:rsidR="00BB2986" w:rsidRPr="00802B02">
        <w:t>households</w:t>
      </w:r>
      <w:r w:rsidR="00A2469E" w:rsidRPr="00802B02">
        <w:t>)</w:t>
      </w:r>
      <w:r w:rsidR="00EA4514" w:rsidRPr="00802B02">
        <w:t xml:space="preserve"> of </w:t>
      </w:r>
      <w:r w:rsidR="00A2469E" w:rsidRPr="00802B02">
        <w:t>1.3 %.</w:t>
      </w:r>
      <w:r w:rsidR="002C5C81" w:rsidRPr="00802B02">
        <w:t xml:space="preserve"> </w:t>
      </w:r>
      <w:r w:rsidR="00575257" w:rsidRPr="00802B02">
        <w:t xml:space="preserve">This figure suggests that leakage of </w:t>
      </w:r>
      <w:r w:rsidR="00876B80" w:rsidRPr="00802B02">
        <w:t xml:space="preserve">DFAT’s </w:t>
      </w:r>
      <w:r w:rsidR="00575257" w:rsidRPr="00802B02">
        <w:t xml:space="preserve">resources </w:t>
      </w:r>
      <w:r w:rsidR="00876B80" w:rsidRPr="00802B02">
        <w:t>can be viewed as minimal if not negligible, considering the complexities in operating in highly unstable and insecure environment.</w:t>
      </w:r>
      <w:r w:rsidR="0024246B" w:rsidRPr="00802B02">
        <w:t xml:space="preserve"> </w:t>
      </w:r>
    </w:p>
    <w:p w14:paraId="398235C5" w14:textId="77777777" w:rsidR="001E27FE" w:rsidRPr="00802B02" w:rsidRDefault="0003448B" w:rsidP="003D5269">
      <w:pPr>
        <w:pStyle w:val="Heading3"/>
      </w:pPr>
      <w:bookmarkStart w:id="19" w:name="_Toc26180882"/>
      <w:r w:rsidRPr="00802B02">
        <w:t>Cost Efficiency of IAFFORD</w:t>
      </w:r>
      <w:r w:rsidR="001E27FE" w:rsidRPr="00802B02">
        <w:t xml:space="preserve"> DCT Platform</w:t>
      </w:r>
      <w:r w:rsidRPr="00802B02">
        <w:t xml:space="preserve"> for Emergency Relief</w:t>
      </w:r>
      <w:bookmarkEnd w:id="19"/>
    </w:p>
    <w:p w14:paraId="5355A3B4" w14:textId="77777777" w:rsidR="0003448B" w:rsidRPr="00802B02" w:rsidRDefault="0003448B" w:rsidP="0003448B">
      <w:pPr>
        <w:rPr>
          <w:lang w:val="en-CA"/>
        </w:rPr>
      </w:pPr>
      <w:r w:rsidRPr="00802B02">
        <w:rPr>
          <w:lang w:val="en-CA"/>
        </w:rPr>
        <w:t xml:space="preserve">There </w:t>
      </w:r>
      <w:r w:rsidR="00B43691" w:rsidRPr="00802B02">
        <w:rPr>
          <w:lang w:val="en-CA"/>
        </w:rPr>
        <w:t>are</w:t>
      </w:r>
      <w:r w:rsidRPr="00802B02">
        <w:rPr>
          <w:lang w:val="en-CA"/>
        </w:rPr>
        <w:t xml:space="preserve"> two </w:t>
      </w:r>
      <w:r w:rsidR="00B43691" w:rsidRPr="00802B02">
        <w:rPr>
          <w:lang w:val="en-CA"/>
        </w:rPr>
        <w:t xml:space="preserve">hypothetical </w:t>
      </w:r>
      <w:r w:rsidRPr="00802B02">
        <w:rPr>
          <w:lang w:val="en-CA"/>
        </w:rPr>
        <w:t>alternatives to the DCT platform used by IAFFORD to deliver cash assistance during an emergency.</w:t>
      </w:r>
      <w:r w:rsidR="0024246B" w:rsidRPr="00802B02">
        <w:rPr>
          <w:lang w:val="en-CA"/>
        </w:rPr>
        <w:t xml:space="preserve"> </w:t>
      </w:r>
      <w:r w:rsidRPr="00802B02">
        <w:rPr>
          <w:lang w:val="en-CA"/>
        </w:rPr>
        <w:t xml:space="preserve">The first </w:t>
      </w:r>
      <w:r w:rsidR="00B810F8" w:rsidRPr="00802B02">
        <w:rPr>
          <w:lang w:val="en-CA"/>
        </w:rPr>
        <w:t>was</w:t>
      </w:r>
      <w:r w:rsidRPr="00802B02">
        <w:rPr>
          <w:lang w:val="en-CA"/>
        </w:rPr>
        <w:t xml:space="preserve"> for DFAT to establish a </w:t>
      </w:r>
      <w:r w:rsidR="00777691" w:rsidRPr="00802B02">
        <w:rPr>
          <w:lang w:val="en-CA"/>
        </w:rPr>
        <w:t xml:space="preserve">built-for-purpose </w:t>
      </w:r>
      <w:r w:rsidRPr="00802B02">
        <w:rPr>
          <w:lang w:val="en-CA"/>
        </w:rPr>
        <w:t xml:space="preserve">local </w:t>
      </w:r>
      <w:r w:rsidR="003F3275" w:rsidRPr="00802B02">
        <w:rPr>
          <w:lang w:val="en-CA"/>
        </w:rPr>
        <w:t xml:space="preserve">distribution </w:t>
      </w:r>
      <w:r w:rsidRPr="00802B02">
        <w:rPr>
          <w:lang w:val="en-CA"/>
        </w:rPr>
        <w:t xml:space="preserve">network </w:t>
      </w:r>
      <w:r w:rsidR="003F3275" w:rsidRPr="00802B02">
        <w:rPr>
          <w:lang w:val="en-CA"/>
        </w:rPr>
        <w:t>for cash notes or cash equivalents such as coupons.</w:t>
      </w:r>
      <w:r w:rsidRPr="00802B02">
        <w:rPr>
          <w:lang w:val="en-CA"/>
        </w:rPr>
        <w:t xml:space="preserve"> </w:t>
      </w:r>
      <w:r w:rsidR="003F3275" w:rsidRPr="00802B02">
        <w:rPr>
          <w:lang w:val="en-CA"/>
        </w:rPr>
        <w:t>T</w:t>
      </w:r>
      <w:r w:rsidRPr="00802B02">
        <w:rPr>
          <w:lang w:val="en-CA"/>
        </w:rPr>
        <w:t xml:space="preserve">he second </w:t>
      </w:r>
      <w:r w:rsidR="00B43691" w:rsidRPr="00802B02">
        <w:rPr>
          <w:lang w:val="en-CA"/>
        </w:rPr>
        <w:t>was to</w:t>
      </w:r>
      <w:r w:rsidRPr="00802B02">
        <w:rPr>
          <w:lang w:val="en-CA"/>
        </w:rPr>
        <w:t xml:space="preserve"> </w:t>
      </w:r>
      <w:r w:rsidR="00777691" w:rsidRPr="00802B02">
        <w:rPr>
          <w:lang w:val="en-CA"/>
        </w:rPr>
        <w:t>establish a logistics network for the delivery of in-kind aid.</w:t>
      </w:r>
      <w:r w:rsidR="0024246B" w:rsidRPr="00802B02">
        <w:rPr>
          <w:lang w:val="en-CA"/>
        </w:rPr>
        <w:t xml:space="preserve"> </w:t>
      </w:r>
      <w:r w:rsidR="00B810F8" w:rsidRPr="00802B02">
        <w:rPr>
          <w:lang w:val="en-CA"/>
        </w:rPr>
        <w:t xml:space="preserve">In the context of efficiency, </w:t>
      </w:r>
      <w:r w:rsidR="00777691" w:rsidRPr="00802B02">
        <w:rPr>
          <w:lang w:val="en-CA"/>
        </w:rPr>
        <w:t>developing a built-for-purpose network</w:t>
      </w:r>
      <w:r w:rsidR="003F3275" w:rsidRPr="00802B02">
        <w:rPr>
          <w:lang w:val="en-CA"/>
        </w:rPr>
        <w:t xml:space="preserve"> for either the distribution of cash notes or aid supplies</w:t>
      </w:r>
      <w:r w:rsidR="00777691" w:rsidRPr="00802B02">
        <w:rPr>
          <w:lang w:val="en-CA"/>
        </w:rPr>
        <w:t xml:space="preserve">, which involves the mobilization of people and </w:t>
      </w:r>
      <w:r w:rsidR="00B43691" w:rsidRPr="00802B02">
        <w:rPr>
          <w:lang w:val="en-CA"/>
        </w:rPr>
        <w:t>materials,</w:t>
      </w:r>
      <w:r w:rsidR="00777691" w:rsidRPr="00802B02">
        <w:rPr>
          <w:lang w:val="en-CA"/>
        </w:rPr>
        <w:t xml:space="preserve"> is less cost-efficient than providing </w:t>
      </w:r>
      <w:r w:rsidR="007469B5" w:rsidRPr="00802B02">
        <w:rPr>
          <w:lang w:val="en-CA"/>
        </w:rPr>
        <w:t xml:space="preserve">a </w:t>
      </w:r>
      <w:r w:rsidR="000F1889" w:rsidRPr="00802B02">
        <w:rPr>
          <w:lang w:val="en-CA"/>
        </w:rPr>
        <w:t xml:space="preserve">technology </w:t>
      </w:r>
      <w:r w:rsidR="007469B5" w:rsidRPr="00802B02">
        <w:rPr>
          <w:lang w:val="en-CA"/>
        </w:rPr>
        <w:t xml:space="preserve">platform for </w:t>
      </w:r>
      <w:r w:rsidR="00777691" w:rsidRPr="00802B02">
        <w:rPr>
          <w:lang w:val="en-CA"/>
        </w:rPr>
        <w:t>digital cash transactions.</w:t>
      </w:r>
      <w:r w:rsidR="0024246B" w:rsidRPr="00802B02">
        <w:rPr>
          <w:lang w:val="en-CA"/>
        </w:rPr>
        <w:t xml:space="preserve"> </w:t>
      </w:r>
      <w:r w:rsidR="00777691" w:rsidRPr="00802B02">
        <w:rPr>
          <w:lang w:val="en-CA"/>
        </w:rPr>
        <w:t xml:space="preserve">The inefficiency of either providing </w:t>
      </w:r>
      <w:r w:rsidR="00CB4DDE" w:rsidRPr="00802B02">
        <w:rPr>
          <w:lang w:val="en-CA"/>
        </w:rPr>
        <w:t>cash</w:t>
      </w:r>
      <w:r w:rsidR="00D03FAF" w:rsidRPr="00802B02">
        <w:rPr>
          <w:lang w:val="en-CA"/>
        </w:rPr>
        <w:t>/</w:t>
      </w:r>
      <w:r w:rsidR="00CB4DDE" w:rsidRPr="00802B02">
        <w:rPr>
          <w:lang w:val="en-CA"/>
        </w:rPr>
        <w:t xml:space="preserve">cash-equivalent notes or delivery </w:t>
      </w:r>
      <w:r w:rsidR="00D03FAF" w:rsidRPr="00802B02">
        <w:rPr>
          <w:lang w:val="en-CA"/>
        </w:rPr>
        <w:t xml:space="preserve">of </w:t>
      </w:r>
      <w:r w:rsidR="00730328" w:rsidRPr="00802B02">
        <w:rPr>
          <w:lang w:val="en-CA"/>
        </w:rPr>
        <w:t>supplies</w:t>
      </w:r>
      <w:r w:rsidR="00CB4DDE" w:rsidRPr="00802B02">
        <w:rPr>
          <w:lang w:val="en-CA"/>
        </w:rPr>
        <w:t xml:space="preserve"> </w:t>
      </w:r>
      <w:r w:rsidR="003F3275" w:rsidRPr="00802B02">
        <w:rPr>
          <w:lang w:val="en-CA"/>
        </w:rPr>
        <w:t xml:space="preserve">during an emergency response </w:t>
      </w:r>
      <w:r w:rsidR="00777691" w:rsidRPr="00802B02">
        <w:rPr>
          <w:lang w:val="en-CA"/>
        </w:rPr>
        <w:t xml:space="preserve">is </w:t>
      </w:r>
      <w:r w:rsidR="00CB4DDE" w:rsidRPr="00802B02">
        <w:rPr>
          <w:lang w:val="en-CA"/>
        </w:rPr>
        <w:t>a</w:t>
      </w:r>
      <w:r w:rsidR="00777691" w:rsidRPr="00802B02">
        <w:rPr>
          <w:lang w:val="en-CA"/>
        </w:rPr>
        <w:t xml:space="preserve"> lesson learned from </w:t>
      </w:r>
      <w:r w:rsidR="00CB4DDE" w:rsidRPr="00802B02">
        <w:rPr>
          <w:lang w:val="en-CA"/>
        </w:rPr>
        <w:t>the Indian Ocean Tsunami</w:t>
      </w:r>
      <w:r w:rsidR="00CB4DDE" w:rsidRPr="00802B02">
        <w:rPr>
          <w:rStyle w:val="FootnoteReference"/>
          <w:lang w:val="en-CA"/>
        </w:rPr>
        <w:footnoteReference w:id="12"/>
      </w:r>
      <w:r w:rsidR="00CB4DDE" w:rsidRPr="00802B02">
        <w:rPr>
          <w:lang w:val="en-CA"/>
        </w:rPr>
        <w:t>.</w:t>
      </w:r>
    </w:p>
    <w:p w14:paraId="177601C4" w14:textId="77777777" w:rsidR="003F3275" w:rsidRPr="00802B02" w:rsidRDefault="003F3275" w:rsidP="00396C32">
      <w:pPr>
        <w:rPr>
          <w:lang w:val="en-CA"/>
        </w:rPr>
      </w:pPr>
      <w:r w:rsidRPr="00802B02">
        <w:rPr>
          <w:lang w:val="en-CA"/>
        </w:rPr>
        <w:t xml:space="preserve">With specific reference to </w:t>
      </w:r>
      <w:r w:rsidR="00332F19" w:rsidRPr="00802B02">
        <w:rPr>
          <w:lang w:val="en-CA"/>
        </w:rPr>
        <w:t xml:space="preserve">the </w:t>
      </w:r>
      <w:r w:rsidRPr="00802B02">
        <w:rPr>
          <w:lang w:val="en-CA"/>
        </w:rPr>
        <w:t>IAFFORD</w:t>
      </w:r>
      <w:r w:rsidR="00332F19" w:rsidRPr="00802B02">
        <w:rPr>
          <w:lang w:val="en-CA"/>
        </w:rPr>
        <w:t xml:space="preserve"> </w:t>
      </w:r>
      <w:r w:rsidR="00386F83" w:rsidRPr="00802B02">
        <w:rPr>
          <w:lang w:val="en-CA"/>
        </w:rPr>
        <w:t>Investment</w:t>
      </w:r>
      <w:r w:rsidRPr="00802B02">
        <w:rPr>
          <w:lang w:val="en-CA"/>
        </w:rPr>
        <w:t xml:space="preserve">, </w:t>
      </w:r>
      <w:r w:rsidR="00332F19" w:rsidRPr="00802B02">
        <w:rPr>
          <w:lang w:val="en-CA"/>
        </w:rPr>
        <w:t xml:space="preserve">the evaluation team </w:t>
      </w:r>
      <w:r w:rsidR="00D756D9" w:rsidRPr="00802B02">
        <w:rPr>
          <w:lang w:val="en-CA"/>
        </w:rPr>
        <w:t>found systematic</w:t>
      </w:r>
      <w:r w:rsidRPr="00802B02">
        <w:rPr>
          <w:lang w:val="en-CA"/>
        </w:rPr>
        <w:t xml:space="preserve"> evidence that the use of the DCT platform </w:t>
      </w:r>
      <w:r w:rsidR="00E83353" w:rsidRPr="00802B02">
        <w:rPr>
          <w:lang w:val="en-CA"/>
        </w:rPr>
        <w:t xml:space="preserve">for cash aid distribution </w:t>
      </w:r>
      <w:r w:rsidRPr="00802B02">
        <w:rPr>
          <w:lang w:val="en-CA"/>
        </w:rPr>
        <w:t xml:space="preserve">in the context of the </w:t>
      </w:r>
      <w:r w:rsidR="00332F19" w:rsidRPr="00802B02">
        <w:rPr>
          <w:lang w:val="en-CA"/>
        </w:rPr>
        <w:t>humanitarian assistance</w:t>
      </w:r>
      <w:r w:rsidR="0086616E" w:rsidRPr="00802B02">
        <w:rPr>
          <w:lang w:val="en-CA"/>
        </w:rPr>
        <w:t xml:space="preserve"> such as the </w:t>
      </w:r>
      <w:r w:rsidRPr="00802B02">
        <w:rPr>
          <w:lang w:val="en-CA"/>
        </w:rPr>
        <w:t xml:space="preserve">Marawi </w:t>
      </w:r>
      <w:r w:rsidR="0086616E" w:rsidRPr="00802B02">
        <w:rPr>
          <w:lang w:val="en-CA"/>
        </w:rPr>
        <w:t xml:space="preserve">recovery </w:t>
      </w:r>
      <w:r w:rsidR="004A1438" w:rsidRPr="00802B02">
        <w:rPr>
          <w:lang w:val="en-CA"/>
        </w:rPr>
        <w:t>experience was</w:t>
      </w:r>
      <w:r w:rsidRPr="00802B02">
        <w:rPr>
          <w:lang w:val="en-CA"/>
        </w:rPr>
        <w:t xml:space="preserve"> not subject</w:t>
      </w:r>
      <w:r w:rsidR="00E83353" w:rsidRPr="00802B02">
        <w:rPr>
          <w:lang w:val="en-CA"/>
        </w:rPr>
        <w:t>ed</w:t>
      </w:r>
      <w:r w:rsidRPr="00802B02">
        <w:rPr>
          <w:lang w:val="en-CA"/>
        </w:rPr>
        <w:t xml:space="preserve"> to abuse by </w:t>
      </w:r>
      <w:r w:rsidR="00D51765" w:rsidRPr="00802B02">
        <w:rPr>
          <w:lang w:val="en-CA"/>
        </w:rPr>
        <w:t xml:space="preserve">the </w:t>
      </w:r>
      <w:r w:rsidRPr="00802B02">
        <w:rPr>
          <w:lang w:val="en-CA"/>
        </w:rPr>
        <w:t xml:space="preserve">beneficiaries. </w:t>
      </w:r>
      <w:r w:rsidR="00D51765" w:rsidRPr="00802B02">
        <w:rPr>
          <w:lang w:val="en-CA"/>
        </w:rPr>
        <w:t>Consequently, t</w:t>
      </w:r>
      <w:r w:rsidRPr="00802B02">
        <w:rPr>
          <w:lang w:val="en-CA"/>
        </w:rPr>
        <w:t>he secondary use of IAFFORD card as an ID card likely contributed to this result.</w:t>
      </w:r>
      <w:r w:rsidR="0024246B" w:rsidRPr="00802B02">
        <w:rPr>
          <w:lang w:val="en-CA"/>
        </w:rPr>
        <w:t xml:space="preserve"> </w:t>
      </w:r>
      <w:r w:rsidRPr="00802B02">
        <w:t xml:space="preserve">Therefore, it is the conclusion of this evaluation that the IAFFORD </w:t>
      </w:r>
      <w:r w:rsidR="00386F83" w:rsidRPr="00802B02">
        <w:t>Investment</w:t>
      </w:r>
      <w:r w:rsidR="009B0CBD" w:rsidRPr="00802B02">
        <w:t>’s</w:t>
      </w:r>
      <w:r w:rsidR="00D51765" w:rsidRPr="00802B02">
        <w:t xml:space="preserve"> </w:t>
      </w:r>
      <w:r w:rsidRPr="00802B02">
        <w:t>intervention did achieve its expected results with respect to the flexible use of a DCT platform in the context of delivering cash during an emergency or other unstable and vulnerable environment.</w:t>
      </w:r>
      <w:r w:rsidR="0024246B" w:rsidRPr="00802B02">
        <w:t xml:space="preserve"> </w:t>
      </w:r>
      <w:r w:rsidRPr="00802B02">
        <w:rPr>
          <w:color w:val="FFFFFF" w:themeColor="background1"/>
        </w:rPr>
        <w:t>T.</w:t>
      </w:r>
    </w:p>
    <w:p w14:paraId="252E79B9" w14:textId="77777777" w:rsidR="00876836" w:rsidRPr="00802B02" w:rsidRDefault="00876836" w:rsidP="00BD1C6B">
      <w:pPr>
        <w:pStyle w:val="Heading2"/>
      </w:pPr>
      <w:bookmarkStart w:id="20" w:name="_Toc26180883"/>
      <w:r w:rsidRPr="00802B02">
        <w:t>Relevance</w:t>
      </w:r>
      <w:bookmarkEnd w:id="20"/>
    </w:p>
    <w:p w14:paraId="0300668F" w14:textId="77777777" w:rsidR="00EC382B" w:rsidRPr="00802B02" w:rsidRDefault="00B04E87" w:rsidP="00BD1C6B">
      <w:r w:rsidRPr="00802B02">
        <w:t xml:space="preserve">IAFFORD is </w:t>
      </w:r>
      <w:r w:rsidR="00910029" w:rsidRPr="00802B02">
        <w:t>aligned to the Philippine government’s National</w:t>
      </w:r>
      <w:r w:rsidR="00CF7B52" w:rsidRPr="00802B02">
        <w:t xml:space="preserve"> Strategy for Financial Inclusion (NSFI) constituted in 2014</w:t>
      </w:r>
      <w:r w:rsidR="00910029" w:rsidRPr="00802B02">
        <w:t>, specifically in the use of technology and other innovations to reach the financially excluded.</w:t>
      </w:r>
      <w:r w:rsidR="00415778" w:rsidRPr="00802B02">
        <w:t xml:space="preserve"> </w:t>
      </w:r>
      <w:r w:rsidR="00EC382B" w:rsidRPr="00802B02">
        <w:t>The IAFFORD initiative also contributes to the achievement of one of the objectives of the Philippine Development Plan (PDP 2017-2022) for a resilient and inclusive financial sector and encouraging efficiency and innovation in microfinance and micro</w:t>
      </w:r>
      <w:r w:rsidR="00D9135B">
        <w:t>-</w:t>
      </w:r>
      <w:r w:rsidR="00EC382B" w:rsidRPr="00802B02">
        <w:t>insurance.</w:t>
      </w:r>
      <w:r w:rsidR="00415778" w:rsidRPr="00802B02">
        <w:t xml:space="preserve"> </w:t>
      </w:r>
      <w:r w:rsidR="00EC382B" w:rsidRPr="00802B02">
        <w:t>The initiative is also consistent with the National Payment Systems Act (Republic Act. No. 11127), which recognizes the importance of payment system in the country’s financial infrastructure and provides safeguards to all players involved in payment system.</w:t>
      </w:r>
    </w:p>
    <w:p w14:paraId="416B1FD7" w14:textId="77777777" w:rsidR="00B86C1A" w:rsidRPr="00802B02" w:rsidRDefault="0067202B" w:rsidP="00BD1C6B">
      <w:r>
        <w:t xml:space="preserve">The Australian government’s current </w:t>
      </w:r>
      <w:r w:rsidR="00B86C1A" w:rsidRPr="00802B02">
        <w:t xml:space="preserve">development policy builds a development cooperation program that is effective in promoting prosperity, reducing poverty, and enhancing stability. </w:t>
      </w:r>
      <w:r w:rsidR="00797D45" w:rsidRPr="00802B02">
        <w:t xml:space="preserve">With respect to the sectors in which </w:t>
      </w:r>
      <w:r w:rsidR="001952A0" w:rsidRPr="00802B02">
        <w:t xml:space="preserve">the </w:t>
      </w:r>
      <w:r w:rsidR="00797D45" w:rsidRPr="00802B02">
        <w:t xml:space="preserve">Australian Embassy Manila is involved, the IAFFORD </w:t>
      </w:r>
      <w:r w:rsidR="00386F83" w:rsidRPr="00802B02">
        <w:t>investment</w:t>
      </w:r>
      <w:r w:rsidR="00797D45" w:rsidRPr="00802B02">
        <w:t xml:space="preserve"> is very relevant to Australia’s national interests and partner priorities. Specifically, support of IAFFORD is consistent with DFAT’s policy on the increasing use of cash transfers during an emergency.</w:t>
      </w:r>
      <w:r w:rsidR="0024246B" w:rsidRPr="00802B02">
        <w:t xml:space="preserve"> </w:t>
      </w:r>
      <w:r w:rsidR="00B86C1A" w:rsidRPr="00802B02">
        <w:t>For the Philippines, Australian development cooperation is centered on achieving objectives of inclusive economic growth, effective governance, and peace and stability as well as reducing disaster risks, promoting preparedness, and providing humanitarian assistance in response to emergencies.</w:t>
      </w:r>
      <w:r w:rsidR="0024246B" w:rsidRPr="00802B02">
        <w:t xml:space="preserve"> </w:t>
      </w:r>
      <w:r w:rsidR="00B86C1A" w:rsidRPr="00802B02">
        <w:t>As will be described below, all of these interventions are relevant to the us</w:t>
      </w:r>
      <w:r w:rsidR="00797D45" w:rsidRPr="00802B02">
        <w:t>e</w:t>
      </w:r>
      <w:r w:rsidR="00B86C1A" w:rsidRPr="00802B02">
        <w:t xml:space="preserve"> of a DCT platform.</w:t>
      </w:r>
    </w:p>
    <w:p w14:paraId="45B1552C" w14:textId="77777777" w:rsidR="009302B0" w:rsidRPr="00802B02" w:rsidRDefault="009302B0" w:rsidP="00BD1C6B">
      <w:pPr>
        <w:pStyle w:val="Heading2"/>
      </w:pPr>
      <w:bookmarkStart w:id="21" w:name="_Toc26180884"/>
      <w:r w:rsidRPr="00802B02">
        <w:t>Gender Equality</w:t>
      </w:r>
      <w:bookmarkEnd w:id="21"/>
      <w:r w:rsidR="003A7E3C">
        <w:t xml:space="preserve"> and Women Empowerment</w:t>
      </w:r>
    </w:p>
    <w:p w14:paraId="3F1D5034" w14:textId="77777777" w:rsidR="00197F1A" w:rsidRPr="00802B02" w:rsidRDefault="009302B0" w:rsidP="00BD1C6B">
      <w:r w:rsidRPr="00802B02">
        <w:t xml:space="preserve">At the output level, gender sensitization sessions were conducted by IAFFORD partners, and the </w:t>
      </w:r>
      <w:r w:rsidR="004516BB" w:rsidRPr="00802B02">
        <w:t>best available information</w:t>
      </w:r>
      <w:r w:rsidRPr="00802B02">
        <w:t xml:space="preserve"> is that these sessions were completed successfully.</w:t>
      </w:r>
      <w:r w:rsidR="00415778" w:rsidRPr="00802B02">
        <w:t xml:space="preserve"> </w:t>
      </w:r>
      <w:r w:rsidR="00D756D9" w:rsidRPr="00802B02">
        <w:t>Investment</w:t>
      </w:r>
      <w:r w:rsidR="00886956" w:rsidRPr="00802B02">
        <w:t xml:space="preserve"> documents provided to the evaluation team show that the gender policies and guidelines were formulated at the onset of implementation.</w:t>
      </w:r>
      <w:r w:rsidR="0024246B" w:rsidRPr="00802B02">
        <w:t xml:space="preserve"> </w:t>
      </w:r>
      <w:r w:rsidR="004516BB" w:rsidRPr="00802B02">
        <w:t>With respect to outcomes, t</w:t>
      </w:r>
      <w:r w:rsidRPr="00802B02">
        <w:t xml:space="preserve">here </w:t>
      </w:r>
      <w:r w:rsidR="00D756D9" w:rsidRPr="00802B02">
        <w:t xml:space="preserve">was </w:t>
      </w:r>
      <w:r w:rsidRPr="00802B02">
        <w:t>case study information that women beneficiaries</w:t>
      </w:r>
      <w:r w:rsidR="00B10078" w:rsidRPr="00802B02">
        <w:t>,</w:t>
      </w:r>
      <w:r w:rsidRPr="00802B02">
        <w:t xml:space="preserve"> who became d</w:t>
      </w:r>
      <w:r w:rsidR="004B7580" w:rsidRPr="00802B02">
        <w:t>e</w:t>
      </w:r>
      <w:r w:rsidRPr="00802B02">
        <w:t xml:space="preserve"> facto heads</w:t>
      </w:r>
      <w:r w:rsidR="00E1145A" w:rsidRPr="00802B02">
        <w:t xml:space="preserve"> of</w:t>
      </w:r>
      <w:r w:rsidR="004B7580" w:rsidRPr="00802B02">
        <w:t xml:space="preserve"> households benefited from the cash provided through</w:t>
      </w:r>
      <w:r w:rsidR="00B10078" w:rsidRPr="00802B02">
        <w:t xml:space="preserve"> the </w:t>
      </w:r>
      <w:r w:rsidR="00386F83" w:rsidRPr="00802B02">
        <w:t>investment</w:t>
      </w:r>
      <w:r w:rsidR="00AD7428">
        <w:t>’</w:t>
      </w:r>
      <w:r w:rsidR="004B7580" w:rsidRPr="00802B02">
        <w:t xml:space="preserve">s DCT platform. </w:t>
      </w:r>
      <w:r w:rsidR="00794F22" w:rsidRPr="00802B02">
        <w:t>Likewise</w:t>
      </w:r>
      <w:r w:rsidR="00B10078" w:rsidRPr="00802B02">
        <w:t>, t</w:t>
      </w:r>
      <w:r w:rsidR="007E75A6" w:rsidRPr="00802B02">
        <w:t xml:space="preserve">here is anecdotal </w:t>
      </w:r>
      <w:r w:rsidR="004B7580" w:rsidRPr="00802B02">
        <w:t>evidence</w:t>
      </w:r>
      <w:r w:rsidR="00F61B5C" w:rsidRPr="00802B02">
        <w:t xml:space="preserve"> that</w:t>
      </w:r>
      <w:r w:rsidR="004B7580" w:rsidRPr="00802B02">
        <w:t xml:space="preserve"> </w:t>
      </w:r>
      <w:r w:rsidR="00F61B5C" w:rsidRPr="00802B02">
        <w:t xml:space="preserve">the cash amount provided </w:t>
      </w:r>
      <w:r w:rsidR="00E30BAE" w:rsidRPr="00802B02">
        <w:t xml:space="preserve">was </w:t>
      </w:r>
      <w:r w:rsidR="00F61B5C" w:rsidRPr="00802B02">
        <w:t xml:space="preserve">used as </w:t>
      </w:r>
      <w:r w:rsidR="00794F22" w:rsidRPr="00802B02">
        <w:t>startup</w:t>
      </w:r>
      <w:r w:rsidR="00F61B5C" w:rsidRPr="00802B02">
        <w:t xml:space="preserve"> capital </w:t>
      </w:r>
      <w:r w:rsidR="00F17D41" w:rsidRPr="00802B02">
        <w:t>for livelihoods</w:t>
      </w:r>
      <w:r w:rsidR="004B7580" w:rsidRPr="00802B02">
        <w:t xml:space="preserve"> </w:t>
      </w:r>
      <w:r w:rsidR="00F61B5C" w:rsidRPr="00802B02">
        <w:t>and income generating activities</w:t>
      </w:r>
      <w:r w:rsidR="00E30BAE" w:rsidRPr="00802B02">
        <w:t xml:space="preserve"> </w:t>
      </w:r>
      <w:r w:rsidR="00794F22" w:rsidRPr="00802B02">
        <w:t>by</w:t>
      </w:r>
      <w:r w:rsidR="004B7580" w:rsidRPr="00802B02">
        <w:t xml:space="preserve"> women</w:t>
      </w:r>
      <w:r w:rsidR="004516BB" w:rsidRPr="00802B02">
        <w:t>-</w:t>
      </w:r>
      <w:r w:rsidR="00E30BAE" w:rsidRPr="00802B02">
        <w:t>headed</w:t>
      </w:r>
      <w:r w:rsidR="0024246B" w:rsidRPr="00802B02">
        <w:t xml:space="preserve"> </w:t>
      </w:r>
      <w:r w:rsidR="004516BB" w:rsidRPr="00802B02">
        <w:t>households</w:t>
      </w:r>
      <w:r w:rsidR="00E30BAE" w:rsidRPr="00802B02">
        <w:t>.</w:t>
      </w:r>
      <w:r w:rsidR="004516BB" w:rsidRPr="00802B02">
        <w:t xml:space="preserve"> </w:t>
      </w:r>
      <w:r w:rsidR="00197F1A" w:rsidRPr="00802B02">
        <w:t xml:space="preserve">There is </w:t>
      </w:r>
      <w:r w:rsidR="003B4412" w:rsidRPr="00802B02">
        <w:t xml:space="preserve">also </w:t>
      </w:r>
      <w:r w:rsidR="00197F1A" w:rsidRPr="00802B02">
        <w:t xml:space="preserve">narrative evidence in the progress reports that IAFFORD </w:t>
      </w:r>
      <w:r w:rsidR="00386F83" w:rsidRPr="00802B02">
        <w:t>Investment</w:t>
      </w:r>
      <w:r w:rsidR="00E30BAE" w:rsidRPr="00802B02">
        <w:t xml:space="preserve"> </w:t>
      </w:r>
      <w:r w:rsidR="00197F1A" w:rsidRPr="00802B02">
        <w:t xml:space="preserve">put in place protections </w:t>
      </w:r>
      <w:r w:rsidR="001E7D5E" w:rsidRPr="00802B02">
        <w:t xml:space="preserve">and safeguarding mechanisms </w:t>
      </w:r>
      <w:r w:rsidR="00197F1A" w:rsidRPr="00802B02">
        <w:t>for women beneficiaries.</w:t>
      </w:r>
      <w:r w:rsidR="00415778" w:rsidRPr="00802B02">
        <w:t xml:space="preserve"> </w:t>
      </w:r>
      <w:r w:rsidR="008405BE" w:rsidRPr="00802B02">
        <w:t>This translated into a 75% representation of women enrolled in the DCT platform, as indicated in Table 1.</w:t>
      </w:r>
    </w:p>
    <w:p w14:paraId="629A9ED9" w14:textId="77777777" w:rsidR="0086375E" w:rsidRPr="00802B02" w:rsidRDefault="00941EB1" w:rsidP="00D47813">
      <w:pPr>
        <w:pStyle w:val="IntenseQuote"/>
        <w:spacing w:before="240"/>
        <w:ind w:right="96"/>
        <w:rPr>
          <w:i w:val="0"/>
          <w:iCs w:val="0"/>
          <w:sz w:val="22"/>
          <w:szCs w:val="20"/>
        </w:rPr>
      </w:pPr>
      <w:r w:rsidRPr="00802B02">
        <w:t xml:space="preserve">“(Selection of the) </w:t>
      </w:r>
      <w:r w:rsidR="006F2D8D" w:rsidRPr="00802B02">
        <w:t>most vulnerable women (i.e. lactating, pregnant, solo parent, elderly and with disability) are part of the beneficiary selection criteria</w:t>
      </w:r>
      <w:r w:rsidRPr="00802B02">
        <w:t>.</w:t>
      </w:r>
      <w:r w:rsidR="00415778" w:rsidRPr="00802B02">
        <w:t xml:space="preserve"> </w:t>
      </w:r>
      <w:r w:rsidRPr="00802B02">
        <w:t xml:space="preserve">(Special accommodations were made, such as) </w:t>
      </w:r>
      <w:r w:rsidR="006F2D8D" w:rsidRPr="00802B02">
        <w:t xml:space="preserve">setting-up of priority lane during registration and distribution caravans to expedite </w:t>
      </w:r>
      <w:r w:rsidRPr="00802B02">
        <w:t>(the)</w:t>
      </w:r>
      <w:r w:rsidR="006F2D8D" w:rsidRPr="00802B02">
        <w:t xml:space="preserve"> registration</w:t>
      </w:r>
      <w:r w:rsidRPr="00802B02">
        <w:t xml:space="preserve"> (of women, and </w:t>
      </w:r>
      <w:r w:rsidR="006F2D8D" w:rsidRPr="00802B02">
        <w:t>to</w:t>
      </w:r>
      <w:r w:rsidRPr="00802B02">
        <w:t>)</w:t>
      </w:r>
      <w:r w:rsidR="006F2D8D" w:rsidRPr="00802B02">
        <w:t xml:space="preserve"> ensure project activities will not create additional burden to women by staying for long hours during project activities registration and distribution caravans</w:t>
      </w:r>
      <w:r w:rsidR="00197F1A" w:rsidRPr="00802B02">
        <w:t xml:space="preserve"> … (IAFFORD</w:t>
      </w:r>
      <w:r w:rsidR="006F2D8D" w:rsidRPr="00802B02">
        <w:t xml:space="preserve"> </w:t>
      </w:r>
      <w:r w:rsidR="00197F1A" w:rsidRPr="00802B02">
        <w:t xml:space="preserve">provided) </w:t>
      </w:r>
      <w:r w:rsidR="006F2D8D" w:rsidRPr="00802B02">
        <w:t>child minding and safe friendly spaces to allow women performing care work participate in the community caravans; and integration of water drinking station in community caravans to children, elderly, pregnant, lactating mothers,</w:t>
      </w:r>
      <w:r w:rsidRPr="00802B02">
        <w:t xml:space="preserve"> </w:t>
      </w:r>
      <w:r w:rsidR="006F2D8D" w:rsidRPr="00802B02">
        <w:t>and persons with disabilities.</w:t>
      </w:r>
      <w:r w:rsidRPr="00802B02">
        <w:t>”</w:t>
      </w:r>
      <w:r w:rsidR="00197F1A" w:rsidRPr="00802B02">
        <w:br/>
      </w:r>
      <w:r w:rsidR="00197F1A" w:rsidRPr="00802B02">
        <w:rPr>
          <w:i w:val="0"/>
          <w:iCs w:val="0"/>
          <w:sz w:val="22"/>
          <w:szCs w:val="20"/>
        </w:rPr>
        <w:t>Sourc</w:t>
      </w:r>
      <w:r w:rsidR="003A7E3C">
        <w:rPr>
          <w:i w:val="0"/>
          <w:iCs w:val="0"/>
          <w:sz w:val="22"/>
          <w:szCs w:val="20"/>
        </w:rPr>
        <w:t>e: 3rd Project Progress Report I</w:t>
      </w:r>
      <w:r w:rsidR="00197F1A" w:rsidRPr="00802B02">
        <w:rPr>
          <w:i w:val="0"/>
          <w:iCs w:val="0"/>
          <w:sz w:val="22"/>
          <w:szCs w:val="20"/>
        </w:rPr>
        <w:t>AFFORD Project SO</w:t>
      </w:r>
    </w:p>
    <w:p w14:paraId="60CCE15E" w14:textId="77777777" w:rsidR="00D04F8F" w:rsidRPr="00802B02" w:rsidRDefault="00D04F8F" w:rsidP="00BD1C6B">
      <w:pPr>
        <w:pStyle w:val="Heading2"/>
      </w:pPr>
      <w:bookmarkStart w:id="22" w:name="_Toc26180885"/>
      <w:r w:rsidRPr="00802B02">
        <w:t>Sustainability</w:t>
      </w:r>
      <w:bookmarkEnd w:id="22"/>
    </w:p>
    <w:p w14:paraId="2EEEBAA0" w14:textId="77777777" w:rsidR="000062D8" w:rsidRPr="00802B02" w:rsidRDefault="00D04F8F" w:rsidP="00BD1C6B">
      <w:r w:rsidRPr="00802B02">
        <w:t>This section</w:t>
      </w:r>
      <w:r w:rsidR="005B55A9" w:rsidRPr="00802B02">
        <w:t xml:space="preserve"> </w:t>
      </w:r>
      <w:r w:rsidRPr="00802B02">
        <w:t xml:space="preserve">discusses sustainability with respect to </w:t>
      </w:r>
      <w:r w:rsidR="001E7D5E" w:rsidRPr="00802B02">
        <w:t xml:space="preserve">the </w:t>
      </w:r>
      <w:r w:rsidRPr="00802B02">
        <w:t xml:space="preserve">design of digital cash transfer </w:t>
      </w:r>
      <w:r w:rsidR="005B55A9" w:rsidRPr="00802B02">
        <w:t xml:space="preserve">investments within the context of disaster management response as well as for long-term socio-economic development objectives such as social </w:t>
      </w:r>
      <w:r w:rsidR="00794F22" w:rsidRPr="00802B02">
        <w:t>protection, disaster</w:t>
      </w:r>
      <w:r w:rsidR="005B55A9" w:rsidRPr="00802B02">
        <w:t xml:space="preserve"> resilience</w:t>
      </w:r>
      <w:r w:rsidR="001E7D5E" w:rsidRPr="00802B02">
        <w:t xml:space="preserve"> and financial </w:t>
      </w:r>
      <w:r w:rsidR="00794F22" w:rsidRPr="00802B02">
        <w:t>inclusion.</w:t>
      </w:r>
      <w:r w:rsidR="0002530F" w:rsidRPr="00802B02">
        <w:t xml:space="preserve"> </w:t>
      </w:r>
      <w:r w:rsidR="00794F22" w:rsidRPr="00802B02">
        <w:t>This section</w:t>
      </w:r>
      <w:r w:rsidR="0002530F" w:rsidRPr="00802B02">
        <w:t xml:space="preserve"> describe</w:t>
      </w:r>
      <w:r w:rsidR="00C50A00" w:rsidRPr="00802B02">
        <w:t>s</w:t>
      </w:r>
      <w:r w:rsidR="0002530F" w:rsidRPr="00802B02">
        <w:t xml:space="preserve"> some of the challenges to sustaining IAFFORD</w:t>
      </w:r>
      <w:r w:rsidR="00C50A00" w:rsidRPr="00802B02">
        <w:t xml:space="preserve"> </w:t>
      </w:r>
      <w:r w:rsidR="00386F83" w:rsidRPr="00802B02">
        <w:t>Investment</w:t>
      </w:r>
      <w:r w:rsidR="0002530F" w:rsidRPr="00802B02">
        <w:t xml:space="preserve">’s </w:t>
      </w:r>
      <w:r w:rsidR="00C50A00" w:rsidRPr="00802B02">
        <w:t>d</w:t>
      </w:r>
      <w:r w:rsidR="0002530F" w:rsidRPr="00802B02">
        <w:t xml:space="preserve">igital </w:t>
      </w:r>
      <w:r w:rsidR="00C50A00" w:rsidRPr="00802B02">
        <w:t>c</w:t>
      </w:r>
      <w:r w:rsidR="0002530F" w:rsidRPr="00802B02">
        <w:t xml:space="preserve">ash </w:t>
      </w:r>
      <w:r w:rsidR="00C50A00" w:rsidRPr="00802B02">
        <w:t>platform</w:t>
      </w:r>
      <w:r w:rsidR="0002530F" w:rsidRPr="00802B02">
        <w:t>.</w:t>
      </w:r>
      <w:r w:rsidR="0024246B" w:rsidRPr="00802B02">
        <w:t xml:space="preserve"> </w:t>
      </w:r>
      <w:r w:rsidR="00794F22" w:rsidRPr="00802B02">
        <w:t>Since a</w:t>
      </w:r>
      <w:r w:rsidR="00C50A00" w:rsidRPr="00802B02">
        <w:t xml:space="preserve"> </w:t>
      </w:r>
      <w:r w:rsidR="0002530F" w:rsidRPr="00802B02">
        <w:t xml:space="preserve">DCT platform is a network </w:t>
      </w:r>
      <w:r w:rsidR="0048442C" w:rsidRPr="00802B02">
        <w:t>of stakeholders</w:t>
      </w:r>
      <w:r w:rsidR="00C50A00" w:rsidRPr="00802B02">
        <w:t xml:space="preserve">, </w:t>
      </w:r>
      <w:r w:rsidR="005F071A" w:rsidRPr="00802B02">
        <w:t>it involves</w:t>
      </w:r>
      <w:r w:rsidR="0048442C" w:rsidRPr="00802B02">
        <w:t xml:space="preserve"> consumers (i.e. IAFFORD beneficiaries), merchants/agents, financial institutions (such as banks and cooperatives), </w:t>
      </w:r>
      <w:r w:rsidR="00836BC2" w:rsidRPr="00802B02">
        <w:t xml:space="preserve">working in partnership with </w:t>
      </w:r>
      <w:r w:rsidR="000062D8" w:rsidRPr="00802B02">
        <w:t xml:space="preserve">a </w:t>
      </w:r>
      <w:r w:rsidR="00794F22" w:rsidRPr="00802B02">
        <w:t>fintech provider</w:t>
      </w:r>
      <w:r w:rsidR="0048442C" w:rsidRPr="00802B02">
        <w:t xml:space="preserve"> (such as Pay Maya)</w:t>
      </w:r>
      <w:r w:rsidR="000D7E81" w:rsidRPr="00802B02">
        <w:t xml:space="preserve"> for the issuance of electronic money cards</w:t>
      </w:r>
      <w:r w:rsidR="0048442C" w:rsidRPr="00802B02">
        <w:t xml:space="preserve">. </w:t>
      </w:r>
    </w:p>
    <w:p w14:paraId="177A600C" w14:textId="77777777" w:rsidR="0002530F" w:rsidRPr="00802B02" w:rsidRDefault="000062D8" w:rsidP="00BD1C6B">
      <w:r w:rsidRPr="00802B02">
        <w:t>As mentioned in th</w:t>
      </w:r>
      <w:r w:rsidR="000D7E81" w:rsidRPr="00802B02">
        <w:t>e earlier section of this</w:t>
      </w:r>
      <w:r w:rsidRPr="00802B02">
        <w:t xml:space="preserve"> report, t</w:t>
      </w:r>
      <w:r w:rsidR="0048442C" w:rsidRPr="00802B02">
        <w:t xml:space="preserve">here exist </w:t>
      </w:r>
      <w:r w:rsidR="000D7E81" w:rsidRPr="00802B02">
        <w:t xml:space="preserve">some </w:t>
      </w:r>
      <w:r w:rsidR="0048442C" w:rsidRPr="00802B02">
        <w:t xml:space="preserve">disincentives for </w:t>
      </w:r>
      <w:r w:rsidR="000D7E81" w:rsidRPr="00802B02">
        <w:t xml:space="preserve">the </w:t>
      </w:r>
      <w:r w:rsidR="0048442C" w:rsidRPr="00802B02">
        <w:t>participation of stakeholders in the IAFFORD</w:t>
      </w:r>
      <w:r w:rsidR="000D7E81" w:rsidRPr="00802B02">
        <w:t xml:space="preserve"> </w:t>
      </w:r>
      <w:r w:rsidR="00386F83" w:rsidRPr="00802B02">
        <w:t>Investment</w:t>
      </w:r>
      <w:r w:rsidR="0048442C" w:rsidRPr="00802B02">
        <w:t>’s DCT platform.</w:t>
      </w:r>
      <w:r w:rsidR="0024246B" w:rsidRPr="00802B02">
        <w:t xml:space="preserve"> </w:t>
      </w:r>
      <w:r w:rsidR="0048442C" w:rsidRPr="00802B02">
        <w:t xml:space="preserve">These disincentives take the form of </w:t>
      </w:r>
      <w:r w:rsidR="00ED0AB8" w:rsidRPr="00802B02">
        <w:t>poorly fitted</w:t>
      </w:r>
      <w:r w:rsidRPr="00802B02">
        <w:t xml:space="preserve"> </w:t>
      </w:r>
      <w:r w:rsidR="00ED0AB8" w:rsidRPr="00802B02">
        <w:t xml:space="preserve">consumer </w:t>
      </w:r>
      <w:r w:rsidR="0048442C" w:rsidRPr="00802B02">
        <w:t xml:space="preserve">fee </w:t>
      </w:r>
      <w:r w:rsidR="002E30D6" w:rsidRPr="00802B02">
        <w:t>structures, competing</w:t>
      </w:r>
      <w:r w:rsidR="00794F22" w:rsidRPr="00802B02">
        <w:t xml:space="preserve"> priorities regarding the </w:t>
      </w:r>
      <w:r w:rsidR="002E30D6" w:rsidRPr="00802B02">
        <w:t>participation of</w:t>
      </w:r>
      <w:r w:rsidR="007469B5" w:rsidRPr="00802B02">
        <w:t xml:space="preserve"> agents</w:t>
      </w:r>
      <w:r w:rsidR="002E30D6" w:rsidRPr="00802B02">
        <w:t xml:space="preserve"> in the network</w:t>
      </w:r>
      <w:r w:rsidR="00621FD4" w:rsidRPr="00802B02">
        <w:t>, digital accounts that only hold value, and are not interest-bearing,</w:t>
      </w:r>
      <w:r w:rsidR="007469B5" w:rsidRPr="00802B02">
        <w:t xml:space="preserve"> </w:t>
      </w:r>
      <w:r w:rsidR="00836BC2" w:rsidRPr="00802B02">
        <w:t xml:space="preserve">as well as </w:t>
      </w:r>
      <w:r w:rsidR="000D7E81" w:rsidRPr="00802B02">
        <w:t xml:space="preserve">the </w:t>
      </w:r>
      <w:r w:rsidR="00621FD4" w:rsidRPr="00802B02">
        <w:t>lack of knowledge on the part of consumers about the use of digital cash. The combined consequence</w:t>
      </w:r>
      <w:r w:rsidR="000D7E81" w:rsidRPr="00802B02">
        <w:t>s</w:t>
      </w:r>
      <w:r w:rsidR="00621FD4" w:rsidRPr="00802B02">
        <w:t xml:space="preserve"> of </w:t>
      </w:r>
      <w:r w:rsidR="002E30D6" w:rsidRPr="00802B02">
        <w:t>these are</w:t>
      </w:r>
      <w:r w:rsidR="00621FD4" w:rsidRPr="00802B02">
        <w:t xml:space="preserve"> lowered prospect</w:t>
      </w:r>
      <w:r w:rsidR="00836BC2" w:rsidRPr="00802B02">
        <w:t>s</w:t>
      </w:r>
      <w:r w:rsidR="00621FD4" w:rsidRPr="00802B02">
        <w:t xml:space="preserve"> for the sustainability of the IAFFORD digital cash platform.</w:t>
      </w:r>
      <w:r w:rsidR="0024246B" w:rsidRPr="00802B02">
        <w:t xml:space="preserve"> </w:t>
      </w:r>
      <w:r w:rsidR="00465E06" w:rsidRPr="00802B02">
        <w:t>These are lessons learned which can</w:t>
      </w:r>
      <w:r w:rsidR="00564015" w:rsidRPr="00802B02">
        <w:t xml:space="preserve"> </w:t>
      </w:r>
      <w:r w:rsidR="002E30D6" w:rsidRPr="00802B02">
        <w:t>guide future</w:t>
      </w:r>
      <w:r w:rsidR="00465E06" w:rsidRPr="00802B02">
        <w:t xml:space="preserve"> DFAT investments with a DCT component.</w:t>
      </w:r>
    </w:p>
    <w:p w14:paraId="4CC3709E" w14:textId="77777777" w:rsidR="0061269E" w:rsidRPr="00802B02" w:rsidRDefault="002E30D6" w:rsidP="004F0DA3">
      <w:r w:rsidRPr="00802B02">
        <w:t>Within the context</w:t>
      </w:r>
      <w:r w:rsidR="004F0DA3" w:rsidRPr="00802B02">
        <w:t xml:space="preserve"> </w:t>
      </w:r>
      <w:r w:rsidR="00AD7428">
        <w:t xml:space="preserve">of </w:t>
      </w:r>
      <w:r w:rsidRPr="00802B02">
        <w:t>institutional partnerships and</w:t>
      </w:r>
      <w:r w:rsidR="004F0DA3" w:rsidRPr="00802B02">
        <w:t xml:space="preserve"> sustainability, while the IAFFORD </w:t>
      </w:r>
      <w:r w:rsidR="00F10CF9" w:rsidRPr="00802B02">
        <w:t>i</w:t>
      </w:r>
      <w:r w:rsidR="00386F83" w:rsidRPr="00802B02">
        <w:t>nvestment</w:t>
      </w:r>
      <w:r w:rsidR="004F0DA3" w:rsidRPr="00802B02">
        <w:t xml:space="preserve"> partnered with a local financial institution, specifically OCCI, its participation was limited to the provision of micro</w:t>
      </w:r>
      <w:r w:rsidR="00D9135B">
        <w:t>-</w:t>
      </w:r>
      <w:r w:rsidR="004F0DA3" w:rsidRPr="00802B02">
        <w:t xml:space="preserve">insurance. </w:t>
      </w:r>
      <w:r w:rsidR="0061269E" w:rsidRPr="00802B02">
        <w:t>A long-term p</w:t>
      </w:r>
      <w:r w:rsidR="004F0DA3" w:rsidRPr="00802B02">
        <w:t>artner</w:t>
      </w:r>
      <w:r w:rsidR="0061269E" w:rsidRPr="00802B02">
        <w:t>ship</w:t>
      </w:r>
      <w:r w:rsidR="004F0DA3" w:rsidRPr="00802B02">
        <w:t xml:space="preserve"> with a financial institution such as OCCI could have </w:t>
      </w:r>
      <w:r w:rsidRPr="00802B02">
        <w:t>a way to</w:t>
      </w:r>
      <w:r w:rsidR="004F0DA3" w:rsidRPr="00802B02">
        <w:t xml:space="preserve"> ensure sustainability of </w:t>
      </w:r>
      <w:r w:rsidR="0061269E" w:rsidRPr="00802B02">
        <w:t xml:space="preserve">interventions beyond the investment’s life </w:t>
      </w:r>
    </w:p>
    <w:p w14:paraId="00C44973" w14:textId="77777777" w:rsidR="004F0DA3" w:rsidRPr="00802B02" w:rsidRDefault="004F0DA3" w:rsidP="004F0DA3">
      <w:r w:rsidRPr="00802B02">
        <w:t xml:space="preserve">Key informants claimed that there has been limited attempt to gradually integrate the </w:t>
      </w:r>
      <w:r w:rsidR="00D53048" w:rsidRPr="00802B02">
        <w:t xml:space="preserve">IAFFORD </w:t>
      </w:r>
      <w:r w:rsidRPr="00802B02">
        <w:t xml:space="preserve">digital </w:t>
      </w:r>
      <w:r w:rsidR="00564015" w:rsidRPr="00802B02">
        <w:t>cash and finance</w:t>
      </w:r>
      <w:r w:rsidRPr="00802B02">
        <w:t xml:space="preserve"> platform and the other interventions into the cooperative’s </w:t>
      </w:r>
      <w:r w:rsidR="0061269E" w:rsidRPr="00802B02">
        <w:t xml:space="preserve">current </w:t>
      </w:r>
      <w:r w:rsidR="00F10CF9" w:rsidRPr="00802B02">
        <w:t>portfolio of savings groups</w:t>
      </w:r>
      <w:r w:rsidRPr="00802B02">
        <w:t>.</w:t>
      </w:r>
      <w:r w:rsidR="0024246B" w:rsidRPr="00802B02">
        <w:t xml:space="preserve"> </w:t>
      </w:r>
      <w:r w:rsidRPr="00802B02">
        <w:t xml:space="preserve">The savings group organized under the </w:t>
      </w:r>
      <w:r w:rsidR="00F10CF9" w:rsidRPr="00802B02">
        <w:t xml:space="preserve">IAFFORD </w:t>
      </w:r>
      <w:r w:rsidR="00386F83" w:rsidRPr="00802B02">
        <w:t>investment</w:t>
      </w:r>
      <w:r w:rsidRPr="00802B02">
        <w:t xml:space="preserve"> could have been absorbed by the cooperative for its members to </w:t>
      </w:r>
      <w:r w:rsidR="00564015" w:rsidRPr="00802B02">
        <w:t xml:space="preserve">sustainably </w:t>
      </w:r>
      <w:r w:rsidR="0061269E" w:rsidRPr="00802B02">
        <w:t>access</w:t>
      </w:r>
      <w:r w:rsidRPr="00802B02">
        <w:t xml:space="preserve"> other financial products such as loans. </w:t>
      </w:r>
      <w:r w:rsidR="0061269E" w:rsidRPr="00802B02">
        <w:t>They</w:t>
      </w:r>
      <w:r w:rsidRPr="00802B02">
        <w:t xml:space="preserve"> could have </w:t>
      </w:r>
      <w:r w:rsidR="0061269E" w:rsidRPr="00802B02">
        <w:t xml:space="preserve">also </w:t>
      </w:r>
      <w:r w:rsidRPr="00802B02">
        <w:t>continued subscribing to its micro</w:t>
      </w:r>
      <w:r w:rsidR="00D9135B">
        <w:t>-</w:t>
      </w:r>
      <w:r w:rsidRPr="00802B02">
        <w:t xml:space="preserve">insurance products. It must be noted that OCCI also offers online bills payments and POS outlets to members. Technical support to OCCI </w:t>
      </w:r>
      <w:r w:rsidR="0061269E" w:rsidRPr="00802B02">
        <w:t>allowing them</w:t>
      </w:r>
      <w:r w:rsidRPr="00802B02">
        <w:t xml:space="preserve"> to absorb and continue IAFFORD gains could have been part of the entire design to ensure sustainability. </w:t>
      </w:r>
    </w:p>
    <w:p w14:paraId="05427169" w14:textId="77777777" w:rsidR="002D70E3" w:rsidRPr="00802B02" w:rsidRDefault="002D70E3" w:rsidP="00BD1C6B">
      <w:pPr>
        <w:pStyle w:val="Heading1"/>
      </w:pPr>
      <w:bookmarkStart w:id="23" w:name="_Toc26180886"/>
      <w:r w:rsidRPr="00802B02">
        <w:t xml:space="preserve">IAFFORD </w:t>
      </w:r>
      <w:r w:rsidR="00D9135B">
        <w:t xml:space="preserve">Project </w:t>
      </w:r>
      <w:r w:rsidRPr="00802B02">
        <w:t>AQC Rating</w:t>
      </w:r>
      <w:r w:rsidR="00714F5D" w:rsidRPr="00802B02">
        <w:t>s</w:t>
      </w:r>
      <w:bookmarkEnd w:id="23"/>
    </w:p>
    <w:tbl>
      <w:tblPr>
        <w:tblStyle w:val="TableGrid"/>
        <w:tblW w:w="9067" w:type="dxa"/>
        <w:tblLook w:val="04A0" w:firstRow="1" w:lastRow="0" w:firstColumn="1" w:lastColumn="0" w:noHBand="0" w:noVBand="1"/>
      </w:tblPr>
      <w:tblGrid>
        <w:gridCol w:w="3256"/>
        <w:gridCol w:w="5811"/>
      </w:tblGrid>
      <w:tr w:rsidR="0056061B" w:rsidRPr="00802B02" w14:paraId="3D446F58" w14:textId="77777777" w:rsidTr="00C915A3">
        <w:trPr>
          <w:trHeight w:val="300"/>
        </w:trPr>
        <w:tc>
          <w:tcPr>
            <w:tcW w:w="3256" w:type="dxa"/>
            <w:noWrap/>
            <w:hideMark/>
          </w:tcPr>
          <w:p w14:paraId="61057833" w14:textId="77777777" w:rsidR="0056061B" w:rsidRPr="00802B02" w:rsidRDefault="0056061B" w:rsidP="009E05A1">
            <w:pPr>
              <w:rPr>
                <w:b/>
                <w:bCs/>
              </w:rPr>
            </w:pPr>
            <w:r w:rsidRPr="00802B02">
              <w:rPr>
                <w:b/>
                <w:bCs/>
              </w:rPr>
              <w:t>M&amp;E Systems</w:t>
            </w:r>
          </w:p>
        </w:tc>
        <w:tc>
          <w:tcPr>
            <w:tcW w:w="5811" w:type="dxa"/>
          </w:tcPr>
          <w:p w14:paraId="29E12490" w14:textId="77777777" w:rsidR="0056061B" w:rsidRPr="00802B02" w:rsidRDefault="0056061B" w:rsidP="009E05A1">
            <w:pPr>
              <w:rPr>
                <w:b/>
                <w:bCs/>
              </w:rPr>
            </w:pPr>
            <w:r w:rsidRPr="00802B02">
              <w:rPr>
                <w:b/>
                <w:bCs/>
              </w:rPr>
              <w:t xml:space="preserve">Overall Rating: </w:t>
            </w:r>
            <w:r w:rsidRPr="00802B02">
              <w:t>Unsatisfactory</w:t>
            </w:r>
          </w:p>
        </w:tc>
      </w:tr>
      <w:tr w:rsidR="009E05A1" w:rsidRPr="00802B02" w14:paraId="6C849B77" w14:textId="77777777" w:rsidTr="00C915A3">
        <w:trPr>
          <w:trHeight w:val="300"/>
        </w:trPr>
        <w:tc>
          <w:tcPr>
            <w:tcW w:w="3256" w:type="dxa"/>
            <w:noWrap/>
            <w:hideMark/>
          </w:tcPr>
          <w:p w14:paraId="0570644E" w14:textId="77777777" w:rsidR="009E05A1" w:rsidRPr="00802B02" w:rsidRDefault="004703B3" w:rsidP="009E05A1">
            <w:r>
              <w:t>Score-Description</w:t>
            </w:r>
          </w:p>
        </w:tc>
        <w:tc>
          <w:tcPr>
            <w:tcW w:w="5811" w:type="dxa"/>
            <w:noWrap/>
            <w:hideMark/>
          </w:tcPr>
          <w:p w14:paraId="43C4B5F0" w14:textId="77777777" w:rsidR="009E05A1" w:rsidRPr="00802B02" w:rsidRDefault="009E05A1" w:rsidP="009E05A1">
            <w:r w:rsidRPr="00802B02">
              <w:t>Strength of Evidence</w:t>
            </w:r>
          </w:p>
        </w:tc>
      </w:tr>
      <w:tr w:rsidR="009E05A1" w:rsidRPr="00802B02" w14:paraId="562E0749" w14:textId="77777777" w:rsidTr="00C915A3">
        <w:trPr>
          <w:trHeight w:val="1233"/>
        </w:trPr>
        <w:tc>
          <w:tcPr>
            <w:tcW w:w="3256" w:type="dxa"/>
            <w:hideMark/>
          </w:tcPr>
          <w:p w14:paraId="364D17EC" w14:textId="77777777" w:rsidR="009E05A1" w:rsidRPr="00802B02" w:rsidRDefault="009E05A1">
            <w:r w:rsidRPr="004703B3">
              <w:rPr>
                <w:b/>
                <w:bCs/>
              </w:rPr>
              <w:t>3</w:t>
            </w:r>
            <w:r w:rsidRPr="00802B02">
              <w:t>-Less than adequate; on balance does not satisfy criteria and/or fails in at least one major area</w:t>
            </w:r>
          </w:p>
        </w:tc>
        <w:tc>
          <w:tcPr>
            <w:tcW w:w="5811" w:type="dxa"/>
            <w:hideMark/>
          </w:tcPr>
          <w:p w14:paraId="469B7D98" w14:textId="77777777" w:rsidR="009E05A1" w:rsidRPr="00802B02" w:rsidRDefault="009E05A1">
            <w:r w:rsidRPr="00802B02">
              <w:t>Moderate evidence: Evidence derived from a more limited range of sources such as implementing agency reports, records of monitoring visits or records of discussions with partners and other stakeholders.</w:t>
            </w:r>
          </w:p>
        </w:tc>
      </w:tr>
      <w:tr w:rsidR="009E05A1" w:rsidRPr="00802B02" w14:paraId="596B37B2" w14:textId="77777777" w:rsidTr="00C915A3">
        <w:trPr>
          <w:trHeight w:val="300"/>
        </w:trPr>
        <w:tc>
          <w:tcPr>
            <w:tcW w:w="9067" w:type="dxa"/>
            <w:gridSpan w:val="2"/>
            <w:noWrap/>
            <w:hideMark/>
          </w:tcPr>
          <w:p w14:paraId="3EDA57E8" w14:textId="77777777" w:rsidR="009E05A1" w:rsidRPr="00802B02" w:rsidRDefault="009E05A1" w:rsidP="009E05A1">
            <w:pPr>
              <w:rPr>
                <w:b/>
                <w:bCs/>
              </w:rPr>
            </w:pPr>
            <w:r w:rsidRPr="00802B02">
              <w:rPr>
                <w:b/>
                <w:bCs/>
              </w:rPr>
              <w:t>Comments</w:t>
            </w:r>
          </w:p>
        </w:tc>
      </w:tr>
      <w:tr w:rsidR="009E05A1" w:rsidRPr="00802B02" w14:paraId="3E176D4B" w14:textId="77777777" w:rsidTr="00C915A3">
        <w:trPr>
          <w:trHeight w:val="1335"/>
        </w:trPr>
        <w:tc>
          <w:tcPr>
            <w:tcW w:w="9067" w:type="dxa"/>
            <w:gridSpan w:val="2"/>
            <w:hideMark/>
          </w:tcPr>
          <w:p w14:paraId="01448E65" w14:textId="04D63F45" w:rsidR="009E05A1" w:rsidRPr="00802B02" w:rsidRDefault="009E05A1" w:rsidP="00935264">
            <w:r w:rsidRPr="00802B02">
              <w:t xml:space="preserve">The M&amp;E System did not test the innovative potential of the </w:t>
            </w:r>
            <w:r w:rsidR="00714F5D" w:rsidRPr="00802B02">
              <w:t xml:space="preserve">IAFFORD </w:t>
            </w:r>
            <w:r w:rsidRPr="00802B02">
              <w:t xml:space="preserve">DCT platform, as required by the funder (Google </w:t>
            </w:r>
            <w:r w:rsidR="004703B3">
              <w:t xml:space="preserve">Impact </w:t>
            </w:r>
            <w:r w:rsidRPr="00802B02">
              <w:t>Challenge Fund) and</w:t>
            </w:r>
            <w:r w:rsidR="0056061B" w:rsidRPr="00802B02">
              <w:t xml:space="preserve"> DFAT counterpart </w:t>
            </w:r>
            <w:r w:rsidRPr="00802B02">
              <w:t>iXc.</w:t>
            </w:r>
            <w:r w:rsidR="0024246B" w:rsidRPr="00802B02">
              <w:t xml:space="preserve"> </w:t>
            </w:r>
            <w:r w:rsidRPr="00802B02">
              <w:t>IAFFORD did not take full advantage of a key partner (Pay Maya) system to develop data-driven evidence-based innovations with respect to DCT</w:t>
            </w:r>
            <w:r w:rsidR="00BC00F2" w:rsidRPr="00802B02">
              <w:t xml:space="preserve"> (as it proposed in its G</w:t>
            </w:r>
            <w:r w:rsidR="00543E8D">
              <w:t>I</w:t>
            </w:r>
            <w:r w:rsidR="00BC00F2" w:rsidRPr="00802B02">
              <w:t>C application)</w:t>
            </w:r>
            <w:r w:rsidRPr="00802B02">
              <w:t>, which would have improved its use for future DFAT financial inclusion investments with a DCT modality.</w:t>
            </w:r>
          </w:p>
        </w:tc>
      </w:tr>
      <w:tr w:rsidR="0056061B" w:rsidRPr="00802B02" w14:paraId="37C56FB2" w14:textId="77777777" w:rsidTr="00C915A3">
        <w:trPr>
          <w:trHeight w:val="300"/>
        </w:trPr>
        <w:tc>
          <w:tcPr>
            <w:tcW w:w="3256" w:type="dxa"/>
            <w:noWrap/>
            <w:hideMark/>
          </w:tcPr>
          <w:p w14:paraId="23C89D5B" w14:textId="77777777" w:rsidR="0056061B" w:rsidRPr="00802B02" w:rsidRDefault="0056061B" w:rsidP="009E05A1">
            <w:pPr>
              <w:rPr>
                <w:b/>
                <w:bCs/>
              </w:rPr>
            </w:pPr>
            <w:r w:rsidRPr="00802B02">
              <w:rPr>
                <w:b/>
                <w:bCs/>
              </w:rPr>
              <w:t>Effectiveness</w:t>
            </w:r>
          </w:p>
        </w:tc>
        <w:tc>
          <w:tcPr>
            <w:tcW w:w="5811" w:type="dxa"/>
          </w:tcPr>
          <w:p w14:paraId="62497975" w14:textId="77777777" w:rsidR="0056061B" w:rsidRPr="00802B02" w:rsidRDefault="0056061B" w:rsidP="009E05A1">
            <w:pPr>
              <w:rPr>
                <w:b/>
                <w:bCs/>
              </w:rPr>
            </w:pPr>
            <w:r w:rsidRPr="00802B02">
              <w:rPr>
                <w:b/>
                <w:bCs/>
              </w:rPr>
              <w:t xml:space="preserve">Overall Rating: </w:t>
            </w:r>
            <w:r w:rsidRPr="00802B02">
              <w:t>Satisfactory</w:t>
            </w:r>
          </w:p>
        </w:tc>
      </w:tr>
      <w:tr w:rsidR="009E05A1" w:rsidRPr="00802B02" w14:paraId="66AE8237" w14:textId="77777777" w:rsidTr="00C915A3">
        <w:trPr>
          <w:trHeight w:val="1285"/>
        </w:trPr>
        <w:tc>
          <w:tcPr>
            <w:tcW w:w="3256" w:type="dxa"/>
            <w:hideMark/>
          </w:tcPr>
          <w:p w14:paraId="2C5AD29C" w14:textId="77777777" w:rsidR="009E05A1" w:rsidRPr="00802B02" w:rsidRDefault="009E05A1">
            <w:r w:rsidRPr="00802B02">
              <w:t>4-Adequate; on balance satisfies criteria; does not fail in any major area</w:t>
            </w:r>
          </w:p>
        </w:tc>
        <w:tc>
          <w:tcPr>
            <w:tcW w:w="5811" w:type="dxa"/>
            <w:hideMark/>
          </w:tcPr>
          <w:p w14:paraId="334E876F" w14:textId="77777777" w:rsidR="009E05A1" w:rsidRPr="00802B02" w:rsidRDefault="009E05A1">
            <w:r w:rsidRPr="00802B02">
              <w:t>Moderate evidence: Evidence derived from a more limited range of sources such as implementing agency reports, records of monitoring visits or records of discussions with partners and other stakeholders.</w:t>
            </w:r>
          </w:p>
        </w:tc>
      </w:tr>
      <w:tr w:rsidR="009E05A1" w:rsidRPr="00802B02" w14:paraId="0AD56212" w14:textId="77777777" w:rsidTr="00C915A3">
        <w:trPr>
          <w:trHeight w:val="300"/>
        </w:trPr>
        <w:tc>
          <w:tcPr>
            <w:tcW w:w="9067" w:type="dxa"/>
            <w:gridSpan w:val="2"/>
            <w:noWrap/>
            <w:hideMark/>
          </w:tcPr>
          <w:p w14:paraId="4FC67077" w14:textId="77777777" w:rsidR="009E05A1" w:rsidRPr="00802B02" w:rsidRDefault="009E05A1" w:rsidP="009E05A1">
            <w:pPr>
              <w:rPr>
                <w:b/>
                <w:bCs/>
              </w:rPr>
            </w:pPr>
            <w:r w:rsidRPr="00802B02">
              <w:rPr>
                <w:b/>
                <w:bCs/>
              </w:rPr>
              <w:t>Comments</w:t>
            </w:r>
          </w:p>
        </w:tc>
      </w:tr>
      <w:tr w:rsidR="009E05A1" w:rsidRPr="00802B02" w14:paraId="61FB07A2" w14:textId="77777777" w:rsidTr="00C915A3">
        <w:trPr>
          <w:trHeight w:val="1237"/>
        </w:trPr>
        <w:tc>
          <w:tcPr>
            <w:tcW w:w="9067" w:type="dxa"/>
            <w:gridSpan w:val="2"/>
            <w:hideMark/>
          </w:tcPr>
          <w:p w14:paraId="3720020A" w14:textId="77777777" w:rsidR="009E05A1" w:rsidRPr="00802B02" w:rsidRDefault="009E05A1" w:rsidP="009E05A1">
            <w:r w:rsidRPr="00802B02">
              <w:t>Not all beneficiaries used the IAFFORD card during and after the project based on the account of interviewed beneficiaries.</w:t>
            </w:r>
            <w:r w:rsidR="0024246B" w:rsidRPr="00802B02">
              <w:t xml:space="preserve"> </w:t>
            </w:r>
            <w:r w:rsidRPr="00802B02">
              <w:t>The DCT platform did not incrementally contribute to financial inclusion results obtained by IAFFORD.</w:t>
            </w:r>
            <w:r w:rsidR="0024246B" w:rsidRPr="00802B02">
              <w:t xml:space="preserve"> </w:t>
            </w:r>
            <w:r w:rsidRPr="00802B02">
              <w:t xml:space="preserve">The effectiveness of the DCT platform for DRR is well-supported by the evidence. </w:t>
            </w:r>
          </w:p>
        </w:tc>
      </w:tr>
      <w:tr w:rsidR="0056061B" w:rsidRPr="00802B02" w14:paraId="16ECA501" w14:textId="77777777" w:rsidTr="00C915A3">
        <w:trPr>
          <w:trHeight w:val="300"/>
        </w:trPr>
        <w:tc>
          <w:tcPr>
            <w:tcW w:w="3256" w:type="dxa"/>
            <w:noWrap/>
            <w:hideMark/>
          </w:tcPr>
          <w:p w14:paraId="7660AF0F" w14:textId="77777777" w:rsidR="0056061B" w:rsidRPr="00802B02" w:rsidRDefault="0056061B" w:rsidP="009E05A1">
            <w:pPr>
              <w:rPr>
                <w:b/>
                <w:bCs/>
              </w:rPr>
            </w:pPr>
            <w:r w:rsidRPr="00802B02">
              <w:rPr>
                <w:b/>
                <w:bCs/>
              </w:rPr>
              <w:t>Efficiency</w:t>
            </w:r>
          </w:p>
        </w:tc>
        <w:tc>
          <w:tcPr>
            <w:tcW w:w="5811" w:type="dxa"/>
          </w:tcPr>
          <w:p w14:paraId="7628D126" w14:textId="77777777" w:rsidR="0056061B" w:rsidRPr="00802B02" w:rsidRDefault="0056061B" w:rsidP="009E05A1">
            <w:pPr>
              <w:rPr>
                <w:b/>
                <w:bCs/>
              </w:rPr>
            </w:pPr>
            <w:r w:rsidRPr="00802B02">
              <w:rPr>
                <w:b/>
                <w:bCs/>
              </w:rPr>
              <w:t>Overall Rating:</w:t>
            </w:r>
            <w:r w:rsidR="0024246B" w:rsidRPr="00802B02">
              <w:rPr>
                <w:b/>
                <w:bCs/>
              </w:rPr>
              <w:t xml:space="preserve"> </w:t>
            </w:r>
            <w:r w:rsidRPr="00802B02">
              <w:t>Satisfactory</w:t>
            </w:r>
          </w:p>
        </w:tc>
      </w:tr>
      <w:tr w:rsidR="009E05A1" w:rsidRPr="00802B02" w14:paraId="41CB60C0" w14:textId="77777777" w:rsidTr="00C915A3">
        <w:trPr>
          <w:trHeight w:val="983"/>
        </w:trPr>
        <w:tc>
          <w:tcPr>
            <w:tcW w:w="3256" w:type="dxa"/>
            <w:hideMark/>
          </w:tcPr>
          <w:p w14:paraId="0F82D721" w14:textId="77777777" w:rsidR="009E05A1" w:rsidRPr="00802B02" w:rsidRDefault="009E05A1">
            <w:r w:rsidRPr="004703B3">
              <w:rPr>
                <w:b/>
                <w:bCs/>
              </w:rPr>
              <w:t>5-</w:t>
            </w:r>
            <w:r w:rsidRPr="00802B02">
              <w:t>Good; satisfies criteria in almost all areas</w:t>
            </w:r>
          </w:p>
        </w:tc>
        <w:tc>
          <w:tcPr>
            <w:tcW w:w="5811" w:type="dxa"/>
            <w:hideMark/>
          </w:tcPr>
          <w:p w14:paraId="2983D692" w14:textId="77777777" w:rsidR="009E05A1" w:rsidRPr="00802B02" w:rsidRDefault="009E05A1">
            <w:r w:rsidRPr="00802B02">
              <w:t>Moderate evidence: Evidence derived from a more limited range of sources such as implementing agency reports, records of monitoring visits or records of discussions with partners and other stakeholders.</w:t>
            </w:r>
          </w:p>
        </w:tc>
      </w:tr>
      <w:tr w:rsidR="009E05A1" w:rsidRPr="00802B02" w14:paraId="172261BE" w14:textId="77777777" w:rsidTr="00C915A3">
        <w:trPr>
          <w:trHeight w:val="300"/>
        </w:trPr>
        <w:tc>
          <w:tcPr>
            <w:tcW w:w="9067" w:type="dxa"/>
            <w:gridSpan w:val="2"/>
            <w:noWrap/>
            <w:hideMark/>
          </w:tcPr>
          <w:p w14:paraId="324B8B0E" w14:textId="77777777" w:rsidR="009E05A1" w:rsidRPr="00802B02" w:rsidRDefault="009E05A1" w:rsidP="009E05A1">
            <w:pPr>
              <w:rPr>
                <w:b/>
                <w:bCs/>
              </w:rPr>
            </w:pPr>
            <w:r w:rsidRPr="00802B02">
              <w:rPr>
                <w:b/>
                <w:bCs/>
              </w:rPr>
              <w:t>Comments</w:t>
            </w:r>
          </w:p>
        </w:tc>
      </w:tr>
      <w:tr w:rsidR="009E05A1" w:rsidRPr="00802B02" w14:paraId="0365A094" w14:textId="77777777" w:rsidTr="00C915A3">
        <w:trPr>
          <w:trHeight w:val="300"/>
        </w:trPr>
        <w:tc>
          <w:tcPr>
            <w:tcW w:w="9067" w:type="dxa"/>
            <w:gridSpan w:val="2"/>
            <w:hideMark/>
          </w:tcPr>
          <w:p w14:paraId="1D0C7EB5" w14:textId="77777777" w:rsidR="009E05A1" w:rsidRPr="00802B02" w:rsidRDefault="009E05A1" w:rsidP="009E05A1">
            <w:r w:rsidRPr="00802B02">
              <w:t>While the original target of 50k stated in the proposal was not achieved due to the shift in geographic coverage and mandate of IAFFORD, the new target of 35k exceeded.</w:t>
            </w:r>
            <w:r w:rsidR="0024246B" w:rsidRPr="00802B02">
              <w:t xml:space="preserve"> </w:t>
            </w:r>
            <w:r w:rsidRPr="00802B02">
              <w:t>The IAFFORD design proved to be flexible enough to include a DRR component in addition to its original financial inclusion mandate.</w:t>
            </w:r>
          </w:p>
        </w:tc>
      </w:tr>
      <w:tr w:rsidR="0056061B" w:rsidRPr="00802B02" w14:paraId="19B705B4" w14:textId="77777777" w:rsidTr="00C915A3">
        <w:trPr>
          <w:trHeight w:val="300"/>
        </w:trPr>
        <w:tc>
          <w:tcPr>
            <w:tcW w:w="3256" w:type="dxa"/>
            <w:noWrap/>
            <w:hideMark/>
          </w:tcPr>
          <w:p w14:paraId="6CCDF16E" w14:textId="77777777" w:rsidR="0056061B" w:rsidRPr="00802B02" w:rsidRDefault="0056061B" w:rsidP="009E05A1">
            <w:pPr>
              <w:rPr>
                <w:b/>
                <w:bCs/>
              </w:rPr>
            </w:pPr>
            <w:r w:rsidRPr="00802B02">
              <w:rPr>
                <w:b/>
                <w:bCs/>
              </w:rPr>
              <w:t xml:space="preserve">Relevance </w:t>
            </w:r>
          </w:p>
        </w:tc>
        <w:tc>
          <w:tcPr>
            <w:tcW w:w="5811" w:type="dxa"/>
          </w:tcPr>
          <w:p w14:paraId="33B3F47C" w14:textId="77777777" w:rsidR="0056061B" w:rsidRPr="00802B02" w:rsidRDefault="0056061B" w:rsidP="009E05A1">
            <w:pPr>
              <w:rPr>
                <w:b/>
                <w:bCs/>
              </w:rPr>
            </w:pPr>
            <w:r w:rsidRPr="00802B02">
              <w:rPr>
                <w:b/>
                <w:bCs/>
              </w:rPr>
              <w:t>Overall Rating:</w:t>
            </w:r>
            <w:r w:rsidR="0024246B" w:rsidRPr="00802B02">
              <w:rPr>
                <w:b/>
                <w:bCs/>
              </w:rPr>
              <w:t xml:space="preserve"> </w:t>
            </w:r>
            <w:r w:rsidRPr="00802B02">
              <w:t>Satisfactory</w:t>
            </w:r>
          </w:p>
        </w:tc>
      </w:tr>
      <w:tr w:rsidR="009E05A1" w:rsidRPr="00802B02" w14:paraId="4E23CE59" w14:textId="77777777" w:rsidTr="00C915A3">
        <w:trPr>
          <w:trHeight w:val="1500"/>
        </w:trPr>
        <w:tc>
          <w:tcPr>
            <w:tcW w:w="3256" w:type="dxa"/>
            <w:hideMark/>
          </w:tcPr>
          <w:p w14:paraId="1D6276E7" w14:textId="77777777" w:rsidR="009E05A1" w:rsidRPr="00802B02" w:rsidRDefault="009E05A1">
            <w:r w:rsidRPr="004703B3">
              <w:rPr>
                <w:b/>
                <w:bCs/>
              </w:rPr>
              <w:t>6-</w:t>
            </w:r>
            <w:r w:rsidRPr="00802B02">
              <w:t>Very good; satisfies criteria in all areas</w:t>
            </w:r>
          </w:p>
        </w:tc>
        <w:tc>
          <w:tcPr>
            <w:tcW w:w="5811" w:type="dxa"/>
            <w:hideMark/>
          </w:tcPr>
          <w:p w14:paraId="65782B58" w14:textId="77777777" w:rsidR="009E05A1" w:rsidRPr="00802B02" w:rsidRDefault="009E05A1">
            <w:r w:rsidRPr="00802B02">
              <w:t>Strong evidence: Evidence derived from multiple reliable sources such as independent reviews/evaluations, quality assured monitoring data, implementing agency reports validated by monitoring trips, and independent research conducted in the sector.</w:t>
            </w:r>
          </w:p>
        </w:tc>
      </w:tr>
      <w:tr w:rsidR="009E05A1" w:rsidRPr="00802B02" w14:paraId="50B3259F" w14:textId="77777777" w:rsidTr="00C915A3">
        <w:trPr>
          <w:trHeight w:val="300"/>
        </w:trPr>
        <w:tc>
          <w:tcPr>
            <w:tcW w:w="9067" w:type="dxa"/>
            <w:gridSpan w:val="2"/>
            <w:noWrap/>
            <w:hideMark/>
          </w:tcPr>
          <w:p w14:paraId="4EAFFE14" w14:textId="77777777" w:rsidR="009E05A1" w:rsidRPr="00802B02" w:rsidRDefault="009E05A1" w:rsidP="009E05A1">
            <w:pPr>
              <w:rPr>
                <w:b/>
                <w:bCs/>
              </w:rPr>
            </w:pPr>
            <w:r w:rsidRPr="00802B02">
              <w:rPr>
                <w:b/>
                <w:bCs/>
              </w:rPr>
              <w:t>Comments</w:t>
            </w:r>
          </w:p>
        </w:tc>
      </w:tr>
      <w:tr w:rsidR="009E05A1" w:rsidRPr="00802B02" w14:paraId="2681E490" w14:textId="77777777" w:rsidTr="00C915A3">
        <w:trPr>
          <w:trHeight w:val="300"/>
        </w:trPr>
        <w:tc>
          <w:tcPr>
            <w:tcW w:w="9067" w:type="dxa"/>
            <w:gridSpan w:val="2"/>
            <w:hideMark/>
          </w:tcPr>
          <w:p w14:paraId="03B7353C" w14:textId="77777777" w:rsidR="009E05A1" w:rsidRPr="00802B02" w:rsidRDefault="009E05A1">
            <w:r w:rsidRPr="00802B02">
              <w:t xml:space="preserve">No doubt that the project is relevant </w:t>
            </w:r>
          </w:p>
        </w:tc>
      </w:tr>
      <w:tr w:rsidR="0056061B" w:rsidRPr="00802B02" w14:paraId="382251DD" w14:textId="77777777" w:rsidTr="00C915A3">
        <w:trPr>
          <w:trHeight w:val="300"/>
        </w:trPr>
        <w:tc>
          <w:tcPr>
            <w:tcW w:w="3256" w:type="dxa"/>
            <w:noWrap/>
            <w:hideMark/>
          </w:tcPr>
          <w:p w14:paraId="602A30C4" w14:textId="77777777" w:rsidR="0056061B" w:rsidRPr="00802B02" w:rsidRDefault="0056061B" w:rsidP="009E05A1">
            <w:pPr>
              <w:rPr>
                <w:b/>
                <w:bCs/>
              </w:rPr>
            </w:pPr>
            <w:r w:rsidRPr="00802B02">
              <w:rPr>
                <w:b/>
                <w:bCs/>
              </w:rPr>
              <w:t xml:space="preserve">Gender Equality </w:t>
            </w:r>
          </w:p>
        </w:tc>
        <w:tc>
          <w:tcPr>
            <w:tcW w:w="5811" w:type="dxa"/>
          </w:tcPr>
          <w:p w14:paraId="4D9DC1D8" w14:textId="77777777" w:rsidR="0056061B" w:rsidRPr="00802B02" w:rsidRDefault="0056061B" w:rsidP="009E05A1">
            <w:pPr>
              <w:rPr>
                <w:b/>
                <w:bCs/>
              </w:rPr>
            </w:pPr>
            <w:r w:rsidRPr="00802B02">
              <w:rPr>
                <w:b/>
                <w:bCs/>
              </w:rPr>
              <w:t>Overall Rating:</w:t>
            </w:r>
            <w:r w:rsidR="0024246B" w:rsidRPr="00802B02">
              <w:rPr>
                <w:b/>
                <w:bCs/>
              </w:rPr>
              <w:t xml:space="preserve"> </w:t>
            </w:r>
            <w:r w:rsidRPr="00802B02">
              <w:t>Satisfactory</w:t>
            </w:r>
          </w:p>
        </w:tc>
      </w:tr>
      <w:tr w:rsidR="009E05A1" w:rsidRPr="00802B02" w14:paraId="2DE534D1" w14:textId="77777777" w:rsidTr="00C915A3">
        <w:trPr>
          <w:trHeight w:val="1200"/>
        </w:trPr>
        <w:tc>
          <w:tcPr>
            <w:tcW w:w="3256" w:type="dxa"/>
            <w:hideMark/>
          </w:tcPr>
          <w:p w14:paraId="17AB4F53" w14:textId="77777777" w:rsidR="009E05A1" w:rsidRPr="00802B02" w:rsidRDefault="009E05A1">
            <w:r w:rsidRPr="004703B3">
              <w:rPr>
                <w:b/>
                <w:bCs/>
              </w:rPr>
              <w:t>4-</w:t>
            </w:r>
            <w:r w:rsidRPr="00802B02">
              <w:t>Adequate; on balance satisfies criteria; does not fail in any major area</w:t>
            </w:r>
          </w:p>
        </w:tc>
        <w:tc>
          <w:tcPr>
            <w:tcW w:w="5811" w:type="dxa"/>
            <w:hideMark/>
          </w:tcPr>
          <w:p w14:paraId="220ED3EF" w14:textId="77777777" w:rsidR="009E05A1" w:rsidRPr="00802B02" w:rsidRDefault="009E05A1">
            <w:r w:rsidRPr="00802B02">
              <w:t>Moderate evidence: Evidence derived from a more limited range of sources such as implementing agency reports, records of monitoring visits or records of discussions with partners and other stakeholders.</w:t>
            </w:r>
          </w:p>
        </w:tc>
      </w:tr>
      <w:tr w:rsidR="0056061B" w:rsidRPr="00802B02" w14:paraId="34CE05DB" w14:textId="77777777" w:rsidTr="00C915A3">
        <w:trPr>
          <w:trHeight w:val="300"/>
        </w:trPr>
        <w:tc>
          <w:tcPr>
            <w:tcW w:w="3256" w:type="dxa"/>
            <w:noWrap/>
            <w:hideMark/>
          </w:tcPr>
          <w:p w14:paraId="4D280A38" w14:textId="77777777" w:rsidR="0056061B" w:rsidRPr="00802B02" w:rsidRDefault="0056061B" w:rsidP="009E05A1">
            <w:pPr>
              <w:rPr>
                <w:b/>
                <w:bCs/>
              </w:rPr>
            </w:pPr>
            <w:r w:rsidRPr="00802B02">
              <w:rPr>
                <w:b/>
                <w:bCs/>
              </w:rPr>
              <w:t>Sustainability</w:t>
            </w:r>
          </w:p>
        </w:tc>
        <w:tc>
          <w:tcPr>
            <w:tcW w:w="5811" w:type="dxa"/>
          </w:tcPr>
          <w:p w14:paraId="141CED73" w14:textId="77777777" w:rsidR="0056061B" w:rsidRPr="00802B02" w:rsidRDefault="0056061B" w:rsidP="009E05A1">
            <w:pPr>
              <w:rPr>
                <w:b/>
                <w:bCs/>
              </w:rPr>
            </w:pPr>
            <w:r w:rsidRPr="00802B02">
              <w:rPr>
                <w:b/>
                <w:bCs/>
              </w:rPr>
              <w:t>Overall Rating:</w:t>
            </w:r>
            <w:r w:rsidR="0024246B" w:rsidRPr="00802B02">
              <w:rPr>
                <w:b/>
                <w:bCs/>
              </w:rPr>
              <w:t xml:space="preserve"> </w:t>
            </w:r>
            <w:r w:rsidR="004703B3" w:rsidRPr="004703B3">
              <w:t>Uns</w:t>
            </w:r>
            <w:r w:rsidRPr="00802B02">
              <w:t>atisfactory</w:t>
            </w:r>
          </w:p>
        </w:tc>
      </w:tr>
      <w:tr w:rsidR="009E05A1" w:rsidRPr="00802B02" w14:paraId="44AF2662" w14:textId="77777777" w:rsidTr="00C915A3">
        <w:trPr>
          <w:trHeight w:val="1200"/>
        </w:trPr>
        <w:tc>
          <w:tcPr>
            <w:tcW w:w="3256" w:type="dxa"/>
            <w:hideMark/>
          </w:tcPr>
          <w:p w14:paraId="5EC37B6C" w14:textId="77777777" w:rsidR="009E05A1" w:rsidRPr="00802B02" w:rsidRDefault="009E05A1" w:rsidP="009E05A1">
            <w:r w:rsidRPr="00CE7F90">
              <w:rPr>
                <w:b/>
                <w:bCs/>
              </w:rPr>
              <w:t>3-</w:t>
            </w:r>
            <w:r w:rsidRPr="00802B02">
              <w:t>Less than adequate; on balance does not satisfy criteria and/or fails in at least one major area</w:t>
            </w:r>
          </w:p>
        </w:tc>
        <w:tc>
          <w:tcPr>
            <w:tcW w:w="5811" w:type="dxa"/>
            <w:hideMark/>
          </w:tcPr>
          <w:p w14:paraId="0C62C869" w14:textId="77777777" w:rsidR="009E05A1" w:rsidRPr="00802B02" w:rsidRDefault="009E05A1">
            <w:r w:rsidRPr="00802B02">
              <w:t>Moderate evidence: Evidence derived from a more limited range of sources such as implementing agency reports, records of monitoring visits or records of discussions with partners and other stakeholders.</w:t>
            </w:r>
          </w:p>
        </w:tc>
      </w:tr>
      <w:tr w:rsidR="009E05A1" w:rsidRPr="00802B02" w14:paraId="1E8EF82D" w14:textId="77777777" w:rsidTr="00C915A3">
        <w:trPr>
          <w:trHeight w:val="300"/>
        </w:trPr>
        <w:tc>
          <w:tcPr>
            <w:tcW w:w="9067" w:type="dxa"/>
            <w:gridSpan w:val="2"/>
            <w:noWrap/>
            <w:hideMark/>
          </w:tcPr>
          <w:p w14:paraId="0E6046F6" w14:textId="77777777" w:rsidR="009E05A1" w:rsidRPr="00802B02" w:rsidRDefault="009E05A1" w:rsidP="009E05A1">
            <w:pPr>
              <w:rPr>
                <w:b/>
                <w:bCs/>
              </w:rPr>
            </w:pPr>
            <w:r w:rsidRPr="00802B02">
              <w:rPr>
                <w:b/>
                <w:bCs/>
              </w:rPr>
              <w:t>Comments</w:t>
            </w:r>
          </w:p>
        </w:tc>
      </w:tr>
      <w:tr w:rsidR="009E05A1" w:rsidRPr="00802B02" w14:paraId="6AED4C32" w14:textId="77777777" w:rsidTr="00C915A3">
        <w:trPr>
          <w:trHeight w:val="300"/>
        </w:trPr>
        <w:tc>
          <w:tcPr>
            <w:tcW w:w="9067" w:type="dxa"/>
            <w:gridSpan w:val="2"/>
            <w:hideMark/>
          </w:tcPr>
          <w:p w14:paraId="6DD3A1A6" w14:textId="77777777" w:rsidR="009E05A1" w:rsidRPr="00802B02" w:rsidRDefault="009E05A1" w:rsidP="009E05A1">
            <w:r w:rsidRPr="00802B02">
              <w:t xml:space="preserve">There was not enough support provided to local microfinance financial institutions such as OCCI to sustain the IAFFORD project gains, and </w:t>
            </w:r>
            <w:r w:rsidR="002F628B">
              <w:t>dormancy</w:t>
            </w:r>
            <w:r w:rsidRPr="00802B02">
              <w:t xml:space="preserve"> of cards</w:t>
            </w:r>
            <w:r w:rsidR="00714F5D" w:rsidRPr="00802B02">
              <w:t>.</w:t>
            </w:r>
          </w:p>
        </w:tc>
      </w:tr>
    </w:tbl>
    <w:p w14:paraId="54B06546" w14:textId="77777777" w:rsidR="00404C34" w:rsidRPr="00802B02" w:rsidRDefault="004F70AF" w:rsidP="00D47813">
      <w:pPr>
        <w:pStyle w:val="Heading1"/>
        <w:spacing w:before="200"/>
        <w:ind w:left="431" w:hanging="431"/>
      </w:pPr>
      <w:bookmarkStart w:id="24" w:name="_Toc26180887"/>
      <w:r w:rsidRPr="00802B02">
        <w:t>Lessons Learned</w:t>
      </w:r>
      <w:bookmarkEnd w:id="24"/>
    </w:p>
    <w:p w14:paraId="0E2A202D" w14:textId="77777777" w:rsidR="003215F5" w:rsidRPr="003A7E3C" w:rsidRDefault="002A7C93" w:rsidP="00D9135B">
      <w:pPr>
        <w:pStyle w:val="ListParagraph"/>
        <w:numPr>
          <w:ilvl w:val="0"/>
          <w:numId w:val="37"/>
        </w:numPr>
        <w:spacing w:after="200"/>
        <w:rPr>
          <w:b/>
        </w:rPr>
      </w:pPr>
      <w:bookmarkStart w:id="25" w:name="_Hlk25700205"/>
      <w:r w:rsidRPr="003A7E3C">
        <w:rPr>
          <w:b/>
        </w:rPr>
        <w:t>M&amp;E Systems</w:t>
      </w:r>
    </w:p>
    <w:p w14:paraId="0121077D" w14:textId="77777777" w:rsidR="00195C25" w:rsidRPr="00802B02" w:rsidRDefault="00214CF5" w:rsidP="00D47813">
      <w:pPr>
        <w:spacing w:after="0"/>
        <w:rPr>
          <w:lang w:val="en-CA" w:bidi="hi-IN"/>
        </w:rPr>
      </w:pPr>
      <w:r w:rsidRPr="00802B02">
        <w:rPr>
          <w:lang w:val="en-CA" w:bidi="hi-IN"/>
        </w:rPr>
        <w:t xml:space="preserve">The IAFFORD </w:t>
      </w:r>
      <w:r w:rsidR="003215F5" w:rsidRPr="00802B02">
        <w:rPr>
          <w:lang w:val="en-CA" w:bidi="hi-IN"/>
        </w:rPr>
        <w:t>DCT platform</w:t>
      </w:r>
      <w:r w:rsidRPr="00802B02">
        <w:rPr>
          <w:lang w:val="en-CA" w:bidi="hi-IN"/>
        </w:rPr>
        <w:t xml:space="preserve">, as </w:t>
      </w:r>
      <w:r w:rsidR="004F4C3B" w:rsidRPr="00802B02">
        <w:rPr>
          <w:lang w:val="en-CA" w:bidi="hi-IN"/>
        </w:rPr>
        <w:t xml:space="preserve">with </w:t>
      </w:r>
      <w:r w:rsidRPr="00802B02">
        <w:rPr>
          <w:lang w:val="en-CA" w:bidi="hi-IN"/>
        </w:rPr>
        <w:t>all information systems,</w:t>
      </w:r>
      <w:r w:rsidR="003215F5" w:rsidRPr="00802B02">
        <w:rPr>
          <w:lang w:val="en-CA" w:bidi="hi-IN"/>
        </w:rPr>
        <w:t xml:space="preserve"> generate</w:t>
      </w:r>
      <w:r w:rsidR="00E538FD" w:rsidRPr="00802B02">
        <w:rPr>
          <w:lang w:val="en-CA" w:bidi="hi-IN"/>
        </w:rPr>
        <w:t>d</w:t>
      </w:r>
      <w:r w:rsidRPr="00802B02">
        <w:rPr>
          <w:lang w:val="en-CA" w:bidi="hi-IN"/>
        </w:rPr>
        <w:t xml:space="preserve"> a large amount of data on th</w:t>
      </w:r>
      <w:r w:rsidR="004F4C3B" w:rsidRPr="00802B02">
        <w:rPr>
          <w:lang w:val="en-CA" w:bidi="hi-IN"/>
        </w:rPr>
        <w:t xml:space="preserve">e use of digital transactions by </w:t>
      </w:r>
      <w:r w:rsidR="004C16B0" w:rsidRPr="00802B02">
        <w:rPr>
          <w:lang w:val="en-CA" w:bidi="hi-IN"/>
        </w:rPr>
        <w:t xml:space="preserve">the </w:t>
      </w:r>
      <w:r w:rsidR="004F4C3B" w:rsidRPr="00802B02">
        <w:rPr>
          <w:lang w:val="en-CA" w:bidi="hi-IN"/>
        </w:rPr>
        <w:t>IAFFORD beneficiaries</w:t>
      </w:r>
      <w:r w:rsidR="00D276F6" w:rsidRPr="00802B02">
        <w:rPr>
          <w:lang w:val="en-CA" w:bidi="hi-IN"/>
        </w:rPr>
        <w:t>.</w:t>
      </w:r>
      <w:r w:rsidR="004F4C3B" w:rsidRPr="00802B02">
        <w:rPr>
          <w:lang w:val="en-CA" w:bidi="hi-IN"/>
        </w:rPr>
        <w:t xml:space="preserve"> </w:t>
      </w:r>
      <w:r w:rsidR="00D276F6" w:rsidRPr="00802B02">
        <w:rPr>
          <w:lang w:val="en-CA" w:bidi="hi-IN"/>
        </w:rPr>
        <w:t>This data</w:t>
      </w:r>
      <w:r w:rsidR="004F4C3B" w:rsidRPr="00802B02">
        <w:rPr>
          <w:lang w:val="en-CA" w:bidi="hi-IN"/>
        </w:rPr>
        <w:t xml:space="preserve"> could have yielded valuable information on how the platform can</w:t>
      </w:r>
      <w:r w:rsidR="00195C25" w:rsidRPr="00802B02">
        <w:rPr>
          <w:lang w:val="en-CA" w:bidi="hi-IN"/>
        </w:rPr>
        <w:t xml:space="preserve"> be used</w:t>
      </w:r>
      <w:r w:rsidR="004F4C3B" w:rsidRPr="00802B02">
        <w:rPr>
          <w:lang w:val="en-CA" w:bidi="hi-IN"/>
        </w:rPr>
        <w:t xml:space="preserve"> </w:t>
      </w:r>
      <w:r w:rsidR="00F04686" w:rsidRPr="00802B02">
        <w:rPr>
          <w:lang w:val="en-CA" w:bidi="hi-IN"/>
        </w:rPr>
        <w:t>to deliver digital financial services</w:t>
      </w:r>
      <w:r w:rsidR="004F4C3B" w:rsidRPr="00802B02">
        <w:rPr>
          <w:lang w:val="en-CA" w:bidi="hi-IN"/>
        </w:rPr>
        <w:t xml:space="preserve">. Yet, none of this transactional information, which could have been generated by Pay Maya, appeared in the IAFFORD </w:t>
      </w:r>
      <w:r w:rsidR="004C16B0" w:rsidRPr="00802B02">
        <w:rPr>
          <w:lang w:val="en-CA" w:bidi="hi-IN"/>
        </w:rPr>
        <w:t>f</w:t>
      </w:r>
      <w:r w:rsidR="004F4C3B" w:rsidRPr="00802B02">
        <w:rPr>
          <w:lang w:val="en-CA" w:bidi="hi-IN"/>
        </w:rPr>
        <w:t xml:space="preserve">inal </w:t>
      </w:r>
      <w:r w:rsidR="004C16B0" w:rsidRPr="00802B02">
        <w:rPr>
          <w:lang w:val="en-CA" w:bidi="hi-IN"/>
        </w:rPr>
        <w:t>r</w:t>
      </w:r>
      <w:r w:rsidR="004F4C3B" w:rsidRPr="00802B02">
        <w:rPr>
          <w:lang w:val="en-CA" w:bidi="hi-IN"/>
        </w:rPr>
        <w:t xml:space="preserve">eport </w:t>
      </w:r>
      <w:r w:rsidR="00195C25" w:rsidRPr="00802B02">
        <w:rPr>
          <w:lang w:val="en-CA" w:bidi="hi-IN"/>
        </w:rPr>
        <w:t xml:space="preserve">or in any other publication. As described in </w:t>
      </w:r>
      <w:r w:rsidR="006E4989" w:rsidRPr="00802B02">
        <w:rPr>
          <w:lang w:val="en-CA" w:bidi="hi-IN"/>
        </w:rPr>
        <w:t>this evaluation</w:t>
      </w:r>
      <w:r w:rsidR="00195C25" w:rsidRPr="00802B02">
        <w:rPr>
          <w:lang w:val="en-CA" w:bidi="hi-IN"/>
        </w:rPr>
        <w:t>, the continued use of the IAFFORD platform, or any other DCT platform, is conditional.</w:t>
      </w:r>
      <w:r w:rsidR="0024246B" w:rsidRPr="00802B02">
        <w:rPr>
          <w:lang w:val="en-CA" w:bidi="hi-IN"/>
        </w:rPr>
        <w:t xml:space="preserve"> </w:t>
      </w:r>
      <w:r w:rsidR="006E4989" w:rsidRPr="00802B02">
        <w:rPr>
          <w:lang w:val="en-CA" w:bidi="hi-IN"/>
        </w:rPr>
        <w:t>Analysing</w:t>
      </w:r>
      <w:r w:rsidR="00195C25" w:rsidRPr="00802B02">
        <w:rPr>
          <w:lang w:val="en-CA" w:bidi="hi-IN"/>
        </w:rPr>
        <w:t xml:space="preserve"> </w:t>
      </w:r>
      <w:r w:rsidR="006E4989" w:rsidRPr="00802B02">
        <w:rPr>
          <w:lang w:val="en-CA" w:bidi="hi-IN"/>
        </w:rPr>
        <w:t xml:space="preserve">patterns of </w:t>
      </w:r>
      <w:r w:rsidR="00195C25" w:rsidRPr="00802B02">
        <w:rPr>
          <w:lang w:val="en-CA" w:bidi="hi-IN"/>
        </w:rPr>
        <w:t xml:space="preserve">IAFFORD card usage by beneficiaries </w:t>
      </w:r>
      <w:r w:rsidR="006E4989" w:rsidRPr="00802B02">
        <w:rPr>
          <w:lang w:val="en-CA" w:bidi="hi-IN"/>
        </w:rPr>
        <w:t>is an evidenced-based way of</w:t>
      </w:r>
      <w:r w:rsidR="00195C25" w:rsidRPr="00802B02">
        <w:rPr>
          <w:lang w:val="en-CA" w:bidi="hi-IN"/>
        </w:rPr>
        <w:t xml:space="preserve"> fulfill</w:t>
      </w:r>
      <w:r w:rsidR="006E4989" w:rsidRPr="00802B02">
        <w:rPr>
          <w:lang w:val="en-CA" w:bidi="hi-IN"/>
        </w:rPr>
        <w:t>ing</w:t>
      </w:r>
      <w:r w:rsidR="00195C25" w:rsidRPr="00802B02">
        <w:rPr>
          <w:lang w:val="en-CA" w:bidi="hi-IN"/>
        </w:rPr>
        <w:t xml:space="preserve"> these conditions. </w:t>
      </w:r>
      <w:r w:rsidR="006E4989" w:rsidRPr="00802B02">
        <w:rPr>
          <w:lang w:val="en-CA" w:bidi="hi-IN"/>
        </w:rPr>
        <w:t>As per DFAT guidance, an indication of investment quality is the use of partner systems</w:t>
      </w:r>
      <w:r w:rsidR="0096236C" w:rsidRPr="00802B02">
        <w:rPr>
          <w:rStyle w:val="FooterChar"/>
        </w:rPr>
        <w:footnoteReference w:id="13"/>
      </w:r>
      <w:r w:rsidR="006E4989" w:rsidRPr="00802B02">
        <w:rPr>
          <w:lang w:val="en-CA" w:bidi="hi-IN"/>
        </w:rPr>
        <w:t>. IAFFORD did not make effective of use of Pay Maya’s data nor its expertise in analytics</w:t>
      </w:r>
      <w:r w:rsidR="00D276F6" w:rsidRPr="00802B02">
        <w:rPr>
          <w:lang w:val="en-CA" w:bidi="hi-IN"/>
        </w:rPr>
        <w:t>.</w:t>
      </w:r>
    </w:p>
    <w:p w14:paraId="6B28EF2B" w14:textId="77777777" w:rsidR="003215F5" w:rsidRPr="00802B02" w:rsidRDefault="00D276F6" w:rsidP="00D9135B">
      <w:pPr>
        <w:rPr>
          <w:lang w:val="en-CA" w:bidi="hi-IN"/>
        </w:rPr>
      </w:pPr>
      <w:r w:rsidRPr="00802B02">
        <w:rPr>
          <w:lang w:val="en-CA" w:bidi="hi-IN"/>
        </w:rPr>
        <w:t>With respect to future DFAT investments</w:t>
      </w:r>
      <w:r w:rsidR="00CD750D" w:rsidRPr="00802B02">
        <w:rPr>
          <w:lang w:val="en-CA" w:bidi="hi-IN"/>
        </w:rPr>
        <w:t xml:space="preserve">, it is important that the M&amp;E systems of investments with a digital cash component be robust and </w:t>
      </w:r>
      <w:r w:rsidR="0096236C" w:rsidRPr="00802B02">
        <w:rPr>
          <w:lang w:val="en-CA" w:bidi="hi-IN"/>
        </w:rPr>
        <w:t>built for purpose</w:t>
      </w:r>
      <w:r w:rsidR="00CD750D" w:rsidRPr="00802B02">
        <w:rPr>
          <w:lang w:val="en-CA" w:bidi="hi-IN"/>
        </w:rPr>
        <w:t xml:space="preserve">. This means making effective use of partner systems’ data </w:t>
      </w:r>
      <w:r w:rsidR="0096236C" w:rsidRPr="00802B02">
        <w:rPr>
          <w:lang w:val="en-CA" w:bidi="hi-IN"/>
        </w:rPr>
        <w:t xml:space="preserve">to generate decisions on how to sustain the use </w:t>
      </w:r>
      <w:r w:rsidR="009322AD" w:rsidRPr="00802B02">
        <w:rPr>
          <w:lang w:val="en-CA" w:bidi="hi-IN"/>
        </w:rPr>
        <w:t xml:space="preserve">of </w:t>
      </w:r>
      <w:r w:rsidR="0096236C" w:rsidRPr="00802B02">
        <w:rPr>
          <w:lang w:val="en-CA" w:bidi="hi-IN"/>
        </w:rPr>
        <w:t xml:space="preserve">a </w:t>
      </w:r>
      <w:r w:rsidR="009322AD" w:rsidRPr="00802B02">
        <w:rPr>
          <w:lang w:val="en-CA" w:bidi="hi-IN"/>
        </w:rPr>
        <w:t>digital cash</w:t>
      </w:r>
      <w:r w:rsidR="0096236C" w:rsidRPr="00802B02">
        <w:rPr>
          <w:lang w:val="en-CA" w:bidi="hi-IN"/>
        </w:rPr>
        <w:t xml:space="preserve"> platform</w:t>
      </w:r>
      <w:r w:rsidR="009322AD" w:rsidRPr="00802B02">
        <w:rPr>
          <w:lang w:val="en-CA" w:bidi="hi-IN"/>
        </w:rPr>
        <w:t xml:space="preserve">. This in turn means taking advantage of partners’ expertise with analysing large amounts of financial/transactional data. Staff in the investment </w:t>
      </w:r>
      <w:r w:rsidR="00451866" w:rsidRPr="00802B02">
        <w:rPr>
          <w:lang w:val="en-CA" w:bidi="hi-IN"/>
        </w:rPr>
        <w:t>proper</w:t>
      </w:r>
      <w:r w:rsidR="001137C9" w:rsidRPr="00802B02">
        <w:rPr>
          <w:lang w:val="en-CA" w:bidi="hi-IN"/>
        </w:rPr>
        <w:t xml:space="preserve"> </w:t>
      </w:r>
      <w:r w:rsidR="009322AD" w:rsidRPr="00802B02">
        <w:rPr>
          <w:lang w:val="en-CA" w:bidi="hi-IN"/>
        </w:rPr>
        <w:t xml:space="preserve">should </w:t>
      </w:r>
      <w:r w:rsidR="0096236C" w:rsidRPr="00802B02">
        <w:rPr>
          <w:lang w:val="en-CA" w:bidi="hi-IN"/>
        </w:rPr>
        <w:t xml:space="preserve">then </w:t>
      </w:r>
      <w:r w:rsidR="009322AD" w:rsidRPr="00802B02">
        <w:rPr>
          <w:lang w:val="en-CA" w:bidi="hi-IN"/>
        </w:rPr>
        <w:t>be able to take this information and use it to make decisions about investment interventions</w:t>
      </w:r>
      <w:r w:rsidR="009D3FFA" w:rsidRPr="00802B02">
        <w:rPr>
          <w:lang w:val="en-CA" w:bidi="hi-IN"/>
        </w:rPr>
        <w:t>, related to digital cash</w:t>
      </w:r>
      <w:r w:rsidR="009322AD" w:rsidRPr="00802B02">
        <w:rPr>
          <w:lang w:val="en-CA" w:bidi="hi-IN"/>
        </w:rPr>
        <w:t>.</w:t>
      </w:r>
    </w:p>
    <w:p w14:paraId="1C6C3DA2" w14:textId="77777777" w:rsidR="002A7C93" w:rsidRPr="003A7E3C" w:rsidRDefault="0096236C" w:rsidP="00D9135B">
      <w:pPr>
        <w:pStyle w:val="ListParagraph"/>
        <w:numPr>
          <w:ilvl w:val="0"/>
          <w:numId w:val="37"/>
        </w:numPr>
        <w:spacing w:after="200"/>
        <w:rPr>
          <w:b/>
        </w:rPr>
      </w:pPr>
      <w:r w:rsidRPr="003A7E3C">
        <w:rPr>
          <w:b/>
        </w:rPr>
        <w:t>Investment</w:t>
      </w:r>
      <w:r w:rsidR="003215F5" w:rsidRPr="003A7E3C">
        <w:rPr>
          <w:b/>
        </w:rPr>
        <w:t xml:space="preserve"> Governance</w:t>
      </w:r>
    </w:p>
    <w:p w14:paraId="7F853C5A" w14:textId="77777777" w:rsidR="002A5C46" w:rsidRPr="00802B02" w:rsidRDefault="002E5428" w:rsidP="00D9135B">
      <w:pPr>
        <w:rPr>
          <w:lang w:val="en-CA" w:bidi="hi-IN"/>
        </w:rPr>
      </w:pPr>
      <w:r w:rsidRPr="00802B02">
        <w:rPr>
          <w:lang w:val="en-CA" w:bidi="hi-IN"/>
        </w:rPr>
        <w:t>As described in this evaluation report, part of the rationale for funding IAFFORD is to rigorously test the innovative potential of digital cash in the context of development interventions.</w:t>
      </w:r>
      <w:r w:rsidR="0024246B" w:rsidRPr="00802B02">
        <w:rPr>
          <w:lang w:val="en-CA" w:bidi="hi-IN"/>
        </w:rPr>
        <w:t xml:space="preserve"> </w:t>
      </w:r>
      <w:r w:rsidRPr="00802B02">
        <w:rPr>
          <w:lang w:val="en-CA" w:bidi="hi-IN"/>
        </w:rPr>
        <w:t xml:space="preserve">The involvement of </w:t>
      </w:r>
      <w:r w:rsidR="0052252F" w:rsidRPr="00802B02">
        <w:rPr>
          <w:lang w:val="en-CA" w:bidi="hi-IN"/>
        </w:rPr>
        <w:t xml:space="preserve">DFAT’s </w:t>
      </w:r>
      <w:r w:rsidR="0052252F" w:rsidRPr="00802B02">
        <w:t xml:space="preserve">InnovationXchange (iXc), </w:t>
      </w:r>
      <w:r w:rsidR="0052252F" w:rsidRPr="00802B02">
        <w:rPr>
          <w:lang w:val="en-CA" w:bidi="hi-IN"/>
        </w:rPr>
        <w:t xml:space="preserve">centre and the Google Challenge </w:t>
      </w:r>
      <w:r w:rsidR="00A17832" w:rsidRPr="00802B02">
        <w:rPr>
          <w:lang w:val="en-CA" w:bidi="hi-IN"/>
        </w:rPr>
        <w:t>F</w:t>
      </w:r>
      <w:r w:rsidR="0052252F" w:rsidRPr="00802B02">
        <w:rPr>
          <w:lang w:val="en-CA" w:bidi="hi-IN"/>
        </w:rPr>
        <w:t>und are both indications of this premise.</w:t>
      </w:r>
      <w:r w:rsidR="0024246B" w:rsidRPr="00802B02">
        <w:rPr>
          <w:lang w:val="en-CA" w:bidi="hi-IN"/>
        </w:rPr>
        <w:t xml:space="preserve"> </w:t>
      </w:r>
      <w:r w:rsidR="0052252F" w:rsidRPr="00802B02">
        <w:rPr>
          <w:lang w:val="en-CA" w:bidi="hi-IN"/>
        </w:rPr>
        <w:t xml:space="preserve">A comparison of IAFFORD’s </w:t>
      </w:r>
      <w:r w:rsidR="00A17832" w:rsidRPr="00802B02">
        <w:rPr>
          <w:lang w:val="en-CA" w:bidi="hi-IN"/>
        </w:rPr>
        <w:t xml:space="preserve">evaluation plan as submitted to the Google </w:t>
      </w:r>
      <w:r w:rsidR="004703B3">
        <w:rPr>
          <w:lang w:val="en-CA" w:bidi="hi-IN"/>
        </w:rPr>
        <w:t xml:space="preserve">Impact </w:t>
      </w:r>
      <w:r w:rsidR="00A17832" w:rsidRPr="00802B02">
        <w:rPr>
          <w:lang w:val="en-CA" w:bidi="hi-IN"/>
        </w:rPr>
        <w:t xml:space="preserve">Challenge Fund, and IAFFORD’s </w:t>
      </w:r>
      <w:r w:rsidR="00E1247F" w:rsidRPr="00802B02">
        <w:rPr>
          <w:lang w:val="en-CA" w:bidi="hi-IN"/>
        </w:rPr>
        <w:t>ability</w:t>
      </w:r>
      <w:r w:rsidR="00A17832" w:rsidRPr="00802B02">
        <w:rPr>
          <w:lang w:val="en-CA" w:bidi="hi-IN"/>
        </w:rPr>
        <w:t xml:space="preserve"> to produce transactional data is an indication that the ambition to, “(collect) anonymous client data sets via the IAFFORD platform and triangulating with qualitative feedback”, was not met.</w:t>
      </w:r>
      <w:r w:rsidR="0024246B" w:rsidRPr="00802B02">
        <w:rPr>
          <w:lang w:val="en-CA" w:bidi="hi-IN"/>
        </w:rPr>
        <w:t xml:space="preserve"> </w:t>
      </w:r>
      <w:r w:rsidR="00A17832" w:rsidRPr="00802B02">
        <w:rPr>
          <w:lang w:val="en-CA" w:bidi="hi-IN"/>
        </w:rPr>
        <w:t xml:space="preserve">Part of the reason for this is due, as mentioned above, </w:t>
      </w:r>
      <w:r w:rsidR="00D72E2C" w:rsidRPr="00802B02">
        <w:rPr>
          <w:lang w:val="en-CA" w:bidi="hi-IN"/>
        </w:rPr>
        <w:t xml:space="preserve">to </w:t>
      </w:r>
      <w:r w:rsidR="00A17832" w:rsidRPr="00802B02">
        <w:rPr>
          <w:lang w:val="en-CA" w:bidi="hi-IN"/>
        </w:rPr>
        <w:t>IAFFORD’s M&amp;E System.</w:t>
      </w:r>
      <w:r w:rsidR="0024246B" w:rsidRPr="00802B02">
        <w:rPr>
          <w:lang w:val="en-CA" w:bidi="hi-IN"/>
        </w:rPr>
        <w:t xml:space="preserve"> </w:t>
      </w:r>
      <w:r w:rsidR="00A17832" w:rsidRPr="00802B02">
        <w:rPr>
          <w:lang w:val="en-CA" w:bidi="hi-IN"/>
        </w:rPr>
        <w:t xml:space="preserve">It could also be due to the fact that </w:t>
      </w:r>
      <w:r w:rsidR="00413B46" w:rsidRPr="00802B02">
        <w:rPr>
          <w:lang w:val="en-CA" w:bidi="hi-IN"/>
        </w:rPr>
        <w:t xml:space="preserve">Oxfam Australia as the country office which seemed to take the role of executive leadership, did not effectively communicate this requirement to </w:t>
      </w:r>
      <w:r w:rsidR="00A17832" w:rsidRPr="00802B02">
        <w:rPr>
          <w:lang w:val="en-CA" w:bidi="hi-IN"/>
        </w:rPr>
        <w:t xml:space="preserve">Oxfam </w:t>
      </w:r>
      <w:r w:rsidR="000857E2" w:rsidRPr="00802B02">
        <w:rPr>
          <w:lang w:val="en-CA" w:bidi="hi-IN"/>
        </w:rPr>
        <w:t>Philippines</w:t>
      </w:r>
      <w:r w:rsidR="00E1247F" w:rsidRPr="00802B02">
        <w:rPr>
          <w:lang w:val="en-CA" w:bidi="hi-IN"/>
        </w:rPr>
        <w:t xml:space="preserve">, </w:t>
      </w:r>
      <w:r w:rsidR="008900A9" w:rsidRPr="00802B02">
        <w:rPr>
          <w:lang w:val="en-CA" w:bidi="hi-IN"/>
        </w:rPr>
        <w:t>which</w:t>
      </w:r>
      <w:r w:rsidR="00E1247F" w:rsidRPr="00802B02">
        <w:rPr>
          <w:lang w:val="en-CA" w:bidi="hi-IN"/>
        </w:rPr>
        <w:t xml:space="preserve"> was responsible for IAFFORD </w:t>
      </w:r>
      <w:r w:rsidR="0056260B" w:rsidRPr="00802B02">
        <w:rPr>
          <w:lang w:val="en-CA" w:bidi="hi-IN"/>
        </w:rPr>
        <w:t>operational</w:t>
      </w:r>
      <w:r w:rsidR="00E1247F" w:rsidRPr="00802B02">
        <w:rPr>
          <w:lang w:val="en-CA" w:bidi="hi-IN"/>
        </w:rPr>
        <w:t xml:space="preserve"> planning</w:t>
      </w:r>
      <w:r w:rsidR="00A17832" w:rsidRPr="00802B02">
        <w:rPr>
          <w:lang w:val="en-CA" w:bidi="hi-IN"/>
        </w:rPr>
        <w:t>.</w:t>
      </w:r>
      <w:r w:rsidR="0024246B" w:rsidRPr="00802B02">
        <w:rPr>
          <w:lang w:val="en-CA" w:bidi="hi-IN"/>
        </w:rPr>
        <w:t xml:space="preserve"> </w:t>
      </w:r>
      <w:r w:rsidR="00E1247F" w:rsidRPr="00802B02">
        <w:rPr>
          <w:lang w:val="en-CA" w:bidi="hi-IN"/>
        </w:rPr>
        <w:t xml:space="preserve">There seemed to have been a disconnect between the </w:t>
      </w:r>
      <w:r w:rsidR="003337C1" w:rsidRPr="00802B02">
        <w:rPr>
          <w:lang w:val="en-CA" w:bidi="hi-IN"/>
        </w:rPr>
        <w:t>strategic</w:t>
      </w:r>
      <w:r w:rsidR="00E1247F" w:rsidRPr="00802B02">
        <w:rPr>
          <w:lang w:val="en-CA" w:bidi="hi-IN"/>
        </w:rPr>
        <w:t xml:space="preserve"> commitment to measure innovation and the need to build this into </w:t>
      </w:r>
      <w:r w:rsidR="00D72E2C" w:rsidRPr="00802B02">
        <w:rPr>
          <w:lang w:val="en-CA" w:bidi="hi-IN"/>
        </w:rPr>
        <w:t>IAFFORD’s work plan.</w:t>
      </w:r>
    </w:p>
    <w:p w14:paraId="356933FE" w14:textId="77777777" w:rsidR="00A17832" w:rsidRPr="00802B02" w:rsidRDefault="00E1247F" w:rsidP="00D9135B">
      <w:pPr>
        <w:ind w:right="-188"/>
        <w:rPr>
          <w:lang w:val="en-CA" w:bidi="hi-IN"/>
        </w:rPr>
      </w:pPr>
      <w:r w:rsidRPr="00802B02">
        <w:rPr>
          <w:lang w:val="en-CA" w:bidi="hi-IN"/>
        </w:rPr>
        <w:t xml:space="preserve">Based on the evidence presented in this report, </w:t>
      </w:r>
      <w:r w:rsidR="0056260B" w:rsidRPr="00802B02">
        <w:rPr>
          <w:lang w:val="en-CA" w:bidi="hi-IN"/>
        </w:rPr>
        <w:t xml:space="preserve">the </w:t>
      </w:r>
      <w:r w:rsidRPr="00802B02">
        <w:rPr>
          <w:lang w:val="en-CA" w:bidi="hi-IN"/>
        </w:rPr>
        <w:t xml:space="preserve">utilization of a DCT platform for development is an innovation </w:t>
      </w:r>
      <w:r w:rsidR="00D72E2C" w:rsidRPr="00802B02">
        <w:rPr>
          <w:lang w:val="en-CA" w:bidi="hi-IN"/>
        </w:rPr>
        <w:t>that</w:t>
      </w:r>
      <w:r w:rsidRPr="00802B02">
        <w:rPr>
          <w:lang w:val="en-CA" w:bidi="hi-IN"/>
        </w:rPr>
        <w:t xml:space="preserve"> must also be rigorously tested. </w:t>
      </w:r>
      <w:r w:rsidR="00A17832" w:rsidRPr="00802B02">
        <w:rPr>
          <w:lang w:val="en-CA" w:bidi="hi-IN"/>
        </w:rPr>
        <w:t xml:space="preserve">In </w:t>
      </w:r>
      <w:r w:rsidRPr="00802B02">
        <w:rPr>
          <w:lang w:val="en-CA" w:bidi="hi-IN"/>
        </w:rPr>
        <w:t xml:space="preserve">future interventions </w:t>
      </w:r>
      <w:r w:rsidR="00D72E2C" w:rsidRPr="00802B02">
        <w:rPr>
          <w:lang w:val="en-CA" w:bidi="hi-IN"/>
        </w:rPr>
        <w:t>involving</w:t>
      </w:r>
      <w:r w:rsidRPr="00802B02">
        <w:rPr>
          <w:lang w:val="en-CA" w:bidi="hi-IN"/>
        </w:rPr>
        <w:t xml:space="preserve"> a DCT platform</w:t>
      </w:r>
      <w:r w:rsidR="00D645E8" w:rsidRPr="00802B02">
        <w:rPr>
          <w:lang w:val="en-CA" w:bidi="hi-IN"/>
        </w:rPr>
        <w:t>, investment governance arrangements should be set so that the implementing entity is contractually obligated to test the innovative potential of digital cash.</w:t>
      </w:r>
    </w:p>
    <w:p w14:paraId="1FFC7550" w14:textId="35196821" w:rsidR="002A7C93" w:rsidRPr="003A7E3C" w:rsidRDefault="00462546" w:rsidP="00D9135B">
      <w:pPr>
        <w:pStyle w:val="ListParagraph"/>
        <w:numPr>
          <w:ilvl w:val="0"/>
          <w:numId w:val="37"/>
        </w:numPr>
        <w:spacing w:after="200"/>
        <w:rPr>
          <w:b/>
        </w:rPr>
      </w:pPr>
      <w:r>
        <w:rPr>
          <w:b/>
        </w:rPr>
        <w:t>Intervention</w:t>
      </w:r>
      <w:r w:rsidR="008900A9" w:rsidRPr="003A7E3C">
        <w:rPr>
          <w:b/>
        </w:rPr>
        <w:t xml:space="preserve"> Design</w:t>
      </w:r>
    </w:p>
    <w:p w14:paraId="332D2FF7" w14:textId="77777777" w:rsidR="002D4A50" w:rsidRPr="00802B02" w:rsidRDefault="002D4A50" w:rsidP="00D9135B">
      <w:pPr>
        <w:rPr>
          <w:lang w:val="en-CA" w:bidi="hi-IN"/>
        </w:rPr>
      </w:pPr>
      <w:r w:rsidRPr="00802B02">
        <w:rPr>
          <w:lang w:val="en-CA" w:bidi="hi-IN"/>
        </w:rPr>
        <w:t xml:space="preserve">A </w:t>
      </w:r>
      <w:r w:rsidR="00745824" w:rsidRPr="00802B02">
        <w:rPr>
          <w:lang w:val="en-CA" w:bidi="hi-IN"/>
        </w:rPr>
        <w:t>clear-cut</w:t>
      </w:r>
      <w:r w:rsidRPr="00802B02">
        <w:rPr>
          <w:lang w:val="en-CA" w:bidi="hi-IN"/>
        </w:rPr>
        <w:t xml:space="preserve"> argument can be made</w:t>
      </w:r>
      <w:r w:rsidR="00745824" w:rsidRPr="00802B02">
        <w:rPr>
          <w:lang w:val="en-CA" w:bidi="hi-IN"/>
        </w:rPr>
        <w:t xml:space="preserve">, </w:t>
      </w:r>
      <w:r w:rsidRPr="00802B02">
        <w:rPr>
          <w:lang w:val="en-CA" w:bidi="hi-IN"/>
        </w:rPr>
        <w:t xml:space="preserve">from the perspective of DFAT and other donors, </w:t>
      </w:r>
      <w:r w:rsidR="00D56A3E" w:rsidRPr="00802B02">
        <w:rPr>
          <w:lang w:val="en-CA" w:bidi="hi-IN"/>
        </w:rPr>
        <w:t xml:space="preserve">that </w:t>
      </w:r>
      <w:r w:rsidRPr="00802B02">
        <w:rPr>
          <w:lang w:val="en-CA" w:bidi="hi-IN"/>
        </w:rPr>
        <w:t xml:space="preserve">a DCT platform is more efficient than </w:t>
      </w:r>
      <w:r w:rsidR="00D56A3E" w:rsidRPr="00802B02">
        <w:rPr>
          <w:lang w:val="en-CA" w:bidi="hi-IN"/>
        </w:rPr>
        <w:t>alternatives</w:t>
      </w:r>
      <w:r w:rsidRPr="00802B02">
        <w:rPr>
          <w:lang w:val="en-CA" w:bidi="hi-IN"/>
        </w:rPr>
        <w:t xml:space="preserve"> </w:t>
      </w:r>
      <w:r w:rsidR="00D56A3E" w:rsidRPr="00802B02">
        <w:rPr>
          <w:lang w:val="en-CA" w:bidi="hi-IN"/>
        </w:rPr>
        <w:t xml:space="preserve">for </w:t>
      </w:r>
      <w:r w:rsidRPr="00802B02">
        <w:rPr>
          <w:lang w:val="en-CA" w:bidi="hi-IN"/>
        </w:rPr>
        <w:t>deliver</w:t>
      </w:r>
      <w:r w:rsidR="00D56A3E" w:rsidRPr="00802B02">
        <w:rPr>
          <w:lang w:val="en-CA" w:bidi="hi-IN"/>
        </w:rPr>
        <w:t>y of</w:t>
      </w:r>
      <w:r w:rsidRPr="00802B02">
        <w:rPr>
          <w:lang w:val="en-CA" w:bidi="hi-IN"/>
        </w:rPr>
        <w:t xml:space="preserve"> interventions </w:t>
      </w:r>
      <w:r w:rsidR="00745824" w:rsidRPr="00802B02">
        <w:rPr>
          <w:lang w:val="en-CA" w:bidi="hi-IN"/>
        </w:rPr>
        <w:t>related to</w:t>
      </w:r>
      <w:r w:rsidRPr="00802B02">
        <w:rPr>
          <w:lang w:val="en-CA" w:bidi="hi-IN"/>
        </w:rPr>
        <w:t xml:space="preserve"> disaster and risk reduction.</w:t>
      </w:r>
    </w:p>
    <w:p w14:paraId="6795EF85" w14:textId="643F8A8A" w:rsidR="002A7C93" w:rsidRDefault="00745824" w:rsidP="00D9135B">
      <w:r w:rsidRPr="00802B02">
        <w:rPr>
          <w:lang w:val="en-CA" w:bidi="hi-IN"/>
        </w:rPr>
        <w:t>However, for other development intervention types, such as financial inclusion, the case for its effectiveness is conditional on getting many factors right</w:t>
      </w:r>
      <w:r w:rsidR="0056260B" w:rsidRPr="00802B02">
        <w:rPr>
          <w:lang w:val="en-CA" w:bidi="hi-IN"/>
        </w:rPr>
        <w:t xml:space="preserve"> and in place, namely</w:t>
      </w:r>
      <w:r w:rsidRPr="00802B02">
        <w:rPr>
          <w:lang w:val="en-CA" w:bidi="hi-IN"/>
        </w:rPr>
        <w:t>: capacity-building, the structure of incentives</w:t>
      </w:r>
      <w:r w:rsidR="001B08D1" w:rsidRPr="00802B02">
        <w:rPr>
          <w:lang w:val="en-CA" w:bidi="hi-IN"/>
        </w:rPr>
        <w:t xml:space="preserve"> for consumers;</w:t>
      </w:r>
      <w:r w:rsidRPr="00802B02">
        <w:rPr>
          <w:lang w:val="en-CA" w:bidi="hi-IN"/>
        </w:rPr>
        <w:t xml:space="preserve"> </w:t>
      </w:r>
      <w:r w:rsidR="001B08D1" w:rsidRPr="00802B02">
        <w:rPr>
          <w:lang w:val="en-CA" w:bidi="hi-IN"/>
        </w:rPr>
        <w:t xml:space="preserve">manageable conditions for the participation of agents and interest-bearing accounts linked to IAFFORD cards, </w:t>
      </w:r>
      <w:r w:rsidRPr="00802B02">
        <w:rPr>
          <w:lang w:val="en-CA" w:bidi="hi-IN"/>
        </w:rPr>
        <w:t xml:space="preserve">are issues that top the list. </w:t>
      </w:r>
      <w:r w:rsidR="0056260B" w:rsidRPr="00802B02">
        <w:rPr>
          <w:lang w:val="en-CA" w:bidi="hi-IN"/>
        </w:rPr>
        <w:t>While a</w:t>
      </w:r>
      <w:r w:rsidR="00451866" w:rsidRPr="00802B02">
        <w:rPr>
          <w:lang w:val="en-CA" w:bidi="hi-IN"/>
        </w:rPr>
        <w:t xml:space="preserve"> </w:t>
      </w:r>
      <w:r w:rsidR="002A7C93" w:rsidRPr="00802B02">
        <w:t xml:space="preserve">DCT </w:t>
      </w:r>
      <w:r w:rsidR="0056260B" w:rsidRPr="00802B02">
        <w:t>p</w:t>
      </w:r>
      <w:r w:rsidRPr="00802B02">
        <w:t xml:space="preserve">latform is a </w:t>
      </w:r>
      <w:r w:rsidR="002A7C93" w:rsidRPr="00802B02">
        <w:t>system</w:t>
      </w:r>
      <w:r w:rsidR="00475C8A" w:rsidRPr="00802B02">
        <w:t xml:space="preserve"> of functionalities,</w:t>
      </w:r>
      <w:r w:rsidRPr="00802B02">
        <w:t xml:space="preserve"> it is also a </w:t>
      </w:r>
      <w:r w:rsidR="002A7C93" w:rsidRPr="00802B02">
        <w:t>network</w:t>
      </w:r>
      <w:r w:rsidR="00756D9C" w:rsidRPr="00802B02">
        <w:t xml:space="preserve"> of actors</w:t>
      </w:r>
      <w:r w:rsidR="002A7C93" w:rsidRPr="00802B02">
        <w:t>.</w:t>
      </w:r>
      <w:r w:rsidR="0024246B" w:rsidRPr="00802B02">
        <w:t xml:space="preserve"> </w:t>
      </w:r>
      <w:r w:rsidR="002A7C93" w:rsidRPr="00802B02">
        <w:t>Other actors in the network</w:t>
      </w:r>
      <w:r w:rsidRPr="00802B02">
        <w:t xml:space="preserve">, besides </w:t>
      </w:r>
      <w:r w:rsidR="00475C8A" w:rsidRPr="00802B02">
        <w:t xml:space="preserve">the </w:t>
      </w:r>
      <w:r w:rsidRPr="00802B02">
        <w:t>beneficiaries,</w:t>
      </w:r>
      <w:r w:rsidR="002A7C93" w:rsidRPr="00802B02">
        <w:t xml:space="preserve"> need to be provided with capacity as well.</w:t>
      </w:r>
      <w:r w:rsidR="0024246B" w:rsidRPr="00802B02">
        <w:t xml:space="preserve"> </w:t>
      </w:r>
      <w:r w:rsidR="001B08D1" w:rsidRPr="00802B02">
        <w:t>The need to support all actors in a DCT network also applies to the use of a DCT platform for humanitarian response.</w:t>
      </w:r>
    </w:p>
    <w:p w14:paraId="13A2C506" w14:textId="77777777" w:rsidR="009113C1" w:rsidRPr="00935264" w:rsidRDefault="001B08D1" w:rsidP="009113C1">
      <w:r w:rsidRPr="00802B02">
        <w:t>With respect to future DFAT interventions</w:t>
      </w:r>
      <w:r w:rsidR="00375118" w:rsidRPr="00802B02">
        <w:t xml:space="preserve"> related to Disaster Response and Risk Reduction, it is best to regard the IAFFORD DCT platform as a Risk Reduction modality</w:t>
      </w:r>
      <w:r w:rsidR="007858F6">
        <w:t>, contributing to resilience</w:t>
      </w:r>
      <w:r w:rsidR="00375118" w:rsidRPr="00802B02">
        <w:t>.</w:t>
      </w:r>
      <w:r w:rsidR="0024246B" w:rsidRPr="00802B02">
        <w:t xml:space="preserve"> </w:t>
      </w:r>
      <w:r w:rsidR="00375118" w:rsidRPr="00802B02">
        <w:t xml:space="preserve">For example, although </w:t>
      </w:r>
      <w:r w:rsidR="009041FD" w:rsidRPr="00802B02">
        <w:t>seemingly not used post-investment,</w:t>
      </w:r>
      <w:r w:rsidR="00375118" w:rsidRPr="00802B02">
        <w:t xml:space="preserve"> </w:t>
      </w:r>
      <w:r w:rsidR="009041FD" w:rsidRPr="00802B02">
        <w:t xml:space="preserve">the </w:t>
      </w:r>
      <w:r w:rsidR="00375118" w:rsidRPr="00802B02">
        <w:t xml:space="preserve">IAFFORD cards </w:t>
      </w:r>
      <w:r w:rsidR="009041FD" w:rsidRPr="00802B02">
        <w:t xml:space="preserve">distributed among beneficiaries </w:t>
      </w:r>
      <w:r w:rsidR="00C0142E" w:rsidRPr="00802B02">
        <w:t>represents</w:t>
      </w:r>
      <w:r w:rsidR="009041FD" w:rsidRPr="00802B02">
        <w:t xml:space="preserve"> </w:t>
      </w:r>
      <w:r w:rsidR="00C0142E" w:rsidRPr="00802B02">
        <w:t>the</w:t>
      </w:r>
      <w:r w:rsidR="009041FD" w:rsidRPr="00802B02">
        <w:t xml:space="preserve"> ‘pre-positioning’ of a cash distribution system as part of local disaster planning. DFAT could consider a second version of IAFFORD, but strictly focusing on its utility for DRR.</w:t>
      </w:r>
      <w:r w:rsidR="0024246B" w:rsidRPr="00802B02">
        <w:t xml:space="preserve"> </w:t>
      </w:r>
      <w:r w:rsidR="009041FD" w:rsidRPr="00802B02">
        <w:t>As mentioned before, a work</w:t>
      </w:r>
      <w:r w:rsidR="00D9135B">
        <w:t xml:space="preserve"> </w:t>
      </w:r>
      <w:r w:rsidR="009041FD" w:rsidRPr="00802B02">
        <w:t xml:space="preserve">plan for this </w:t>
      </w:r>
      <w:r w:rsidR="00C0142E" w:rsidRPr="00802B02">
        <w:t xml:space="preserve">hypothetical </w:t>
      </w:r>
      <w:r w:rsidR="009041FD" w:rsidRPr="00802B02">
        <w:t xml:space="preserve">investment would need to include a measurement of the DCT platforms’ innovation </w:t>
      </w:r>
      <w:r w:rsidR="00756D9C" w:rsidRPr="00802B02">
        <w:t>potential</w:t>
      </w:r>
      <w:r w:rsidR="009041FD" w:rsidRPr="00802B02">
        <w:t xml:space="preserve"> as well as a component which strengthens the actors involved in the DCT </w:t>
      </w:r>
      <w:r w:rsidR="00C0142E" w:rsidRPr="00802B02">
        <w:t>network</w:t>
      </w:r>
      <w:r w:rsidR="009041FD" w:rsidRPr="00935264">
        <w:t>.</w:t>
      </w:r>
      <w:r w:rsidR="0024246B" w:rsidRPr="00935264">
        <w:t xml:space="preserve"> </w:t>
      </w:r>
      <w:r w:rsidR="009113C1" w:rsidRPr="00935264">
        <w:t>For example, addressing liquidity concerns of small merchants who are under pressure to dispense cash to beneficiaries rather than using that cash to purchase their own inventory.</w:t>
      </w:r>
    </w:p>
    <w:p w14:paraId="2C3E6F0A" w14:textId="75581160" w:rsidR="00C0142E" w:rsidRDefault="009041FD" w:rsidP="00D9135B">
      <w:r w:rsidRPr="00802B02">
        <w:t xml:space="preserve">Also, as </w:t>
      </w:r>
      <w:r w:rsidR="00874415" w:rsidRPr="00802B02">
        <w:t>with</w:t>
      </w:r>
      <w:r w:rsidR="00C51A4D" w:rsidRPr="00802B02">
        <w:t xml:space="preserve"> the </w:t>
      </w:r>
      <w:r w:rsidR="00C0142E" w:rsidRPr="00802B02">
        <w:t xml:space="preserve">IAFFORD </w:t>
      </w:r>
      <w:r w:rsidR="00386F83" w:rsidRPr="00802B02">
        <w:t>Investment</w:t>
      </w:r>
      <w:r w:rsidR="00C0142E" w:rsidRPr="00802B02">
        <w:t xml:space="preserve">, this hypothetical follow-on investment would concentrate on the communities where there is no banking infrastructure at the local level and are the most vulnerable to natural disasters and instability. </w:t>
      </w:r>
      <w:r w:rsidR="005C79B6" w:rsidRPr="00802B02">
        <w:t>In the absence of this infrastructure, community</w:t>
      </w:r>
      <w:r w:rsidR="002D04E4" w:rsidRPr="00802B02">
        <w:t>-</w:t>
      </w:r>
      <w:r w:rsidR="005C79B6" w:rsidRPr="00802B02">
        <w:t xml:space="preserve">based </w:t>
      </w:r>
      <w:r w:rsidR="002D04E4" w:rsidRPr="00802B02">
        <w:t xml:space="preserve">non-bank </w:t>
      </w:r>
      <w:r w:rsidR="005C79B6" w:rsidRPr="00802B02">
        <w:t>financial service providers such as cooperatives can be</w:t>
      </w:r>
      <w:r w:rsidR="002D04E4" w:rsidRPr="00802B02">
        <w:t xml:space="preserve"> more involv</w:t>
      </w:r>
      <w:r w:rsidR="00E538FD" w:rsidRPr="00802B02">
        <w:t>ed with</w:t>
      </w:r>
      <w:r w:rsidR="002D04E4" w:rsidRPr="00802B02">
        <w:t xml:space="preserve"> clear agreement</w:t>
      </w:r>
      <w:r w:rsidR="00E538FD" w:rsidRPr="00802B02">
        <w:t>s</w:t>
      </w:r>
      <w:r w:rsidR="002D04E4" w:rsidRPr="00802B02">
        <w:t xml:space="preserve"> to serve </w:t>
      </w:r>
      <w:r w:rsidR="00C51A4D" w:rsidRPr="00802B02">
        <w:t xml:space="preserve">as a sustaining mechanism beyond </w:t>
      </w:r>
      <w:r w:rsidR="00874415" w:rsidRPr="00802B02">
        <w:t xml:space="preserve">the </w:t>
      </w:r>
      <w:r w:rsidR="00C51A4D" w:rsidRPr="00802B02">
        <w:t>life</w:t>
      </w:r>
      <w:r w:rsidR="00874415" w:rsidRPr="00802B02">
        <w:t xml:space="preserve"> of the investment</w:t>
      </w:r>
      <w:r w:rsidR="00C51A4D" w:rsidRPr="00802B02">
        <w:t>.</w:t>
      </w:r>
      <w:r w:rsidR="0024246B" w:rsidRPr="00802B02">
        <w:t xml:space="preserve"> </w:t>
      </w:r>
    </w:p>
    <w:p w14:paraId="4E9F96AC" w14:textId="1789A990" w:rsidR="00F36D99" w:rsidRPr="00802B02" w:rsidRDefault="00A56593" w:rsidP="00D9135B">
      <w:r>
        <w:t>It is</w:t>
      </w:r>
      <w:r w:rsidR="009113C1">
        <w:t xml:space="preserve"> also</w:t>
      </w:r>
      <w:r>
        <w:t xml:space="preserve"> important </w:t>
      </w:r>
      <w:r w:rsidR="0020637B">
        <w:t>to remove</w:t>
      </w:r>
      <w:r>
        <w:t xml:space="preserve"> </w:t>
      </w:r>
      <w:r w:rsidR="00C24A66">
        <w:t xml:space="preserve">potential </w:t>
      </w:r>
      <w:r w:rsidR="0020637B">
        <w:t>barriers</w:t>
      </w:r>
      <w:r>
        <w:t xml:space="preserve"> to micro-merchants’ participation </w:t>
      </w:r>
      <w:r w:rsidR="0020637B">
        <w:t xml:space="preserve">in a DCT platform </w:t>
      </w:r>
      <w:r>
        <w:t>such as ceilings on the maximum value of monthly transactions</w:t>
      </w:r>
      <w:r w:rsidR="00C24A66">
        <w:t>,</w:t>
      </w:r>
      <w:r>
        <w:t xml:space="preserve"> </w:t>
      </w:r>
      <w:r w:rsidR="00C24A66">
        <w:t>during an</w:t>
      </w:r>
      <w:r w:rsidR="0020637B">
        <w:t xml:space="preserve"> exceptional period, such as an emergency response.</w:t>
      </w:r>
      <w:r w:rsidR="008449C7">
        <w:t xml:space="preserve"> </w:t>
      </w:r>
      <w:r w:rsidR="0020637B">
        <w:t xml:space="preserve">This is because </w:t>
      </w:r>
      <w:r w:rsidR="00C24A66">
        <w:t>the highest</w:t>
      </w:r>
      <w:r w:rsidR="0020637B">
        <w:t xml:space="preserve"> </w:t>
      </w:r>
      <w:r w:rsidR="00C24A66">
        <w:t xml:space="preserve">priority </w:t>
      </w:r>
      <w:r w:rsidR="0020637B">
        <w:t xml:space="preserve">consideration </w:t>
      </w:r>
      <w:r w:rsidR="00C24A66">
        <w:t>during an emergency is the role these micro-merchants play in reflating the local economy</w:t>
      </w:r>
      <w:r w:rsidR="00954E86">
        <w:t xml:space="preserve"> post-emergency</w:t>
      </w:r>
      <w:r w:rsidR="00C24A66">
        <w:t>, thereby contributing to the general conditions for livelihood recovery.</w:t>
      </w:r>
    </w:p>
    <w:p w14:paraId="72369BAF" w14:textId="77777777" w:rsidR="00025392" w:rsidRPr="00802B02" w:rsidRDefault="00C0142E" w:rsidP="00D9135B">
      <w:r w:rsidRPr="00802B02">
        <w:t>Once the IAFFORD DCT platform is on a more sustainable footing, as indicated by its performance</w:t>
      </w:r>
      <w:r w:rsidR="00025392" w:rsidRPr="00802B02">
        <w:t xml:space="preserve"> as a DRR </w:t>
      </w:r>
      <w:r w:rsidR="00A0065C" w:rsidRPr="00802B02">
        <w:t>modality, other</w:t>
      </w:r>
      <w:r w:rsidR="00025392" w:rsidRPr="00802B02">
        <w:t xml:space="preserve"> follow-on investments </w:t>
      </w:r>
      <w:r w:rsidR="00475C8A" w:rsidRPr="00802B02">
        <w:t xml:space="preserve">can </w:t>
      </w:r>
      <w:r w:rsidR="00025392" w:rsidRPr="00802B02">
        <w:t>use the IAFFORD platform</w:t>
      </w:r>
      <w:r w:rsidR="00475C8A" w:rsidRPr="00802B02">
        <w:t xml:space="preserve">, especially </w:t>
      </w:r>
      <w:r w:rsidR="00025392" w:rsidRPr="00802B02">
        <w:t xml:space="preserve">for long-term </w:t>
      </w:r>
      <w:r w:rsidR="005F071A" w:rsidRPr="00802B02">
        <w:t xml:space="preserve">development </w:t>
      </w:r>
      <w:r w:rsidR="00025392" w:rsidRPr="00802B02">
        <w:t>objectives such as financial inclusion</w:t>
      </w:r>
      <w:r w:rsidR="00756D9C" w:rsidRPr="00802B02">
        <w:t xml:space="preserve">, </w:t>
      </w:r>
      <w:r w:rsidR="00025392" w:rsidRPr="00802B02">
        <w:t>social protection</w:t>
      </w:r>
      <w:r w:rsidR="00756D9C" w:rsidRPr="00802B02">
        <w:t xml:space="preserve"> and social security</w:t>
      </w:r>
      <w:r w:rsidR="00025392" w:rsidRPr="00802B02">
        <w:t>.</w:t>
      </w:r>
    </w:p>
    <w:p w14:paraId="33FF8C99" w14:textId="77777777" w:rsidR="00F24673" w:rsidRPr="00980AD8" w:rsidRDefault="00F24673" w:rsidP="00D9135B">
      <w:pPr>
        <w:pStyle w:val="ListParagraph"/>
        <w:numPr>
          <w:ilvl w:val="0"/>
          <w:numId w:val="37"/>
        </w:numPr>
        <w:spacing w:after="200"/>
        <w:rPr>
          <w:b/>
        </w:rPr>
      </w:pPr>
      <w:r w:rsidRPr="00980AD8">
        <w:rPr>
          <w:b/>
        </w:rPr>
        <w:t>Use of the IAFFORD Card as Identification</w:t>
      </w:r>
    </w:p>
    <w:p w14:paraId="6DC1A584" w14:textId="45000525" w:rsidR="0093319A" w:rsidRPr="00802B02" w:rsidRDefault="00F24673" w:rsidP="00D9135B">
      <w:pPr>
        <w:rPr>
          <w:bCs/>
        </w:rPr>
      </w:pPr>
      <w:r>
        <w:t>As mentioned above, a common issue in the delivery of aid during an emergency is the need to establish identity before the delivery of services.</w:t>
      </w:r>
      <w:r w:rsidR="008449C7">
        <w:t xml:space="preserve"> </w:t>
      </w:r>
      <w:r>
        <w:t>As can be seen from IAFFORD’s experience, having the digital cash card serve additionally as a form of identification acted as a safeguard against abuse of the DCT system.</w:t>
      </w:r>
      <w:r w:rsidR="008449C7">
        <w:t xml:space="preserve"> </w:t>
      </w:r>
      <w:r>
        <w:t>This feature is consistent with DFAT’s priority to safeguard DCT platforms against illegal activities, especially terrorism. Both the National Governments of Australia and the Philippines emphasize the need to preserve the integrity of digital cash transactions and to guard against its use for illegal or terrorist activities. Adding an identi</w:t>
      </w:r>
      <w:r w:rsidR="00E46F16">
        <w:t>ty verification</w:t>
      </w:r>
      <w:r>
        <w:t xml:space="preserve"> functionality to a DCT component could be an act of due diligence compliant with provisions of the Anti-Money Laundering Act (AMLA) and Terrorist Financing Prevention and Suppression Act (TFPSA).</w:t>
      </w:r>
    </w:p>
    <w:bookmarkEnd w:id="25"/>
    <w:p w14:paraId="38F7B449" w14:textId="77777777" w:rsidR="00503D11" w:rsidRPr="00802B02" w:rsidRDefault="00503D11" w:rsidP="00FB081D">
      <w:pPr>
        <w:ind w:left="720"/>
        <w:sectPr w:rsidR="00503D11" w:rsidRPr="00802B02" w:rsidSect="005270EC">
          <w:headerReference w:type="default" r:id="rId30"/>
          <w:footerReference w:type="default" r:id="rId31"/>
          <w:pgSz w:w="11906" w:h="16838" w:code="9"/>
          <w:pgMar w:top="1440" w:right="1440" w:bottom="1440" w:left="1440" w:header="720" w:footer="720" w:gutter="0"/>
          <w:pgNumType w:start="1"/>
          <w:cols w:space="720"/>
          <w:docGrid w:linePitch="360"/>
        </w:sectPr>
      </w:pPr>
    </w:p>
    <w:p w14:paraId="11CC2DC3" w14:textId="77777777" w:rsidR="00177AD4" w:rsidRPr="00802B02" w:rsidRDefault="00177AD4" w:rsidP="00177AD4">
      <w:pPr>
        <w:pStyle w:val="3Spine"/>
        <w:rPr>
          <w:rFonts w:ascii="Times New Roman" w:hAnsi="Times New Roman"/>
          <w:color w:val="1C6194" w:themeColor="accent6" w:themeShade="BF"/>
          <w:sz w:val="44"/>
          <w:szCs w:val="44"/>
        </w:rPr>
      </w:pPr>
      <w:bookmarkStart w:id="26" w:name="_Hlk24532392"/>
      <w:r w:rsidRPr="00802B02">
        <w:rPr>
          <w:color w:val="1C6194" w:themeColor="accent6" w:themeShade="BF"/>
          <w:sz w:val="44"/>
          <w:szCs w:val="44"/>
        </w:rPr>
        <w:t>Annex 1: Evaluation Terms of Reference</w:t>
      </w:r>
      <w:bookmarkEnd w:id="26"/>
    </w:p>
    <w:p w14:paraId="61045220" w14:textId="77777777" w:rsidR="00177AD4" w:rsidRPr="00802B02" w:rsidRDefault="00177AD4" w:rsidP="00177AD4">
      <w:pPr>
        <w:spacing w:after="0" w:line="240" w:lineRule="auto"/>
        <w:rPr>
          <w:b/>
          <w:color w:val="1C6194" w:themeColor="accent6" w:themeShade="BF"/>
          <w:sz w:val="44"/>
          <w:szCs w:val="44"/>
          <w:lang w:bidi="hi-IN"/>
        </w:rPr>
        <w:sectPr w:rsidR="00177AD4" w:rsidRPr="00802B02">
          <w:footerReference w:type="default" r:id="rId32"/>
          <w:pgSz w:w="11906" w:h="16838"/>
          <w:pgMar w:top="1440" w:right="1440" w:bottom="1440" w:left="1440" w:header="720" w:footer="720" w:gutter="0"/>
          <w:pgNumType w:start="1"/>
          <w:cols w:space="720"/>
          <w:vAlign w:val="center"/>
        </w:sectPr>
      </w:pPr>
    </w:p>
    <w:p w14:paraId="7DCF8FFB" w14:textId="77777777" w:rsidR="00177AD4" w:rsidRPr="00802B02" w:rsidRDefault="00177AD4" w:rsidP="00980AD8">
      <w:pPr>
        <w:pStyle w:val="Name"/>
        <w:spacing w:after="0"/>
      </w:pPr>
      <w:r w:rsidRPr="00980AD8">
        <w:rPr>
          <w:sz w:val="36"/>
        </w:rPr>
        <w:t>Evaluation Terms of Reference</w:t>
      </w:r>
    </w:p>
    <w:p w14:paraId="1ED381C7" w14:textId="77777777" w:rsidR="00177AD4" w:rsidRPr="00D30F2E" w:rsidRDefault="00177AD4" w:rsidP="00D30F2E">
      <w:pPr>
        <w:jc w:val="center"/>
        <w:rPr>
          <w:i/>
        </w:rPr>
      </w:pPr>
      <w:r w:rsidRPr="00D30F2E">
        <w:rPr>
          <w:i/>
        </w:rPr>
        <w:t>Independent Evaluation of the Inclusive and Affordable Financial Facilities for Resilient and Developed Filipinos (IAFFORD) Project</w:t>
      </w:r>
    </w:p>
    <w:p w14:paraId="332670DB" w14:textId="77777777" w:rsidR="00177AD4" w:rsidRPr="00C1294D" w:rsidRDefault="00177AD4" w:rsidP="00980AD8">
      <w:pPr>
        <w:pStyle w:val="ListParagraph"/>
        <w:numPr>
          <w:ilvl w:val="0"/>
          <w:numId w:val="10"/>
        </w:numPr>
        <w:spacing w:after="200"/>
        <w:rPr>
          <w:rStyle w:val="Strong"/>
          <w:rFonts w:cs="Calibri"/>
          <w:b w:val="0"/>
          <w:szCs w:val="24"/>
        </w:rPr>
      </w:pPr>
      <w:r w:rsidRPr="00C1294D">
        <w:rPr>
          <w:rStyle w:val="Strong"/>
          <w:rFonts w:cs="Calibri"/>
          <w:b w:val="0"/>
          <w:szCs w:val="24"/>
        </w:rPr>
        <w:t>Background</w:t>
      </w:r>
    </w:p>
    <w:p w14:paraId="64C458EC" w14:textId="77777777" w:rsidR="00177AD4" w:rsidRPr="00C1294D" w:rsidRDefault="00177AD4" w:rsidP="00980AD8">
      <w:pPr>
        <w:spacing w:before="40" w:after="40"/>
        <w:rPr>
          <w:rFonts w:cs="Calibri"/>
          <w:szCs w:val="24"/>
        </w:rPr>
      </w:pPr>
      <w:r w:rsidRPr="00C1294D">
        <w:rPr>
          <w:rFonts w:cs="Calibri"/>
          <w:szCs w:val="24"/>
        </w:rPr>
        <w:t xml:space="preserve">The </w:t>
      </w:r>
      <w:r w:rsidRPr="00C1294D">
        <w:rPr>
          <w:rFonts w:cs="Calibri"/>
          <w:i/>
          <w:szCs w:val="24"/>
        </w:rPr>
        <w:t>Inclusive and Affordable Financial Facilities for Resilient and Developed Filipinos</w:t>
      </w:r>
      <w:r w:rsidRPr="00C1294D">
        <w:rPr>
          <w:rFonts w:cs="Calibri"/>
          <w:szCs w:val="24"/>
        </w:rPr>
        <w:t xml:space="preserve"> (IAFFORD) </w:t>
      </w:r>
      <w:r w:rsidR="00980AD8" w:rsidRPr="00C1294D">
        <w:rPr>
          <w:rFonts w:cs="Calibri"/>
          <w:szCs w:val="24"/>
        </w:rPr>
        <w:t xml:space="preserve">project </w:t>
      </w:r>
      <w:r w:rsidRPr="00C1294D">
        <w:rPr>
          <w:rFonts w:cs="Calibri"/>
          <w:szCs w:val="24"/>
        </w:rPr>
        <w:t xml:space="preserve">aimed to connect poor Filipinos, particularly women, to affordable digital financial services in Luzon, Eastern Visayas and Mindanao so that they can better manage their finances, save money, and invest in micro-social and business insurance to protect their assets, livelihoods, and small businesses. </w:t>
      </w:r>
    </w:p>
    <w:p w14:paraId="5B944DFE" w14:textId="77777777" w:rsidR="00177AD4" w:rsidRPr="00C1294D" w:rsidRDefault="00177AD4" w:rsidP="00980AD8">
      <w:pPr>
        <w:spacing w:before="40" w:after="40"/>
        <w:rPr>
          <w:rFonts w:cs="Calibri"/>
          <w:szCs w:val="24"/>
        </w:rPr>
      </w:pPr>
      <w:r w:rsidRPr="00C1294D">
        <w:rPr>
          <w:rFonts w:cs="Calibri"/>
          <w:szCs w:val="24"/>
        </w:rPr>
        <w:t>The Australian Government, through the Department of Foreign Affairs and Trade (DFAT) InnovationXchange (iXc), awarded a DFAT Technology Against Poverty Prize of AUD 500,000 to Oxfam Australia for IAFFORD as part of the 2016 Google Impact Challenge. The project was implemented from February 2017 to December 2018.</w:t>
      </w:r>
    </w:p>
    <w:p w14:paraId="6380F791" w14:textId="77777777" w:rsidR="00177AD4" w:rsidRPr="00C1294D" w:rsidRDefault="00177AD4" w:rsidP="00980AD8">
      <w:pPr>
        <w:spacing w:before="40" w:after="40"/>
        <w:rPr>
          <w:rFonts w:cs="Calibri"/>
          <w:szCs w:val="24"/>
        </w:rPr>
      </w:pPr>
      <w:r w:rsidRPr="00C1294D">
        <w:rPr>
          <w:rFonts w:cs="Calibri"/>
          <w:szCs w:val="24"/>
        </w:rPr>
        <w:t>The goal of IAFFORD was to increase financial inclusion of poor, most vulnerable and low-income sectors to support economic resiliency, prepare for and recover from disasters.</w:t>
      </w:r>
    </w:p>
    <w:p w14:paraId="65A65DE6" w14:textId="77777777" w:rsidR="00177AD4" w:rsidRPr="00C1294D" w:rsidRDefault="00177AD4" w:rsidP="00980AD8">
      <w:pPr>
        <w:spacing w:before="40" w:after="40"/>
        <w:rPr>
          <w:rFonts w:cs="Calibri"/>
          <w:szCs w:val="24"/>
        </w:rPr>
      </w:pPr>
      <w:r w:rsidRPr="00C1294D">
        <w:rPr>
          <w:rFonts w:cs="Calibri"/>
          <w:szCs w:val="24"/>
        </w:rPr>
        <w:t xml:space="preserve">Specifically, the Project’s objectives were to: </w:t>
      </w:r>
    </w:p>
    <w:p w14:paraId="3A6D33CC" w14:textId="77777777" w:rsidR="00177AD4" w:rsidRPr="00C1294D" w:rsidRDefault="00177AD4" w:rsidP="00980AD8">
      <w:pPr>
        <w:pStyle w:val="ListParagraph"/>
        <w:numPr>
          <w:ilvl w:val="0"/>
          <w:numId w:val="11"/>
        </w:numPr>
        <w:spacing w:before="40" w:after="40"/>
        <w:rPr>
          <w:rFonts w:cs="Calibri"/>
          <w:szCs w:val="24"/>
        </w:rPr>
      </w:pPr>
      <w:r w:rsidRPr="00C1294D">
        <w:rPr>
          <w:rFonts w:cs="Calibri"/>
          <w:szCs w:val="24"/>
        </w:rPr>
        <w:t>Increase access to affordable and integrated digital financial services of 50,000 poor Filipinos</w:t>
      </w:r>
    </w:p>
    <w:p w14:paraId="0A68DA86" w14:textId="77777777" w:rsidR="00177AD4" w:rsidRPr="00C1294D" w:rsidRDefault="00177AD4" w:rsidP="00980AD8">
      <w:pPr>
        <w:pStyle w:val="ListParagraph"/>
        <w:numPr>
          <w:ilvl w:val="0"/>
          <w:numId w:val="11"/>
        </w:numPr>
        <w:spacing w:before="40" w:after="40"/>
        <w:rPr>
          <w:rFonts w:cs="Calibri"/>
          <w:szCs w:val="24"/>
        </w:rPr>
      </w:pPr>
      <w:r w:rsidRPr="00C1294D">
        <w:rPr>
          <w:rFonts w:cs="Calibri"/>
          <w:szCs w:val="24"/>
        </w:rPr>
        <w:t>Expand choices in electronic payment solutions alongside building financial literacy capacity to transform the way people access, manage and control their finances; and</w:t>
      </w:r>
    </w:p>
    <w:p w14:paraId="7394101B" w14:textId="77777777" w:rsidR="00980AD8" w:rsidRPr="00C1294D" w:rsidRDefault="00177AD4" w:rsidP="00980AD8">
      <w:pPr>
        <w:pStyle w:val="ListParagraph"/>
        <w:numPr>
          <w:ilvl w:val="0"/>
          <w:numId w:val="11"/>
        </w:numPr>
        <w:spacing w:before="40" w:after="40"/>
        <w:rPr>
          <w:rFonts w:cs="Calibri"/>
          <w:szCs w:val="24"/>
        </w:rPr>
      </w:pPr>
      <w:r w:rsidRPr="00C1294D">
        <w:rPr>
          <w:rFonts w:cs="Calibri"/>
          <w:szCs w:val="24"/>
        </w:rPr>
        <w:t>Develop and innovate at least two digital financial services that can create opportunities for poor and vulnerable people to save money, protect their assets and grow incomes.</w:t>
      </w:r>
    </w:p>
    <w:p w14:paraId="123ADC50" w14:textId="77777777" w:rsidR="00177AD4" w:rsidRPr="00C1294D" w:rsidRDefault="00177AD4" w:rsidP="00980AD8">
      <w:pPr>
        <w:spacing w:before="40"/>
        <w:rPr>
          <w:rFonts w:cs="Calibri"/>
          <w:szCs w:val="24"/>
        </w:rPr>
      </w:pPr>
      <w:r w:rsidRPr="00C1294D">
        <w:rPr>
          <w:rFonts w:cs="Calibri"/>
          <w:szCs w:val="24"/>
        </w:rPr>
        <w:t xml:space="preserve">The Project featured the private sector, government and non-government organizations collaborating to address the financial stresses brought about by poverty or natural disasters. </w:t>
      </w:r>
    </w:p>
    <w:p w14:paraId="7722B051" w14:textId="77777777" w:rsidR="00177AD4" w:rsidRPr="00C1294D" w:rsidRDefault="00177AD4" w:rsidP="00980AD8">
      <w:pPr>
        <w:pStyle w:val="ListParagraph"/>
        <w:numPr>
          <w:ilvl w:val="0"/>
          <w:numId w:val="10"/>
        </w:numPr>
        <w:spacing w:after="200"/>
        <w:rPr>
          <w:rFonts w:cs="Calibri"/>
          <w:szCs w:val="24"/>
        </w:rPr>
      </w:pPr>
      <w:r w:rsidRPr="00C1294D">
        <w:rPr>
          <w:rFonts w:cs="Calibri"/>
          <w:szCs w:val="24"/>
        </w:rPr>
        <w:t>Purpose and Intended Users</w:t>
      </w:r>
    </w:p>
    <w:p w14:paraId="08D309AB" w14:textId="77777777" w:rsidR="00177AD4" w:rsidRPr="00C1294D" w:rsidRDefault="00177AD4" w:rsidP="00980AD8">
      <w:pPr>
        <w:spacing w:before="40" w:after="40"/>
        <w:rPr>
          <w:rFonts w:cs="Calibri"/>
          <w:szCs w:val="24"/>
        </w:rPr>
      </w:pPr>
      <w:r w:rsidRPr="00C1294D">
        <w:rPr>
          <w:rFonts w:cs="Calibri"/>
          <w:szCs w:val="24"/>
        </w:rPr>
        <w:t xml:space="preserve">DFAT wants an independent evaluation of the IAFFORD </w:t>
      </w:r>
      <w:r w:rsidR="00F40C4D" w:rsidRPr="00C1294D">
        <w:rPr>
          <w:rFonts w:cs="Calibri"/>
          <w:szCs w:val="24"/>
        </w:rPr>
        <w:t>investment’s</w:t>
      </w:r>
      <w:r w:rsidRPr="00C1294D">
        <w:rPr>
          <w:rFonts w:cs="Calibri"/>
          <w:szCs w:val="24"/>
        </w:rPr>
        <w:t xml:space="preserve"> Effectiveness, Efficiency, Gender Equality and Women’s Empowerment, and Sustainability. DFAT also wants to identify lessons learned from the implementation of IAFFORD's digital infrastructure platform. </w:t>
      </w:r>
    </w:p>
    <w:p w14:paraId="23268A83" w14:textId="77777777" w:rsidR="00177AD4" w:rsidRPr="00C1294D" w:rsidRDefault="00177AD4" w:rsidP="00980AD8">
      <w:pPr>
        <w:spacing w:before="40"/>
        <w:rPr>
          <w:rFonts w:cs="Calibri"/>
          <w:szCs w:val="24"/>
        </w:rPr>
      </w:pPr>
      <w:r w:rsidRPr="00C1294D">
        <w:rPr>
          <w:rFonts w:cs="Calibri"/>
          <w:szCs w:val="24"/>
        </w:rPr>
        <w:t>The primary users of the independent evaluation are DFAT Manila Post (Post) and iXc.</w:t>
      </w:r>
    </w:p>
    <w:p w14:paraId="189C8F92" w14:textId="77777777" w:rsidR="00177AD4" w:rsidRPr="00C1294D" w:rsidRDefault="00177AD4" w:rsidP="00980AD8">
      <w:pPr>
        <w:pStyle w:val="ListParagraph"/>
        <w:numPr>
          <w:ilvl w:val="0"/>
          <w:numId w:val="10"/>
        </w:numPr>
        <w:spacing w:after="200"/>
        <w:rPr>
          <w:rStyle w:val="Strong"/>
          <w:rFonts w:cs="Calibri"/>
          <w:b w:val="0"/>
          <w:szCs w:val="24"/>
        </w:rPr>
      </w:pPr>
      <w:r w:rsidRPr="00C1294D">
        <w:rPr>
          <w:rStyle w:val="Strong"/>
          <w:rFonts w:cs="Calibri"/>
          <w:b w:val="0"/>
          <w:szCs w:val="24"/>
        </w:rPr>
        <w:t xml:space="preserve">Scope </w:t>
      </w:r>
    </w:p>
    <w:p w14:paraId="493C8E8F" w14:textId="77777777" w:rsidR="00177AD4" w:rsidRPr="00C1294D" w:rsidRDefault="00177AD4" w:rsidP="00177AD4">
      <w:pPr>
        <w:rPr>
          <w:rFonts w:cs="Calibri"/>
          <w:szCs w:val="24"/>
        </w:rPr>
      </w:pPr>
      <w:r w:rsidRPr="00C1294D">
        <w:rPr>
          <w:rFonts w:cs="Calibri"/>
          <w:szCs w:val="24"/>
        </w:rPr>
        <w:t>The Independent Evaluation should address the following questions which aligns with DFAT’s key Aid Investment Quality criteria (Effectiveness, Efficiency, Gender Equality and Women’s Empowerment, and Sustainability).</w:t>
      </w:r>
    </w:p>
    <w:p w14:paraId="34807003" w14:textId="77777777" w:rsidR="00C1294D" w:rsidRPr="00C1294D" w:rsidRDefault="00C1294D" w:rsidP="00D30F2E">
      <w:pPr>
        <w:rPr>
          <w:rFonts w:cs="Calibri"/>
          <w:szCs w:val="24"/>
        </w:rPr>
      </w:pPr>
    </w:p>
    <w:p w14:paraId="3335D878" w14:textId="3A88FDE1" w:rsidR="00177AD4" w:rsidRPr="00C1294D" w:rsidRDefault="00177AD4" w:rsidP="00D30F2E">
      <w:pPr>
        <w:rPr>
          <w:rFonts w:cs="Calibri"/>
          <w:szCs w:val="24"/>
        </w:rPr>
      </w:pPr>
      <w:r w:rsidRPr="00C1294D">
        <w:rPr>
          <w:rFonts w:cs="Calibri"/>
          <w:szCs w:val="24"/>
        </w:rPr>
        <w:t xml:space="preserve">Criteria 1: Effectiveness </w:t>
      </w:r>
    </w:p>
    <w:p w14:paraId="33BE493D" w14:textId="77777777" w:rsidR="00177AD4" w:rsidRPr="00C1294D" w:rsidRDefault="00177AD4" w:rsidP="00980AD8">
      <w:pPr>
        <w:pStyle w:val="ListParagraph"/>
        <w:numPr>
          <w:ilvl w:val="0"/>
          <w:numId w:val="12"/>
        </w:numPr>
        <w:spacing w:before="40" w:after="40"/>
        <w:rPr>
          <w:rFonts w:cs="Calibri"/>
          <w:szCs w:val="24"/>
        </w:rPr>
      </w:pPr>
      <w:r w:rsidRPr="00C1294D">
        <w:rPr>
          <w:rFonts w:cs="Calibri"/>
          <w:szCs w:val="24"/>
        </w:rPr>
        <w:t xml:space="preserve">Did the IAFFORD project achieve the results that were expected? </w:t>
      </w:r>
    </w:p>
    <w:p w14:paraId="260C743D" w14:textId="77777777" w:rsidR="00177AD4" w:rsidRPr="00C1294D" w:rsidRDefault="00177AD4" w:rsidP="00980AD8">
      <w:pPr>
        <w:pStyle w:val="ListParagraph"/>
        <w:numPr>
          <w:ilvl w:val="0"/>
          <w:numId w:val="13"/>
        </w:numPr>
        <w:spacing w:before="40" w:after="40"/>
        <w:rPr>
          <w:rFonts w:cs="Calibri"/>
          <w:szCs w:val="24"/>
        </w:rPr>
      </w:pPr>
      <w:r w:rsidRPr="00C1294D">
        <w:rPr>
          <w:rFonts w:cs="Calibri"/>
          <w:szCs w:val="24"/>
        </w:rPr>
        <w:t>To what extent did IAFFORD meet its intended goal, outcomes, and outputs?</w:t>
      </w:r>
    </w:p>
    <w:p w14:paraId="46D42226" w14:textId="77777777" w:rsidR="00177AD4" w:rsidRPr="00C1294D" w:rsidRDefault="00177AD4" w:rsidP="00980AD8">
      <w:pPr>
        <w:pStyle w:val="ListParagraph"/>
        <w:numPr>
          <w:ilvl w:val="0"/>
          <w:numId w:val="13"/>
        </w:numPr>
        <w:spacing w:before="40" w:after="40"/>
        <w:rPr>
          <w:rFonts w:cs="Calibri"/>
          <w:szCs w:val="24"/>
        </w:rPr>
      </w:pPr>
      <w:r w:rsidRPr="00C1294D">
        <w:rPr>
          <w:rFonts w:cs="Calibri"/>
          <w:szCs w:val="24"/>
        </w:rPr>
        <w:t xml:space="preserve">Did the project’s M&amp;E system generate robust evidence to measure effectiveness? </w:t>
      </w:r>
    </w:p>
    <w:p w14:paraId="532EEB6A" w14:textId="77777777" w:rsidR="00177AD4" w:rsidRPr="00C1294D" w:rsidRDefault="00177AD4" w:rsidP="00980AD8">
      <w:pPr>
        <w:pStyle w:val="ListParagraph"/>
        <w:numPr>
          <w:ilvl w:val="0"/>
          <w:numId w:val="13"/>
        </w:numPr>
        <w:spacing w:before="40" w:after="200"/>
        <w:rPr>
          <w:rFonts w:cs="Calibri"/>
          <w:szCs w:val="24"/>
        </w:rPr>
      </w:pPr>
      <w:r w:rsidRPr="00C1294D">
        <w:rPr>
          <w:rFonts w:cs="Calibri"/>
          <w:szCs w:val="24"/>
        </w:rPr>
        <w:t>What changes in behaviour, if any, did IAFFORD lead to in the project beneficiaries’ use of/demand for digital financial services to address their social welfare needs, accumulate savings, expand on livelihood projects, or mitigate effects of economic shocks and/or natural disasters? Is there any evidence that any of the project beneficiaries continue to apply new financial management skills since the project concluded?</w:t>
      </w:r>
    </w:p>
    <w:p w14:paraId="4A0A12A8" w14:textId="77777777" w:rsidR="00177AD4" w:rsidRPr="00C1294D" w:rsidRDefault="00177AD4" w:rsidP="00D30F2E">
      <w:pPr>
        <w:rPr>
          <w:rFonts w:cs="Calibri"/>
          <w:szCs w:val="24"/>
        </w:rPr>
      </w:pPr>
      <w:r w:rsidRPr="00C1294D">
        <w:rPr>
          <w:rFonts w:cs="Calibri"/>
          <w:szCs w:val="24"/>
        </w:rPr>
        <w:t xml:space="preserve">Criteria 2: Efficiency </w:t>
      </w:r>
    </w:p>
    <w:p w14:paraId="7F7A8601" w14:textId="77777777" w:rsidR="00177AD4" w:rsidRPr="00C1294D" w:rsidRDefault="00177AD4" w:rsidP="00980AD8">
      <w:pPr>
        <w:pStyle w:val="ListParagraph"/>
        <w:numPr>
          <w:ilvl w:val="0"/>
          <w:numId w:val="14"/>
        </w:numPr>
        <w:spacing w:before="40" w:after="40"/>
        <w:rPr>
          <w:rFonts w:cs="Calibri"/>
          <w:szCs w:val="24"/>
        </w:rPr>
      </w:pPr>
      <w:r w:rsidRPr="00C1294D">
        <w:rPr>
          <w:rFonts w:cs="Calibri"/>
          <w:szCs w:val="24"/>
        </w:rPr>
        <w:t>Did the IAFFORD project make appropriate use of Australia’s and the partners’ time and resources to achieve outcomes? Specifically:</w:t>
      </w:r>
    </w:p>
    <w:p w14:paraId="1A73BF70" w14:textId="77777777" w:rsidR="00177AD4" w:rsidRPr="00C1294D" w:rsidRDefault="00177AD4" w:rsidP="00980AD8">
      <w:pPr>
        <w:pStyle w:val="ListParagraph"/>
        <w:numPr>
          <w:ilvl w:val="0"/>
          <w:numId w:val="14"/>
        </w:numPr>
        <w:spacing w:before="40" w:after="40"/>
        <w:rPr>
          <w:rFonts w:cs="Calibri"/>
          <w:szCs w:val="24"/>
        </w:rPr>
      </w:pPr>
      <w:r w:rsidRPr="00C1294D">
        <w:rPr>
          <w:rFonts w:cs="Calibri"/>
          <w:szCs w:val="24"/>
        </w:rPr>
        <w:t xml:space="preserve">What were the identified risks in using the IAFFORD modality and how were they managed? </w:t>
      </w:r>
    </w:p>
    <w:p w14:paraId="6583F4E4" w14:textId="77777777" w:rsidR="00177AD4" w:rsidRPr="00C1294D" w:rsidRDefault="00177AD4" w:rsidP="00980AD8">
      <w:pPr>
        <w:pStyle w:val="ListParagraph"/>
        <w:numPr>
          <w:ilvl w:val="0"/>
          <w:numId w:val="14"/>
        </w:numPr>
        <w:spacing w:before="40" w:after="40"/>
        <w:rPr>
          <w:rFonts w:cs="Calibri"/>
          <w:szCs w:val="24"/>
        </w:rPr>
      </w:pPr>
      <w:r w:rsidRPr="00C1294D">
        <w:rPr>
          <w:rFonts w:cs="Calibri"/>
          <w:szCs w:val="24"/>
        </w:rPr>
        <w:t xml:space="preserve">Did the project’s M&amp;E system generate robust evidence to measure efficiency? </w:t>
      </w:r>
    </w:p>
    <w:p w14:paraId="1256BA6E" w14:textId="77777777" w:rsidR="00177AD4" w:rsidRPr="00C1294D" w:rsidRDefault="00177AD4" w:rsidP="00980AD8">
      <w:pPr>
        <w:spacing w:before="200"/>
        <w:rPr>
          <w:rFonts w:cs="Calibri"/>
          <w:szCs w:val="24"/>
        </w:rPr>
      </w:pPr>
      <w:r w:rsidRPr="00C1294D">
        <w:rPr>
          <w:rFonts w:cs="Calibri"/>
          <w:szCs w:val="24"/>
        </w:rPr>
        <w:t>Criteria 3: Gender Equality</w:t>
      </w:r>
    </w:p>
    <w:p w14:paraId="243ABB25" w14:textId="77777777" w:rsidR="00177AD4" w:rsidRPr="00C1294D" w:rsidRDefault="00177AD4" w:rsidP="00980AD8">
      <w:pPr>
        <w:pStyle w:val="ListParagraph"/>
        <w:numPr>
          <w:ilvl w:val="0"/>
          <w:numId w:val="15"/>
        </w:numPr>
        <w:spacing w:before="40" w:after="40"/>
        <w:rPr>
          <w:rFonts w:cs="Calibri"/>
          <w:color w:val="FF0000"/>
          <w:szCs w:val="24"/>
        </w:rPr>
      </w:pPr>
      <w:r w:rsidRPr="00C1294D">
        <w:rPr>
          <w:rFonts w:cs="Calibri"/>
          <w:szCs w:val="24"/>
        </w:rPr>
        <w:t xml:space="preserve">Did the IAFFORD project make a difference to gender equality and empower women and girls among the project beneficiaries? </w:t>
      </w:r>
    </w:p>
    <w:p w14:paraId="7C2A4238" w14:textId="77777777" w:rsidR="00177AD4" w:rsidRPr="00C1294D" w:rsidRDefault="00177AD4" w:rsidP="00980AD8">
      <w:pPr>
        <w:pStyle w:val="ListParagraph"/>
        <w:numPr>
          <w:ilvl w:val="0"/>
          <w:numId w:val="16"/>
        </w:numPr>
        <w:spacing w:before="40" w:after="40"/>
        <w:rPr>
          <w:rFonts w:cs="Calibri"/>
          <w:szCs w:val="24"/>
        </w:rPr>
      </w:pPr>
      <w:r w:rsidRPr="00C1294D">
        <w:rPr>
          <w:rFonts w:cs="Calibri"/>
          <w:szCs w:val="24"/>
        </w:rPr>
        <w:t>To what extent did the project benefit women and girls, particularly in those in Internally Displaced People (IDPs) and vulnerable groups?</w:t>
      </w:r>
    </w:p>
    <w:p w14:paraId="7C3B5EFE" w14:textId="77777777" w:rsidR="00F23755" w:rsidRPr="00C1294D" w:rsidRDefault="00177AD4" w:rsidP="00980AD8">
      <w:pPr>
        <w:pStyle w:val="ListParagraph"/>
        <w:numPr>
          <w:ilvl w:val="0"/>
          <w:numId w:val="16"/>
        </w:numPr>
        <w:spacing w:before="40" w:after="40"/>
        <w:rPr>
          <w:rFonts w:cs="Calibri"/>
          <w:szCs w:val="24"/>
        </w:rPr>
      </w:pPr>
      <w:r w:rsidRPr="00C1294D">
        <w:rPr>
          <w:rFonts w:cs="Calibri"/>
          <w:szCs w:val="24"/>
        </w:rPr>
        <w:t xml:space="preserve">Did the project’s M&amp;E system generate robust evidence to measure performance on gender equality and women’s empowerment? </w:t>
      </w:r>
    </w:p>
    <w:p w14:paraId="0CB831D5" w14:textId="77777777" w:rsidR="00177AD4" w:rsidRPr="00C1294D" w:rsidRDefault="00177AD4" w:rsidP="00980AD8">
      <w:pPr>
        <w:spacing w:before="200"/>
        <w:rPr>
          <w:rFonts w:cs="Calibri"/>
          <w:szCs w:val="24"/>
        </w:rPr>
      </w:pPr>
      <w:r w:rsidRPr="00C1294D">
        <w:rPr>
          <w:rFonts w:cs="Calibri"/>
          <w:szCs w:val="24"/>
        </w:rPr>
        <w:t>Criteria 4: Sustainability</w:t>
      </w:r>
    </w:p>
    <w:p w14:paraId="115C8017" w14:textId="77777777" w:rsidR="00177AD4" w:rsidRPr="00C1294D" w:rsidRDefault="00177AD4" w:rsidP="00D30F2E">
      <w:pPr>
        <w:pStyle w:val="ListParagraph"/>
        <w:numPr>
          <w:ilvl w:val="0"/>
          <w:numId w:val="15"/>
        </w:numPr>
        <w:spacing w:after="240"/>
        <w:rPr>
          <w:rFonts w:cs="Calibri"/>
          <w:szCs w:val="24"/>
        </w:rPr>
      </w:pPr>
      <w:r w:rsidRPr="00C1294D">
        <w:rPr>
          <w:rFonts w:cs="Calibri"/>
          <w:szCs w:val="24"/>
        </w:rPr>
        <w:t>What benefits were gained from IAFFORD and are these benefits expected to last?</w:t>
      </w:r>
    </w:p>
    <w:p w14:paraId="24AA9F50" w14:textId="77777777" w:rsidR="00177AD4" w:rsidRPr="00C1294D" w:rsidRDefault="00177AD4" w:rsidP="00C1294D">
      <w:pPr>
        <w:pStyle w:val="ListParagraph"/>
        <w:numPr>
          <w:ilvl w:val="0"/>
          <w:numId w:val="10"/>
        </w:numPr>
        <w:spacing w:after="120"/>
        <w:ind w:left="357" w:hanging="357"/>
        <w:rPr>
          <w:rStyle w:val="Strong"/>
          <w:rFonts w:cs="Calibri"/>
          <w:b w:val="0"/>
          <w:szCs w:val="24"/>
        </w:rPr>
      </w:pPr>
      <w:r w:rsidRPr="00C1294D">
        <w:rPr>
          <w:rStyle w:val="Strong"/>
          <w:rFonts w:cs="Calibri"/>
          <w:b w:val="0"/>
          <w:szCs w:val="24"/>
        </w:rPr>
        <w:t>Evaluation Plan</w:t>
      </w:r>
    </w:p>
    <w:p w14:paraId="40AE994D" w14:textId="77777777" w:rsidR="00177AD4" w:rsidRPr="00C1294D" w:rsidRDefault="00177AD4" w:rsidP="00980AD8">
      <w:pPr>
        <w:spacing w:before="40" w:after="40"/>
        <w:rPr>
          <w:rFonts w:cs="Calibri"/>
          <w:szCs w:val="24"/>
        </w:rPr>
      </w:pPr>
      <w:r w:rsidRPr="00C1294D">
        <w:rPr>
          <w:rFonts w:cs="Calibri"/>
          <w:szCs w:val="24"/>
        </w:rPr>
        <w:t>The Team Leader will develop an Evaluation Plan that details how the Evaluation Team will deliver the independent evaluation. The plan should include, at the minimum:</w:t>
      </w:r>
    </w:p>
    <w:p w14:paraId="053C05A1"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 xml:space="preserve">An evaluation design that describes an appropriate methodology for assessing the evaluation subject given the time and resources provided </w:t>
      </w:r>
    </w:p>
    <w:p w14:paraId="6AB09F1E"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 xml:space="preserve">sub-questions for the four key evaluation criteria </w:t>
      </w:r>
    </w:p>
    <w:p w14:paraId="14D5337E"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the proposed data collection and analysis process, including the sampling strategy and key informant categories</w:t>
      </w:r>
    </w:p>
    <w:p w14:paraId="52252A56"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 xml:space="preserve">challenges/ limitations to achieving the evaluation objectives that will have to be addressed </w:t>
      </w:r>
    </w:p>
    <w:p w14:paraId="76D5FC9B"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roles and responsibilities of team members</w:t>
      </w:r>
    </w:p>
    <w:p w14:paraId="0A48BE92" w14:textId="77777777" w:rsidR="00177AD4" w:rsidRPr="00C1294D" w:rsidRDefault="00177AD4" w:rsidP="00980AD8">
      <w:pPr>
        <w:pStyle w:val="ListParagraph"/>
        <w:numPr>
          <w:ilvl w:val="0"/>
          <w:numId w:val="17"/>
        </w:numPr>
        <w:spacing w:before="40" w:after="40"/>
        <w:rPr>
          <w:rFonts w:cs="Calibri"/>
          <w:szCs w:val="24"/>
        </w:rPr>
      </w:pPr>
      <w:r w:rsidRPr="00C1294D">
        <w:rPr>
          <w:rFonts w:cs="Calibri"/>
          <w:szCs w:val="24"/>
        </w:rPr>
        <w:t xml:space="preserve">draft itinerary and target dates for deliverables; and </w:t>
      </w:r>
    </w:p>
    <w:p w14:paraId="23C3AF0C" w14:textId="77777777" w:rsidR="00177AD4" w:rsidRPr="00C1294D" w:rsidRDefault="00177AD4" w:rsidP="00980AD8">
      <w:pPr>
        <w:pStyle w:val="ListParagraph"/>
        <w:numPr>
          <w:ilvl w:val="0"/>
          <w:numId w:val="17"/>
        </w:numPr>
        <w:spacing w:before="40" w:after="200"/>
        <w:rPr>
          <w:rFonts w:cs="Calibri"/>
          <w:szCs w:val="24"/>
        </w:rPr>
      </w:pPr>
      <w:r w:rsidRPr="00C1294D">
        <w:rPr>
          <w:rFonts w:cs="Calibri"/>
          <w:szCs w:val="24"/>
        </w:rPr>
        <w:t xml:space="preserve">approaches to enhance utilisation of evaluation findings. </w:t>
      </w:r>
    </w:p>
    <w:p w14:paraId="251F2831" w14:textId="77777777" w:rsidR="00177AD4" w:rsidRPr="00C1294D" w:rsidRDefault="00177AD4" w:rsidP="00980AD8">
      <w:pPr>
        <w:pStyle w:val="ListParagraph"/>
        <w:numPr>
          <w:ilvl w:val="0"/>
          <w:numId w:val="10"/>
        </w:numPr>
        <w:spacing w:before="200" w:after="200"/>
        <w:rPr>
          <w:rStyle w:val="Strong"/>
          <w:rFonts w:cs="Calibri"/>
          <w:b w:val="0"/>
          <w:szCs w:val="24"/>
        </w:rPr>
      </w:pPr>
      <w:r w:rsidRPr="00C1294D">
        <w:rPr>
          <w:rStyle w:val="Strong"/>
          <w:rFonts w:cs="Calibri"/>
          <w:b w:val="0"/>
          <w:szCs w:val="24"/>
        </w:rPr>
        <w:t>Team Composition/Roles and Responsibilities</w:t>
      </w:r>
    </w:p>
    <w:p w14:paraId="3755A88F" w14:textId="77777777" w:rsidR="00177AD4" w:rsidRPr="00C1294D" w:rsidRDefault="00177AD4" w:rsidP="00D30F2E">
      <w:pPr>
        <w:rPr>
          <w:rStyle w:val="Strong"/>
          <w:rFonts w:cs="Calibri"/>
          <w:b w:val="0"/>
          <w:szCs w:val="24"/>
        </w:rPr>
      </w:pPr>
      <w:r w:rsidRPr="00C1294D">
        <w:rPr>
          <w:rStyle w:val="Strong"/>
          <w:rFonts w:cs="Calibri"/>
          <w:b w:val="0"/>
          <w:szCs w:val="24"/>
        </w:rPr>
        <w:t xml:space="preserve">The Independent Evaluation team will be composed of: </w:t>
      </w:r>
    </w:p>
    <w:p w14:paraId="6C3037BC" w14:textId="77777777" w:rsidR="00177AD4" w:rsidRPr="00C1294D" w:rsidRDefault="00177AD4" w:rsidP="00D30F2E">
      <w:pPr>
        <w:pStyle w:val="ListParagraph"/>
        <w:numPr>
          <w:ilvl w:val="0"/>
          <w:numId w:val="18"/>
        </w:numPr>
        <w:spacing w:after="200"/>
        <w:rPr>
          <w:rFonts w:cs="Calibri"/>
          <w:szCs w:val="24"/>
        </w:rPr>
      </w:pPr>
      <w:r w:rsidRPr="00C1294D">
        <w:rPr>
          <w:rFonts w:cs="Calibri"/>
          <w:szCs w:val="24"/>
        </w:rPr>
        <w:t xml:space="preserve">Team Leader (independent consultant) with proven experience leading independent reviews and/or evaluations and the following experience and qualifications: </w:t>
      </w:r>
    </w:p>
    <w:p w14:paraId="10D71392" w14:textId="77777777" w:rsidR="00177AD4" w:rsidRPr="00C1294D" w:rsidRDefault="00177AD4" w:rsidP="00980AD8">
      <w:pPr>
        <w:pStyle w:val="ListParagraph"/>
        <w:numPr>
          <w:ilvl w:val="0"/>
          <w:numId w:val="19"/>
        </w:numPr>
        <w:spacing w:before="40" w:after="40"/>
        <w:rPr>
          <w:rFonts w:cs="Calibri"/>
          <w:szCs w:val="24"/>
        </w:rPr>
      </w:pPr>
      <w:r w:rsidRPr="00C1294D">
        <w:rPr>
          <w:rFonts w:cs="Calibri"/>
          <w:szCs w:val="24"/>
        </w:rPr>
        <w:t>selection of appropriate data collection methods on a question-specific basis and development of a detailed data analysis plan</w:t>
      </w:r>
    </w:p>
    <w:p w14:paraId="26168DA6" w14:textId="77777777" w:rsidR="00177AD4" w:rsidRPr="00C1294D" w:rsidRDefault="00177AD4" w:rsidP="00980AD8">
      <w:pPr>
        <w:pStyle w:val="ListParagraph"/>
        <w:numPr>
          <w:ilvl w:val="0"/>
          <w:numId w:val="19"/>
        </w:numPr>
        <w:spacing w:before="40" w:after="40"/>
        <w:rPr>
          <w:rFonts w:cs="Calibri"/>
          <w:szCs w:val="24"/>
        </w:rPr>
      </w:pPr>
      <w:r w:rsidRPr="00C1294D">
        <w:rPr>
          <w:rFonts w:cs="Calibri"/>
          <w:szCs w:val="24"/>
        </w:rPr>
        <w:t>field experience that includes survey research experience, structured or semi-structured group interviews and/or focus groups and application of non-experimental theory testing techniques for examining project effects (baseline reconstruction, outcome mapping, outcome harvesting, etc.)</w:t>
      </w:r>
    </w:p>
    <w:p w14:paraId="4A44E954" w14:textId="77777777" w:rsidR="00177AD4" w:rsidRPr="00C1294D" w:rsidRDefault="00177AD4" w:rsidP="00980AD8">
      <w:pPr>
        <w:pStyle w:val="ListParagraph"/>
        <w:numPr>
          <w:ilvl w:val="0"/>
          <w:numId w:val="19"/>
        </w:numPr>
        <w:spacing w:before="40" w:after="40"/>
        <w:rPr>
          <w:rFonts w:cs="Calibri"/>
          <w:szCs w:val="24"/>
        </w:rPr>
      </w:pPr>
      <w:r w:rsidRPr="00C1294D">
        <w:rPr>
          <w:rFonts w:cs="Calibri"/>
          <w:szCs w:val="24"/>
        </w:rPr>
        <w:t>experience in financial inclusion and market development (knowledge of financial service models for small and medium enterprises, value chains, etc.) would be an advantage</w:t>
      </w:r>
    </w:p>
    <w:p w14:paraId="50B8150E" w14:textId="77777777" w:rsidR="00177AD4" w:rsidRPr="00C1294D" w:rsidRDefault="00177AD4" w:rsidP="00980AD8">
      <w:pPr>
        <w:pStyle w:val="ListParagraph"/>
        <w:numPr>
          <w:ilvl w:val="0"/>
          <w:numId w:val="19"/>
        </w:numPr>
        <w:spacing w:before="40" w:after="200"/>
        <w:rPr>
          <w:rFonts w:cs="Calibri"/>
          <w:szCs w:val="24"/>
        </w:rPr>
      </w:pPr>
      <w:r w:rsidRPr="00C1294D">
        <w:rPr>
          <w:rFonts w:cs="Calibri"/>
          <w:szCs w:val="24"/>
        </w:rPr>
        <w:t>advanced degree in international development, economics, statistics, information management or relevant social science field</w:t>
      </w:r>
    </w:p>
    <w:p w14:paraId="410C963F" w14:textId="77777777" w:rsidR="00177AD4" w:rsidRPr="00C1294D" w:rsidRDefault="00177AD4" w:rsidP="00D30F2E">
      <w:pPr>
        <w:pStyle w:val="ListParagraph"/>
        <w:numPr>
          <w:ilvl w:val="0"/>
          <w:numId w:val="18"/>
        </w:numPr>
        <w:spacing w:after="200"/>
        <w:rPr>
          <w:rFonts w:cs="Calibri"/>
          <w:szCs w:val="24"/>
        </w:rPr>
      </w:pPr>
      <w:r w:rsidRPr="00C1294D">
        <w:rPr>
          <w:rFonts w:cs="Calibri"/>
          <w:szCs w:val="24"/>
        </w:rPr>
        <w:t>Financial inclusion Specialist (independent consultant) with proven experience in supporting financial inclusion projects, and the following experience and qualifications:</w:t>
      </w:r>
    </w:p>
    <w:p w14:paraId="1AECD8C3" w14:textId="77777777" w:rsidR="00177AD4" w:rsidRPr="00C1294D" w:rsidRDefault="00177AD4" w:rsidP="00980AD8">
      <w:pPr>
        <w:pStyle w:val="ListParagraph"/>
        <w:numPr>
          <w:ilvl w:val="0"/>
          <w:numId w:val="20"/>
        </w:numPr>
        <w:spacing w:before="40" w:after="40"/>
        <w:rPr>
          <w:rFonts w:cs="Calibri"/>
          <w:szCs w:val="24"/>
        </w:rPr>
      </w:pPr>
      <w:r w:rsidRPr="00C1294D">
        <w:rPr>
          <w:rFonts w:cs="Calibri"/>
          <w:szCs w:val="24"/>
        </w:rPr>
        <w:t>experience in financial inclusion projects in small business finance (e.g. action research, policy and/or strategy development, value chains, market assessments, capacity development, financial service product design or development)</w:t>
      </w:r>
    </w:p>
    <w:p w14:paraId="0B447D92" w14:textId="77777777" w:rsidR="00177AD4" w:rsidRPr="00C1294D" w:rsidRDefault="00177AD4" w:rsidP="00980AD8">
      <w:pPr>
        <w:pStyle w:val="ListParagraph"/>
        <w:numPr>
          <w:ilvl w:val="0"/>
          <w:numId w:val="20"/>
        </w:numPr>
        <w:spacing w:before="40" w:after="40"/>
        <w:rPr>
          <w:rFonts w:cs="Calibri"/>
          <w:szCs w:val="24"/>
        </w:rPr>
      </w:pPr>
      <w:r w:rsidRPr="00C1294D">
        <w:rPr>
          <w:rFonts w:cs="Calibri"/>
          <w:szCs w:val="24"/>
        </w:rPr>
        <w:t>work experience with a development finance institution, investment fund or bank’s investments or services, non-government organisation or consultancy having provided advice to financial institutions</w:t>
      </w:r>
    </w:p>
    <w:p w14:paraId="5D91FD83" w14:textId="77777777" w:rsidR="00177AD4" w:rsidRPr="00C1294D" w:rsidRDefault="00177AD4" w:rsidP="00980AD8">
      <w:pPr>
        <w:pStyle w:val="ListParagraph"/>
        <w:numPr>
          <w:ilvl w:val="0"/>
          <w:numId w:val="20"/>
        </w:numPr>
        <w:spacing w:before="40" w:after="40"/>
        <w:rPr>
          <w:rFonts w:cs="Calibri"/>
          <w:szCs w:val="24"/>
        </w:rPr>
      </w:pPr>
      <w:r w:rsidRPr="00C1294D">
        <w:rPr>
          <w:rFonts w:cs="Calibri"/>
          <w:szCs w:val="24"/>
        </w:rPr>
        <w:t>at least 10 years of experience working on micro/small/medium enterprises (MSME) financing issues (both supply and demand side)</w:t>
      </w:r>
    </w:p>
    <w:p w14:paraId="44B782A0" w14:textId="77777777" w:rsidR="00177AD4" w:rsidRPr="00C1294D" w:rsidRDefault="00177AD4" w:rsidP="00980AD8">
      <w:pPr>
        <w:pStyle w:val="ListParagraph"/>
        <w:numPr>
          <w:ilvl w:val="0"/>
          <w:numId w:val="20"/>
        </w:numPr>
        <w:spacing w:before="40" w:after="200"/>
        <w:rPr>
          <w:rFonts w:cs="Calibri"/>
          <w:szCs w:val="24"/>
        </w:rPr>
      </w:pPr>
      <w:r w:rsidRPr="00C1294D">
        <w:rPr>
          <w:rFonts w:cs="Calibri"/>
          <w:szCs w:val="24"/>
        </w:rPr>
        <w:t>advanced degree in business administration, Chartered Financial Analyst (CFA) charter</w:t>
      </w:r>
      <w:r w:rsidR="00980AD8" w:rsidRPr="00C1294D">
        <w:rPr>
          <w:rFonts w:cs="Calibri"/>
          <w:szCs w:val="24"/>
        </w:rPr>
        <w:t xml:space="preserve"> </w:t>
      </w:r>
      <w:r w:rsidRPr="00C1294D">
        <w:rPr>
          <w:rFonts w:cs="Calibri"/>
          <w:szCs w:val="24"/>
        </w:rPr>
        <w:t>holder, or an advanced degree in a relevant field from a recognized university/institution</w:t>
      </w:r>
    </w:p>
    <w:p w14:paraId="4F1B0D84" w14:textId="77777777" w:rsidR="00177AD4" w:rsidRPr="00C1294D" w:rsidRDefault="00177AD4" w:rsidP="00C1294D">
      <w:pPr>
        <w:spacing w:after="0"/>
        <w:rPr>
          <w:rFonts w:cs="Calibri"/>
          <w:szCs w:val="24"/>
        </w:rPr>
      </w:pPr>
      <w:r w:rsidRPr="00C1294D">
        <w:rPr>
          <w:rFonts w:cs="Calibri"/>
          <w:szCs w:val="24"/>
        </w:rPr>
        <w:t>Other skills and experience required for members of the Evaluation Team include:</w:t>
      </w:r>
    </w:p>
    <w:p w14:paraId="5BE24F2D" w14:textId="77777777" w:rsidR="00177AD4" w:rsidRPr="00C1294D" w:rsidRDefault="00177AD4" w:rsidP="00980AD8">
      <w:pPr>
        <w:pStyle w:val="ListParagraph"/>
        <w:numPr>
          <w:ilvl w:val="0"/>
          <w:numId w:val="21"/>
        </w:numPr>
        <w:spacing w:before="40" w:after="40"/>
        <w:rPr>
          <w:rFonts w:cs="Calibri"/>
          <w:szCs w:val="24"/>
        </w:rPr>
      </w:pPr>
      <w:r w:rsidRPr="00C1294D">
        <w:rPr>
          <w:rFonts w:cs="Calibri"/>
          <w:szCs w:val="24"/>
        </w:rPr>
        <w:t>Proven experience in training and facilitation;</w:t>
      </w:r>
    </w:p>
    <w:p w14:paraId="14046377" w14:textId="77777777" w:rsidR="00177AD4" w:rsidRPr="00C1294D" w:rsidRDefault="00177AD4" w:rsidP="00980AD8">
      <w:pPr>
        <w:pStyle w:val="ListParagraph"/>
        <w:numPr>
          <w:ilvl w:val="0"/>
          <w:numId w:val="21"/>
        </w:numPr>
        <w:spacing w:before="40" w:after="200"/>
        <w:rPr>
          <w:rFonts w:cs="Calibri"/>
          <w:szCs w:val="24"/>
        </w:rPr>
      </w:pPr>
      <w:r w:rsidRPr="00C1294D">
        <w:rPr>
          <w:rFonts w:cs="Calibri"/>
          <w:szCs w:val="24"/>
        </w:rPr>
        <w:t>Collegial attitude and capacity to proven experience leading a diverse evaluation/review team;</w:t>
      </w:r>
    </w:p>
    <w:p w14:paraId="07689836" w14:textId="77777777" w:rsidR="00177AD4" w:rsidRPr="00C1294D" w:rsidRDefault="00177AD4" w:rsidP="00980AD8">
      <w:pPr>
        <w:spacing w:before="40" w:after="40"/>
        <w:rPr>
          <w:rFonts w:cs="Calibri"/>
          <w:szCs w:val="24"/>
        </w:rPr>
      </w:pPr>
      <w:r w:rsidRPr="00C1294D">
        <w:rPr>
          <w:rFonts w:cs="Calibri"/>
          <w:szCs w:val="24"/>
        </w:rPr>
        <w:t>DFAT representatives from Canberra and/or Manila may participate in the evaluation process, including the in-country mission. However, DFAT representatives are not part of the independent evaluation team and will not provide inputs to the independent evaluation aide memoire or the independent evaluation report.</w:t>
      </w:r>
    </w:p>
    <w:p w14:paraId="52A40A23" w14:textId="6AC3258F" w:rsidR="00177AD4" w:rsidRPr="00C1294D" w:rsidRDefault="00177AD4" w:rsidP="00980AD8">
      <w:pPr>
        <w:spacing w:before="40"/>
        <w:rPr>
          <w:rFonts w:cs="Calibri"/>
          <w:szCs w:val="24"/>
        </w:rPr>
      </w:pPr>
      <w:r w:rsidRPr="00C1294D">
        <w:rPr>
          <w:rFonts w:cs="Calibri"/>
          <w:szCs w:val="24"/>
        </w:rPr>
        <w:t>The Independent Evaluation Team will draft a meeting schedule and make their own travel and logistical arrangements, in liaison and consultation with DFAT Manila.</w:t>
      </w:r>
      <w:r w:rsidR="008449C7">
        <w:rPr>
          <w:rFonts w:cs="Calibri"/>
          <w:szCs w:val="24"/>
        </w:rPr>
        <w:t xml:space="preserve"> </w:t>
      </w:r>
    </w:p>
    <w:p w14:paraId="7A25B53B" w14:textId="77777777" w:rsidR="00177AD4" w:rsidRPr="00C1294D" w:rsidRDefault="00177AD4" w:rsidP="00D30F2E">
      <w:pPr>
        <w:pStyle w:val="ListParagraph"/>
        <w:numPr>
          <w:ilvl w:val="0"/>
          <w:numId w:val="10"/>
        </w:numPr>
        <w:spacing w:after="200"/>
        <w:rPr>
          <w:rStyle w:val="Strong"/>
          <w:rFonts w:cs="Calibri"/>
          <w:b w:val="0"/>
          <w:szCs w:val="24"/>
        </w:rPr>
      </w:pPr>
      <w:r w:rsidRPr="00C1294D">
        <w:rPr>
          <w:rStyle w:val="Strong"/>
          <w:rFonts w:cs="Calibri"/>
          <w:b w:val="0"/>
          <w:szCs w:val="24"/>
        </w:rPr>
        <w:t>Expected Outputs</w:t>
      </w:r>
    </w:p>
    <w:p w14:paraId="13A69471" w14:textId="77777777" w:rsidR="00177AD4" w:rsidRPr="00C1294D" w:rsidRDefault="00177AD4" w:rsidP="00E8054A">
      <w:pPr>
        <w:pStyle w:val="ListParagraph"/>
        <w:numPr>
          <w:ilvl w:val="0"/>
          <w:numId w:val="38"/>
        </w:numPr>
        <w:spacing w:before="40" w:after="40"/>
        <w:rPr>
          <w:rStyle w:val="Strong"/>
          <w:rFonts w:cs="Calibri"/>
          <w:b w:val="0"/>
          <w:szCs w:val="24"/>
        </w:rPr>
      </w:pPr>
      <w:r w:rsidRPr="00C1294D">
        <w:rPr>
          <w:rStyle w:val="Strong"/>
          <w:rFonts w:cs="Calibri"/>
          <w:b w:val="0"/>
          <w:szCs w:val="24"/>
        </w:rPr>
        <w:t xml:space="preserve">Evaluation Plan - as described under Section D above; </w:t>
      </w:r>
      <w:r w:rsidRPr="00C1294D">
        <w:rPr>
          <w:rFonts w:cs="Calibri"/>
          <w:szCs w:val="24"/>
        </w:rPr>
        <w:t>submitted within nine days of commencement of the assignment, and to be agreed by DFAT</w:t>
      </w:r>
    </w:p>
    <w:p w14:paraId="78997E33" w14:textId="77777777" w:rsidR="00177AD4" w:rsidRPr="00C1294D" w:rsidRDefault="00177AD4" w:rsidP="00E8054A">
      <w:pPr>
        <w:pStyle w:val="ListParagraph"/>
        <w:numPr>
          <w:ilvl w:val="0"/>
          <w:numId w:val="38"/>
        </w:numPr>
        <w:spacing w:before="40" w:after="40"/>
        <w:rPr>
          <w:rFonts w:cs="Calibri"/>
          <w:szCs w:val="24"/>
        </w:rPr>
      </w:pPr>
      <w:r w:rsidRPr="00C1294D">
        <w:rPr>
          <w:rStyle w:val="Strong"/>
          <w:rFonts w:cs="Calibri"/>
          <w:b w:val="0"/>
          <w:szCs w:val="24"/>
        </w:rPr>
        <w:t>Aide memoire - outlines the team’s preliminary findings, to be presented and submitted to DFAT at the end of the in-country mission. The format for the Aide Memoire will be agreed with DFAT and will be no more than 3 pages. Feedback from DFAT on the aide memoire will inform the evaluation report.</w:t>
      </w:r>
    </w:p>
    <w:p w14:paraId="338B71D9" w14:textId="77777777" w:rsidR="00177AD4" w:rsidRPr="00C1294D" w:rsidRDefault="00177AD4" w:rsidP="00E8054A">
      <w:pPr>
        <w:pStyle w:val="ListParagraph"/>
        <w:numPr>
          <w:ilvl w:val="0"/>
          <w:numId w:val="38"/>
        </w:numPr>
        <w:spacing w:before="40" w:after="200"/>
        <w:rPr>
          <w:rFonts w:cs="Calibri"/>
          <w:szCs w:val="24"/>
        </w:rPr>
      </w:pPr>
      <w:r w:rsidRPr="00C1294D">
        <w:rPr>
          <w:rStyle w:val="Strong"/>
          <w:rFonts w:cs="Calibri"/>
          <w:b w:val="0"/>
          <w:szCs w:val="24"/>
        </w:rPr>
        <w:t>Independent Evaluation Report</w:t>
      </w:r>
      <w:r w:rsidRPr="00C1294D">
        <w:rPr>
          <w:rFonts w:cs="Calibri"/>
          <w:szCs w:val="24"/>
        </w:rPr>
        <w:t xml:space="preserve"> - A succinct final evaluation report, of not more than 15 pages (excluding annexes) which meets DFAT's Aid Evaluation Policy and Monitoring and Evaluation (M&amp;E) standards.</w:t>
      </w:r>
    </w:p>
    <w:p w14:paraId="079B6D79" w14:textId="77777777" w:rsidR="00177AD4" w:rsidRPr="00C1294D" w:rsidRDefault="00177AD4" w:rsidP="00E8054A">
      <w:pPr>
        <w:pStyle w:val="ListParagraph"/>
        <w:numPr>
          <w:ilvl w:val="0"/>
          <w:numId w:val="23"/>
        </w:numPr>
        <w:spacing w:before="40" w:after="40"/>
        <w:rPr>
          <w:rFonts w:cs="Calibri"/>
          <w:szCs w:val="24"/>
        </w:rPr>
      </w:pPr>
      <w:r w:rsidRPr="00C1294D">
        <w:rPr>
          <w:rFonts w:cs="Calibri"/>
          <w:szCs w:val="24"/>
        </w:rPr>
        <w:t>Draft Report - to be submitted to DFAT within one week of completion of the in-country mission. Feedback from DFAT will be provided within one week of receiving the draft report.</w:t>
      </w:r>
    </w:p>
    <w:p w14:paraId="70C3740D" w14:textId="77777777" w:rsidR="00177AD4" w:rsidRPr="00C1294D" w:rsidRDefault="00177AD4" w:rsidP="00E8054A">
      <w:pPr>
        <w:pStyle w:val="ListParagraph"/>
        <w:numPr>
          <w:ilvl w:val="0"/>
          <w:numId w:val="23"/>
        </w:numPr>
        <w:spacing w:before="40" w:after="200"/>
        <w:rPr>
          <w:rFonts w:cs="Calibri"/>
          <w:szCs w:val="24"/>
        </w:rPr>
      </w:pPr>
      <w:r w:rsidRPr="00C1294D">
        <w:rPr>
          <w:rFonts w:cs="Calibri"/>
          <w:szCs w:val="24"/>
        </w:rPr>
        <w:t xml:space="preserve">Final Report - to be submitted to DFAT within five working days of receiving comments on the draft report. The Final Report is intended to be published on the DFAT website. </w:t>
      </w:r>
    </w:p>
    <w:p w14:paraId="1548004D" w14:textId="77777777" w:rsidR="00177AD4" w:rsidRPr="00C1294D" w:rsidRDefault="00177AD4" w:rsidP="00C1294D">
      <w:pPr>
        <w:pStyle w:val="ListParagraph"/>
        <w:numPr>
          <w:ilvl w:val="0"/>
          <w:numId w:val="10"/>
        </w:numPr>
        <w:spacing w:after="120"/>
        <w:ind w:left="357" w:hanging="357"/>
        <w:rPr>
          <w:rStyle w:val="Strong"/>
          <w:rFonts w:cs="Calibri"/>
          <w:b w:val="0"/>
          <w:szCs w:val="24"/>
        </w:rPr>
      </w:pPr>
      <w:r w:rsidRPr="00C1294D">
        <w:rPr>
          <w:rStyle w:val="Strong"/>
          <w:rFonts w:cs="Calibri"/>
          <w:b w:val="0"/>
          <w:szCs w:val="24"/>
        </w:rPr>
        <w:t>Duration and Phasing</w:t>
      </w:r>
    </w:p>
    <w:tbl>
      <w:tblPr>
        <w:tblStyle w:val="TableGrid"/>
        <w:tblW w:w="9157" w:type="dxa"/>
        <w:tblInd w:w="-5" w:type="dxa"/>
        <w:tblLook w:val="04A0" w:firstRow="1" w:lastRow="0" w:firstColumn="1" w:lastColumn="0" w:noHBand="0" w:noVBand="1"/>
      </w:tblPr>
      <w:tblGrid>
        <w:gridCol w:w="1691"/>
        <w:gridCol w:w="7466"/>
      </w:tblGrid>
      <w:tr w:rsidR="00E8054A" w:rsidRPr="00802B02" w14:paraId="1E15A2E3" w14:textId="77777777" w:rsidTr="00E8054A">
        <w:trPr>
          <w:trHeight w:val="53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3AE8"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Indicative dates</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07AD8"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Activities</w:t>
            </w:r>
          </w:p>
        </w:tc>
      </w:tr>
      <w:tr w:rsidR="00E8054A" w:rsidRPr="00802B02" w14:paraId="2D8A69A7" w14:textId="77777777" w:rsidTr="00E8054A">
        <w:trPr>
          <w:trHeight w:val="259"/>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tcPr>
          <w:p w14:paraId="3F169FF4"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hideMark/>
          </w:tcPr>
          <w:p w14:paraId="62032409"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Evaluation Preparatory work</w:t>
            </w:r>
          </w:p>
        </w:tc>
      </w:tr>
      <w:tr w:rsidR="00E8054A" w:rsidRPr="00802B02" w14:paraId="1DEEECA0" w14:textId="77777777" w:rsidTr="00E8054A">
        <w:trPr>
          <w:trHeight w:val="285"/>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3F33A"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15 Aug</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6BD74" w14:textId="77777777" w:rsidR="00E8054A" w:rsidRPr="00D9135B" w:rsidRDefault="00E8054A" w:rsidP="00D9135B">
            <w:pPr>
              <w:pStyle w:val="ListParagraph"/>
              <w:numPr>
                <w:ilvl w:val="0"/>
                <w:numId w:val="16"/>
              </w:numPr>
              <w:spacing w:after="0"/>
              <w:rPr>
                <w:rStyle w:val="Strong"/>
                <w:rFonts w:cs="Calibri Light"/>
                <w:b w:val="0"/>
                <w:sz w:val="23"/>
                <w:szCs w:val="23"/>
                <w:lang w:val="en-US"/>
              </w:rPr>
            </w:pPr>
            <w:r w:rsidRPr="00D9135B">
              <w:rPr>
                <w:rStyle w:val="Strong"/>
                <w:rFonts w:cs="Calibri Light"/>
                <w:b w:val="0"/>
                <w:sz w:val="23"/>
                <w:szCs w:val="23"/>
                <w:lang w:val="en-US"/>
              </w:rPr>
              <w:t xml:space="preserve">Introductory briefing for Evaluation team </w:t>
            </w:r>
          </w:p>
        </w:tc>
      </w:tr>
      <w:tr w:rsidR="00E8054A" w:rsidRPr="00802B02" w14:paraId="5E04C142"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875A9"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16, 19 Aug</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D5CB" w14:textId="77777777" w:rsidR="00E8054A" w:rsidRPr="00D9135B" w:rsidRDefault="00E8054A" w:rsidP="00D9135B">
            <w:pPr>
              <w:pStyle w:val="ListParagraph"/>
              <w:numPr>
                <w:ilvl w:val="0"/>
                <w:numId w:val="16"/>
              </w:numPr>
              <w:spacing w:after="0"/>
              <w:rPr>
                <w:rStyle w:val="Strong"/>
                <w:rFonts w:cs="Calibri Light"/>
                <w:b w:val="0"/>
                <w:sz w:val="23"/>
                <w:szCs w:val="23"/>
                <w:lang w:val="en-US"/>
              </w:rPr>
            </w:pPr>
            <w:r w:rsidRPr="00D9135B">
              <w:rPr>
                <w:rStyle w:val="Strong"/>
                <w:rFonts w:cs="Calibri Light"/>
                <w:b w:val="0"/>
                <w:sz w:val="23"/>
                <w:szCs w:val="23"/>
                <w:lang w:val="en-US"/>
              </w:rPr>
              <w:t>Documentary research and desk review</w:t>
            </w:r>
          </w:p>
        </w:tc>
      </w:tr>
      <w:tr w:rsidR="00E8054A" w:rsidRPr="00802B02" w14:paraId="3A2B34CA"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6EC1F"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D57BA" w14:textId="77777777" w:rsidR="00E8054A" w:rsidRPr="00D9135B" w:rsidRDefault="00E8054A" w:rsidP="00D9135B">
            <w:pPr>
              <w:pStyle w:val="ListParagraph"/>
              <w:numPr>
                <w:ilvl w:val="0"/>
                <w:numId w:val="16"/>
              </w:numPr>
              <w:spacing w:after="0"/>
              <w:rPr>
                <w:rStyle w:val="Strong"/>
                <w:rFonts w:cs="Calibri Light"/>
                <w:b w:val="0"/>
                <w:sz w:val="23"/>
                <w:szCs w:val="23"/>
                <w:lang w:val="en-US"/>
              </w:rPr>
            </w:pPr>
            <w:r w:rsidRPr="00D9135B">
              <w:rPr>
                <w:rStyle w:val="Strong"/>
                <w:rFonts w:cs="Calibri Light"/>
                <w:b w:val="0"/>
                <w:sz w:val="23"/>
                <w:szCs w:val="23"/>
                <w:lang w:val="en-US"/>
              </w:rPr>
              <w:t>Preparation of draft Evaluation Plan</w:t>
            </w:r>
          </w:p>
        </w:tc>
      </w:tr>
      <w:tr w:rsidR="00E8054A" w:rsidRPr="00802B02" w14:paraId="61B6B415" w14:textId="77777777" w:rsidTr="00E8054A">
        <w:trPr>
          <w:trHeight w:val="285"/>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50865"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27 Aug</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FCA75" w14:textId="77777777" w:rsidR="00E8054A" w:rsidRPr="00D9135B" w:rsidRDefault="00E8054A" w:rsidP="00D9135B">
            <w:pPr>
              <w:pStyle w:val="ListParagraph"/>
              <w:numPr>
                <w:ilvl w:val="0"/>
                <w:numId w:val="16"/>
              </w:numPr>
              <w:spacing w:after="0"/>
              <w:rPr>
                <w:rStyle w:val="Strong"/>
                <w:rFonts w:cs="Calibri Light"/>
                <w:b w:val="0"/>
                <w:sz w:val="23"/>
                <w:szCs w:val="23"/>
                <w:lang w:val="en-US"/>
              </w:rPr>
            </w:pPr>
            <w:r w:rsidRPr="00D9135B">
              <w:rPr>
                <w:rStyle w:val="Strong"/>
                <w:rFonts w:cs="Calibri Light"/>
                <w:b w:val="0"/>
                <w:sz w:val="23"/>
                <w:szCs w:val="23"/>
                <w:lang w:val="en-US"/>
              </w:rPr>
              <w:t>Submission of draft Evaluation Plan to DFAT</w:t>
            </w:r>
          </w:p>
        </w:tc>
      </w:tr>
      <w:tr w:rsidR="00E8054A" w:rsidRPr="00802B02" w14:paraId="30FBD552" w14:textId="77777777" w:rsidTr="00E8054A">
        <w:trPr>
          <w:trHeight w:val="557"/>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771B4"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30 Aug</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1EBB2" w14:textId="77777777" w:rsidR="00E8054A" w:rsidRPr="00D9135B" w:rsidRDefault="00E8054A" w:rsidP="00D9135B">
            <w:pPr>
              <w:pStyle w:val="ListParagraph"/>
              <w:numPr>
                <w:ilvl w:val="0"/>
                <w:numId w:val="16"/>
              </w:numPr>
              <w:spacing w:after="0"/>
              <w:rPr>
                <w:rStyle w:val="Strong"/>
                <w:rFonts w:cs="Calibri Light"/>
                <w:b w:val="0"/>
                <w:sz w:val="23"/>
                <w:szCs w:val="23"/>
                <w:lang w:val="en-US"/>
              </w:rPr>
            </w:pPr>
            <w:r w:rsidRPr="00D9135B">
              <w:t>Evaluation Plan finalised based on DFAT’s feedback</w:t>
            </w:r>
          </w:p>
        </w:tc>
      </w:tr>
      <w:tr w:rsidR="00E8054A" w:rsidRPr="00802B02" w14:paraId="0354D353"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vAlign w:val="center"/>
          </w:tcPr>
          <w:p w14:paraId="48337378"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hideMark/>
          </w:tcPr>
          <w:p w14:paraId="78E1A3C6" w14:textId="77777777" w:rsidR="00E8054A" w:rsidRPr="00D9135B" w:rsidRDefault="00E8054A" w:rsidP="00D9135B">
            <w:pPr>
              <w:rPr>
                <w:rFonts w:ascii="Times New Roman" w:hAnsi="Times New Roman" w:cs="Times New Roman"/>
              </w:rPr>
            </w:pPr>
            <w:r w:rsidRPr="00D9135B">
              <w:t>Evaluation In-country Mission</w:t>
            </w:r>
          </w:p>
        </w:tc>
      </w:tr>
      <w:tr w:rsidR="00E8054A" w:rsidRPr="00802B02" w14:paraId="4D68377C"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BDC4F"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2-6 Sept</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FB5A4"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In-country consultations and data gathering</w:t>
            </w:r>
          </w:p>
        </w:tc>
      </w:tr>
      <w:tr w:rsidR="00E8054A" w:rsidRPr="00802B02" w14:paraId="12BCA43A" w14:textId="77777777" w:rsidTr="00E8054A">
        <w:trPr>
          <w:trHeight w:val="285"/>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560E5"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30AA7"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Preparation of aide memoire</w:t>
            </w:r>
          </w:p>
        </w:tc>
      </w:tr>
      <w:tr w:rsidR="00E8054A" w:rsidRPr="00802B02" w14:paraId="6F1C5362" w14:textId="77777777" w:rsidTr="00E8054A">
        <w:trPr>
          <w:trHeight w:val="545"/>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50CB3"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13 Sept</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521BD"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Submission/Presentation of aide memoire to DFAT</w:t>
            </w:r>
          </w:p>
        </w:tc>
      </w:tr>
      <w:tr w:rsidR="00E8054A" w:rsidRPr="00802B02" w14:paraId="46D8E019" w14:textId="77777777" w:rsidTr="00E8054A">
        <w:trPr>
          <w:trHeight w:val="259"/>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vAlign w:val="center"/>
          </w:tcPr>
          <w:p w14:paraId="2CB7BD08"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hideMark/>
          </w:tcPr>
          <w:p w14:paraId="1FDB9B13"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 xml:space="preserve">Evaluation Report </w:t>
            </w:r>
          </w:p>
        </w:tc>
      </w:tr>
      <w:tr w:rsidR="00E8054A" w:rsidRPr="00802B02" w14:paraId="50880945"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A01C4" w14:textId="77777777" w:rsidR="00E8054A" w:rsidRPr="00D9135B" w:rsidRDefault="00E8054A" w:rsidP="00D9135B">
            <w:pPr>
              <w:rPr>
                <w:rStyle w:val="Strong"/>
                <w:rFonts w:cs="Calibri Light"/>
                <w:b w:val="0"/>
                <w:color w:val="FF000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27825"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Preparation of draft Evaluation Report</w:t>
            </w:r>
          </w:p>
        </w:tc>
      </w:tr>
      <w:tr w:rsidR="00E8054A" w:rsidRPr="00802B02" w14:paraId="58BF8E73" w14:textId="77777777" w:rsidTr="00E8054A">
        <w:trPr>
          <w:trHeight w:val="285"/>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87024"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27 Sept</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2C0E9"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Submission of draft Evaluation Report to DFAT</w:t>
            </w:r>
          </w:p>
        </w:tc>
      </w:tr>
      <w:tr w:rsidR="00E8054A" w:rsidRPr="00802B02" w14:paraId="6A455CFD" w14:textId="77777777" w:rsidTr="00C1294D">
        <w:trPr>
          <w:trHeight w:val="273"/>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8A985"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21B0"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Revise Evaluation Report based on DFAT’s feedback</w:t>
            </w:r>
          </w:p>
        </w:tc>
      </w:tr>
      <w:tr w:rsidR="00E8054A" w:rsidRPr="00802B02" w14:paraId="76A5F6CA" w14:textId="77777777" w:rsidTr="00E8054A">
        <w:trPr>
          <w:trHeight w:val="272"/>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D4016"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11 Oct</w:t>
            </w: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04E3A" w14:textId="77777777" w:rsidR="00E8054A" w:rsidRPr="00D9135B" w:rsidRDefault="00E8054A" w:rsidP="00D9135B">
            <w:pPr>
              <w:pStyle w:val="ListParagraph"/>
              <w:numPr>
                <w:ilvl w:val="0"/>
                <w:numId w:val="24"/>
              </w:numPr>
              <w:spacing w:after="0"/>
              <w:rPr>
                <w:rStyle w:val="Strong"/>
                <w:rFonts w:cs="Calibri Light"/>
                <w:b w:val="0"/>
                <w:sz w:val="23"/>
                <w:szCs w:val="23"/>
                <w:lang w:val="en-US"/>
              </w:rPr>
            </w:pPr>
            <w:r w:rsidRPr="00D9135B">
              <w:rPr>
                <w:rStyle w:val="Strong"/>
                <w:rFonts w:cs="Calibri Light"/>
                <w:b w:val="0"/>
                <w:sz w:val="23"/>
                <w:szCs w:val="23"/>
                <w:lang w:val="en-US"/>
              </w:rPr>
              <w:t>Submission of final Evaluation Report to DFAT</w:t>
            </w:r>
          </w:p>
        </w:tc>
      </w:tr>
      <w:tr w:rsidR="00E8054A" w:rsidRPr="00802B02" w14:paraId="0CAAFFAB" w14:textId="77777777" w:rsidTr="00E8054A">
        <w:trPr>
          <w:trHeight w:val="259"/>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vAlign w:val="center"/>
          </w:tcPr>
          <w:p w14:paraId="57F98D8E" w14:textId="77777777" w:rsidR="00E8054A" w:rsidRPr="00D9135B" w:rsidRDefault="00E8054A" w:rsidP="00D9135B">
            <w:pPr>
              <w:rPr>
                <w:rStyle w:val="Strong"/>
                <w:rFonts w:cs="Calibri Light"/>
                <w:b w:val="0"/>
                <w:sz w:val="23"/>
                <w:szCs w:val="23"/>
              </w:rPr>
            </w:pPr>
          </w:p>
        </w:tc>
        <w:tc>
          <w:tcPr>
            <w:tcW w:w="7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8B6C0" w:themeFill="accent2"/>
            <w:hideMark/>
          </w:tcPr>
          <w:p w14:paraId="1BB86943" w14:textId="77777777" w:rsidR="00E8054A" w:rsidRPr="00D9135B" w:rsidRDefault="00E8054A" w:rsidP="00D9135B">
            <w:pPr>
              <w:rPr>
                <w:rStyle w:val="Strong"/>
                <w:rFonts w:cs="Calibri Light"/>
                <w:b w:val="0"/>
                <w:sz w:val="23"/>
                <w:szCs w:val="23"/>
              </w:rPr>
            </w:pPr>
            <w:r w:rsidRPr="00D9135B">
              <w:rPr>
                <w:rStyle w:val="Strong"/>
                <w:rFonts w:cs="Calibri Light"/>
                <w:b w:val="0"/>
                <w:sz w:val="23"/>
                <w:szCs w:val="23"/>
              </w:rPr>
              <w:t>TOTAL</w:t>
            </w:r>
          </w:p>
        </w:tc>
      </w:tr>
    </w:tbl>
    <w:p w14:paraId="171EEBCF" w14:textId="77777777" w:rsidR="00177AD4" w:rsidRPr="00E8054A" w:rsidRDefault="00177AD4" w:rsidP="00E8054A">
      <w:pPr>
        <w:pStyle w:val="ListParagraph"/>
        <w:numPr>
          <w:ilvl w:val="0"/>
          <w:numId w:val="10"/>
        </w:numPr>
        <w:spacing w:before="200" w:after="0"/>
        <w:rPr>
          <w:rStyle w:val="Strong"/>
          <w:rFonts w:cs="Calibri Light"/>
          <w:b w:val="0"/>
          <w:sz w:val="23"/>
          <w:szCs w:val="23"/>
        </w:rPr>
      </w:pPr>
      <w:r w:rsidRPr="00E8054A">
        <w:rPr>
          <w:rStyle w:val="Strong"/>
          <w:rFonts w:cs="Calibri Light"/>
          <w:b w:val="0"/>
          <w:sz w:val="23"/>
          <w:szCs w:val="23"/>
        </w:rPr>
        <w:t>Key documents</w:t>
      </w:r>
    </w:p>
    <w:p w14:paraId="18492FE1" w14:textId="77777777" w:rsidR="00177AD4" w:rsidRPr="00D9135B" w:rsidRDefault="00177AD4" w:rsidP="00D9135B">
      <w:pPr>
        <w:pStyle w:val="ListParagraph"/>
        <w:numPr>
          <w:ilvl w:val="0"/>
          <w:numId w:val="25"/>
        </w:numPr>
        <w:spacing w:after="0"/>
        <w:rPr>
          <w:rStyle w:val="Strong"/>
          <w:rFonts w:cs="Calibri Light"/>
          <w:b w:val="0"/>
          <w:sz w:val="23"/>
          <w:szCs w:val="23"/>
        </w:rPr>
      </w:pPr>
      <w:r w:rsidRPr="00D9135B">
        <w:rPr>
          <w:rStyle w:val="Strong"/>
          <w:rFonts w:cs="Calibri Light"/>
          <w:b w:val="0"/>
          <w:sz w:val="23"/>
          <w:szCs w:val="23"/>
        </w:rPr>
        <w:t>IAFFORD project documents: Project Proposal; Oxfam Final Report</w:t>
      </w:r>
    </w:p>
    <w:p w14:paraId="4ABE8FBF" w14:textId="77777777" w:rsidR="00177AD4" w:rsidRPr="00D9135B" w:rsidRDefault="00177AD4" w:rsidP="00D9135B">
      <w:pPr>
        <w:pStyle w:val="ListParagraph"/>
        <w:numPr>
          <w:ilvl w:val="0"/>
          <w:numId w:val="25"/>
        </w:numPr>
        <w:spacing w:after="0"/>
        <w:rPr>
          <w:rStyle w:val="Strong"/>
          <w:rFonts w:cs="Calibri Light"/>
          <w:b w:val="0"/>
          <w:sz w:val="23"/>
          <w:szCs w:val="23"/>
        </w:rPr>
      </w:pPr>
      <w:r w:rsidRPr="00D9135B">
        <w:rPr>
          <w:rStyle w:val="Strong"/>
          <w:rFonts w:cs="Calibri Light"/>
          <w:b w:val="0"/>
          <w:sz w:val="23"/>
          <w:szCs w:val="23"/>
        </w:rPr>
        <w:t>DFAT Monitoring and Evaluation Standards</w:t>
      </w:r>
    </w:p>
    <w:p w14:paraId="32FA0B79" w14:textId="77777777" w:rsidR="0093319A" w:rsidRPr="00D9135B" w:rsidRDefault="00177AD4" w:rsidP="00C1294D">
      <w:pPr>
        <w:spacing w:before="120" w:after="0"/>
        <w:rPr>
          <w:b/>
        </w:rPr>
        <w:sectPr w:rsidR="0093319A" w:rsidRPr="00D9135B" w:rsidSect="00177AD4">
          <w:headerReference w:type="default" r:id="rId33"/>
          <w:footerReference w:type="default" r:id="rId34"/>
          <w:pgSz w:w="11906" w:h="16838" w:code="9"/>
          <w:pgMar w:top="1440" w:right="1440" w:bottom="1440" w:left="1440" w:header="720" w:footer="720" w:gutter="0"/>
          <w:cols w:space="720"/>
          <w:docGrid w:linePitch="360"/>
        </w:sectPr>
      </w:pPr>
      <w:r w:rsidRPr="00D9135B">
        <w:rPr>
          <w:rStyle w:val="Strong"/>
          <w:rFonts w:cs="Calibri Light"/>
          <w:b w:val="0"/>
          <w:sz w:val="23"/>
          <w:szCs w:val="23"/>
        </w:rPr>
        <w:t>DFAT shall make available to the evaluation team other reasonable requests for information and documentation relating to the evaluation. The evaluation team is also expected to independently source other relevant material and literature.</w:t>
      </w:r>
    </w:p>
    <w:p w14:paraId="3D96FA1F" w14:textId="77777777" w:rsidR="00FE5E03" w:rsidRPr="00802B02" w:rsidRDefault="00FE5E03" w:rsidP="00FE5E03">
      <w:pPr>
        <w:pStyle w:val="3Spine"/>
        <w:rPr>
          <w:rFonts w:ascii="Times New Roman" w:hAnsi="Times New Roman"/>
          <w:color w:val="1C6194" w:themeColor="accent6" w:themeShade="BF"/>
          <w:sz w:val="44"/>
          <w:szCs w:val="44"/>
        </w:rPr>
      </w:pPr>
      <w:bookmarkStart w:id="27" w:name="_Hlk24536162"/>
      <w:r w:rsidRPr="00802B02">
        <w:rPr>
          <w:color w:val="1C6194" w:themeColor="accent6" w:themeShade="BF"/>
          <w:sz w:val="44"/>
          <w:szCs w:val="44"/>
        </w:rPr>
        <w:t>Annex 2: List of Organizations Consulted</w:t>
      </w:r>
      <w:bookmarkEnd w:id="27"/>
    </w:p>
    <w:p w14:paraId="640656F1" w14:textId="77777777" w:rsidR="00FE5E03" w:rsidRPr="00802B02" w:rsidRDefault="00FE5E03" w:rsidP="00FE5E03">
      <w:pPr>
        <w:spacing w:after="0" w:line="240" w:lineRule="auto"/>
        <w:rPr>
          <w:b/>
          <w:color w:val="1C6194" w:themeColor="accent6" w:themeShade="BF"/>
          <w:sz w:val="44"/>
          <w:szCs w:val="44"/>
          <w:lang w:bidi="hi-IN"/>
        </w:rPr>
        <w:sectPr w:rsidR="00FE5E03" w:rsidRPr="00802B02">
          <w:pgSz w:w="11906" w:h="16838"/>
          <w:pgMar w:top="1440" w:right="1440" w:bottom="1440" w:left="1440" w:header="720" w:footer="720" w:gutter="0"/>
          <w:pgNumType w:start="1"/>
          <w:cols w:space="720"/>
          <w:vAlign w:val="center"/>
        </w:sectPr>
      </w:pPr>
    </w:p>
    <w:tbl>
      <w:tblPr>
        <w:tblStyle w:val="TableGrid"/>
        <w:tblW w:w="0" w:type="auto"/>
        <w:tblLook w:val="04A0" w:firstRow="1" w:lastRow="0" w:firstColumn="1" w:lastColumn="0" w:noHBand="0" w:noVBand="1"/>
      </w:tblPr>
      <w:tblGrid>
        <w:gridCol w:w="9016"/>
      </w:tblGrid>
      <w:tr w:rsidR="008B60B5" w:rsidRPr="00802B02" w14:paraId="2684AFC3" w14:textId="77777777" w:rsidTr="00214CF5">
        <w:tc>
          <w:tcPr>
            <w:tcW w:w="9016" w:type="dxa"/>
            <w:shd w:val="clear" w:color="auto" w:fill="F2F2F2" w:themeFill="background1" w:themeFillShade="F2"/>
          </w:tcPr>
          <w:p w14:paraId="62425A07" w14:textId="77777777" w:rsidR="008B60B5" w:rsidRPr="00802B02" w:rsidRDefault="008B60B5" w:rsidP="00E8054A">
            <w:pPr>
              <w:spacing w:before="40" w:after="40"/>
              <w:rPr>
                <w:b/>
                <w:bCs/>
              </w:rPr>
            </w:pPr>
            <w:r w:rsidRPr="00802B02">
              <w:rPr>
                <w:b/>
                <w:bCs/>
              </w:rPr>
              <w:t xml:space="preserve">DFAT Manila Post </w:t>
            </w:r>
          </w:p>
        </w:tc>
      </w:tr>
      <w:tr w:rsidR="008B60B5" w:rsidRPr="00802B02" w14:paraId="795F99B4" w14:textId="77777777" w:rsidTr="00214CF5">
        <w:tc>
          <w:tcPr>
            <w:tcW w:w="9016" w:type="dxa"/>
          </w:tcPr>
          <w:p w14:paraId="4B5790EC" w14:textId="77777777" w:rsidR="008B60B5" w:rsidRPr="00802B02" w:rsidRDefault="008B60B5" w:rsidP="00E8054A">
            <w:r w:rsidRPr="00802B02">
              <w:t>Economic</w:t>
            </w:r>
            <w:r w:rsidR="00E8054A">
              <w:t xml:space="preserve"> section (Social Protection and Performance and Quality units)</w:t>
            </w:r>
          </w:p>
        </w:tc>
      </w:tr>
      <w:tr w:rsidR="008B60B5" w:rsidRPr="00802B02" w14:paraId="6D2A9FD4" w14:textId="77777777" w:rsidTr="00214CF5">
        <w:tc>
          <w:tcPr>
            <w:tcW w:w="9016" w:type="dxa"/>
          </w:tcPr>
          <w:p w14:paraId="639884C7" w14:textId="77777777" w:rsidR="008B60B5" w:rsidRPr="00802B02" w:rsidRDefault="00E8054A" w:rsidP="00850E81">
            <w:r>
              <w:t>Development section (</w:t>
            </w:r>
            <w:r w:rsidR="008B60B5" w:rsidRPr="00802B02">
              <w:t>Governance and Humanitarian</w:t>
            </w:r>
            <w:r>
              <w:t>/Disaster Risk Management)</w:t>
            </w:r>
          </w:p>
        </w:tc>
      </w:tr>
      <w:tr w:rsidR="008B60B5" w:rsidRPr="00802B02" w14:paraId="6EC9BA27" w14:textId="77777777" w:rsidTr="00214CF5">
        <w:tc>
          <w:tcPr>
            <w:tcW w:w="9016" w:type="dxa"/>
          </w:tcPr>
          <w:p w14:paraId="17428A8B" w14:textId="77777777" w:rsidR="008B60B5" w:rsidRPr="00802B02" w:rsidRDefault="00E8054A" w:rsidP="00E8054A">
            <w:r>
              <w:t>Political section (Peace and stability)</w:t>
            </w:r>
          </w:p>
        </w:tc>
      </w:tr>
      <w:tr w:rsidR="008B60B5" w:rsidRPr="00802B02" w14:paraId="6DD82EE9" w14:textId="77777777" w:rsidTr="00214CF5">
        <w:tc>
          <w:tcPr>
            <w:tcW w:w="9016" w:type="dxa"/>
            <w:shd w:val="clear" w:color="auto" w:fill="F2F2F2" w:themeFill="background1" w:themeFillShade="F2"/>
          </w:tcPr>
          <w:p w14:paraId="4BF76B32" w14:textId="77777777" w:rsidR="008B60B5" w:rsidRPr="00802B02" w:rsidRDefault="008B60B5" w:rsidP="00E8054A">
            <w:pPr>
              <w:spacing w:before="40" w:after="40"/>
              <w:rPr>
                <w:b/>
                <w:bCs/>
              </w:rPr>
            </w:pPr>
            <w:r w:rsidRPr="00802B02">
              <w:rPr>
                <w:b/>
                <w:bCs/>
              </w:rPr>
              <w:t>Government of the Philippines</w:t>
            </w:r>
          </w:p>
        </w:tc>
      </w:tr>
      <w:tr w:rsidR="008B60B5" w:rsidRPr="00802B02" w14:paraId="3E3DCD9E" w14:textId="77777777" w:rsidTr="00214CF5">
        <w:tc>
          <w:tcPr>
            <w:tcW w:w="9016" w:type="dxa"/>
          </w:tcPr>
          <w:p w14:paraId="198C8101" w14:textId="77777777" w:rsidR="008B60B5" w:rsidRPr="00802B02" w:rsidRDefault="008B60B5" w:rsidP="00850E81">
            <w:r w:rsidRPr="00802B02">
              <w:t xml:space="preserve">Department of Social Welfare and Development </w:t>
            </w:r>
            <w:r w:rsidR="00E8054A">
              <w:t xml:space="preserve">- </w:t>
            </w:r>
            <w:r w:rsidRPr="00802B02">
              <w:t>Region 8</w:t>
            </w:r>
          </w:p>
        </w:tc>
      </w:tr>
      <w:tr w:rsidR="008B60B5" w:rsidRPr="00802B02" w14:paraId="554C9571" w14:textId="77777777" w:rsidTr="00214CF5">
        <w:tc>
          <w:tcPr>
            <w:tcW w:w="9016" w:type="dxa"/>
          </w:tcPr>
          <w:p w14:paraId="64060076" w14:textId="77777777" w:rsidR="008B60B5" w:rsidRPr="00802B02" w:rsidRDefault="008B60B5" w:rsidP="00850E81">
            <w:r w:rsidRPr="00E8054A">
              <w:rPr>
                <w:i/>
              </w:rPr>
              <w:t>Bangko Sentral ng Pilipinas</w:t>
            </w:r>
            <w:r w:rsidRPr="00802B02">
              <w:t xml:space="preserve"> (BSP)</w:t>
            </w:r>
          </w:p>
        </w:tc>
      </w:tr>
      <w:tr w:rsidR="008B60B5" w:rsidRPr="00802B02" w14:paraId="12A6D567" w14:textId="77777777" w:rsidTr="00214CF5">
        <w:tc>
          <w:tcPr>
            <w:tcW w:w="9016" w:type="dxa"/>
            <w:shd w:val="clear" w:color="auto" w:fill="F2F2F2" w:themeFill="background1" w:themeFillShade="F2"/>
          </w:tcPr>
          <w:p w14:paraId="760E0370" w14:textId="77777777" w:rsidR="008B60B5" w:rsidRPr="00802B02" w:rsidRDefault="008B60B5" w:rsidP="00E8054A">
            <w:pPr>
              <w:spacing w:before="40" w:after="40"/>
              <w:rPr>
                <w:b/>
                <w:bCs/>
              </w:rPr>
            </w:pPr>
            <w:r w:rsidRPr="00802B02">
              <w:rPr>
                <w:b/>
                <w:bCs/>
              </w:rPr>
              <w:t>Civil Society</w:t>
            </w:r>
          </w:p>
        </w:tc>
      </w:tr>
      <w:tr w:rsidR="008B60B5" w:rsidRPr="00802B02" w14:paraId="5EC2A211" w14:textId="77777777" w:rsidTr="00214CF5">
        <w:tc>
          <w:tcPr>
            <w:tcW w:w="9016" w:type="dxa"/>
          </w:tcPr>
          <w:p w14:paraId="255591AF" w14:textId="77777777" w:rsidR="008B60B5" w:rsidRPr="00802B02" w:rsidRDefault="008B60B5" w:rsidP="00850E81">
            <w:r w:rsidRPr="00802B02">
              <w:t xml:space="preserve">Oxfam </w:t>
            </w:r>
            <w:r w:rsidR="00E8054A">
              <w:t xml:space="preserve">in the </w:t>
            </w:r>
            <w:r w:rsidRPr="00802B02">
              <w:t>Philippines</w:t>
            </w:r>
          </w:p>
        </w:tc>
      </w:tr>
      <w:tr w:rsidR="008B60B5" w:rsidRPr="00802B02" w14:paraId="307C5C62" w14:textId="77777777" w:rsidTr="00214CF5">
        <w:tc>
          <w:tcPr>
            <w:tcW w:w="9016" w:type="dxa"/>
          </w:tcPr>
          <w:p w14:paraId="6BD0488E" w14:textId="77777777" w:rsidR="008B60B5" w:rsidRPr="00802B02" w:rsidRDefault="008B60B5" w:rsidP="00850E81">
            <w:r w:rsidRPr="00802B02">
              <w:t>Al-Mujadilah Development Foundation, Inc. (AMDF)</w:t>
            </w:r>
          </w:p>
        </w:tc>
      </w:tr>
      <w:tr w:rsidR="008B60B5" w:rsidRPr="00802B02" w14:paraId="0E8952CC" w14:textId="77777777" w:rsidTr="00214CF5">
        <w:tc>
          <w:tcPr>
            <w:tcW w:w="9016" w:type="dxa"/>
          </w:tcPr>
          <w:p w14:paraId="2DF0EB8D" w14:textId="77777777" w:rsidR="008B60B5" w:rsidRPr="00802B02" w:rsidRDefault="008B60B5" w:rsidP="00850E81">
            <w:r w:rsidRPr="00802B02">
              <w:t>People’s Disaster Risk Reduction Network (PDRRN)</w:t>
            </w:r>
          </w:p>
        </w:tc>
      </w:tr>
      <w:tr w:rsidR="008B60B5" w:rsidRPr="00802B02" w14:paraId="606BF40A" w14:textId="77777777" w:rsidTr="00214CF5">
        <w:tc>
          <w:tcPr>
            <w:tcW w:w="9016" w:type="dxa"/>
          </w:tcPr>
          <w:p w14:paraId="453A1607" w14:textId="77777777" w:rsidR="008B60B5" w:rsidRPr="00802B02" w:rsidRDefault="008B60B5" w:rsidP="00850E81">
            <w:r w:rsidRPr="00802B02">
              <w:t>Initiatives for Dialogues and Empowerment through Alternative Legal Services, Inc. (IDEALS)</w:t>
            </w:r>
          </w:p>
        </w:tc>
      </w:tr>
      <w:tr w:rsidR="008B60B5" w:rsidRPr="00802B02" w14:paraId="08C1AAF9" w14:textId="77777777" w:rsidTr="00214CF5">
        <w:tc>
          <w:tcPr>
            <w:tcW w:w="9016" w:type="dxa"/>
          </w:tcPr>
          <w:p w14:paraId="287E1A3F" w14:textId="77777777" w:rsidR="008B60B5" w:rsidRPr="00802B02" w:rsidRDefault="008B60B5" w:rsidP="008B60B5">
            <w:pPr>
              <w:rPr>
                <w:rFonts w:ascii="Times New Roman" w:hAnsi="Times New Roman"/>
              </w:rPr>
            </w:pPr>
            <w:r w:rsidRPr="00802B02">
              <w:t>Metro Ormoc Community Multi-Purpose Cooperative, Inc. (OCCI)</w:t>
            </w:r>
          </w:p>
        </w:tc>
      </w:tr>
      <w:tr w:rsidR="008B60B5" w:rsidRPr="00802B02" w14:paraId="17DD04D4" w14:textId="77777777" w:rsidTr="00214CF5">
        <w:tc>
          <w:tcPr>
            <w:tcW w:w="9016" w:type="dxa"/>
            <w:shd w:val="clear" w:color="auto" w:fill="F2F2F2" w:themeFill="background1" w:themeFillShade="F2"/>
          </w:tcPr>
          <w:p w14:paraId="08C8BBE5" w14:textId="77777777" w:rsidR="008B60B5" w:rsidRPr="00802B02" w:rsidRDefault="008B60B5" w:rsidP="00E8054A">
            <w:pPr>
              <w:spacing w:before="40" w:after="40"/>
              <w:rPr>
                <w:b/>
                <w:bCs/>
              </w:rPr>
            </w:pPr>
            <w:r w:rsidRPr="00802B02">
              <w:rPr>
                <w:b/>
                <w:bCs/>
              </w:rPr>
              <w:t>Multilateral Organizations</w:t>
            </w:r>
          </w:p>
        </w:tc>
      </w:tr>
      <w:tr w:rsidR="008B60B5" w:rsidRPr="00802B02" w14:paraId="7AC6D618" w14:textId="77777777" w:rsidTr="00214CF5">
        <w:tc>
          <w:tcPr>
            <w:tcW w:w="9016" w:type="dxa"/>
          </w:tcPr>
          <w:p w14:paraId="150EFB2E" w14:textId="77777777" w:rsidR="008B60B5" w:rsidRPr="00802B02" w:rsidRDefault="008B60B5" w:rsidP="00214CF5">
            <w:r w:rsidRPr="00802B02">
              <w:t>United Nations Office for the Coordination of Humanitarian Affairs</w:t>
            </w:r>
            <w:r w:rsidR="00E8054A">
              <w:t xml:space="preserve"> (UNOCHA) - convenor of the cash working group</w:t>
            </w:r>
          </w:p>
        </w:tc>
      </w:tr>
      <w:tr w:rsidR="008B60B5" w:rsidRPr="00802B02" w14:paraId="4281B1E1" w14:textId="77777777" w:rsidTr="00214CF5">
        <w:tc>
          <w:tcPr>
            <w:tcW w:w="9016" w:type="dxa"/>
          </w:tcPr>
          <w:p w14:paraId="39105460" w14:textId="77777777" w:rsidR="008B60B5" w:rsidRPr="00802B02" w:rsidRDefault="008B60B5" w:rsidP="00214CF5">
            <w:r w:rsidRPr="00802B02">
              <w:t>United Nations Development Programme (UNDP)</w:t>
            </w:r>
          </w:p>
        </w:tc>
      </w:tr>
      <w:tr w:rsidR="008B60B5" w:rsidRPr="00802B02" w14:paraId="6A0F1134" w14:textId="77777777" w:rsidTr="00214CF5">
        <w:tc>
          <w:tcPr>
            <w:tcW w:w="9016" w:type="dxa"/>
            <w:shd w:val="clear" w:color="auto" w:fill="F2F2F2" w:themeFill="background1" w:themeFillShade="F2"/>
          </w:tcPr>
          <w:p w14:paraId="0491D7C3" w14:textId="77777777" w:rsidR="008B60B5" w:rsidRPr="00802B02" w:rsidRDefault="00E8054A" w:rsidP="00E8054A">
            <w:pPr>
              <w:spacing w:before="40" w:after="40"/>
              <w:rPr>
                <w:b/>
                <w:bCs/>
              </w:rPr>
            </w:pPr>
            <w:r>
              <w:rPr>
                <w:b/>
                <w:bCs/>
              </w:rPr>
              <w:t>DFAT Canberra</w:t>
            </w:r>
          </w:p>
        </w:tc>
      </w:tr>
      <w:tr w:rsidR="008B60B5" w:rsidRPr="00802B02" w14:paraId="1AC5B20B" w14:textId="77777777" w:rsidTr="00214CF5">
        <w:tc>
          <w:tcPr>
            <w:tcW w:w="9016" w:type="dxa"/>
          </w:tcPr>
          <w:p w14:paraId="5F13EF06" w14:textId="77777777" w:rsidR="008B60B5" w:rsidRPr="00802B02" w:rsidRDefault="008B60B5" w:rsidP="00214CF5">
            <w:r w:rsidRPr="00802B02">
              <w:t>Social Protection</w:t>
            </w:r>
            <w:r w:rsidR="00E8054A">
              <w:t xml:space="preserve"> section</w:t>
            </w:r>
          </w:p>
        </w:tc>
      </w:tr>
      <w:tr w:rsidR="008B60B5" w:rsidRPr="00802B02" w14:paraId="5819EB88" w14:textId="77777777" w:rsidTr="00214CF5">
        <w:tc>
          <w:tcPr>
            <w:tcW w:w="9016" w:type="dxa"/>
          </w:tcPr>
          <w:p w14:paraId="2D4C02F3" w14:textId="77777777" w:rsidR="008B60B5" w:rsidRPr="00802B02" w:rsidRDefault="008B60B5" w:rsidP="00214CF5">
            <w:r w:rsidRPr="00802B02">
              <w:t>Humanitarian Reform and Performance</w:t>
            </w:r>
            <w:r w:rsidR="00E8054A">
              <w:t xml:space="preserve"> section</w:t>
            </w:r>
          </w:p>
        </w:tc>
      </w:tr>
      <w:tr w:rsidR="008B60B5" w:rsidRPr="00802B02" w14:paraId="0D04A38C" w14:textId="77777777" w:rsidTr="00214CF5">
        <w:tc>
          <w:tcPr>
            <w:tcW w:w="9016" w:type="dxa"/>
          </w:tcPr>
          <w:p w14:paraId="756DB6A4" w14:textId="77777777" w:rsidR="008B60B5" w:rsidRPr="00802B02" w:rsidRDefault="008B60B5" w:rsidP="00214CF5">
            <w:r w:rsidRPr="00802B02">
              <w:t>InnovationXchange</w:t>
            </w:r>
          </w:p>
        </w:tc>
      </w:tr>
      <w:tr w:rsidR="008B60B5" w:rsidRPr="00802B02" w14:paraId="39BD138D" w14:textId="77777777" w:rsidTr="00214CF5">
        <w:tc>
          <w:tcPr>
            <w:tcW w:w="9016" w:type="dxa"/>
          </w:tcPr>
          <w:p w14:paraId="0602EFFB" w14:textId="77777777" w:rsidR="008B60B5" w:rsidRPr="00802B02" w:rsidRDefault="008B60B5" w:rsidP="00E8054A">
            <w:r w:rsidRPr="00802B02">
              <w:t>Fragility and Conflict</w:t>
            </w:r>
            <w:r w:rsidR="00E8054A">
              <w:t xml:space="preserve"> Prevention</w:t>
            </w:r>
            <w:r w:rsidRPr="00802B02">
              <w:t xml:space="preserve"> </w:t>
            </w:r>
            <w:r w:rsidR="00E8054A">
              <w:t>s</w:t>
            </w:r>
            <w:r w:rsidRPr="00802B02">
              <w:t>ection</w:t>
            </w:r>
          </w:p>
        </w:tc>
      </w:tr>
      <w:tr w:rsidR="008B60B5" w:rsidRPr="00802B02" w14:paraId="199D6313" w14:textId="77777777" w:rsidTr="00214CF5">
        <w:tc>
          <w:tcPr>
            <w:tcW w:w="9016" w:type="dxa"/>
            <w:shd w:val="clear" w:color="auto" w:fill="F2F2F2" w:themeFill="background1" w:themeFillShade="F2"/>
          </w:tcPr>
          <w:p w14:paraId="25A3D7E0" w14:textId="77777777" w:rsidR="008B60B5" w:rsidRPr="00802B02" w:rsidRDefault="008B60B5" w:rsidP="00214CF5">
            <w:pPr>
              <w:jc w:val="center"/>
              <w:rPr>
                <w:b/>
                <w:bCs/>
              </w:rPr>
            </w:pPr>
            <w:r w:rsidRPr="00802B02">
              <w:rPr>
                <w:b/>
                <w:bCs/>
              </w:rPr>
              <w:t>Private Sector</w:t>
            </w:r>
          </w:p>
        </w:tc>
      </w:tr>
      <w:tr w:rsidR="008B60B5" w:rsidRPr="00802B02" w14:paraId="6DA28A55" w14:textId="77777777" w:rsidTr="00214CF5">
        <w:tc>
          <w:tcPr>
            <w:tcW w:w="9016" w:type="dxa"/>
          </w:tcPr>
          <w:p w14:paraId="45EE9A4E" w14:textId="77777777" w:rsidR="008B60B5" w:rsidRPr="00802B02" w:rsidRDefault="008B60B5" w:rsidP="00214CF5">
            <w:r w:rsidRPr="00802B02">
              <w:t>PayMaya</w:t>
            </w:r>
          </w:p>
        </w:tc>
      </w:tr>
      <w:tr w:rsidR="008B60B5" w:rsidRPr="00802B02" w14:paraId="50A4729E" w14:textId="77777777" w:rsidTr="00214CF5">
        <w:tc>
          <w:tcPr>
            <w:tcW w:w="9016" w:type="dxa"/>
            <w:tcBorders>
              <w:bottom w:val="single" w:sz="4" w:space="0" w:color="000000" w:themeColor="text1"/>
            </w:tcBorders>
          </w:tcPr>
          <w:p w14:paraId="0FA1E395" w14:textId="77777777" w:rsidR="008B60B5" w:rsidRPr="00802B02" w:rsidRDefault="008B60B5" w:rsidP="00214CF5">
            <w:r w:rsidRPr="00802B02">
              <w:t>Visa</w:t>
            </w:r>
            <w:r w:rsidR="00E8054A">
              <w:t xml:space="preserve"> Philippines</w:t>
            </w:r>
          </w:p>
        </w:tc>
      </w:tr>
    </w:tbl>
    <w:p w14:paraId="4FCDE6AC" w14:textId="77777777" w:rsidR="00C021F5" w:rsidRPr="00802B02" w:rsidRDefault="00C021F5" w:rsidP="00F23755"/>
    <w:sectPr w:rsidR="00C021F5" w:rsidRPr="00802B02" w:rsidSect="00F23755">
      <w:headerReference w:type="default" r:id="rId35"/>
      <w:footerReference w:type="default" r:id="rId36"/>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E99C3" w16cid:durableId="219154E6"/>
  <w16cid:commentId w16cid:paraId="6F9D958B" w16cid:durableId="219154E7"/>
  <w16cid:commentId w16cid:paraId="6D87A0ED" w16cid:durableId="219154E8"/>
  <w16cid:commentId w16cid:paraId="07359E76" w16cid:durableId="219154E9"/>
  <w16cid:commentId w16cid:paraId="5712932E" w16cid:durableId="219154EA"/>
  <w16cid:commentId w16cid:paraId="39CEBBB5" w16cid:durableId="21916716"/>
  <w16cid:commentId w16cid:paraId="7EA51DFB" w16cid:durableId="219154EB"/>
  <w16cid:commentId w16cid:paraId="1F7C10F5" w16cid:durableId="219154EC"/>
  <w16cid:commentId w16cid:paraId="048BC666" w16cid:durableId="21916C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11210" w14:textId="77777777" w:rsidR="000D5A86" w:rsidRDefault="000D5A86" w:rsidP="00BD1C6B">
      <w:r>
        <w:separator/>
      </w:r>
    </w:p>
  </w:endnote>
  <w:endnote w:type="continuationSeparator" w:id="0">
    <w:p w14:paraId="7E628F95" w14:textId="77777777" w:rsidR="000D5A86" w:rsidRDefault="000D5A86" w:rsidP="00BD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C82E" w14:textId="77777777" w:rsidR="000A28E0" w:rsidRDefault="000A28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9FFD" w14:textId="77777777" w:rsidR="000D5A86" w:rsidRPr="00CA163C" w:rsidRDefault="000D5A86" w:rsidP="0093319A">
    <w:pPr>
      <w:pStyle w:val="Footer"/>
      <w:tabs>
        <w:tab w:val="clear" w:pos="4680"/>
        <w:tab w:val="clear" w:pos="9360"/>
        <w:tab w:val="left" w:pos="3744"/>
      </w:tabs>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A246" w14:textId="77777777" w:rsidR="000D5A86" w:rsidRPr="00CA163C" w:rsidRDefault="000D5A86" w:rsidP="0093319A">
    <w:pPr>
      <w:pStyle w:val="Footer"/>
      <w:tabs>
        <w:tab w:val="clear" w:pos="4680"/>
        <w:tab w:val="clear" w:pos="9360"/>
        <w:tab w:val="left" w:pos="37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327946"/>
      <w:docPartObj>
        <w:docPartGallery w:val="Page Numbers (Bottom of Page)"/>
        <w:docPartUnique/>
      </w:docPartObj>
    </w:sdtPr>
    <w:sdtEndPr>
      <w:rPr>
        <w:color w:val="7F7F7F" w:themeColor="background1" w:themeShade="7F"/>
        <w:spacing w:val="60"/>
      </w:rPr>
    </w:sdtEndPr>
    <w:sdtContent>
      <w:p w14:paraId="1811E50D" w14:textId="77777777" w:rsidR="000D5A86" w:rsidRDefault="00347D32" w:rsidP="00BD1C6B">
        <w:pPr>
          <w:pStyle w:val="Footer"/>
        </w:pPr>
      </w:p>
    </w:sdtContent>
  </w:sdt>
  <w:p w14:paraId="018CE91C" w14:textId="77777777" w:rsidR="000D5A86" w:rsidRDefault="000D5A86" w:rsidP="00BD1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080" w14:textId="77777777" w:rsidR="000A28E0" w:rsidRDefault="000A2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D1AD" w14:textId="77777777" w:rsidR="000D5A86" w:rsidRDefault="000D5A86" w:rsidP="00BD1C6B">
    <w:pPr>
      <w:pStyle w:val="Footer"/>
    </w:pPr>
  </w:p>
  <w:p w14:paraId="2923980A" w14:textId="77777777" w:rsidR="000D5A86" w:rsidRDefault="000D5A86" w:rsidP="00BD1C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623A" w14:textId="77777777" w:rsidR="000D5A86" w:rsidRDefault="000D5A86" w:rsidP="00BD1C6B">
    <w:pPr>
      <w:pStyle w:val="Footer"/>
    </w:pPr>
  </w:p>
  <w:p w14:paraId="21981E78" w14:textId="77777777" w:rsidR="000D5A86" w:rsidRDefault="000D5A86" w:rsidP="00BD1C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D62F" w14:textId="77777777" w:rsidR="000D5A86" w:rsidRDefault="000D5A86" w:rsidP="00BD1C6B">
    <w:pPr>
      <w:pStyle w:val="Footer"/>
    </w:pPr>
  </w:p>
  <w:p w14:paraId="1F54C2C3" w14:textId="77777777" w:rsidR="000D5A86" w:rsidRDefault="000D5A86" w:rsidP="00BD1C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46633"/>
      <w:docPartObj>
        <w:docPartGallery w:val="Page Numbers (Bottom of Page)"/>
        <w:docPartUnique/>
      </w:docPartObj>
    </w:sdtPr>
    <w:sdtEndPr>
      <w:rPr>
        <w:color w:val="7F7F7F" w:themeColor="background1" w:themeShade="7F"/>
        <w:spacing w:val="60"/>
      </w:rPr>
    </w:sdtEndPr>
    <w:sdtContent>
      <w:p w14:paraId="053F0190" w14:textId="4A6A6D0C" w:rsidR="000D5A86" w:rsidRDefault="000D5A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7D32" w:rsidRPr="00347D32">
          <w:rPr>
            <w:b/>
            <w:bCs/>
            <w:noProof/>
          </w:rPr>
          <w:t>iv</w:t>
        </w:r>
        <w:r>
          <w:rPr>
            <w:b/>
            <w:bCs/>
            <w:noProof/>
          </w:rPr>
          <w:fldChar w:fldCharType="end"/>
        </w:r>
        <w:r>
          <w:rPr>
            <w:b/>
            <w:bCs/>
          </w:rPr>
          <w:t xml:space="preserve"> | </w:t>
        </w:r>
        <w:r>
          <w:rPr>
            <w:color w:val="7F7F7F" w:themeColor="background1" w:themeShade="7F"/>
            <w:spacing w:val="60"/>
          </w:rPr>
          <w:t>Executive Summary</w:t>
        </w:r>
      </w:p>
    </w:sdtContent>
  </w:sdt>
  <w:p w14:paraId="5D2BB2E0" w14:textId="77777777" w:rsidR="000D5A86" w:rsidRDefault="000D5A86" w:rsidP="00BD1C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89533"/>
      <w:docPartObj>
        <w:docPartGallery w:val="Page Numbers (Bottom of Page)"/>
        <w:docPartUnique/>
      </w:docPartObj>
    </w:sdtPr>
    <w:sdtEndPr>
      <w:rPr>
        <w:color w:val="7F7F7F" w:themeColor="background1" w:themeShade="7F"/>
        <w:spacing w:val="60"/>
      </w:rPr>
    </w:sdtEndPr>
    <w:sdtContent>
      <w:p w14:paraId="0CA426DB" w14:textId="6D785728" w:rsidR="000D5A86" w:rsidRDefault="000D5A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7D32" w:rsidRPr="00347D32">
          <w:rPr>
            <w:b/>
            <w:bCs/>
            <w:noProof/>
          </w:rPr>
          <w:t>12</w:t>
        </w:r>
        <w:r>
          <w:rPr>
            <w:b/>
            <w:bCs/>
            <w:noProof/>
          </w:rPr>
          <w:fldChar w:fldCharType="end"/>
        </w:r>
        <w:r>
          <w:rPr>
            <w:b/>
            <w:bCs/>
          </w:rPr>
          <w:t xml:space="preserve"> | </w:t>
        </w:r>
        <w:r>
          <w:rPr>
            <w:color w:val="7F7F7F" w:themeColor="background1" w:themeShade="7F"/>
            <w:spacing w:val="60"/>
          </w:rPr>
          <w:t>Page</w:t>
        </w:r>
      </w:p>
    </w:sdtContent>
  </w:sdt>
  <w:p w14:paraId="10736851" w14:textId="77777777" w:rsidR="000D5A86" w:rsidRPr="00CA163C" w:rsidRDefault="000D5A86" w:rsidP="00BD1C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DCE3" w14:textId="77777777" w:rsidR="000D5A86" w:rsidRPr="00CA163C" w:rsidRDefault="000D5A86" w:rsidP="00BD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CF5B" w14:textId="77777777" w:rsidR="000D5A86" w:rsidRDefault="000D5A86" w:rsidP="00BD1C6B">
      <w:r>
        <w:separator/>
      </w:r>
    </w:p>
  </w:footnote>
  <w:footnote w:type="continuationSeparator" w:id="0">
    <w:p w14:paraId="009CDF39" w14:textId="77777777" w:rsidR="000D5A86" w:rsidRDefault="000D5A86" w:rsidP="00BD1C6B">
      <w:r>
        <w:continuationSeparator/>
      </w:r>
    </w:p>
  </w:footnote>
  <w:footnote w:id="1">
    <w:p w14:paraId="657E9882" w14:textId="67518445" w:rsidR="000D5A86" w:rsidRPr="00BE66E8" w:rsidRDefault="000D5A86">
      <w:pPr>
        <w:pStyle w:val="FootnoteText"/>
        <w:rPr>
          <w:lang w:val="en-CA"/>
        </w:rPr>
      </w:pPr>
      <w:r>
        <w:rPr>
          <w:rStyle w:val="FootnoteReference"/>
        </w:rPr>
        <w:footnoteRef/>
      </w:r>
      <w:r>
        <w:t xml:space="preserve"> </w:t>
      </w:r>
      <w:r w:rsidRPr="00BE66E8">
        <w:t xml:space="preserve">The term ‘investment’ is used in this report consistent with its definition in </w:t>
      </w:r>
      <w:r w:rsidRPr="000F6CEC">
        <w:rPr>
          <w:i/>
          <w:iCs/>
        </w:rPr>
        <w:t>DFAT’s Aid Programming Guide</w:t>
      </w:r>
      <w:r>
        <w:t xml:space="preserve">. </w:t>
      </w:r>
      <w:r w:rsidRPr="00BE66E8">
        <w:t>An investment is defined as, “an intervention designed to achieve specific outputs and outcomes and contribute to the overall objectives of a program</w:t>
      </w:r>
      <w:r>
        <w:t>.</w:t>
      </w:r>
      <w:r w:rsidRPr="00BE66E8">
        <w:t>”</w:t>
      </w:r>
      <w:r>
        <w:t xml:space="preserve"> </w:t>
      </w:r>
      <w:r w:rsidRPr="00BE66E8">
        <w:t>Therefore, in this report the term ‘investment’ is synonymous with the term ‘development project’, or simply, ‘project’.</w:t>
      </w:r>
    </w:p>
  </w:footnote>
  <w:footnote w:id="2">
    <w:p w14:paraId="44AD8E44" w14:textId="77777777" w:rsidR="000D5A86" w:rsidRPr="00922BAD" w:rsidRDefault="000D5A86" w:rsidP="005A09B7">
      <w:pPr>
        <w:pStyle w:val="FootnoteText"/>
        <w:rPr>
          <w:lang w:val="en-CA"/>
        </w:rPr>
      </w:pPr>
      <w:r>
        <w:rPr>
          <w:rStyle w:val="FootnoteReference"/>
        </w:rPr>
        <w:footnoteRef/>
      </w:r>
      <w:r>
        <w:t xml:space="preserve"> A</w:t>
      </w:r>
      <w:r w:rsidRPr="00922BAD">
        <w:t xml:space="preserve">lso known as the Siege of Marawi </w:t>
      </w:r>
      <w:r>
        <w:t>or the</w:t>
      </w:r>
      <w:r w:rsidRPr="00922BAD">
        <w:t xml:space="preserve"> Marawi crisis was a five-month-long armed conflict in Marawi, </w:t>
      </w:r>
      <w:r>
        <w:t xml:space="preserve">province of </w:t>
      </w:r>
      <w:r w:rsidRPr="00922BAD">
        <w:t>Lanao del Sur, Philippines, that started on 23 May 2017, between Philippine government security forces and militants affiliated with the Islamic State of Iraq and the Levant (ISIL), including the Maute and Abu Sayyaf Salafi jihadist groups</w:t>
      </w:r>
      <w:r>
        <w:t>.</w:t>
      </w:r>
    </w:p>
  </w:footnote>
  <w:footnote w:id="3">
    <w:p w14:paraId="513794C7" w14:textId="77777777" w:rsidR="000D5A86" w:rsidRPr="002C3BEA" w:rsidRDefault="000D5A86" w:rsidP="00AD3B0A">
      <w:pPr>
        <w:pStyle w:val="FootnoteText"/>
        <w:rPr>
          <w:i/>
          <w:iCs/>
          <w:lang w:val="en-CA"/>
        </w:rPr>
      </w:pPr>
      <w:r>
        <w:rPr>
          <w:rStyle w:val="FootnoteReference"/>
        </w:rPr>
        <w:footnoteRef/>
      </w:r>
      <w:r>
        <w:t xml:space="preserve"> </w:t>
      </w:r>
      <w:r w:rsidRPr="002C3BEA">
        <w:t>Department of Foreign Affairs and Trade</w:t>
      </w:r>
      <w:r>
        <w:t xml:space="preserve">. (Year Unknown) Australia </w:t>
      </w:r>
      <w:r>
        <w:rPr>
          <w:i/>
          <w:iCs/>
        </w:rPr>
        <w:t>Investment Design Quality Criteria</w:t>
      </w:r>
      <w:r>
        <w:t xml:space="preserve">, downloaded at: </w:t>
      </w:r>
      <w:hyperlink r:id="rId1" w:history="1">
        <w:r>
          <w:rPr>
            <w:rStyle w:val="Hyperlink"/>
          </w:rPr>
          <w:t>https://dfat.gov.au/about-us/publications/Pages/investment-design-quality-criteria.aspx</w:t>
        </w:r>
      </w:hyperlink>
    </w:p>
  </w:footnote>
  <w:footnote w:id="4">
    <w:p w14:paraId="5C537A78" w14:textId="77777777" w:rsidR="000D5A86" w:rsidRPr="00FC1071" w:rsidRDefault="000D5A86" w:rsidP="005D7D99">
      <w:pPr>
        <w:pStyle w:val="FootnoteText"/>
        <w:ind w:right="-472"/>
      </w:pPr>
      <w:r>
        <w:rPr>
          <w:rStyle w:val="FootnoteReference"/>
        </w:rPr>
        <w:footnoteRef/>
      </w:r>
      <w:r>
        <w:t xml:space="preserve"> </w:t>
      </w:r>
      <w:r>
        <w:rPr>
          <w:lang w:val="en-CA"/>
        </w:rPr>
        <w:t>The Google Impact Challenge is a funding entity which funds innovative technology solutions that are based on data and evidence. The approach is to “solve like engineers” which means “(</w:t>
      </w:r>
      <w:r w:rsidRPr="00E722C3">
        <w:rPr>
          <w:lang w:val="en-CA"/>
        </w:rPr>
        <w:t>break</w:t>
      </w:r>
      <w:r>
        <w:rPr>
          <w:lang w:val="en-CA"/>
        </w:rPr>
        <w:t>ing)</w:t>
      </w:r>
      <w:r w:rsidRPr="00E722C3">
        <w:rPr>
          <w:lang w:val="en-CA"/>
        </w:rPr>
        <w:t xml:space="preserve"> down large problems into small ones, and then test and iterate solutions</w:t>
      </w:r>
      <w:r>
        <w:rPr>
          <w:lang w:val="en-CA"/>
        </w:rPr>
        <w:t>”</w:t>
      </w:r>
      <w:r w:rsidRPr="00E722C3">
        <w:rPr>
          <w:lang w:val="en-CA"/>
        </w:rPr>
        <w:t>.</w:t>
      </w:r>
      <w:r>
        <w:rPr>
          <w:lang w:val="en-CA"/>
        </w:rPr>
        <w:t xml:space="preserve"> More information is available at </w:t>
      </w:r>
      <w:hyperlink r:id="rId2" w:history="1">
        <w:r>
          <w:rPr>
            <w:rStyle w:val="Hyperlink"/>
          </w:rPr>
          <w:t>https://www.google.org/our-work/</w:t>
        </w:r>
      </w:hyperlink>
    </w:p>
  </w:footnote>
  <w:footnote w:id="5">
    <w:p w14:paraId="098E482E" w14:textId="77777777" w:rsidR="000D5A86" w:rsidRPr="005C5933" w:rsidRDefault="000D5A86" w:rsidP="005E0A22">
      <w:pPr>
        <w:pStyle w:val="FootnoteText"/>
        <w:rPr>
          <w:lang w:val="en-CA"/>
        </w:rPr>
      </w:pPr>
      <w:r>
        <w:rPr>
          <w:rStyle w:val="FootnoteReference"/>
        </w:rPr>
        <w:footnoteRef/>
      </w:r>
      <w:r>
        <w:t xml:space="preserve"> </w:t>
      </w:r>
      <w:r w:rsidRPr="005C5933">
        <w:t>ixc.dfat.gov.au/our-approach/</w:t>
      </w:r>
    </w:p>
  </w:footnote>
  <w:footnote w:id="6">
    <w:p w14:paraId="3273C67B" w14:textId="77777777" w:rsidR="000D5A86" w:rsidRPr="002C3BEA" w:rsidRDefault="000D5A86" w:rsidP="00CD1800">
      <w:pPr>
        <w:pStyle w:val="FootnoteText"/>
        <w:rPr>
          <w:i/>
          <w:iCs/>
          <w:lang w:val="en-CA"/>
        </w:rPr>
      </w:pPr>
      <w:r>
        <w:rPr>
          <w:rStyle w:val="FootnoteReference"/>
        </w:rPr>
        <w:footnoteRef/>
      </w:r>
      <w:r>
        <w:t xml:space="preserve"> </w:t>
      </w:r>
      <w:r w:rsidRPr="002C3BEA">
        <w:t>Department of Foreign Affairs and Trade</w:t>
      </w:r>
      <w:r>
        <w:t xml:space="preserve">. (Year Unknown) Australia </w:t>
      </w:r>
      <w:r>
        <w:rPr>
          <w:i/>
          <w:iCs/>
        </w:rPr>
        <w:t>Investment Design Quality Criteria</w:t>
      </w:r>
      <w:r>
        <w:t xml:space="preserve">, downloaded at: </w:t>
      </w:r>
      <w:hyperlink r:id="rId3" w:history="1">
        <w:r>
          <w:rPr>
            <w:rStyle w:val="Hyperlink"/>
          </w:rPr>
          <w:t>https://dfat.gov.au/about-us/publications/Pages/investment-design-quality-criteria.aspx</w:t>
        </w:r>
      </w:hyperlink>
    </w:p>
  </w:footnote>
  <w:footnote w:id="7">
    <w:p w14:paraId="1E923840" w14:textId="3D4C2701" w:rsidR="000D5A86" w:rsidRPr="00A335D3" w:rsidRDefault="000D5A86">
      <w:pPr>
        <w:pStyle w:val="FootnoteText"/>
        <w:rPr>
          <w:lang w:val="en-CA"/>
        </w:rPr>
      </w:pPr>
      <w:r>
        <w:rPr>
          <w:rStyle w:val="FootnoteReference"/>
        </w:rPr>
        <w:footnoteRef/>
      </w:r>
      <w:r>
        <w:t xml:space="preserve"> </w:t>
      </w:r>
      <w:r>
        <w:rPr>
          <w:lang w:val="en-CA"/>
        </w:rPr>
        <w:t xml:space="preserve">While not specifically mentioned in the ToR as an evaluation question </w:t>
      </w:r>
      <w:r>
        <w:rPr>
          <w:i/>
          <w:iCs/>
          <w:lang w:val="en-CA"/>
        </w:rPr>
        <w:t xml:space="preserve">Relevance </w:t>
      </w:r>
      <w:r>
        <w:rPr>
          <w:lang w:val="en-CA"/>
        </w:rPr>
        <w:t xml:space="preserve">is an AQC criteria. See </w:t>
      </w:r>
      <w:r w:rsidRPr="00A335D3">
        <w:rPr>
          <w:i/>
          <w:iCs/>
          <w:lang w:val="en-CA"/>
        </w:rPr>
        <w:t>Aid Quality Check Ratings Matrix (2018)</w:t>
      </w:r>
      <w:r>
        <w:rPr>
          <w:i/>
          <w:iCs/>
          <w:lang w:val="en-CA"/>
        </w:rPr>
        <w:t>,</w:t>
      </w:r>
      <w:r>
        <w:rPr>
          <w:lang w:val="en-CA"/>
        </w:rPr>
        <w:t xml:space="preserve"> downloaded at </w:t>
      </w:r>
      <w:r>
        <w:rPr>
          <w:lang w:val="en-CA"/>
        </w:rPr>
        <w:br/>
      </w:r>
      <w:hyperlink r:id="rId4" w:history="1">
        <w:r w:rsidRPr="00120390">
          <w:rPr>
            <w:rStyle w:val="Hyperlink"/>
          </w:rPr>
          <w:t>https://dfat.gov.au/about-us/publications/Documents/aid-quality-check-template.pdf</w:t>
        </w:r>
      </w:hyperlink>
    </w:p>
  </w:footnote>
  <w:footnote w:id="8">
    <w:p w14:paraId="6A84A160" w14:textId="62C782E9" w:rsidR="000D5A86" w:rsidRPr="002D0460" w:rsidRDefault="000D5A86">
      <w:pPr>
        <w:pStyle w:val="FootnoteText"/>
        <w:rPr>
          <w:lang w:val="en-CA"/>
        </w:rPr>
      </w:pPr>
      <w:r>
        <w:rPr>
          <w:rStyle w:val="FootnoteReference"/>
        </w:rPr>
        <w:footnoteRef/>
      </w:r>
      <w:r>
        <w:t xml:space="preserve"> </w:t>
      </w:r>
      <w:r w:rsidRPr="002E6A9F">
        <w:t xml:space="preserve">SMART eMoney </w:t>
      </w:r>
      <w:r>
        <w:t xml:space="preserve">was </w:t>
      </w:r>
      <w:r w:rsidRPr="002D0460">
        <w:t xml:space="preserve">PayMaya’s predecessor company operated by Smart Communications, Inc., </w:t>
      </w:r>
      <w:r>
        <w:t xml:space="preserve">which is </w:t>
      </w:r>
      <w:r w:rsidRPr="002D0460">
        <w:t>one of the leading wireless communications and digital services in the Philippines</w:t>
      </w:r>
      <w:r>
        <w:t>.</w:t>
      </w:r>
    </w:p>
  </w:footnote>
  <w:footnote w:id="9">
    <w:p w14:paraId="7D2FCD91" w14:textId="77777777" w:rsidR="000D5A86" w:rsidRDefault="000D5A86" w:rsidP="00FC4ADE">
      <w:pPr>
        <w:pStyle w:val="FootnoteText"/>
        <w:rPr>
          <w:lang w:val="en-CA"/>
        </w:rPr>
      </w:pPr>
      <w:r>
        <w:rPr>
          <w:rStyle w:val="FootnoteReference"/>
        </w:rPr>
        <w:footnoteRef/>
      </w:r>
      <w:r>
        <w:t xml:space="preserve"> </w:t>
      </w:r>
      <w:r w:rsidRPr="00020A3F">
        <w:rPr>
          <w:i/>
          <w:iCs/>
          <w:lang w:val="en-CA"/>
        </w:rPr>
        <w:t>iAfford PayMaya Kaibigan Final Version with Logo.mp4</w:t>
      </w:r>
      <w:r>
        <w:rPr>
          <w:lang w:val="en-CA"/>
        </w:rPr>
        <w:t xml:space="preserve"> downloaded at </w:t>
      </w:r>
      <w:hyperlink r:id="rId5" w:history="1">
        <w:r w:rsidRPr="00DF6EF6">
          <w:rPr>
            <w:rStyle w:val="Hyperlink"/>
            <w:lang w:val="en-CA"/>
          </w:rPr>
          <w:t>https://oxfam.app.box.com/s/l8n1ld9y0p5r34l9gljo13ukmybsbjwm/file/420549396169?sb=/details</w:t>
        </w:r>
      </w:hyperlink>
    </w:p>
    <w:p w14:paraId="2DEE30E2" w14:textId="77777777" w:rsidR="000D5A86" w:rsidRPr="00020A3F" w:rsidRDefault="000D5A86" w:rsidP="00FC4ADE">
      <w:pPr>
        <w:pStyle w:val="FootnoteText"/>
        <w:rPr>
          <w:lang w:val="en-CA"/>
        </w:rPr>
      </w:pPr>
    </w:p>
  </w:footnote>
  <w:footnote w:id="10">
    <w:p w14:paraId="25D615A9" w14:textId="77777777" w:rsidR="000D5A86" w:rsidRPr="00397854" w:rsidRDefault="000D5A86" w:rsidP="0049682A">
      <w:pPr>
        <w:pStyle w:val="FootnoteText"/>
        <w:rPr>
          <w:lang w:val="en-CA"/>
        </w:rPr>
      </w:pPr>
      <w:r>
        <w:rPr>
          <w:rStyle w:val="FootnoteReference"/>
        </w:rPr>
        <w:footnoteRef/>
      </w:r>
      <w:r>
        <w:t xml:space="preserve"> </w:t>
      </w:r>
      <w:r w:rsidRPr="00DE474B">
        <w:t xml:space="preserve">The interest earning potential of the stored value in the IAFFORD card is constrained due to the BSP regulation prohibiting non-bank electronic money issuers (EMI) like PayMaya (the provider of IAFFORD cards) to pay interest on money stored in digital cards. BSP does not consider e-money as deposit and </w:t>
      </w:r>
      <w:r>
        <w:t xml:space="preserve">is </w:t>
      </w:r>
      <w:r w:rsidRPr="00DE474B">
        <w:t>not insured in the Philippines Deposit Insurance Corporation (PDIC).</w:t>
      </w:r>
    </w:p>
  </w:footnote>
  <w:footnote w:id="11">
    <w:p w14:paraId="2109B9C8" w14:textId="2D812655" w:rsidR="000D5A86" w:rsidRPr="00397854" w:rsidRDefault="000D5A86" w:rsidP="00C2661D">
      <w:pPr>
        <w:pStyle w:val="FootnoteText"/>
        <w:rPr>
          <w:lang w:val="en-CA"/>
        </w:rPr>
      </w:pPr>
      <w:r>
        <w:rPr>
          <w:rStyle w:val="FootnoteReference"/>
        </w:rPr>
        <w:footnoteRef/>
      </w:r>
      <w:r>
        <w:t xml:space="preserve"> </w:t>
      </w:r>
      <w:r w:rsidRPr="00703790">
        <w:t xml:space="preserve">The </w:t>
      </w:r>
      <w:r>
        <w:t xml:space="preserve">BSP </w:t>
      </w:r>
      <w:r w:rsidRPr="00703790">
        <w:t>financial inclusion basic indicator is measured through ownership of an account that can be used to save money, receive salary, send or receive remittance, and pay bills through the use of formal financial service providers such as the</w:t>
      </w:r>
      <w:r>
        <w:t xml:space="preserve"> </w:t>
      </w:r>
      <w:r w:rsidRPr="00703790">
        <w:t>bank and non-bank financial institutions (e.g. cooperatives, MFI-NGOs, fintech e-money providers).</w:t>
      </w:r>
    </w:p>
  </w:footnote>
  <w:footnote w:id="12">
    <w:p w14:paraId="0D28E8C7" w14:textId="77777777" w:rsidR="000D5A86" w:rsidRPr="00CB4DDE" w:rsidRDefault="000D5A86" w:rsidP="00CB4DDE">
      <w:pPr>
        <w:pStyle w:val="FootnoteText"/>
        <w:rPr>
          <w:lang w:val="en-CA"/>
        </w:rPr>
      </w:pPr>
      <w:r>
        <w:rPr>
          <w:rStyle w:val="FootnoteReference"/>
        </w:rPr>
        <w:footnoteRef/>
      </w:r>
      <w:r>
        <w:t xml:space="preserve"> Adams, Lesley </w:t>
      </w:r>
      <w:r>
        <w:rPr>
          <w:lang w:val="en-CA"/>
        </w:rPr>
        <w:t xml:space="preserve">(2007) </w:t>
      </w:r>
      <w:r w:rsidRPr="003F3275">
        <w:rPr>
          <w:i/>
          <w:iCs/>
          <w:lang w:val="en-CA"/>
        </w:rPr>
        <w:t>Learning from cash responses to the tsunami: Final Report</w:t>
      </w:r>
      <w:r>
        <w:rPr>
          <w:lang w:val="en-CA"/>
        </w:rPr>
        <w:t>.</w:t>
      </w:r>
      <w:r w:rsidRPr="00CB4DDE">
        <w:rPr>
          <w:lang w:val="en-CA"/>
        </w:rPr>
        <w:t xml:space="preserve"> </w:t>
      </w:r>
      <w:r>
        <w:rPr>
          <w:lang w:val="en-CA"/>
        </w:rPr>
        <w:t>Humanitarian Policy Group</w:t>
      </w:r>
    </w:p>
  </w:footnote>
  <w:footnote w:id="13">
    <w:p w14:paraId="6B8F9B6A" w14:textId="58EF566F" w:rsidR="000D5A86" w:rsidRPr="00AC1AC2" w:rsidRDefault="000D5A86" w:rsidP="0096236C">
      <w:pPr>
        <w:pStyle w:val="FootnoteText"/>
        <w:rPr>
          <w:lang w:val="en-CA"/>
        </w:rPr>
      </w:pPr>
      <w:r>
        <w:rPr>
          <w:rStyle w:val="FootnoteReference"/>
        </w:rPr>
        <w:footnoteRef/>
      </w:r>
      <w:r>
        <w:t xml:space="preserve"> </w:t>
      </w:r>
      <w:r w:rsidRPr="00AC1AC2">
        <w:rPr>
          <w:i/>
          <w:iCs/>
          <w:lang w:val="en-CA"/>
        </w:rPr>
        <w:t>Evaluation Of D</w:t>
      </w:r>
      <w:r>
        <w:rPr>
          <w:i/>
          <w:iCs/>
          <w:lang w:val="en-CA"/>
        </w:rPr>
        <w:t>FAT</w:t>
      </w:r>
      <w:r w:rsidRPr="00AC1AC2">
        <w:rPr>
          <w:i/>
          <w:iCs/>
          <w:lang w:val="en-CA"/>
        </w:rPr>
        <w:t xml:space="preserve"> Investment Level Monitoring Systems - Case Studies</w:t>
      </w:r>
      <w:r>
        <w:rPr>
          <w:i/>
          <w:iCs/>
          <w:lang w:val="en-CA"/>
        </w:rPr>
        <w:t>,</w:t>
      </w:r>
      <w:r>
        <w:rPr>
          <w:lang w:val="en-CA"/>
        </w:rPr>
        <w:t xml:space="preserve"> downloaded from </w:t>
      </w:r>
      <w:hyperlink r:id="rId6" w:history="1">
        <w:r w:rsidRPr="002F7307">
          <w:rPr>
            <w:rStyle w:val="Hyperlink"/>
            <w:lang w:val="en-CA"/>
          </w:rPr>
          <w:t>https://dfat.gov.au/aid/how-we-measure-performance/ode/strategic-evaluations/Documents/evaluation-of-investment-level-monitoring-systems-case-studies.pdf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DFC" w14:textId="77777777" w:rsidR="000A28E0" w:rsidRDefault="000A28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83AC" w14:textId="2B95F26A" w:rsidR="000D5A86" w:rsidRDefault="000D5A86" w:rsidP="00BD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25BE" w14:textId="77777777" w:rsidR="000A28E0" w:rsidRDefault="000A2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635A" w14:textId="77777777" w:rsidR="000A28E0" w:rsidRDefault="000A2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06CA" w14:textId="77777777" w:rsidR="000D5A86" w:rsidRDefault="000D5A86" w:rsidP="00BD1C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F069" w14:textId="77777777" w:rsidR="000D5A86" w:rsidRDefault="000D5A86" w:rsidP="00BD1C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FA39" w14:textId="77777777" w:rsidR="000D5A86" w:rsidRDefault="000D5A86" w:rsidP="00BD1C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0422" w14:textId="77777777" w:rsidR="000D5A86" w:rsidRDefault="000D5A86" w:rsidP="00BD1C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D4EC" w14:textId="550B79B5" w:rsidR="000D5A86" w:rsidRDefault="000D5A86" w:rsidP="00BD1C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A4D8" w14:textId="1B98CB9C" w:rsidR="000D5A86" w:rsidRDefault="000D5A86" w:rsidP="0093319A">
    <w:pPr>
      <w:pStyle w:val="Header"/>
      <w:tabs>
        <w:tab w:val="clear" w:pos="4680"/>
        <w:tab w:val="clear" w:pos="9360"/>
        <w:tab w:val="left" w:pos="56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1DD"/>
    <w:multiLevelType w:val="hybridMultilevel"/>
    <w:tmpl w:val="4A8AECD0"/>
    <w:lvl w:ilvl="0" w:tplc="BEFE9DB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9953EE"/>
    <w:multiLevelType w:val="hybridMultilevel"/>
    <w:tmpl w:val="09B0F2F2"/>
    <w:lvl w:ilvl="0" w:tplc="9582254A">
      <w:start w:val="1"/>
      <w:numFmt w:val="decimal"/>
      <w:lvlText w:val="Lessons Learned  %1."/>
      <w:lvlJc w:val="left"/>
      <w:pPr>
        <w:ind w:left="720" w:hanging="360"/>
      </w:pPr>
      <w:rPr>
        <w:rFonts w:hint="default"/>
        <w:color w:val="134163" w:themeColor="accent6"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427402"/>
    <w:multiLevelType w:val="hybridMultilevel"/>
    <w:tmpl w:val="4D3C48F2"/>
    <w:lvl w:ilvl="0" w:tplc="E7F2CBEC">
      <w:start w:val="1"/>
      <w:numFmt w:val="bullet"/>
      <w:lvlText w:val=""/>
      <w:lvlJc w:val="left"/>
      <w:pPr>
        <w:ind w:left="1434" w:hanging="360"/>
      </w:pPr>
      <w:rPr>
        <w:rFonts w:ascii="Symbol" w:hAnsi="Symbol" w:hint="default"/>
        <w:sz w:val="14"/>
        <w:szCs w:val="12"/>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 w15:restartNumberingAfterBreak="0">
    <w:nsid w:val="0C750E19"/>
    <w:multiLevelType w:val="hybridMultilevel"/>
    <w:tmpl w:val="F39A07BE"/>
    <w:lvl w:ilvl="0" w:tplc="814E0864">
      <w:start w:val="1"/>
      <w:numFmt w:val="lowerLetter"/>
      <w:lvlText w:val="4.%1."/>
      <w:lvlJc w:val="left"/>
      <w:pPr>
        <w:ind w:left="720" w:hanging="360"/>
      </w:pPr>
      <w:rPr>
        <w:rFonts w:hint="default"/>
        <w:color w:val="3494BA"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D1F6A"/>
    <w:multiLevelType w:val="hybridMultilevel"/>
    <w:tmpl w:val="9C340F4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134A1C"/>
    <w:multiLevelType w:val="hybridMultilevel"/>
    <w:tmpl w:val="F17476F6"/>
    <w:lvl w:ilvl="0" w:tplc="AE2AFA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12DCF"/>
    <w:multiLevelType w:val="hybridMultilevel"/>
    <w:tmpl w:val="4E42B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3C2"/>
    <w:multiLevelType w:val="hybridMultilevel"/>
    <w:tmpl w:val="B8CAB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881849"/>
    <w:multiLevelType w:val="hybridMultilevel"/>
    <w:tmpl w:val="A1D0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31AD2"/>
    <w:multiLevelType w:val="hybridMultilevel"/>
    <w:tmpl w:val="E870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D49D5"/>
    <w:multiLevelType w:val="multilevel"/>
    <w:tmpl w:val="B7B058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C7C2AB0"/>
    <w:multiLevelType w:val="hybridMultilevel"/>
    <w:tmpl w:val="B64CF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BF41AF"/>
    <w:multiLevelType w:val="hybridMultilevel"/>
    <w:tmpl w:val="46B053FA"/>
    <w:lvl w:ilvl="0" w:tplc="2E70F38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076384"/>
    <w:multiLevelType w:val="hybridMultilevel"/>
    <w:tmpl w:val="814E182C"/>
    <w:lvl w:ilvl="0" w:tplc="AF783A94">
      <w:start w:val="1"/>
      <w:numFmt w:val="bullet"/>
      <w:lvlText w:val=""/>
      <w:lvlJc w:val="left"/>
      <w:pPr>
        <w:ind w:left="426"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4E5BBE"/>
    <w:multiLevelType w:val="hybridMultilevel"/>
    <w:tmpl w:val="C7324F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4FA797C"/>
    <w:multiLevelType w:val="hybridMultilevel"/>
    <w:tmpl w:val="B060C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D47F0D"/>
    <w:multiLevelType w:val="hybridMultilevel"/>
    <w:tmpl w:val="1C400902"/>
    <w:lvl w:ilvl="0" w:tplc="0CEC0B70">
      <w:start w:val="1"/>
      <w:numFmt w:val="decimal"/>
      <w:lvlText w:val="Recommendtion %1."/>
      <w:lvlJc w:val="left"/>
      <w:pPr>
        <w:ind w:left="720" w:hanging="360"/>
      </w:pPr>
      <w:rPr>
        <w:rFonts w:hint="default"/>
        <w:color w:val="3494BA"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682E75"/>
    <w:multiLevelType w:val="hybridMultilevel"/>
    <w:tmpl w:val="F288C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85F1C23"/>
    <w:multiLevelType w:val="hybridMultilevel"/>
    <w:tmpl w:val="60B439C2"/>
    <w:lvl w:ilvl="0" w:tplc="103E62D0">
      <w:start w:val="1"/>
      <w:numFmt w:val="decimal"/>
      <w:lvlText w:val="Lessons Learned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DF5A05"/>
    <w:multiLevelType w:val="hybridMultilevel"/>
    <w:tmpl w:val="7E1C925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496E3574"/>
    <w:multiLevelType w:val="hybridMultilevel"/>
    <w:tmpl w:val="D5B2BC4C"/>
    <w:lvl w:ilvl="0" w:tplc="4A3EA83C">
      <w:start w:val="1"/>
      <w:numFmt w:val="decimal"/>
      <w:lvlText w:val="Lessons Learned  %1."/>
      <w:lvlJc w:val="left"/>
      <w:pPr>
        <w:ind w:left="720" w:hanging="360"/>
      </w:pPr>
      <w:rPr>
        <w:rFonts w:hint="default"/>
        <w:color w:val="134163" w:themeColor="accent6"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A1498D"/>
    <w:multiLevelType w:val="hybridMultilevel"/>
    <w:tmpl w:val="331E87F4"/>
    <w:lvl w:ilvl="0" w:tplc="2EC8F958">
      <w:start w:val="1"/>
      <w:numFmt w:val="bullet"/>
      <w:lvlText w:val=""/>
      <w:lvlJc w:val="left"/>
      <w:pPr>
        <w:ind w:left="426" w:hanging="360"/>
      </w:pPr>
      <w:rPr>
        <w:rFonts w:ascii="Wingdings" w:hAnsi="Wingdings" w:hint="default"/>
        <w:b w:val="0"/>
        <w:bCs w:val="0"/>
        <w:i w:val="0"/>
        <w:iCs w:val="0"/>
        <w:caps w:val="0"/>
        <w:smallCaps w:val="0"/>
        <w:strike w:val="0"/>
        <w:dstrike w:val="0"/>
        <w:outline w:val="0"/>
        <w:shadow w:val="0"/>
        <w:emboss w:val="0"/>
        <w:imprint w:val="0"/>
        <w:noProof w:val="0"/>
        <w:vanish w:val="0"/>
        <w:color w:val="7FC0DB" w:themeColor="accent1"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C648C5"/>
    <w:multiLevelType w:val="hybridMultilevel"/>
    <w:tmpl w:val="EEC226D6"/>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4C3377C6"/>
    <w:multiLevelType w:val="hybridMultilevel"/>
    <w:tmpl w:val="8232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964B05"/>
    <w:multiLevelType w:val="hybridMultilevel"/>
    <w:tmpl w:val="4FF4A4A0"/>
    <w:lvl w:ilvl="0" w:tplc="9582254A">
      <w:start w:val="1"/>
      <w:numFmt w:val="decimal"/>
      <w:lvlText w:val="Lessons Learned  %1."/>
      <w:lvlJc w:val="left"/>
      <w:pPr>
        <w:ind w:left="720" w:hanging="360"/>
      </w:pPr>
      <w:rPr>
        <w:rFonts w:hint="default"/>
        <w:color w:val="134163" w:themeColor="accent6"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A64395"/>
    <w:multiLevelType w:val="hybridMultilevel"/>
    <w:tmpl w:val="E7AA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F55435"/>
    <w:multiLevelType w:val="hybridMultilevel"/>
    <w:tmpl w:val="728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7D571B"/>
    <w:multiLevelType w:val="hybridMultilevel"/>
    <w:tmpl w:val="D9AAEF6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66BA2A87"/>
    <w:multiLevelType w:val="hybridMultilevel"/>
    <w:tmpl w:val="CFCC76AE"/>
    <w:lvl w:ilvl="0" w:tplc="6BE8217A">
      <w:start w:val="1"/>
      <w:numFmt w:val="bullet"/>
      <w:pStyle w:val="Style1"/>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54641744">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A5262E"/>
    <w:multiLevelType w:val="hybridMultilevel"/>
    <w:tmpl w:val="DDA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A568FC"/>
    <w:multiLevelType w:val="hybridMultilevel"/>
    <w:tmpl w:val="BDC83E9E"/>
    <w:lvl w:ilvl="0" w:tplc="95962868">
      <w:start w:val="1"/>
      <w:numFmt w:val="bullet"/>
      <w:pStyle w:val="ListParagraph"/>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2" w15:restartNumberingAfterBreak="0">
    <w:nsid w:val="772C31F8"/>
    <w:multiLevelType w:val="hybridMultilevel"/>
    <w:tmpl w:val="E5DCC6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9DA038A"/>
    <w:multiLevelType w:val="hybridMultilevel"/>
    <w:tmpl w:val="2D929DCA"/>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7E0302B3"/>
    <w:multiLevelType w:val="hybridMultilevel"/>
    <w:tmpl w:val="89924A1A"/>
    <w:lvl w:ilvl="0" w:tplc="CB505ABA">
      <w:start w:val="1"/>
      <w:numFmt w:val="bullet"/>
      <w:pStyle w:val="RList3"/>
      <w:lvlText w:val=""/>
      <w:lvlJc w:val="left"/>
      <w:pPr>
        <w:ind w:left="720" w:hanging="360"/>
      </w:pPr>
      <w:rPr>
        <w:rFonts w:ascii="Wingdings" w:hAnsi="Wingdings" w:hint="default"/>
        <w:color w:val="3494BA"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9"/>
  </w:num>
  <w:num w:numId="4">
    <w:abstractNumId w:val="34"/>
  </w:num>
  <w:num w:numId="5">
    <w:abstractNumId w:val="8"/>
  </w:num>
  <w:num w:numId="6">
    <w:abstractNumId w:val="31"/>
  </w:num>
  <w:num w:numId="7">
    <w:abstractNumId w:val="13"/>
  </w:num>
  <w:num w:numId="8">
    <w:abstractNumId w:val="12"/>
  </w:num>
  <w:num w:numId="9">
    <w:abstractNumId w:val="19"/>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27"/>
  </w:num>
  <w:num w:numId="14">
    <w:abstractNumId w:val="26"/>
  </w:num>
  <w:num w:numId="15">
    <w:abstractNumId w:val="5"/>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25"/>
  </w:num>
  <w:num w:numId="29">
    <w:abstractNumId w:val="1"/>
  </w:num>
  <w:num w:numId="30">
    <w:abstractNumId w:val="6"/>
  </w:num>
  <w:num w:numId="31">
    <w:abstractNumId w:val="14"/>
  </w:num>
  <w:num w:numId="32">
    <w:abstractNumId w:val="7"/>
  </w:num>
  <w:num w:numId="33">
    <w:abstractNumId w:val="2"/>
  </w:num>
  <w:num w:numId="34">
    <w:abstractNumId w:val="0"/>
  </w:num>
  <w:num w:numId="35">
    <w:abstractNumId w:val="33"/>
  </w:num>
  <w:num w:numId="36">
    <w:abstractNumId w:val="20"/>
  </w:num>
  <w:num w:numId="37">
    <w:abstractNumId w:val="21"/>
  </w:num>
  <w:num w:numId="3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5C"/>
    <w:rsid w:val="00000402"/>
    <w:rsid w:val="00000496"/>
    <w:rsid w:val="000062D8"/>
    <w:rsid w:val="00006FB5"/>
    <w:rsid w:val="00007631"/>
    <w:rsid w:val="00007D43"/>
    <w:rsid w:val="00011FF1"/>
    <w:rsid w:val="0001202E"/>
    <w:rsid w:val="00012BE1"/>
    <w:rsid w:val="00017EF2"/>
    <w:rsid w:val="000203C9"/>
    <w:rsid w:val="00020A3F"/>
    <w:rsid w:val="0002200E"/>
    <w:rsid w:val="00022DBD"/>
    <w:rsid w:val="00023C90"/>
    <w:rsid w:val="0002530F"/>
    <w:rsid w:val="00025392"/>
    <w:rsid w:val="0003419D"/>
    <w:rsid w:val="0003441C"/>
    <w:rsid w:val="0003448B"/>
    <w:rsid w:val="00034DAB"/>
    <w:rsid w:val="00035112"/>
    <w:rsid w:val="000368EA"/>
    <w:rsid w:val="00037284"/>
    <w:rsid w:val="00037454"/>
    <w:rsid w:val="000404A7"/>
    <w:rsid w:val="00044DD8"/>
    <w:rsid w:val="00045CD0"/>
    <w:rsid w:val="0004733D"/>
    <w:rsid w:val="000478CF"/>
    <w:rsid w:val="00050754"/>
    <w:rsid w:val="00052FF4"/>
    <w:rsid w:val="00054399"/>
    <w:rsid w:val="000551EA"/>
    <w:rsid w:val="0005565B"/>
    <w:rsid w:val="00055EFF"/>
    <w:rsid w:val="000575CB"/>
    <w:rsid w:val="00060A46"/>
    <w:rsid w:val="0006261B"/>
    <w:rsid w:val="000645AC"/>
    <w:rsid w:val="0006494F"/>
    <w:rsid w:val="00065527"/>
    <w:rsid w:val="00067051"/>
    <w:rsid w:val="000705EC"/>
    <w:rsid w:val="00072D8A"/>
    <w:rsid w:val="000756E6"/>
    <w:rsid w:val="00075879"/>
    <w:rsid w:val="00075BBF"/>
    <w:rsid w:val="000779AA"/>
    <w:rsid w:val="000811F4"/>
    <w:rsid w:val="00081309"/>
    <w:rsid w:val="00082E1D"/>
    <w:rsid w:val="00082E2C"/>
    <w:rsid w:val="00083BCA"/>
    <w:rsid w:val="000857E2"/>
    <w:rsid w:val="00085E99"/>
    <w:rsid w:val="0008692A"/>
    <w:rsid w:val="0009088B"/>
    <w:rsid w:val="00090D50"/>
    <w:rsid w:val="00090E3C"/>
    <w:rsid w:val="000914AB"/>
    <w:rsid w:val="00095E6E"/>
    <w:rsid w:val="000960C1"/>
    <w:rsid w:val="00096F04"/>
    <w:rsid w:val="000A1168"/>
    <w:rsid w:val="000A28E0"/>
    <w:rsid w:val="000A2F58"/>
    <w:rsid w:val="000B071A"/>
    <w:rsid w:val="000B12EB"/>
    <w:rsid w:val="000B4633"/>
    <w:rsid w:val="000B4B04"/>
    <w:rsid w:val="000B4C60"/>
    <w:rsid w:val="000B56BF"/>
    <w:rsid w:val="000B77E3"/>
    <w:rsid w:val="000C1B91"/>
    <w:rsid w:val="000C26AB"/>
    <w:rsid w:val="000C2A60"/>
    <w:rsid w:val="000C3945"/>
    <w:rsid w:val="000C39FC"/>
    <w:rsid w:val="000C53C9"/>
    <w:rsid w:val="000C6583"/>
    <w:rsid w:val="000C6C2A"/>
    <w:rsid w:val="000D0FB4"/>
    <w:rsid w:val="000D14A1"/>
    <w:rsid w:val="000D14F9"/>
    <w:rsid w:val="000D16F7"/>
    <w:rsid w:val="000D5A86"/>
    <w:rsid w:val="000D7137"/>
    <w:rsid w:val="000D7BFF"/>
    <w:rsid w:val="000D7E81"/>
    <w:rsid w:val="000E0401"/>
    <w:rsid w:val="000E082B"/>
    <w:rsid w:val="000E2E3E"/>
    <w:rsid w:val="000E59B3"/>
    <w:rsid w:val="000F0661"/>
    <w:rsid w:val="000F1889"/>
    <w:rsid w:val="000F1EE6"/>
    <w:rsid w:val="000F3AB3"/>
    <w:rsid w:val="000F41A9"/>
    <w:rsid w:val="000F6CEC"/>
    <w:rsid w:val="000F6D8E"/>
    <w:rsid w:val="000F6DAC"/>
    <w:rsid w:val="000F6E14"/>
    <w:rsid w:val="000F7564"/>
    <w:rsid w:val="000F7717"/>
    <w:rsid w:val="00100761"/>
    <w:rsid w:val="001008F6"/>
    <w:rsid w:val="00103C8B"/>
    <w:rsid w:val="00104B9F"/>
    <w:rsid w:val="001063BF"/>
    <w:rsid w:val="00106CEC"/>
    <w:rsid w:val="00106D84"/>
    <w:rsid w:val="00106E1E"/>
    <w:rsid w:val="0011040A"/>
    <w:rsid w:val="00112587"/>
    <w:rsid w:val="001137C9"/>
    <w:rsid w:val="00113E7D"/>
    <w:rsid w:val="00114AA9"/>
    <w:rsid w:val="00116403"/>
    <w:rsid w:val="00116A18"/>
    <w:rsid w:val="00116D6A"/>
    <w:rsid w:val="00117F3F"/>
    <w:rsid w:val="00120A54"/>
    <w:rsid w:val="0012105C"/>
    <w:rsid w:val="00123970"/>
    <w:rsid w:val="00123E3F"/>
    <w:rsid w:val="001242B1"/>
    <w:rsid w:val="00127646"/>
    <w:rsid w:val="00127C5F"/>
    <w:rsid w:val="00131C09"/>
    <w:rsid w:val="001336C2"/>
    <w:rsid w:val="00133BF2"/>
    <w:rsid w:val="00134163"/>
    <w:rsid w:val="00137138"/>
    <w:rsid w:val="001402F9"/>
    <w:rsid w:val="00141309"/>
    <w:rsid w:val="00141388"/>
    <w:rsid w:val="001413B6"/>
    <w:rsid w:val="001419D9"/>
    <w:rsid w:val="00141AC3"/>
    <w:rsid w:val="00141BB1"/>
    <w:rsid w:val="00141BC4"/>
    <w:rsid w:val="00142293"/>
    <w:rsid w:val="001426C3"/>
    <w:rsid w:val="001431DF"/>
    <w:rsid w:val="00143846"/>
    <w:rsid w:val="0014523D"/>
    <w:rsid w:val="0014624E"/>
    <w:rsid w:val="0014655A"/>
    <w:rsid w:val="00151FC2"/>
    <w:rsid w:val="001524B9"/>
    <w:rsid w:val="0015285B"/>
    <w:rsid w:val="00157429"/>
    <w:rsid w:val="00157A86"/>
    <w:rsid w:val="001613DB"/>
    <w:rsid w:val="001629E4"/>
    <w:rsid w:val="00163BDB"/>
    <w:rsid w:val="00163E6A"/>
    <w:rsid w:val="001660CF"/>
    <w:rsid w:val="001663E0"/>
    <w:rsid w:val="00166BC2"/>
    <w:rsid w:val="00167081"/>
    <w:rsid w:val="00170099"/>
    <w:rsid w:val="00170698"/>
    <w:rsid w:val="00171690"/>
    <w:rsid w:val="00171DCD"/>
    <w:rsid w:val="001764A9"/>
    <w:rsid w:val="00177AD4"/>
    <w:rsid w:val="00177E19"/>
    <w:rsid w:val="001839FA"/>
    <w:rsid w:val="00183F2D"/>
    <w:rsid w:val="00184734"/>
    <w:rsid w:val="00190BEC"/>
    <w:rsid w:val="00191DA4"/>
    <w:rsid w:val="00193902"/>
    <w:rsid w:val="001943EC"/>
    <w:rsid w:val="00195026"/>
    <w:rsid w:val="001952A0"/>
    <w:rsid w:val="00195C25"/>
    <w:rsid w:val="00195C8D"/>
    <w:rsid w:val="001971D9"/>
    <w:rsid w:val="00197F1A"/>
    <w:rsid w:val="001A027C"/>
    <w:rsid w:val="001A1F06"/>
    <w:rsid w:val="001A1FD8"/>
    <w:rsid w:val="001A26B9"/>
    <w:rsid w:val="001A4CE9"/>
    <w:rsid w:val="001A5C73"/>
    <w:rsid w:val="001B08D1"/>
    <w:rsid w:val="001B25ED"/>
    <w:rsid w:val="001B2BDB"/>
    <w:rsid w:val="001B6867"/>
    <w:rsid w:val="001C1621"/>
    <w:rsid w:val="001C2173"/>
    <w:rsid w:val="001C24D0"/>
    <w:rsid w:val="001C31E7"/>
    <w:rsid w:val="001C3CC5"/>
    <w:rsid w:val="001D010E"/>
    <w:rsid w:val="001D7239"/>
    <w:rsid w:val="001D7464"/>
    <w:rsid w:val="001D759A"/>
    <w:rsid w:val="001D79DD"/>
    <w:rsid w:val="001D7C3D"/>
    <w:rsid w:val="001E1C70"/>
    <w:rsid w:val="001E27FE"/>
    <w:rsid w:val="001E3268"/>
    <w:rsid w:val="001E3F10"/>
    <w:rsid w:val="001E6CD2"/>
    <w:rsid w:val="001E6D40"/>
    <w:rsid w:val="001E711F"/>
    <w:rsid w:val="001E7B1D"/>
    <w:rsid w:val="001E7D5E"/>
    <w:rsid w:val="001F085A"/>
    <w:rsid w:val="001F45AD"/>
    <w:rsid w:val="00202773"/>
    <w:rsid w:val="002028F6"/>
    <w:rsid w:val="00203AEB"/>
    <w:rsid w:val="002054F5"/>
    <w:rsid w:val="0020552F"/>
    <w:rsid w:val="00206083"/>
    <w:rsid w:val="0020637B"/>
    <w:rsid w:val="00206ADF"/>
    <w:rsid w:val="002077E1"/>
    <w:rsid w:val="00207945"/>
    <w:rsid w:val="00211969"/>
    <w:rsid w:val="00212DB0"/>
    <w:rsid w:val="00213637"/>
    <w:rsid w:val="00214CF5"/>
    <w:rsid w:val="00216CA2"/>
    <w:rsid w:val="00216D1E"/>
    <w:rsid w:val="00217BBA"/>
    <w:rsid w:val="00220B18"/>
    <w:rsid w:val="002259B4"/>
    <w:rsid w:val="00226B91"/>
    <w:rsid w:val="00227B55"/>
    <w:rsid w:val="0023073A"/>
    <w:rsid w:val="00235D73"/>
    <w:rsid w:val="002363FF"/>
    <w:rsid w:val="00237489"/>
    <w:rsid w:val="0024246B"/>
    <w:rsid w:val="00243ADE"/>
    <w:rsid w:val="00243BFC"/>
    <w:rsid w:val="002451F1"/>
    <w:rsid w:val="00247F14"/>
    <w:rsid w:val="0025041B"/>
    <w:rsid w:val="00250DE9"/>
    <w:rsid w:val="002515F0"/>
    <w:rsid w:val="00252443"/>
    <w:rsid w:val="0025360C"/>
    <w:rsid w:val="00256C12"/>
    <w:rsid w:val="00256E56"/>
    <w:rsid w:val="002605C0"/>
    <w:rsid w:val="002615F8"/>
    <w:rsid w:val="002634F5"/>
    <w:rsid w:val="0026466C"/>
    <w:rsid w:val="002650A5"/>
    <w:rsid w:val="0026528C"/>
    <w:rsid w:val="0026675A"/>
    <w:rsid w:val="00272BD1"/>
    <w:rsid w:val="002732D5"/>
    <w:rsid w:val="0027497A"/>
    <w:rsid w:val="00276B61"/>
    <w:rsid w:val="002802A2"/>
    <w:rsid w:val="00281013"/>
    <w:rsid w:val="002823A8"/>
    <w:rsid w:val="00282EDD"/>
    <w:rsid w:val="002837F2"/>
    <w:rsid w:val="002860C8"/>
    <w:rsid w:val="00286DDD"/>
    <w:rsid w:val="002877D5"/>
    <w:rsid w:val="00290536"/>
    <w:rsid w:val="0029309F"/>
    <w:rsid w:val="00293F76"/>
    <w:rsid w:val="0029766D"/>
    <w:rsid w:val="002A071C"/>
    <w:rsid w:val="002A0787"/>
    <w:rsid w:val="002A1E87"/>
    <w:rsid w:val="002A41D7"/>
    <w:rsid w:val="002A46A1"/>
    <w:rsid w:val="002A4B74"/>
    <w:rsid w:val="002A58C3"/>
    <w:rsid w:val="002A5C46"/>
    <w:rsid w:val="002A6961"/>
    <w:rsid w:val="002A7440"/>
    <w:rsid w:val="002A7C60"/>
    <w:rsid w:val="002A7C93"/>
    <w:rsid w:val="002B0C55"/>
    <w:rsid w:val="002B1B53"/>
    <w:rsid w:val="002C2F8A"/>
    <w:rsid w:val="002C3BEA"/>
    <w:rsid w:val="002C4440"/>
    <w:rsid w:val="002C5774"/>
    <w:rsid w:val="002C5C81"/>
    <w:rsid w:val="002C6FE8"/>
    <w:rsid w:val="002C7C48"/>
    <w:rsid w:val="002D0017"/>
    <w:rsid w:val="002D0460"/>
    <w:rsid w:val="002D04E4"/>
    <w:rsid w:val="002D08B0"/>
    <w:rsid w:val="002D37B4"/>
    <w:rsid w:val="002D3A8D"/>
    <w:rsid w:val="002D3C1D"/>
    <w:rsid w:val="002D41EE"/>
    <w:rsid w:val="002D4A50"/>
    <w:rsid w:val="002D52C9"/>
    <w:rsid w:val="002D70E3"/>
    <w:rsid w:val="002E076A"/>
    <w:rsid w:val="002E0C3F"/>
    <w:rsid w:val="002E2D01"/>
    <w:rsid w:val="002E30D6"/>
    <w:rsid w:val="002E5428"/>
    <w:rsid w:val="002E59D4"/>
    <w:rsid w:val="002E5FF4"/>
    <w:rsid w:val="002E6A9F"/>
    <w:rsid w:val="002F12CC"/>
    <w:rsid w:val="002F1D39"/>
    <w:rsid w:val="002F462F"/>
    <w:rsid w:val="002F5385"/>
    <w:rsid w:val="002F628B"/>
    <w:rsid w:val="002F65C8"/>
    <w:rsid w:val="002F77CB"/>
    <w:rsid w:val="00302EB2"/>
    <w:rsid w:val="0030342E"/>
    <w:rsid w:val="00303789"/>
    <w:rsid w:val="00305050"/>
    <w:rsid w:val="00305E11"/>
    <w:rsid w:val="0030764B"/>
    <w:rsid w:val="0031050E"/>
    <w:rsid w:val="0031090F"/>
    <w:rsid w:val="00311394"/>
    <w:rsid w:val="00311503"/>
    <w:rsid w:val="0031277C"/>
    <w:rsid w:val="00313274"/>
    <w:rsid w:val="003215F5"/>
    <w:rsid w:val="00321B31"/>
    <w:rsid w:val="00326171"/>
    <w:rsid w:val="00327501"/>
    <w:rsid w:val="003277BA"/>
    <w:rsid w:val="00327A26"/>
    <w:rsid w:val="00327D82"/>
    <w:rsid w:val="00330393"/>
    <w:rsid w:val="00330444"/>
    <w:rsid w:val="003313F7"/>
    <w:rsid w:val="00332F19"/>
    <w:rsid w:val="003333EF"/>
    <w:rsid w:val="0033351B"/>
    <w:rsid w:val="003337C1"/>
    <w:rsid w:val="00334172"/>
    <w:rsid w:val="00335C40"/>
    <w:rsid w:val="00335F57"/>
    <w:rsid w:val="00340B80"/>
    <w:rsid w:val="003413C7"/>
    <w:rsid w:val="003418B6"/>
    <w:rsid w:val="00341E55"/>
    <w:rsid w:val="00343786"/>
    <w:rsid w:val="00344A2D"/>
    <w:rsid w:val="00346A7B"/>
    <w:rsid w:val="00347044"/>
    <w:rsid w:val="00347438"/>
    <w:rsid w:val="00347D32"/>
    <w:rsid w:val="00351184"/>
    <w:rsid w:val="00351925"/>
    <w:rsid w:val="003522BA"/>
    <w:rsid w:val="003537E6"/>
    <w:rsid w:val="0035560A"/>
    <w:rsid w:val="00360227"/>
    <w:rsid w:val="0036538F"/>
    <w:rsid w:val="00365BA9"/>
    <w:rsid w:val="003669DB"/>
    <w:rsid w:val="00366AA7"/>
    <w:rsid w:val="0036776B"/>
    <w:rsid w:val="00370925"/>
    <w:rsid w:val="0037105E"/>
    <w:rsid w:val="0037133C"/>
    <w:rsid w:val="00371621"/>
    <w:rsid w:val="00372801"/>
    <w:rsid w:val="00373E3C"/>
    <w:rsid w:val="00374800"/>
    <w:rsid w:val="00374A39"/>
    <w:rsid w:val="00374B2E"/>
    <w:rsid w:val="00375118"/>
    <w:rsid w:val="00381773"/>
    <w:rsid w:val="003842A3"/>
    <w:rsid w:val="00386F83"/>
    <w:rsid w:val="00387877"/>
    <w:rsid w:val="00391FFF"/>
    <w:rsid w:val="003925A5"/>
    <w:rsid w:val="00392A14"/>
    <w:rsid w:val="00394B48"/>
    <w:rsid w:val="00395EC5"/>
    <w:rsid w:val="003964F4"/>
    <w:rsid w:val="00396C32"/>
    <w:rsid w:val="00397854"/>
    <w:rsid w:val="003A0C45"/>
    <w:rsid w:val="003A42E1"/>
    <w:rsid w:val="003A6618"/>
    <w:rsid w:val="003A7E3C"/>
    <w:rsid w:val="003B16E4"/>
    <w:rsid w:val="003B1F1E"/>
    <w:rsid w:val="003B2C40"/>
    <w:rsid w:val="003B4412"/>
    <w:rsid w:val="003B47BE"/>
    <w:rsid w:val="003B5A14"/>
    <w:rsid w:val="003B76E1"/>
    <w:rsid w:val="003C1161"/>
    <w:rsid w:val="003C1D10"/>
    <w:rsid w:val="003C5E30"/>
    <w:rsid w:val="003C5F12"/>
    <w:rsid w:val="003C603E"/>
    <w:rsid w:val="003C66F3"/>
    <w:rsid w:val="003D0A05"/>
    <w:rsid w:val="003D0F5F"/>
    <w:rsid w:val="003D3958"/>
    <w:rsid w:val="003D5269"/>
    <w:rsid w:val="003D62EF"/>
    <w:rsid w:val="003D64A5"/>
    <w:rsid w:val="003E0045"/>
    <w:rsid w:val="003E1C13"/>
    <w:rsid w:val="003E1F23"/>
    <w:rsid w:val="003E5A5B"/>
    <w:rsid w:val="003E5EAC"/>
    <w:rsid w:val="003E776E"/>
    <w:rsid w:val="003E78CA"/>
    <w:rsid w:val="003F031F"/>
    <w:rsid w:val="003F086C"/>
    <w:rsid w:val="003F18DE"/>
    <w:rsid w:val="003F2105"/>
    <w:rsid w:val="003F22E1"/>
    <w:rsid w:val="003F2735"/>
    <w:rsid w:val="003F2DD9"/>
    <w:rsid w:val="003F3275"/>
    <w:rsid w:val="003F3EBA"/>
    <w:rsid w:val="003F577E"/>
    <w:rsid w:val="00400432"/>
    <w:rsid w:val="00403A52"/>
    <w:rsid w:val="00404C34"/>
    <w:rsid w:val="00405D34"/>
    <w:rsid w:val="00406E47"/>
    <w:rsid w:val="00407523"/>
    <w:rsid w:val="004130A6"/>
    <w:rsid w:val="004136BE"/>
    <w:rsid w:val="00413B46"/>
    <w:rsid w:val="00415427"/>
    <w:rsid w:val="00415778"/>
    <w:rsid w:val="004176D2"/>
    <w:rsid w:val="004232A7"/>
    <w:rsid w:val="004242BA"/>
    <w:rsid w:val="00426C9E"/>
    <w:rsid w:val="0043031D"/>
    <w:rsid w:val="00430DB9"/>
    <w:rsid w:val="004329C9"/>
    <w:rsid w:val="00433BDB"/>
    <w:rsid w:val="0043742E"/>
    <w:rsid w:val="00437AA4"/>
    <w:rsid w:val="0044254D"/>
    <w:rsid w:val="004429E7"/>
    <w:rsid w:val="004431EF"/>
    <w:rsid w:val="00443290"/>
    <w:rsid w:val="0044419F"/>
    <w:rsid w:val="004448F1"/>
    <w:rsid w:val="00444B95"/>
    <w:rsid w:val="004450C9"/>
    <w:rsid w:val="00450721"/>
    <w:rsid w:val="004516BB"/>
    <w:rsid w:val="00451866"/>
    <w:rsid w:val="0045204A"/>
    <w:rsid w:val="00453F12"/>
    <w:rsid w:val="004546C3"/>
    <w:rsid w:val="00456D2B"/>
    <w:rsid w:val="00456DDB"/>
    <w:rsid w:val="00457F6A"/>
    <w:rsid w:val="00460CB2"/>
    <w:rsid w:val="00462546"/>
    <w:rsid w:val="00462B24"/>
    <w:rsid w:val="00462CED"/>
    <w:rsid w:val="00464190"/>
    <w:rsid w:val="004659D7"/>
    <w:rsid w:val="00465E06"/>
    <w:rsid w:val="004703B3"/>
    <w:rsid w:val="0047192F"/>
    <w:rsid w:val="00471E2C"/>
    <w:rsid w:val="00474F65"/>
    <w:rsid w:val="00475C8A"/>
    <w:rsid w:val="004778E8"/>
    <w:rsid w:val="00477E7E"/>
    <w:rsid w:val="00482886"/>
    <w:rsid w:val="004831FC"/>
    <w:rsid w:val="0048442C"/>
    <w:rsid w:val="004845FF"/>
    <w:rsid w:val="00490479"/>
    <w:rsid w:val="00496420"/>
    <w:rsid w:val="0049682A"/>
    <w:rsid w:val="004A0AE6"/>
    <w:rsid w:val="004A1438"/>
    <w:rsid w:val="004A41CA"/>
    <w:rsid w:val="004A528D"/>
    <w:rsid w:val="004A6E58"/>
    <w:rsid w:val="004B016F"/>
    <w:rsid w:val="004B09B1"/>
    <w:rsid w:val="004B0F09"/>
    <w:rsid w:val="004B24AB"/>
    <w:rsid w:val="004B5110"/>
    <w:rsid w:val="004B6520"/>
    <w:rsid w:val="004B6747"/>
    <w:rsid w:val="004B7580"/>
    <w:rsid w:val="004C02D1"/>
    <w:rsid w:val="004C16B0"/>
    <w:rsid w:val="004C4A73"/>
    <w:rsid w:val="004C5814"/>
    <w:rsid w:val="004C61FF"/>
    <w:rsid w:val="004D012D"/>
    <w:rsid w:val="004D0FEF"/>
    <w:rsid w:val="004D1016"/>
    <w:rsid w:val="004D2DE5"/>
    <w:rsid w:val="004D2FAA"/>
    <w:rsid w:val="004D34D0"/>
    <w:rsid w:val="004D3BD8"/>
    <w:rsid w:val="004D419C"/>
    <w:rsid w:val="004D4571"/>
    <w:rsid w:val="004D47A9"/>
    <w:rsid w:val="004D4EA4"/>
    <w:rsid w:val="004D4FF6"/>
    <w:rsid w:val="004D5084"/>
    <w:rsid w:val="004D53A9"/>
    <w:rsid w:val="004D57FE"/>
    <w:rsid w:val="004D5B7B"/>
    <w:rsid w:val="004D77DE"/>
    <w:rsid w:val="004D786D"/>
    <w:rsid w:val="004E2655"/>
    <w:rsid w:val="004E425A"/>
    <w:rsid w:val="004E4F12"/>
    <w:rsid w:val="004E5B1E"/>
    <w:rsid w:val="004F0DA3"/>
    <w:rsid w:val="004F1545"/>
    <w:rsid w:val="004F3A2A"/>
    <w:rsid w:val="004F4C3B"/>
    <w:rsid w:val="004F54DC"/>
    <w:rsid w:val="004F56F4"/>
    <w:rsid w:val="004F6BE6"/>
    <w:rsid w:val="004F70AF"/>
    <w:rsid w:val="00502689"/>
    <w:rsid w:val="00503867"/>
    <w:rsid w:val="00503D11"/>
    <w:rsid w:val="005047EC"/>
    <w:rsid w:val="00505D5C"/>
    <w:rsid w:val="00505EE8"/>
    <w:rsid w:val="005073C9"/>
    <w:rsid w:val="00511E5C"/>
    <w:rsid w:val="00512B2F"/>
    <w:rsid w:val="00512DAF"/>
    <w:rsid w:val="00513535"/>
    <w:rsid w:val="00513BE6"/>
    <w:rsid w:val="005150F8"/>
    <w:rsid w:val="00515FBC"/>
    <w:rsid w:val="005163B4"/>
    <w:rsid w:val="00516D9A"/>
    <w:rsid w:val="005178B1"/>
    <w:rsid w:val="00520C0D"/>
    <w:rsid w:val="0052252F"/>
    <w:rsid w:val="00522838"/>
    <w:rsid w:val="005270EC"/>
    <w:rsid w:val="00527F20"/>
    <w:rsid w:val="00531213"/>
    <w:rsid w:val="00535293"/>
    <w:rsid w:val="00536C84"/>
    <w:rsid w:val="00537D30"/>
    <w:rsid w:val="00540F1E"/>
    <w:rsid w:val="00543E8D"/>
    <w:rsid w:val="005450A7"/>
    <w:rsid w:val="00545555"/>
    <w:rsid w:val="00546770"/>
    <w:rsid w:val="00547407"/>
    <w:rsid w:val="00547842"/>
    <w:rsid w:val="00551585"/>
    <w:rsid w:val="00551E89"/>
    <w:rsid w:val="00552D7A"/>
    <w:rsid w:val="00553516"/>
    <w:rsid w:val="00553AF2"/>
    <w:rsid w:val="00554926"/>
    <w:rsid w:val="00554F6D"/>
    <w:rsid w:val="00556430"/>
    <w:rsid w:val="0056061B"/>
    <w:rsid w:val="00561045"/>
    <w:rsid w:val="00561F2A"/>
    <w:rsid w:val="005623B7"/>
    <w:rsid w:val="0056260B"/>
    <w:rsid w:val="00564015"/>
    <w:rsid w:val="00564110"/>
    <w:rsid w:val="00565E03"/>
    <w:rsid w:val="005710D1"/>
    <w:rsid w:val="00572198"/>
    <w:rsid w:val="00573743"/>
    <w:rsid w:val="00574CEF"/>
    <w:rsid w:val="00575257"/>
    <w:rsid w:val="00575E2C"/>
    <w:rsid w:val="00576985"/>
    <w:rsid w:val="0057775C"/>
    <w:rsid w:val="005777A9"/>
    <w:rsid w:val="00580CDB"/>
    <w:rsid w:val="00583DE0"/>
    <w:rsid w:val="00585C94"/>
    <w:rsid w:val="00586CF2"/>
    <w:rsid w:val="005907CF"/>
    <w:rsid w:val="0059131D"/>
    <w:rsid w:val="0059406D"/>
    <w:rsid w:val="00595173"/>
    <w:rsid w:val="00595C79"/>
    <w:rsid w:val="00596196"/>
    <w:rsid w:val="00596493"/>
    <w:rsid w:val="00596C0C"/>
    <w:rsid w:val="00596F7A"/>
    <w:rsid w:val="005A09B7"/>
    <w:rsid w:val="005A3259"/>
    <w:rsid w:val="005A39E3"/>
    <w:rsid w:val="005A3D89"/>
    <w:rsid w:val="005A4B58"/>
    <w:rsid w:val="005A4FE6"/>
    <w:rsid w:val="005A7275"/>
    <w:rsid w:val="005B5088"/>
    <w:rsid w:val="005B5125"/>
    <w:rsid w:val="005B55A9"/>
    <w:rsid w:val="005B6852"/>
    <w:rsid w:val="005C007E"/>
    <w:rsid w:val="005C0237"/>
    <w:rsid w:val="005C4156"/>
    <w:rsid w:val="005C64B1"/>
    <w:rsid w:val="005C6A18"/>
    <w:rsid w:val="005C795A"/>
    <w:rsid w:val="005C79B6"/>
    <w:rsid w:val="005C7FAA"/>
    <w:rsid w:val="005D2E2C"/>
    <w:rsid w:val="005D2EA5"/>
    <w:rsid w:val="005D30DB"/>
    <w:rsid w:val="005D3335"/>
    <w:rsid w:val="005D3E87"/>
    <w:rsid w:val="005D74E7"/>
    <w:rsid w:val="005D7B71"/>
    <w:rsid w:val="005D7D99"/>
    <w:rsid w:val="005E0A22"/>
    <w:rsid w:val="005E13B7"/>
    <w:rsid w:val="005E49A6"/>
    <w:rsid w:val="005E616C"/>
    <w:rsid w:val="005F03FB"/>
    <w:rsid w:val="005F071A"/>
    <w:rsid w:val="005F0C3C"/>
    <w:rsid w:val="005F17AE"/>
    <w:rsid w:val="005F1CDD"/>
    <w:rsid w:val="005F3233"/>
    <w:rsid w:val="005F363B"/>
    <w:rsid w:val="005F4499"/>
    <w:rsid w:val="005F6FE4"/>
    <w:rsid w:val="005F71E5"/>
    <w:rsid w:val="00600510"/>
    <w:rsid w:val="00600559"/>
    <w:rsid w:val="006005A9"/>
    <w:rsid w:val="00602A00"/>
    <w:rsid w:val="00603308"/>
    <w:rsid w:val="0060343D"/>
    <w:rsid w:val="00603C6F"/>
    <w:rsid w:val="006043DB"/>
    <w:rsid w:val="00604DC5"/>
    <w:rsid w:val="00605C57"/>
    <w:rsid w:val="00606F00"/>
    <w:rsid w:val="00607A9E"/>
    <w:rsid w:val="0061269E"/>
    <w:rsid w:val="0061356F"/>
    <w:rsid w:val="00614487"/>
    <w:rsid w:val="00615D6B"/>
    <w:rsid w:val="00616B06"/>
    <w:rsid w:val="00616D49"/>
    <w:rsid w:val="0061715C"/>
    <w:rsid w:val="00617F88"/>
    <w:rsid w:val="00621CD0"/>
    <w:rsid w:val="00621EEB"/>
    <w:rsid w:val="00621FD4"/>
    <w:rsid w:val="00622701"/>
    <w:rsid w:val="00622E91"/>
    <w:rsid w:val="00623218"/>
    <w:rsid w:val="006248E0"/>
    <w:rsid w:val="00626260"/>
    <w:rsid w:val="00627FA8"/>
    <w:rsid w:val="00635373"/>
    <w:rsid w:val="006433D3"/>
    <w:rsid w:val="00643E98"/>
    <w:rsid w:val="006459F9"/>
    <w:rsid w:val="006477A4"/>
    <w:rsid w:val="00647E7A"/>
    <w:rsid w:val="00652559"/>
    <w:rsid w:val="006526DB"/>
    <w:rsid w:val="00652B45"/>
    <w:rsid w:val="0065317D"/>
    <w:rsid w:val="00654860"/>
    <w:rsid w:val="00655A81"/>
    <w:rsid w:val="00655E3C"/>
    <w:rsid w:val="00656F04"/>
    <w:rsid w:val="0065720E"/>
    <w:rsid w:val="00661713"/>
    <w:rsid w:val="00662639"/>
    <w:rsid w:val="00663448"/>
    <w:rsid w:val="006641C3"/>
    <w:rsid w:val="00664F6E"/>
    <w:rsid w:val="00666759"/>
    <w:rsid w:val="006670AD"/>
    <w:rsid w:val="00667554"/>
    <w:rsid w:val="00667ED1"/>
    <w:rsid w:val="00670407"/>
    <w:rsid w:val="00670B0D"/>
    <w:rsid w:val="00671F73"/>
    <w:rsid w:val="0067202B"/>
    <w:rsid w:val="00672D28"/>
    <w:rsid w:val="0067304F"/>
    <w:rsid w:val="00675496"/>
    <w:rsid w:val="0067655A"/>
    <w:rsid w:val="00676D46"/>
    <w:rsid w:val="006827B1"/>
    <w:rsid w:val="00683667"/>
    <w:rsid w:val="0068393B"/>
    <w:rsid w:val="00685775"/>
    <w:rsid w:val="00687038"/>
    <w:rsid w:val="00687AE6"/>
    <w:rsid w:val="0069032C"/>
    <w:rsid w:val="006942E3"/>
    <w:rsid w:val="00694797"/>
    <w:rsid w:val="00694F6E"/>
    <w:rsid w:val="006952B4"/>
    <w:rsid w:val="0069698B"/>
    <w:rsid w:val="00697113"/>
    <w:rsid w:val="0069722A"/>
    <w:rsid w:val="006A081B"/>
    <w:rsid w:val="006A09C8"/>
    <w:rsid w:val="006A0FF9"/>
    <w:rsid w:val="006A136E"/>
    <w:rsid w:val="006A2859"/>
    <w:rsid w:val="006A2C85"/>
    <w:rsid w:val="006A6B6E"/>
    <w:rsid w:val="006B02BA"/>
    <w:rsid w:val="006B07D3"/>
    <w:rsid w:val="006B1278"/>
    <w:rsid w:val="006B44BE"/>
    <w:rsid w:val="006B4F12"/>
    <w:rsid w:val="006B74C1"/>
    <w:rsid w:val="006C1E54"/>
    <w:rsid w:val="006C5603"/>
    <w:rsid w:val="006C566E"/>
    <w:rsid w:val="006C5D73"/>
    <w:rsid w:val="006C61C4"/>
    <w:rsid w:val="006C6DAA"/>
    <w:rsid w:val="006C7237"/>
    <w:rsid w:val="006C7B67"/>
    <w:rsid w:val="006D1CF9"/>
    <w:rsid w:val="006D2187"/>
    <w:rsid w:val="006D238F"/>
    <w:rsid w:val="006D3027"/>
    <w:rsid w:val="006D4518"/>
    <w:rsid w:val="006D4E59"/>
    <w:rsid w:val="006E085E"/>
    <w:rsid w:val="006E166A"/>
    <w:rsid w:val="006E1E28"/>
    <w:rsid w:val="006E1EB7"/>
    <w:rsid w:val="006E2463"/>
    <w:rsid w:val="006E37F8"/>
    <w:rsid w:val="006E4989"/>
    <w:rsid w:val="006F0319"/>
    <w:rsid w:val="006F0ECB"/>
    <w:rsid w:val="006F2D8D"/>
    <w:rsid w:val="006F3D4F"/>
    <w:rsid w:val="006F549D"/>
    <w:rsid w:val="006F70AE"/>
    <w:rsid w:val="006F7FE8"/>
    <w:rsid w:val="00701178"/>
    <w:rsid w:val="007025B9"/>
    <w:rsid w:val="00703074"/>
    <w:rsid w:val="00703790"/>
    <w:rsid w:val="00705470"/>
    <w:rsid w:val="007075FB"/>
    <w:rsid w:val="00707D1C"/>
    <w:rsid w:val="00707EED"/>
    <w:rsid w:val="00711F5F"/>
    <w:rsid w:val="00714867"/>
    <w:rsid w:val="00714974"/>
    <w:rsid w:val="00714F5D"/>
    <w:rsid w:val="0071641C"/>
    <w:rsid w:val="0071681E"/>
    <w:rsid w:val="00716F2E"/>
    <w:rsid w:val="0071720A"/>
    <w:rsid w:val="00720560"/>
    <w:rsid w:val="00721718"/>
    <w:rsid w:val="00722FD2"/>
    <w:rsid w:val="00723A13"/>
    <w:rsid w:val="00727505"/>
    <w:rsid w:val="00727622"/>
    <w:rsid w:val="00727CDF"/>
    <w:rsid w:val="00730328"/>
    <w:rsid w:val="00730F0E"/>
    <w:rsid w:val="00732011"/>
    <w:rsid w:val="00732714"/>
    <w:rsid w:val="0073432E"/>
    <w:rsid w:val="00734AA9"/>
    <w:rsid w:val="007409ED"/>
    <w:rsid w:val="00740EF3"/>
    <w:rsid w:val="00741AAB"/>
    <w:rsid w:val="007425D8"/>
    <w:rsid w:val="007437CA"/>
    <w:rsid w:val="00745824"/>
    <w:rsid w:val="00746679"/>
    <w:rsid w:val="007469B5"/>
    <w:rsid w:val="00746B82"/>
    <w:rsid w:val="00747C27"/>
    <w:rsid w:val="00747E4A"/>
    <w:rsid w:val="00750509"/>
    <w:rsid w:val="0075225A"/>
    <w:rsid w:val="00754C82"/>
    <w:rsid w:val="00754D8A"/>
    <w:rsid w:val="00754FFE"/>
    <w:rsid w:val="00755244"/>
    <w:rsid w:val="007555C9"/>
    <w:rsid w:val="00756D9C"/>
    <w:rsid w:val="007576FE"/>
    <w:rsid w:val="00757772"/>
    <w:rsid w:val="00757B29"/>
    <w:rsid w:val="00760367"/>
    <w:rsid w:val="00760F2B"/>
    <w:rsid w:val="00761224"/>
    <w:rsid w:val="0076193A"/>
    <w:rsid w:val="00762CBD"/>
    <w:rsid w:val="007634DF"/>
    <w:rsid w:val="007638B8"/>
    <w:rsid w:val="00766509"/>
    <w:rsid w:val="0076731A"/>
    <w:rsid w:val="007722E0"/>
    <w:rsid w:val="007728C5"/>
    <w:rsid w:val="00772D66"/>
    <w:rsid w:val="00772DD9"/>
    <w:rsid w:val="007730CE"/>
    <w:rsid w:val="00774335"/>
    <w:rsid w:val="0077661D"/>
    <w:rsid w:val="00777691"/>
    <w:rsid w:val="00777AD5"/>
    <w:rsid w:val="00782A34"/>
    <w:rsid w:val="00783BEE"/>
    <w:rsid w:val="00784932"/>
    <w:rsid w:val="00784E52"/>
    <w:rsid w:val="007854BA"/>
    <w:rsid w:val="007858F6"/>
    <w:rsid w:val="00787A4F"/>
    <w:rsid w:val="007925D0"/>
    <w:rsid w:val="00792E70"/>
    <w:rsid w:val="00794F22"/>
    <w:rsid w:val="00795C09"/>
    <w:rsid w:val="00797D45"/>
    <w:rsid w:val="00797D5B"/>
    <w:rsid w:val="007A2440"/>
    <w:rsid w:val="007A4F6C"/>
    <w:rsid w:val="007B107A"/>
    <w:rsid w:val="007B202C"/>
    <w:rsid w:val="007B456D"/>
    <w:rsid w:val="007B5B8D"/>
    <w:rsid w:val="007C234D"/>
    <w:rsid w:val="007C3DB2"/>
    <w:rsid w:val="007C5B8B"/>
    <w:rsid w:val="007C5F08"/>
    <w:rsid w:val="007D2103"/>
    <w:rsid w:val="007D22E3"/>
    <w:rsid w:val="007D2692"/>
    <w:rsid w:val="007D292B"/>
    <w:rsid w:val="007D343A"/>
    <w:rsid w:val="007D430A"/>
    <w:rsid w:val="007D735D"/>
    <w:rsid w:val="007D78D5"/>
    <w:rsid w:val="007E00F2"/>
    <w:rsid w:val="007E0CC0"/>
    <w:rsid w:val="007E191F"/>
    <w:rsid w:val="007E2E24"/>
    <w:rsid w:val="007E3EC0"/>
    <w:rsid w:val="007E5304"/>
    <w:rsid w:val="007E53D1"/>
    <w:rsid w:val="007E75A6"/>
    <w:rsid w:val="007F00AB"/>
    <w:rsid w:val="007F270D"/>
    <w:rsid w:val="007F2BB3"/>
    <w:rsid w:val="007F33D8"/>
    <w:rsid w:val="007F600D"/>
    <w:rsid w:val="00800948"/>
    <w:rsid w:val="00802B02"/>
    <w:rsid w:val="00802E4B"/>
    <w:rsid w:val="008033BB"/>
    <w:rsid w:val="0080467E"/>
    <w:rsid w:val="00804FFD"/>
    <w:rsid w:val="00806727"/>
    <w:rsid w:val="0080753C"/>
    <w:rsid w:val="008121A2"/>
    <w:rsid w:val="008122AD"/>
    <w:rsid w:val="008132D2"/>
    <w:rsid w:val="00826F97"/>
    <w:rsid w:val="00827B4B"/>
    <w:rsid w:val="00831500"/>
    <w:rsid w:val="0083235D"/>
    <w:rsid w:val="008327F1"/>
    <w:rsid w:val="00832DFC"/>
    <w:rsid w:val="0083433E"/>
    <w:rsid w:val="00835965"/>
    <w:rsid w:val="00836BC2"/>
    <w:rsid w:val="00837035"/>
    <w:rsid w:val="008405BE"/>
    <w:rsid w:val="008411F1"/>
    <w:rsid w:val="008420AA"/>
    <w:rsid w:val="008449C7"/>
    <w:rsid w:val="00845CEB"/>
    <w:rsid w:val="008472CF"/>
    <w:rsid w:val="00850E81"/>
    <w:rsid w:val="00855989"/>
    <w:rsid w:val="00857541"/>
    <w:rsid w:val="00861DE7"/>
    <w:rsid w:val="00862FE8"/>
    <w:rsid w:val="0086375E"/>
    <w:rsid w:val="00863CB9"/>
    <w:rsid w:val="00864E52"/>
    <w:rsid w:val="0086616E"/>
    <w:rsid w:val="008714EA"/>
    <w:rsid w:val="0087250B"/>
    <w:rsid w:val="00872B6B"/>
    <w:rsid w:val="00873661"/>
    <w:rsid w:val="00873B1E"/>
    <w:rsid w:val="00874415"/>
    <w:rsid w:val="00876836"/>
    <w:rsid w:val="00876B80"/>
    <w:rsid w:val="008770F0"/>
    <w:rsid w:val="00877B51"/>
    <w:rsid w:val="0088062A"/>
    <w:rsid w:val="00880EC1"/>
    <w:rsid w:val="008829B7"/>
    <w:rsid w:val="008864A0"/>
    <w:rsid w:val="00886956"/>
    <w:rsid w:val="008900A9"/>
    <w:rsid w:val="00890994"/>
    <w:rsid w:val="00890D84"/>
    <w:rsid w:val="00890E6E"/>
    <w:rsid w:val="008945CC"/>
    <w:rsid w:val="00894754"/>
    <w:rsid w:val="00895280"/>
    <w:rsid w:val="0089533C"/>
    <w:rsid w:val="00895B6F"/>
    <w:rsid w:val="00895C63"/>
    <w:rsid w:val="00896E26"/>
    <w:rsid w:val="008A2BBC"/>
    <w:rsid w:val="008A5A4F"/>
    <w:rsid w:val="008A5B8D"/>
    <w:rsid w:val="008A60B1"/>
    <w:rsid w:val="008A63D4"/>
    <w:rsid w:val="008A74EA"/>
    <w:rsid w:val="008B0603"/>
    <w:rsid w:val="008B3099"/>
    <w:rsid w:val="008B6038"/>
    <w:rsid w:val="008B60B5"/>
    <w:rsid w:val="008B65D4"/>
    <w:rsid w:val="008B70A0"/>
    <w:rsid w:val="008C0092"/>
    <w:rsid w:val="008C300E"/>
    <w:rsid w:val="008C41AC"/>
    <w:rsid w:val="008C6331"/>
    <w:rsid w:val="008D133F"/>
    <w:rsid w:val="008D2592"/>
    <w:rsid w:val="008D3274"/>
    <w:rsid w:val="008D747B"/>
    <w:rsid w:val="008D7CA9"/>
    <w:rsid w:val="008E3FEB"/>
    <w:rsid w:val="008E6A8F"/>
    <w:rsid w:val="008E71A6"/>
    <w:rsid w:val="008E73C6"/>
    <w:rsid w:val="008F0A4B"/>
    <w:rsid w:val="008F179F"/>
    <w:rsid w:val="008F1825"/>
    <w:rsid w:val="008F1F04"/>
    <w:rsid w:val="008F4280"/>
    <w:rsid w:val="008F636F"/>
    <w:rsid w:val="009002B9"/>
    <w:rsid w:val="00900839"/>
    <w:rsid w:val="0090304E"/>
    <w:rsid w:val="009041FD"/>
    <w:rsid w:val="0090618A"/>
    <w:rsid w:val="00907E83"/>
    <w:rsid w:val="00910029"/>
    <w:rsid w:val="009113C1"/>
    <w:rsid w:val="00912884"/>
    <w:rsid w:val="00912DF1"/>
    <w:rsid w:val="00914818"/>
    <w:rsid w:val="00917489"/>
    <w:rsid w:val="0091757B"/>
    <w:rsid w:val="00921471"/>
    <w:rsid w:val="009217F0"/>
    <w:rsid w:val="009225E5"/>
    <w:rsid w:val="00922BAD"/>
    <w:rsid w:val="00923040"/>
    <w:rsid w:val="00923F68"/>
    <w:rsid w:val="009246F1"/>
    <w:rsid w:val="0092699B"/>
    <w:rsid w:val="009302B0"/>
    <w:rsid w:val="009322AD"/>
    <w:rsid w:val="0093309D"/>
    <w:rsid w:val="0093319A"/>
    <w:rsid w:val="009333EB"/>
    <w:rsid w:val="00933920"/>
    <w:rsid w:val="0093445E"/>
    <w:rsid w:val="009349FF"/>
    <w:rsid w:val="00935264"/>
    <w:rsid w:val="00936D30"/>
    <w:rsid w:val="009376E8"/>
    <w:rsid w:val="00940997"/>
    <w:rsid w:val="0094117F"/>
    <w:rsid w:val="009417FB"/>
    <w:rsid w:val="00941EB1"/>
    <w:rsid w:val="00945555"/>
    <w:rsid w:val="00946AC3"/>
    <w:rsid w:val="00946E6F"/>
    <w:rsid w:val="0095336F"/>
    <w:rsid w:val="00953441"/>
    <w:rsid w:val="00954E86"/>
    <w:rsid w:val="009567F1"/>
    <w:rsid w:val="0095724A"/>
    <w:rsid w:val="009601B0"/>
    <w:rsid w:val="0096059E"/>
    <w:rsid w:val="00960616"/>
    <w:rsid w:val="0096236C"/>
    <w:rsid w:val="009644A8"/>
    <w:rsid w:val="0097036C"/>
    <w:rsid w:val="00971E19"/>
    <w:rsid w:val="00972C3F"/>
    <w:rsid w:val="00973AB6"/>
    <w:rsid w:val="00973EC5"/>
    <w:rsid w:val="00976847"/>
    <w:rsid w:val="00980AD8"/>
    <w:rsid w:val="00982A4D"/>
    <w:rsid w:val="00985DA4"/>
    <w:rsid w:val="009867B8"/>
    <w:rsid w:val="00987A05"/>
    <w:rsid w:val="00990BB6"/>
    <w:rsid w:val="00991736"/>
    <w:rsid w:val="00991874"/>
    <w:rsid w:val="009920C5"/>
    <w:rsid w:val="00993850"/>
    <w:rsid w:val="009A1370"/>
    <w:rsid w:val="009A4595"/>
    <w:rsid w:val="009A4CE1"/>
    <w:rsid w:val="009A5B09"/>
    <w:rsid w:val="009A62AB"/>
    <w:rsid w:val="009B0CBD"/>
    <w:rsid w:val="009B1C14"/>
    <w:rsid w:val="009B275D"/>
    <w:rsid w:val="009B2DC6"/>
    <w:rsid w:val="009B2F8D"/>
    <w:rsid w:val="009B3C54"/>
    <w:rsid w:val="009B498D"/>
    <w:rsid w:val="009B52F2"/>
    <w:rsid w:val="009B54C7"/>
    <w:rsid w:val="009C145E"/>
    <w:rsid w:val="009C16EF"/>
    <w:rsid w:val="009C2778"/>
    <w:rsid w:val="009C3981"/>
    <w:rsid w:val="009C601D"/>
    <w:rsid w:val="009C64A7"/>
    <w:rsid w:val="009C728C"/>
    <w:rsid w:val="009D0667"/>
    <w:rsid w:val="009D249C"/>
    <w:rsid w:val="009D3EA4"/>
    <w:rsid w:val="009D3FFA"/>
    <w:rsid w:val="009D4588"/>
    <w:rsid w:val="009E05A1"/>
    <w:rsid w:val="009E0829"/>
    <w:rsid w:val="009E18B2"/>
    <w:rsid w:val="009E239B"/>
    <w:rsid w:val="009E2C56"/>
    <w:rsid w:val="009E2CB7"/>
    <w:rsid w:val="009E4937"/>
    <w:rsid w:val="009E67D5"/>
    <w:rsid w:val="009E6DAB"/>
    <w:rsid w:val="009E7845"/>
    <w:rsid w:val="009F1355"/>
    <w:rsid w:val="009F691E"/>
    <w:rsid w:val="009F6BB1"/>
    <w:rsid w:val="009F6E96"/>
    <w:rsid w:val="009F72D1"/>
    <w:rsid w:val="009F7834"/>
    <w:rsid w:val="009F7D05"/>
    <w:rsid w:val="00A0065C"/>
    <w:rsid w:val="00A006B7"/>
    <w:rsid w:val="00A01E73"/>
    <w:rsid w:val="00A02E9A"/>
    <w:rsid w:val="00A031B1"/>
    <w:rsid w:val="00A03FED"/>
    <w:rsid w:val="00A04B8E"/>
    <w:rsid w:val="00A0722F"/>
    <w:rsid w:val="00A11FD8"/>
    <w:rsid w:val="00A1308E"/>
    <w:rsid w:val="00A157F1"/>
    <w:rsid w:val="00A16CD4"/>
    <w:rsid w:val="00A1722F"/>
    <w:rsid w:val="00A17832"/>
    <w:rsid w:val="00A2006E"/>
    <w:rsid w:val="00A21D12"/>
    <w:rsid w:val="00A22760"/>
    <w:rsid w:val="00A23999"/>
    <w:rsid w:val="00A2469E"/>
    <w:rsid w:val="00A24823"/>
    <w:rsid w:val="00A270A9"/>
    <w:rsid w:val="00A274CE"/>
    <w:rsid w:val="00A27952"/>
    <w:rsid w:val="00A27C32"/>
    <w:rsid w:val="00A30062"/>
    <w:rsid w:val="00A30B2B"/>
    <w:rsid w:val="00A335D3"/>
    <w:rsid w:val="00A350D9"/>
    <w:rsid w:val="00A35141"/>
    <w:rsid w:val="00A42502"/>
    <w:rsid w:val="00A42770"/>
    <w:rsid w:val="00A42E81"/>
    <w:rsid w:val="00A43117"/>
    <w:rsid w:val="00A43455"/>
    <w:rsid w:val="00A4389A"/>
    <w:rsid w:val="00A44220"/>
    <w:rsid w:val="00A46D14"/>
    <w:rsid w:val="00A513D2"/>
    <w:rsid w:val="00A55C95"/>
    <w:rsid w:val="00A56593"/>
    <w:rsid w:val="00A60DE5"/>
    <w:rsid w:val="00A62BE0"/>
    <w:rsid w:val="00A62DEE"/>
    <w:rsid w:val="00A63EB3"/>
    <w:rsid w:val="00A64981"/>
    <w:rsid w:val="00A649C5"/>
    <w:rsid w:val="00A65028"/>
    <w:rsid w:val="00A675E5"/>
    <w:rsid w:val="00A7016B"/>
    <w:rsid w:val="00A73BD3"/>
    <w:rsid w:val="00A743D0"/>
    <w:rsid w:val="00A74DFA"/>
    <w:rsid w:val="00A7606D"/>
    <w:rsid w:val="00A764AC"/>
    <w:rsid w:val="00A76530"/>
    <w:rsid w:val="00A8325C"/>
    <w:rsid w:val="00A83921"/>
    <w:rsid w:val="00A83959"/>
    <w:rsid w:val="00A841E3"/>
    <w:rsid w:val="00A84934"/>
    <w:rsid w:val="00A870D6"/>
    <w:rsid w:val="00A90C75"/>
    <w:rsid w:val="00A910BA"/>
    <w:rsid w:val="00A9136E"/>
    <w:rsid w:val="00A91F94"/>
    <w:rsid w:val="00A92852"/>
    <w:rsid w:val="00A93D75"/>
    <w:rsid w:val="00A95543"/>
    <w:rsid w:val="00A95A42"/>
    <w:rsid w:val="00A95B49"/>
    <w:rsid w:val="00A95CAC"/>
    <w:rsid w:val="00A96584"/>
    <w:rsid w:val="00A970AD"/>
    <w:rsid w:val="00A97F32"/>
    <w:rsid w:val="00AA2EC0"/>
    <w:rsid w:val="00AA47C8"/>
    <w:rsid w:val="00AA4B4C"/>
    <w:rsid w:val="00AA6161"/>
    <w:rsid w:val="00AA7716"/>
    <w:rsid w:val="00AA7A74"/>
    <w:rsid w:val="00AB0720"/>
    <w:rsid w:val="00AB089E"/>
    <w:rsid w:val="00AB21AC"/>
    <w:rsid w:val="00AB25C3"/>
    <w:rsid w:val="00AB2721"/>
    <w:rsid w:val="00AB4855"/>
    <w:rsid w:val="00AB54EC"/>
    <w:rsid w:val="00AB5A74"/>
    <w:rsid w:val="00AC0CDB"/>
    <w:rsid w:val="00AC0F2C"/>
    <w:rsid w:val="00AC1AC2"/>
    <w:rsid w:val="00AC3BDE"/>
    <w:rsid w:val="00AC4155"/>
    <w:rsid w:val="00AC49E1"/>
    <w:rsid w:val="00AC70C5"/>
    <w:rsid w:val="00AC7F26"/>
    <w:rsid w:val="00AD1343"/>
    <w:rsid w:val="00AD32B0"/>
    <w:rsid w:val="00AD3B0A"/>
    <w:rsid w:val="00AD5236"/>
    <w:rsid w:val="00AD5A9D"/>
    <w:rsid w:val="00AD7428"/>
    <w:rsid w:val="00AE065B"/>
    <w:rsid w:val="00AE06F1"/>
    <w:rsid w:val="00AE367D"/>
    <w:rsid w:val="00AE3E7F"/>
    <w:rsid w:val="00AE67EE"/>
    <w:rsid w:val="00AE723B"/>
    <w:rsid w:val="00AE7720"/>
    <w:rsid w:val="00AF231D"/>
    <w:rsid w:val="00AF246D"/>
    <w:rsid w:val="00AF3D9F"/>
    <w:rsid w:val="00AF3DF8"/>
    <w:rsid w:val="00AF407C"/>
    <w:rsid w:val="00AF4EF5"/>
    <w:rsid w:val="00AF5119"/>
    <w:rsid w:val="00AF6198"/>
    <w:rsid w:val="00AF661D"/>
    <w:rsid w:val="00AF7FA0"/>
    <w:rsid w:val="00B00349"/>
    <w:rsid w:val="00B0070C"/>
    <w:rsid w:val="00B00908"/>
    <w:rsid w:val="00B00D24"/>
    <w:rsid w:val="00B04E87"/>
    <w:rsid w:val="00B10078"/>
    <w:rsid w:val="00B12D2D"/>
    <w:rsid w:val="00B14992"/>
    <w:rsid w:val="00B1578B"/>
    <w:rsid w:val="00B17FAD"/>
    <w:rsid w:val="00B20023"/>
    <w:rsid w:val="00B20168"/>
    <w:rsid w:val="00B22AAA"/>
    <w:rsid w:val="00B23F71"/>
    <w:rsid w:val="00B2420C"/>
    <w:rsid w:val="00B245FD"/>
    <w:rsid w:val="00B265F9"/>
    <w:rsid w:val="00B26EE7"/>
    <w:rsid w:val="00B27A92"/>
    <w:rsid w:val="00B27D6F"/>
    <w:rsid w:val="00B33107"/>
    <w:rsid w:val="00B33B75"/>
    <w:rsid w:val="00B3401F"/>
    <w:rsid w:val="00B34603"/>
    <w:rsid w:val="00B36384"/>
    <w:rsid w:val="00B37025"/>
    <w:rsid w:val="00B37613"/>
    <w:rsid w:val="00B377A1"/>
    <w:rsid w:val="00B43459"/>
    <w:rsid w:val="00B43691"/>
    <w:rsid w:val="00B453A6"/>
    <w:rsid w:val="00B45600"/>
    <w:rsid w:val="00B45B55"/>
    <w:rsid w:val="00B46580"/>
    <w:rsid w:val="00B4769F"/>
    <w:rsid w:val="00B53582"/>
    <w:rsid w:val="00B544D0"/>
    <w:rsid w:val="00B615EC"/>
    <w:rsid w:val="00B62920"/>
    <w:rsid w:val="00B65BB4"/>
    <w:rsid w:val="00B65E45"/>
    <w:rsid w:val="00B710D5"/>
    <w:rsid w:val="00B72659"/>
    <w:rsid w:val="00B7300D"/>
    <w:rsid w:val="00B73A0D"/>
    <w:rsid w:val="00B73DC1"/>
    <w:rsid w:val="00B746EC"/>
    <w:rsid w:val="00B80756"/>
    <w:rsid w:val="00B810F8"/>
    <w:rsid w:val="00B81EC2"/>
    <w:rsid w:val="00B82845"/>
    <w:rsid w:val="00B83B0C"/>
    <w:rsid w:val="00B84B85"/>
    <w:rsid w:val="00B85100"/>
    <w:rsid w:val="00B86AF3"/>
    <w:rsid w:val="00B86B35"/>
    <w:rsid w:val="00B86C1A"/>
    <w:rsid w:val="00B91657"/>
    <w:rsid w:val="00B91BA0"/>
    <w:rsid w:val="00B94314"/>
    <w:rsid w:val="00B94BFD"/>
    <w:rsid w:val="00B960D8"/>
    <w:rsid w:val="00B97DE0"/>
    <w:rsid w:val="00B97DEB"/>
    <w:rsid w:val="00B97ECD"/>
    <w:rsid w:val="00BA0246"/>
    <w:rsid w:val="00BA35EF"/>
    <w:rsid w:val="00BA3634"/>
    <w:rsid w:val="00BA52EF"/>
    <w:rsid w:val="00BA66A4"/>
    <w:rsid w:val="00BB0A02"/>
    <w:rsid w:val="00BB134F"/>
    <w:rsid w:val="00BB18D7"/>
    <w:rsid w:val="00BB1CA8"/>
    <w:rsid w:val="00BB2061"/>
    <w:rsid w:val="00BB2419"/>
    <w:rsid w:val="00BB2527"/>
    <w:rsid w:val="00BB2986"/>
    <w:rsid w:val="00BB3E68"/>
    <w:rsid w:val="00BB74B1"/>
    <w:rsid w:val="00BB7FFA"/>
    <w:rsid w:val="00BC00F2"/>
    <w:rsid w:val="00BC0236"/>
    <w:rsid w:val="00BC163E"/>
    <w:rsid w:val="00BC1C32"/>
    <w:rsid w:val="00BC2204"/>
    <w:rsid w:val="00BC2377"/>
    <w:rsid w:val="00BC23F1"/>
    <w:rsid w:val="00BC3490"/>
    <w:rsid w:val="00BC3F64"/>
    <w:rsid w:val="00BC7055"/>
    <w:rsid w:val="00BD0E87"/>
    <w:rsid w:val="00BD1C6B"/>
    <w:rsid w:val="00BD50C8"/>
    <w:rsid w:val="00BD56AE"/>
    <w:rsid w:val="00BD73DD"/>
    <w:rsid w:val="00BE022E"/>
    <w:rsid w:val="00BE2FAA"/>
    <w:rsid w:val="00BE3677"/>
    <w:rsid w:val="00BE39FB"/>
    <w:rsid w:val="00BE3A96"/>
    <w:rsid w:val="00BE4809"/>
    <w:rsid w:val="00BE553E"/>
    <w:rsid w:val="00BE66E8"/>
    <w:rsid w:val="00BE6C6A"/>
    <w:rsid w:val="00BF33D2"/>
    <w:rsid w:val="00BF5322"/>
    <w:rsid w:val="00BF56F8"/>
    <w:rsid w:val="00BF62EE"/>
    <w:rsid w:val="00BF7A50"/>
    <w:rsid w:val="00C00532"/>
    <w:rsid w:val="00C0142E"/>
    <w:rsid w:val="00C021F5"/>
    <w:rsid w:val="00C02260"/>
    <w:rsid w:val="00C023C6"/>
    <w:rsid w:val="00C02FA7"/>
    <w:rsid w:val="00C03FC4"/>
    <w:rsid w:val="00C0447C"/>
    <w:rsid w:val="00C0585E"/>
    <w:rsid w:val="00C1095E"/>
    <w:rsid w:val="00C12470"/>
    <w:rsid w:val="00C1294D"/>
    <w:rsid w:val="00C15044"/>
    <w:rsid w:val="00C20319"/>
    <w:rsid w:val="00C20B19"/>
    <w:rsid w:val="00C21155"/>
    <w:rsid w:val="00C2132E"/>
    <w:rsid w:val="00C219A5"/>
    <w:rsid w:val="00C21EAB"/>
    <w:rsid w:val="00C234EF"/>
    <w:rsid w:val="00C23887"/>
    <w:rsid w:val="00C24788"/>
    <w:rsid w:val="00C24A66"/>
    <w:rsid w:val="00C2509D"/>
    <w:rsid w:val="00C26013"/>
    <w:rsid w:val="00C262DC"/>
    <w:rsid w:val="00C2661D"/>
    <w:rsid w:val="00C27F71"/>
    <w:rsid w:val="00C314A8"/>
    <w:rsid w:val="00C32008"/>
    <w:rsid w:val="00C36677"/>
    <w:rsid w:val="00C369FE"/>
    <w:rsid w:val="00C36BCA"/>
    <w:rsid w:val="00C36CBE"/>
    <w:rsid w:val="00C37765"/>
    <w:rsid w:val="00C41F4E"/>
    <w:rsid w:val="00C42217"/>
    <w:rsid w:val="00C425B9"/>
    <w:rsid w:val="00C42EA8"/>
    <w:rsid w:val="00C47C24"/>
    <w:rsid w:val="00C47E5D"/>
    <w:rsid w:val="00C50A00"/>
    <w:rsid w:val="00C51A4D"/>
    <w:rsid w:val="00C526E5"/>
    <w:rsid w:val="00C537B5"/>
    <w:rsid w:val="00C54009"/>
    <w:rsid w:val="00C541FB"/>
    <w:rsid w:val="00C54A4B"/>
    <w:rsid w:val="00C54C0B"/>
    <w:rsid w:val="00C56592"/>
    <w:rsid w:val="00C577F5"/>
    <w:rsid w:val="00C6034A"/>
    <w:rsid w:val="00C63E7D"/>
    <w:rsid w:val="00C65023"/>
    <w:rsid w:val="00C7216D"/>
    <w:rsid w:val="00C73459"/>
    <w:rsid w:val="00C74465"/>
    <w:rsid w:val="00C7515B"/>
    <w:rsid w:val="00C75F8F"/>
    <w:rsid w:val="00C76123"/>
    <w:rsid w:val="00C77AA1"/>
    <w:rsid w:val="00C8050C"/>
    <w:rsid w:val="00C80796"/>
    <w:rsid w:val="00C84515"/>
    <w:rsid w:val="00C857EB"/>
    <w:rsid w:val="00C85800"/>
    <w:rsid w:val="00C85A37"/>
    <w:rsid w:val="00C85E3F"/>
    <w:rsid w:val="00C86206"/>
    <w:rsid w:val="00C86679"/>
    <w:rsid w:val="00C867C8"/>
    <w:rsid w:val="00C87565"/>
    <w:rsid w:val="00C9027B"/>
    <w:rsid w:val="00C9116B"/>
    <w:rsid w:val="00C915A3"/>
    <w:rsid w:val="00C91FDE"/>
    <w:rsid w:val="00C93037"/>
    <w:rsid w:val="00C93CC0"/>
    <w:rsid w:val="00C971BA"/>
    <w:rsid w:val="00CA163C"/>
    <w:rsid w:val="00CA368C"/>
    <w:rsid w:val="00CA693C"/>
    <w:rsid w:val="00CA6EF0"/>
    <w:rsid w:val="00CA7C9E"/>
    <w:rsid w:val="00CB0460"/>
    <w:rsid w:val="00CB05B6"/>
    <w:rsid w:val="00CB20CF"/>
    <w:rsid w:val="00CB2D7F"/>
    <w:rsid w:val="00CB34A9"/>
    <w:rsid w:val="00CB484B"/>
    <w:rsid w:val="00CB4DDE"/>
    <w:rsid w:val="00CB611F"/>
    <w:rsid w:val="00CB7C48"/>
    <w:rsid w:val="00CC071C"/>
    <w:rsid w:val="00CC195C"/>
    <w:rsid w:val="00CC1BBD"/>
    <w:rsid w:val="00CC1BE2"/>
    <w:rsid w:val="00CC2284"/>
    <w:rsid w:val="00CC33C9"/>
    <w:rsid w:val="00CC4B7F"/>
    <w:rsid w:val="00CC529B"/>
    <w:rsid w:val="00CC6C99"/>
    <w:rsid w:val="00CC7DA7"/>
    <w:rsid w:val="00CD1800"/>
    <w:rsid w:val="00CD4137"/>
    <w:rsid w:val="00CD43E1"/>
    <w:rsid w:val="00CD47C3"/>
    <w:rsid w:val="00CD65C4"/>
    <w:rsid w:val="00CD6BBB"/>
    <w:rsid w:val="00CD750D"/>
    <w:rsid w:val="00CE13DF"/>
    <w:rsid w:val="00CE375E"/>
    <w:rsid w:val="00CE392A"/>
    <w:rsid w:val="00CE4C8C"/>
    <w:rsid w:val="00CE64FA"/>
    <w:rsid w:val="00CE6B61"/>
    <w:rsid w:val="00CE7ED5"/>
    <w:rsid w:val="00CE7F90"/>
    <w:rsid w:val="00CF0535"/>
    <w:rsid w:val="00CF238A"/>
    <w:rsid w:val="00CF3272"/>
    <w:rsid w:val="00CF4A9C"/>
    <w:rsid w:val="00CF5EC9"/>
    <w:rsid w:val="00CF616C"/>
    <w:rsid w:val="00CF621C"/>
    <w:rsid w:val="00CF7B52"/>
    <w:rsid w:val="00D03C5D"/>
    <w:rsid w:val="00D03FAF"/>
    <w:rsid w:val="00D042DC"/>
    <w:rsid w:val="00D04E7A"/>
    <w:rsid w:val="00D04F8F"/>
    <w:rsid w:val="00D11CC2"/>
    <w:rsid w:val="00D131DD"/>
    <w:rsid w:val="00D137D3"/>
    <w:rsid w:val="00D13E12"/>
    <w:rsid w:val="00D17063"/>
    <w:rsid w:val="00D21573"/>
    <w:rsid w:val="00D21664"/>
    <w:rsid w:val="00D228C1"/>
    <w:rsid w:val="00D22ED2"/>
    <w:rsid w:val="00D238B5"/>
    <w:rsid w:val="00D238D5"/>
    <w:rsid w:val="00D25674"/>
    <w:rsid w:val="00D25C81"/>
    <w:rsid w:val="00D2651B"/>
    <w:rsid w:val="00D26D42"/>
    <w:rsid w:val="00D276F6"/>
    <w:rsid w:val="00D30F2E"/>
    <w:rsid w:val="00D330DA"/>
    <w:rsid w:val="00D337B6"/>
    <w:rsid w:val="00D357B4"/>
    <w:rsid w:val="00D36652"/>
    <w:rsid w:val="00D40573"/>
    <w:rsid w:val="00D40948"/>
    <w:rsid w:val="00D41A45"/>
    <w:rsid w:val="00D42D2C"/>
    <w:rsid w:val="00D44B30"/>
    <w:rsid w:val="00D47813"/>
    <w:rsid w:val="00D50450"/>
    <w:rsid w:val="00D5162B"/>
    <w:rsid w:val="00D51765"/>
    <w:rsid w:val="00D53048"/>
    <w:rsid w:val="00D53947"/>
    <w:rsid w:val="00D53EDE"/>
    <w:rsid w:val="00D56A3E"/>
    <w:rsid w:val="00D61901"/>
    <w:rsid w:val="00D62452"/>
    <w:rsid w:val="00D645E8"/>
    <w:rsid w:val="00D669F8"/>
    <w:rsid w:val="00D67EE0"/>
    <w:rsid w:val="00D70360"/>
    <w:rsid w:val="00D703E8"/>
    <w:rsid w:val="00D7069D"/>
    <w:rsid w:val="00D70CD7"/>
    <w:rsid w:val="00D7105C"/>
    <w:rsid w:val="00D72AD0"/>
    <w:rsid w:val="00D72E2C"/>
    <w:rsid w:val="00D74A83"/>
    <w:rsid w:val="00D756D9"/>
    <w:rsid w:val="00D82481"/>
    <w:rsid w:val="00D831D8"/>
    <w:rsid w:val="00D835C6"/>
    <w:rsid w:val="00D8558D"/>
    <w:rsid w:val="00D85874"/>
    <w:rsid w:val="00D90126"/>
    <w:rsid w:val="00D90293"/>
    <w:rsid w:val="00D910F0"/>
    <w:rsid w:val="00D9135B"/>
    <w:rsid w:val="00D962B2"/>
    <w:rsid w:val="00D9799B"/>
    <w:rsid w:val="00D97A4A"/>
    <w:rsid w:val="00DA0C5B"/>
    <w:rsid w:val="00DA1159"/>
    <w:rsid w:val="00DA467A"/>
    <w:rsid w:val="00DA5E47"/>
    <w:rsid w:val="00DB078D"/>
    <w:rsid w:val="00DB123D"/>
    <w:rsid w:val="00DB1523"/>
    <w:rsid w:val="00DB19B8"/>
    <w:rsid w:val="00DB2A2B"/>
    <w:rsid w:val="00DB495E"/>
    <w:rsid w:val="00DB6034"/>
    <w:rsid w:val="00DB747A"/>
    <w:rsid w:val="00DC32B7"/>
    <w:rsid w:val="00DC40A6"/>
    <w:rsid w:val="00DC4BC0"/>
    <w:rsid w:val="00DC5276"/>
    <w:rsid w:val="00DC56A1"/>
    <w:rsid w:val="00DC56B3"/>
    <w:rsid w:val="00DC5A24"/>
    <w:rsid w:val="00DD2FE4"/>
    <w:rsid w:val="00DD43CF"/>
    <w:rsid w:val="00DD4C8A"/>
    <w:rsid w:val="00DD7427"/>
    <w:rsid w:val="00DE22C8"/>
    <w:rsid w:val="00DE29DB"/>
    <w:rsid w:val="00DE474B"/>
    <w:rsid w:val="00DE6143"/>
    <w:rsid w:val="00DE6EA0"/>
    <w:rsid w:val="00DE79C5"/>
    <w:rsid w:val="00DF03E3"/>
    <w:rsid w:val="00DF1303"/>
    <w:rsid w:val="00DF19A6"/>
    <w:rsid w:val="00DF3364"/>
    <w:rsid w:val="00DF3FD4"/>
    <w:rsid w:val="00E01CD9"/>
    <w:rsid w:val="00E01F0C"/>
    <w:rsid w:val="00E01F90"/>
    <w:rsid w:val="00E0244B"/>
    <w:rsid w:val="00E0319C"/>
    <w:rsid w:val="00E047A7"/>
    <w:rsid w:val="00E10433"/>
    <w:rsid w:val="00E11454"/>
    <w:rsid w:val="00E1145A"/>
    <w:rsid w:val="00E1247F"/>
    <w:rsid w:val="00E126C5"/>
    <w:rsid w:val="00E126DB"/>
    <w:rsid w:val="00E151FE"/>
    <w:rsid w:val="00E15560"/>
    <w:rsid w:val="00E17128"/>
    <w:rsid w:val="00E213B5"/>
    <w:rsid w:val="00E2155B"/>
    <w:rsid w:val="00E24138"/>
    <w:rsid w:val="00E2507A"/>
    <w:rsid w:val="00E25B83"/>
    <w:rsid w:val="00E2601D"/>
    <w:rsid w:val="00E27D80"/>
    <w:rsid w:val="00E30012"/>
    <w:rsid w:val="00E3076A"/>
    <w:rsid w:val="00E30BAE"/>
    <w:rsid w:val="00E32A8B"/>
    <w:rsid w:val="00E335F3"/>
    <w:rsid w:val="00E34044"/>
    <w:rsid w:val="00E34A0F"/>
    <w:rsid w:val="00E36510"/>
    <w:rsid w:val="00E400EE"/>
    <w:rsid w:val="00E40150"/>
    <w:rsid w:val="00E420E5"/>
    <w:rsid w:val="00E4279B"/>
    <w:rsid w:val="00E46B0A"/>
    <w:rsid w:val="00E46F16"/>
    <w:rsid w:val="00E5034C"/>
    <w:rsid w:val="00E50C25"/>
    <w:rsid w:val="00E535A3"/>
    <w:rsid w:val="00E538FD"/>
    <w:rsid w:val="00E54249"/>
    <w:rsid w:val="00E547F3"/>
    <w:rsid w:val="00E54D1A"/>
    <w:rsid w:val="00E54E7B"/>
    <w:rsid w:val="00E54EAF"/>
    <w:rsid w:val="00E555FB"/>
    <w:rsid w:val="00E5582E"/>
    <w:rsid w:val="00E56D5C"/>
    <w:rsid w:val="00E61048"/>
    <w:rsid w:val="00E62385"/>
    <w:rsid w:val="00E63B8E"/>
    <w:rsid w:val="00E6595B"/>
    <w:rsid w:val="00E67587"/>
    <w:rsid w:val="00E70F8B"/>
    <w:rsid w:val="00E71C68"/>
    <w:rsid w:val="00E722C3"/>
    <w:rsid w:val="00E72736"/>
    <w:rsid w:val="00E72A47"/>
    <w:rsid w:val="00E75A4E"/>
    <w:rsid w:val="00E75F75"/>
    <w:rsid w:val="00E76874"/>
    <w:rsid w:val="00E76D74"/>
    <w:rsid w:val="00E8024A"/>
    <w:rsid w:val="00E8054A"/>
    <w:rsid w:val="00E806E6"/>
    <w:rsid w:val="00E81974"/>
    <w:rsid w:val="00E81B9D"/>
    <w:rsid w:val="00E81C41"/>
    <w:rsid w:val="00E81E56"/>
    <w:rsid w:val="00E824B5"/>
    <w:rsid w:val="00E824DE"/>
    <w:rsid w:val="00E826C8"/>
    <w:rsid w:val="00E82F9C"/>
    <w:rsid w:val="00E83353"/>
    <w:rsid w:val="00E85204"/>
    <w:rsid w:val="00E85C4B"/>
    <w:rsid w:val="00E86301"/>
    <w:rsid w:val="00E8693C"/>
    <w:rsid w:val="00E86ACC"/>
    <w:rsid w:val="00E90284"/>
    <w:rsid w:val="00E9034B"/>
    <w:rsid w:val="00E91554"/>
    <w:rsid w:val="00E926E5"/>
    <w:rsid w:val="00E93ED2"/>
    <w:rsid w:val="00E95659"/>
    <w:rsid w:val="00E968AA"/>
    <w:rsid w:val="00EA16F2"/>
    <w:rsid w:val="00EA174D"/>
    <w:rsid w:val="00EA2284"/>
    <w:rsid w:val="00EA29D8"/>
    <w:rsid w:val="00EA31B7"/>
    <w:rsid w:val="00EA3989"/>
    <w:rsid w:val="00EA3B12"/>
    <w:rsid w:val="00EA4514"/>
    <w:rsid w:val="00EA50F9"/>
    <w:rsid w:val="00EB12AC"/>
    <w:rsid w:val="00EB43D6"/>
    <w:rsid w:val="00EB6C8E"/>
    <w:rsid w:val="00EC05DF"/>
    <w:rsid w:val="00EC0986"/>
    <w:rsid w:val="00EC25D8"/>
    <w:rsid w:val="00EC2971"/>
    <w:rsid w:val="00EC382B"/>
    <w:rsid w:val="00EC4CAF"/>
    <w:rsid w:val="00EC540F"/>
    <w:rsid w:val="00EC6200"/>
    <w:rsid w:val="00EC7621"/>
    <w:rsid w:val="00ED0AB8"/>
    <w:rsid w:val="00ED1198"/>
    <w:rsid w:val="00ED188E"/>
    <w:rsid w:val="00ED21C6"/>
    <w:rsid w:val="00ED248C"/>
    <w:rsid w:val="00ED3BA0"/>
    <w:rsid w:val="00ED4F64"/>
    <w:rsid w:val="00ED55F1"/>
    <w:rsid w:val="00ED562F"/>
    <w:rsid w:val="00ED6ED6"/>
    <w:rsid w:val="00ED7502"/>
    <w:rsid w:val="00EE33BB"/>
    <w:rsid w:val="00EE33D1"/>
    <w:rsid w:val="00EE389A"/>
    <w:rsid w:val="00EE3985"/>
    <w:rsid w:val="00EE40F2"/>
    <w:rsid w:val="00EE63CE"/>
    <w:rsid w:val="00EE7EC5"/>
    <w:rsid w:val="00EF5D48"/>
    <w:rsid w:val="00EF66F1"/>
    <w:rsid w:val="00EF69BE"/>
    <w:rsid w:val="00EF6F5D"/>
    <w:rsid w:val="00EF791B"/>
    <w:rsid w:val="00F000C4"/>
    <w:rsid w:val="00F017D0"/>
    <w:rsid w:val="00F018CE"/>
    <w:rsid w:val="00F02138"/>
    <w:rsid w:val="00F03722"/>
    <w:rsid w:val="00F03761"/>
    <w:rsid w:val="00F03880"/>
    <w:rsid w:val="00F04686"/>
    <w:rsid w:val="00F10CF9"/>
    <w:rsid w:val="00F14FBE"/>
    <w:rsid w:val="00F15E1F"/>
    <w:rsid w:val="00F161F8"/>
    <w:rsid w:val="00F17687"/>
    <w:rsid w:val="00F17D41"/>
    <w:rsid w:val="00F2042B"/>
    <w:rsid w:val="00F20BD3"/>
    <w:rsid w:val="00F23755"/>
    <w:rsid w:val="00F24334"/>
    <w:rsid w:val="00F24673"/>
    <w:rsid w:val="00F252A7"/>
    <w:rsid w:val="00F25A0A"/>
    <w:rsid w:val="00F25BEA"/>
    <w:rsid w:val="00F26E0D"/>
    <w:rsid w:val="00F35221"/>
    <w:rsid w:val="00F35B0F"/>
    <w:rsid w:val="00F35B74"/>
    <w:rsid w:val="00F36BC8"/>
    <w:rsid w:val="00F36D99"/>
    <w:rsid w:val="00F40C4D"/>
    <w:rsid w:val="00F4163B"/>
    <w:rsid w:val="00F42107"/>
    <w:rsid w:val="00F45E64"/>
    <w:rsid w:val="00F46343"/>
    <w:rsid w:val="00F47899"/>
    <w:rsid w:val="00F47C02"/>
    <w:rsid w:val="00F51692"/>
    <w:rsid w:val="00F540FA"/>
    <w:rsid w:val="00F544D3"/>
    <w:rsid w:val="00F54A4D"/>
    <w:rsid w:val="00F54E61"/>
    <w:rsid w:val="00F55120"/>
    <w:rsid w:val="00F60264"/>
    <w:rsid w:val="00F61B5C"/>
    <w:rsid w:val="00F6365C"/>
    <w:rsid w:val="00F64DE1"/>
    <w:rsid w:val="00F652DB"/>
    <w:rsid w:val="00F658A3"/>
    <w:rsid w:val="00F67E6C"/>
    <w:rsid w:val="00F708ED"/>
    <w:rsid w:val="00F7167D"/>
    <w:rsid w:val="00F72F69"/>
    <w:rsid w:val="00F76583"/>
    <w:rsid w:val="00F7735B"/>
    <w:rsid w:val="00F77647"/>
    <w:rsid w:val="00F7777E"/>
    <w:rsid w:val="00F77A0E"/>
    <w:rsid w:val="00F81C5E"/>
    <w:rsid w:val="00F8273A"/>
    <w:rsid w:val="00F8274E"/>
    <w:rsid w:val="00F85111"/>
    <w:rsid w:val="00F8732A"/>
    <w:rsid w:val="00F87CED"/>
    <w:rsid w:val="00F92777"/>
    <w:rsid w:val="00F92D2D"/>
    <w:rsid w:val="00F9348D"/>
    <w:rsid w:val="00F934B6"/>
    <w:rsid w:val="00F9459E"/>
    <w:rsid w:val="00F95754"/>
    <w:rsid w:val="00F974C3"/>
    <w:rsid w:val="00F97961"/>
    <w:rsid w:val="00F97C62"/>
    <w:rsid w:val="00F97D03"/>
    <w:rsid w:val="00FA1182"/>
    <w:rsid w:val="00FA353B"/>
    <w:rsid w:val="00FA5168"/>
    <w:rsid w:val="00FA65CB"/>
    <w:rsid w:val="00FB0446"/>
    <w:rsid w:val="00FB0797"/>
    <w:rsid w:val="00FB081D"/>
    <w:rsid w:val="00FB1BE7"/>
    <w:rsid w:val="00FB220D"/>
    <w:rsid w:val="00FB29E6"/>
    <w:rsid w:val="00FB3E25"/>
    <w:rsid w:val="00FB4A03"/>
    <w:rsid w:val="00FB52D0"/>
    <w:rsid w:val="00FB544B"/>
    <w:rsid w:val="00FB5834"/>
    <w:rsid w:val="00FB5C78"/>
    <w:rsid w:val="00FB6A0E"/>
    <w:rsid w:val="00FB6AD7"/>
    <w:rsid w:val="00FC1090"/>
    <w:rsid w:val="00FC2492"/>
    <w:rsid w:val="00FC36AC"/>
    <w:rsid w:val="00FC3AF5"/>
    <w:rsid w:val="00FC49E0"/>
    <w:rsid w:val="00FC4ADE"/>
    <w:rsid w:val="00FC4EF4"/>
    <w:rsid w:val="00FC51DD"/>
    <w:rsid w:val="00FC5AF5"/>
    <w:rsid w:val="00FC624F"/>
    <w:rsid w:val="00FC6BA4"/>
    <w:rsid w:val="00FC7B17"/>
    <w:rsid w:val="00FD2730"/>
    <w:rsid w:val="00FD3169"/>
    <w:rsid w:val="00FD7041"/>
    <w:rsid w:val="00FD7D0B"/>
    <w:rsid w:val="00FD7E5E"/>
    <w:rsid w:val="00FE227B"/>
    <w:rsid w:val="00FE433F"/>
    <w:rsid w:val="00FE5E03"/>
    <w:rsid w:val="00FF0341"/>
    <w:rsid w:val="00FF046D"/>
    <w:rsid w:val="00FF1DA1"/>
    <w:rsid w:val="00FF2B12"/>
    <w:rsid w:val="00FF3CD0"/>
    <w:rsid w:val="00FF5239"/>
    <w:rsid w:val="00FF527C"/>
    <w:rsid w:val="00FF541F"/>
    <w:rsid w:val="00FF54BD"/>
    <w:rsid w:val="00FF6933"/>
    <w:rsid w:val="00FF73AE"/>
    <w:rsid w:val="00FF7446"/>
    <w:rsid w:val="00FF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1DF8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C6B"/>
    <w:rPr>
      <w:rFonts w:ascii="Calibri" w:hAnsi="Calibri"/>
      <w:sz w:val="24"/>
    </w:rPr>
  </w:style>
  <w:style w:type="paragraph" w:styleId="Heading1">
    <w:name w:val="heading 1"/>
    <w:basedOn w:val="Normal"/>
    <w:next w:val="Normal"/>
    <w:link w:val="Heading1Char"/>
    <w:qFormat/>
    <w:rsid w:val="000645AC"/>
    <w:pPr>
      <w:numPr>
        <w:numId w:val="1"/>
      </w:numPr>
      <w:outlineLvl w:val="0"/>
    </w:pPr>
    <w:rPr>
      <w:b/>
      <w:color w:val="1C6194" w:themeColor="accent6" w:themeShade="BF"/>
      <w:sz w:val="32"/>
      <w:szCs w:val="56"/>
    </w:rPr>
  </w:style>
  <w:style w:type="paragraph" w:styleId="Heading2">
    <w:name w:val="heading 2"/>
    <w:basedOn w:val="Heading1"/>
    <w:next w:val="Normal"/>
    <w:link w:val="Heading2Char"/>
    <w:unhideWhenUsed/>
    <w:qFormat/>
    <w:rsid w:val="00171DCD"/>
    <w:pPr>
      <w:numPr>
        <w:ilvl w:val="1"/>
      </w:numPr>
      <w:outlineLvl w:val="1"/>
    </w:pPr>
    <w:rPr>
      <w:rFonts w:ascii="Calibri Light" w:hAnsi="Calibri Light"/>
      <w:b w:val="0"/>
      <w:color w:val="8EAADB"/>
      <w:sz w:val="24"/>
    </w:rPr>
  </w:style>
  <w:style w:type="paragraph" w:styleId="Heading3">
    <w:name w:val="heading 3"/>
    <w:basedOn w:val="Heading2"/>
    <w:next w:val="Normal"/>
    <w:link w:val="Heading3Char"/>
    <w:unhideWhenUsed/>
    <w:qFormat/>
    <w:rsid w:val="002451F1"/>
    <w:pPr>
      <w:numPr>
        <w:ilvl w:val="2"/>
      </w:numPr>
      <w:spacing w:before="360" w:after="360"/>
      <w:outlineLvl w:val="2"/>
    </w:pPr>
    <w:rPr>
      <w:szCs w:val="36"/>
      <w:lang w:val="en-CA"/>
    </w:rPr>
  </w:style>
  <w:style w:type="paragraph" w:styleId="Heading4">
    <w:name w:val="heading 4"/>
    <w:basedOn w:val="Normal"/>
    <w:next w:val="Normal"/>
    <w:link w:val="Heading4Char"/>
    <w:unhideWhenUsed/>
    <w:qFormat/>
    <w:rsid w:val="00381773"/>
    <w:pPr>
      <w:numPr>
        <w:ilvl w:val="3"/>
        <w:numId w:val="1"/>
      </w:numPr>
      <w:jc w:val="right"/>
      <w:outlineLvl w:val="3"/>
    </w:pPr>
    <w:rPr>
      <w:rFonts w:asciiTheme="majorHAnsi" w:hAnsiTheme="majorHAnsi"/>
      <w:color w:val="3494BA" w:themeColor="accent1"/>
    </w:rPr>
  </w:style>
  <w:style w:type="paragraph" w:styleId="Heading5">
    <w:name w:val="heading 5"/>
    <w:basedOn w:val="Normal"/>
    <w:next w:val="Normal"/>
    <w:link w:val="Heading5Char"/>
    <w:unhideWhenUsed/>
    <w:qFormat/>
    <w:rsid w:val="00E400EE"/>
    <w:pPr>
      <w:keepNext/>
      <w:keepLines/>
      <w:numPr>
        <w:ilvl w:val="4"/>
        <w:numId w:val="1"/>
      </w:numPr>
      <w:spacing w:before="40" w:after="0"/>
      <w:outlineLvl w:val="4"/>
    </w:pPr>
    <w:rPr>
      <w:rFonts w:asciiTheme="majorHAnsi" w:eastAsiaTheme="majorEastAsia" w:hAnsiTheme="majorHAnsi" w:cstheme="majorBidi"/>
      <w:b/>
      <w:color w:val="373545" w:themeColor="text2"/>
      <w:sz w:val="36"/>
    </w:rPr>
  </w:style>
  <w:style w:type="paragraph" w:styleId="Heading6">
    <w:name w:val="heading 6"/>
    <w:basedOn w:val="Normal"/>
    <w:next w:val="Normal"/>
    <w:link w:val="Heading6Char"/>
    <w:unhideWhenUsed/>
    <w:qFormat/>
    <w:rsid w:val="004D4571"/>
    <w:pPr>
      <w:keepNext/>
      <w:numPr>
        <w:ilvl w:val="5"/>
        <w:numId w:val="1"/>
      </w:numPr>
      <w:spacing w:after="0" w:line="240" w:lineRule="auto"/>
      <w:outlineLvl w:val="5"/>
    </w:pPr>
    <w:rPr>
      <w:rFonts w:ascii="Times New Roman" w:eastAsia="Times New Roman" w:hAnsi="Times New Roman" w:cs="Times New Roman"/>
      <w:color w:val="292733" w:themeColor="text2" w:themeShade="BF"/>
      <w:sz w:val="60"/>
    </w:rPr>
  </w:style>
  <w:style w:type="paragraph" w:styleId="Heading7">
    <w:name w:val="heading 7"/>
    <w:basedOn w:val="Normal"/>
    <w:next w:val="Normal"/>
    <w:link w:val="Heading7Char"/>
    <w:uiPriority w:val="9"/>
    <w:semiHidden/>
    <w:unhideWhenUsed/>
    <w:qFormat/>
    <w:rsid w:val="00B73A0D"/>
    <w:pPr>
      <w:keepNext/>
      <w:keepLines/>
      <w:numPr>
        <w:ilvl w:val="6"/>
        <w:numId w:val="1"/>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B73A0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A0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3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qFormat/>
    <w:rsid w:val="00381773"/>
    <w:pPr>
      <w:ind w:left="1440"/>
    </w:pPr>
    <w:rPr>
      <w:sz w:val="28"/>
    </w:r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rsid w:val="00171DCD"/>
    <w:rPr>
      <w:rFonts w:ascii="Calibri Light" w:hAnsi="Calibri Light"/>
      <w:color w:val="8EAADB"/>
      <w:sz w:val="24"/>
      <w:szCs w:val="56"/>
    </w:rPr>
  </w:style>
  <w:style w:type="character" w:customStyle="1" w:styleId="Heading3Char">
    <w:name w:val="Heading 3 Char"/>
    <w:basedOn w:val="DefaultParagraphFont"/>
    <w:link w:val="Heading3"/>
    <w:rsid w:val="002451F1"/>
    <w:rPr>
      <w:rFonts w:ascii="Calibri Light" w:hAnsi="Calibri Light"/>
      <w:color w:val="8EAADB"/>
      <w:sz w:val="24"/>
      <w:szCs w:val="36"/>
      <w:lang w:val="en-CA"/>
    </w:rPr>
  </w:style>
  <w:style w:type="character" w:customStyle="1" w:styleId="Heading4Char">
    <w:name w:val="Heading 4 Char"/>
    <w:basedOn w:val="DefaultParagraphFont"/>
    <w:link w:val="Heading4"/>
    <w:rsid w:val="00A21D12"/>
    <w:rPr>
      <w:rFonts w:asciiTheme="majorHAnsi" w:hAnsiTheme="majorHAnsi"/>
      <w:color w:val="3494BA" w:themeColor="accent1"/>
      <w:sz w:val="24"/>
    </w:rPr>
  </w:style>
  <w:style w:type="character" w:customStyle="1" w:styleId="Heading6Char">
    <w:name w:val="Heading 6 Char"/>
    <w:basedOn w:val="DefaultParagraphFont"/>
    <w:link w:val="Heading6"/>
    <w:rsid w:val="00A21D12"/>
    <w:rPr>
      <w:rFonts w:ascii="Times New Roman" w:eastAsia="Times New Roman" w:hAnsi="Times New Roman" w:cs="Times New Roman"/>
      <w:color w:val="292733" w:themeColor="text2" w:themeShade="BF"/>
      <w:sz w:val="60"/>
    </w:rPr>
  </w:style>
  <w:style w:type="paragraph" w:customStyle="1" w:styleId="TabName">
    <w:name w:val="Tab Name"/>
    <w:basedOn w:val="Normal"/>
    <w:rsid w:val="00381773"/>
    <w:pPr>
      <w:jc w:val="center"/>
    </w:pPr>
    <w:rPr>
      <w:color w:val="3494BA" w:themeColor="accent1"/>
      <w:sz w:val="32"/>
    </w:rPr>
  </w:style>
  <w:style w:type="paragraph" w:styleId="ListParagraph">
    <w:name w:val="List Paragraph"/>
    <w:aliases w:val="List Paragraph (numbered (a)),Bullets,Paragraphe de liste1,List Paragraph1,List Paragraph11,Numbered List Paragraph,123 List Paragraph,Celula"/>
    <w:basedOn w:val="Normal"/>
    <w:next w:val="Normal"/>
    <w:link w:val="ListParagraphChar"/>
    <w:uiPriority w:val="34"/>
    <w:qFormat/>
    <w:rsid w:val="00FB081D"/>
    <w:pPr>
      <w:numPr>
        <w:numId w:val="6"/>
      </w:numPr>
      <w:spacing w:after="360" w:line="240" w:lineRule="auto"/>
    </w:pPr>
    <w:rPr>
      <w:bCs/>
      <w:lang w:val="en-CA" w:bidi="hi-IN"/>
    </w:rPr>
  </w:style>
  <w:style w:type="paragraph" w:customStyle="1" w:styleId="1Spine">
    <w:name w:val="1&quot; Spine"/>
    <w:basedOn w:val="Normal"/>
    <w:qFormat/>
    <w:rsid w:val="00AF5119"/>
    <w:pPr>
      <w:spacing w:after="0" w:line="240" w:lineRule="auto"/>
      <w:jc w:val="center"/>
    </w:pPr>
    <w:rPr>
      <w:b/>
      <w:color w:val="373545" w:themeColor="text2"/>
      <w:sz w:val="44"/>
      <w:szCs w:val="44"/>
      <w:lang w:bidi="hi-IN"/>
    </w:rPr>
  </w:style>
  <w:style w:type="paragraph" w:customStyle="1" w:styleId="15Spine">
    <w:name w:val="1.5&quot; Spine"/>
    <w:basedOn w:val="Normal"/>
    <w:qFormat/>
    <w:rsid w:val="00AF5119"/>
    <w:pPr>
      <w:spacing w:after="0" w:line="240" w:lineRule="auto"/>
      <w:jc w:val="center"/>
    </w:pPr>
    <w:rPr>
      <w:b/>
      <w:color w:val="373545" w:themeColor="text2"/>
      <w:sz w:val="48"/>
      <w:szCs w:val="48"/>
      <w:lang w:bidi="hi-IN"/>
    </w:rPr>
  </w:style>
  <w:style w:type="paragraph" w:customStyle="1" w:styleId="2Spine">
    <w:name w:val="2&quot; Spine"/>
    <w:basedOn w:val="Normal"/>
    <w:qFormat/>
    <w:rsid w:val="00AF5119"/>
    <w:pPr>
      <w:spacing w:after="0" w:line="240" w:lineRule="auto"/>
      <w:jc w:val="center"/>
    </w:pPr>
    <w:rPr>
      <w:b/>
      <w:color w:val="373545" w:themeColor="text2"/>
      <w:sz w:val="56"/>
      <w:szCs w:val="56"/>
      <w:lang w:bidi="hi-IN"/>
    </w:rPr>
  </w:style>
  <w:style w:type="paragraph" w:customStyle="1" w:styleId="3Spine">
    <w:name w:val="3&quot; Spine"/>
    <w:basedOn w:val="Normal"/>
    <w:qFormat/>
    <w:rsid w:val="00AF5119"/>
    <w:pPr>
      <w:spacing w:after="0" w:line="240" w:lineRule="auto"/>
      <w:jc w:val="center"/>
    </w:pPr>
    <w:rPr>
      <w:b/>
      <w:color w:val="373545" w:themeColor="text2"/>
      <w:sz w:val="64"/>
      <w:szCs w:val="64"/>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3215F5"/>
    <w:pPr>
      <w:tabs>
        <w:tab w:val="center" w:pos="4680"/>
        <w:tab w:val="right" w:pos="9360"/>
      </w:tabs>
      <w:spacing w:after="0" w:line="240" w:lineRule="auto"/>
    </w:pPr>
    <w:rPr>
      <w:vertAlign w:val="superscript"/>
    </w:rPr>
  </w:style>
  <w:style w:type="character" w:customStyle="1" w:styleId="FooterChar">
    <w:name w:val="Footer Char"/>
    <w:basedOn w:val="DefaultParagraphFont"/>
    <w:link w:val="Footer"/>
    <w:uiPriority w:val="99"/>
    <w:rsid w:val="003215F5"/>
    <w:rPr>
      <w:rFonts w:ascii="Calibri" w:hAnsi="Calibri"/>
      <w:sz w:val="24"/>
      <w:vertAlign w:val="superscript"/>
    </w:rPr>
  </w:style>
  <w:style w:type="character" w:customStyle="1" w:styleId="Heading1Char">
    <w:name w:val="Heading 1 Char"/>
    <w:basedOn w:val="DefaultParagraphFont"/>
    <w:link w:val="Heading1"/>
    <w:rsid w:val="000645AC"/>
    <w:rPr>
      <w:rFonts w:ascii="Calibri" w:hAnsi="Calibri"/>
      <w:b/>
      <w:color w:val="1C6194" w:themeColor="accent6" w:themeShade="BF"/>
      <w:sz w:val="32"/>
      <w:szCs w:val="56"/>
    </w:rPr>
  </w:style>
  <w:style w:type="paragraph" w:customStyle="1" w:styleId="ClassName">
    <w:name w:val="Class Name"/>
    <w:basedOn w:val="Heading6"/>
    <w:qFormat/>
    <w:rsid w:val="00381773"/>
    <w:pPr>
      <w:jc w:val="center"/>
    </w:pPr>
    <w:rPr>
      <w:rFonts w:asciiTheme="majorHAnsi" w:hAnsiTheme="majorHAnsi"/>
      <w:caps/>
      <w:color w:val="3494BA" w:themeColor="accent1"/>
      <w:sz w:val="44"/>
    </w:rPr>
  </w:style>
  <w:style w:type="paragraph" w:styleId="Title">
    <w:name w:val="Title"/>
    <w:basedOn w:val="Heading3"/>
    <w:next w:val="Normal"/>
    <w:link w:val="TitleChar"/>
    <w:uiPriority w:val="10"/>
    <w:qFormat/>
    <w:rsid w:val="00381773"/>
  </w:style>
  <w:style w:type="character" w:customStyle="1" w:styleId="TitleChar">
    <w:name w:val="Title Char"/>
    <w:basedOn w:val="DefaultParagraphFont"/>
    <w:link w:val="Title"/>
    <w:uiPriority w:val="10"/>
    <w:rsid w:val="00381773"/>
    <w:rPr>
      <w:rFonts w:ascii="Calibri Light" w:hAnsi="Calibri Light"/>
      <w:color w:val="8EAADB"/>
      <w:sz w:val="24"/>
      <w:szCs w:val="36"/>
      <w:lang w:val="en-CA"/>
    </w:rPr>
  </w:style>
  <w:style w:type="paragraph" w:customStyle="1" w:styleId="Subtitle2">
    <w:name w:val="Subtitle 2"/>
    <w:link w:val="Subtitle2Char"/>
    <w:qFormat/>
    <w:rsid w:val="000D0FB4"/>
    <w:pPr>
      <w:spacing w:line="240" w:lineRule="auto"/>
      <w:jc w:val="center"/>
    </w:pPr>
    <w:rPr>
      <w:rFonts w:ascii="Microsoft Office Preview Font" w:hAnsi="Microsoft Office Preview Font"/>
      <w:color w:val="4A7090" w:themeColor="background2" w:themeShade="80"/>
      <w:sz w:val="32"/>
      <w:szCs w:val="32"/>
    </w:rPr>
  </w:style>
  <w:style w:type="paragraph" w:styleId="NoSpacing">
    <w:name w:val="No Spacing"/>
    <w:link w:val="NoSpacingChar"/>
    <w:uiPriority w:val="1"/>
    <w:qFormat/>
    <w:rsid w:val="00276B61"/>
    <w:pPr>
      <w:spacing w:after="0" w:line="240" w:lineRule="auto"/>
      <w:jc w:val="right"/>
    </w:pPr>
    <w:rPr>
      <w:b/>
      <w:color w:val="FFFFFF" w:themeColor="background1"/>
      <w:sz w:val="36"/>
    </w:rPr>
  </w:style>
  <w:style w:type="character" w:customStyle="1" w:styleId="Subtitle2Char">
    <w:name w:val="Subtitle 2 Char"/>
    <w:basedOn w:val="Heading4Char"/>
    <w:link w:val="Subtitle2"/>
    <w:rsid w:val="000D0FB4"/>
    <w:rPr>
      <w:rFonts w:ascii="Microsoft Office Preview Font" w:hAnsi="Microsoft Office Preview Font"/>
      <w:color w:val="4A7090" w:themeColor="background2" w:themeShade="80"/>
      <w:sz w:val="32"/>
      <w:szCs w:val="32"/>
    </w:rPr>
  </w:style>
  <w:style w:type="paragraph" w:customStyle="1" w:styleId="Name">
    <w:name w:val="Name"/>
    <w:basedOn w:val="Normal"/>
    <w:qFormat/>
    <w:rsid w:val="00AF5119"/>
    <w:pPr>
      <w:jc w:val="center"/>
    </w:pPr>
    <w:rPr>
      <w:rFonts w:asciiTheme="majorHAnsi" w:hAnsiTheme="majorHAnsi"/>
      <w:caps/>
      <w:color w:val="373545" w:themeColor="text2"/>
      <w:sz w:val="40"/>
      <w:szCs w:val="40"/>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rsid w:val="00A21D12"/>
    <w:rPr>
      <w:rFonts w:asciiTheme="majorHAnsi" w:eastAsiaTheme="majorEastAsia" w:hAnsiTheme="majorHAnsi" w:cstheme="majorBidi"/>
      <w:b/>
      <w:color w:val="373545" w:themeColor="text2"/>
      <w:sz w:val="36"/>
    </w:rPr>
  </w:style>
  <w:style w:type="character" w:customStyle="1" w:styleId="Heading7Char">
    <w:name w:val="Heading 7 Char"/>
    <w:basedOn w:val="DefaultParagraphFont"/>
    <w:link w:val="Heading7"/>
    <w:uiPriority w:val="9"/>
    <w:semiHidden/>
    <w:rsid w:val="00B73A0D"/>
    <w:rPr>
      <w:rFonts w:asciiTheme="majorHAnsi" w:eastAsiaTheme="majorEastAsia" w:hAnsiTheme="majorHAnsi" w:cstheme="majorBidi"/>
      <w:i/>
      <w:iCs/>
      <w:color w:val="1A495C" w:themeColor="accent1" w:themeShade="7F"/>
      <w:sz w:val="24"/>
    </w:rPr>
  </w:style>
  <w:style w:type="character" w:customStyle="1" w:styleId="Heading8Char">
    <w:name w:val="Heading 8 Char"/>
    <w:basedOn w:val="DefaultParagraphFont"/>
    <w:link w:val="Heading8"/>
    <w:uiPriority w:val="9"/>
    <w:semiHidden/>
    <w:rsid w:val="00B73A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3A0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E71A6"/>
    <w:rPr>
      <w:color w:val="6B9F25" w:themeColor="hyperlink"/>
      <w:u w:val="single"/>
    </w:rPr>
  </w:style>
  <w:style w:type="character" w:customStyle="1" w:styleId="UnresolvedMention1">
    <w:name w:val="Unresolved Mention1"/>
    <w:basedOn w:val="DefaultParagraphFont"/>
    <w:uiPriority w:val="99"/>
    <w:semiHidden/>
    <w:unhideWhenUsed/>
    <w:rsid w:val="008E71A6"/>
    <w:rPr>
      <w:color w:val="605E5C"/>
      <w:shd w:val="clear" w:color="auto" w:fill="E1DFDD"/>
    </w:rPr>
  </w:style>
  <w:style w:type="paragraph" w:styleId="Caption">
    <w:name w:val="caption"/>
    <w:basedOn w:val="Normal"/>
    <w:next w:val="Normal"/>
    <w:uiPriority w:val="35"/>
    <w:unhideWhenUsed/>
    <w:qFormat/>
    <w:rsid w:val="00E17128"/>
    <w:pPr>
      <w:spacing w:line="240" w:lineRule="auto"/>
    </w:pPr>
    <w:rPr>
      <w:i/>
      <w:iCs/>
      <w:color w:val="373545" w:themeColor="text2"/>
      <w:sz w:val="18"/>
      <w:szCs w:val="18"/>
    </w:rPr>
  </w:style>
  <w:style w:type="paragraph" w:styleId="FootnoteText">
    <w:name w:val="footnote text"/>
    <w:basedOn w:val="Normal"/>
    <w:link w:val="FootnoteTextChar"/>
    <w:uiPriority w:val="99"/>
    <w:unhideWhenUsed/>
    <w:rsid w:val="00757772"/>
    <w:pPr>
      <w:spacing w:after="0" w:line="240" w:lineRule="auto"/>
    </w:pPr>
    <w:rPr>
      <w:sz w:val="20"/>
      <w:szCs w:val="20"/>
    </w:rPr>
  </w:style>
  <w:style w:type="character" w:customStyle="1" w:styleId="FootnoteTextChar">
    <w:name w:val="Footnote Text Char"/>
    <w:basedOn w:val="DefaultParagraphFont"/>
    <w:link w:val="FootnoteText"/>
    <w:uiPriority w:val="99"/>
    <w:rsid w:val="00757772"/>
    <w:rPr>
      <w:rFonts w:ascii="Corbel" w:hAnsi="Corbel"/>
      <w:sz w:val="20"/>
      <w:szCs w:val="20"/>
    </w:rPr>
  </w:style>
  <w:style w:type="character" w:styleId="FootnoteReference">
    <w:name w:val="footnote reference"/>
    <w:basedOn w:val="DefaultParagraphFont"/>
    <w:uiPriority w:val="99"/>
    <w:semiHidden/>
    <w:unhideWhenUsed/>
    <w:rsid w:val="00757772"/>
    <w:rPr>
      <w:vertAlign w:val="superscript"/>
    </w:rPr>
  </w:style>
  <w:style w:type="paragraph" w:customStyle="1" w:styleId="Style1">
    <w:name w:val="Style1"/>
    <w:basedOn w:val="ListParagraph"/>
    <w:link w:val="Style1Char"/>
    <w:qFormat/>
    <w:rsid w:val="00E34A0F"/>
    <w:pPr>
      <w:numPr>
        <w:numId w:val="3"/>
      </w:numPr>
      <w:spacing w:after="120"/>
      <w:ind w:left="714" w:hanging="357"/>
    </w:pPr>
    <w:rPr>
      <w:sz w:val="22"/>
    </w:rPr>
  </w:style>
  <w:style w:type="paragraph" w:customStyle="1" w:styleId="RList3">
    <w:name w:val="RList 3"/>
    <w:basedOn w:val="Normal"/>
    <w:link w:val="RList3Char"/>
    <w:qFormat/>
    <w:rsid w:val="00D41A45"/>
    <w:pPr>
      <w:numPr>
        <w:numId w:val="4"/>
      </w:numPr>
    </w:pPr>
  </w:style>
  <w:style w:type="character" w:customStyle="1" w:styleId="ListParagraphChar">
    <w:name w:val="List Paragraph Char"/>
    <w:aliases w:val="List Paragraph (numbered (a)) Char,Bullets Char,Paragraphe de liste1 Char,List Paragraph1 Char,List Paragraph11 Char,Numbered List Paragraph Char,123 List Paragraph Char,Celula Char"/>
    <w:basedOn w:val="DefaultParagraphFont"/>
    <w:link w:val="ListParagraph"/>
    <w:uiPriority w:val="34"/>
    <w:rsid w:val="00FB081D"/>
    <w:rPr>
      <w:rFonts w:ascii="Calibri" w:hAnsi="Calibri"/>
      <w:bCs/>
      <w:sz w:val="24"/>
      <w:lang w:val="en-CA" w:bidi="hi-IN"/>
    </w:rPr>
  </w:style>
  <w:style w:type="character" w:customStyle="1" w:styleId="Style1Char">
    <w:name w:val="Style1 Char"/>
    <w:basedOn w:val="ListParagraphChar"/>
    <w:link w:val="Style1"/>
    <w:rsid w:val="00E34A0F"/>
    <w:rPr>
      <w:rFonts w:ascii="Calibri" w:hAnsi="Calibri"/>
      <w:b w:val="0"/>
      <w:bCs/>
      <w:sz w:val="24"/>
      <w:lang w:val="en-CA" w:bidi="hi-IN"/>
    </w:rPr>
  </w:style>
  <w:style w:type="character" w:customStyle="1" w:styleId="RList3Char">
    <w:name w:val="RList 3 Char"/>
    <w:basedOn w:val="DefaultParagraphFont"/>
    <w:link w:val="RList3"/>
    <w:rsid w:val="00D41A45"/>
    <w:rPr>
      <w:rFonts w:ascii="Calibri" w:hAnsi="Calibri"/>
      <w:sz w:val="24"/>
    </w:rPr>
  </w:style>
  <w:style w:type="paragraph" w:styleId="IntenseQuote">
    <w:name w:val="Intense Quote"/>
    <w:basedOn w:val="Normal"/>
    <w:next w:val="Normal"/>
    <w:link w:val="IntenseQuoteChar"/>
    <w:uiPriority w:val="30"/>
    <w:qFormat/>
    <w:rsid w:val="00E968AA"/>
    <w:pPr>
      <w:pBdr>
        <w:top w:val="single" w:sz="4" w:space="10" w:color="3494BA" w:themeColor="accent1"/>
        <w:bottom w:val="single" w:sz="4" w:space="10" w:color="3494BA" w:themeColor="accent1"/>
      </w:pBdr>
      <w:spacing w:before="360" w:after="360"/>
      <w:ind w:right="864"/>
    </w:pPr>
    <w:rPr>
      <w:i/>
      <w:iCs/>
      <w:lang w:val="en-CA"/>
    </w:rPr>
  </w:style>
  <w:style w:type="character" w:customStyle="1" w:styleId="IntenseQuoteChar">
    <w:name w:val="Intense Quote Char"/>
    <w:basedOn w:val="DefaultParagraphFont"/>
    <w:link w:val="IntenseQuote"/>
    <w:uiPriority w:val="30"/>
    <w:rsid w:val="00E968AA"/>
    <w:rPr>
      <w:rFonts w:ascii="Corbel" w:hAnsi="Corbel"/>
      <w:i/>
      <w:iCs/>
      <w:lang w:val="en-CA"/>
    </w:rPr>
  </w:style>
  <w:style w:type="paragraph" w:styleId="CommentText">
    <w:name w:val="annotation text"/>
    <w:basedOn w:val="Normal"/>
    <w:link w:val="CommentTextChar"/>
    <w:uiPriority w:val="99"/>
    <w:unhideWhenUsed/>
    <w:rsid w:val="00FB5834"/>
    <w:pPr>
      <w:spacing w:after="160" w:line="240" w:lineRule="auto"/>
    </w:pPr>
    <w:rPr>
      <w:rFonts w:asciiTheme="minorHAnsi" w:eastAsiaTheme="minorEastAsia" w:hAnsiTheme="minorHAnsi"/>
      <w:sz w:val="20"/>
      <w:szCs w:val="20"/>
      <w:lang w:val="en-CA"/>
    </w:rPr>
  </w:style>
  <w:style w:type="character" w:customStyle="1" w:styleId="CommentTextChar">
    <w:name w:val="Comment Text Char"/>
    <w:basedOn w:val="DefaultParagraphFont"/>
    <w:link w:val="CommentText"/>
    <w:uiPriority w:val="99"/>
    <w:rsid w:val="00FB5834"/>
    <w:rPr>
      <w:rFonts w:eastAsiaTheme="minorEastAsia"/>
      <w:sz w:val="20"/>
      <w:szCs w:val="20"/>
      <w:lang w:val="en-CA"/>
    </w:rPr>
  </w:style>
  <w:style w:type="character" w:styleId="CommentReference">
    <w:name w:val="annotation reference"/>
    <w:basedOn w:val="DefaultParagraphFont"/>
    <w:uiPriority w:val="99"/>
    <w:semiHidden/>
    <w:unhideWhenUsed/>
    <w:rsid w:val="00FB5834"/>
    <w:rPr>
      <w:sz w:val="16"/>
      <w:szCs w:val="16"/>
    </w:rPr>
  </w:style>
  <w:style w:type="table" w:styleId="PlainTable1">
    <w:name w:val="Plain Table 1"/>
    <w:basedOn w:val="TableNormal"/>
    <w:uiPriority w:val="41"/>
    <w:rsid w:val="00CE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01F0C"/>
    <w:pPr>
      <w:spacing w:after="200"/>
    </w:pPr>
    <w:rPr>
      <w:rFonts w:ascii="Corbel" w:eastAsiaTheme="minorHAnsi" w:hAnsi="Corbel"/>
      <w:b/>
      <w:bCs/>
      <w:lang w:val="en-US"/>
    </w:rPr>
  </w:style>
  <w:style w:type="character" w:customStyle="1" w:styleId="CommentSubjectChar">
    <w:name w:val="Comment Subject Char"/>
    <w:basedOn w:val="CommentTextChar"/>
    <w:link w:val="CommentSubject"/>
    <w:uiPriority w:val="99"/>
    <w:semiHidden/>
    <w:rsid w:val="00E01F0C"/>
    <w:rPr>
      <w:rFonts w:ascii="Corbel" w:eastAsiaTheme="minorEastAsia" w:hAnsi="Corbel"/>
      <w:b/>
      <w:bCs/>
      <w:sz w:val="20"/>
      <w:szCs w:val="20"/>
      <w:lang w:val="en-CA"/>
    </w:rPr>
  </w:style>
  <w:style w:type="paragraph" w:styleId="Revision">
    <w:name w:val="Revision"/>
    <w:hidden/>
    <w:uiPriority w:val="99"/>
    <w:semiHidden/>
    <w:rsid w:val="00721718"/>
    <w:pPr>
      <w:spacing w:after="0" w:line="240" w:lineRule="auto"/>
    </w:pPr>
    <w:rPr>
      <w:rFonts w:ascii="Corbel" w:hAnsi="Corbel"/>
    </w:rPr>
  </w:style>
  <w:style w:type="character" w:customStyle="1" w:styleId="NoSpacingChar">
    <w:name w:val="No Spacing Char"/>
    <w:basedOn w:val="DefaultParagraphFont"/>
    <w:link w:val="NoSpacing"/>
    <w:uiPriority w:val="1"/>
    <w:rsid w:val="00C20319"/>
    <w:rPr>
      <w:b/>
      <w:color w:val="FFFFFF" w:themeColor="background1"/>
      <w:sz w:val="36"/>
    </w:rPr>
  </w:style>
  <w:style w:type="character" w:customStyle="1" w:styleId="UnresolvedMention2">
    <w:name w:val="Unresolved Mention2"/>
    <w:basedOn w:val="DefaultParagraphFont"/>
    <w:uiPriority w:val="99"/>
    <w:semiHidden/>
    <w:unhideWhenUsed/>
    <w:rsid w:val="00020A3F"/>
    <w:rPr>
      <w:color w:val="605E5C"/>
      <w:shd w:val="clear" w:color="auto" w:fill="E1DFDD"/>
    </w:rPr>
  </w:style>
  <w:style w:type="paragraph" w:styleId="TOCHeading">
    <w:name w:val="TOC Heading"/>
    <w:basedOn w:val="Heading1"/>
    <w:next w:val="Normal"/>
    <w:uiPriority w:val="39"/>
    <w:unhideWhenUsed/>
    <w:qFormat/>
    <w:rsid w:val="00B62920"/>
    <w:pPr>
      <w:keepNext/>
      <w:keepLines/>
      <w:numPr>
        <w:numId w:val="0"/>
      </w:numPr>
      <w:spacing w:before="240" w:after="0" w:line="259" w:lineRule="auto"/>
      <w:outlineLvl w:val="9"/>
    </w:pPr>
    <w:rPr>
      <w:rFonts w:asciiTheme="majorHAnsi" w:eastAsiaTheme="majorEastAsia" w:hAnsiTheme="majorHAnsi" w:cstheme="majorBidi"/>
      <w:b w:val="0"/>
      <w:color w:val="276E8B" w:themeColor="accent1" w:themeShade="BF"/>
      <w:szCs w:val="32"/>
    </w:rPr>
  </w:style>
  <w:style w:type="paragraph" w:styleId="TOC2">
    <w:name w:val="toc 2"/>
    <w:basedOn w:val="Normal"/>
    <w:next w:val="Normal"/>
    <w:autoRedefine/>
    <w:uiPriority w:val="39"/>
    <w:unhideWhenUsed/>
    <w:rsid w:val="00B62920"/>
    <w:pPr>
      <w:spacing w:after="100"/>
      <w:ind w:left="240"/>
    </w:pPr>
  </w:style>
  <w:style w:type="paragraph" w:styleId="TOC1">
    <w:name w:val="toc 1"/>
    <w:basedOn w:val="Normal"/>
    <w:next w:val="Normal"/>
    <w:autoRedefine/>
    <w:uiPriority w:val="39"/>
    <w:unhideWhenUsed/>
    <w:rsid w:val="00B62920"/>
    <w:pPr>
      <w:spacing w:after="100"/>
    </w:pPr>
  </w:style>
  <w:style w:type="paragraph" w:styleId="TOC3">
    <w:name w:val="toc 3"/>
    <w:basedOn w:val="Normal"/>
    <w:next w:val="Normal"/>
    <w:autoRedefine/>
    <w:uiPriority w:val="39"/>
    <w:unhideWhenUsed/>
    <w:rsid w:val="00B62920"/>
    <w:pPr>
      <w:spacing w:after="100"/>
      <w:ind w:left="480"/>
    </w:pPr>
  </w:style>
  <w:style w:type="character" w:styleId="Strong">
    <w:name w:val="Strong"/>
    <w:basedOn w:val="DefaultParagraphFont"/>
    <w:uiPriority w:val="22"/>
    <w:qFormat/>
    <w:rsid w:val="00177AD4"/>
    <w:rPr>
      <w:b/>
      <w:bCs/>
    </w:rPr>
  </w:style>
  <w:style w:type="character" w:customStyle="1" w:styleId="UnresolvedMention3">
    <w:name w:val="Unresolved Mention3"/>
    <w:basedOn w:val="DefaultParagraphFont"/>
    <w:uiPriority w:val="99"/>
    <w:semiHidden/>
    <w:unhideWhenUsed/>
    <w:rsid w:val="00AC3BDE"/>
    <w:rPr>
      <w:color w:val="605E5C"/>
      <w:shd w:val="clear" w:color="auto" w:fill="E1DFDD"/>
    </w:rPr>
  </w:style>
  <w:style w:type="character" w:styleId="FollowedHyperlink">
    <w:name w:val="FollowedHyperlink"/>
    <w:basedOn w:val="DefaultParagraphFont"/>
    <w:uiPriority w:val="99"/>
    <w:semiHidden/>
    <w:unhideWhenUsed/>
    <w:rsid w:val="008B70A0"/>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0048">
      <w:bodyDiv w:val="1"/>
      <w:marLeft w:val="0"/>
      <w:marRight w:val="0"/>
      <w:marTop w:val="0"/>
      <w:marBottom w:val="0"/>
      <w:divBdr>
        <w:top w:val="none" w:sz="0" w:space="0" w:color="auto"/>
        <w:left w:val="none" w:sz="0" w:space="0" w:color="auto"/>
        <w:bottom w:val="none" w:sz="0" w:space="0" w:color="auto"/>
        <w:right w:val="none" w:sz="0" w:space="0" w:color="auto"/>
      </w:divBdr>
    </w:div>
    <w:div w:id="82999267">
      <w:bodyDiv w:val="1"/>
      <w:marLeft w:val="0"/>
      <w:marRight w:val="0"/>
      <w:marTop w:val="0"/>
      <w:marBottom w:val="0"/>
      <w:divBdr>
        <w:top w:val="none" w:sz="0" w:space="0" w:color="auto"/>
        <w:left w:val="none" w:sz="0" w:space="0" w:color="auto"/>
        <w:bottom w:val="none" w:sz="0" w:space="0" w:color="auto"/>
        <w:right w:val="none" w:sz="0" w:space="0" w:color="auto"/>
      </w:divBdr>
    </w:div>
    <w:div w:id="356929174">
      <w:bodyDiv w:val="1"/>
      <w:marLeft w:val="0"/>
      <w:marRight w:val="0"/>
      <w:marTop w:val="0"/>
      <w:marBottom w:val="0"/>
      <w:divBdr>
        <w:top w:val="none" w:sz="0" w:space="0" w:color="auto"/>
        <w:left w:val="none" w:sz="0" w:space="0" w:color="auto"/>
        <w:bottom w:val="none" w:sz="0" w:space="0" w:color="auto"/>
        <w:right w:val="none" w:sz="0" w:space="0" w:color="auto"/>
      </w:divBdr>
    </w:div>
    <w:div w:id="510535363">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84607981">
      <w:bodyDiv w:val="1"/>
      <w:marLeft w:val="0"/>
      <w:marRight w:val="0"/>
      <w:marTop w:val="0"/>
      <w:marBottom w:val="0"/>
      <w:divBdr>
        <w:top w:val="none" w:sz="0" w:space="0" w:color="auto"/>
        <w:left w:val="none" w:sz="0" w:space="0" w:color="auto"/>
        <w:bottom w:val="none" w:sz="0" w:space="0" w:color="auto"/>
        <w:right w:val="none" w:sz="0" w:space="0" w:color="auto"/>
      </w:divBdr>
    </w:div>
    <w:div w:id="1608075937">
      <w:bodyDiv w:val="1"/>
      <w:marLeft w:val="0"/>
      <w:marRight w:val="0"/>
      <w:marTop w:val="0"/>
      <w:marBottom w:val="0"/>
      <w:divBdr>
        <w:top w:val="none" w:sz="0" w:space="0" w:color="auto"/>
        <w:left w:val="none" w:sz="0" w:space="0" w:color="auto"/>
        <w:bottom w:val="none" w:sz="0" w:space="0" w:color="auto"/>
        <w:right w:val="none" w:sz="0" w:space="0" w:color="auto"/>
      </w:divBdr>
    </w:div>
    <w:div w:id="1935433109">
      <w:bodyDiv w:val="1"/>
      <w:marLeft w:val="0"/>
      <w:marRight w:val="0"/>
      <w:marTop w:val="0"/>
      <w:marBottom w:val="0"/>
      <w:divBdr>
        <w:top w:val="none" w:sz="0" w:space="0" w:color="auto"/>
        <w:left w:val="none" w:sz="0" w:space="0" w:color="auto"/>
        <w:bottom w:val="none" w:sz="0" w:space="0" w:color="auto"/>
        <w:right w:val="none" w:sz="0" w:space="0" w:color="auto"/>
      </w:divBdr>
    </w:div>
    <w:div w:id="2009137433">
      <w:bodyDiv w:val="1"/>
      <w:marLeft w:val="0"/>
      <w:marRight w:val="0"/>
      <w:marTop w:val="0"/>
      <w:marBottom w:val="0"/>
      <w:divBdr>
        <w:top w:val="none" w:sz="0" w:space="0" w:color="auto"/>
        <w:left w:val="none" w:sz="0" w:space="0" w:color="auto"/>
        <w:bottom w:val="none" w:sz="0" w:space="0" w:color="auto"/>
        <w:right w:val="none" w:sz="0" w:space="0" w:color="auto"/>
      </w:divBdr>
    </w:div>
    <w:div w:id="20603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svg"/><Relationship Id="rId32" Type="http://schemas.openxmlformats.org/officeDocument/2006/relationships/footer" Target="footer9.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fsantos@trican.com" TargetMode="External"/><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fsantos@trican.com" TargetMode="Externa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header" Target="header8.xm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dfat.gov.au/about-us/publications/Pages/investment-design-quality-criteria.aspx" TargetMode="External"/><Relationship Id="rId2" Type="http://schemas.openxmlformats.org/officeDocument/2006/relationships/hyperlink" Target="https://www.google.org/our-work/" TargetMode="External"/><Relationship Id="rId1" Type="http://schemas.openxmlformats.org/officeDocument/2006/relationships/hyperlink" Target="https://dfat.gov.au/about-us/publications/Pages/investment-design-quality-criteria.aspx" TargetMode="External"/><Relationship Id="rId6" Type="http://schemas.openxmlformats.org/officeDocument/2006/relationships/hyperlink" Target="https://dfat.gov.au/aid/how-we-measure-performance/ode/strategic-evaluations/Documents/evaluation-of-investment-level-monitoring-systems-case-studies.pdf" TargetMode="External"/><Relationship Id="rId5" Type="http://schemas.openxmlformats.org/officeDocument/2006/relationships/hyperlink" Target="https://oxfam.app.box.com/s/l8n1ld9y0p5r34l9gljo13ukmybsbjwm/file/420549396169?sb=/details" TargetMode="External"/><Relationship Id="rId4" Type="http://schemas.openxmlformats.org/officeDocument/2006/relationships/hyperlink" Target="https://dfat.gov.au/about-us/publications/Documents/aid-quality-check-templa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3DA3D77B6431980AE367E834D6D5C"/>
        <w:category>
          <w:name w:val="General"/>
          <w:gallery w:val="placeholder"/>
        </w:category>
        <w:types>
          <w:type w:val="bbPlcHdr"/>
        </w:types>
        <w:behaviors>
          <w:behavior w:val="content"/>
        </w:behaviors>
        <w:guid w:val="{78B612F0-1C07-451D-9963-E2681BDCECBF}"/>
      </w:docPartPr>
      <w:docPartBody>
        <w:p w:rsidR="000A71BB" w:rsidRDefault="00847B4D">
          <w:pPr>
            <w:pStyle w:val="A7C3DA3D77B6431980AE367E834D6D5C"/>
          </w:pPr>
          <w:r>
            <w:t>[</w:t>
          </w: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4D"/>
    <w:rsid w:val="00024E7E"/>
    <w:rsid w:val="000A363D"/>
    <w:rsid w:val="000A71BB"/>
    <w:rsid w:val="000F1FE1"/>
    <w:rsid w:val="002026C7"/>
    <w:rsid w:val="00252BEC"/>
    <w:rsid w:val="0026083B"/>
    <w:rsid w:val="002676C0"/>
    <w:rsid w:val="002A6E62"/>
    <w:rsid w:val="002D7C28"/>
    <w:rsid w:val="00302534"/>
    <w:rsid w:val="00315266"/>
    <w:rsid w:val="00386AAA"/>
    <w:rsid w:val="00395E52"/>
    <w:rsid w:val="003D6A1A"/>
    <w:rsid w:val="00413092"/>
    <w:rsid w:val="00430A9D"/>
    <w:rsid w:val="00446C6B"/>
    <w:rsid w:val="00493333"/>
    <w:rsid w:val="004C7422"/>
    <w:rsid w:val="00533178"/>
    <w:rsid w:val="005563B3"/>
    <w:rsid w:val="00556CAF"/>
    <w:rsid w:val="005A31CB"/>
    <w:rsid w:val="005B2A7E"/>
    <w:rsid w:val="00603101"/>
    <w:rsid w:val="00730386"/>
    <w:rsid w:val="007E595E"/>
    <w:rsid w:val="0082188C"/>
    <w:rsid w:val="00847B4D"/>
    <w:rsid w:val="008966C1"/>
    <w:rsid w:val="008A3F8E"/>
    <w:rsid w:val="008C3DD7"/>
    <w:rsid w:val="008E153A"/>
    <w:rsid w:val="00900A8F"/>
    <w:rsid w:val="00906623"/>
    <w:rsid w:val="0093086E"/>
    <w:rsid w:val="009D4BDC"/>
    <w:rsid w:val="009E53ED"/>
    <w:rsid w:val="009F4F1F"/>
    <w:rsid w:val="00A0620E"/>
    <w:rsid w:val="00A56EF2"/>
    <w:rsid w:val="00A914A1"/>
    <w:rsid w:val="00AC4608"/>
    <w:rsid w:val="00BE7C64"/>
    <w:rsid w:val="00C0485B"/>
    <w:rsid w:val="00C34D39"/>
    <w:rsid w:val="00C466FF"/>
    <w:rsid w:val="00C51143"/>
    <w:rsid w:val="00C52DFB"/>
    <w:rsid w:val="00C84CED"/>
    <w:rsid w:val="00C91367"/>
    <w:rsid w:val="00CF16AC"/>
    <w:rsid w:val="00CF4752"/>
    <w:rsid w:val="00D268BF"/>
    <w:rsid w:val="00D31213"/>
    <w:rsid w:val="00D50E01"/>
    <w:rsid w:val="00DB3EDE"/>
    <w:rsid w:val="00DF35DE"/>
    <w:rsid w:val="00E36A56"/>
    <w:rsid w:val="00E45276"/>
    <w:rsid w:val="00EE13BA"/>
    <w:rsid w:val="00F76DE6"/>
    <w:rsid w:val="00F838E6"/>
    <w:rsid w:val="00FE77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386"/>
    <w:rPr>
      <w:color w:val="808080"/>
    </w:rPr>
  </w:style>
  <w:style w:type="paragraph" w:customStyle="1" w:styleId="D937059B1712474BB210E698A7D24046">
    <w:name w:val="D937059B1712474BB210E698A7D24046"/>
  </w:style>
  <w:style w:type="paragraph" w:customStyle="1" w:styleId="2BBAE1A771344B239F0C685AF10C2306">
    <w:name w:val="2BBAE1A771344B239F0C685AF10C2306"/>
  </w:style>
  <w:style w:type="paragraph" w:customStyle="1" w:styleId="5353727006AD4B709B714B47EDD90329">
    <w:name w:val="5353727006AD4B709B714B47EDD90329"/>
  </w:style>
  <w:style w:type="paragraph" w:customStyle="1" w:styleId="10B0DAB0786141AC8167BB8A3DA1BD13">
    <w:name w:val="10B0DAB0786141AC8167BB8A3DA1BD13"/>
  </w:style>
  <w:style w:type="paragraph" w:customStyle="1" w:styleId="A7C3DA3D77B6431980AE367E834D6D5C">
    <w:name w:val="A7C3DA3D77B6431980AE367E834D6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Quotabl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C9F-2ED8-4667-A3EB-B5FBE9A0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11833</Words>
  <Characters>67452</Characters>
  <Application>Microsoft Office Word</Application>
  <DocSecurity>0</DocSecurity>
  <Lines>562</Lines>
  <Paragraphs>158</Paragraphs>
  <ScaleCrop>false</ScaleCrop>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2020-03-20T05:12:00Z</dcterms:created>
  <dcterms:modified xsi:type="dcterms:W3CDTF">2020-03-20T05:13:00Z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587f49b3-2174-4d03-b462-a0338cc6a94a</vt:lpwstr>
  </property>
  <property fmtid="{D5CDD505-2E9C-101B-9397-08002B2CF9AE}" pid="3" name="SEC">
    <vt:lpwstr>UNCLASSIFIED</vt:lpwstr>
  </property>
  <property fmtid="{D5CDD505-2E9C-101B-9397-08002B2CF9AE}" pid="4" name="DLM">
    <vt:lpwstr>No DLM</vt:lpwstr>
  </property>
</Properties>
</file>