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D2389" w14:textId="3933CBA4" w:rsidR="007B756B" w:rsidRPr="00BD0D06" w:rsidRDefault="00FE6872" w:rsidP="007B756B">
      <w:pPr>
        <w:pStyle w:val="Heading1"/>
        <w:spacing w:after="300"/>
        <w:rPr>
          <w:color w:val="auto"/>
        </w:rPr>
      </w:pPr>
      <w:r w:rsidRPr="00BD0D06">
        <w:rPr>
          <w:color w:val="auto"/>
        </w:rPr>
        <w:t>C</w:t>
      </w:r>
      <w:r w:rsidR="003019C0" w:rsidRPr="00BD0D06">
        <w:rPr>
          <w:color w:val="auto"/>
        </w:rPr>
        <w:t>oalitions for change</w:t>
      </w:r>
      <w:r w:rsidR="72A09ED5" w:rsidRPr="00BD0D06">
        <w:rPr>
          <w:color w:val="auto"/>
        </w:rPr>
        <w:t xml:space="preserve"> PHASE 2</w:t>
      </w:r>
      <w:r w:rsidR="003019C0" w:rsidRPr="00BD0D06">
        <w:rPr>
          <w:color w:val="auto"/>
        </w:rPr>
        <w:t xml:space="preserve"> (C</w:t>
      </w:r>
      <w:r w:rsidRPr="00BD0D06">
        <w:rPr>
          <w:color w:val="auto"/>
        </w:rPr>
        <w:t>fc</w:t>
      </w:r>
      <w:r w:rsidR="003019C0" w:rsidRPr="00BD0D06">
        <w:rPr>
          <w:color w:val="auto"/>
        </w:rPr>
        <w:t>)</w:t>
      </w:r>
      <w:r w:rsidRPr="00BD0D06">
        <w:rPr>
          <w:color w:val="auto"/>
        </w:rPr>
        <w:t xml:space="preserve"> 2021 independent progress review management response</w:t>
      </w:r>
    </w:p>
    <w:p w14:paraId="38FC94D0" w14:textId="77777777" w:rsidR="007B756B" w:rsidRPr="00BD0D06" w:rsidRDefault="007B756B" w:rsidP="007B756B">
      <w:pPr>
        <w:pStyle w:val="Heading3"/>
        <w:rPr>
          <w:color w:val="auto"/>
        </w:rPr>
      </w:pPr>
      <w:r w:rsidRPr="00BD0D06">
        <w:rPr>
          <w:color w:val="auto"/>
        </w:rPr>
        <w:t xml:space="preserve">Summary of management response </w:t>
      </w:r>
    </w:p>
    <w:p w14:paraId="43353671" w14:textId="48814782" w:rsidR="00CA7057" w:rsidRPr="00BD0D06" w:rsidRDefault="61384D34" w:rsidP="00CA7057">
      <w:pPr>
        <w:rPr>
          <w:color w:val="auto"/>
        </w:rPr>
      </w:pPr>
      <w:r w:rsidRPr="00BD0D06">
        <w:rPr>
          <w:color w:val="auto"/>
        </w:rPr>
        <w:t xml:space="preserve">DFAT welcomes the findings and agrees with the recommendations of the independent evaluator. More immediately, DFAT and TAF can </w:t>
      </w:r>
      <w:r w:rsidR="25A060AC" w:rsidRPr="00BD0D06">
        <w:rPr>
          <w:color w:val="auto"/>
        </w:rPr>
        <w:t>commence negotiations for a</w:t>
      </w:r>
      <w:r w:rsidR="75207822" w:rsidRPr="00BD0D06">
        <w:rPr>
          <w:color w:val="auto"/>
        </w:rPr>
        <w:t xml:space="preserve"> possible</w:t>
      </w:r>
      <w:r w:rsidRPr="00BD0D06">
        <w:rPr>
          <w:color w:val="auto"/>
        </w:rPr>
        <w:t xml:space="preserve"> program extension. </w:t>
      </w:r>
      <w:r w:rsidR="7B7C7191" w:rsidRPr="00BD0D06">
        <w:rPr>
          <w:color w:val="auto"/>
        </w:rPr>
        <w:t>DFAT</w:t>
      </w:r>
      <w:r w:rsidR="29A450B0" w:rsidRPr="00BD0D06">
        <w:rPr>
          <w:color w:val="auto"/>
        </w:rPr>
        <w:t xml:space="preserve"> </w:t>
      </w:r>
      <w:r w:rsidRPr="00BD0D06">
        <w:rPr>
          <w:color w:val="auto"/>
        </w:rPr>
        <w:t xml:space="preserve">also notes that several </w:t>
      </w:r>
      <w:proofErr w:type="gramStart"/>
      <w:r w:rsidRPr="00BD0D06">
        <w:rPr>
          <w:color w:val="auto"/>
        </w:rPr>
        <w:t>internally-led</w:t>
      </w:r>
      <w:proofErr w:type="gramEnd"/>
      <w:r w:rsidRPr="00BD0D06">
        <w:rPr>
          <w:color w:val="auto"/>
        </w:rPr>
        <w:t xml:space="preserve"> processes and consultations within DFAT and with TAF should take place to better articulate the purpose and continuing relevance of the program</w:t>
      </w:r>
      <w:r w:rsidR="00F92673" w:rsidRPr="00BD0D06">
        <w:rPr>
          <w:color w:val="auto"/>
        </w:rPr>
        <w:t xml:space="preserve">. </w:t>
      </w:r>
      <w:r w:rsidR="003D038D" w:rsidRPr="00BD0D06">
        <w:rPr>
          <w:color w:val="auto"/>
        </w:rPr>
        <w:t>The r</w:t>
      </w:r>
      <w:r w:rsidR="00F92673" w:rsidRPr="00BD0D06">
        <w:rPr>
          <w:color w:val="auto"/>
        </w:rPr>
        <w:t xml:space="preserve">esults </w:t>
      </w:r>
      <w:r w:rsidR="003D038D" w:rsidRPr="00BD0D06">
        <w:rPr>
          <w:color w:val="auto"/>
        </w:rPr>
        <w:t>from</w:t>
      </w:r>
      <w:r w:rsidR="00F92673" w:rsidRPr="00BD0D06">
        <w:rPr>
          <w:color w:val="auto"/>
        </w:rPr>
        <w:t xml:space="preserve"> these discussions </w:t>
      </w:r>
      <w:r w:rsidR="008161ED" w:rsidRPr="00BD0D06">
        <w:rPr>
          <w:color w:val="auto"/>
        </w:rPr>
        <w:t xml:space="preserve">are expected to make the program more </w:t>
      </w:r>
      <w:r w:rsidRPr="00BD0D06">
        <w:rPr>
          <w:color w:val="auto"/>
        </w:rPr>
        <w:t>responsive to the shared strategic objectives of Australia and the Philippines.</w:t>
      </w:r>
    </w:p>
    <w:p w14:paraId="280FF336" w14:textId="77777777" w:rsidR="007B756B" w:rsidRPr="00BD0D06" w:rsidRDefault="007B756B" w:rsidP="007B756B">
      <w:pPr>
        <w:pStyle w:val="Heading3"/>
        <w:rPr>
          <w:color w:val="auto"/>
        </w:rPr>
      </w:pPr>
      <w:r w:rsidRPr="00BD0D06">
        <w:rPr>
          <w:color w:val="auto"/>
        </w:rPr>
        <w:t xml:space="preserve">Individual management response to the recommendations </w:t>
      </w:r>
    </w:p>
    <w:tbl>
      <w:tblPr>
        <w:tblStyle w:val="DFATTable1"/>
        <w:tblW w:w="13892"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2778"/>
        <w:gridCol w:w="1617"/>
        <w:gridCol w:w="3685"/>
        <w:gridCol w:w="3033"/>
        <w:gridCol w:w="2779"/>
      </w:tblGrid>
      <w:tr w:rsidR="00BD0D06" w:rsidRPr="00BD0D06" w14:paraId="0F4764B0" w14:textId="77777777" w:rsidTr="2F42F7DD">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778" w:type="dxa"/>
            <w:shd w:val="clear" w:color="auto" w:fill="ED7D31" w:themeFill="accent2"/>
            <w:hideMark/>
          </w:tcPr>
          <w:p w14:paraId="06F21DC9" w14:textId="77777777" w:rsidR="007B756B" w:rsidRPr="00BD0D06" w:rsidRDefault="007B756B" w:rsidP="004F0115">
            <w:pPr>
              <w:pStyle w:val="TableHeaderRow"/>
              <w:rPr>
                <w:color w:val="auto"/>
                <w:szCs w:val="22"/>
              </w:rPr>
            </w:pPr>
            <w:r w:rsidRPr="00BD0D06">
              <w:rPr>
                <w:color w:val="auto"/>
                <w:szCs w:val="22"/>
              </w:rPr>
              <w:t>Recommendation</w:t>
            </w:r>
          </w:p>
        </w:tc>
        <w:tc>
          <w:tcPr>
            <w:tcW w:w="1617" w:type="dxa"/>
            <w:shd w:val="clear" w:color="auto" w:fill="ED7D31" w:themeFill="accent2"/>
            <w:hideMark/>
          </w:tcPr>
          <w:p w14:paraId="116D6038" w14:textId="59E913C4" w:rsidR="007B756B" w:rsidRPr="00BD0D06" w:rsidRDefault="007B756B"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Response </w:t>
            </w:r>
            <w:r w:rsidRPr="00BD0D06">
              <w:rPr>
                <w:color w:val="auto"/>
                <w:szCs w:val="22"/>
              </w:rPr>
              <w:br/>
            </w:r>
          </w:p>
        </w:tc>
        <w:tc>
          <w:tcPr>
            <w:tcW w:w="3685" w:type="dxa"/>
            <w:shd w:val="clear" w:color="auto" w:fill="ED7D31" w:themeFill="accent2"/>
            <w:hideMark/>
          </w:tcPr>
          <w:p w14:paraId="2C1100AA" w14:textId="77777777" w:rsidR="007B756B" w:rsidRPr="00BD0D06" w:rsidRDefault="007B756B"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Explanation </w:t>
            </w:r>
          </w:p>
        </w:tc>
        <w:tc>
          <w:tcPr>
            <w:tcW w:w="3033" w:type="dxa"/>
            <w:shd w:val="clear" w:color="auto" w:fill="ED7D31" w:themeFill="accent2"/>
            <w:hideMark/>
          </w:tcPr>
          <w:p w14:paraId="235335B4" w14:textId="77777777" w:rsidR="007B756B" w:rsidRPr="00BD0D06" w:rsidRDefault="007B756B"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Action plan </w:t>
            </w:r>
          </w:p>
        </w:tc>
        <w:tc>
          <w:tcPr>
            <w:tcW w:w="2779" w:type="dxa"/>
            <w:shd w:val="clear" w:color="auto" w:fill="ED7D31" w:themeFill="accent2"/>
            <w:hideMark/>
          </w:tcPr>
          <w:p w14:paraId="4A3FF9DB" w14:textId="77777777" w:rsidR="007B756B" w:rsidRPr="00BD0D06" w:rsidRDefault="007B756B"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Timeframe</w:t>
            </w:r>
          </w:p>
          <w:p w14:paraId="13611AA2" w14:textId="5DA8280F" w:rsidR="007B756B" w:rsidRPr="00BD0D06" w:rsidRDefault="007B756B" w:rsidP="004F0115">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2"/>
              </w:rPr>
            </w:pPr>
          </w:p>
        </w:tc>
      </w:tr>
      <w:tr w:rsidR="00BD0D06" w:rsidRPr="00BD0D06" w14:paraId="6D8D35DF" w14:textId="77777777" w:rsidTr="2F42F7DD">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2778" w:type="dxa"/>
          </w:tcPr>
          <w:p w14:paraId="416B7895" w14:textId="191D8965" w:rsidR="00FE6872" w:rsidRPr="00BD0D06" w:rsidRDefault="00FE6872" w:rsidP="00FE6872">
            <w:pPr>
              <w:pStyle w:val="Bullet1"/>
              <w:numPr>
                <w:ilvl w:val="0"/>
                <w:numId w:val="0"/>
              </w:numPr>
              <w:spacing w:before="0"/>
              <w:ind w:left="284"/>
              <w:rPr>
                <w:rFonts w:asciiTheme="majorHAnsi" w:hAnsiTheme="majorHAnsi" w:cstheme="majorHAnsi"/>
                <w:color w:val="auto"/>
              </w:rPr>
            </w:pPr>
            <w:r w:rsidRPr="00BD0D06">
              <w:rPr>
                <w:rFonts w:asciiTheme="majorHAnsi" w:hAnsiTheme="majorHAnsi" w:cstheme="majorHAnsi"/>
                <w:color w:val="auto"/>
              </w:rPr>
              <w:t>Recommendation 1:</w:t>
            </w:r>
          </w:p>
          <w:p w14:paraId="5808048F" w14:textId="63835BF4" w:rsidR="007B756B" w:rsidRPr="00BD0D06" w:rsidRDefault="00FE6872" w:rsidP="00FE6872">
            <w:pPr>
              <w:pStyle w:val="Bullet1"/>
              <w:numPr>
                <w:ilvl w:val="0"/>
                <w:numId w:val="0"/>
              </w:numPr>
              <w:spacing w:before="0"/>
              <w:ind w:left="284"/>
              <w:rPr>
                <w:rFonts w:asciiTheme="majorHAnsi" w:hAnsiTheme="majorHAnsi" w:cstheme="majorHAnsi"/>
                <w:i/>
                <w:iCs/>
                <w:color w:val="auto"/>
              </w:rPr>
            </w:pPr>
            <w:r w:rsidRPr="00BD0D06">
              <w:rPr>
                <w:rFonts w:asciiTheme="majorHAnsi" w:hAnsiTheme="majorHAnsi" w:cstheme="majorHAnsi"/>
                <w:i/>
                <w:iCs/>
                <w:color w:val="auto"/>
              </w:rPr>
              <w:t>Extend the program to 2024</w:t>
            </w:r>
          </w:p>
        </w:tc>
        <w:tc>
          <w:tcPr>
            <w:tcW w:w="1617" w:type="dxa"/>
            <w:shd w:val="clear" w:color="auto" w:fill="92D050"/>
            <w:hideMark/>
          </w:tcPr>
          <w:p w14:paraId="46A3BBA3" w14:textId="0B06002A" w:rsidR="007B756B" w:rsidRPr="00BD0D06" w:rsidRDefault="01C544C4" w:rsidP="00FE6872">
            <w:pPr>
              <w:pStyle w:val="Heading3"/>
              <w:spacing w:before="0"/>
              <w:outlineLvl w:val="2"/>
              <w:cnfStyle w:val="000000100000" w:firstRow="0" w:lastRow="0" w:firstColumn="0" w:lastColumn="0" w:oddVBand="0" w:evenVBand="0" w:oddHBand="1" w:evenHBand="0" w:firstRowFirstColumn="0" w:firstRowLastColumn="0" w:lastRowFirstColumn="0" w:lastRowLastColumn="0"/>
              <w:rPr>
                <w:color w:val="auto"/>
                <w:sz w:val="22"/>
                <w:szCs w:val="22"/>
              </w:rPr>
            </w:pPr>
            <w:r w:rsidRPr="00BD0D06">
              <w:rPr>
                <w:color w:val="auto"/>
                <w:sz w:val="22"/>
                <w:szCs w:val="22"/>
              </w:rPr>
              <w:t>Agree</w:t>
            </w:r>
            <w:r w:rsidR="7629D3C9" w:rsidRPr="00BD0D06">
              <w:rPr>
                <w:color w:val="auto"/>
                <w:sz w:val="22"/>
                <w:szCs w:val="22"/>
              </w:rPr>
              <w:t xml:space="preserve"> with clarifications</w:t>
            </w:r>
            <w:r w:rsidRPr="00BD0D06">
              <w:rPr>
                <w:color w:val="auto"/>
                <w:sz w:val="22"/>
                <w:szCs w:val="22"/>
              </w:rPr>
              <w:t xml:space="preserve"> </w:t>
            </w:r>
          </w:p>
        </w:tc>
        <w:tc>
          <w:tcPr>
            <w:tcW w:w="3685" w:type="dxa"/>
          </w:tcPr>
          <w:p w14:paraId="70222336" w14:textId="44282717" w:rsidR="00FE6872" w:rsidRPr="00BD0D06" w:rsidRDefault="00FE6872" w:rsidP="00FE6872">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 xml:space="preserve">The Coalitions for Change (CfC) program remains highly relevant and valued </w:t>
            </w:r>
            <w:r w:rsidR="7A8F83EC" w:rsidRPr="00BD0D06">
              <w:rPr>
                <w:color w:val="auto"/>
              </w:rPr>
              <w:t>by</w:t>
            </w:r>
            <w:r w:rsidRPr="00BD0D06">
              <w:rPr>
                <w:color w:val="auto"/>
              </w:rPr>
              <w:t xml:space="preserve"> DFAT and should be extended until 2024. There is merit in extending the program beyond the upcoming 2022 elections so it can reassess conditions under </w:t>
            </w:r>
            <w:r w:rsidR="50100FF9" w:rsidRPr="00BD0D06">
              <w:rPr>
                <w:color w:val="auto"/>
              </w:rPr>
              <w:t>a</w:t>
            </w:r>
            <w:r w:rsidRPr="00BD0D06">
              <w:rPr>
                <w:color w:val="auto"/>
              </w:rPr>
              <w:t xml:space="preserve"> new administration. This helps determine the work required for continuing reforms or if there are opportunities to pursue other significant and timely reforms.</w:t>
            </w:r>
          </w:p>
          <w:p w14:paraId="68ADBE55" w14:textId="77777777" w:rsidR="00FE6872" w:rsidRPr="00BD0D06" w:rsidRDefault="00FE6872" w:rsidP="00FE6872">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p>
          <w:p w14:paraId="12624651" w14:textId="2CEC8A29" w:rsidR="007B756B" w:rsidRPr="00BD0D06" w:rsidRDefault="00FE6872" w:rsidP="00FE6872">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lastRenderedPageBreak/>
              <w:t xml:space="preserve">DFAT also recognises that the review </w:t>
            </w:r>
            <w:r w:rsidR="00A93348" w:rsidRPr="00BD0D06">
              <w:rPr>
                <w:color w:val="auto"/>
              </w:rPr>
              <w:t xml:space="preserve">identified areas of improvement in </w:t>
            </w:r>
            <w:r w:rsidR="00114775" w:rsidRPr="00BD0D06">
              <w:rPr>
                <w:color w:val="auto"/>
              </w:rPr>
              <w:t>the current</w:t>
            </w:r>
            <w:r w:rsidRPr="00BD0D06">
              <w:rPr>
                <w:color w:val="auto"/>
              </w:rPr>
              <w:t xml:space="preserve"> agreement provisions</w:t>
            </w:r>
            <w:r w:rsidR="00A93348" w:rsidRPr="00BD0D06">
              <w:rPr>
                <w:color w:val="auto"/>
              </w:rPr>
              <w:t>, which will be acted upon</w:t>
            </w:r>
            <w:r w:rsidRPr="00BD0D06">
              <w:rPr>
                <w:color w:val="auto"/>
              </w:rPr>
              <w:t>.</w:t>
            </w:r>
          </w:p>
        </w:tc>
        <w:tc>
          <w:tcPr>
            <w:tcW w:w="3033" w:type="dxa"/>
          </w:tcPr>
          <w:p w14:paraId="5F304CB1" w14:textId="08E862F9" w:rsidR="007B756B" w:rsidRPr="00BD0D06" w:rsidRDefault="003019C0" w:rsidP="00FE6872">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lastRenderedPageBreak/>
              <w:t xml:space="preserve">DFAT will commence contract negotiations with TAF with a view to incorporating review recommendations. </w:t>
            </w:r>
          </w:p>
        </w:tc>
        <w:tc>
          <w:tcPr>
            <w:tcW w:w="2779" w:type="dxa"/>
          </w:tcPr>
          <w:p w14:paraId="5AFB1623" w14:textId="36EAC1AE" w:rsidR="007B756B" w:rsidRPr="00BD0D06" w:rsidRDefault="244BA43B" w:rsidP="00FE6872">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Action already taken by DFAT in coordination with TAF</w:t>
            </w:r>
          </w:p>
        </w:tc>
      </w:tr>
    </w:tbl>
    <w:p w14:paraId="7F417E91" w14:textId="77777777" w:rsidR="007B756B" w:rsidRPr="00BD0D06" w:rsidRDefault="007B756B" w:rsidP="007B756B">
      <w:pPr>
        <w:pStyle w:val="BodyText"/>
        <w:rPr>
          <w:rFonts w:ascii="Franklin Gothic Book" w:hAnsi="Franklin Gothic Book"/>
          <w:color w:val="auto"/>
          <w:sz w:val="21"/>
        </w:rPr>
      </w:pPr>
    </w:p>
    <w:tbl>
      <w:tblPr>
        <w:tblStyle w:val="DFATTable1"/>
        <w:tblW w:w="13892"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2778"/>
        <w:gridCol w:w="1617"/>
        <w:gridCol w:w="3685"/>
        <w:gridCol w:w="3033"/>
        <w:gridCol w:w="2779"/>
      </w:tblGrid>
      <w:tr w:rsidR="00BD0D06" w:rsidRPr="00BD0D06" w14:paraId="1FD06BAC" w14:textId="77777777" w:rsidTr="658E0CD6">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778" w:type="dxa"/>
            <w:shd w:val="clear" w:color="auto" w:fill="ED7D31" w:themeFill="accent2"/>
            <w:hideMark/>
          </w:tcPr>
          <w:p w14:paraId="4A60DEDC" w14:textId="77777777" w:rsidR="00FE6872" w:rsidRPr="00BD0D06" w:rsidRDefault="00FE6872" w:rsidP="004F0115">
            <w:pPr>
              <w:pStyle w:val="TableHeaderRow"/>
              <w:rPr>
                <w:color w:val="auto"/>
                <w:szCs w:val="22"/>
              </w:rPr>
            </w:pPr>
            <w:bookmarkStart w:id="0" w:name="_Hlk72920973"/>
            <w:r w:rsidRPr="00BD0D06">
              <w:rPr>
                <w:color w:val="auto"/>
                <w:szCs w:val="22"/>
              </w:rPr>
              <w:t>Recommendation</w:t>
            </w:r>
          </w:p>
        </w:tc>
        <w:tc>
          <w:tcPr>
            <w:tcW w:w="1617" w:type="dxa"/>
            <w:shd w:val="clear" w:color="auto" w:fill="ED7D31" w:themeFill="accent2"/>
            <w:hideMark/>
          </w:tcPr>
          <w:p w14:paraId="015280AE" w14:textId="77777777" w:rsidR="00FE6872" w:rsidRPr="00BD0D06" w:rsidRDefault="00FE6872"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Response </w:t>
            </w:r>
            <w:r w:rsidRPr="00BD0D06">
              <w:rPr>
                <w:color w:val="auto"/>
                <w:szCs w:val="22"/>
              </w:rPr>
              <w:br/>
            </w:r>
          </w:p>
        </w:tc>
        <w:tc>
          <w:tcPr>
            <w:tcW w:w="3685" w:type="dxa"/>
            <w:shd w:val="clear" w:color="auto" w:fill="ED7D31" w:themeFill="accent2"/>
            <w:hideMark/>
          </w:tcPr>
          <w:p w14:paraId="551F561F" w14:textId="77777777" w:rsidR="00FE6872" w:rsidRPr="00BD0D06" w:rsidRDefault="00FE6872"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Explanation </w:t>
            </w:r>
          </w:p>
        </w:tc>
        <w:tc>
          <w:tcPr>
            <w:tcW w:w="3033" w:type="dxa"/>
            <w:shd w:val="clear" w:color="auto" w:fill="ED7D31" w:themeFill="accent2"/>
            <w:hideMark/>
          </w:tcPr>
          <w:p w14:paraId="2E37C4F9" w14:textId="77777777" w:rsidR="00FE6872" w:rsidRPr="00BD0D06" w:rsidRDefault="00FE6872"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Action plan </w:t>
            </w:r>
          </w:p>
        </w:tc>
        <w:tc>
          <w:tcPr>
            <w:tcW w:w="2779" w:type="dxa"/>
            <w:shd w:val="clear" w:color="auto" w:fill="ED7D31" w:themeFill="accent2"/>
            <w:hideMark/>
          </w:tcPr>
          <w:p w14:paraId="2C8C3E01" w14:textId="77777777" w:rsidR="00FE6872" w:rsidRPr="00BD0D06" w:rsidRDefault="00FE6872"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Timeframe</w:t>
            </w:r>
          </w:p>
          <w:p w14:paraId="1B337306" w14:textId="77777777" w:rsidR="00FE6872" w:rsidRPr="00BD0D06" w:rsidRDefault="00FE6872" w:rsidP="004F0115">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2"/>
              </w:rPr>
            </w:pPr>
          </w:p>
        </w:tc>
      </w:tr>
      <w:tr w:rsidR="00BD0D06" w:rsidRPr="00BD0D06" w14:paraId="14AFB098" w14:textId="77777777" w:rsidTr="658E0CD6">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2778" w:type="dxa"/>
          </w:tcPr>
          <w:p w14:paraId="727A4C33" w14:textId="0B034FEA" w:rsidR="00FE6872" w:rsidRPr="00BD0D06" w:rsidRDefault="00FE6872" w:rsidP="00FE6872">
            <w:pPr>
              <w:pStyle w:val="Bullet1"/>
              <w:numPr>
                <w:ilvl w:val="0"/>
                <w:numId w:val="0"/>
              </w:numPr>
              <w:spacing w:before="0"/>
              <w:ind w:left="284"/>
              <w:rPr>
                <w:rFonts w:asciiTheme="majorHAnsi" w:hAnsiTheme="majorHAnsi" w:cstheme="majorHAnsi"/>
                <w:color w:val="auto"/>
              </w:rPr>
            </w:pPr>
            <w:r w:rsidRPr="00BD0D06">
              <w:rPr>
                <w:rFonts w:asciiTheme="majorHAnsi" w:hAnsiTheme="majorHAnsi" w:cstheme="majorHAnsi"/>
                <w:color w:val="auto"/>
              </w:rPr>
              <w:t>Recommendation 2:</w:t>
            </w:r>
          </w:p>
          <w:p w14:paraId="19BF6BB2" w14:textId="677444A5" w:rsidR="00FE6872" w:rsidRPr="00BD0D06" w:rsidRDefault="00FE6872" w:rsidP="00FE6872">
            <w:pPr>
              <w:pStyle w:val="Bullet1"/>
              <w:numPr>
                <w:ilvl w:val="0"/>
                <w:numId w:val="0"/>
              </w:numPr>
              <w:spacing w:before="0"/>
              <w:ind w:left="284"/>
              <w:rPr>
                <w:rFonts w:asciiTheme="majorHAnsi" w:hAnsiTheme="majorHAnsi" w:cstheme="majorHAnsi"/>
                <w:i/>
                <w:iCs/>
                <w:color w:val="auto"/>
              </w:rPr>
            </w:pPr>
            <w:r w:rsidRPr="00BD0D06">
              <w:rPr>
                <w:rFonts w:asciiTheme="majorHAnsi" w:hAnsiTheme="majorHAnsi" w:cstheme="majorHAnsi"/>
                <w:i/>
                <w:iCs/>
                <w:color w:val="auto"/>
              </w:rPr>
              <w:t>As a condition of extension, institutionalise contribution analysis within CfC’s approach to monitoring, learning and evaluation. This may require external advice, but it should be an internal (but independently critiqued) and ongoing function.</w:t>
            </w:r>
          </w:p>
        </w:tc>
        <w:tc>
          <w:tcPr>
            <w:tcW w:w="1617" w:type="dxa"/>
            <w:shd w:val="clear" w:color="auto" w:fill="92D050"/>
            <w:hideMark/>
          </w:tcPr>
          <w:p w14:paraId="5F9346B5" w14:textId="77777777" w:rsidR="00FE6872" w:rsidRPr="00BD0D06" w:rsidRDefault="00FE6872" w:rsidP="00FE6872">
            <w:pPr>
              <w:pStyle w:val="Heading3"/>
              <w:spacing w:before="0"/>
              <w:outlineLvl w:val="2"/>
              <w:cnfStyle w:val="000000100000" w:firstRow="0" w:lastRow="0" w:firstColumn="0" w:lastColumn="0" w:oddVBand="0" w:evenVBand="0" w:oddHBand="1" w:evenHBand="0" w:firstRowFirstColumn="0" w:firstRowLastColumn="0" w:lastRowFirstColumn="0" w:lastRowLastColumn="0"/>
              <w:rPr>
                <w:color w:val="auto"/>
                <w:sz w:val="22"/>
                <w:szCs w:val="22"/>
              </w:rPr>
            </w:pPr>
            <w:r w:rsidRPr="00BD0D06">
              <w:rPr>
                <w:color w:val="auto"/>
                <w:sz w:val="22"/>
                <w:szCs w:val="22"/>
              </w:rPr>
              <w:t xml:space="preserve">Agree </w:t>
            </w:r>
          </w:p>
        </w:tc>
        <w:tc>
          <w:tcPr>
            <w:tcW w:w="3685" w:type="dxa"/>
          </w:tcPr>
          <w:p w14:paraId="45293BC8" w14:textId="6055BE0B" w:rsidR="00FE6872" w:rsidRPr="00BD0D06" w:rsidRDefault="00FE6872" w:rsidP="00C2058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CfC has undergone regular evaluation and while much has been learned from them, we agree that CfC can</w:t>
            </w:r>
            <w:r w:rsidR="41BEC9E3" w:rsidRPr="00BD0D06">
              <w:rPr>
                <w:color w:val="auto"/>
              </w:rPr>
              <w:t xml:space="preserve"> further</w:t>
            </w:r>
            <w:r w:rsidRPr="00BD0D06">
              <w:rPr>
                <w:color w:val="auto"/>
              </w:rPr>
              <w:t xml:space="preserve"> demonstrate the program’s value in policy engagement by looking at its actual contribution to observed development outcomes. Th</w:t>
            </w:r>
            <w:r w:rsidR="00D305E9" w:rsidRPr="00BD0D06">
              <w:rPr>
                <w:color w:val="auto"/>
              </w:rPr>
              <w:t>ese processes</w:t>
            </w:r>
            <w:r w:rsidRPr="00BD0D06">
              <w:rPr>
                <w:color w:val="auto"/>
              </w:rPr>
              <w:t xml:space="preserve"> </w:t>
            </w:r>
            <w:r w:rsidR="33F2A8F3" w:rsidRPr="00BD0D06">
              <w:rPr>
                <w:color w:val="auto"/>
              </w:rPr>
              <w:t xml:space="preserve">should also align with </w:t>
            </w:r>
            <w:r w:rsidRPr="00BD0D06">
              <w:rPr>
                <w:color w:val="auto"/>
              </w:rPr>
              <w:t xml:space="preserve">DFAT’s articulated clarity of purpose from Recommendation </w:t>
            </w:r>
            <w:r w:rsidR="33F2A8F3" w:rsidRPr="00BD0D06">
              <w:rPr>
                <w:color w:val="auto"/>
              </w:rPr>
              <w:t>3</w:t>
            </w:r>
            <w:r w:rsidRPr="00BD0D06">
              <w:rPr>
                <w:color w:val="auto"/>
              </w:rPr>
              <w:t>.</w:t>
            </w:r>
          </w:p>
        </w:tc>
        <w:tc>
          <w:tcPr>
            <w:tcW w:w="3033" w:type="dxa"/>
          </w:tcPr>
          <w:p w14:paraId="59E74F5B" w14:textId="7E71BEA3" w:rsidR="00FE6872" w:rsidRPr="00BD0D06" w:rsidRDefault="00FE6872" w:rsidP="00FE6872">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TAF and DFAT to jointly design a process that can determine CfC’s contribution to higher-level goals. DFAT and TAF, if necessary, could seek external advice on the contribution analysis method and customi</w:t>
            </w:r>
            <w:r w:rsidR="00A93348" w:rsidRPr="00BD0D06">
              <w:rPr>
                <w:color w:val="auto"/>
              </w:rPr>
              <w:t>s</w:t>
            </w:r>
            <w:r w:rsidRPr="00BD0D06">
              <w:rPr>
                <w:color w:val="auto"/>
              </w:rPr>
              <w:t>e it for CfC.</w:t>
            </w:r>
          </w:p>
        </w:tc>
        <w:tc>
          <w:tcPr>
            <w:tcW w:w="2779" w:type="dxa"/>
          </w:tcPr>
          <w:p w14:paraId="3165425D" w14:textId="656713F8" w:rsidR="00FE6872" w:rsidRPr="00BD0D06" w:rsidRDefault="00F92673" w:rsidP="00FE6872">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Action already taken by DFAT in coordination with TAF</w:t>
            </w:r>
          </w:p>
        </w:tc>
      </w:tr>
      <w:bookmarkEnd w:id="0"/>
    </w:tbl>
    <w:p w14:paraId="63ED8830" w14:textId="77777777" w:rsidR="00633E4C" w:rsidRPr="00BD0D06" w:rsidRDefault="00633E4C" w:rsidP="35723683">
      <w:pPr>
        <w:pStyle w:val="BodyText"/>
        <w:rPr>
          <w:rFonts w:ascii="Franklin Gothic Book" w:hAnsi="Franklin Gothic Book"/>
          <w:color w:val="auto"/>
          <w:sz w:val="21"/>
          <w:szCs w:val="21"/>
        </w:rPr>
      </w:pPr>
    </w:p>
    <w:tbl>
      <w:tblPr>
        <w:tblStyle w:val="DFATTable1"/>
        <w:tblW w:w="13892"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2778"/>
        <w:gridCol w:w="1617"/>
        <w:gridCol w:w="3685"/>
        <w:gridCol w:w="3033"/>
        <w:gridCol w:w="2779"/>
      </w:tblGrid>
      <w:tr w:rsidR="00BD0D06" w:rsidRPr="00BD0D06" w14:paraId="417E2D6C" w14:textId="77777777" w:rsidTr="2F42F7DD">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778" w:type="dxa"/>
            <w:shd w:val="clear" w:color="auto" w:fill="ED7D31" w:themeFill="accent2"/>
            <w:hideMark/>
          </w:tcPr>
          <w:p w14:paraId="3D01B125" w14:textId="77777777" w:rsidR="00FE6872" w:rsidRPr="00BD0D06" w:rsidRDefault="00FE6872" w:rsidP="004F0115">
            <w:pPr>
              <w:pStyle w:val="TableHeaderRow"/>
              <w:rPr>
                <w:color w:val="auto"/>
                <w:szCs w:val="22"/>
              </w:rPr>
            </w:pPr>
            <w:r w:rsidRPr="00BD0D06">
              <w:rPr>
                <w:color w:val="auto"/>
                <w:szCs w:val="22"/>
              </w:rPr>
              <w:lastRenderedPageBreak/>
              <w:t>Recommendation</w:t>
            </w:r>
          </w:p>
        </w:tc>
        <w:tc>
          <w:tcPr>
            <w:tcW w:w="1617" w:type="dxa"/>
            <w:shd w:val="clear" w:color="auto" w:fill="ED7D31" w:themeFill="accent2"/>
            <w:hideMark/>
          </w:tcPr>
          <w:p w14:paraId="04F5B0F0" w14:textId="77777777" w:rsidR="00FE6872" w:rsidRPr="00BD0D06" w:rsidRDefault="00FE6872"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Response </w:t>
            </w:r>
            <w:r w:rsidRPr="00BD0D06">
              <w:rPr>
                <w:color w:val="auto"/>
                <w:szCs w:val="22"/>
              </w:rPr>
              <w:br/>
            </w:r>
          </w:p>
        </w:tc>
        <w:tc>
          <w:tcPr>
            <w:tcW w:w="3685" w:type="dxa"/>
            <w:shd w:val="clear" w:color="auto" w:fill="ED7D31" w:themeFill="accent2"/>
            <w:hideMark/>
          </w:tcPr>
          <w:p w14:paraId="60918827" w14:textId="77777777" w:rsidR="00FE6872" w:rsidRPr="00BD0D06" w:rsidRDefault="00FE6872"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Explanation </w:t>
            </w:r>
          </w:p>
        </w:tc>
        <w:tc>
          <w:tcPr>
            <w:tcW w:w="3033" w:type="dxa"/>
            <w:shd w:val="clear" w:color="auto" w:fill="ED7D31" w:themeFill="accent2"/>
            <w:hideMark/>
          </w:tcPr>
          <w:p w14:paraId="4A213D5F" w14:textId="77777777" w:rsidR="00FE6872" w:rsidRPr="00BD0D06" w:rsidRDefault="00FE6872"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Action plan </w:t>
            </w:r>
          </w:p>
        </w:tc>
        <w:tc>
          <w:tcPr>
            <w:tcW w:w="2779" w:type="dxa"/>
            <w:shd w:val="clear" w:color="auto" w:fill="ED7D31" w:themeFill="accent2"/>
            <w:hideMark/>
          </w:tcPr>
          <w:p w14:paraId="783C535A" w14:textId="77777777" w:rsidR="00FE6872" w:rsidRPr="00BD0D06" w:rsidRDefault="00FE6872"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Timeframe</w:t>
            </w:r>
          </w:p>
          <w:p w14:paraId="3D56AED6" w14:textId="77777777" w:rsidR="00FE6872" w:rsidRPr="00BD0D06" w:rsidRDefault="00FE6872" w:rsidP="004F0115">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2"/>
              </w:rPr>
            </w:pPr>
          </w:p>
        </w:tc>
      </w:tr>
      <w:tr w:rsidR="00BD0D06" w:rsidRPr="00BD0D06" w14:paraId="20D2A38E" w14:textId="77777777" w:rsidTr="2F42F7DD">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2778" w:type="dxa"/>
          </w:tcPr>
          <w:p w14:paraId="20A14E5F" w14:textId="46E9ACCE" w:rsidR="00FE6872" w:rsidRPr="00BD0D06" w:rsidRDefault="00FE6872" w:rsidP="004F0115">
            <w:pPr>
              <w:pStyle w:val="Bullet1"/>
              <w:numPr>
                <w:ilvl w:val="0"/>
                <w:numId w:val="0"/>
              </w:numPr>
              <w:spacing w:before="0"/>
              <w:ind w:left="284"/>
              <w:rPr>
                <w:rFonts w:asciiTheme="majorHAnsi" w:hAnsiTheme="majorHAnsi" w:cstheme="majorHAnsi"/>
                <w:color w:val="auto"/>
              </w:rPr>
            </w:pPr>
            <w:r w:rsidRPr="00BD0D06">
              <w:rPr>
                <w:rFonts w:asciiTheme="majorHAnsi" w:hAnsiTheme="majorHAnsi" w:cstheme="majorHAnsi"/>
                <w:color w:val="auto"/>
              </w:rPr>
              <w:t>Recommendation 3:</w:t>
            </w:r>
          </w:p>
          <w:p w14:paraId="2C446E47" w14:textId="77777777" w:rsidR="00FE6872" w:rsidRPr="00BD0D06" w:rsidRDefault="00FE6872" w:rsidP="00633E4C">
            <w:pPr>
              <w:pStyle w:val="Bullet1"/>
              <w:numPr>
                <w:ilvl w:val="0"/>
                <w:numId w:val="0"/>
              </w:numPr>
              <w:spacing w:before="0"/>
              <w:ind w:left="284"/>
              <w:rPr>
                <w:rFonts w:asciiTheme="majorHAnsi" w:hAnsiTheme="majorHAnsi" w:cstheme="majorHAnsi"/>
                <w:i/>
                <w:iCs/>
                <w:color w:val="auto"/>
              </w:rPr>
            </w:pPr>
            <w:r w:rsidRPr="00BD0D06">
              <w:rPr>
                <w:rFonts w:asciiTheme="majorHAnsi" w:hAnsiTheme="majorHAnsi" w:cstheme="majorHAnsi"/>
                <w:i/>
                <w:iCs/>
                <w:color w:val="auto"/>
              </w:rPr>
              <w:t>Conduct a Post-led internal dialogue that can broaden and deepen discussion on CfC’s clarity of purpose. It should aim to answer the following questions:</w:t>
            </w:r>
          </w:p>
          <w:p w14:paraId="29475B4B" w14:textId="49A56E16" w:rsidR="00633E4C" w:rsidRPr="00BD0D06" w:rsidRDefault="00633E4C" w:rsidP="00633E4C">
            <w:pPr>
              <w:pStyle w:val="Bullet1"/>
              <w:spacing w:before="0"/>
              <w:ind w:left="284"/>
              <w:rPr>
                <w:rFonts w:asciiTheme="majorHAnsi" w:hAnsiTheme="majorHAnsi" w:cstheme="majorHAnsi"/>
                <w:i/>
                <w:iCs/>
                <w:color w:val="auto"/>
              </w:rPr>
            </w:pPr>
            <w:r w:rsidRPr="00BD0D06">
              <w:rPr>
                <w:rFonts w:asciiTheme="majorHAnsi" w:hAnsiTheme="majorHAnsi" w:cstheme="majorHAnsi"/>
                <w:i/>
                <w:iCs/>
                <w:color w:val="auto"/>
              </w:rPr>
              <w:t>How does CfC fit in DFAT’s modern agenda?</w:t>
            </w:r>
          </w:p>
          <w:p w14:paraId="3EB85045" w14:textId="77777777" w:rsidR="00633E4C" w:rsidRPr="00BD0D06" w:rsidRDefault="00633E4C" w:rsidP="00633E4C">
            <w:pPr>
              <w:pStyle w:val="Bullet1"/>
              <w:spacing w:before="0"/>
              <w:ind w:left="284"/>
              <w:rPr>
                <w:rFonts w:asciiTheme="majorHAnsi" w:hAnsiTheme="majorHAnsi" w:cstheme="majorHAnsi"/>
                <w:i/>
                <w:iCs/>
                <w:color w:val="auto"/>
              </w:rPr>
            </w:pPr>
            <w:r w:rsidRPr="00BD0D06">
              <w:rPr>
                <w:rFonts w:asciiTheme="majorHAnsi" w:hAnsiTheme="majorHAnsi" w:cstheme="majorHAnsi"/>
                <w:i/>
                <w:iCs/>
                <w:color w:val="auto"/>
              </w:rPr>
              <w:t>How can CfC contribute to that agenda?</w:t>
            </w:r>
          </w:p>
          <w:p w14:paraId="67484696" w14:textId="03C52F68" w:rsidR="00633E4C" w:rsidRPr="00BD0D06" w:rsidRDefault="00633E4C" w:rsidP="00633E4C">
            <w:pPr>
              <w:pStyle w:val="Bullet1"/>
              <w:spacing w:before="0"/>
              <w:ind w:left="284"/>
              <w:rPr>
                <w:rFonts w:asciiTheme="majorHAnsi" w:hAnsiTheme="majorHAnsi" w:cstheme="majorHAnsi"/>
                <w:i/>
                <w:iCs/>
                <w:color w:val="auto"/>
              </w:rPr>
            </w:pPr>
            <w:r w:rsidRPr="00BD0D06">
              <w:rPr>
                <w:rFonts w:asciiTheme="majorHAnsi" w:hAnsiTheme="majorHAnsi" w:cstheme="majorHAnsi"/>
                <w:i/>
                <w:iCs/>
                <w:color w:val="auto"/>
              </w:rPr>
              <w:t>What does success look like for CfC?</w:t>
            </w:r>
          </w:p>
        </w:tc>
        <w:tc>
          <w:tcPr>
            <w:tcW w:w="1617" w:type="dxa"/>
            <w:shd w:val="clear" w:color="auto" w:fill="92D050"/>
            <w:hideMark/>
          </w:tcPr>
          <w:p w14:paraId="5AC8CB8C" w14:textId="77777777" w:rsidR="00FE6872" w:rsidRPr="00BD0D06" w:rsidRDefault="00FE6872" w:rsidP="004F0115">
            <w:pPr>
              <w:pStyle w:val="Heading3"/>
              <w:spacing w:before="0"/>
              <w:outlineLvl w:val="2"/>
              <w:cnfStyle w:val="000000100000" w:firstRow="0" w:lastRow="0" w:firstColumn="0" w:lastColumn="0" w:oddVBand="0" w:evenVBand="0" w:oddHBand="1" w:evenHBand="0" w:firstRowFirstColumn="0" w:firstRowLastColumn="0" w:lastRowFirstColumn="0" w:lastRowLastColumn="0"/>
              <w:rPr>
                <w:color w:val="auto"/>
                <w:sz w:val="22"/>
                <w:szCs w:val="22"/>
              </w:rPr>
            </w:pPr>
            <w:r w:rsidRPr="00BD0D06">
              <w:rPr>
                <w:color w:val="auto"/>
                <w:sz w:val="22"/>
                <w:szCs w:val="22"/>
              </w:rPr>
              <w:t xml:space="preserve">Agree </w:t>
            </w:r>
          </w:p>
        </w:tc>
        <w:tc>
          <w:tcPr>
            <w:tcW w:w="3685" w:type="dxa"/>
          </w:tcPr>
          <w:p w14:paraId="1E66D3EA" w14:textId="3B970301" w:rsidR="00AC0AA6" w:rsidRPr="00BD0D06" w:rsidRDefault="71D1EA3D" w:rsidP="00AC0AA6">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 xml:space="preserve">The review has prompted and encouraged DFAT stakeholders to discuss the program’s strategic relevance </w:t>
            </w:r>
            <w:r w:rsidR="55FD07DF" w:rsidRPr="00BD0D06">
              <w:rPr>
                <w:color w:val="auto"/>
              </w:rPr>
              <w:t>to</w:t>
            </w:r>
            <w:r w:rsidRPr="00BD0D06">
              <w:rPr>
                <w:color w:val="auto"/>
              </w:rPr>
              <w:t xml:space="preserve"> Australia’s </w:t>
            </w:r>
            <w:r w:rsidR="7D0F115C" w:rsidRPr="00BD0D06">
              <w:rPr>
                <w:color w:val="auto"/>
              </w:rPr>
              <w:t>priorities</w:t>
            </w:r>
            <w:r w:rsidRPr="00BD0D06">
              <w:rPr>
                <w:color w:val="auto"/>
              </w:rPr>
              <w:t xml:space="preserve"> in the region and in middle-income countr</w:t>
            </w:r>
            <w:r w:rsidR="057D3996" w:rsidRPr="00BD0D06">
              <w:rPr>
                <w:color w:val="auto"/>
              </w:rPr>
              <w:t>ies</w:t>
            </w:r>
            <w:r w:rsidR="5133F32E" w:rsidRPr="00BD0D06">
              <w:rPr>
                <w:color w:val="auto"/>
              </w:rPr>
              <w:t>.</w:t>
            </w:r>
          </w:p>
          <w:p w14:paraId="69DC7B5E" w14:textId="77777777" w:rsidR="00AC0AA6" w:rsidRPr="00BD0D06" w:rsidRDefault="00AC0AA6" w:rsidP="00AC0AA6">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p>
          <w:p w14:paraId="643598A4" w14:textId="39F9C92E" w:rsidR="00FE6872" w:rsidRPr="00BD0D06" w:rsidRDefault="00114775" w:rsidP="00AC0AA6">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The IPR</w:t>
            </w:r>
            <w:r w:rsidR="71D1EA3D" w:rsidRPr="00BD0D06">
              <w:rPr>
                <w:color w:val="auto"/>
              </w:rPr>
              <w:t xml:space="preserve"> has also highlighted</w:t>
            </w:r>
            <w:r w:rsidR="3E2D7F48" w:rsidRPr="00BD0D06">
              <w:rPr>
                <w:color w:val="auto"/>
              </w:rPr>
              <w:t xml:space="preserve"> that</w:t>
            </w:r>
            <w:r w:rsidR="71D1EA3D" w:rsidRPr="00BD0D06">
              <w:rPr>
                <w:color w:val="auto"/>
              </w:rPr>
              <w:t xml:space="preserve"> CfC </w:t>
            </w:r>
            <w:r w:rsidR="19D0CBA8" w:rsidRPr="00BD0D06">
              <w:rPr>
                <w:color w:val="auto"/>
              </w:rPr>
              <w:t xml:space="preserve">is </w:t>
            </w:r>
            <w:r w:rsidR="71D1EA3D" w:rsidRPr="00BD0D06">
              <w:rPr>
                <w:color w:val="auto"/>
              </w:rPr>
              <w:t xml:space="preserve">not just a program, but a </w:t>
            </w:r>
            <w:r w:rsidR="3F72DD3A" w:rsidRPr="00BD0D06">
              <w:rPr>
                <w:color w:val="auto"/>
              </w:rPr>
              <w:t>mechanism</w:t>
            </w:r>
            <w:r w:rsidR="71D1EA3D" w:rsidRPr="00BD0D06">
              <w:rPr>
                <w:color w:val="auto"/>
              </w:rPr>
              <w:t xml:space="preserve"> for policy engagement</w:t>
            </w:r>
            <w:r w:rsidR="0B231FD6" w:rsidRPr="00BD0D06">
              <w:rPr>
                <w:color w:val="auto"/>
              </w:rPr>
              <w:t>.</w:t>
            </w:r>
            <w:r w:rsidR="71D1EA3D" w:rsidRPr="00BD0D06">
              <w:rPr>
                <w:color w:val="auto"/>
              </w:rPr>
              <w:t xml:space="preserve">  Thus, it is contingent </w:t>
            </w:r>
            <w:r w:rsidR="59129A4E" w:rsidRPr="00BD0D06">
              <w:rPr>
                <w:color w:val="auto"/>
              </w:rPr>
              <w:t>on</w:t>
            </w:r>
            <w:r w:rsidR="71D1EA3D" w:rsidRPr="00BD0D06">
              <w:rPr>
                <w:color w:val="auto"/>
              </w:rPr>
              <w:t xml:space="preserve"> DFAT to </w:t>
            </w:r>
            <w:r w:rsidR="3BFF45B0" w:rsidRPr="00BD0D06">
              <w:rPr>
                <w:color w:val="auto"/>
              </w:rPr>
              <w:t xml:space="preserve">update </w:t>
            </w:r>
            <w:r w:rsidR="579A8992" w:rsidRPr="00BD0D06">
              <w:rPr>
                <w:color w:val="auto"/>
              </w:rPr>
              <w:t>CfC’s</w:t>
            </w:r>
            <w:r w:rsidR="71D1EA3D" w:rsidRPr="00BD0D06">
              <w:rPr>
                <w:color w:val="auto"/>
              </w:rPr>
              <w:t xml:space="preserve"> clarity of purpose.</w:t>
            </w:r>
          </w:p>
        </w:tc>
        <w:tc>
          <w:tcPr>
            <w:tcW w:w="3033" w:type="dxa"/>
          </w:tcPr>
          <w:p w14:paraId="772DC329" w14:textId="69822701" w:rsidR="00FE6872" w:rsidRPr="00BD0D06" w:rsidRDefault="000D4D93" w:rsidP="004F011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 xml:space="preserve">Post to develop a note that communicates DFAT stakeholders’ </w:t>
            </w:r>
            <w:r w:rsidR="00D6468A" w:rsidRPr="00BD0D06">
              <w:rPr>
                <w:color w:val="auto"/>
              </w:rPr>
              <w:t xml:space="preserve">clear </w:t>
            </w:r>
            <w:r w:rsidRPr="00BD0D06">
              <w:rPr>
                <w:color w:val="auto"/>
              </w:rPr>
              <w:t>consensus on CfC’s purpose and picture of success as expressed and gathered during the IPR process. This will be shared to the implementing partner for their own guidance and</w:t>
            </w:r>
            <w:r w:rsidR="00694DDA" w:rsidRPr="00BD0D06">
              <w:rPr>
                <w:color w:val="auto"/>
              </w:rPr>
              <w:t xml:space="preserve"> will be reflected in the provisions of the </w:t>
            </w:r>
            <w:r w:rsidR="27F472A9" w:rsidRPr="00BD0D06">
              <w:rPr>
                <w:color w:val="auto"/>
              </w:rPr>
              <w:t>amendment</w:t>
            </w:r>
            <w:r w:rsidR="00114775" w:rsidRPr="00BD0D06">
              <w:rPr>
                <w:color w:val="auto"/>
              </w:rPr>
              <w:t xml:space="preserve"> to the partnership agreement</w:t>
            </w:r>
            <w:r w:rsidR="00694DDA" w:rsidRPr="00BD0D06">
              <w:rPr>
                <w:color w:val="auto"/>
              </w:rPr>
              <w:t>.</w:t>
            </w:r>
          </w:p>
        </w:tc>
        <w:tc>
          <w:tcPr>
            <w:tcW w:w="2779" w:type="dxa"/>
          </w:tcPr>
          <w:p w14:paraId="31A4F834" w14:textId="4522BE24" w:rsidR="00FE6872" w:rsidRPr="00BD0D06" w:rsidRDefault="4E8BF6AB" w:rsidP="004F011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Action already taken by DFAT</w:t>
            </w:r>
            <w:r w:rsidR="389D4C82" w:rsidRPr="00BD0D06">
              <w:rPr>
                <w:color w:val="auto"/>
              </w:rPr>
              <w:t xml:space="preserve"> in</w:t>
            </w:r>
            <w:r w:rsidRPr="00BD0D06">
              <w:rPr>
                <w:color w:val="auto"/>
              </w:rPr>
              <w:t xml:space="preserve"> coordination with TAF and its Partnership Strategic Panel</w:t>
            </w:r>
          </w:p>
        </w:tc>
      </w:tr>
    </w:tbl>
    <w:p w14:paraId="6EC44C7C" w14:textId="1D711B39" w:rsidR="00767288" w:rsidRPr="00BD0D06" w:rsidRDefault="00767288" w:rsidP="35723683">
      <w:pPr>
        <w:rPr>
          <w:color w:val="auto"/>
        </w:rPr>
      </w:pPr>
    </w:p>
    <w:tbl>
      <w:tblPr>
        <w:tblStyle w:val="DFATTable1"/>
        <w:tblW w:w="13892"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2778"/>
        <w:gridCol w:w="1617"/>
        <w:gridCol w:w="3685"/>
        <w:gridCol w:w="3033"/>
        <w:gridCol w:w="2779"/>
      </w:tblGrid>
      <w:tr w:rsidR="00BD0D06" w:rsidRPr="00BD0D06" w14:paraId="5B9C2EC7" w14:textId="77777777" w:rsidTr="658E0CD6">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778" w:type="dxa"/>
            <w:shd w:val="clear" w:color="auto" w:fill="ED7D31" w:themeFill="accent2"/>
            <w:hideMark/>
          </w:tcPr>
          <w:p w14:paraId="34C04103" w14:textId="77777777" w:rsidR="00633E4C" w:rsidRPr="00BD0D06" w:rsidRDefault="00633E4C" w:rsidP="004F0115">
            <w:pPr>
              <w:pStyle w:val="TableHeaderRow"/>
              <w:rPr>
                <w:color w:val="auto"/>
                <w:szCs w:val="22"/>
              </w:rPr>
            </w:pPr>
            <w:r w:rsidRPr="00BD0D06">
              <w:rPr>
                <w:color w:val="auto"/>
                <w:szCs w:val="22"/>
              </w:rPr>
              <w:t>Recommendation</w:t>
            </w:r>
          </w:p>
        </w:tc>
        <w:tc>
          <w:tcPr>
            <w:tcW w:w="1617" w:type="dxa"/>
            <w:shd w:val="clear" w:color="auto" w:fill="ED7D31" w:themeFill="accent2"/>
            <w:hideMark/>
          </w:tcPr>
          <w:p w14:paraId="4E8ADD91" w14:textId="77777777" w:rsidR="00633E4C" w:rsidRPr="00BD0D06" w:rsidRDefault="00633E4C"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Response </w:t>
            </w:r>
            <w:r w:rsidRPr="00BD0D06">
              <w:rPr>
                <w:color w:val="auto"/>
                <w:szCs w:val="22"/>
              </w:rPr>
              <w:br/>
            </w:r>
          </w:p>
        </w:tc>
        <w:tc>
          <w:tcPr>
            <w:tcW w:w="3685" w:type="dxa"/>
            <w:shd w:val="clear" w:color="auto" w:fill="ED7D31" w:themeFill="accent2"/>
            <w:hideMark/>
          </w:tcPr>
          <w:p w14:paraId="4062D679" w14:textId="77777777" w:rsidR="00633E4C" w:rsidRPr="00BD0D06" w:rsidRDefault="00633E4C"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Explanation </w:t>
            </w:r>
          </w:p>
        </w:tc>
        <w:tc>
          <w:tcPr>
            <w:tcW w:w="3033" w:type="dxa"/>
            <w:shd w:val="clear" w:color="auto" w:fill="ED7D31" w:themeFill="accent2"/>
            <w:hideMark/>
          </w:tcPr>
          <w:p w14:paraId="2ACAAEC9" w14:textId="77777777" w:rsidR="00633E4C" w:rsidRPr="00BD0D06" w:rsidRDefault="00633E4C"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Action plan </w:t>
            </w:r>
          </w:p>
        </w:tc>
        <w:tc>
          <w:tcPr>
            <w:tcW w:w="2779" w:type="dxa"/>
            <w:shd w:val="clear" w:color="auto" w:fill="ED7D31" w:themeFill="accent2"/>
            <w:hideMark/>
          </w:tcPr>
          <w:p w14:paraId="3CA00BCB" w14:textId="77777777" w:rsidR="00633E4C" w:rsidRPr="00BD0D06" w:rsidRDefault="00633E4C"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Timeframe</w:t>
            </w:r>
          </w:p>
          <w:p w14:paraId="62F13C1E" w14:textId="77777777" w:rsidR="00633E4C" w:rsidRPr="00BD0D06" w:rsidRDefault="00633E4C" w:rsidP="004F0115">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2"/>
              </w:rPr>
            </w:pPr>
          </w:p>
        </w:tc>
      </w:tr>
      <w:tr w:rsidR="00BD0D06" w:rsidRPr="00BD0D06" w14:paraId="6910717E" w14:textId="77777777" w:rsidTr="658E0CD6">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2778" w:type="dxa"/>
          </w:tcPr>
          <w:p w14:paraId="11BB6701" w14:textId="44410E8B" w:rsidR="00633E4C" w:rsidRPr="00BD0D06" w:rsidRDefault="00633E4C" w:rsidP="004F0115">
            <w:pPr>
              <w:pStyle w:val="Bullet1"/>
              <w:numPr>
                <w:ilvl w:val="0"/>
                <w:numId w:val="0"/>
              </w:numPr>
              <w:spacing w:before="0"/>
              <w:ind w:left="284"/>
              <w:rPr>
                <w:rFonts w:asciiTheme="majorHAnsi" w:hAnsiTheme="majorHAnsi" w:cstheme="majorHAnsi"/>
                <w:color w:val="auto"/>
              </w:rPr>
            </w:pPr>
            <w:r w:rsidRPr="00BD0D06">
              <w:rPr>
                <w:rFonts w:asciiTheme="majorHAnsi" w:hAnsiTheme="majorHAnsi" w:cstheme="majorHAnsi"/>
                <w:color w:val="auto"/>
              </w:rPr>
              <w:t>Recommendation 4:</w:t>
            </w:r>
          </w:p>
          <w:p w14:paraId="5D6B5B9E" w14:textId="0ED585AF" w:rsidR="00633E4C" w:rsidRPr="00BD0D06" w:rsidRDefault="00633E4C" w:rsidP="004F0115">
            <w:pPr>
              <w:pStyle w:val="Bullet1"/>
              <w:numPr>
                <w:ilvl w:val="0"/>
                <w:numId w:val="0"/>
              </w:numPr>
              <w:spacing w:before="0"/>
              <w:ind w:left="284"/>
              <w:rPr>
                <w:rFonts w:asciiTheme="majorHAnsi" w:hAnsiTheme="majorHAnsi" w:cstheme="majorHAnsi"/>
                <w:i/>
                <w:iCs/>
                <w:color w:val="auto"/>
              </w:rPr>
            </w:pPr>
            <w:r w:rsidRPr="00BD0D06">
              <w:rPr>
                <w:rFonts w:asciiTheme="majorHAnsi" w:hAnsiTheme="majorHAnsi" w:cstheme="majorHAnsi"/>
                <w:i/>
                <w:iCs/>
                <w:color w:val="auto"/>
              </w:rPr>
              <w:t xml:space="preserve">Review how Post communicates CfC’s place in and utility to DFAT’s most strategic agendas, what success looks like beyond short-term ‘results’ and how such a program should be </w:t>
            </w:r>
            <w:r w:rsidRPr="00BD0D06">
              <w:rPr>
                <w:rFonts w:asciiTheme="majorHAnsi" w:hAnsiTheme="majorHAnsi" w:cstheme="majorHAnsi"/>
                <w:i/>
                <w:iCs/>
                <w:color w:val="auto"/>
              </w:rPr>
              <w:lastRenderedPageBreak/>
              <w:t>imagined as an element of a modern aid-integrated country presence.</w:t>
            </w:r>
          </w:p>
        </w:tc>
        <w:tc>
          <w:tcPr>
            <w:tcW w:w="1617" w:type="dxa"/>
            <w:shd w:val="clear" w:color="auto" w:fill="92D050"/>
            <w:hideMark/>
          </w:tcPr>
          <w:p w14:paraId="7AA69676" w14:textId="77777777" w:rsidR="00633E4C" w:rsidRPr="00BD0D06" w:rsidRDefault="00633E4C" w:rsidP="004F0115">
            <w:pPr>
              <w:pStyle w:val="Heading3"/>
              <w:spacing w:before="0"/>
              <w:outlineLvl w:val="2"/>
              <w:cnfStyle w:val="000000100000" w:firstRow="0" w:lastRow="0" w:firstColumn="0" w:lastColumn="0" w:oddVBand="0" w:evenVBand="0" w:oddHBand="1" w:evenHBand="0" w:firstRowFirstColumn="0" w:firstRowLastColumn="0" w:lastRowFirstColumn="0" w:lastRowLastColumn="0"/>
              <w:rPr>
                <w:color w:val="auto"/>
                <w:sz w:val="22"/>
                <w:szCs w:val="22"/>
              </w:rPr>
            </w:pPr>
            <w:r w:rsidRPr="00BD0D06">
              <w:rPr>
                <w:color w:val="auto"/>
                <w:sz w:val="22"/>
                <w:szCs w:val="22"/>
              </w:rPr>
              <w:lastRenderedPageBreak/>
              <w:t xml:space="preserve">Agree </w:t>
            </w:r>
          </w:p>
        </w:tc>
        <w:tc>
          <w:tcPr>
            <w:tcW w:w="3685" w:type="dxa"/>
          </w:tcPr>
          <w:p w14:paraId="63E71371" w14:textId="3A66C213" w:rsidR="00633E4C" w:rsidRPr="00BD0D06" w:rsidRDefault="69295C3E" w:rsidP="004F011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 xml:space="preserve">CfC is a different way of working. It could provide a model for wider use by the Australian aid program. </w:t>
            </w:r>
            <w:r w:rsidR="00633E4C" w:rsidRPr="00BD0D06">
              <w:rPr>
                <w:color w:val="auto"/>
              </w:rPr>
              <w:t>We intend to increas</w:t>
            </w:r>
            <w:r w:rsidR="4BD5C10E" w:rsidRPr="00BD0D06">
              <w:rPr>
                <w:color w:val="auto"/>
              </w:rPr>
              <w:t>e</w:t>
            </w:r>
            <w:r w:rsidR="00633E4C" w:rsidRPr="00BD0D06">
              <w:rPr>
                <w:color w:val="auto"/>
              </w:rPr>
              <w:t xml:space="preserve"> CfC’s visibility and utility especiall</w:t>
            </w:r>
            <w:r w:rsidR="13F5E6D0" w:rsidRPr="00BD0D06">
              <w:rPr>
                <w:color w:val="auto"/>
              </w:rPr>
              <w:t>y within DFAT.</w:t>
            </w:r>
          </w:p>
        </w:tc>
        <w:tc>
          <w:tcPr>
            <w:tcW w:w="3033" w:type="dxa"/>
          </w:tcPr>
          <w:p w14:paraId="32E1C984" w14:textId="7FBFF91F" w:rsidR="00633E4C" w:rsidRPr="00BD0D06" w:rsidRDefault="00633E4C" w:rsidP="004F011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 xml:space="preserve">Post will </w:t>
            </w:r>
            <w:r w:rsidR="77CB1535" w:rsidRPr="00BD0D06">
              <w:rPr>
                <w:color w:val="auto"/>
              </w:rPr>
              <w:t>report</w:t>
            </w:r>
            <w:r w:rsidR="00A93348" w:rsidRPr="00BD0D06">
              <w:rPr>
                <w:color w:val="auto"/>
              </w:rPr>
              <w:t xml:space="preserve"> on CfC’s contribution to Australia’s objectives more frequently</w:t>
            </w:r>
            <w:r w:rsidRPr="00BD0D06">
              <w:rPr>
                <w:color w:val="auto"/>
              </w:rPr>
              <w:t xml:space="preserve">. Occasional brown bag sessions will be held with DFAT stakeholders such as officers in the Philippine Desk, and other relevant DFAT units that implement programs </w:t>
            </w:r>
            <w:proofErr w:type="gramStart"/>
            <w:r w:rsidRPr="00BD0D06">
              <w:rPr>
                <w:color w:val="auto"/>
              </w:rPr>
              <w:t>similar to</w:t>
            </w:r>
            <w:proofErr w:type="gramEnd"/>
            <w:r w:rsidRPr="00BD0D06">
              <w:rPr>
                <w:color w:val="auto"/>
              </w:rPr>
              <w:t xml:space="preserve"> </w:t>
            </w:r>
            <w:r w:rsidRPr="00BD0D06">
              <w:rPr>
                <w:color w:val="auto"/>
              </w:rPr>
              <w:lastRenderedPageBreak/>
              <w:t>CfC; programs that CfC can complement, or units that find CfC, and its ways of working, relevant to their patches.</w:t>
            </w:r>
          </w:p>
        </w:tc>
        <w:tc>
          <w:tcPr>
            <w:tcW w:w="2779" w:type="dxa"/>
          </w:tcPr>
          <w:p w14:paraId="1AFCA346" w14:textId="45212F4F" w:rsidR="00633E4C" w:rsidRPr="00BD0D06" w:rsidRDefault="186A340C" w:rsidP="004F011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lastRenderedPageBreak/>
              <w:t xml:space="preserve">October </w:t>
            </w:r>
            <w:r w:rsidR="00633E4C" w:rsidRPr="00BD0D06">
              <w:rPr>
                <w:color w:val="auto"/>
              </w:rPr>
              <w:t>– December 2021</w:t>
            </w:r>
          </w:p>
        </w:tc>
      </w:tr>
    </w:tbl>
    <w:p w14:paraId="7E9E5912" w14:textId="075D94E9" w:rsidR="00767288" w:rsidRPr="00BD0D06" w:rsidRDefault="00767288" w:rsidP="35723683">
      <w:pPr>
        <w:rPr>
          <w:color w:val="auto"/>
        </w:rPr>
      </w:pPr>
    </w:p>
    <w:tbl>
      <w:tblPr>
        <w:tblStyle w:val="DFATTable1"/>
        <w:tblW w:w="13892"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2778"/>
        <w:gridCol w:w="1617"/>
        <w:gridCol w:w="3685"/>
        <w:gridCol w:w="3033"/>
        <w:gridCol w:w="2779"/>
      </w:tblGrid>
      <w:tr w:rsidR="00BD0D06" w:rsidRPr="00BD0D06" w14:paraId="13659633" w14:textId="77777777" w:rsidTr="658E0CD6">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778" w:type="dxa"/>
            <w:shd w:val="clear" w:color="auto" w:fill="ED7D31" w:themeFill="accent2"/>
            <w:hideMark/>
          </w:tcPr>
          <w:p w14:paraId="0A7EAB78" w14:textId="77777777" w:rsidR="00633E4C" w:rsidRPr="00BD0D06" w:rsidRDefault="00633E4C" w:rsidP="004F0115">
            <w:pPr>
              <w:pStyle w:val="TableHeaderRow"/>
              <w:rPr>
                <w:color w:val="auto"/>
                <w:szCs w:val="22"/>
              </w:rPr>
            </w:pPr>
            <w:r w:rsidRPr="00BD0D06">
              <w:rPr>
                <w:color w:val="auto"/>
                <w:szCs w:val="22"/>
              </w:rPr>
              <w:t>Recommendation</w:t>
            </w:r>
          </w:p>
        </w:tc>
        <w:tc>
          <w:tcPr>
            <w:tcW w:w="1617" w:type="dxa"/>
            <w:shd w:val="clear" w:color="auto" w:fill="ED7D31" w:themeFill="accent2"/>
            <w:hideMark/>
          </w:tcPr>
          <w:p w14:paraId="3884D8DC" w14:textId="77777777" w:rsidR="00633E4C" w:rsidRPr="00BD0D06" w:rsidRDefault="00633E4C"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Response </w:t>
            </w:r>
            <w:r w:rsidRPr="00BD0D06">
              <w:rPr>
                <w:color w:val="auto"/>
                <w:szCs w:val="22"/>
              </w:rPr>
              <w:br/>
            </w:r>
          </w:p>
        </w:tc>
        <w:tc>
          <w:tcPr>
            <w:tcW w:w="3685" w:type="dxa"/>
            <w:shd w:val="clear" w:color="auto" w:fill="ED7D31" w:themeFill="accent2"/>
            <w:hideMark/>
          </w:tcPr>
          <w:p w14:paraId="5B804796" w14:textId="77777777" w:rsidR="00633E4C" w:rsidRPr="00BD0D06" w:rsidRDefault="00633E4C"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Explanation </w:t>
            </w:r>
          </w:p>
        </w:tc>
        <w:tc>
          <w:tcPr>
            <w:tcW w:w="3033" w:type="dxa"/>
            <w:shd w:val="clear" w:color="auto" w:fill="ED7D31" w:themeFill="accent2"/>
            <w:hideMark/>
          </w:tcPr>
          <w:p w14:paraId="63473343" w14:textId="77777777" w:rsidR="00633E4C" w:rsidRPr="00BD0D06" w:rsidRDefault="00633E4C"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Action plan </w:t>
            </w:r>
          </w:p>
        </w:tc>
        <w:tc>
          <w:tcPr>
            <w:tcW w:w="2779" w:type="dxa"/>
            <w:shd w:val="clear" w:color="auto" w:fill="ED7D31" w:themeFill="accent2"/>
            <w:hideMark/>
          </w:tcPr>
          <w:p w14:paraId="3D866F27" w14:textId="77777777" w:rsidR="00633E4C" w:rsidRPr="00BD0D06" w:rsidRDefault="00633E4C"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Timeframe</w:t>
            </w:r>
          </w:p>
          <w:p w14:paraId="6962EE87" w14:textId="77777777" w:rsidR="00633E4C" w:rsidRPr="00BD0D06" w:rsidRDefault="00633E4C" w:rsidP="004F0115">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2"/>
              </w:rPr>
            </w:pPr>
          </w:p>
        </w:tc>
      </w:tr>
      <w:tr w:rsidR="00BD0D06" w:rsidRPr="00BD0D06" w14:paraId="305F4F56" w14:textId="77777777" w:rsidTr="658E0CD6">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2778" w:type="dxa"/>
          </w:tcPr>
          <w:p w14:paraId="3B3FDE3F" w14:textId="77A10092" w:rsidR="00633E4C" w:rsidRPr="00BD0D06" w:rsidRDefault="00633E4C" w:rsidP="004F0115">
            <w:pPr>
              <w:pStyle w:val="Bullet1"/>
              <w:numPr>
                <w:ilvl w:val="0"/>
                <w:numId w:val="0"/>
              </w:numPr>
              <w:spacing w:before="0"/>
              <w:ind w:left="284"/>
              <w:rPr>
                <w:rFonts w:asciiTheme="majorHAnsi" w:hAnsiTheme="majorHAnsi" w:cstheme="majorHAnsi"/>
                <w:color w:val="auto"/>
              </w:rPr>
            </w:pPr>
            <w:r w:rsidRPr="00BD0D06">
              <w:rPr>
                <w:rFonts w:asciiTheme="majorHAnsi" w:hAnsiTheme="majorHAnsi" w:cstheme="majorHAnsi"/>
                <w:color w:val="auto"/>
              </w:rPr>
              <w:t xml:space="preserve">Recommendation </w:t>
            </w:r>
            <w:r w:rsidR="00767288" w:rsidRPr="00BD0D06">
              <w:rPr>
                <w:rFonts w:asciiTheme="majorHAnsi" w:hAnsiTheme="majorHAnsi" w:cstheme="majorHAnsi"/>
                <w:color w:val="auto"/>
              </w:rPr>
              <w:t>5</w:t>
            </w:r>
            <w:r w:rsidRPr="00BD0D06">
              <w:rPr>
                <w:rFonts w:asciiTheme="majorHAnsi" w:hAnsiTheme="majorHAnsi" w:cstheme="majorHAnsi"/>
                <w:color w:val="auto"/>
              </w:rPr>
              <w:t>:</w:t>
            </w:r>
          </w:p>
          <w:p w14:paraId="1C3DE7D0" w14:textId="7A319F9B" w:rsidR="00633E4C" w:rsidRPr="00BD0D06" w:rsidRDefault="00767288" w:rsidP="004F0115">
            <w:pPr>
              <w:pStyle w:val="Bullet1"/>
              <w:numPr>
                <w:ilvl w:val="0"/>
                <w:numId w:val="0"/>
              </w:numPr>
              <w:spacing w:before="0"/>
              <w:ind w:left="284"/>
              <w:rPr>
                <w:rFonts w:asciiTheme="majorHAnsi" w:hAnsiTheme="majorHAnsi" w:cstheme="majorHAnsi"/>
                <w:i/>
                <w:iCs/>
                <w:color w:val="auto"/>
              </w:rPr>
            </w:pPr>
            <w:r w:rsidRPr="00BD0D06">
              <w:rPr>
                <w:rFonts w:asciiTheme="majorHAnsi" w:hAnsiTheme="majorHAnsi" w:cstheme="majorHAnsi"/>
                <w:i/>
                <w:iCs/>
                <w:color w:val="auto"/>
              </w:rPr>
              <w:t>Consider whether CfC should be reimagined as a longer-term feature of the country program (with appropriate in-built checks and balances), and how, with continuity being determined not by dates but by demonstrating its continuing relevance and contribution to change in evolving contexts.</w:t>
            </w:r>
          </w:p>
        </w:tc>
        <w:tc>
          <w:tcPr>
            <w:tcW w:w="1617" w:type="dxa"/>
            <w:shd w:val="clear" w:color="auto" w:fill="92D050"/>
            <w:hideMark/>
          </w:tcPr>
          <w:p w14:paraId="0DF2D0A3" w14:textId="77777777" w:rsidR="00633E4C" w:rsidRPr="00BD0D06" w:rsidRDefault="00633E4C" w:rsidP="004F0115">
            <w:pPr>
              <w:pStyle w:val="Heading3"/>
              <w:spacing w:before="0"/>
              <w:outlineLvl w:val="2"/>
              <w:cnfStyle w:val="000000100000" w:firstRow="0" w:lastRow="0" w:firstColumn="0" w:lastColumn="0" w:oddVBand="0" w:evenVBand="0" w:oddHBand="1" w:evenHBand="0" w:firstRowFirstColumn="0" w:firstRowLastColumn="0" w:lastRowFirstColumn="0" w:lastRowLastColumn="0"/>
              <w:rPr>
                <w:color w:val="auto"/>
                <w:sz w:val="22"/>
                <w:szCs w:val="22"/>
              </w:rPr>
            </w:pPr>
            <w:r w:rsidRPr="00BD0D06">
              <w:rPr>
                <w:color w:val="auto"/>
                <w:sz w:val="22"/>
                <w:szCs w:val="22"/>
              </w:rPr>
              <w:t xml:space="preserve">Agree </w:t>
            </w:r>
          </w:p>
        </w:tc>
        <w:tc>
          <w:tcPr>
            <w:tcW w:w="3685" w:type="dxa"/>
          </w:tcPr>
          <w:p w14:paraId="373AA7ED" w14:textId="6C24E932" w:rsidR="00633E4C" w:rsidRPr="00BD0D06" w:rsidRDefault="3A192AD0" w:rsidP="004F011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CfC is</w:t>
            </w:r>
            <w:r w:rsidR="60517BCE" w:rsidRPr="00BD0D06">
              <w:rPr>
                <w:color w:val="auto"/>
              </w:rPr>
              <w:t xml:space="preserve"> recognised </w:t>
            </w:r>
            <w:r w:rsidR="33C7B77C" w:rsidRPr="00BD0D06">
              <w:rPr>
                <w:color w:val="auto"/>
              </w:rPr>
              <w:t>as both</w:t>
            </w:r>
            <w:r w:rsidR="60517BCE" w:rsidRPr="00BD0D06">
              <w:rPr>
                <w:color w:val="auto"/>
              </w:rPr>
              <w:t xml:space="preserve"> a program, </w:t>
            </w:r>
            <w:r w:rsidR="51E1D13E" w:rsidRPr="00BD0D06">
              <w:rPr>
                <w:color w:val="auto"/>
              </w:rPr>
              <w:t xml:space="preserve">and </w:t>
            </w:r>
            <w:r w:rsidR="60517BCE" w:rsidRPr="00BD0D06">
              <w:rPr>
                <w:color w:val="auto"/>
              </w:rPr>
              <w:t xml:space="preserve">a tool to achieve mutual goals of the Philippines and Australia. The reforms achieved through the program </w:t>
            </w:r>
            <w:r w:rsidR="00A93348" w:rsidRPr="00BD0D06">
              <w:rPr>
                <w:color w:val="auto"/>
              </w:rPr>
              <w:t xml:space="preserve">are </w:t>
            </w:r>
            <w:r w:rsidR="60517BCE" w:rsidRPr="00BD0D06">
              <w:rPr>
                <w:color w:val="auto"/>
              </w:rPr>
              <w:t>enduring and therefore can be reimagined as a more embedded feature in Post’s country strategy.</w:t>
            </w:r>
          </w:p>
        </w:tc>
        <w:tc>
          <w:tcPr>
            <w:tcW w:w="3033" w:type="dxa"/>
          </w:tcPr>
          <w:p w14:paraId="6048F71A" w14:textId="555513A4" w:rsidR="00633E4C" w:rsidRPr="00BD0D06" w:rsidRDefault="00767288" w:rsidP="004F011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 xml:space="preserve">DFAT to consider this during the internal process to be carried out for Recommendation </w:t>
            </w:r>
            <w:r w:rsidR="00694DDA" w:rsidRPr="00BD0D06">
              <w:rPr>
                <w:color w:val="auto"/>
              </w:rPr>
              <w:t>3</w:t>
            </w:r>
            <w:r w:rsidRPr="00BD0D06">
              <w:rPr>
                <w:color w:val="auto"/>
              </w:rPr>
              <w:t xml:space="preserve">, and after the </w:t>
            </w:r>
            <w:r w:rsidR="00A43C3D" w:rsidRPr="00BD0D06">
              <w:rPr>
                <w:color w:val="auto"/>
              </w:rPr>
              <w:t>initial implementation of Component 2 activities until June 2022.</w:t>
            </w:r>
          </w:p>
        </w:tc>
        <w:tc>
          <w:tcPr>
            <w:tcW w:w="2779" w:type="dxa"/>
          </w:tcPr>
          <w:p w14:paraId="6A3C8FA3" w14:textId="6E509BBB" w:rsidR="00633E4C" w:rsidRPr="00BD0D06" w:rsidRDefault="00D9A81D" w:rsidP="004F011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October 2021 – June 2022</w:t>
            </w:r>
          </w:p>
        </w:tc>
      </w:tr>
    </w:tbl>
    <w:p w14:paraId="697E02E2" w14:textId="79E5EEE9" w:rsidR="00767288" w:rsidRPr="00BD0D06" w:rsidRDefault="00767288" w:rsidP="35723683">
      <w:pPr>
        <w:rPr>
          <w:color w:val="auto"/>
        </w:rPr>
      </w:pPr>
    </w:p>
    <w:tbl>
      <w:tblPr>
        <w:tblStyle w:val="DFATTable1"/>
        <w:tblW w:w="13892"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2778"/>
        <w:gridCol w:w="1617"/>
        <w:gridCol w:w="3685"/>
        <w:gridCol w:w="3033"/>
        <w:gridCol w:w="2779"/>
      </w:tblGrid>
      <w:tr w:rsidR="00BD0D06" w:rsidRPr="00BD0D06" w14:paraId="4CC7A909" w14:textId="77777777" w:rsidTr="658E0CD6">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778" w:type="dxa"/>
            <w:shd w:val="clear" w:color="auto" w:fill="ED7D31" w:themeFill="accent2"/>
            <w:hideMark/>
          </w:tcPr>
          <w:p w14:paraId="3AACF87A" w14:textId="77777777" w:rsidR="00767288" w:rsidRPr="00BD0D06" w:rsidRDefault="00767288" w:rsidP="004F0115">
            <w:pPr>
              <w:pStyle w:val="TableHeaderRow"/>
              <w:rPr>
                <w:color w:val="auto"/>
                <w:szCs w:val="22"/>
              </w:rPr>
            </w:pPr>
            <w:r w:rsidRPr="00BD0D06">
              <w:rPr>
                <w:color w:val="auto"/>
                <w:szCs w:val="22"/>
              </w:rPr>
              <w:lastRenderedPageBreak/>
              <w:t>Recommendation</w:t>
            </w:r>
          </w:p>
        </w:tc>
        <w:tc>
          <w:tcPr>
            <w:tcW w:w="1617" w:type="dxa"/>
            <w:shd w:val="clear" w:color="auto" w:fill="ED7D31" w:themeFill="accent2"/>
            <w:hideMark/>
          </w:tcPr>
          <w:p w14:paraId="18C53464" w14:textId="77777777" w:rsidR="00767288" w:rsidRPr="00BD0D06" w:rsidRDefault="00767288"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Response </w:t>
            </w:r>
            <w:r w:rsidRPr="00BD0D06">
              <w:rPr>
                <w:color w:val="auto"/>
                <w:szCs w:val="22"/>
              </w:rPr>
              <w:br/>
            </w:r>
          </w:p>
        </w:tc>
        <w:tc>
          <w:tcPr>
            <w:tcW w:w="3685" w:type="dxa"/>
            <w:shd w:val="clear" w:color="auto" w:fill="ED7D31" w:themeFill="accent2"/>
            <w:hideMark/>
          </w:tcPr>
          <w:p w14:paraId="6077B286" w14:textId="77777777" w:rsidR="00767288" w:rsidRPr="00BD0D06" w:rsidRDefault="00767288"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Explanation </w:t>
            </w:r>
          </w:p>
        </w:tc>
        <w:tc>
          <w:tcPr>
            <w:tcW w:w="3033" w:type="dxa"/>
            <w:shd w:val="clear" w:color="auto" w:fill="ED7D31" w:themeFill="accent2"/>
            <w:hideMark/>
          </w:tcPr>
          <w:p w14:paraId="6B08A27B" w14:textId="77777777" w:rsidR="00767288" w:rsidRPr="00BD0D06" w:rsidRDefault="00767288"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Action plan </w:t>
            </w:r>
          </w:p>
        </w:tc>
        <w:tc>
          <w:tcPr>
            <w:tcW w:w="2779" w:type="dxa"/>
            <w:shd w:val="clear" w:color="auto" w:fill="ED7D31" w:themeFill="accent2"/>
            <w:hideMark/>
          </w:tcPr>
          <w:p w14:paraId="454E46CA" w14:textId="77777777" w:rsidR="00767288" w:rsidRPr="00BD0D06" w:rsidRDefault="00767288"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Timeframe</w:t>
            </w:r>
          </w:p>
          <w:p w14:paraId="66FE81D5" w14:textId="77777777" w:rsidR="00767288" w:rsidRPr="00BD0D06" w:rsidRDefault="00767288" w:rsidP="004F0115">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2"/>
              </w:rPr>
            </w:pPr>
          </w:p>
        </w:tc>
      </w:tr>
      <w:tr w:rsidR="00BD0D06" w:rsidRPr="00BD0D06" w14:paraId="03F23C02" w14:textId="77777777" w:rsidTr="658E0CD6">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2778" w:type="dxa"/>
          </w:tcPr>
          <w:p w14:paraId="22ACA440" w14:textId="484C2213" w:rsidR="00767288" w:rsidRPr="00BD0D06" w:rsidRDefault="00767288" w:rsidP="004F0115">
            <w:pPr>
              <w:pStyle w:val="Bullet1"/>
              <w:numPr>
                <w:ilvl w:val="0"/>
                <w:numId w:val="0"/>
              </w:numPr>
              <w:spacing w:before="0"/>
              <w:ind w:left="284"/>
              <w:rPr>
                <w:rFonts w:asciiTheme="majorHAnsi" w:hAnsiTheme="majorHAnsi" w:cstheme="majorHAnsi"/>
                <w:color w:val="auto"/>
              </w:rPr>
            </w:pPr>
            <w:r w:rsidRPr="00BD0D06">
              <w:rPr>
                <w:rFonts w:asciiTheme="majorHAnsi" w:hAnsiTheme="majorHAnsi" w:cstheme="majorHAnsi"/>
                <w:color w:val="auto"/>
              </w:rPr>
              <w:t>Recommendation 6:</w:t>
            </w:r>
          </w:p>
          <w:p w14:paraId="5425E6E4" w14:textId="777CEC74" w:rsidR="00767288" w:rsidRPr="00BD0D06" w:rsidRDefault="00767288" w:rsidP="004F0115">
            <w:pPr>
              <w:pStyle w:val="Bullet1"/>
              <w:numPr>
                <w:ilvl w:val="0"/>
                <w:numId w:val="0"/>
              </w:numPr>
              <w:spacing w:before="0"/>
              <w:ind w:left="284"/>
              <w:rPr>
                <w:rFonts w:asciiTheme="majorHAnsi" w:hAnsiTheme="majorHAnsi" w:cstheme="majorHAnsi"/>
                <w:i/>
                <w:iCs/>
                <w:color w:val="auto"/>
              </w:rPr>
            </w:pPr>
            <w:r w:rsidRPr="00BD0D06">
              <w:rPr>
                <w:rFonts w:asciiTheme="majorHAnsi" w:hAnsiTheme="majorHAnsi" w:cstheme="majorHAnsi"/>
                <w:i/>
                <w:iCs/>
                <w:color w:val="auto"/>
              </w:rPr>
              <w:t xml:space="preserve">Consider how (including through membership and members’ roles) CfC’s joint governance arrangements can capture the continuing relevance of the program </w:t>
            </w:r>
            <w:proofErr w:type="gramStart"/>
            <w:r w:rsidRPr="00BD0D06">
              <w:rPr>
                <w:rFonts w:asciiTheme="majorHAnsi" w:hAnsiTheme="majorHAnsi" w:cstheme="majorHAnsi"/>
                <w:i/>
                <w:iCs/>
                <w:color w:val="auto"/>
              </w:rPr>
              <w:t>as a whole to</w:t>
            </w:r>
            <w:proofErr w:type="gramEnd"/>
            <w:r w:rsidRPr="00BD0D06">
              <w:rPr>
                <w:rFonts w:asciiTheme="majorHAnsi" w:hAnsiTheme="majorHAnsi" w:cstheme="majorHAnsi"/>
                <w:i/>
                <w:iCs/>
                <w:color w:val="auto"/>
              </w:rPr>
              <w:t xml:space="preserve"> wider, higher-level objectives, both retrospectively and prospectively.</w:t>
            </w:r>
          </w:p>
        </w:tc>
        <w:tc>
          <w:tcPr>
            <w:tcW w:w="1617" w:type="dxa"/>
            <w:shd w:val="clear" w:color="auto" w:fill="92D050"/>
            <w:hideMark/>
          </w:tcPr>
          <w:p w14:paraId="4D17A925" w14:textId="77777777" w:rsidR="00767288" w:rsidRPr="00BD0D06" w:rsidRDefault="00767288" w:rsidP="004F0115">
            <w:pPr>
              <w:pStyle w:val="Heading3"/>
              <w:spacing w:before="0"/>
              <w:outlineLvl w:val="2"/>
              <w:cnfStyle w:val="000000100000" w:firstRow="0" w:lastRow="0" w:firstColumn="0" w:lastColumn="0" w:oddVBand="0" w:evenVBand="0" w:oddHBand="1" w:evenHBand="0" w:firstRowFirstColumn="0" w:firstRowLastColumn="0" w:lastRowFirstColumn="0" w:lastRowLastColumn="0"/>
              <w:rPr>
                <w:color w:val="auto"/>
                <w:sz w:val="22"/>
                <w:szCs w:val="22"/>
              </w:rPr>
            </w:pPr>
            <w:r w:rsidRPr="00BD0D06">
              <w:rPr>
                <w:color w:val="auto"/>
                <w:sz w:val="22"/>
                <w:szCs w:val="22"/>
              </w:rPr>
              <w:t xml:space="preserve">Agree </w:t>
            </w:r>
          </w:p>
        </w:tc>
        <w:tc>
          <w:tcPr>
            <w:tcW w:w="3685" w:type="dxa"/>
          </w:tcPr>
          <w:p w14:paraId="1FC0D4FF" w14:textId="04821E58" w:rsidR="00767288" w:rsidRPr="00BD0D06" w:rsidRDefault="00767288" w:rsidP="004F011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The Joint Steering Committee (JSC) and Partnership Strategic Panel (PSP) are important components of the CfC program governance. DFAT’s membership in these should be fully maximi</w:t>
            </w:r>
            <w:r w:rsidR="00D5145E" w:rsidRPr="00BD0D06">
              <w:rPr>
                <w:color w:val="auto"/>
              </w:rPr>
              <w:t>s</w:t>
            </w:r>
            <w:r w:rsidRPr="00BD0D06">
              <w:rPr>
                <w:color w:val="auto"/>
              </w:rPr>
              <w:t>ed to provide strategic advice that can align with its objectives.</w:t>
            </w:r>
          </w:p>
        </w:tc>
        <w:tc>
          <w:tcPr>
            <w:tcW w:w="3033" w:type="dxa"/>
          </w:tcPr>
          <w:p w14:paraId="43B80B56" w14:textId="5EAAC7E4" w:rsidR="00767288" w:rsidRPr="00BD0D06" w:rsidRDefault="00767288" w:rsidP="004F011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DFAT to conduct an internal discussion on the most strategic composition and appointments that can be made to the PSP. Initiate handover of DFAT’s PSP representation from Governance Section to Philippine Desk.</w:t>
            </w:r>
          </w:p>
        </w:tc>
        <w:tc>
          <w:tcPr>
            <w:tcW w:w="2779" w:type="dxa"/>
          </w:tcPr>
          <w:p w14:paraId="02D74CB8" w14:textId="16F2B421" w:rsidR="00767288" w:rsidRPr="00BD0D06" w:rsidRDefault="2871FE0A" w:rsidP="004F011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Action already taken by DFAT in coordination with TAF</w:t>
            </w:r>
          </w:p>
          <w:p w14:paraId="0697ADC6" w14:textId="605CB3F2" w:rsidR="00767288" w:rsidRPr="00BD0D06" w:rsidRDefault="00767288" w:rsidP="658E0CD6">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p>
        </w:tc>
      </w:tr>
    </w:tbl>
    <w:p w14:paraId="3662D50B" w14:textId="6B7C7166" w:rsidR="00767288" w:rsidRPr="00BD0D06" w:rsidRDefault="00767288">
      <w:pPr>
        <w:rPr>
          <w:color w:val="auto"/>
        </w:rPr>
      </w:pPr>
    </w:p>
    <w:tbl>
      <w:tblPr>
        <w:tblStyle w:val="DFATTable1"/>
        <w:tblW w:w="13892"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2778"/>
        <w:gridCol w:w="1617"/>
        <w:gridCol w:w="3685"/>
        <w:gridCol w:w="3033"/>
        <w:gridCol w:w="2779"/>
      </w:tblGrid>
      <w:tr w:rsidR="00BD0D06" w:rsidRPr="00BD0D06" w14:paraId="4C53451F" w14:textId="77777777" w:rsidTr="658E0CD6">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778" w:type="dxa"/>
            <w:shd w:val="clear" w:color="auto" w:fill="ED7D31" w:themeFill="accent2"/>
            <w:hideMark/>
          </w:tcPr>
          <w:p w14:paraId="36CE5C55" w14:textId="77777777" w:rsidR="00767288" w:rsidRPr="00BD0D06" w:rsidRDefault="00767288" w:rsidP="004F0115">
            <w:pPr>
              <w:pStyle w:val="TableHeaderRow"/>
              <w:rPr>
                <w:color w:val="auto"/>
                <w:szCs w:val="22"/>
              </w:rPr>
            </w:pPr>
            <w:r w:rsidRPr="00BD0D06">
              <w:rPr>
                <w:color w:val="auto"/>
                <w:szCs w:val="22"/>
              </w:rPr>
              <w:t>Recommendation</w:t>
            </w:r>
          </w:p>
        </w:tc>
        <w:tc>
          <w:tcPr>
            <w:tcW w:w="1617" w:type="dxa"/>
            <w:shd w:val="clear" w:color="auto" w:fill="ED7D31" w:themeFill="accent2"/>
            <w:hideMark/>
          </w:tcPr>
          <w:p w14:paraId="25B8FEE6" w14:textId="77777777" w:rsidR="00767288" w:rsidRPr="00BD0D06" w:rsidRDefault="00767288"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Response </w:t>
            </w:r>
            <w:r w:rsidRPr="00BD0D06">
              <w:rPr>
                <w:color w:val="auto"/>
                <w:szCs w:val="22"/>
              </w:rPr>
              <w:br/>
            </w:r>
          </w:p>
        </w:tc>
        <w:tc>
          <w:tcPr>
            <w:tcW w:w="3685" w:type="dxa"/>
            <w:shd w:val="clear" w:color="auto" w:fill="ED7D31" w:themeFill="accent2"/>
            <w:hideMark/>
          </w:tcPr>
          <w:p w14:paraId="4517851C" w14:textId="77777777" w:rsidR="00767288" w:rsidRPr="00BD0D06" w:rsidRDefault="00767288"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Explanation </w:t>
            </w:r>
          </w:p>
        </w:tc>
        <w:tc>
          <w:tcPr>
            <w:tcW w:w="3033" w:type="dxa"/>
            <w:shd w:val="clear" w:color="auto" w:fill="ED7D31" w:themeFill="accent2"/>
            <w:hideMark/>
          </w:tcPr>
          <w:p w14:paraId="325A6EEB" w14:textId="77777777" w:rsidR="00767288" w:rsidRPr="00BD0D06" w:rsidRDefault="00767288"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Action plan </w:t>
            </w:r>
          </w:p>
        </w:tc>
        <w:tc>
          <w:tcPr>
            <w:tcW w:w="2779" w:type="dxa"/>
            <w:shd w:val="clear" w:color="auto" w:fill="ED7D31" w:themeFill="accent2"/>
            <w:hideMark/>
          </w:tcPr>
          <w:p w14:paraId="525E0EDA" w14:textId="77777777" w:rsidR="00767288" w:rsidRPr="00BD0D06" w:rsidRDefault="00767288"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Timeframe</w:t>
            </w:r>
          </w:p>
          <w:p w14:paraId="7D6CA718" w14:textId="77777777" w:rsidR="00767288" w:rsidRPr="00BD0D06" w:rsidRDefault="00767288" w:rsidP="004F0115">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2"/>
              </w:rPr>
            </w:pPr>
          </w:p>
        </w:tc>
      </w:tr>
      <w:tr w:rsidR="00BD0D06" w:rsidRPr="00BD0D06" w14:paraId="3CCD028F" w14:textId="77777777" w:rsidTr="658E0CD6">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2778" w:type="dxa"/>
          </w:tcPr>
          <w:p w14:paraId="318F846A" w14:textId="686F7AAB" w:rsidR="00767288" w:rsidRPr="00BD0D06" w:rsidRDefault="00767288" w:rsidP="004F0115">
            <w:pPr>
              <w:pStyle w:val="Bullet1"/>
              <w:numPr>
                <w:ilvl w:val="0"/>
                <w:numId w:val="0"/>
              </w:numPr>
              <w:spacing w:before="0"/>
              <w:ind w:left="284"/>
              <w:rPr>
                <w:rFonts w:asciiTheme="majorHAnsi" w:hAnsiTheme="majorHAnsi" w:cstheme="majorHAnsi"/>
                <w:color w:val="auto"/>
              </w:rPr>
            </w:pPr>
            <w:r w:rsidRPr="00BD0D06">
              <w:rPr>
                <w:rFonts w:asciiTheme="majorHAnsi" w:hAnsiTheme="majorHAnsi" w:cstheme="majorHAnsi"/>
                <w:color w:val="auto"/>
              </w:rPr>
              <w:t>Recommendation 7:</w:t>
            </w:r>
          </w:p>
          <w:p w14:paraId="69D79B4A" w14:textId="4BED2E71" w:rsidR="00767288" w:rsidRPr="00BD0D06" w:rsidRDefault="00767288" w:rsidP="0E6BD440">
            <w:pPr>
              <w:pStyle w:val="Bullet1"/>
              <w:numPr>
                <w:ilvl w:val="0"/>
                <w:numId w:val="0"/>
              </w:numPr>
              <w:spacing w:before="0"/>
              <w:ind w:left="284"/>
              <w:rPr>
                <w:rFonts w:asciiTheme="majorHAnsi" w:hAnsiTheme="majorHAnsi" w:cstheme="majorBidi"/>
                <w:i/>
                <w:iCs/>
                <w:color w:val="auto"/>
              </w:rPr>
            </w:pPr>
            <w:r w:rsidRPr="00BD0D06">
              <w:rPr>
                <w:rFonts w:asciiTheme="majorHAnsi" w:hAnsiTheme="majorHAnsi" w:cstheme="majorBidi"/>
                <w:i/>
                <w:iCs/>
                <w:color w:val="auto"/>
              </w:rPr>
              <w:t xml:space="preserve">Review the codification of CfC’s ‘visibility’ in the light of the internal discussion suggested in Recommendation </w:t>
            </w:r>
            <w:r w:rsidR="3F73226D" w:rsidRPr="00BD0D06">
              <w:rPr>
                <w:rFonts w:asciiTheme="majorHAnsi" w:hAnsiTheme="majorHAnsi" w:cstheme="majorBidi"/>
                <w:i/>
                <w:iCs/>
                <w:color w:val="auto"/>
              </w:rPr>
              <w:t>3</w:t>
            </w:r>
            <w:r w:rsidRPr="00BD0D06">
              <w:rPr>
                <w:rFonts w:asciiTheme="majorHAnsi" w:hAnsiTheme="majorHAnsi" w:cstheme="majorBidi"/>
                <w:i/>
                <w:iCs/>
                <w:color w:val="auto"/>
              </w:rPr>
              <w:t>.</w:t>
            </w:r>
          </w:p>
        </w:tc>
        <w:tc>
          <w:tcPr>
            <w:tcW w:w="1617" w:type="dxa"/>
            <w:shd w:val="clear" w:color="auto" w:fill="92D050"/>
            <w:hideMark/>
          </w:tcPr>
          <w:p w14:paraId="0F6D5C59" w14:textId="77777777" w:rsidR="00767288" w:rsidRPr="00BD0D06" w:rsidRDefault="00767288" w:rsidP="004F0115">
            <w:pPr>
              <w:pStyle w:val="Heading3"/>
              <w:spacing w:before="0"/>
              <w:outlineLvl w:val="2"/>
              <w:cnfStyle w:val="000000100000" w:firstRow="0" w:lastRow="0" w:firstColumn="0" w:lastColumn="0" w:oddVBand="0" w:evenVBand="0" w:oddHBand="1" w:evenHBand="0" w:firstRowFirstColumn="0" w:firstRowLastColumn="0" w:lastRowFirstColumn="0" w:lastRowLastColumn="0"/>
              <w:rPr>
                <w:color w:val="auto"/>
                <w:sz w:val="22"/>
                <w:szCs w:val="22"/>
              </w:rPr>
            </w:pPr>
            <w:r w:rsidRPr="00BD0D06">
              <w:rPr>
                <w:color w:val="auto"/>
                <w:sz w:val="22"/>
                <w:szCs w:val="22"/>
              </w:rPr>
              <w:t xml:space="preserve">Agree </w:t>
            </w:r>
          </w:p>
        </w:tc>
        <w:tc>
          <w:tcPr>
            <w:tcW w:w="3685" w:type="dxa"/>
          </w:tcPr>
          <w:p w14:paraId="717C7C79" w14:textId="474C4D87" w:rsidR="00767288" w:rsidRPr="00BD0D06" w:rsidRDefault="60517BCE" w:rsidP="004F011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CfC</w:t>
            </w:r>
            <w:r w:rsidR="220B67A6" w:rsidRPr="00BD0D06">
              <w:rPr>
                <w:color w:val="auto"/>
              </w:rPr>
              <w:t xml:space="preserve"> is highly relevant </w:t>
            </w:r>
            <w:r w:rsidR="35886EA3" w:rsidRPr="00BD0D06">
              <w:rPr>
                <w:color w:val="auto"/>
              </w:rPr>
              <w:t>to</w:t>
            </w:r>
            <w:r w:rsidRPr="00BD0D06">
              <w:rPr>
                <w:color w:val="auto"/>
              </w:rPr>
              <w:t xml:space="preserve"> Australia b</w:t>
            </w:r>
            <w:r w:rsidR="144D6D4E" w:rsidRPr="00BD0D06">
              <w:rPr>
                <w:color w:val="auto"/>
              </w:rPr>
              <w:t>ut there</w:t>
            </w:r>
            <w:r w:rsidRPr="00BD0D06">
              <w:rPr>
                <w:color w:val="auto"/>
              </w:rPr>
              <w:t xml:space="preserve"> is</w:t>
            </w:r>
            <w:r w:rsidR="35886EA3" w:rsidRPr="00BD0D06">
              <w:rPr>
                <w:color w:val="auto"/>
              </w:rPr>
              <w:t xml:space="preserve"> a case</w:t>
            </w:r>
            <w:r w:rsidRPr="00BD0D06">
              <w:rPr>
                <w:color w:val="auto"/>
              </w:rPr>
              <w:t xml:space="preserve"> </w:t>
            </w:r>
            <w:r w:rsidR="35886EA3" w:rsidRPr="00BD0D06">
              <w:rPr>
                <w:color w:val="auto"/>
              </w:rPr>
              <w:t>for</w:t>
            </w:r>
            <w:r w:rsidRPr="00BD0D06">
              <w:rPr>
                <w:color w:val="auto"/>
              </w:rPr>
              <w:t xml:space="preserve"> CfC </w:t>
            </w:r>
            <w:r w:rsidR="35886EA3" w:rsidRPr="00BD0D06">
              <w:rPr>
                <w:color w:val="auto"/>
              </w:rPr>
              <w:t>to have greater visibility</w:t>
            </w:r>
            <w:r w:rsidR="33F2A8F3" w:rsidRPr="00BD0D06">
              <w:rPr>
                <w:color w:val="auto"/>
              </w:rPr>
              <w:t xml:space="preserve"> to</w:t>
            </w:r>
            <w:r w:rsidRPr="00BD0D06">
              <w:rPr>
                <w:color w:val="auto"/>
              </w:rPr>
              <w:t xml:space="preserve"> government stakeholders and the public.</w:t>
            </w:r>
          </w:p>
        </w:tc>
        <w:tc>
          <w:tcPr>
            <w:tcW w:w="3033" w:type="dxa"/>
          </w:tcPr>
          <w:p w14:paraId="573D113C" w14:textId="01CDB463" w:rsidR="00767288" w:rsidRPr="00BD0D06" w:rsidRDefault="00767288" w:rsidP="004F011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 xml:space="preserve">DFAT to consider this during the internal process to be carried out for Recommendation </w:t>
            </w:r>
            <w:r w:rsidR="00694DDA" w:rsidRPr="00BD0D06">
              <w:rPr>
                <w:color w:val="auto"/>
              </w:rPr>
              <w:t>3</w:t>
            </w:r>
            <w:r w:rsidRPr="00BD0D06">
              <w:rPr>
                <w:color w:val="auto"/>
              </w:rPr>
              <w:t xml:space="preserve">. </w:t>
            </w:r>
          </w:p>
          <w:p w14:paraId="72A33CB6" w14:textId="77777777" w:rsidR="00767288" w:rsidRPr="00BD0D06" w:rsidRDefault="00767288" w:rsidP="004F011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p>
          <w:p w14:paraId="4FC02C5C" w14:textId="7C5DE087" w:rsidR="00767288" w:rsidRPr="00BD0D06" w:rsidRDefault="00767288" w:rsidP="004F011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Ensure engagement with external stakeholders on CfC’s value and utility</w:t>
            </w:r>
            <w:r w:rsidR="00C71DF7" w:rsidRPr="00BD0D06">
              <w:rPr>
                <w:color w:val="auto"/>
              </w:rPr>
              <w:t xml:space="preserve"> while observing risk management and visibility protocols</w:t>
            </w:r>
            <w:r w:rsidRPr="00BD0D06">
              <w:rPr>
                <w:color w:val="auto"/>
              </w:rPr>
              <w:t>.</w:t>
            </w:r>
          </w:p>
        </w:tc>
        <w:tc>
          <w:tcPr>
            <w:tcW w:w="2779" w:type="dxa"/>
          </w:tcPr>
          <w:p w14:paraId="1A72AFBF" w14:textId="63C18504" w:rsidR="00767288" w:rsidRPr="00BD0D06" w:rsidRDefault="60844BA5" w:rsidP="004F011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October 2021 – December 2021</w:t>
            </w:r>
          </w:p>
        </w:tc>
      </w:tr>
    </w:tbl>
    <w:p w14:paraId="20173EBB" w14:textId="108241A2" w:rsidR="00767288" w:rsidRPr="00BD0D06" w:rsidRDefault="00767288">
      <w:pPr>
        <w:rPr>
          <w:color w:val="auto"/>
        </w:rPr>
      </w:pPr>
    </w:p>
    <w:tbl>
      <w:tblPr>
        <w:tblStyle w:val="DFATTable1"/>
        <w:tblW w:w="13892"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2778"/>
        <w:gridCol w:w="1617"/>
        <w:gridCol w:w="3685"/>
        <w:gridCol w:w="3033"/>
        <w:gridCol w:w="2779"/>
      </w:tblGrid>
      <w:tr w:rsidR="00BD0D06" w:rsidRPr="00BD0D06" w14:paraId="30090334" w14:textId="77777777" w:rsidTr="658E0CD6">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778" w:type="dxa"/>
            <w:shd w:val="clear" w:color="auto" w:fill="ED7D31" w:themeFill="accent2"/>
            <w:hideMark/>
          </w:tcPr>
          <w:p w14:paraId="1433DFB3" w14:textId="77777777" w:rsidR="00767288" w:rsidRPr="00BD0D06" w:rsidRDefault="00767288" w:rsidP="004F0115">
            <w:pPr>
              <w:pStyle w:val="TableHeaderRow"/>
              <w:rPr>
                <w:color w:val="auto"/>
                <w:szCs w:val="22"/>
              </w:rPr>
            </w:pPr>
            <w:r w:rsidRPr="00BD0D06">
              <w:rPr>
                <w:color w:val="auto"/>
                <w:szCs w:val="22"/>
              </w:rPr>
              <w:lastRenderedPageBreak/>
              <w:t>Recommendation</w:t>
            </w:r>
          </w:p>
        </w:tc>
        <w:tc>
          <w:tcPr>
            <w:tcW w:w="1617" w:type="dxa"/>
            <w:shd w:val="clear" w:color="auto" w:fill="ED7D31" w:themeFill="accent2"/>
            <w:hideMark/>
          </w:tcPr>
          <w:p w14:paraId="25198CF4" w14:textId="77777777" w:rsidR="00767288" w:rsidRPr="00BD0D06" w:rsidRDefault="00767288"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Response </w:t>
            </w:r>
            <w:r w:rsidRPr="00BD0D06">
              <w:rPr>
                <w:color w:val="auto"/>
                <w:szCs w:val="22"/>
              </w:rPr>
              <w:br/>
            </w:r>
          </w:p>
        </w:tc>
        <w:tc>
          <w:tcPr>
            <w:tcW w:w="3685" w:type="dxa"/>
            <w:shd w:val="clear" w:color="auto" w:fill="ED7D31" w:themeFill="accent2"/>
            <w:hideMark/>
          </w:tcPr>
          <w:p w14:paraId="60412596" w14:textId="77777777" w:rsidR="00767288" w:rsidRPr="00BD0D06" w:rsidRDefault="00767288"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Explanation </w:t>
            </w:r>
          </w:p>
        </w:tc>
        <w:tc>
          <w:tcPr>
            <w:tcW w:w="3033" w:type="dxa"/>
            <w:shd w:val="clear" w:color="auto" w:fill="ED7D31" w:themeFill="accent2"/>
            <w:hideMark/>
          </w:tcPr>
          <w:p w14:paraId="3E4BC721" w14:textId="77777777" w:rsidR="00767288" w:rsidRPr="00BD0D06" w:rsidRDefault="00767288"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 xml:space="preserve">Action plan </w:t>
            </w:r>
          </w:p>
        </w:tc>
        <w:tc>
          <w:tcPr>
            <w:tcW w:w="2779" w:type="dxa"/>
            <w:shd w:val="clear" w:color="auto" w:fill="ED7D31" w:themeFill="accent2"/>
            <w:hideMark/>
          </w:tcPr>
          <w:p w14:paraId="7C231C72" w14:textId="77777777" w:rsidR="00767288" w:rsidRPr="00BD0D06" w:rsidRDefault="00767288" w:rsidP="004F0115">
            <w:pPr>
              <w:pStyle w:val="TableHeaderRow"/>
              <w:cnfStyle w:val="100000000000" w:firstRow="1" w:lastRow="0" w:firstColumn="0" w:lastColumn="0" w:oddVBand="0" w:evenVBand="0" w:oddHBand="0" w:evenHBand="0" w:firstRowFirstColumn="0" w:firstRowLastColumn="0" w:lastRowFirstColumn="0" w:lastRowLastColumn="0"/>
              <w:rPr>
                <w:color w:val="auto"/>
                <w:szCs w:val="22"/>
              </w:rPr>
            </w:pPr>
            <w:r w:rsidRPr="00BD0D06">
              <w:rPr>
                <w:color w:val="auto"/>
                <w:szCs w:val="22"/>
              </w:rPr>
              <w:t>Timeframe</w:t>
            </w:r>
          </w:p>
          <w:p w14:paraId="6A072AFC" w14:textId="77777777" w:rsidR="00767288" w:rsidRPr="00BD0D06" w:rsidRDefault="00767288" w:rsidP="004F0115">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2"/>
              </w:rPr>
            </w:pPr>
          </w:p>
        </w:tc>
      </w:tr>
      <w:tr w:rsidR="00BD0D06" w:rsidRPr="00BD0D06" w14:paraId="0BB6C77A" w14:textId="77777777" w:rsidTr="658E0CD6">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2778" w:type="dxa"/>
          </w:tcPr>
          <w:p w14:paraId="64CCACD1" w14:textId="2E888A57" w:rsidR="00767288" w:rsidRPr="00BD0D06" w:rsidRDefault="00767288" w:rsidP="004F0115">
            <w:pPr>
              <w:pStyle w:val="Bullet1"/>
              <w:numPr>
                <w:ilvl w:val="0"/>
                <w:numId w:val="0"/>
              </w:numPr>
              <w:spacing w:before="0"/>
              <w:ind w:left="284"/>
              <w:rPr>
                <w:rFonts w:asciiTheme="majorHAnsi" w:hAnsiTheme="majorHAnsi" w:cstheme="majorHAnsi"/>
                <w:color w:val="auto"/>
              </w:rPr>
            </w:pPr>
            <w:r w:rsidRPr="00BD0D06">
              <w:rPr>
                <w:rFonts w:asciiTheme="majorHAnsi" w:hAnsiTheme="majorHAnsi" w:cstheme="majorHAnsi"/>
                <w:color w:val="auto"/>
              </w:rPr>
              <w:t>Recommendation 8:</w:t>
            </w:r>
          </w:p>
          <w:p w14:paraId="1B0EC058" w14:textId="74C8E4B5" w:rsidR="00767288" w:rsidRPr="00BD0D06" w:rsidRDefault="00767288" w:rsidP="004F0115">
            <w:pPr>
              <w:pStyle w:val="Bullet1"/>
              <w:numPr>
                <w:ilvl w:val="0"/>
                <w:numId w:val="0"/>
              </w:numPr>
              <w:spacing w:before="0"/>
              <w:ind w:left="284"/>
              <w:rPr>
                <w:rFonts w:asciiTheme="majorHAnsi" w:hAnsiTheme="majorHAnsi" w:cstheme="majorHAnsi"/>
                <w:i/>
                <w:iCs/>
                <w:color w:val="auto"/>
              </w:rPr>
            </w:pPr>
            <w:r w:rsidRPr="00BD0D06">
              <w:rPr>
                <w:rFonts w:asciiTheme="majorHAnsi" w:hAnsiTheme="majorHAnsi" w:cstheme="majorHAnsi"/>
                <w:i/>
                <w:iCs/>
                <w:color w:val="auto"/>
              </w:rPr>
              <w:t xml:space="preserve">Review, in the light of decisions above, whether Component 2 should be maintained as a core CfC </w:t>
            </w:r>
            <w:proofErr w:type="gramStart"/>
            <w:r w:rsidRPr="00BD0D06">
              <w:rPr>
                <w:rFonts w:asciiTheme="majorHAnsi" w:hAnsiTheme="majorHAnsi" w:cstheme="majorHAnsi"/>
                <w:i/>
                <w:iCs/>
                <w:color w:val="auto"/>
              </w:rPr>
              <w:t>function, or</w:t>
            </w:r>
            <w:proofErr w:type="gramEnd"/>
            <w:r w:rsidRPr="00BD0D06">
              <w:rPr>
                <w:rFonts w:asciiTheme="majorHAnsi" w:hAnsiTheme="majorHAnsi" w:cstheme="majorHAnsi"/>
                <w:i/>
                <w:iCs/>
                <w:color w:val="auto"/>
              </w:rPr>
              <w:t xml:space="preserve"> treated as a standalone TAF training and capacity-building initiative.</w:t>
            </w:r>
          </w:p>
        </w:tc>
        <w:tc>
          <w:tcPr>
            <w:tcW w:w="1617" w:type="dxa"/>
            <w:shd w:val="clear" w:color="auto" w:fill="92D050"/>
            <w:hideMark/>
          </w:tcPr>
          <w:p w14:paraId="1FF5B175" w14:textId="77777777" w:rsidR="00767288" w:rsidRPr="00BD0D06" w:rsidRDefault="00767288" w:rsidP="004F0115">
            <w:pPr>
              <w:pStyle w:val="Heading3"/>
              <w:spacing w:before="0"/>
              <w:outlineLvl w:val="2"/>
              <w:cnfStyle w:val="000000100000" w:firstRow="0" w:lastRow="0" w:firstColumn="0" w:lastColumn="0" w:oddVBand="0" w:evenVBand="0" w:oddHBand="1" w:evenHBand="0" w:firstRowFirstColumn="0" w:firstRowLastColumn="0" w:lastRowFirstColumn="0" w:lastRowLastColumn="0"/>
              <w:rPr>
                <w:color w:val="auto"/>
                <w:sz w:val="22"/>
                <w:szCs w:val="22"/>
              </w:rPr>
            </w:pPr>
            <w:r w:rsidRPr="00BD0D06">
              <w:rPr>
                <w:color w:val="auto"/>
                <w:sz w:val="22"/>
                <w:szCs w:val="22"/>
              </w:rPr>
              <w:t xml:space="preserve">Agree </w:t>
            </w:r>
          </w:p>
        </w:tc>
        <w:tc>
          <w:tcPr>
            <w:tcW w:w="3685" w:type="dxa"/>
          </w:tcPr>
          <w:p w14:paraId="2FA5A5E7" w14:textId="6CA79FD0" w:rsidR="00767288" w:rsidRPr="00BD0D06" w:rsidRDefault="00767288" w:rsidP="004F011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 xml:space="preserve">Component 2 is still a feature of the program where many of its assumptions and operations are being tested and validated. We agree that a review of its relevance to CfC’s objectives should be </w:t>
            </w:r>
            <w:r w:rsidR="00D5145E" w:rsidRPr="00BD0D06">
              <w:rPr>
                <w:color w:val="auto"/>
              </w:rPr>
              <w:t>undertaken</w:t>
            </w:r>
          </w:p>
        </w:tc>
        <w:tc>
          <w:tcPr>
            <w:tcW w:w="3033" w:type="dxa"/>
          </w:tcPr>
          <w:p w14:paraId="3B5EEEC6" w14:textId="48C74788" w:rsidR="00767288" w:rsidRPr="00BD0D06" w:rsidRDefault="00A43C3D" w:rsidP="004F011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 xml:space="preserve">A review </w:t>
            </w:r>
            <w:r w:rsidR="6A2F6547" w:rsidRPr="00BD0D06">
              <w:rPr>
                <w:color w:val="auto"/>
              </w:rPr>
              <w:t xml:space="preserve">of its relevance to CfC’s objectives </w:t>
            </w:r>
            <w:r w:rsidRPr="00BD0D06">
              <w:rPr>
                <w:color w:val="auto"/>
              </w:rPr>
              <w:t xml:space="preserve">can be done after the initial </w:t>
            </w:r>
            <w:r w:rsidR="00114775" w:rsidRPr="00BD0D06">
              <w:rPr>
                <w:color w:val="auto"/>
              </w:rPr>
              <w:t>four-year</w:t>
            </w:r>
            <w:r w:rsidRPr="00BD0D06">
              <w:rPr>
                <w:color w:val="auto"/>
              </w:rPr>
              <w:t xml:space="preserve"> program which ends </w:t>
            </w:r>
            <w:r w:rsidR="0035093F" w:rsidRPr="00BD0D06">
              <w:rPr>
                <w:color w:val="auto"/>
              </w:rPr>
              <w:t>in</w:t>
            </w:r>
            <w:r w:rsidRPr="00BD0D06">
              <w:rPr>
                <w:color w:val="auto"/>
              </w:rPr>
              <w:t xml:space="preserve"> 2022</w:t>
            </w:r>
            <w:r w:rsidR="6A2F6547" w:rsidRPr="00BD0D06">
              <w:rPr>
                <w:color w:val="auto"/>
              </w:rPr>
              <w:t>.</w:t>
            </w:r>
          </w:p>
        </w:tc>
        <w:tc>
          <w:tcPr>
            <w:tcW w:w="2779" w:type="dxa"/>
          </w:tcPr>
          <w:p w14:paraId="43FAE883" w14:textId="1FBC40B4" w:rsidR="00767288" w:rsidRPr="00BD0D06" w:rsidRDefault="69BEDFBE" w:rsidP="004F0115">
            <w:pPr>
              <w:pStyle w:val="BodyText"/>
              <w:spacing w:before="0"/>
              <w:cnfStyle w:val="000000100000" w:firstRow="0" w:lastRow="0" w:firstColumn="0" w:lastColumn="0" w:oddVBand="0" w:evenVBand="0" w:oddHBand="1" w:evenHBand="0" w:firstRowFirstColumn="0" w:firstRowLastColumn="0" w:lastRowFirstColumn="0" w:lastRowLastColumn="0"/>
              <w:rPr>
                <w:color w:val="auto"/>
              </w:rPr>
            </w:pPr>
            <w:r w:rsidRPr="00BD0D06">
              <w:rPr>
                <w:color w:val="auto"/>
              </w:rPr>
              <w:t>October 2021 – June 2022</w:t>
            </w:r>
          </w:p>
        </w:tc>
      </w:tr>
    </w:tbl>
    <w:p w14:paraId="701C9959" w14:textId="77777777" w:rsidR="00767288" w:rsidRPr="00BD0D06" w:rsidRDefault="00767288">
      <w:pPr>
        <w:rPr>
          <w:color w:val="auto"/>
        </w:rPr>
      </w:pPr>
    </w:p>
    <w:sectPr w:rsidR="00767288" w:rsidRPr="00BD0D06" w:rsidSect="00CA705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7A0D9" w14:textId="77777777" w:rsidR="00792637" w:rsidRDefault="00792637" w:rsidP="007B756B">
      <w:pPr>
        <w:spacing w:before="0" w:after="0" w:line="240" w:lineRule="auto"/>
      </w:pPr>
      <w:r>
        <w:separator/>
      </w:r>
    </w:p>
  </w:endnote>
  <w:endnote w:type="continuationSeparator" w:id="0">
    <w:p w14:paraId="37909200" w14:textId="77777777" w:rsidR="00792637" w:rsidRDefault="00792637" w:rsidP="007B756B">
      <w:pPr>
        <w:spacing w:before="0" w:after="0" w:line="240" w:lineRule="auto"/>
      </w:pPr>
      <w:r>
        <w:continuationSeparator/>
      </w:r>
    </w:p>
  </w:endnote>
  <w:endnote w:type="continuationNotice" w:id="1">
    <w:p w14:paraId="20B98806" w14:textId="77777777" w:rsidR="00792637" w:rsidRDefault="007926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1153610"/>
      <w:docPartObj>
        <w:docPartGallery w:val="Page Numbers (Bottom of Page)"/>
        <w:docPartUnique/>
      </w:docPartObj>
    </w:sdtPr>
    <w:sdtEndPr>
      <w:rPr>
        <w:noProof/>
      </w:rPr>
    </w:sdtEndPr>
    <w:sdtContent>
      <w:p w14:paraId="29171B50" w14:textId="474C7E21" w:rsidR="00A4014C" w:rsidRDefault="00A4014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DD35410" w14:textId="77777777" w:rsidR="00A4014C" w:rsidRDefault="00A40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6DD8F" w14:textId="77777777" w:rsidR="00792637" w:rsidRDefault="00792637" w:rsidP="007B756B">
      <w:pPr>
        <w:spacing w:before="0" w:after="0" w:line="240" w:lineRule="auto"/>
      </w:pPr>
      <w:r>
        <w:separator/>
      </w:r>
    </w:p>
  </w:footnote>
  <w:footnote w:type="continuationSeparator" w:id="0">
    <w:p w14:paraId="179F8C5C" w14:textId="77777777" w:rsidR="00792637" w:rsidRDefault="00792637" w:rsidP="007B756B">
      <w:pPr>
        <w:spacing w:before="0" w:after="0" w:line="240" w:lineRule="auto"/>
      </w:pPr>
      <w:r>
        <w:continuationSeparator/>
      </w:r>
    </w:p>
  </w:footnote>
  <w:footnote w:type="continuationNotice" w:id="1">
    <w:p w14:paraId="2F19073C" w14:textId="77777777" w:rsidR="00792637" w:rsidRDefault="0079263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56043A"/>
    <w:multiLevelType w:val="multilevel"/>
    <w:tmpl w:val="69AEB596"/>
    <w:numStyleLink w:val="BulletsList"/>
  </w:abstractNum>
  <w:abstractNum w:abstractNumId="1" w15:restartNumberingAfterBreak="0">
    <w:nsid w:val="7017747F"/>
    <w:multiLevelType w:val="hybridMultilevel"/>
    <w:tmpl w:val="A2A65A64"/>
    <w:lvl w:ilvl="0" w:tplc="9990CEC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4472C4" w:themeColor="accent1"/>
      </w:rPr>
    </w:lvl>
    <w:lvl w:ilvl="1">
      <w:start w:val="1"/>
      <w:numFmt w:val="bullet"/>
      <w:pStyle w:val="Bullet2"/>
      <w:lvlText w:val="–"/>
      <w:lvlJc w:val="left"/>
      <w:pPr>
        <w:tabs>
          <w:tab w:val="num" w:pos="568"/>
        </w:tabs>
        <w:ind w:left="568" w:hanging="284"/>
      </w:pPr>
      <w:rPr>
        <w:rFonts w:ascii="Arial" w:hAnsi="Arial" w:hint="default"/>
        <w:color w:val="4472C4" w:themeColor="accent1"/>
      </w:rPr>
    </w:lvl>
    <w:lvl w:ilvl="2">
      <w:start w:val="1"/>
      <w:numFmt w:val="bullet"/>
      <w:pStyle w:val="Bullet3"/>
      <w:lvlText w:val="»"/>
      <w:lvlJc w:val="left"/>
      <w:pPr>
        <w:tabs>
          <w:tab w:val="num" w:pos="852"/>
        </w:tabs>
        <w:ind w:left="852" w:hanging="285"/>
      </w:pPr>
      <w:rPr>
        <w:rFonts w:ascii="Arial" w:hAnsi="Arial" w:hint="default"/>
        <w:color w:val="4472C4"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2"/>
  </w:num>
  <w:num w:numId="2">
    <w:abstractNumId w:val="0"/>
    <w:lvlOverride w:ilvl="0">
      <w:lvl w:ilvl="0">
        <w:start w:val="1"/>
        <w:numFmt w:val="bullet"/>
        <w:pStyle w:val="Bullet1"/>
        <w:lvlText w:val=""/>
        <w:lvlJc w:val="left"/>
        <w:pPr>
          <w:tabs>
            <w:tab w:val="num" w:pos="1136"/>
          </w:tabs>
          <w:ind w:left="1136" w:hanging="284"/>
        </w:pPr>
        <w:rPr>
          <w:rFonts w:ascii="Symbol" w:hAnsi="Symbol" w:hint="default"/>
          <w:color w:val="4472C4" w:themeColor="accent1"/>
        </w:rPr>
      </w:lvl>
    </w:lvlOverride>
    <w:lvlOverride w:ilvl="1">
      <w:lvl w:ilvl="1">
        <w:start w:val="1"/>
        <w:numFmt w:val="bullet"/>
        <w:pStyle w:val="Bullet2"/>
        <w:lvlText w:val="–"/>
        <w:lvlJc w:val="left"/>
        <w:pPr>
          <w:tabs>
            <w:tab w:val="num" w:pos="1420"/>
          </w:tabs>
          <w:ind w:left="1420" w:hanging="284"/>
        </w:pPr>
        <w:rPr>
          <w:rFonts w:ascii="Arial" w:hAnsi="Arial" w:hint="default"/>
          <w:color w:val="4472C4" w:themeColor="accent1"/>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56B"/>
    <w:rsid w:val="0005734B"/>
    <w:rsid w:val="00064E79"/>
    <w:rsid w:val="00066645"/>
    <w:rsid w:val="000A5D96"/>
    <w:rsid w:val="000C4478"/>
    <w:rsid w:val="000D4D93"/>
    <w:rsid w:val="00114775"/>
    <w:rsid w:val="00131338"/>
    <w:rsid w:val="00173080"/>
    <w:rsid w:val="001E166E"/>
    <w:rsid w:val="00291F73"/>
    <w:rsid w:val="002931C8"/>
    <w:rsid w:val="00300F2D"/>
    <w:rsid w:val="003019C0"/>
    <w:rsid w:val="00310910"/>
    <w:rsid w:val="0035093F"/>
    <w:rsid w:val="00385F37"/>
    <w:rsid w:val="00390CC3"/>
    <w:rsid w:val="00395846"/>
    <w:rsid w:val="003D038D"/>
    <w:rsid w:val="003D34C6"/>
    <w:rsid w:val="003D3C4D"/>
    <w:rsid w:val="003D49DD"/>
    <w:rsid w:val="003E5B2E"/>
    <w:rsid w:val="00454EEE"/>
    <w:rsid w:val="00456F67"/>
    <w:rsid w:val="0048301F"/>
    <w:rsid w:val="004C51AC"/>
    <w:rsid w:val="004E9B39"/>
    <w:rsid w:val="004F0115"/>
    <w:rsid w:val="004F65F3"/>
    <w:rsid w:val="00506CBC"/>
    <w:rsid w:val="005B715C"/>
    <w:rsid w:val="005B71F5"/>
    <w:rsid w:val="005F0EA7"/>
    <w:rsid w:val="00633E4C"/>
    <w:rsid w:val="00636C38"/>
    <w:rsid w:val="00646F3B"/>
    <w:rsid w:val="00694DDA"/>
    <w:rsid w:val="0069517F"/>
    <w:rsid w:val="006C36A6"/>
    <w:rsid w:val="0075608B"/>
    <w:rsid w:val="0076167C"/>
    <w:rsid w:val="00767288"/>
    <w:rsid w:val="007806F5"/>
    <w:rsid w:val="00792637"/>
    <w:rsid w:val="007A6632"/>
    <w:rsid w:val="007B145B"/>
    <w:rsid w:val="007B756B"/>
    <w:rsid w:val="007D73CA"/>
    <w:rsid w:val="00802901"/>
    <w:rsid w:val="008146A6"/>
    <w:rsid w:val="008161ED"/>
    <w:rsid w:val="00863913"/>
    <w:rsid w:val="00876831"/>
    <w:rsid w:val="00917A6B"/>
    <w:rsid w:val="00967F5F"/>
    <w:rsid w:val="009D5A1D"/>
    <w:rsid w:val="00A078A3"/>
    <w:rsid w:val="00A21E56"/>
    <w:rsid w:val="00A4014C"/>
    <w:rsid w:val="00A43C3D"/>
    <w:rsid w:val="00A60AD6"/>
    <w:rsid w:val="00A90319"/>
    <w:rsid w:val="00A93348"/>
    <w:rsid w:val="00AC0AA6"/>
    <w:rsid w:val="00B00A8A"/>
    <w:rsid w:val="00B060B9"/>
    <w:rsid w:val="00B608EF"/>
    <w:rsid w:val="00B92230"/>
    <w:rsid w:val="00BA4E09"/>
    <w:rsid w:val="00BD0D06"/>
    <w:rsid w:val="00C158A7"/>
    <w:rsid w:val="00C20585"/>
    <w:rsid w:val="00C40519"/>
    <w:rsid w:val="00C41FF4"/>
    <w:rsid w:val="00C532EC"/>
    <w:rsid w:val="00C575B9"/>
    <w:rsid w:val="00C61C38"/>
    <w:rsid w:val="00C71DF7"/>
    <w:rsid w:val="00C731CF"/>
    <w:rsid w:val="00CA589C"/>
    <w:rsid w:val="00CA7057"/>
    <w:rsid w:val="00CC58F6"/>
    <w:rsid w:val="00CC6114"/>
    <w:rsid w:val="00CD2F91"/>
    <w:rsid w:val="00CF6F1C"/>
    <w:rsid w:val="00D06FA3"/>
    <w:rsid w:val="00D305E9"/>
    <w:rsid w:val="00D434C5"/>
    <w:rsid w:val="00D5145E"/>
    <w:rsid w:val="00D6468A"/>
    <w:rsid w:val="00D65AE1"/>
    <w:rsid w:val="00D9A81D"/>
    <w:rsid w:val="00DD0CD1"/>
    <w:rsid w:val="00E02AFF"/>
    <w:rsid w:val="00E339E7"/>
    <w:rsid w:val="00E61214"/>
    <w:rsid w:val="00EA4F4C"/>
    <w:rsid w:val="00EC3037"/>
    <w:rsid w:val="00F048EC"/>
    <w:rsid w:val="00F779E2"/>
    <w:rsid w:val="00F92673"/>
    <w:rsid w:val="00F9749E"/>
    <w:rsid w:val="00FA76A4"/>
    <w:rsid w:val="00FA7FA9"/>
    <w:rsid w:val="00FB6108"/>
    <w:rsid w:val="00FC41BF"/>
    <w:rsid w:val="00FE6872"/>
    <w:rsid w:val="00FF6EA4"/>
    <w:rsid w:val="01C544C4"/>
    <w:rsid w:val="02DAA461"/>
    <w:rsid w:val="05237DE4"/>
    <w:rsid w:val="057D3996"/>
    <w:rsid w:val="06124523"/>
    <w:rsid w:val="0840228D"/>
    <w:rsid w:val="0995394E"/>
    <w:rsid w:val="0A77E379"/>
    <w:rsid w:val="0AA0C846"/>
    <w:rsid w:val="0B231FD6"/>
    <w:rsid w:val="0C9AAF04"/>
    <w:rsid w:val="0E6BD440"/>
    <w:rsid w:val="1309239B"/>
    <w:rsid w:val="13F5E6D0"/>
    <w:rsid w:val="14398B50"/>
    <w:rsid w:val="144D6D4E"/>
    <w:rsid w:val="16136234"/>
    <w:rsid w:val="17ED3918"/>
    <w:rsid w:val="186A340C"/>
    <w:rsid w:val="19D0CBA8"/>
    <w:rsid w:val="1E1E0F72"/>
    <w:rsid w:val="1E8FD112"/>
    <w:rsid w:val="1EECC16E"/>
    <w:rsid w:val="20A9E5C9"/>
    <w:rsid w:val="20BB7D66"/>
    <w:rsid w:val="21FC8043"/>
    <w:rsid w:val="220B67A6"/>
    <w:rsid w:val="224302EE"/>
    <w:rsid w:val="225B4576"/>
    <w:rsid w:val="244BA43B"/>
    <w:rsid w:val="24DE9CF6"/>
    <w:rsid w:val="25359135"/>
    <w:rsid w:val="25A060AC"/>
    <w:rsid w:val="2719274D"/>
    <w:rsid w:val="27F472A9"/>
    <w:rsid w:val="2871FE0A"/>
    <w:rsid w:val="29A450B0"/>
    <w:rsid w:val="2C949FF5"/>
    <w:rsid w:val="2E54EA67"/>
    <w:rsid w:val="2F243932"/>
    <w:rsid w:val="2F42F7DD"/>
    <w:rsid w:val="317A7F1F"/>
    <w:rsid w:val="31B3CC86"/>
    <w:rsid w:val="33C7B77C"/>
    <w:rsid w:val="33F2A8F3"/>
    <w:rsid w:val="343F93F8"/>
    <w:rsid w:val="35723683"/>
    <w:rsid w:val="35886EA3"/>
    <w:rsid w:val="376587CF"/>
    <w:rsid w:val="389D4C82"/>
    <w:rsid w:val="399C290C"/>
    <w:rsid w:val="3A192AD0"/>
    <w:rsid w:val="3A6ED95F"/>
    <w:rsid w:val="3AE25EC3"/>
    <w:rsid w:val="3B12519D"/>
    <w:rsid w:val="3B3F4F1F"/>
    <w:rsid w:val="3BFF45B0"/>
    <w:rsid w:val="3DA67A21"/>
    <w:rsid w:val="3E2D7F48"/>
    <w:rsid w:val="3F72DD3A"/>
    <w:rsid w:val="3F73226D"/>
    <w:rsid w:val="41702579"/>
    <w:rsid w:val="41BEC9E3"/>
    <w:rsid w:val="41E1E719"/>
    <w:rsid w:val="4240467E"/>
    <w:rsid w:val="429EDEAA"/>
    <w:rsid w:val="4353EA47"/>
    <w:rsid w:val="447A685F"/>
    <w:rsid w:val="45F68051"/>
    <w:rsid w:val="46DCA665"/>
    <w:rsid w:val="47843D09"/>
    <w:rsid w:val="47BB0CC8"/>
    <w:rsid w:val="4825052B"/>
    <w:rsid w:val="4825B7A2"/>
    <w:rsid w:val="4887A73C"/>
    <w:rsid w:val="4A55462C"/>
    <w:rsid w:val="4B5E569E"/>
    <w:rsid w:val="4BD5C10E"/>
    <w:rsid w:val="4C502648"/>
    <w:rsid w:val="4DFE749F"/>
    <w:rsid w:val="4E8BF6AB"/>
    <w:rsid w:val="4EB060DE"/>
    <w:rsid w:val="50100FF9"/>
    <w:rsid w:val="5133F32E"/>
    <w:rsid w:val="51E1D13E"/>
    <w:rsid w:val="52153493"/>
    <w:rsid w:val="55FD07DF"/>
    <w:rsid w:val="579A8992"/>
    <w:rsid w:val="57EBA503"/>
    <w:rsid w:val="59129A4E"/>
    <w:rsid w:val="5B75BB89"/>
    <w:rsid w:val="5DF834AF"/>
    <w:rsid w:val="5E054EDD"/>
    <w:rsid w:val="5E916526"/>
    <w:rsid w:val="5EFEC39A"/>
    <w:rsid w:val="60492CAC"/>
    <w:rsid w:val="60517BCE"/>
    <w:rsid w:val="60844BA5"/>
    <w:rsid w:val="61384D34"/>
    <w:rsid w:val="61C86E70"/>
    <w:rsid w:val="6236E1A4"/>
    <w:rsid w:val="6252AD6E"/>
    <w:rsid w:val="62F0896C"/>
    <w:rsid w:val="658E0CD6"/>
    <w:rsid w:val="66A44187"/>
    <w:rsid w:val="69295C3E"/>
    <w:rsid w:val="69BEDFBE"/>
    <w:rsid w:val="6A2F6547"/>
    <w:rsid w:val="6AFF8B50"/>
    <w:rsid w:val="6C8E666B"/>
    <w:rsid w:val="6DC14028"/>
    <w:rsid w:val="6DC8656B"/>
    <w:rsid w:val="6EE18BAD"/>
    <w:rsid w:val="6FB74308"/>
    <w:rsid w:val="70BA77C6"/>
    <w:rsid w:val="71D1EA3D"/>
    <w:rsid w:val="72A09ED5"/>
    <w:rsid w:val="736C8E04"/>
    <w:rsid w:val="75207822"/>
    <w:rsid w:val="75B35E87"/>
    <w:rsid w:val="7629D3C9"/>
    <w:rsid w:val="7730450F"/>
    <w:rsid w:val="773AA275"/>
    <w:rsid w:val="77A92D5E"/>
    <w:rsid w:val="77CB1535"/>
    <w:rsid w:val="794CEA77"/>
    <w:rsid w:val="7A8F83EC"/>
    <w:rsid w:val="7B7C7191"/>
    <w:rsid w:val="7D0F115C"/>
    <w:rsid w:val="7D4FEE53"/>
    <w:rsid w:val="7DBE0BC5"/>
    <w:rsid w:val="7DF64B17"/>
    <w:rsid w:val="7F0C3107"/>
    <w:rsid w:val="7F7073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10B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288"/>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7B756B"/>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7B75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nhideWhenUsed/>
    <w:qFormat/>
    <w:rsid w:val="007B756B"/>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56B"/>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7B756B"/>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7B756B"/>
    <w:pPr>
      <w:numPr>
        <w:numId w:val="2"/>
      </w:numPr>
      <w:tabs>
        <w:tab w:val="left" w:pos="567"/>
      </w:tabs>
      <w:spacing w:before="60"/>
    </w:pPr>
  </w:style>
  <w:style w:type="paragraph" w:customStyle="1" w:styleId="Bullet2">
    <w:name w:val="Bullet 2"/>
    <w:basedOn w:val="Bullet1"/>
    <w:qFormat/>
    <w:rsid w:val="007B756B"/>
    <w:pPr>
      <w:numPr>
        <w:ilvl w:val="1"/>
      </w:numPr>
      <w:tabs>
        <w:tab w:val="clear" w:pos="567"/>
        <w:tab w:val="left" w:pos="851"/>
      </w:tabs>
    </w:pPr>
  </w:style>
  <w:style w:type="paragraph" w:customStyle="1" w:styleId="Bullet3">
    <w:name w:val="Bullet 3"/>
    <w:basedOn w:val="Bullet2"/>
    <w:qFormat/>
    <w:rsid w:val="007B756B"/>
    <w:pPr>
      <w:numPr>
        <w:ilvl w:val="2"/>
      </w:numPr>
      <w:tabs>
        <w:tab w:val="clear" w:pos="852"/>
        <w:tab w:val="left" w:pos="1134"/>
      </w:tabs>
    </w:pPr>
  </w:style>
  <w:style w:type="numbering" w:customStyle="1" w:styleId="BulletsList">
    <w:name w:val="Bullets List"/>
    <w:uiPriority w:val="99"/>
    <w:rsid w:val="007B756B"/>
    <w:pPr>
      <w:numPr>
        <w:numId w:val="1"/>
      </w:numPr>
    </w:pPr>
  </w:style>
  <w:style w:type="paragraph" w:customStyle="1" w:styleId="TableHeaderRow">
    <w:name w:val="Table Header Row"/>
    <w:basedOn w:val="Normal"/>
    <w:qFormat/>
    <w:rsid w:val="007B756B"/>
    <w:pPr>
      <w:spacing w:before="60"/>
    </w:pPr>
    <w:rPr>
      <w:rFonts w:ascii="Calibri" w:hAnsi="Calibri"/>
      <w:b/>
      <w:color w:val="FFFFFF" w:themeColor="background1"/>
      <w:szCs w:val="21"/>
    </w:rPr>
  </w:style>
  <w:style w:type="table" w:customStyle="1" w:styleId="DFATTable1">
    <w:name w:val="DFAT Table 1"/>
    <w:basedOn w:val="TableNormal"/>
    <w:uiPriority w:val="99"/>
    <w:rsid w:val="007B756B"/>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4472C4" w:themeColor="accent1"/>
          <w:bottom w:val="single" w:sz="4" w:space="0" w:color="4472C4" w:themeColor="accent1"/>
          <w:insideH w:val="single" w:sz="4" w:space="0" w:color="4472C4" w:themeColor="accent1"/>
        </w:tcBorders>
        <w:shd w:val="clear" w:color="auto" w:fill="4472C4"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9E2F3" w:themeFill="accent1" w:themeFillTint="33"/>
      </w:tcPr>
    </w:tblStylePr>
    <w:tblStylePr w:type="band2Vert">
      <w:tblPr/>
      <w:tcPr>
        <w:shd w:val="clear" w:color="auto" w:fill="B4C6E7" w:themeFill="accent1" w:themeFillTint="66"/>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paragraph" w:styleId="BodyText">
    <w:name w:val="Body Text"/>
    <w:basedOn w:val="Normal"/>
    <w:link w:val="BodyTextChar"/>
    <w:uiPriority w:val="99"/>
    <w:unhideWhenUsed/>
    <w:qFormat/>
    <w:rsid w:val="007B756B"/>
  </w:style>
  <w:style w:type="character" w:customStyle="1" w:styleId="BodyTextChar">
    <w:name w:val="Body Text Char"/>
    <w:basedOn w:val="DefaultParagraphFont"/>
    <w:link w:val="BodyText"/>
    <w:uiPriority w:val="99"/>
    <w:rsid w:val="007B756B"/>
    <w:rPr>
      <w:color w:val="44546A" w:themeColor="text2"/>
      <w:lang w:val="en-GB"/>
    </w:rPr>
  </w:style>
  <w:style w:type="character" w:customStyle="1" w:styleId="Heading2Char">
    <w:name w:val="Heading 2 Char"/>
    <w:basedOn w:val="DefaultParagraphFont"/>
    <w:link w:val="Heading2"/>
    <w:uiPriority w:val="9"/>
    <w:semiHidden/>
    <w:rsid w:val="007B756B"/>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76728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7288"/>
    <w:rPr>
      <w:color w:val="44546A" w:themeColor="text2"/>
      <w:lang w:val="en-GB"/>
    </w:rPr>
  </w:style>
  <w:style w:type="paragraph" w:styleId="Footer">
    <w:name w:val="footer"/>
    <w:basedOn w:val="Normal"/>
    <w:link w:val="FooterChar"/>
    <w:uiPriority w:val="99"/>
    <w:unhideWhenUsed/>
    <w:rsid w:val="0076728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7288"/>
    <w:rPr>
      <w:color w:val="44546A" w:themeColor="text2"/>
      <w:lang w:val="en-GB"/>
    </w:rPr>
  </w:style>
  <w:style w:type="paragraph" w:styleId="BalloonText">
    <w:name w:val="Balloon Text"/>
    <w:basedOn w:val="Normal"/>
    <w:link w:val="BalloonTextChar"/>
    <w:uiPriority w:val="99"/>
    <w:semiHidden/>
    <w:unhideWhenUsed/>
    <w:rsid w:val="000D4D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D93"/>
    <w:rPr>
      <w:rFonts w:ascii="Segoe UI" w:hAnsi="Segoe UI" w:cs="Segoe UI"/>
      <w:color w:val="44546A" w:themeColor="text2"/>
      <w:sz w:val="18"/>
      <w:szCs w:val="18"/>
      <w:lang w:val="en-GB"/>
    </w:rPr>
  </w:style>
  <w:style w:type="character" w:styleId="CommentReference">
    <w:name w:val="annotation reference"/>
    <w:basedOn w:val="DefaultParagraphFont"/>
    <w:uiPriority w:val="99"/>
    <w:semiHidden/>
    <w:unhideWhenUsed/>
    <w:rsid w:val="000D4D93"/>
    <w:rPr>
      <w:sz w:val="16"/>
      <w:szCs w:val="16"/>
    </w:rPr>
  </w:style>
  <w:style w:type="paragraph" w:styleId="CommentText">
    <w:name w:val="annotation text"/>
    <w:basedOn w:val="Normal"/>
    <w:link w:val="CommentTextChar"/>
    <w:uiPriority w:val="99"/>
    <w:unhideWhenUsed/>
    <w:rsid w:val="000D4D93"/>
    <w:pPr>
      <w:spacing w:line="240" w:lineRule="auto"/>
    </w:pPr>
    <w:rPr>
      <w:sz w:val="20"/>
      <w:szCs w:val="20"/>
    </w:rPr>
  </w:style>
  <w:style w:type="character" w:customStyle="1" w:styleId="CommentTextChar">
    <w:name w:val="Comment Text Char"/>
    <w:basedOn w:val="DefaultParagraphFont"/>
    <w:link w:val="CommentText"/>
    <w:uiPriority w:val="99"/>
    <w:rsid w:val="000D4D93"/>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0D4D93"/>
    <w:rPr>
      <w:b/>
      <w:bCs/>
    </w:rPr>
  </w:style>
  <w:style w:type="character" w:customStyle="1" w:styleId="CommentSubjectChar">
    <w:name w:val="Comment Subject Char"/>
    <w:basedOn w:val="CommentTextChar"/>
    <w:link w:val="CommentSubject"/>
    <w:uiPriority w:val="99"/>
    <w:semiHidden/>
    <w:rsid w:val="000D4D93"/>
    <w:rPr>
      <w:b/>
      <w:bCs/>
      <w:color w:val="44546A" w:themeColor="text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33412-0EA1-41D9-B3FA-9D4D3BFE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1090</Words>
  <Characters>6189</Characters>
  <Application>Microsoft Office Word</Application>
  <DocSecurity>0</DocSecurity>
  <Lines>318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Philippines Coalitions for Change 2021 Independent Progress Review Management Response</dc:title>
  <dc:subject/>
  <dc:creator/>
  <cp:keywords/>
  <dc:description/>
  <cp:lastModifiedBy/>
  <cp:revision>1</cp:revision>
  <dcterms:created xsi:type="dcterms:W3CDTF">2021-09-29T02:17:00Z</dcterms:created>
  <dcterms:modified xsi:type="dcterms:W3CDTF">2021-09-29T04:49:00Z</dcterms:modified>
  <cp:category/>
</cp:coreProperties>
</file>