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7.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46A" w:rsidRDefault="0059146A" w:rsidP="005B5769">
      <w:pPr>
        <w:pStyle w:val="ListBullet"/>
        <w:tabs>
          <w:tab w:val="clear" w:pos="284"/>
        </w:tabs>
      </w:pPr>
      <w:bookmarkStart w:id="0" w:name="_GoBack"/>
      <w:bookmarkEnd w:id="0"/>
    </w:p>
    <w:p w:rsidR="0059146A" w:rsidRDefault="0059146A" w:rsidP="005B5769">
      <w:pPr>
        <w:pStyle w:val="ListBullet"/>
        <w:tabs>
          <w:tab w:val="clear" w:pos="284"/>
        </w:tabs>
      </w:pPr>
    </w:p>
    <w:p w:rsidR="0059146A" w:rsidRPr="0059146A" w:rsidRDefault="0059146A" w:rsidP="005B5769">
      <w:pPr>
        <w:pStyle w:val="ListBullet"/>
        <w:tabs>
          <w:tab w:val="clear" w:pos="284"/>
        </w:tabs>
      </w:pPr>
    </w:p>
    <w:p w:rsidR="00A56F14" w:rsidRPr="0059146A" w:rsidRDefault="00A56F14" w:rsidP="0059146A">
      <w:pPr>
        <w:pStyle w:val="ListBullet"/>
        <w:tabs>
          <w:tab w:val="clear" w:pos="284"/>
        </w:tabs>
      </w:pPr>
    </w:p>
    <w:p w:rsidR="00A56F14" w:rsidRDefault="00754D7F" w:rsidP="00754D7F">
      <w:pPr>
        <w:tabs>
          <w:tab w:val="left" w:pos="4335"/>
        </w:tabs>
        <w:spacing w:after="200" w:line="276" w:lineRule="auto"/>
        <w:rPr>
          <w:b/>
        </w:rPr>
      </w:pPr>
      <w:r>
        <w:rPr>
          <w:b/>
        </w:rPr>
        <w:tab/>
      </w:r>
    </w:p>
    <w:p w:rsidR="00A56F14" w:rsidRDefault="00A56F14" w:rsidP="00A56F14">
      <w:pPr>
        <w:spacing w:after="200" w:line="276" w:lineRule="auto"/>
        <w:rPr>
          <w:b/>
        </w:rPr>
      </w:pPr>
    </w:p>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A56F14" w:rsidRPr="002A51CA" w:rsidRDefault="00A56F14" w:rsidP="002A51CA">
      <w:pPr>
        <w:pStyle w:val="Title"/>
        <w:spacing w:after="120" w:line="600" w:lineRule="exact"/>
        <w:rPr>
          <w:spacing w:val="-20"/>
          <w:sz w:val="60"/>
        </w:rPr>
      </w:pPr>
      <w:r w:rsidRPr="002A51CA">
        <w:rPr>
          <w:noProof/>
          <w:spacing w:val="-20"/>
          <w:sz w:val="60"/>
          <w:lang w:val="en-AU" w:eastAsia="en-AU"/>
        </w:rPr>
        <w:drawing>
          <wp:anchor distT="0" distB="0" distL="114300" distR="114300" simplePos="0" relativeHeight="251664384" behindDoc="1" locked="1" layoutInCell="1" allowOverlap="1" wp14:anchorId="45D236E1" wp14:editId="2C903533">
            <wp:simplePos x="0" y="0"/>
            <wp:positionH relativeFrom="page">
              <wp:posOffset>872490</wp:posOffset>
            </wp:positionH>
            <wp:positionV relativeFrom="page">
              <wp:posOffset>1561465</wp:posOffset>
            </wp:positionV>
            <wp:extent cx="3167380" cy="5543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sidRPr="002A51CA">
        <w:rPr>
          <w:noProof/>
          <w:spacing w:val="-20"/>
          <w:sz w:val="60"/>
          <w:lang w:val="en-AU" w:eastAsia="en-AU"/>
        </w:rPr>
        <w:drawing>
          <wp:anchor distT="0" distB="0" distL="114300" distR="114300" simplePos="0" relativeHeight="251663360" behindDoc="1" locked="1" layoutInCell="1" allowOverlap="1" wp14:anchorId="3355A8BD" wp14:editId="783731E0">
            <wp:simplePos x="0" y="0"/>
            <wp:positionH relativeFrom="page">
              <wp:posOffset>7620</wp:posOffset>
            </wp:positionH>
            <wp:positionV relativeFrom="page">
              <wp:posOffset>-7620</wp:posOffset>
            </wp:positionV>
            <wp:extent cx="7750810" cy="10725785"/>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9">
                      <a:extLst>
                        <a:ext uri="{28A0092B-C50C-407E-A947-70E740481C1C}">
                          <a14:useLocalDpi xmlns:a14="http://schemas.microsoft.com/office/drawing/2010/main" val="0"/>
                        </a:ext>
                      </a:extLst>
                    </a:blip>
                    <a:stretch>
                      <a:fillRect/>
                    </a:stretch>
                  </pic:blipFill>
                  <pic:spPr>
                    <a:xfrm>
                      <a:off x="0" y="0"/>
                      <a:ext cx="7750810" cy="10725785"/>
                    </a:xfrm>
                    <a:prstGeom prst="rect">
                      <a:avLst/>
                    </a:prstGeom>
                  </pic:spPr>
                </pic:pic>
              </a:graphicData>
            </a:graphic>
            <wp14:sizeRelH relativeFrom="margin">
              <wp14:pctWidth>0</wp14:pctWidth>
            </wp14:sizeRelH>
            <wp14:sizeRelV relativeFrom="margin">
              <wp14:pctHeight>0</wp14:pctHeight>
            </wp14:sizeRelV>
          </wp:anchor>
        </w:drawing>
      </w:r>
      <w:r w:rsidR="00C6626C" w:rsidRPr="002A51CA">
        <w:rPr>
          <w:spacing w:val="-20"/>
          <w:sz w:val="60"/>
        </w:rPr>
        <w:t xml:space="preserve">Aid Program Performance </w:t>
      </w:r>
    </w:p>
    <w:p w:rsidR="00C6626C" w:rsidRPr="002A51CA" w:rsidRDefault="00C6626C" w:rsidP="002A51CA">
      <w:pPr>
        <w:pStyle w:val="Title"/>
        <w:spacing w:after="120" w:line="600" w:lineRule="exact"/>
        <w:rPr>
          <w:spacing w:val="-20"/>
          <w:sz w:val="60"/>
        </w:rPr>
      </w:pPr>
      <w:r w:rsidRPr="002A51CA">
        <w:rPr>
          <w:spacing w:val="-20"/>
          <w:sz w:val="60"/>
        </w:rPr>
        <w:t>Report 201</w:t>
      </w:r>
      <w:r w:rsidR="00055688">
        <w:rPr>
          <w:spacing w:val="-20"/>
          <w:sz w:val="60"/>
        </w:rPr>
        <w:t>7</w:t>
      </w:r>
      <w:r w:rsidRPr="002A51CA">
        <w:rPr>
          <w:spacing w:val="-20"/>
          <w:sz w:val="60"/>
        </w:rPr>
        <w:t>-1</w:t>
      </w:r>
      <w:r w:rsidR="00055688">
        <w:rPr>
          <w:spacing w:val="-20"/>
          <w:sz w:val="60"/>
        </w:rPr>
        <w:t>8</w:t>
      </w:r>
    </w:p>
    <w:p w:rsidR="00C6626C" w:rsidRDefault="005F3995" w:rsidP="00A56F14">
      <w:r>
        <w:rPr>
          <w:sz w:val="40"/>
        </w:rPr>
        <w:t>Philippines</w:t>
      </w:r>
    </w:p>
    <w:p w:rsidR="00C6626C" w:rsidRPr="002A51CA" w:rsidRDefault="00C6626C" w:rsidP="00A56F14">
      <w:pPr>
        <w:rPr>
          <w:sz w:val="24"/>
        </w:rPr>
      </w:pPr>
      <w:r w:rsidRPr="002A51CA">
        <w:rPr>
          <w:sz w:val="24"/>
        </w:rPr>
        <w:t>September 201</w:t>
      </w:r>
      <w:r w:rsidR="00055688">
        <w:rPr>
          <w:sz w:val="24"/>
        </w:rPr>
        <w:t>8</w:t>
      </w:r>
    </w:p>
    <w:p w:rsidR="00C6626C" w:rsidRDefault="00C6626C" w:rsidP="00A56F14">
      <w:pPr>
        <w:sectPr w:rsidR="00C6626C" w:rsidSect="00C6626C">
          <w:headerReference w:type="even" r:id="rId10"/>
          <w:headerReference w:type="default" r:id="rId11"/>
          <w:footerReference w:type="even" r:id="rId12"/>
          <w:footerReference w:type="default" r:id="rId13"/>
          <w:headerReference w:type="first" r:id="rId14"/>
          <w:footerReference w:type="first" r:id="rId15"/>
          <w:pgSz w:w="11906" w:h="16838" w:code="9"/>
          <w:pgMar w:top="1952" w:right="1134" w:bottom="851" w:left="1134" w:header="1814" w:footer="567" w:gutter="0"/>
          <w:cols w:space="397"/>
          <w:docGrid w:linePitch="360"/>
        </w:sectPr>
      </w:pPr>
    </w:p>
    <w:p w:rsidR="00C6626C" w:rsidRPr="00C61187" w:rsidRDefault="00C6626C" w:rsidP="002A51CA">
      <w:pPr>
        <w:pStyle w:val="ListBullet"/>
        <w:tabs>
          <w:tab w:val="clear" w:pos="284"/>
        </w:tabs>
        <w:spacing w:before="360"/>
        <w:rPr>
          <w:kern w:val="28"/>
        </w:rPr>
      </w:pPr>
      <w:r w:rsidRPr="002A51CA">
        <w:rPr>
          <w:rFonts w:asciiTheme="majorHAnsi" w:eastAsiaTheme="majorEastAsia" w:hAnsiTheme="majorHAnsi" w:cstheme="majorBidi"/>
          <w:caps/>
          <w:color w:val="495965" w:themeColor="text2"/>
          <w:sz w:val="38"/>
          <w:szCs w:val="26"/>
          <w:lang w:val="en-GB" w:eastAsia="en-US"/>
        </w:rPr>
        <w:lastRenderedPageBreak/>
        <w:t>Key Messages</w:t>
      </w:r>
      <w:r w:rsidRPr="00C61187">
        <w:rPr>
          <w:rFonts w:ascii="Helvetica" w:hAnsi="Helvetica" w:cs="Arial"/>
          <w:color w:val="007FAD"/>
          <w:kern w:val="28"/>
          <w:sz w:val="28"/>
          <w:szCs w:val="28"/>
        </w:rPr>
        <w:tab/>
      </w:r>
      <w:r w:rsidRPr="00C61187">
        <w:rPr>
          <w:rFonts w:ascii="Helvetica" w:hAnsi="Helvetica" w:cs="Arial"/>
          <w:color w:val="007FAD"/>
          <w:kern w:val="28"/>
          <w:sz w:val="24"/>
          <w:szCs w:val="28"/>
        </w:rPr>
        <w:tab/>
      </w:r>
      <w:r w:rsidRPr="00C61187">
        <w:rPr>
          <w:rFonts w:ascii="Helvetica" w:hAnsi="Helvetica" w:cs="Arial"/>
          <w:color w:val="007FAD"/>
          <w:kern w:val="28"/>
          <w:sz w:val="32"/>
          <w:szCs w:val="32"/>
        </w:rPr>
        <w:tab/>
      </w:r>
      <w:r w:rsidRPr="00C61187">
        <w:rPr>
          <w:rFonts w:ascii="Helvetica" w:hAnsi="Helvetica" w:cs="Arial"/>
          <w:color w:val="007FAD"/>
          <w:kern w:val="28"/>
          <w:sz w:val="32"/>
          <w:szCs w:val="32"/>
        </w:rPr>
        <w:tab/>
      </w:r>
      <w:r w:rsidRPr="00C61187">
        <w:rPr>
          <w:rFonts w:ascii="Helvetica" w:hAnsi="Helvetica" w:cs="Arial"/>
          <w:color w:val="007FAD"/>
          <w:kern w:val="28"/>
          <w:sz w:val="32"/>
          <w:szCs w:val="32"/>
        </w:rPr>
        <w:tab/>
      </w:r>
      <w:r w:rsidRPr="00C61187">
        <w:rPr>
          <w:rFonts w:ascii="Helvetica" w:hAnsi="Helvetica" w:cs="Arial"/>
          <w:color w:val="007FAD"/>
          <w:kern w:val="28"/>
          <w:sz w:val="32"/>
          <w:szCs w:val="32"/>
        </w:rPr>
        <w:tab/>
      </w:r>
    </w:p>
    <w:p w:rsidR="004E6F56" w:rsidRDefault="005F3995" w:rsidP="005F3995">
      <w:r>
        <w:t xml:space="preserve">This report summarises the performance of Australia’s </w:t>
      </w:r>
      <w:r w:rsidR="005778D9">
        <w:t>development cooperation</w:t>
      </w:r>
      <w:r>
        <w:t xml:space="preserve"> program in the Philippines from July 2017 to June 2018, assessed against the Philippines Aid Investment Plan </w:t>
      </w:r>
      <w:r w:rsidR="006E32CE">
        <w:t xml:space="preserve">(AIP) </w:t>
      </w:r>
      <w:r>
        <w:t xml:space="preserve">2014-15 to 2017-18. </w:t>
      </w:r>
    </w:p>
    <w:p w:rsidR="005F3995" w:rsidRDefault="00167F5A" w:rsidP="005F3995">
      <w:r>
        <w:t>The AIP, now in its final year of implementation, has transitioned w</w:t>
      </w:r>
      <w:r w:rsidR="00703A38">
        <w:t>ell from the Aquino to Duterte a</w:t>
      </w:r>
      <w:r>
        <w:t>dministrations as the overall guide to the current development program, but it is clear there is a need to update and refresh it</w:t>
      </w:r>
      <w:r w:rsidR="004E6F56">
        <w:t xml:space="preserve"> given the evolving development context in the Philippines.  The response to the crisis in Marawi City from May to October 2017</w:t>
      </w:r>
      <w:r w:rsidR="0057068F">
        <w:t>,</w:t>
      </w:r>
      <w:r w:rsidR="004E6F56">
        <w:t xml:space="preserve"> and the need to rebuild</w:t>
      </w:r>
      <w:r w:rsidR="0057068F">
        <w:t xml:space="preserve">, along with the recent passage of the Bangsamoro Organic Law </w:t>
      </w:r>
      <w:r w:rsidR="00703A38">
        <w:t>that</w:t>
      </w:r>
      <w:r w:rsidR="000108EE">
        <w:t xml:space="preserve"> will </w:t>
      </w:r>
      <w:r w:rsidR="0057068F">
        <w:t xml:space="preserve">establish a new </w:t>
      </w:r>
      <w:r w:rsidR="00AF5F5A">
        <w:t xml:space="preserve">Bangsamoro </w:t>
      </w:r>
      <w:r w:rsidR="0057068F">
        <w:t xml:space="preserve">political entity, highlight the importance of </w:t>
      </w:r>
      <w:r w:rsidR="006C561A">
        <w:t>our efforts to improve</w:t>
      </w:r>
      <w:r w:rsidR="0057068F">
        <w:t xml:space="preserve"> development outcomes in Mindanao.</w:t>
      </w:r>
      <w:r w:rsidR="004E6F56">
        <w:t xml:space="preserve"> </w:t>
      </w:r>
      <w:r w:rsidR="0057068F">
        <w:t xml:space="preserve">A </w:t>
      </w:r>
      <w:r>
        <w:t xml:space="preserve">new </w:t>
      </w:r>
      <w:r w:rsidR="00703A38">
        <w:t>c</w:t>
      </w:r>
      <w:r>
        <w:t xml:space="preserve">ountry </w:t>
      </w:r>
      <w:r w:rsidR="00703A38">
        <w:t>s</w:t>
      </w:r>
      <w:r>
        <w:t>trategy</w:t>
      </w:r>
      <w:r w:rsidR="0057068F">
        <w:t xml:space="preserve"> and AIP</w:t>
      </w:r>
      <w:r>
        <w:t xml:space="preserve"> are currently under development. </w:t>
      </w:r>
    </w:p>
    <w:p w:rsidR="006405A3" w:rsidRDefault="001A643D" w:rsidP="005F3995">
      <w:r>
        <w:t xml:space="preserve">Australia was </w:t>
      </w:r>
      <w:r w:rsidR="008C5180">
        <w:t xml:space="preserve">among the first to </w:t>
      </w:r>
      <w:r w:rsidR="003A0395">
        <w:t>respond</w:t>
      </w:r>
      <w:r w:rsidR="006405A3" w:rsidRPr="006405A3">
        <w:t xml:space="preserve"> </w:t>
      </w:r>
      <w:r w:rsidR="00253FF2">
        <w:t xml:space="preserve">to </w:t>
      </w:r>
      <w:r w:rsidR="006405A3" w:rsidRPr="006405A3">
        <w:t xml:space="preserve">the impact of </w:t>
      </w:r>
      <w:r w:rsidR="00253FF2">
        <w:t xml:space="preserve">the five-month long </w:t>
      </w:r>
      <w:r w:rsidR="004E6F56">
        <w:t>ISIS</w:t>
      </w:r>
      <w:r w:rsidR="00703A38">
        <w:t>-</w:t>
      </w:r>
      <w:r w:rsidR="004E6F56">
        <w:t xml:space="preserve">influenced </w:t>
      </w:r>
      <w:r w:rsidR="00C1403E">
        <w:t>conflict</w:t>
      </w:r>
      <w:r w:rsidR="006405A3" w:rsidRPr="006405A3">
        <w:t xml:space="preserve"> in Marawi City</w:t>
      </w:r>
      <w:r w:rsidR="00703A38">
        <w:t>,</w:t>
      </w:r>
      <w:r w:rsidR="00EB4BDB">
        <w:t xml:space="preserve"> </w:t>
      </w:r>
      <w:r w:rsidR="0057068F">
        <w:t>which</w:t>
      </w:r>
      <w:r w:rsidR="00EB4BDB">
        <w:t xml:space="preserve"> left 360</w:t>
      </w:r>
      <w:r w:rsidR="00167F5A">
        <w:t>,000 displaced</w:t>
      </w:r>
      <w:r w:rsidR="00253FF2">
        <w:t>.</w:t>
      </w:r>
      <w:r w:rsidR="006405A3" w:rsidRPr="006405A3">
        <w:t xml:space="preserve"> We provided immediate assistance through pre-positioned humanitarian relief supplies with </w:t>
      </w:r>
      <w:r w:rsidR="00253FF2">
        <w:t xml:space="preserve">the </w:t>
      </w:r>
      <w:r w:rsidR="006405A3" w:rsidRPr="006405A3">
        <w:t>Philippines Red Cross</w:t>
      </w:r>
      <w:r w:rsidR="00911D51">
        <w:t xml:space="preserve"> (PRC)</w:t>
      </w:r>
      <w:r w:rsidR="006405A3" w:rsidRPr="006405A3">
        <w:t xml:space="preserve">, World Food Programme </w:t>
      </w:r>
      <w:r w:rsidR="00911D51">
        <w:t>(WFP)</w:t>
      </w:r>
      <w:r w:rsidR="006405A3" w:rsidRPr="006405A3">
        <w:t xml:space="preserve"> and United Nations Population Fund</w:t>
      </w:r>
      <w:r w:rsidR="00911D51">
        <w:t xml:space="preserve"> (UNFPA)</w:t>
      </w:r>
      <w:r w:rsidR="006405A3" w:rsidRPr="006405A3">
        <w:t xml:space="preserve">.  </w:t>
      </w:r>
      <w:r w:rsidR="00167F5A">
        <w:t>Complementing this, $24 million was re-directed for humanitarian pro</w:t>
      </w:r>
      <w:r w:rsidR="006405A3" w:rsidRPr="006405A3">
        <w:t>grams t</w:t>
      </w:r>
      <w:r>
        <w:t>o</w:t>
      </w:r>
      <w:r w:rsidR="006405A3" w:rsidRPr="006405A3">
        <w:t xml:space="preserve"> support short</w:t>
      </w:r>
      <w:r w:rsidR="00C363C2">
        <w:t>-</w:t>
      </w:r>
      <w:r w:rsidR="006405A3" w:rsidRPr="006405A3">
        <w:t xml:space="preserve">term and longer-term </w:t>
      </w:r>
      <w:r>
        <w:t xml:space="preserve">reconstruction and </w:t>
      </w:r>
      <w:r w:rsidR="006405A3" w:rsidRPr="006405A3">
        <w:t>recovery</w:t>
      </w:r>
      <w:r>
        <w:t xml:space="preserve"> activities for those displaced by the conflict</w:t>
      </w:r>
      <w:r w:rsidR="000108EE">
        <w:t>,</w:t>
      </w:r>
      <w:r w:rsidR="00703A38">
        <w:t xml:space="preserve"> as well as bolstering our long-</w:t>
      </w:r>
      <w:r w:rsidR="000108EE">
        <w:t>term investments in peace and stability</w:t>
      </w:r>
      <w:r w:rsidR="00703A38">
        <w:t>,</w:t>
      </w:r>
      <w:r w:rsidR="000108EE">
        <w:t xml:space="preserve"> such as expanding our countering violent extremism activities</w:t>
      </w:r>
      <w:r w:rsidR="006405A3" w:rsidRPr="006405A3">
        <w:t>.</w:t>
      </w:r>
    </w:p>
    <w:p w:rsidR="005778D9" w:rsidRDefault="005778D9" w:rsidP="005778D9">
      <w:r>
        <w:t>Australia’s investments in the Philippines are delivering results. Key achievements in 2017-18 included:</w:t>
      </w:r>
    </w:p>
    <w:p w:rsidR="005778D9" w:rsidRPr="003C084F" w:rsidRDefault="000044A5" w:rsidP="005778D9">
      <w:pPr>
        <w:pStyle w:val="Bullet1"/>
        <w:numPr>
          <w:ilvl w:val="0"/>
          <w:numId w:val="19"/>
        </w:numPr>
        <w:rPr>
          <w:i/>
        </w:rPr>
      </w:pPr>
      <w:r>
        <w:rPr>
          <w:i/>
        </w:rPr>
        <w:t>T</w:t>
      </w:r>
      <w:r w:rsidR="005778D9">
        <w:rPr>
          <w:i/>
        </w:rPr>
        <w:t xml:space="preserve">imely humanitarian assistance </w:t>
      </w:r>
      <w:r w:rsidR="005778D9" w:rsidRPr="00F9545E">
        <w:rPr>
          <w:i/>
        </w:rPr>
        <w:t xml:space="preserve">in response </w:t>
      </w:r>
      <w:r w:rsidR="005778D9">
        <w:rPr>
          <w:i/>
        </w:rPr>
        <w:t xml:space="preserve">to the Marawi </w:t>
      </w:r>
      <w:r w:rsidR="00C1403E">
        <w:rPr>
          <w:i/>
        </w:rPr>
        <w:t>conflict</w:t>
      </w:r>
      <w:r w:rsidR="005778D9">
        <w:rPr>
          <w:i/>
        </w:rPr>
        <w:t xml:space="preserve">, Typhoon Tembin and the eruption of Mount Mayon. Our Marawi response included </w:t>
      </w:r>
      <w:r w:rsidR="00FE62A7">
        <w:rPr>
          <w:i/>
        </w:rPr>
        <w:t>social</w:t>
      </w:r>
      <w:r w:rsidR="005778D9">
        <w:rPr>
          <w:i/>
        </w:rPr>
        <w:t xml:space="preserve"> services </w:t>
      </w:r>
      <w:r w:rsidR="005778D9" w:rsidRPr="00A0055C">
        <w:rPr>
          <w:i/>
        </w:rPr>
        <w:t xml:space="preserve">assistance to more than </w:t>
      </w:r>
      <w:r w:rsidR="00EB4BDB">
        <w:rPr>
          <w:i/>
        </w:rPr>
        <w:t>250</w:t>
      </w:r>
      <w:r w:rsidR="005778D9" w:rsidRPr="00A0055C">
        <w:rPr>
          <w:i/>
        </w:rPr>
        <w:t xml:space="preserve">,000 displaced </w:t>
      </w:r>
      <w:r w:rsidR="005778D9" w:rsidRPr="004A1354">
        <w:rPr>
          <w:i/>
        </w:rPr>
        <w:t xml:space="preserve">people; </w:t>
      </w:r>
      <w:r w:rsidR="005778D9">
        <w:rPr>
          <w:i/>
        </w:rPr>
        <w:t>provision of reproductive health kits, and anti-gender</w:t>
      </w:r>
      <w:r w:rsidR="0097490A">
        <w:rPr>
          <w:i/>
        </w:rPr>
        <w:t>-</w:t>
      </w:r>
      <w:r w:rsidR="005778D9">
        <w:rPr>
          <w:i/>
        </w:rPr>
        <w:t>based violence support and women</w:t>
      </w:r>
      <w:r w:rsidR="0097490A">
        <w:rPr>
          <w:i/>
        </w:rPr>
        <w:t>-</w:t>
      </w:r>
      <w:r w:rsidR="005778D9">
        <w:rPr>
          <w:i/>
        </w:rPr>
        <w:t xml:space="preserve">friendly spaces benefiting </w:t>
      </w:r>
      <w:r w:rsidR="005778D9" w:rsidRPr="003C084F">
        <w:rPr>
          <w:i/>
        </w:rPr>
        <w:t>more than 17,000 women and girls; food assistance provided to 18,000 people for general rice distribution and up to 50,000 children receiving school meals.</w:t>
      </w:r>
    </w:p>
    <w:p w:rsidR="00C1403E" w:rsidRPr="00EB4BDB" w:rsidRDefault="00C1403E" w:rsidP="00EB4BDB">
      <w:pPr>
        <w:pStyle w:val="Bullet1"/>
        <w:numPr>
          <w:ilvl w:val="0"/>
          <w:numId w:val="19"/>
        </w:numPr>
        <w:rPr>
          <w:i/>
        </w:rPr>
      </w:pPr>
      <w:r>
        <w:rPr>
          <w:i/>
        </w:rPr>
        <w:t xml:space="preserve">Australian-supported research, policy advocacy and technical support enabled </w:t>
      </w:r>
      <w:r w:rsidR="00AF49BC">
        <w:rPr>
          <w:i/>
        </w:rPr>
        <w:t xml:space="preserve">the Philippine </w:t>
      </w:r>
      <w:r w:rsidR="00AF5F5A">
        <w:rPr>
          <w:i/>
        </w:rPr>
        <w:t>Department of Education (</w:t>
      </w:r>
      <w:r w:rsidR="00AF49BC">
        <w:rPr>
          <w:i/>
        </w:rPr>
        <w:t>DepEd</w:t>
      </w:r>
      <w:r w:rsidR="00AF5F5A">
        <w:rPr>
          <w:i/>
        </w:rPr>
        <w:t>)</w:t>
      </w:r>
      <w:r>
        <w:rPr>
          <w:i/>
        </w:rPr>
        <w:t xml:space="preserve"> to link Philippine Professional Standards for Teachers with the national Results-Based Performance Management System.  This </w:t>
      </w:r>
      <w:r w:rsidR="00C77F5B">
        <w:rPr>
          <w:i/>
        </w:rPr>
        <w:t xml:space="preserve">will </w:t>
      </w:r>
      <w:r w:rsidR="00AF5F5A">
        <w:rPr>
          <w:i/>
        </w:rPr>
        <w:t xml:space="preserve">help </w:t>
      </w:r>
      <w:r w:rsidR="00C77F5B">
        <w:rPr>
          <w:i/>
        </w:rPr>
        <w:t xml:space="preserve">increase the quality of teaching as it </w:t>
      </w:r>
      <w:r>
        <w:rPr>
          <w:i/>
        </w:rPr>
        <w:t>ties teachers’ salary increments and promotions to performance against internationally-benchmarked quality standards.</w:t>
      </w:r>
    </w:p>
    <w:p w:rsidR="005778D9" w:rsidRDefault="005778D9" w:rsidP="005778D9">
      <w:pPr>
        <w:pStyle w:val="Bullet1"/>
        <w:numPr>
          <w:ilvl w:val="0"/>
          <w:numId w:val="19"/>
        </w:numPr>
        <w:rPr>
          <w:i/>
        </w:rPr>
      </w:pPr>
      <w:r w:rsidRPr="00F8385F">
        <w:rPr>
          <w:i/>
        </w:rPr>
        <w:t>Strength</w:t>
      </w:r>
      <w:r w:rsidRPr="00FE46B5">
        <w:rPr>
          <w:i/>
        </w:rPr>
        <w:t>en</w:t>
      </w:r>
      <w:r>
        <w:rPr>
          <w:i/>
        </w:rPr>
        <w:t>ed</w:t>
      </w:r>
      <w:r w:rsidRPr="00FE46B5">
        <w:rPr>
          <w:i/>
        </w:rPr>
        <w:t xml:space="preserve"> Philippine Government capacity to promote, develop and implement </w:t>
      </w:r>
      <w:r w:rsidR="0097490A">
        <w:rPr>
          <w:i/>
        </w:rPr>
        <w:t>p</w:t>
      </w:r>
      <w:r w:rsidRPr="00FE46B5">
        <w:rPr>
          <w:i/>
        </w:rPr>
        <w:t xml:space="preserve">ublic </w:t>
      </w:r>
      <w:r w:rsidR="0097490A">
        <w:rPr>
          <w:i/>
        </w:rPr>
        <w:t>p</w:t>
      </w:r>
      <w:r w:rsidRPr="00FE46B5">
        <w:rPr>
          <w:i/>
        </w:rPr>
        <w:t xml:space="preserve">rivate </w:t>
      </w:r>
      <w:r w:rsidR="0097490A">
        <w:rPr>
          <w:i/>
        </w:rPr>
        <w:t>p</w:t>
      </w:r>
      <w:r w:rsidRPr="00FE46B5">
        <w:rPr>
          <w:i/>
        </w:rPr>
        <w:t>rojects</w:t>
      </w:r>
      <w:r>
        <w:rPr>
          <w:i/>
        </w:rPr>
        <w:t xml:space="preserve"> focused on infrastructure</w:t>
      </w:r>
      <w:r w:rsidRPr="00FE46B5">
        <w:rPr>
          <w:i/>
        </w:rPr>
        <w:t xml:space="preserve"> – 17 </w:t>
      </w:r>
      <w:r w:rsidR="00C77F5B">
        <w:rPr>
          <w:i/>
        </w:rPr>
        <w:t xml:space="preserve">projects </w:t>
      </w:r>
      <w:r w:rsidRPr="00FE46B5">
        <w:rPr>
          <w:i/>
        </w:rPr>
        <w:t>were competitively tendered from a target of 15</w:t>
      </w:r>
      <w:r w:rsidR="0057068F">
        <w:rPr>
          <w:i/>
        </w:rPr>
        <w:t xml:space="preserve"> </w:t>
      </w:r>
      <w:r w:rsidR="00C77F5B">
        <w:rPr>
          <w:i/>
        </w:rPr>
        <w:t>in our Performance Assessment Framework (PAF</w:t>
      </w:r>
      <w:r w:rsidR="00D72C72">
        <w:rPr>
          <w:i/>
        </w:rPr>
        <w:t>, Annex E</w:t>
      </w:r>
      <w:r w:rsidR="00C77F5B">
        <w:rPr>
          <w:i/>
        </w:rPr>
        <w:t>)</w:t>
      </w:r>
      <w:r w:rsidRPr="00FE46B5">
        <w:rPr>
          <w:i/>
        </w:rPr>
        <w:t>; and 15 projects were awarded from a target of 10</w:t>
      </w:r>
      <w:r>
        <w:rPr>
          <w:i/>
        </w:rPr>
        <w:t>.</w:t>
      </w:r>
      <w:r w:rsidRPr="00FE46B5">
        <w:rPr>
          <w:i/>
        </w:rPr>
        <w:t xml:space="preserve"> </w:t>
      </w:r>
    </w:p>
    <w:p w:rsidR="005778D9" w:rsidRDefault="005778D9" w:rsidP="005778D9">
      <w:pPr>
        <w:pStyle w:val="Bullet1"/>
        <w:numPr>
          <w:ilvl w:val="0"/>
          <w:numId w:val="19"/>
        </w:numPr>
        <w:rPr>
          <w:i/>
        </w:rPr>
      </w:pPr>
      <w:r w:rsidRPr="00FE46B5">
        <w:rPr>
          <w:i/>
        </w:rPr>
        <w:t>Contributed to</w:t>
      </w:r>
      <w:r>
        <w:rPr>
          <w:i/>
        </w:rPr>
        <w:t xml:space="preserve"> analysis and </w:t>
      </w:r>
      <w:r w:rsidRPr="00FE46B5">
        <w:rPr>
          <w:i/>
        </w:rPr>
        <w:t xml:space="preserve">policy dialogue on key areas of </w:t>
      </w:r>
      <w:r>
        <w:rPr>
          <w:i/>
        </w:rPr>
        <w:t>economic</w:t>
      </w:r>
      <w:r w:rsidRPr="00FE46B5">
        <w:rPr>
          <w:i/>
        </w:rPr>
        <w:t xml:space="preserve"> reform, including </w:t>
      </w:r>
      <w:r>
        <w:rPr>
          <w:i/>
        </w:rPr>
        <w:t xml:space="preserve">transfers for the poor, feeding in to passage of the landmark </w:t>
      </w:r>
      <w:r w:rsidRPr="00FE46B5">
        <w:rPr>
          <w:i/>
        </w:rPr>
        <w:t>Tax Reform Acceleration and Inclusion Act</w:t>
      </w:r>
      <w:r>
        <w:rPr>
          <w:i/>
        </w:rPr>
        <w:t xml:space="preserve"> in December 2017</w:t>
      </w:r>
      <w:r w:rsidRPr="00FE46B5">
        <w:rPr>
          <w:i/>
        </w:rPr>
        <w:t>.</w:t>
      </w:r>
    </w:p>
    <w:p w:rsidR="000108EE" w:rsidRDefault="000108EE" w:rsidP="005778D9">
      <w:pPr>
        <w:pStyle w:val="Bullet1"/>
        <w:numPr>
          <w:ilvl w:val="0"/>
          <w:numId w:val="19"/>
        </w:numPr>
        <w:rPr>
          <w:i/>
        </w:rPr>
      </w:pPr>
      <w:r>
        <w:rPr>
          <w:i/>
        </w:rPr>
        <w:t>Peace program and policy dialogues through NGO partners supported passage of the Bangsamoro Organic Law in Congress.</w:t>
      </w:r>
    </w:p>
    <w:p w:rsidR="005778D9" w:rsidRDefault="005778D9" w:rsidP="005778D9">
      <w:r>
        <w:t xml:space="preserve">Influencing the </w:t>
      </w:r>
      <w:r w:rsidRPr="002C35FC">
        <w:t>Philippine</w:t>
      </w:r>
      <w:r>
        <w:t>s</w:t>
      </w:r>
      <w:r w:rsidRPr="002C35FC">
        <w:t xml:space="preserve"> policy debate </w:t>
      </w:r>
      <w:r>
        <w:t xml:space="preserve">in areas of strategic interest was a key priority in 2017-18, </w:t>
      </w:r>
      <w:r w:rsidRPr="002C35FC">
        <w:t xml:space="preserve">but </w:t>
      </w:r>
      <w:r>
        <w:t xml:space="preserve">more </w:t>
      </w:r>
      <w:r w:rsidR="00B01C22">
        <w:t>can</w:t>
      </w:r>
      <w:r>
        <w:t xml:space="preserve"> be done</w:t>
      </w:r>
      <w:r w:rsidR="000108EE">
        <w:t>.</w:t>
      </w:r>
      <w:r w:rsidRPr="002C35FC">
        <w:t xml:space="preserve"> </w:t>
      </w:r>
      <w:r w:rsidR="000108EE">
        <w:t xml:space="preserve">For example, a recent evaluation </w:t>
      </w:r>
      <w:r w:rsidRPr="002C35FC">
        <w:t xml:space="preserve">of the national education program found that while </w:t>
      </w:r>
      <w:r>
        <w:t xml:space="preserve">implementing </w:t>
      </w:r>
      <w:r w:rsidRPr="002C35FC">
        <w:t>partners ha</w:t>
      </w:r>
      <w:r w:rsidR="00703A38">
        <w:t>d</w:t>
      </w:r>
      <w:r w:rsidRPr="002C35FC">
        <w:t xml:space="preserve"> produc</w:t>
      </w:r>
      <w:r>
        <w:t>ed</w:t>
      </w:r>
      <w:r w:rsidRPr="002C35FC">
        <w:t xml:space="preserve"> high</w:t>
      </w:r>
      <w:r w:rsidR="00703A38">
        <w:t>-</w:t>
      </w:r>
      <w:r w:rsidRPr="002C35FC">
        <w:t>quality research, this ha</w:t>
      </w:r>
      <w:r w:rsidR="00703A38">
        <w:t>d</w:t>
      </w:r>
      <w:r w:rsidRPr="002C35FC">
        <w:t xml:space="preserve"> not been </w:t>
      </w:r>
      <w:r w:rsidR="00703A38">
        <w:t>utilised</w:t>
      </w:r>
      <w:r w:rsidRPr="002C35FC">
        <w:t xml:space="preserve"> consistently to inform and influence policy.</w:t>
      </w:r>
    </w:p>
    <w:p w:rsidR="00167F5A" w:rsidRDefault="00724227" w:rsidP="00167F5A">
      <w:r>
        <w:t>Australia is a key advocate and pragmatic partner on gender equality in the Philippines.  DFAT is committed to effectively applying gender</w:t>
      </w:r>
      <w:r w:rsidR="00703A38">
        <w:t>-</w:t>
      </w:r>
      <w:r>
        <w:t xml:space="preserve">mainstreaming principles into all its operations, programs and practices.  The Philippines Gender Action Plan (GAP) prepared in 2017 presents the foundations for a gender responsive </w:t>
      </w:r>
      <w:r w:rsidR="00703A38">
        <w:t>program</w:t>
      </w:r>
      <w:r>
        <w:t xml:space="preserve"> to 2022. </w:t>
      </w:r>
      <w:r w:rsidR="00167F5A" w:rsidRPr="009C7429">
        <w:t xml:space="preserve"> </w:t>
      </w:r>
      <w:r w:rsidR="00167F5A">
        <w:t xml:space="preserve">We used the Plan </w:t>
      </w:r>
      <w:r w:rsidR="0097490A">
        <w:t xml:space="preserve">both </w:t>
      </w:r>
      <w:r w:rsidR="00167F5A">
        <w:t>to</w:t>
      </w:r>
      <w:r w:rsidR="00167F5A" w:rsidRPr="009C7429">
        <w:t xml:space="preserve"> leverage </w:t>
      </w:r>
      <w:r w:rsidR="00167F5A">
        <w:t xml:space="preserve">and </w:t>
      </w:r>
      <w:r w:rsidR="0097490A">
        <w:t xml:space="preserve">capture </w:t>
      </w:r>
      <w:r w:rsidR="00167F5A">
        <w:t>more accurately how our aid</w:t>
      </w:r>
      <w:r w:rsidR="00167F5A" w:rsidRPr="009C7429">
        <w:t xml:space="preserve"> to the Philippines </w:t>
      </w:r>
      <w:r w:rsidR="00167F5A">
        <w:t xml:space="preserve">is </w:t>
      </w:r>
      <w:r w:rsidR="00167F5A" w:rsidRPr="009C7429">
        <w:t>deliver</w:t>
      </w:r>
      <w:r w:rsidR="00167F5A">
        <w:t xml:space="preserve">ed </w:t>
      </w:r>
      <w:r w:rsidR="00167F5A" w:rsidRPr="009C7429">
        <w:t>in a gender</w:t>
      </w:r>
      <w:r w:rsidR="00703A38">
        <w:t>-</w:t>
      </w:r>
      <w:r w:rsidR="00167F5A" w:rsidRPr="009C7429">
        <w:t>sensitive way</w:t>
      </w:r>
      <w:r w:rsidR="0097490A">
        <w:t>,</w:t>
      </w:r>
      <w:r w:rsidR="00167F5A">
        <w:t xml:space="preserve"> including for</w:t>
      </w:r>
      <w:r w:rsidR="00167F5A" w:rsidRPr="009C7429">
        <w:t xml:space="preserve"> some </w:t>
      </w:r>
      <w:r w:rsidR="00167F5A">
        <w:t>o</w:t>
      </w:r>
      <w:r w:rsidR="00167F5A" w:rsidRPr="009C7429">
        <w:t xml:space="preserve">f its </w:t>
      </w:r>
      <w:r w:rsidR="00703A38">
        <w:t>highest</w:t>
      </w:r>
      <w:r w:rsidR="00167F5A" w:rsidRPr="009C7429">
        <w:t xml:space="preserve"> priorities</w:t>
      </w:r>
      <w:r w:rsidR="00167F5A">
        <w:t xml:space="preserve"> such as</w:t>
      </w:r>
      <w:r w:rsidR="00167F5A" w:rsidRPr="009C7429">
        <w:t xml:space="preserve"> infrastructure and education. For example, all assessments of public</w:t>
      </w:r>
      <w:r w:rsidR="00703A38">
        <w:t>-</w:t>
      </w:r>
      <w:r w:rsidR="00167F5A" w:rsidRPr="009C7429">
        <w:t>private partnerships that receive</w:t>
      </w:r>
      <w:r w:rsidR="00167F5A">
        <w:t xml:space="preserve"> </w:t>
      </w:r>
      <w:r w:rsidR="00167F5A">
        <w:lastRenderedPageBreak/>
        <w:t>Australian</w:t>
      </w:r>
      <w:r w:rsidR="00167F5A" w:rsidRPr="009C7429">
        <w:t xml:space="preserve"> technical assistance fund</w:t>
      </w:r>
      <w:r w:rsidR="00167F5A">
        <w:t>ing</w:t>
      </w:r>
      <w:r w:rsidR="00167F5A" w:rsidRPr="009C7429">
        <w:t xml:space="preserve"> incorporate an assessment of gender related issues. Similarly, the </w:t>
      </w:r>
      <w:r w:rsidR="00167F5A">
        <w:t xml:space="preserve">Philippine </w:t>
      </w:r>
      <w:r w:rsidR="00167F5A" w:rsidRPr="009C7429">
        <w:t>Department of Education’s</w:t>
      </w:r>
      <w:r w:rsidR="00167F5A">
        <w:t xml:space="preserve"> (DepEd’s)</w:t>
      </w:r>
      <w:r w:rsidR="00167F5A" w:rsidRPr="009C7429">
        <w:t xml:space="preserve"> national Gender Responsive Basic Education policy was </w:t>
      </w:r>
      <w:r w:rsidR="00167F5A">
        <w:t>finalised</w:t>
      </w:r>
      <w:r w:rsidR="00167F5A" w:rsidRPr="009C7429">
        <w:t xml:space="preserve"> with </w:t>
      </w:r>
      <w:r w:rsidR="00167F5A">
        <w:t xml:space="preserve">Australian </w:t>
      </w:r>
      <w:r w:rsidR="00167F5A" w:rsidRPr="009C7429">
        <w:t>support.</w:t>
      </w:r>
    </w:p>
    <w:p w:rsidR="002373F0" w:rsidRDefault="002373F0" w:rsidP="002373F0">
      <w:r>
        <w:t>There were some challenges in the reporting period. T</w:t>
      </w:r>
      <w:r w:rsidRPr="00120CD6">
        <w:t xml:space="preserve">he Philippine </w:t>
      </w:r>
      <w:r>
        <w:t>Government clarified its policy</w:t>
      </w:r>
      <w:r w:rsidRPr="00120CD6">
        <w:t xml:space="preserve"> </w:t>
      </w:r>
      <w:r w:rsidR="009E5656">
        <w:t xml:space="preserve">and required </w:t>
      </w:r>
      <w:r>
        <w:t>donor funds that provide direct government support be channelled through the Bureau of Treasury before allocation to intended line agencies. To comply with this policy, i</w:t>
      </w:r>
      <w:r w:rsidRPr="00120CD6">
        <w:t>n June 2017</w:t>
      </w:r>
      <w:r>
        <w:t>,</w:t>
      </w:r>
      <w:r w:rsidRPr="00120CD6">
        <w:t xml:space="preserve"> </w:t>
      </w:r>
      <w:r>
        <w:t>the Department of Social Welfare and Development (DSWD) transferred the DFAT</w:t>
      </w:r>
      <w:r w:rsidRPr="00120CD6">
        <w:t xml:space="preserve"> funds </w:t>
      </w:r>
      <w:r>
        <w:t xml:space="preserve">it </w:t>
      </w:r>
      <w:r w:rsidRPr="00120CD6">
        <w:t xml:space="preserve">held </w:t>
      </w:r>
      <w:r>
        <w:t xml:space="preserve">to the Treasury. Unfortunately, it took almost one year for the administrative procedures to be in place for the funds to be returned to DSWD. </w:t>
      </w:r>
      <w:r w:rsidRPr="00120CD6">
        <w:t xml:space="preserve">This </w:t>
      </w:r>
      <w:r>
        <w:t xml:space="preserve">delayed implementation of </w:t>
      </w:r>
      <w:r w:rsidRPr="00120CD6">
        <w:t>our social protection and disaster response programs</w:t>
      </w:r>
      <w:r>
        <w:t xml:space="preserve">. It is the reason </w:t>
      </w:r>
      <w:r w:rsidR="00703A38">
        <w:t xml:space="preserve">few activities could take place and is why </w:t>
      </w:r>
      <w:r>
        <w:t xml:space="preserve">our social protection </w:t>
      </w:r>
      <w:r w:rsidR="006F75D5">
        <w:t>program</w:t>
      </w:r>
      <w:r>
        <w:t xml:space="preserve"> has been marked as an </w:t>
      </w:r>
      <w:r w:rsidR="00F83382">
        <w:t>Investment</w:t>
      </w:r>
      <w:r>
        <w:t xml:space="preserve"> </w:t>
      </w:r>
      <w:r w:rsidR="00F83382">
        <w:t>R</w:t>
      </w:r>
      <w:r>
        <w:t xml:space="preserve">equiring </w:t>
      </w:r>
      <w:r w:rsidR="00F83382">
        <w:t>I</w:t>
      </w:r>
      <w:r>
        <w:t>mprovement</w:t>
      </w:r>
      <w:r w:rsidR="00F83382">
        <w:t xml:space="preserve"> (IRI)</w:t>
      </w:r>
      <w:r>
        <w:t xml:space="preserve"> for 2017-18</w:t>
      </w:r>
      <w:r w:rsidRPr="00120CD6">
        <w:t>.</w:t>
      </w:r>
    </w:p>
    <w:p w:rsidR="002373F0" w:rsidRPr="00120CD6" w:rsidRDefault="002373F0" w:rsidP="002373F0">
      <w:r w:rsidRPr="00120CD6">
        <w:t xml:space="preserve">The Philippine </w:t>
      </w:r>
      <w:r>
        <w:t>G</w:t>
      </w:r>
      <w:r w:rsidRPr="00120CD6">
        <w:t xml:space="preserve">overnment decided not to proceed with the Trade, Inclusive Growth and Economic Reform Program at the final approval stage in late 2017, which left </w:t>
      </w:r>
      <w:r w:rsidR="006A1CD5">
        <w:t>us</w:t>
      </w:r>
      <w:r w:rsidRPr="00120CD6">
        <w:t xml:space="preserve"> unable to mobilise </w:t>
      </w:r>
      <w:r w:rsidR="009E2287">
        <w:t xml:space="preserve">further </w:t>
      </w:r>
      <w:r w:rsidRPr="00120CD6">
        <w:t xml:space="preserve">support </w:t>
      </w:r>
      <w:r>
        <w:t>for</w:t>
      </w:r>
      <w:r w:rsidRPr="00120CD6">
        <w:t xml:space="preserve"> competition policy, economic reform, an</w:t>
      </w:r>
      <w:r w:rsidR="000044A5">
        <w:t>d trade policy</w:t>
      </w:r>
      <w:r w:rsidR="006A1CD5">
        <w:t xml:space="preserve">.  However, work did continue through avenues such as our partnership with the World Bank and we are exploring ways to </w:t>
      </w:r>
      <w:r w:rsidR="00703A38">
        <w:t>achieve our</w:t>
      </w:r>
      <w:r w:rsidR="006A1CD5">
        <w:t xml:space="preserve"> objectives through other mechanisms such as multi-lateral partnerships</w:t>
      </w:r>
      <w:r w:rsidR="000044A5">
        <w:t>. The Marawi conflict</w:t>
      </w:r>
      <w:r w:rsidRPr="00120CD6">
        <w:t xml:space="preserve"> in</w:t>
      </w:r>
      <w:r w:rsidR="00D54DB5">
        <w:t xml:space="preserve"> </w:t>
      </w:r>
      <w:r w:rsidRPr="00120CD6">
        <w:t xml:space="preserve">Mindanao occupied a significant amount of the Philippine </w:t>
      </w:r>
      <w:r>
        <w:t>G</w:t>
      </w:r>
      <w:r w:rsidRPr="00120CD6">
        <w:t>overnment’s time and resources and delayed implementation of some of our</w:t>
      </w:r>
      <w:r w:rsidR="009E2287" w:rsidRPr="00D54DB5">
        <w:t xml:space="preserve"> </w:t>
      </w:r>
      <w:r w:rsidRPr="00120CD6">
        <w:t>peace and stability activities in Mindanao.</w:t>
      </w:r>
    </w:p>
    <w:p w:rsidR="00120CD6" w:rsidRDefault="00120CD6" w:rsidP="00120CD6">
      <w:r w:rsidRPr="00120CD6">
        <w:t xml:space="preserve">These challenges have highlighted the importance of having programs that are </w:t>
      </w:r>
      <w:r w:rsidR="00253FF2">
        <w:t xml:space="preserve">flexible and </w:t>
      </w:r>
      <w:r w:rsidRPr="00120CD6">
        <w:t>responsive to partner government policy and operational change</w:t>
      </w:r>
      <w:r w:rsidR="00CE2AD9">
        <w:t>s</w:t>
      </w:r>
      <w:r w:rsidRPr="00120CD6">
        <w:t xml:space="preserve">. </w:t>
      </w:r>
    </w:p>
    <w:p w:rsidR="00C6626C" w:rsidRPr="00C61187" w:rsidRDefault="00C6626C" w:rsidP="002A51CA">
      <w:pPr>
        <w:pStyle w:val="ListBullet"/>
        <w:tabs>
          <w:tab w:val="clear" w:pos="284"/>
        </w:tabs>
        <w:spacing w:before="360"/>
        <w:rPr>
          <w:kern w:val="28"/>
        </w:rPr>
      </w:pPr>
      <w:r w:rsidRPr="002A51CA">
        <w:rPr>
          <w:rFonts w:asciiTheme="majorHAnsi" w:eastAsiaTheme="majorEastAsia" w:hAnsiTheme="majorHAnsi" w:cstheme="majorBidi"/>
          <w:caps/>
          <w:color w:val="495965" w:themeColor="text2"/>
          <w:sz w:val="38"/>
          <w:szCs w:val="26"/>
          <w:lang w:val="en-GB" w:eastAsia="en-US"/>
        </w:rPr>
        <w:t xml:space="preserve">Context </w:t>
      </w:r>
      <w:r w:rsidRPr="002A51CA">
        <w:rPr>
          <w:rFonts w:asciiTheme="majorHAnsi" w:eastAsiaTheme="majorEastAsia" w:hAnsiTheme="majorHAnsi" w:cstheme="majorBidi"/>
          <w:caps/>
          <w:color w:val="495965" w:themeColor="text2"/>
          <w:sz w:val="38"/>
          <w:szCs w:val="26"/>
          <w:lang w:val="en-GB" w:eastAsia="en-US"/>
        </w:rPr>
        <w:tab/>
      </w:r>
      <w:r w:rsidRPr="00C61187">
        <w:rPr>
          <w:rFonts w:ascii="Helvetica" w:hAnsi="Helvetica" w:cs="Arial"/>
          <w:color w:val="007FAD"/>
          <w:kern w:val="28"/>
          <w:sz w:val="32"/>
          <w:szCs w:val="32"/>
        </w:rPr>
        <w:tab/>
      </w:r>
      <w:r w:rsidRPr="00C61187">
        <w:rPr>
          <w:color w:val="007FAD"/>
          <w:kern w:val="28"/>
        </w:rPr>
        <w:tab/>
      </w:r>
      <w:r w:rsidRPr="00C61187">
        <w:rPr>
          <w:color w:val="007FAD"/>
          <w:kern w:val="28"/>
        </w:rPr>
        <w:tab/>
      </w:r>
      <w:r w:rsidRPr="00C61187">
        <w:rPr>
          <w:color w:val="007FAD"/>
          <w:kern w:val="28"/>
        </w:rPr>
        <w:tab/>
      </w:r>
      <w:r w:rsidRPr="00C61187">
        <w:rPr>
          <w:color w:val="007FAD"/>
          <w:kern w:val="28"/>
        </w:rPr>
        <w:tab/>
      </w:r>
      <w:r w:rsidRPr="00C61187">
        <w:rPr>
          <w:color w:val="007FAD"/>
          <w:kern w:val="28"/>
        </w:rPr>
        <w:tab/>
      </w:r>
    </w:p>
    <w:p w:rsidR="00EA7779" w:rsidRDefault="00EA7779" w:rsidP="006F5A9E">
      <w:r>
        <w:t xml:space="preserve">Sound macro-economic fundamentals, a large, English-speaking labour force and young population are all economic strengths for the Philippines. However, a high fertility rate constrains women’s workforce participation and is delaying the point at which the Philippines would enjoy a demographic dividend resulting from a larger than usual share of the population being of working age. </w:t>
      </w:r>
      <w:r w:rsidR="00703A38">
        <w:t>G</w:t>
      </w:r>
      <w:r>
        <w:t xml:space="preserve">overnance </w:t>
      </w:r>
      <w:r w:rsidR="00703A38">
        <w:t xml:space="preserve">constraints </w:t>
      </w:r>
      <w:r>
        <w:t xml:space="preserve">and the pervasive role of patronage in society and the economy also distort the policy-making process and act as barriers to trade and investment. </w:t>
      </w:r>
    </w:p>
    <w:p w:rsidR="00D76A68" w:rsidRPr="00375FB4" w:rsidRDefault="00D76A68" w:rsidP="00D76A68">
      <w:r>
        <w:t>The</w:t>
      </w:r>
      <w:r w:rsidRPr="002C35FC">
        <w:t xml:space="preserve"> Philippines National Economic and Development Authority</w:t>
      </w:r>
      <w:r>
        <w:t xml:space="preserve"> lists Australia</w:t>
      </w:r>
      <w:r w:rsidRPr="002C35FC">
        <w:t xml:space="preserve"> </w:t>
      </w:r>
      <w:r>
        <w:t>as the fifth largest ODA donor (both loans and grants), and second to the USA in terms of bilateral grants</w:t>
      </w:r>
      <w:r w:rsidR="00EB4BDB">
        <w:t>.  I</w:t>
      </w:r>
      <w:r>
        <w:t>n 2017, t</w:t>
      </w:r>
      <w:r w:rsidRPr="00375FB4">
        <w:t xml:space="preserve">he Philippine economy grew by 6.7 per cent and was one of the fastest growing economies in Asia, behind China (6.9 per cent) and Vietnam (6.8 per cent). Growth is expected to remain stable over the next few years, contingent on implementation of the Government’s infrastructure program and </w:t>
      </w:r>
      <w:r>
        <w:t xml:space="preserve">economic </w:t>
      </w:r>
      <w:r w:rsidRPr="00375FB4">
        <w:t xml:space="preserve">reforms. </w:t>
      </w:r>
      <w:r w:rsidR="00703A38">
        <w:t>D</w:t>
      </w:r>
      <w:r w:rsidR="00C648B9">
        <w:t xml:space="preserve">espite recent gains in reducing poverty, </w:t>
      </w:r>
      <w:r w:rsidR="00703A38">
        <w:t xml:space="preserve">however, </w:t>
      </w:r>
      <w:r w:rsidR="00C648B9">
        <w:t xml:space="preserve">21.6 per cent of Filipinos still live below the national poverty line, </w:t>
      </w:r>
      <w:r w:rsidR="00EA7779">
        <w:t xml:space="preserve">with three-quarters living in rural areas and two-fifths located in Mindanao. Comparing the poverty rate in Metro Manila (3.9 per cent) with the poverty rate in the Autonomous Region of Muslim Mindanao (53.7 per cent) provides a clear illustration of this urban-rural and north-south divide. This highlights the need for more inclusive economic growth in the future if the Philippines is to match the poverty reduction efforts of its closest neighbours. </w:t>
      </w:r>
      <w:r w:rsidR="006C561A">
        <w:t xml:space="preserve">  Although Australia’s assistance represents only a small proportion of the Philippines national budget (approximately 0.2 percent in 2018-19), we seek to magnify the impact of our spending by working to help the Philippines deploy their own resources to greater effect.</w:t>
      </w:r>
    </w:p>
    <w:p w:rsidR="00D76A68" w:rsidRPr="00C61187" w:rsidRDefault="00D76A68" w:rsidP="00D76A68">
      <w:r w:rsidRPr="00D16523">
        <w:t xml:space="preserve">The three years covered by the existing </w:t>
      </w:r>
      <w:r>
        <w:t>AIP</w:t>
      </w:r>
      <w:r w:rsidRPr="00D16523">
        <w:t xml:space="preserve"> mark a time of </w:t>
      </w:r>
      <w:r w:rsidR="000E76A4">
        <w:t xml:space="preserve">political </w:t>
      </w:r>
      <w:r w:rsidRPr="00D16523">
        <w:t xml:space="preserve">change for the Philippines. For the first year (under the Aquino administration) the focus was on reform opportunity, policy influence for improved governance and systemic change – for example in support of improved and more transparent budgeting systems in the </w:t>
      </w:r>
      <w:r>
        <w:t>Philippine Government</w:t>
      </w:r>
      <w:r w:rsidRPr="00D16523">
        <w:t xml:space="preserve"> and implementation of the most significant education system reforms in decades. </w:t>
      </w:r>
      <w:r>
        <w:t xml:space="preserve">For the remaining two years of the AIP under the Duterte </w:t>
      </w:r>
      <w:r w:rsidR="00703A38">
        <w:t>a</w:t>
      </w:r>
      <w:r>
        <w:t xml:space="preserve">dministration the key focus was on the </w:t>
      </w:r>
      <w:r w:rsidRPr="00D16523">
        <w:t xml:space="preserve">southern Philippines </w:t>
      </w:r>
      <w:r>
        <w:t xml:space="preserve">as a result of the </w:t>
      </w:r>
      <w:r w:rsidRPr="00D16523">
        <w:t xml:space="preserve">Marawi </w:t>
      </w:r>
      <w:r w:rsidR="000044A5">
        <w:t>conflict</w:t>
      </w:r>
      <w:r>
        <w:t xml:space="preserve"> and ongoing efforts to negotiate a lasting peace.</w:t>
      </w:r>
    </w:p>
    <w:p w:rsidR="00D76A68" w:rsidRDefault="00D76A68" w:rsidP="00D76A68">
      <w:r w:rsidRPr="00375FB4">
        <w:t xml:space="preserve">Infrastructure development remains a high priority as the </w:t>
      </w:r>
      <w:r>
        <w:t xml:space="preserve">Duterte </w:t>
      </w:r>
      <w:r w:rsidR="00703A38">
        <w:t>a</w:t>
      </w:r>
      <w:r>
        <w:t xml:space="preserve">dministration’s </w:t>
      </w:r>
      <w:r w:rsidRPr="00375FB4">
        <w:t xml:space="preserve">‘Build </w:t>
      </w:r>
      <w:r w:rsidR="00EB4BDB">
        <w:t xml:space="preserve">Build </w:t>
      </w:r>
      <w:r w:rsidRPr="00375FB4">
        <w:t xml:space="preserve">Build’ program continues to gain momentum. </w:t>
      </w:r>
      <w:r>
        <w:t>F</w:t>
      </w:r>
      <w:r w:rsidRPr="00375FB4">
        <w:t xml:space="preserve">lagship infrastructure projects are moving quickly through the </w:t>
      </w:r>
      <w:r w:rsidRPr="00375FB4">
        <w:lastRenderedPageBreak/>
        <w:t xml:space="preserve">government approval process and </w:t>
      </w:r>
      <w:r>
        <w:t>for some projects the Government is engaged in negotiations</w:t>
      </w:r>
      <w:r w:rsidRPr="00375FB4">
        <w:t xml:space="preserve"> for </w:t>
      </w:r>
      <w:r w:rsidR="00AF49BC" w:rsidRPr="00144305">
        <w:t>Official Development Assistance (ODA)</w:t>
      </w:r>
      <w:r>
        <w:t xml:space="preserve"> </w:t>
      </w:r>
      <w:r w:rsidRPr="00375FB4">
        <w:t xml:space="preserve">funding </w:t>
      </w:r>
      <w:r>
        <w:t>from</w:t>
      </w:r>
      <w:r w:rsidRPr="00375FB4">
        <w:t xml:space="preserve"> bilateral and multilateral donors. Public Financial Management reforms continue to facilitate improved spendi</w:t>
      </w:r>
      <w:r w:rsidR="000044A5">
        <w:t>ng across government, with the G</w:t>
      </w:r>
      <w:r w:rsidRPr="00375FB4">
        <w:t xml:space="preserve">overnment </w:t>
      </w:r>
      <w:r>
        <w:t xml:space="preserve">planning to </w:t>
      </w:r>
      <w:r w:rsidRPr="00375FB4">
        <w:t>shift from obligation-based to cash-based appropriations starting in 2019.</w:t>
      </w:r>
      <w:r>
        <w:t xml:space="preserve"> </w:t>
      </w:r>
    </w:p>
    <w:p w:rsidR="006F5A9E" w:rsidRPr="008B6D38" w:rsidRDefault="006F5A9E" w:rsidP="006F5A9E">
      <w:pPr>
        <w:rPr>
          <w:color w:val="FF0000"/>
        </w:rPr>
      </w:pPr>
      <w:r w:rsidRPr="005763B7">
        <w:t xml:space="preserve">In the aftermath of the </w:t>
      </w:r>
      <w:r w:rsidR="00417A84">
        <w:t>Marawi conflict</w:t>
      </w:r>
      <w:r w:rsidRPr="005763B7">
        <w:t>, the Philippines established a</w:t>
      </w:r>
      <w:r>
        <w:t xml:space="preserve"> whole-of-government taskforce (</w:t>
      </w:r>
      <w:r w:rsidRPr="005763B7">
        <w:t xml:space="preserve">Task Force </w:t>
      </w:r>
      <w:r w:rsidRPr="005763B7">
        <w:rPr>
          <w:i/>
        </w:rPr>
        <w:t>Bangon Marawi</w:t>
      </w:r>
      <w:r>
        <w:t>)</w:t>
      </w:r>
      <w:r w:rsidRPr="005763B7">
        <w:t xml:space="preserve"> to lead recovery and reconstruction efforts in Marawi. However, progress has been slow for a range of reasons, </w:t>
      </w:r>
      <w:r w:rsidR="00703A38">
        <w:t xml:space="preserve"> </w:t>
      </w:r>
      <w:r w:rsidRPr="005763B7">
        <w:t>including the clearance of une</w:t>
      </w:r>
      <w:r>
        <w:t xml:space="preserve">xploded ordnance in the city, </w:t>
      </w:r>
      <w:r w:rsidRPr="005763B7">
        <w:t>a delayed procurement process for reconstruction and land title issues. A</w:t>
      </w:r>
      <w:r w:rsidR="00703A38">
        <w:t>t the time of publication, approximately</w:t>
      </w:r>
      <w:r w:rsidRPr="005763B7">
        <w:t xml:space="preserve"> 60,000 Marawi residents remain displaced, staying with host families or in evacuation centres, and will remain displaced for some time to come, with critical needs for protection, access to basic services, civil documentation, livelihoods and education.</w:t>
      </w:r>
    </w:p>
    <w:p w:rsidR="00954592" w:rsidRDefault="00954592" w:rsidP="00954592">
      <w:pPr>
        <w:rPr>
          <w:rFonts w:ascii="Calibri Light" w:hAnsi="Calibri Light"/>
        </w:rPr>
      </w:pPr>
      <w:r>
        <w:rPr>
          <w:rFonts w:ascii="Calibri Light" w:hAnsi="Calibri Light"/>
        </w:rPr>
        <w:t>The Philippines remains highly vulnerable to disasters and climate change. It is ranked third for disaster risk worldwide (World Risk Report 2017) and is the fifth</w:t>
      </w:r>
      <w:r w:rsidR="005E4A85">
        <w:rPr>
          <w:rFonts w:ascii="Calibri Light" w:hAnsi="Calibri Light"/>
        </w:rPr>
        <w:t>-</w:t>
      </w:r>
      <w:r>
        <w:rPr>
          <w:rFonts w:ascii="Calibri Light" w:hAnsi="Calibri Light"/>
        </w:rPr>
        <w:t xml:space="preserve">most affected country by climate change (Global Climate Risk Index 2017). The Philippines has made substantial progress in the science-base for multi-hazard and risk assessments, modelling and forecasting, rolling out early warning systems and contingency planning. The sub-national architecture, however, will take time to fully establish. Bridging the implementation gap at the local government level remains the “big prize” in the ongoing effort to make the Philippines more resilient to disasters and climate change. </w:t>
      </w:r>
    </w:p>
    <w:p w:rsidR="00954592" w:rsidRPr="00375FB4" w:rsidRDefault="00954592" w:rsidP="00954592">
      <w:r w:rsidRPr="00375FB4">
        <w:t>The Philippines remains the most gender equal country in Asia in 2017. It is ranked 10th in the Global Gender gap report in 2017 according to the Wo</w:t>
      </w:r>
      <w:r>
        <w:t>r</w:t>
      </w:r>
      <w:r w:rsidRPr="00375FB4">
        <w:t>ld Economic Forum (WEF)</w:t>
      </w:r>
      <w:r w:rsidRPr="003C084F">
        <w:rPr>
          <w:vertAlign w:val="superscript"/>
        </w:rPr>
        <w:footnoteReference w:id="2"/>
      </w:r>
      <w:r w:rsidRPr="00375FB4">
        <w:t>. Although the Philippines fares well in terms of the reported number of women in managerial and executive positions and labour force participation, the work force remains relatively gender segregated with persistent wage differences between men and women for similar work done</w:t>
      </w:r>
      <w:r>
        <w:t xml:space="preserve"> and formal workforce participation by women is still quite low.</w:t>
      </w:r>
    </w:p>
    <w:p w:rsidR="00D76A68" w:rsidRPr="009D734E" w:rsidRDefault="00D76A68" w:rsidP="00D76A68">
      <w:r w:rsidRPr="00375FB4">
        <w:t xml:space="preserve">2017 saw the Philippines Government continue implementation of its 12 Women’s Priority Legislative Agenda (WPLA) for the 17th Congress. </w:t>
      </w:r>
      <w:r>
        <w:t>T</w:t>
      </w:r>
      <w:r w:rsidRPr="00375FB4">
        <w:t>he Congress approved the Sexual Orientation and Gender Identity or Expression Equality Bill</w:t>
      </w:r>
      <w:r>
        <w:t xml:space="preserve">, which is </w:t>
      </w:r>
      <w:r w:rsidRPr="00375FB4">
        <w:t xml:space="preserve">still being considered by the Senate. </w:t>
      </w:r>
      <w:r w:rsidR="005E4A85">
        <w:t xml:space="preserve">In </w:t>
      </w:r>
      <w:r w:rsidRPr="00375FB4">
        <w:t xml:space="preserve">2017 </w:t>
      </w:r>
      <w:r w:rsidR="005E4A85">
        <w:t>P</w:t>
      </w:r>
      <w:r w:rsidRPr="00375FB4">
        <w:t xml:space="preserve">resident Duterte </w:t>
      </w:r>
      <w:r w:rsidR="005E4A85">
        <w:t xml:space="preserve">also </w:t>
      </w:r>
      <w:r w:rsidRPr="00375FB4">
        <w:t>issue</w:t>
      </w:r>
      <w:r w:rsidR="005E4A85">
        <w:t>d</w:t>
      </w:r>
      <w:r w:rsidRPr="00375FB4">
        <w:t xml:space="preserve"> Executive Order No. 12, instructing government to urgently </w:t>
      </w:r>
      <w:r w:rsidR="005E4A85">
        <w:t>meet</w:t>
      </w:r>
      <w:r w:rsidRPr="00375FB4">
        <w:t xml:space="preserve"> unmet need</w:t>
      </w:r>
      <w:r w:rsidR="005E4A85">
        <w:t>s</w:t>
      </w:r>
      <w:r w:rsidRPr="00375FB4">
        <w:t xml:space="preserve"> for modern family planning. This Executive Order was made in response to continued high fertility rates and unmet needs from adolescents, especially teen parents, for family planning and access to contraceptive services and commodities.</w:t>
      </w:r>
      <w:r>
        <w:t xml:space="preserve"> </w:t>
      </w:r>
    </w:p>
    <w:p w:rsidR="00C6626C" w:rsidRPr="002A51CA" w:rsidRDefault="00C6626C" w:rsidP="002A51CA">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t>Expenditure</w:t>
      </w:r>
      <w:r w:rsidR="00F62B01">
        <w:rPr>
          <w:rFonts w:asciiTheme="majorHAnsi" w:eastAsiaTheme="majorEastAsia" w:hAnsiTheme="majorHAnsi" w:cstheme="majorBidi"/>
          <w:caps/>
          <w:color w:val="495965" w:themeColor="text2"/>
          <w:sz w:val="38"/>
          <w:szCs w:val="26"/>
          <w:lang w:val="en-GB" w:eastAsia="en-US"/>
        </w:rPr>
        <w:t xml:space="preserve"> </w:t>
      </w:r>
    </w:p>
    <w:p w:rsidR="00D13BC7" w:rsidRDefault="00D13BC7" w:rsidP="00D13BC7">
      <w:r w:rsidRPr="00144305">
        <w:t xml:space="preserve">In 2017-18, Australia’s total ODA to the Philippines was $83.2 million, a slight increase </w:t>
      </w:r>
      <w:r w:rsidR="005E4A85">
        <w:t>over</w:t>
      </w:r>
      <w:r w:rsidRPr="00144305">
        <w:t xml:space="preserve"> $81.8 million in 2016-</w:t>
      </w:r>
      <w:r w:rsidR="00C86224" w:rsidRPr="00144305">
        <w:t>17</w:t>
      </w:r>
      <w:r w:rsidRPr="00144305">
        <w:t xml:space="preserve">. The bilateral aid program managed by the Department of Foreign Affairs and Trade </w:t>
      </w:r>
      <w:r w:rsidR="003A0395">
        <w:t>totalled $65 million, the remainder comprising</w:t>
      </w:r>
      <w:r w:rsidRPr="00144305">
        <w:t xml:space="preserve"> regional </w:t>
      </w:r>
      <w:r w:rsidR="003A0395">
        <w:t xml:space="preserve">and global programs and </w:t>
      </w:r>
      <w:r w:rsidRPr="00144305">
        <w:t xml:space="preserve">flows through other Australian Government </w:t>
      </w:r>
      <w:r w:rsidR="002E6077">
        <w:t>d</w:t>
      </w:r>
      <w:r w:rsidRPr="00144305">
        <w:t>epartments. The A</w:t>
      </w:r>
      <w:r w:rsidR="003A0395">
        <w:t xml:space="preserve">IP </w:t>
      </w:r>
      <w:r w:rsidRPr="00144305">
        <w:t xml:space="preserve">reflects continued engagement, despite challenges, to leverage change to promote </w:t>
      </w:r>
      <w:r w:rsidR="004F5727">
        <w:t>development</w:t>
      </w:r>
      <w:r w:rsidRPr="00144305">
        <w:t xml:space="preserve"> through its three objectives:</w:t>
      </w:r>
    </w:p>
    <w:p w:rsidR="00EB4BDB" w:rsidRPr="00144305" w:rsidRDefault="00EB4BDB" w:rsidP="00D13BC7"/>
    <w:p w:rsidR="00144305" w:rsidRPr="002E6077" w:rsidRDefault="00D13BC7" w:rsidP="00FD0C18">
      <w:pPr>
        <w:pStyle w:val="ListParagraph"/>
        <w:numPr>
          <w:ilvl w:val="0"/>
          <w:numId w:val="16"/>
        </w:numPr>
        <w:rPr>
          <w:rFonts w:asciiTheme="minorHAnsi" w:hAnsiTheme="minorHAnsi"/>
          <w:color w:val="495965" w:themeColor="text2"/>
          <w:sz w:val="22"/>
          <w:szCs w:val="22"/>
        </w:rPr>
      </w:pPr>
      <w:r w:rsidRPr="002E6077">
        <w:rPr>
          <w:rFonts w:asciiTheme="minorHAnsi" w:hAnsiTheme="minorHAnsi"/>
          <w:color w:val="495965" w:themeColor="text2"/>
          <w:sz w:val="22"/>
          <w:szCs w:val="22"/>
        </w:rPr>
        <w:t>Enhancing the foundations for economic growth</w:t>
      </w:r>
    </w:p>
    <w:p w:rsidR="00144305" w:rsidRPr="002E6077" w:rsidRDefault="00D13BC7" w:rsidP="00FD0C18">
      <w:pPr>
        <w:pStyle w:val="ListParagraph"/>
        <w:numPr>
          <w:ilvl w:val="0"/>
          <w:numId w:val="16"/>
        </w:numPr>
        <w:rPr>
          <w:rFonts w:asciiTheme="minorHAnsi" w:hAnsiTheme="minorHAnsi"/>
          <w:color w:val="495965" w:themeColor="text2"/>
          <w:sz w:val="22"/>
          <w:szCs w:val="22"/>
        </w:rPr>
      </w:pPr>
      <w:r w:rsidRPr="002E6077">
        <w:rPr>
          <w:rFonts w:asciiTheme="minorHAnsi" w:hAnsiTheme="minorHAnsi"/>
          <w:color w:val="495965" w:themeColor="text2"/>
          <w:sz w:val="22"/>
          <w:szCs w:val="22"/>
        </w:rPr>
        <w:t>Building stronger institutions for transparent and accountable governance</w:t>
      </w:r>
    </w:p>
    <w:p w:rsidR="00D16523" w:rsidRPr="002E6077" w:rsidRDefault="00D13BC7" w:rsidP="00FD0C18">
      <w:pPr>
        <w:pStyle w:val="ListParagraph"/>
        <w:numPr>
          <w:ilvl w:val="0"/>
          <w:numId w:val="16"/>
        </w:numPr>
        <w:rPr>
          <w:rFonts w:asciiTheme="minorHAnsi" w:hAnsiTheme="minorHAnsi"/>
          <w:color w:val="495965" w:themeColor="text2"/>
          <w:sz w:val="22"/>
          <w:szCs w:val="22"/>
        </w:rPr>
      </w:pPr>
      <w:r w:rsidRPr="002E6077">
        <w:rPr>
          <w:rFonts w:asciiTheme="minorHAnsi" w:hAnsiTheme="minorHAnsi"/>
          <w:color w:val="495965" w:themeColor="text2"/>
          <w:sz w:val="22"/>
          <w:szCs w:val="22"/>
        </w:rPr>
        <w:t>Improving conditions for peace and stability</w:t>
      </w:r>
      <w:r w:rsidRPr="002E6077" w:rsidDel="00D13BC7">
        <w:rPr>
          <w:rFonts w:asciiTheme="minorHAnsi" w:hAnsiTheme="minorHAnsi"/>
          <w:color w:val="495965" w:themeColor="text2"/>
          <w:sz w:val="22"/>
          <w:szCs w:val="22"/>
        </w:rPr>
        <w:t xml:space="preserve"> </w:t>
      </w:r>
    </w:p>
    <w:p w:rsidR="00EB4BDB" w:rsidRDefault="00EB4BDB" w:rsidP="002A51CA">
      <w:pPr>
        <w:rPr>
          <w:b/>
          <w:sz w:val="24"/>
        </w:rPr>
      </w:pPr>
    </w:p>
    <w:p w:rsidR="00417A84" w:rsidRDefault="00417A84" w:rsidP="002A51CA">
      <w:pPr>
        <w:rPr>
          <w:b/>
          <w:sz w:val="24"/>
        </w:rPr>
      </w:pPr>
    </w:p>
    <w:p w:rsidR="00417A84" w:rsidRDefault="00417A84" w:rsidP="002A51CA">
      <w:pPr>
        <w:rPr>
          <w:b/>
          <w:sz w:val="24"/>
        </w:rPr>
      </w:pPr>
    </w:p>
    <w:p w:rsidR="00417A84" w:rsidRDefault="00417A84" w:rsidP="002A51CA">
      <w:pPr>
        <w:rPr>
          <w:b/>
          <w:sz w:val="24"/>
        </w:rPr>
      </w:pPr>
    </w:p>
    <w:p w:rsidR="00D40AEB" w:rsidRDefault="002A51CA" w:rsidP="002A51CA">
      <w:pPr>
        <w:rPr>
          <w:b/>
          <w:sz w:val="24"/>
        </w:rPr>
      </w:pPr>
      <w:r w:rsidRPr="00B76480">
        <w:rPr>
          <w:b/>
          <w:sz w:val="24"/>
        </w:rPr>
        <w:lastRenderedPageBreak/>
        <w:t xml:space="preserve">Table </w:t>
      </w:r>
      <w:r w:rsidRPr="00B76480">
        <w:rPr>
          <w:b/>
          <w:sz w:val="24"/>
        </w:rPr>
        <w:fldChar w:fldCharType="begin"/>
      </w:r>
      <w:r w:rsidRPr="00B76480">
        <w:rPr>
          <w:b/>
          <w:sz w:val="24"/>
        </w:rPr>
        <w:instrText xml:space="preserve"> SEQ Table \* ARABIC </w:instrText>
      </w:r>
      <w:r w:rsidRPr="00B76480">
        <w:rPr>
          <w:b/>
          <w:sz w:val="24"/>
        </w:rPr>
        <w:fldChar w:fldCharType="separate"/>
      </w:r>
      <w:r w:rsidR="00CC3209">
        <w:rPr>
          <w:b/>
          <w:noProof/>
          <w:sz w:val="24"/>
        </w:rPr>
        <w:t>1</w:t>
      </w:r>
      <w:r w:rsidRPr="00B76480">
        <w:rPr>
          <w:b/>
          <w:sz w:val="24"/>
        </w:rPr>
        <w:fldChar w:fldCharType="end"/>
      </w:r>
      <w:r w:rsidRPr="00B76480">
        <w:rPr>
          <w:b/>
          <w:sz w:val="24"/>
        </w:rPr>
        <w:t xml:space="preserve"> Total ODA Expenditure in FY 201</w:t>
      </w:r>
      <w:r w:rsidR="002D37BC" w:rsidRPr="00B76480">
        <w:rPr>
          <w:b/>
          <w:sz w:val="24"/>
        </w:rPr>
        <w:t>7</w:t>
      </w:r>
      <w:r w:rsidRPr="00B76480">
        <w:rPr>
          <w:b/>
          <w:sz w:val="24"/>
        </w:rPr>
        <w:t>-1</w:t>
      </w:r>
      <w:r w:rsidR="002D37BC" w:rsidRPr="00B76480">
        <w:rPr>
          <w:b/>
          <w:sz w:val="24"/>
        </w:rPr>
        <w:t>8</w:t>
      </w:r>
    </w:p>
    <w:tbl>
      <w:tblPr>
        <w:tblStyle w:val="TableGrid"/>
        <w:tblW w:w="9639"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1423"/>
        <w:gridCol w:w="1842"/>
      </w:tblGrid>
      <w:tr w:rsidR="00184818" w:rsidTr="00F77ECA">
        <w:tc>
          <w:tcPr>
            <w:tcW w:w="6374" w:type="dxa"/>
          </w:tcPr>
          <w:p w:rsidR="00184818" w:rsidRDefault="00184818" w:rsidP="002A51CA">
            <w:pPr>
              <w:rPr>
                <w:b/>
                <w:sz w:val="24"/>
              </w:rPr>
            </w:pPr>
            <w:r w:rsidRPr="00BE6C6D">
              <w:rPr>
                <w:sz w:val="20"/>
              </w:rPr>
              <w:t>Objective</w:t>
            </w:r>
          </w:p>
        </w:tc>
        <w:tc>
          <w:tcPr>
            <w:tcW w:w="1423" w:type="dxa"/>
          </w:tcPr>
          <w:p w:rsidR="00184818" w:rsidRDefault="00184818" w:rsidP="00DA040F">
            <w:pPr>
              <w:jc w:val="center"/>
              <w:rPr>
                <w:b/>
                <w:sz w:val="24"/>
              </w:rPr>
            </w:pPr>
            <w:r w:rsidRPr="00BE6C6D">
              <w:rPr>
                <w:sz w:val="20"/>
              </w:rPr>
              <w:t>A$ million</w:t>
            </w:r>
          </w:p>
        </w:tc>
        <w:tc>
          <w:tcPr>
            <w:tcW w:w="1842" w:type="dxa"/>
          </w:tcPr>
          <w:p w:rsidR="00184818" w:rsidRDefault="00184818" w:rsidP="00184818">
            <w:pPr>
              <w:ind w:right="-546"/>
              <w:jc w:val="center"/>
              <w:rPr>
                <w:b/>
                <w:sz w:val="24"/>
              </w:rPr>
            </w:pPr>
            <w:r w:rsidRPr="00BE6C6D">
              <w:rPr>
                <w:sz w:val="20"/>
              </w:rPr>
              <w:t>% of total ODA</w:t>
            </w:r>
          </w:p>
        </w:tc>
      </w:tr>
      <w:tr w:rsidR="00DF3152" w:rsidTr="00BA1998">
        <w:tc>
          <w:tcPr>
            <w:tcW w:w="6374" w:type="dxa"/>
          </w:tcPr>
          <w:p w:rsidR="00DF3152" w:rsidRPr="00BA1998" w:rsidRDefault="00DF3152" w:rsidP="00DF3152">
            <w:pPr>
              <w:rPr>
                <w:sz w:val="20"/>
              </w:rPr>
            </w:pPr>
            <w:r w:rsidRPr="00BA1998">
              <w:rPr>
                <w:sz w:val="20"/>
              </w:rPr>
              <w:t>Objective 1</w:t>
            </w:r>
            <w:r w:rsidR="006E32CE">
              <w:rPr>
                <w:sz w:val="20"/>
              </w:rPr>
              <w:t>:</w:t>
            </w:r>
            <w:r w:rsidRPr="00BA1998">
              <w:rPr>
                <w:sz w:val="20"/>
              </w:rPr>
              <w:t xml:space="preserve"> Enhancing the foundations for economic growth </w:t>
            </w:r>
          </w:p>
        </w:tc>
        <w:tc>
          <w:tcPr>
            <w:tcW w:w="1423" w:type="dxa"/>
            <w:vAlign w:val="center"/>
          </w:tcPr>
          <w:p w:rsidR="00DF3152" w:rsidRPr="005E4A85" w:rsidRDefault="002E6077" w:rsidP="002E6077">
            <w:pPr>
              <w:jc w:val="center"/>
              <w:rPr>
                <w:color w:val="auto"/>
                <w:sz w:val="20"/>
              </w:rPr>
            </w:pPr>
            <w:r w:rsidRPr="005E4A85">
              <w:rPr>
                <w:color w:val="auto"/>
                <w:sz w:val="20"/>
              </w:rPr>
              <w:t>39.5</w:t>
            </w:r>
          </w:p>
        </w:tc>
        <w:tc>
          <w:tcPr>
            <w:tcW w:w="1842" w:type="dxa"/>
            <w:vAlign w:val="center"/>
          </w:tcPr>
          <w:p w:rsidR="00DF3152" w:rsidRPr="005E4A85" w:rsidRDefault="002E6077" w:rsidP="002E6077">
            <w:pPr>
              <w:jc w:val="center"/>
              <w:rPr>
                <w:color w:val="auto"/>
                <w:sz w:val="20"/>
              </w:rPr>
            </w:pPr>
            <w:r w:rsidRPr="005E4A85">
              <w:rPr>
                <w:color w:val="auto"/>
                <w:sz w:val="20"/>
              </w:rPr>
              <w:t>61</w:t>
            </w:r>
          </w:p>
        </w:tc>
      </w:tr>
      <w:tr w:rsidR="006E32CE" w:rsidTr="006E32CE">
        <w:tc>
          <w:tcPr>
            <w:tcW w:w="6374" w:type="dxa"/>
          </w:tcPr>
          <w:p w:rsidR="006E32CE" w:rsidRPr="00BA1998" w:rsidRDefault="006E32CE" w:rsidP="006E32CE">
            <w:pPr>
              <w:rPr>
                <w:sz w:val="20"/>
              </w:rPr>
            </w:pPr>
            <w:r w:rsidRPr="00BA1998">
              <w:rPr>
                <w:sz w:val="20"/>
              </w:rPr>
              <w:t>Objective 2</w:t>
            </w:r>
            <w:r>
              <w:rPr>
                <w:sz w:val="20"/>
              </w:rPr>
              <w:t>:</w:t>
            </w:r>
            <w:r w:rsidRPr="00BA1998">
              <w:rPr>
                <w:sz w:val="20"/>
              </w:rPr>
              <w:t xml:space="preserve"> Building stronger institutions for transparent and accountable governance</w:t>
            </w:r>
          </w:p>
        </w:tc>
        <w:tc>
          <w:tcPr>
            <w:tcW w:w="1423" w:type="dxa"/>
            <w:vAlign w:val="center"/>
          </w:tcPr>
          <w:p w:rsidR="006E32CE" w:rsidRPr="005E4A85" w:rsidRDefault="002E6077" w:rsidP="00D76A68">
            <w:pPr>
              <w:jc w:val="center"/>
              <w:rPr>
                <w:color w:val="auto"/>
                <w:sz w:val="20"/>
              </w:rPr>
            </w:pPr>
            <w:r w:rsidRPr="005E4A85">
              <w:rPr>
                <w:color w:val="auto"/>
                <w:sz w:val="20"/>
              </w:rPr>
              <w:t>5.</w:t>
            </w:r>
            <w:r w:rsidR="00D76A68" w:rsidRPr="005E4A85">
              <w:rPr>
                <w:color w:val="auto"/>
                <w:sz w:val="20"/>
              </w:rPr>
              <w:t>7</w:t>
            </w:r>
          </w:p>
        </w:tc>
        <w:tc>
          <w:tcPr>
            <w:tcW w:w="1842" w:type="dxa"/>
            <w:vAlign w:val="center"/>
          </w:tcPr>
          <w:p w:rsidR="006E32CE" w:rsidRPr="005E4A85" w:rsidRDefault="00D76A68" w:rsidP="00D76A68">
            <w:pPr>
              <w:jc w:val="center"/>
              <w:rPr>
                <w:color w:val="auto"/>
                <w:sz w:val="20"/>
              </w:rPr>
            </w:pPr>
            <w:r w:rsidRPr="005E4A85">
              <w:rPr>
                <w:color w:val="auto"/>
                <w:sz w:val="20"/>
              </w:rPr>
              <w:t>9</w:t>
            </w:r>
          </w:p>
        </w:tc>
      </w:tr>
      <w:tr w:rsidR="006E32CE" w:rsidTr="006E32CE">
        <w:tc>
          <w:tcPr>
            <w:tcW w:w="6374" w:type="dxa"/>
          </w:tcPr>
          <w:p w:rsidR="006E32CE" w:rsidRPr="00BA1998" w:rsidRDefault="006E32CE" w:rsidP="006E32CE">
            <w:pPr>
              <w:rPr>
                <w:sz w:val="20"/>
              </w:rPr>
            </w:pPr>
            <w:r w:rsidRPr="00BA1998">
              <w:rPr>
                <w:sz w:val="20"/>
              </w:rPr>
              <w:t>Objective 3</w:t>
            </w:r>
            <w:r>
              <w:rPr>
                <w:sz w:val="20"/>
              </w:rPr>
              <w:t>:</w:t>
            </w:r>
            <w:r w:rsidRPr="00BA1998">
              <w:rPr>
                <w:sz w:val="20"/>
              </w:rPr>
              <w:t xml:space="preserve"> Improving conditions for peace and stability</w:t>
            </w:r>
          </w:p>
        </w:tc>
        <w:tc>
          <w:tcPr>
            <w:tcW w:w="1423" w:type="dxa"/>
            <w:vAlign w:val="center"/>
          </w:tcPr>
          <w:p w:rsidR="006E32CE" w:rsidRPr="005E4A85" w:rsidRDefault="002E6077" w:rsidP="002E6077">
            <w:pPr>
              <w:jc w:val="center"/>
              <w:rPr>
                <w:color w:val="auto"/>
                <w:sz w:val="20"/>
              </w:rPr>
            </w:pPr>
            <w:r w:rsidRPr="005E4A85">
              <w:rPr>
                <w:color w:val="auto"/>
                <w:sz w:val="20"/>
              </w:rPr>
              <w:t>19.8</w:t>
            </w:r>
          </w:p>
        </w:tc>
        <w:tc>
          <w:tcPr>
            <w:tcW w:w="1842" w:type="dxa"/>
            <w:vAlign w:val="center"/>
          </w:tcPr>
          <w:p w:rsidR="006E32CE" w:rsidRPr="005E4A85" w:rsidRDefault="002E6077" w:rsidP="006E32CE">
            <w:pPr>
              <w:jc w:val="center"/>
              <w:rPr>
                <w:color w:val="auto"/>
                <w:sz w:val="20"/>
              </w:rPr>
            </w:pPr>
            <w:r w:rsidRPr="005E4A85">
              <w:rPr>
                <w:color w:val="auto"/>
                <w:sz w:val="20"/>
              </w:rPr>
              <w:t>30</w:t>
            </w:r>
          </w:p>
        </w:tc>
      </w:tr>
      <w:tr w:rsidR="006E32CE" w:rsidTr="006E32CE">
        <w:tc>
          <w:tcPr>
            <w:tcW w:w="6374" w:type="dxa"/>
          </w:tcPr>
          <w:p w:rsidR="006E32CE" w:rsidRPr="00BA1998" w:rsidRDefault="006E32CE" w:rsidP="006E32CE">
            <w:pPr>
              <w:rPr>
                <w:sz w:val="20"/>
              </w:rPr>
            </w:pPr>
            <w:r w:rsidRPr="00BA1998">
              <w:rPr>
                <w:sz w:val="20"/>
              </w:rPr>
              <w:t>Sub-Total Bilateral</w:t>
            </w:r>
          </w:p>
        </w:tc>
        <w:tc>
          <w:tcPr>
            <w:tcW w:w="1423" w:type="dxa"/>
            <w:vAlign w:val="center"/>
          </w:tcPr>
          <w:p w:rsidR="006E32CE" w:rsidRPr="00BA1998" w:rsidRDefault="006E32CE" w:rsidP="006E32CE">
            <w:pPr>
              <w:jc w:val="center"/>
              <w:rPr>
                <w:sz w:val="20"/>
              </w:rPr>
            </w:pPr>
            <w:r>
              <w:rPr>
                <w:sz w:val="20"/>
              </w:rPr>
              <w:t>65.0</w:t>
            </w:r>
          </w:p>
        </w:tc>
        <w:tc>
          <w:tcPr>
            <w:tcW w:w="1842" w:type="dxa"/>
            <w:vAlign w:val="center"/>
          </w:tcPr>
          <w:p w:rsidR="006E32CE" w:rsidRPr="00BA1998" w:rsidRDefault="00144305" w:rsidP="006E32CE">
            <w:pPr>
              <w:jc w:val="center"/>
              <w:rPr>
                <w:sz w:val="20"/>
              </w:rPr>
            </w:pPr>
            <w:r w:rsidRPr="00144305">
              <w:rPr>
                <w:sz w:val="20"/>
              </w:rPr>
              <w:t>78%</w:t>
            </w:r>
          </w:p>
        </w:tc>
      </w:tr>
      <w:tr w:rsidR="006E32CE" w:rsidTr="006E32CE">
        <w:tc>
          <w:tcPr>
            <w:tcW w:w="6374" w:type="dxa"/>
          </w:tcPr>
          <w:p w:rsidR="006E32CE" w:rsidRPr="00BA1998" w:rsidRDefault="006E32CE" w:rsidP="006E32CE">
            <w:pPr>
              <w:rPr>
                <w:i/>
                <w:sz w:val="20"/>
              </w:rPr>
            </w:pPr>
            <w:r w:rsidRPr="00BA1998">
              <w:rPr>
                <w:i/>
                <w:sz w:val="20"/>
              </w:rPr>
              <w:t>Regional and Global</w:t>
            </w:r>
          </w:p>
        </w:tc>
        <w:tc>
          <w:tcPr>
            <w:tcW w:w="1423" w:type="dxa"/>
            <w:vAlign w:val="center"/>
          </w:tcPr>
          <w:p w:rsidR="006E32CE" w:rsidRPr="00BA1998" w:rsidRDefault="006E32CE" w:rsidP="006E32CE">
            <w:pPr>
              <w:jc w:val="center"/>
              <w:rPr>
                <w:sz w:val="20"/>
              </w:rPr>
            </w:pPr>
            <w:r>
              <w:rPr>
                <w:sz w:val="20"/>
              </w:rPr>
              <w:t>13.5</w:t>
            </w:r>
          </w:p>
        </w:tc>
        <w:tc>
          <w:tcPr>
            <w:tcW w:w="1842" w:type="dxa"/>
            <w:vAlign w:val="center"/>
          </w:tcPr>
          <w:p w:rsidR="006E32CE" w:rsidRPr="00BA1998" w:rsidRDefault="00144305" w:rsidP="006E32CE">
            <w:pPr>
              <w:jc w:val="center"/>
              <w:rPr>
                <w:sz w:val="20"/>
              </w:rPr>
            </w:pPr>
            <w:r w:rsidRPr="00144305">
              <w:rPr>
                <w:sz w:val="20"/>
              </w:rPr>
              <w:t>16%</w:t>
            </w:r>
          </w:p>
        </w:tc>
      </w:tr>
      <w:tr w:rsidR="006E32CE" w:rsidTr="006E32CE">
        <w:tc>
          <w:tcPr>
            <w:tcW w:w="6374" w:type="dxa"/>
          </w:tcPr>
          <w:p w:rsidR="006E32CE" w:rsidRPr="00BA1998" w:rsidRDefault="006E32CE" w:rsidP="006E32CE">
            <w:pPr>
              <w:rPr>
                <w:b/>
                <w:i/>
                <w:sz w:val="24"/>
              </w:rPr>
            </w:pPr>
            <w:r w:rsidRPr="00BA1998">
              <w:rPr>
                <w:i/>
                <w:sz w:val="20"/>
              </w:rPr>
              <w:t>Other Government Departments</w:t>
            </w:r>
          </w:p>
        </w:tc>
        <w:tc>
          <w:tcPr>
            <w:tcW w:w="1423" w:type="dxa"/>
            <w:vAlign w:val="center"/>
          </w:tcPr>
          <w:p w:rsidR="006E32CE" w:rsidRPr="00BA1998" w:rsidRDefault="006E32CE" w:rsidP="006E32CE">
            <w:pPr>
              <w:jc w:val="center"/>
              <w:rPr>
                <w:sz w:val="20"/>
              </w:rPr>
            </w:pPr>
            <w:r w:rsidRPr="00BA1998">
              <w:rPr>
                <w:sz w:val="20"/>
              </w:rPr>
              <w:t>4.7</w:t>
            </w:r>
          </w:p>
        </w:tc>
        <w:tc>
          <w:tcPr>
            <w:tcW w:w="1842" w:type="dxa"/>
            <w:vAlign w:val="center"/>
          </w:tcPr>
          <w:p w:rsidR="006E32CE" w:rsidRPr="00BA1998" w:rsidRDefault="00144305" w:rsidP="006E32CE">
            <w:pPr>
              <w:jc w:val="center"/>
              <w:rPr>
                <w:sz w:val="20"/>
              </w:rPr>
            </w:pPr>
            <w:r w:rsidRPr="00144305">
              <w:rPr>
                <w:sz w:val="20"/>
              </w:rPr>
              <w:t>6%</w:t>
            </w:r>
          </w:p>
        </w:tc>
      </w:tr>
      <w:tr w:rsidR="00184818" w:rsidTr="00BA1998">
        <w:tc>
          <w:tcPr>
            <w:tcW w:w="6374" w:type="dxa"/>
          </w:tcPr>
          <w:p w:rsidR="00184818" w:rsidRDefault="00184818" w:rsidP="002A51CA">
            <w:pPr>
              <w:rPr>
                <w:b/>
                <w:sz w:val="24"/>
              </w:rPr>
            </w:pPr>
            <w:r w:rsidRPr="00BE6C6D">
              <w:rPr>
                <w:sz w:val="20"/>
              </w:rPr>
              <w:t>Total ODA Expenditure</w:t>
            </w:r>
          </w:p>
        </w:tc>
        <w:tc>
          <w:tcPr>
            <w:tcW w:w="1423" w:type="dxa"/>
            <w:vAlign w:val="center"/>
          </w:tcPr>
          <w:p w:rsidR="00184818" w:rsidRPr="00BA1998" w:rsidRDefault="00BA1998" w:rsidP="00BA1998">
            <w:pPr>
              <w:jc w:val="center"/>
              <w:rPr>
                <w:sz w:val="20"/>
              </w:rPr>
            </w:pPr>
            <w:r w:rsidRPr="00BA1998">
              <w:rPr>
                <w:sz w:val="20"/>
              </w:rPr>
              <w:t>83.2</w:t>
            </w:r>
          </w:p>
        </w:tc>
        <w:tc>
          <w:tcPr>
            <w:tcW w:w="1842" w:type="dxa"/>
            <w:vAlign w:val="center"/>
          </w:tcPr>
          <w:p w:rsidR="00184818" w:rsidRPr="00BA1998" w:rsidRDefault="00BA1998" w:rsidP="00BA1998">
            <w:pPr>
              <w:jc w:val="center"/>
              <w:rPr>
                <w:sz w:val="20"/>
              </w:rPr>
            </w:pPr>
            <w:r>
              <w:rPr>
                <w:sz w:val="20"/>
              </w:rPr>
              <w:t>100</w:t>
            </w:r>
          </w:p>
        </w:tc>
      </w:tr>
    </w:tbl>
    <w:p w:rsidR="00EB4BDB" w:rsidRDefault="00EB4BDB" w:rsidP="002A51CA">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p>
    <w:p w:rsidR="002A51CA" w:rsidRPr="002A51CA" w:rsidRDefault="002A51CA" w:rsidP="002A51CA">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t xml:space="preserve">Progress towards </w:t>
      </w:r>
      <w:r w:rsidR="00162218">
        <w:rPr>
          <w:rFonts w:asciiTheme="majorHAnsi" w:eastAsiaTheme="majorEastAsia" w:hAnsiTheme="majorHAnsi" w:cstheme="majorBidi"/>
          <w:caps/>
          <w:color w:val="495965" w:themeColor="text2"/>
          <w:sz w:val="38"/>
          <w:szCs w:val="26"/>
          <w:lang w:val="en-GB" w:eastAsia="en-US"/>
        </w:rPr>
        <w:t xml:space="preserve">AIP </w:t>
      </w:r>
      <w:r w:rsidRPr="002A51CA">
        <w:rPr>
          <w:rFonts w:asciiTheme="majorHAnsi" w:eastAsiaTheme="majorEastAsia" w:hAnsiTheme="majorHAnsi" w:cstheme="majorBidi"/>
          <w:caps/>
          <w:color w:val="495965" w:themeColor="text2"/>
          <w:sz w:val="38"/>
          <w:szCs w:val="26"/>
          <w:lang w:val="en-GB" w:eastAsia="en-US"/>
        </w:rPr>
        <w:t>Objectives</w:t>
      </w:r>
      <w:r w:rsidRPr="002A51CA">
        <w:rPr>
          <w:rFonts w:asciiTheme="majorHAnsi" w:eastAsiaTheme="majorEastAsia" w:hAnsiTheme="majorHAnsi" w:cstheme="majorBidi"/>
          <w:caps/>
          <w:color w:val="495965" w:themeColor="text2"/>
          <w:sz w:val="38"/>
          <w:szCs w:val="26"/>
          <w:lang w:val="en-GB" w:eastAsia="en-US"/>
        </w:rPr>
        <w:tab/>
      </w:r>
    </w:p>
    <w:p w:rsidR="002A51CA" w:rsidRPr="008C2F58" w:rsidRDefault="002A51CA" w:rsidP="002A51CA">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CC3209">
        <w:rPr>
          <w:b/>
          <w:noProof/>
          <w:sz w:val="24"/>
        </w:rPr>
        <w:t>2</w:t>
      </w:r>
      <w:r w:rsidRPr="008C2F58">
        <w:rPr>
          <w:b/>
          <w:noProof/>
          <w:sz w:val="24"/>
        </w:rPr>
        <w:fldChar w:fldCharType="end"/>
      </w:r>
      <w:r w:rsidRPr="008C2F58">
        <w:rPr>
          <w:b/>
          <w:sz w:val="24"/>
        </w:rPr>
        <w:t xml:space="preserve"> Rating of the Program's Progress towards Australia’s Aid Objectives</w:t>
      </w:r>
    </w:p>
    <w:tbl>
      <w:tblPr>
        <w:tblStyle w:val="APPR"/>
        <w:tblW w:w="4854" w:type="pct"/>
        <w:tblLook w:val="0000" w:firstRow="0" w:lastRow="0" w:firstColumn="0" w:lastColumn="0" w:noHBand="0" w:noVBand="0"/>
      </w:tblPr>
      <w:tblGrid>
        <w:gridCol w:w="6759"/>
        <w:gridCol w:w="1321"/>
        <w:gridCol w:w="1277"/>
      </w:tblGrid>
      <w:tr w:rsidR="00DF3152" w:rsidRPr="00C61187" w:rsidTr="00DB0764">
        <w:trPr>
          <w:cnfStyle w:val="000000010000" w:firstRow="0" w:lastRow="0" w:firstColumn="0" w:lastColumn="0" w:oddVBand="0" w:evenVBand="0" w:oddHBand="0" w:evenHBand="1" w:firstRowFirstColumn="0" w:firstRowLastColumn="0" w:lastRowFirstColumn="0" w:lastRowLastColumn="0"/>
          <w:trHeight w:val="651"/>
        </w:trPr>
        <w:tc>
          <w:tcPr>
            <w:tcW w:w="6717" w:type="dxa"/>
          </w:tcPr>
          <w:p w:rsidR="00DF3152" w:rsidRPr="00BE6C6D" w:rsidRDefault="00DF3152" w:rsidP="00DF3152">
            <w:pPr>
              <w:pStyle w:val="NormalIndented"/>
              <w:rPr>
                <w:sz w:val="18"/>
                <w:lang w:eastAsia="en-US"/>
              </w:rPr>
            </w:pPr>
            <w:r w:rsidRPr="000C25E6">
              <w:rPr>
                <w:noProof/>
                <w:color w:val="auto"/>
                <w:sz w:val="18"/>
                <w:lang w:val="en-AU"/>
              </w:rPr>
              <w:drawing>
                <wp:anchor distT="0" distB="0" distL="114300" distR="114300" simplePos="0" relativeHeight="251687936" behindDoc="0" locked="0" layoutInCell="1" allowOverlap="1" wp14:anchorId="788148B2" wp14:editId="12CECB47">
                  <wp:simplePos x="0" y="0"/>
                  <wp:positionH relativeFrom="column">
                    <wp:posOffset>0</wp:posOffset>
                  </wp:positionH>
                  <wp:positionV relativeFrom="paragraph">
                    <wp:posOffset>0</wp:posOffset>
                  </wp:positionV>
                  <wp:extent cx="1857375" cy="228600"/>
                  <wp:effectExtent l="0" t="0" r="9525" b="0"/>
                  <wp:wrapNone/>
                  <wp:docPr id="35" name="Picture 3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5E6">
              <w:rPr>
                <w:color w:val="auto"/>
                <w:sz w:val="18"/>
                <w:lang w:eastAsia="en-US"/>
              </w:rPr>
              <w:t>Objective</w:t>
            </w:r>
          </w:p>
        </w:tc>
        <w:tc>
          <w:tcPr>
            <w:tcW w:w="1293" w:type="dxa"/>
            <w:vAlign w:val="center"/>
          </w:tcPr>
          <w:p w:rsidR="00DF3152" w:rsidRPr="00BE6C6D" w:rsidRDefault="00DF3152" w:rsidP="00DB0764">
            <w:pPr>
              <w:pStyle w:val="NormalIndented"/>
              <w:rPr>
                <w:sz w:val="18"/>
                <w:lang w:eastAsia="en-US"/>
              </w:rPr>
            </w:pPr>
            <w:r w:rsidRPr="000C25E6">
              <w:rPr>
                <w:color w:val="auto"/>
                <w:sz w:val="18"/>
                <w:lang w:eastAsia="en-US"/>
              </w:rPr>
              <w:t>Previous Rating</w:t>
            </w:r>
          </w:p>
        </w:tc>
        <w:tc>
          <w:tcPr>
            <w:tcW w:w="1235" w:type="dxa"/>
            <w:vAlign w:val="center"/>
          </w:tcPr>
          <w:p w:rsidR="00DF3152" w:rsidRPr="00BE6C6D" w:rsidRDefault="00DB0764" w:rsidP="00DB0764">
            <w:pPr>
              <w:pStyle w:val="NormalIndented"/>
              <w:rPr>
                <w:sz w:val="18"/>
                <w:lang w:eastAsia="en-US"/>
              </w:rPr>
            </w:pPr>
            <w:r>
              <w:rPr>
                <w:color w:val="auto"/>
                <w:sz w:val="18"/>
                <w:lang w:eastAsia="en-US"/>
              </w:rPr>
              <w:t>Current</w:t>
            </w:r>
            <w:r w:rsidRPr="000C25E6">
              <w:rPr>
                <w:color w:val="auto"/>
                <w:sz w:val="18"/>
                <w:lang w:eastAsia="en-US"/>
              </w:rPr>
              <w:t xml:space="preserve"> Rating</w:t>
            </w:r>
          </w:p>
        </w:tc>
      </w:tr>
      <w:tr w:rsidR="00DF3152" w:rsidRPr="00C61187" w:rsidTr="00DB0764">
        <w:trPr>
          <w:cnfStyle w:val="000000010000" w:firstRow="0" w:lastRow="0" w:firstColumn="0" w:lastColumn="0" w:oddVBand="0" w:evenVBand="0" w:oddHBand="0" w:evenHBand="1" w:firstRowFirstColumn="0" w:firstRowLastColumn="0" w:lastRowFirstColumn="0" w:lastRowLastColumn="0"/>
        </w:trPr>
        <w:tc>
          <w:tcPr>
            <w:tcW w:w="671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DF3152" w:rsidRPr="00DB0764" w:rsidRDefault="00DF3152" w:rsidP="00DF3152">
            <w:pPr>
              <w:pStyle w:val="NormalIndented"/>
              <w:rPr>
                <w:rFonts w:asciiTheme="minorHAnsi" w:hAnsiTheme="minorHAnsi"/>
                <w:sz w:val="16"/>
                <w:lang w:eastAsia="en-US"/>
              </w:rPr>
            </w:pPr>
            <w:r w:rsidRPr="00DB0764">
              <w:rPr>
                <w:rFonts w:asciiTheme="minorHAnsi" w:hAnsiTheme="minorHAnsi"/>
                <w:sz w:val="16"/>
                <w:lang w:eastAsia="en-US"/>
              </w:rPr>
              <w:t>Objective 1: Enhancing the foundations for economic growth</w:t>
            </w:r>
          </w:p>
        </w:tc>
        <w:tc>
          <w:tcPr>
            <w:tcW w:w="129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36C0A"/>
            <w:noWrap/>
            <w:vAlign w:val="center"/>
          </w:tcPr>
          <w:p w:rsidR="00DF3152" w:rsidRPr="00BE6C6D" w:rsidRDefault="00DF3152" w:rsidP="00DB0764">
            <w:pPr>
              <w:pStyle w:val="NormalIndented"/>
              <w:ind w:left="0"/>
              <w:jc w:val="center"/>
              <w:rPr>
                <w:color w:val="FFFFFF" w:themeColor="background1"/>
                <w:sz w:val="16"/>
                <w:lang w:eastAsia="en-US"/>
              </w:rPr>
            </w:pPr>
            <w:r w:rsidRPr="000C25E6">
              <w:rPr>
                <w:color w:val="FFFFFF" w:themeColor="background1"/>
                <w:sz w:val="16"/>
                <w:lang w:eastAsia="en-US"/>
              </w:rPr>
              <w:t>Amber</w:t>
            </w:r>
          </w:p>
        </w:tc>
        <w:tc>
          <w:tcPr>
            <w:tcW w:w="123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36C0A"/>
            <w:noWrap/>
            <w:vAlign w:val="center"/>
          </w:tcPr>
          <w:p w:rsidR="00DF3152" w:rsidRPr="00DB0764" w:rsidRDefault="00DB0764" w:rsidP="00DB0764">
            <w:pPr>
              <w:pStyle w:val="NormalIndented"/>
              <w:rPr>
                <w:color w:val="FFFFFF" w:themeColor="background1"/>
                <w:sz w:val="16"/>
                <w:lang w:eastAsia="en-US"/>
              </w:rPr>
            </w:pPr>
            <w:r w:rsidRPr="000C25E6">
              <w:rPr>
                <w:color w:val="FFFFFF" w:themeColor="background1"/>
                <w:sz w:val="16"/>
                <w:lang w:eastAsia="en-US"/>
              </w:rPr>
              <w:t>Amber</w:t>
            </w:r>
          </w:p>
        </w:tc>
      </w:tr>
      <w:tr w:rsidR="00DB0764" w:rsidRPr="00C61187" w:rsidTr="00DB0764">
        <w:trPr>
          <w:cnfStyle w:val="000000010000" w:firstRow="0" w:lastRow="0" w:firstColumn="0" w:lastColumn="0" w:oddVBand="0" w:evenVBand="0" w:oddHBand="0" w:evenHBand="1" w:firstRowFirstColumn="0" w:firstRowLastColumn="0" w:lastRowFirstColumn="0" w:lastRowLastColumn="0"/>
        </w:trPr>
        <w:tc>
          <w:tcPr>
            <w:tcW w:w="6717" w:type="dxa"/>
          </w:tcPr>
          <w:p w:rsidR="00DB0764" w:rsidRPr="00DB0764" w:rsidRDefault="00DB0764" w:rsidP="00DB0764">
            <w:pPr>
              <w:pStyle w:val="NormalIndented"/>
              <w:rPr>
                <w:rFonts w:asciiTheme="minorHAnsi" w:hAnsiTheme="minorHAnsi"/>
                <w:sz w:val="16"/>
                <w:lang w:eastAsia="en-US"/>
              </w:rPr>
            </w:pPr>
            <w:r w:rsidRPr="00DB0764">
              <w:rPr>
                <w:rFonts w:asciiTheme="minorHAnsi" w:hAnsiTheme="minorHAnsi"/>
                <w:sz w:val="16"/>
                <w:lang w:eastAsia="en-US"/>
              </w:rPr>
              <w:t>Objective 2: Building stronger institutions for transparent and accountable governance</w:t>
            </w:r>
          </w:p>
        </w:tc>
        <w:tc>
          <w:tcPr>
            <w:tcW w:w="1293" w:type="dxa"/>
            <w:shd w:val="clear" w:color="auto" w:fill="72AF2F"/>
            <w:noWrap/>
            <w:vAlign w:val="center"/>
          </w:tcPr>
          <w:p w:rsidR="00DB0764" w:rsidRPr="00BE6C6D" w:rsidRDefault="00DB0764" w:rsidP="00DB0764">
            <w:pPr>
              <w:pStyle w:val="NormalIndented"/>
              <w:ind w:left="0"/>
              <w:jc w:val="center"/>
              <w:rPr>
                <w:color w:val="FFFFFF" w:themeColor="background1"/>
                <w:sz w:val="16"/>
                <w:lang w:eastAsia="en-US"/>
              </w:rPr>
            </w:pPr>
            <w:r w:rsidRPr="000C25E6">
              <w:rPr>
                <w:color w:val="FFFFFF" w:themeColor="background1"/>
                <w:sz w:val="16"/>
                <w:lang w:eastAsia="en-US"/>
              </w:rPr>
              <w:t>Green</w:t>
            </w:r>
          </w:p>
        </w:tc>
        <w:tc>
          <w:tcPr>
            <w:tcW w:w="1235" w:type="dxa"/>
            <w:shd w:val="clear" w:color="auto" w:fill="72AF2F"/>
            <w:noWrap/>
            <w:vAlign w:val="center"/>
          </w:tcPr>
          <w:p w:rsidR="00DB0764" w:rsidRPr="00DB0764" w:rsidRDefault="00DB0764" w:rsidP="00DB0764">
            <w:pPr>
              <w:pStyle w:val="NormalIndented"/>
              <w:rPr>
                <w:color w:val="FFFFFF" w:themeColor="background1"/>
                <w:sz w:val="16"/>
                <w:lang w:eastAsia="en-US"/>
              </w:rPr>
            </w:pPr>
            <w:r w:rsidRPr="00531C43">
              <w:rPr>
                <w:color w:val="FFFFFF" w:themeColor="background1"/>
                <w:sz w:val="16"/>
                <w:lang w:eastAsia="en-US"/>
              </w:rPr>
              <w:t>Green</w:t>
            </w:r>
          </w:p>
        </w:tc>
      </w:tr>
      <w:tr w:rsidR="00DB0764" w:rsidRPr="00C61187" w:rsidTr="00DB0764">
        <w:trPr>
          <w:cnfStyle w:val="000000010000" w:firstRow="0" w:lastRow="0" w:firstColumn="0" w:lastColumn="0" w:oddVBand="0" w:evenVBand="0" w:oddHBand="0" w:evenHBand="1" w:firstRowFirstColumn="0" w:firstRowLastColumn="0" w:lastRowFirstColumn="0" w:lastRowLastColumn="0"/>
        </w:trPr>
        <w:tc>
          <w:tcPr>
            <w:tcW w:w="6717" w:type="dxa"/>
          </w:tcPr>
          <w:p w:rsidR="00DB0764" w:rsidRPr="00DB0764" w:rsidRDefault="00DB0764" w:rsidP="00DB0764">
            <w:pPr>
              <w:pStyle w:val="NormalIndented"/>
              <w:rPr>
                <w:rFonts w:asciiTheme="minorHAnsi" w:hAnsiTheme="minorHAnsi"/>
                <w:sz w:val="16"/>
                <w:lang w:eastAsia="en-US"/>
              </w:rPr>
            </w:pPr>
            <w:r w:rsidRPr="00DB0764">
              <w:rPr>
                <w:rFonts w:asciiTheme="minorHAnsi" w:hAnsiTheme="minorHAnsi"/>
                <w:sz w:val="16"/>
                <w:lang w:eastAsia="en-US"/>
              </w:rPr>
              <w:t>Objective 3: Improving conditions for peace and stability</w:t>
            </w:r>
          </w:p>
        </w:tc>
        <w:tc>
          <w:tcPr>
            <w:tcW w:w="1293" w:type="dxa"/>
            <w:shd w:val="clear" w:color="auto" w:fill="72AF2F"/>
            <w:noWrap/>
            <w:vAlign w:val="center"/>
          </w:tcPr>
          <w:p w:rsidR="00DB0764" w:rsidRPr="00BE6C6D" w:rsidRDefault="00DB0764" w:rsidP="00DB0764">
            <w:pPr>
              <w:pStyle w:val="NormalIndented"/>
              <w:ind w:left="2"/>
              <w:jc w:val="center"/>
              <w:rPr>
                <w:color w:val="FFFFFF" w:themeColor="background1"/>
                <w:sz w:val="16"/>
                <w:lang w:eastAsia="en-US"/>
              </w:rPr>
            </w:pPr>
            <w:r w:rsidRPr="000C25E6">
              <w:rPr>
                <w:color w:val="FFFFFF" w:themeColor="background1"/>
                <w:sz w:val="16"/>
                <w:lang w:eastAsia="en-US"/>
              </w:rPr>
              <w:t>Green</w:t>
            </w:r>
          </w:p>
        </w:tc>
        <w:tc>
          <w:tcPr>
            <w:tcW w:w="1235" w:type="dxa"/>
            <w:shd w:val="clear" w:color="auto" w:fill="72AF2F"/>
            <w:noWrap/>
            <w:vAlign w:val="center"/>
          </w:tcPr>
          <w:p w:rsidR="00DB0764" w:rsidRPr="00DB0764" w:rsidRDefault="00DB0764" w:rsidP="00DB0764">
            <w:pPr>
              <w:pStyle w:val="NormalIndented"/>
              <w:rPr>
                <w:color w:val="FFFFFF" w:themeColor="background1"/>
                <w:sz w:val="16"/>
                <w:lang w:eastAsia="en-US"/>
              </w:rPr>
            </w:pPr>
            <w:r w:rsidRPr="00531C43">
              <w:rPr>
                <w:color w:val="FFFFFF" w:themeColor="background1"/>
                <w:sz w:val="16"/>
                <w:lang w:eastAsia="en-US"/>
              </w:rPr>
              <w:t>Green</w:t>
            </w:r>
          </w:p>
        </w:tc>
      </w:tr>
    </w:tbl>
    <w:p w:rsidR="002A51CA" w:rsidRPr="00BE6C6D" w:rsidRDefault="002A51CA" w:rsidP="00BE6C6D">
      <w:pPr>
        <w:pStyle w:val="NormalIndented"/>
        <w:rPr>
          <w:sz w:val="16"/>
        </w:rPr>
      </w:pPr>
      <w:r w:rsidRPr="00BE6C6D">
        <w:rPr>
          <w:color w:val="72AF2F"/>
          <w:sz w:val="16"/>
        </w:rPr>
        <w:sym w:font="Webdings" w:char="F067"/>
      </w:r>
      <w:r w:rsidRPr="00BE6C6D">
        <w:rPr>
          <w:sz w:val="16"/>
        </w:rPr>
        <w:t> </w:t>
      </w:r>
      <w:r w:rsidRPr="00BE6C6D">
        <w:rPr>
          <w:sz w:val="16"/>
        </w:rPr>
        <w:t xml:space="preserve"> </w:t>
      </w:r>
      <w:r w:rsidRPr="00BE6C6D">
        <w:rPr>
          <w:b/>
          <w:sz w:val="16"/>
        </w:rPr>
        <w:t>Green</w:t>
      </w:r>
      <w:r w:rsidRPr="00BE6C6D">
        <w:rPr>
          <w:sz w:val="16"/>
        </w:rPr>
        <w:t>. Progress is as expected at this stage of implementation and it is likely that the objective will be achieved. Standard program management practices are sufficient.</w:t>
      </w:r>
    </w:p>
    <w:p w:rsidR="002A51CA" w:rsidRPr="00BE6C6D" w:rsidRDefault="002A51CA" w:rsidP="00BE6C6D">
      <w:pPr>
        <w:pStyle w:val="NormalIndented"/>
        <w:rPr>
          <w:sz w:val="16"/>
        </w:rPr>
      </w:pPr>
      <w:r w:rsidRPr="00BE6C6D">
        <w:rPr>
          <w:color w:val="E36C0A"/>
          <w:sz w:val="16"/>
        </w:rPr>
        <w:sym w:font="Webdings" w:char="F067"/>
      </w:r>
      <w:r w:rsidRPr="00BE6C6D">
        <w:rPr>
          <w:sz w:val="16"/>
        </w:rPr>
        <w:t> </w:t>
      </w:r>
      <w:r w:rsidRPr="00BE6C6D">
        <w:rPr>
          <w:sz w:val="16"/>
        </w:rPr>
        <w:t xml:space="preserve"> </w:t>
      </w:r>
      <w:r w:rsidRPr="00BE6C6D">
        <w:rPr>
          <w:b/>
          <w:sz w:val="16"/>
        </w:rPr>
        <w:t>Amber</w:t>
      </w:r>
      <w:r w:rsidRPr="00BE6C6D">
        <w:rPr>
          <w:sz w:val="16"/>
        </w:rPr>
        <w:t>. Progress is somewhat less than expected at this stage of implementation and restorative action will be necessary if the objective is to be achieved. Close performance monitoring is recommended.</w:t>
      </w:r>
    </w:p>
    <w:p w:rsidR="00DA040F" w:rsidRPr="007132DD" w:rsidRDefault="002A51CA" w:rsidP="007132DD">
      <w:pPr>
        <w:pStyle w:val="NormalIndented"/>
        <w:rPr>
          <w:sz w:val="16"/>
        </w:rPr>
      </w:pPr>
      <w:r w:rsidRPr="00BE6C6D">
        <w:rPr>
          <w:color w:val="FF0000"/>
          <w:sz w:val="16"/>
        </w:rPr>
        <w:sym w:font="Webdings" w:char="F067"/>
      </w:r>
      <w:r w:rsidRPr="00BE6C6D">
        <w:rPr>
          <w:sz w:val="16"/>
        </w:rPr>
        <w:t> </w:t>
      </w:r>
      <w:r w:rsidRPr="00BE6C6D">
        <w:rPr>
          <w:sz w:val="16"/>
        </w:rPr>
        <w:t xml:space="preserve"> </w:t>
      </w:r>
      <w:r w:rsidRPr="00BE6C6D">
        <w:rPr>
          <w:b/>
          <w:sz w:val="16"/>
        </w:rPr>
        <w:t>Red.</w:t>
      </w:r>
      <w:r w:rsidRPr="00BE6C6D">
        <w:rPr>
          <w:sz w:val="16"/>
        </w:rPr>
        <w:t xml:space="preserve"> Progress is significantly less than expected at this stage of implementation and the objective is not likely to be met given available resources and priorities. Recasting the objective may be required.</w:t>
      </w:r>
    </w:p>
    <w:p w:rsidR="00F633B8" w:rsidRDefault="00F633B8">
      <w:pPr>
        <w:suppressAutoHyphens w:val="0"/>
        <w:spacing w:before="0" w:after="120" w:line="440" w:lineRule="atLeast"/>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br w:type="page"/>
      </w:r>
    </w:p>
    <w:p w:rsidR="002A51CA" w:rsidRDefault="002A51CA" w:rsidP="00A7706C">
      <w:pPr>
        <w:pStyle w:val="ListBullet"/>
        <w:tabs>
          <w:tab w:val="clear" w:pos="284"/>
        </w:tabs>
        <w:spacing w:before="480" w:after="0" w:line="300" w:lineRule="exact"/>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lastRenderedPageBreak/>
        <w:t>Objective 1</w:t>
      </w:r>
      <w:r w:rsidR="00D67AA5">
        <w:rPr>
          <w:rFonts w:asciiTheme="majorHAnsi" w:eastAsiaTheme="majorEastAsia" w:hAnsiTheme="majorHAnsi" w:cstheme="majorBidi"/>
          <w:caps/>
          <w:color w:val="495965" w:themeColor="text2"/>
          <w:sz w:val="38"/>
          <w:szCs w:val="26"/>
          <w:lang w:val="en-GB" w:eastAsia="en-US"/>
        </w:rPr>
        <w:t>:</w:t>
      </w:r>
      <w:r w:rsidR="007132DD" w:rsidRPr="007132DD">
        <w:rPr>
          <w:rFonts w:asciiTheme="majorHAnsi" w:eastAsiaTheme="majorEastAsia" w:hAnsiTheme="majorHAnsi" w:cstheme="majorBidi"/>
          <w:caps/>
          <w:sz w:val="38"/>
          <w:szCs w:val="26"/>
        </w:rPr>
        <w:t xml:space="preserve"> </w:t>
      </w:r>
      <w:r w:rsidR="007132DD" w:rsidRPr="007132DD">
        <w:rPr>
          <w:rFonts w:asciiTheme="majorHAnsi" w:eastAsiaTheme="majorEastAsia" w:hAnsiTheme="majorHAnsi" w:cstheme="majorBidi"/>
          <w:caps/>
          <w:color w:val="495965" w:themeColor="text2"/>
          <w:sz w:val="38"/>
          <w:szCs w:val="26"/>
          <w:lang w:val="en-GB" w:eastAsia="en-US"/>
        </w:rPr>
        <w:t>Enhancing the foundations for economic growth</w:t>
      </w:r>
      <w:r w:rsidR="00D67AA5">
        <w:rPr>
          <w:rFonts w:asciiTheme="majorHAnsi" w:eastAsiaTheme="majorEastAsia" w:hAnsiTheme="majorHAnsi" w:cstheme="majorBidi"/>
          <w:caps/>
          <w:color w:val="495965" w:themeColor="text2"/>
          <w:sz w:val="38"/>
          <w:szCs w:val="26"/>
          <w:lang w:val="en-GB" w:eastAsia="en-US"/>
        </w:rPr>
        <w:t xml:space="preserve"> </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1904"/>
        <w:gridCol w:w="1906"/>
        <w:gridCol w:w="1906"/>
        <w:gridCol w:w="1906"/>
      </w:tblGrid>
      <w:tr w:rsidR="00D67AA5" w:rsidTr="00A7706C">
        <w:trPr>
          <w:trHeight w:val="567"/>
        </w:trPr>
        <w:tc>
          <w:tcPr>
            <w:tcW w:w="9780" w:type="dxa"/>
            <w:gridSpan w:val="5"/>
            <w:vAlign w:val="center"/>
          </w:tcPr>
          <w:p w:rsidR="00D67AA5" w:rsidRDefault="00D67AA5" w:rsidP="00A7706C">
            <w:pPr>
              <w:pStyle w:val="ListBullet"/>
              <w:tabs>
                <w:tab w:val="clear" w:pos="284"/>
              </w:tabs>
              <w:spacing w:before="100" w:beforeAutospacing="1" w:after="0" w:line="300" w:lineRule="exact"/>
              <w:rPr>
                <w:noProof/>
              </w:rPr>
            </w:pPr>
            <w:r w:rsidRPr="00D67AA5">
              <w:rPr>
                <w:rFonts w:asciiTheme="majorHAnsi" w:eastAsiaTheme="majorEastAsia" w:hAnsiTheme="majorHAnsi" w:cstheme="majorBidi"/>
                <w:caps/>
                <w:color w:val="495965" w:themeColor="text2"/>
                <w:sz w:val="38"/>
                <w:szCs w:val="26"/>
                <w:lang w:val="en-GB" w:eastAsia="en-US"/>
              </w:rPr>
              <w:t>Rating: Amber</w:t>
            </w:r>
          </w:p>
        </w:tc>
      </w:tr>
      <w:tr w:rsidR="00CA7DD8" w:rsidTr="00D67AA5">
        <w:trPr>
          <w:trHeight w:val="1300"/>
        </w:trPr>
        <w:tc>
          <w:tcPr>
            <w:tcW w:w="2158" w:type="dxa"/>
          </w:tcPr>
          <w:p w:rsidR="00CA7DD8" w:rsidRDefault="00CA7DD8" w:rsidP="00CA7DD8">
            <w:pPr>
              <w:pStyle w:val="ListBullet"/>
              <w:tabs>
                <w:tab w:val="clear" w:pos="284"/>
              </w:tabs>
              <w:spacing w:before="80" w:after="80" w:line="240" w:lineRule="auto"/>
              <w:jc w:val="center"/>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noProof/>
                <w:color w:val="495965" w:themeColor="text2"/>
                <w:sz w:val="38"/>
                <w:szCs w:val="26"/>
              </w:rPr>
              <w:drawing>
                <wp:inline distT="0" distB="0" distL="0" distR="0" wp14:anchorId="22592AF3" wp14:editId="51D1830B">
                  <wp:extent cx="1137600" cy="720000"/>
                  <wp:effectExtent l="0" t="0" r="571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04" w:type="dxa"/>
          </w:tcPr>
          <w:p w:rsidR="00CA7DD8" w:rsidRDefault="00CA7DD8" w:rsidP="00CA7DD8">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noProof/>
                <w:color w:val="495965" w:themeColor="text2"/>
                <w:sz w:val="38"/>
                <w:szCs w:val="26"/>
              </w:rPr>
              <w:drawing>
                <wp:inline distT="0" distB="0" distL="0" distR="0" wp14:anchorId="6D9D23DF" wp14:editId="40760AE9">
                  <wp:extent cx="609600" cy="609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p>
        </w:tc>
        <w:tc>
          <w:tcPr>
            <w:tcW w:w="1906" w:type="dxa"/>
          </w:tcPr>
          <w:p w:rsidR="00CA7DD8" w:rsidRDefault="00D67AA5" w:rsidP="00CA7DD8">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0B8D71E0" wp14:editId="4C566110">
                  <wp:extent cx="612000" cy="612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rsidR="00CA7DD8" w:rsidRDefault="00D67AA5" w:rsidP="00CA7DD8">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28D66F9E" wp14:editId="4584BAD8">
                  <wp:extent cx="612000" cy="6120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rsidR="00CA7DD8" w:rsidRDefault="00D67AA5" w:rsidP="00CA7DD8">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1000BE06" wp14:editId="07869F96">
                  <wp:extent cx="609600" cy="609600"/>
                  <wp:effectExtent l="0" t="0" r="0" b="0"/>
                  <wp:docPr id="45" name="Picture 45"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r>
      <w:tr w:rsidR="00D67AA5" w:rsidTr="00E86364">
        <w:trPr>
          <w:trHeight w:val="1300"/>
        </w:trPr>
        <w:tc>
          <w:tcPr>
            <w:tcW w:w="2158" w:type="dxa"/>
            <w:vAlign w:val="center"/>
          </w:tcPr>
          <w:p w:rsidR="00D67AA5" w:rsidRDefault="00D67AA5" w:rsidP="00E86364">
            <w:pPr>
              <w:pStyle w:val="ListBullet"/>
              <w:tabs>
                <w:tab w:val="clear" w:pos="284"/>
              </w:tabs>
              <w:spacing w:before="80" w:after="80" w:line="240" w:lineRule="auto"/>
              <w:jc w:val="center"/>
              <w:rPr>
                <w:rFonts w:asciiTheme="majorHAnsi" w:eastAsiaTheme="majorEastAsia" w:hAnsiTheme="majorHAnsi" w:cstheme="majorBidi"/>
                <w:caps/>
                <w:noProof/>
                <w:color w:val="495965" w:themeColor="text2"/>
                <w:sz w:val="38"/>
                <w:szCs w:val="26"/>
              </w:rPr>
            </w:pPr>
            <w:r w:rsidRPr="00A51694">
              <w:rPr>
                <w:noProof/>
              </w:rPr>
              <w:drawing>
                <wp:inline distT="0" distB="0" distL="0" distR="0" wp14:anchorId="52A4E1D5" wp14:editId="1A7885E4">
                  <wp:extent cx="629057" cy="593709"/>
                  <wp:effectExtent l="0" t="0" r="0" b="0"/>
                  <wp:docPr id="46" name="Picture 46" descr="C:\Users\fcruise\AppData\Local\Microsoft\Windows\INetCache\Content.Outlook\QHZZFRQQ\sdg-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cruise\AppData\Local\Microsoft\Windows\INetCache\Content.Outlook\QHZZFRQQ\sdg-09.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51338" cy="614738"/>
                          </a:xfrm>
                          <a:prstGeom prst="rect">
                            <a:avLst/>
                          </a:prstGeom>
                        </pic:spPr>
                      </pic:pic>
                    </a:graphicData>
                  </a:graphic>
                </wp:inline>
              </w:drawing>
            </w:r>
          </w:p>
        </w:tc>
        <w:tc>
          <w:tcPr>
            <w:tcW w:w="1904" w:type="dxa"/>
          </w:tcPr>
          <w:p w:rsidR="00D67AA5" w:rsidRDefault="00D67AA5" w:rsidP="00CA7DD8">
            <w:pPr>
              <w:pStyle w:val="ListBullet"/>
              <w:tabs>
                <w:tab w:val="clear" w:pos="284"/>
              </w:tabs>
              <w:spacing w:before="160" w:after="80" w:line="240" w:lineRule="auto"/>
              <w:jc w:val="center"/>
              <w:rPr>
                <w:rFonts w:asciiTheme="majorHAnsi" w:eastAsiaTheme="majorEastAsia" w:hAnsiTheme="majorHAnsi" w:cstheme="majorBidi"/>
                <w:caps/>
                <w:noProof/>
                <w:color w:val="495965" w:themeColor="text2"/>
                <w:sz w:val="38"/>
                <w:szCs w:val="26"/>
              </w:rPr>
            </w:pPr>
            <w:r>
              <w:rPr>
                <w:noProof/>
              </w:rPr>
              <w:drawing>
                <wp:inline distT="0" distB="0" distL="0" distR="0" wp14:anchorId="1CB549AE" wp14:editId="71D8677B">
                  <wp:extent cx="612000" cy="6120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 10.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rsidR="00D67AA5" w:rsidRDefault="00D67AA5" w:rsidP="00CA7DD8">
            <w:pPr>
              <w:pStyle w:val="ListBullet"/>
              <w:tabs>
                <w:tab w:val="clear" w:pos="284"/>
              </w:tabs>
              <w:spacing w:before="160" w:after="80" w:line="240" w:lineRule="auto"/>
              <w:jc w:val="center"/>
              <w:rPr>
                <w:noProof/>
              </w:rPr>
            </w:pPr>
            <w:r>
              <w:rPr>
                <w:noProof/>
              </w:rPr>
              <w:drawing>
                <wp:inline distT="0" distB="0" distL="0" distR="0" wp14:anchorId="1606E0A2" wp14:editId="20E45F93">
                  <wp:extent cx="612000" cy="6120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DG 11.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rsidR="00D67AA5" w:rsidRDefault="00D67AA5" w:rsidP="00CA7DD8">
            <w:pPr>
              <w:pStyle w:val="ListBullet"/>
              <w:tabs>
                <w:tab w:val="clear" w:pos="284"/>
              </w:tabs>
              <w:spacing w:before="160" w:after="80" w:line="240" w:lineRule="auto"/>
              <w:jc w:val="center"/>
              <w:rPr>
                <w:noProof/>
              </w:rPr>
            </w:pPr>
            <w:r>
              <w:rPr>
                <w:noProof/>
              </w:rPr>
              <w:drawing>
                <wp:inline distT="0" distB="0" distL="0" distR="0" wp14:anchorId="74335122" wp14:editId="6FBC712C">
                  <wp:extent cx="612000" cy="6120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 13.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rsidR="00D67AA5" w:rsidRDefault="00E86364" w:rsidP="00CA7DD8">
            <w:pPr>
              <w:pStyle w:val="ListBullet"/>
              <w:tabs>
                <w:tab w:val="clear" w:pos="284"/>
              </w:tabs>
              <w:spacing w:before="160" w:after="80" w:line="240" w:lineRule="auto"/>
              <w:jc w:val="center"/>
              <w:rPr>
                <w:noProof/>
              </w:rPr>
            </w:pPr>
            <w:r>
              <w:rPr>
                <w:noProof/>
              </w:rPr>
              <w:drawing>
                <wp:inline distT="0" distB="0" distL="0" distR="0" wp14:anchorId="2B4E8D83" wp14:editId="7F979D0C">
                  <wp:extent cx="608400" cy="612000"/>
                  <wp:effectExtent l="0" t="0" r="127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 16.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08400" cy="612000"/>
                          </a:xfrm>
                          <a:prstGeom prst="rect">
                            <a:avLst/>
                          </a:prstGeom>
                        </pic:spPr>
                      </pic:pic>
                    </a:graphicData>
                  </a:graphic>
                </wp:inline>
              </w:drawing>
            </w:r>
          </w:p>
        </w:tc>
      </w:tr>
    </w:tbl>
    <w:p w:rsidR="00E86364" w:rsidRPr="000A08D7" w:rsidRDefault="002E6077" w:rsidP="00E86364">
      <w:pPr>
        <w:spacing w:before="240" w:line="240" w:lineRule="auto"/>
        <w:rPr>
          <w:rFonts w:eastAsia="Times New Roman"/>
          <w:color w:val="auto"/>
        </w:rPr>
      </w:pPr>
      <w:r>
        <w:t>This o</w:t>
      </w:r>
      <w:r w:rsidR="00113617">
        <w:t>bjective is rated</w:t>
      </w:r>
      <w:r w:rsidR="00E86364" w:rsidRPr="00E86364">
        <w:t xml:space="preserve"> Amber as key benchmarks were not achieved.  Many of the lessons learned over the c</w:t>
      </w:r>
      <w:r w:rsidR="006E32CE">
        <w:t>ourse of the AIP</w:t>
      </w:r>
      <w:r>
        <w:t xml:space="preserve"> relate to this o</w:t>
      </w:r>
      <w:r w:rsidR="00113617">
        <w:t>bjective</w:t>
      </w:r>
      <w:r w:rsidR="00D76A68">
        <w:t>.</w:t>
      </w:r>
      <w:r w:rsidR="00E86364" w:rsidRPr="00E86364">
        <w:t xml:space="preserve"> </w:t>
      </w:r>
    </w:p>
    <w:p w:rsidR="006A1CD5" w:rsidRDefault="005B2A0A" w:rsidP="006A1CD5">
      <w:pPr>
        <w:spacing w:before="240" w:line="240" w:lineRule="auto"/>
      </w:pPr>
      <w:r>
        <w:rPr>
          <w:lang w:val="en-US"/>
        </w:rPr>
        <w:t xml:space="preserve">Through this objective </w:t>
      </w:r>
      <w:r w:rsidR="006A1CD5">
        <w:rPr>
          <w:lang w:val="en-US"/>
        </w:rPr>
        <w:t xml:space="preserve">Australia </w:t>
      </w:r>
      <w:r>
        <w:rPr>
          <w:lang w:val="en-US"/>
        </w:rPr>
        <w:t>aims to help build</w:t>
      </w:r>
      <w:r w:rsidR="006A1CD5">
        <w:rPr>
          <w:lang w:val="en-US"/>
        </w:rPr>
        <w:t xml:space="preserve"> the foundations for economic growth through targeted investments in infrastructure, aid for trade and education. </w:t>
      </w:r>
      <w:r>
        <w:rPr>
          <w:lang w:val="en-US"/>
        </w:rPr>
        <w:t xml:space="preserve"> Through investing in soc</w:t>
      </w:r>
      <w:r w:rsidR="005E4A85">
        <w:rPr>
          <w:lang w:val="en-US"/>
        </w:rPr>
        <w:t xml:space="preserve">ial protection, we support the </w:t>
      </w:r>
      <w:r>
        <w:rPr>
          <w:lang w:val="en-US"/>
        </w:rPr>
        <w:t>Philippine</w:t>
      </w:r>
      <w:r w:rsidR="005E4A85">
        <w:rPr>
          <w:lang w:val="en-US"/>
        </w:rPr>
        <w:t xml:space="preserve"> government’s</w:t>
      </w:r>
      <w:r>
        <w:rPr>
          <w:lang w:val="en-US"/>
        </w:rPr>
        <w:t xml:space="preserve"> efforts to ensure that growth is inclusive. </w:t>
      </w:r>
      <w:r w:rsidR="00280CEA">
        <w:rPr>
          <w:lang w:val="en-US"/>
        </w:rPr>
        <w:t xml:space="preserve">Recent World Bank analysis suggests a quarter of the Philippines’ 3.6 per cent poverty reduction from 2012-2015 (latest figures available) can be attributed to the scaling-up of transfers and social protection programs.  </w:t>
      </w:r>
      <w:r>
        <w:rPr>
          <w:lang w:val="en-US"/>
        </w:rPr>
        <w:t>Our e</w:t>
      </w:r>
      <w:r w:rsidR="006A1CD5">
        <w:rPr>
          <w:lang w:val="en-US"/>
        </w:rPr>
        <w:t xml:space="preserve">ducation investments </w:t>
      </w:r>
      <w:r>
        <w:rPr>
          <w:lang w:val="en-US"/>
        </w:rPr>
        <w:t xml:space="preserve">are designed to </w:t>
      </w:r>
      <w:r w:rsidR="006A1CD5">
        <w:rPr>
          <w:lang w:val="en-US"/>
        </w:rPr>
        <w:t xml:space="preserve">lay the ground work for a better educated workforce and </w:t>
      </w:r>
      <w:r>
        <w:rPr>
          <w:lang w:val="en-US"/>
        </w:rPr>
        <w:t xml:space="preserve">to </w:t>
      </w:r>
      <w:r w:rsidR="006A1CD5">
        <w:rPr>
          <w:lang w:val="en-US"/>
        </w:rPr>
        <w:t>promote higher participation in the formal labour market.</w:t>
      </w:r>
      <w:r>
        <w:rPr>
          <w:lang w:val="en-US"/>
        </w:rPr>
        <w:t xml:space="preserve"> Whilst there have been some setbacks in the achievement of this objective (detailed below), this will remain an important area of Australian assistance, particularly as the Philippines transitions to an advanced middle income country. </w:t>
      </w:r>
      <w:r w:rsidR="00574D83">
        <w:rPr>
          <w:lang w:val="en-US"/>
        </w:rPr>
        <w:t>Achieving gender equality results under this objective was challenging, but some investments performed well</w:t>
      </w:r>
      <w:r w:rsidR="00724227">
        <w:rPr>
          <w:lang w:val="en-US"/>
        </w:rPr>
        <w:t>, particularly the regional Investing in Women initiative</w:t>
      </w:r>
      <w:r w:rsidR="00574D83">
        <w:rPr>
          <w:lang w:val="en-US"/>
        </w:rPr>
        <w:t>.</w:t>
      </w:r>
    </w:p>
    <w:p w:rsidR="00E86364" w:rsidRPr="00113617" w:rsidRDefault="00D428DB" w:rsidP="00113617">
      <w:pPr>
        <w:spacing w:before="240" w:line="240" w:lineRule="auto"/>
      </w:pPr>
      <w:r>
        <w:t xml:space="preserve">The </w:t>
      </w:r>
      <w:r w:rsidR="00E86364" w:rsidRPr="00113617">
        <w:rPr>
          <w:b/>
        </w:rPr>
        <w:t xml:space="preserve">Trade and Inclusive Economic Growth </w:t>
      </w:r>
      <w:r w:rsidR="00F42A1F" w:rsidRPr="00113617">
        <w:rPr>
          <w:b/>
        </w:rPr>
        <w:t xml:space="preserve">Program </w:t>
      </w:r>
      <w:r w:rsidR="00E86364" w:rsidRPr="00113617">
        <w:rPr>
          <w:b/>
        </w:rPr>
        <w:t>(TIGER)</w:t>
      </w:r>
      <w:r w:rsidR="00113617">
        <w:t xml:space="preserve"> was</w:t>
      </w:r>
      <w:r w:rsidR="00960E0B" w:rsidRPr="00113617">
        <w:t xml:space="preserve"> designed under the previous administration, </w:t>
      </w:r>
      <w:r w:rsidR="00113617">
        <w:t xml:space="preserve">but </w:t>
      </w:r>
      <w:r w:rsidR="00960E0B" w:rsidRPr="00113617">
        <w:t>was not endorsed by the current administration.</w:t>
      </w:r>
      <w:r w:rsidR="00E86364" w:rsidRPr="00113617">
        <w:t xml:space="preserve"> We remain a committed partner and respect the decision of the Philippines </w:t>
      </w:r>
      <w:r w:rsidR="0097490A">
        <w:t xml:space="preserve">not </w:t>
      </w:r>
      <w:r w:rsidR="00E86364" w:rsidRPr="00113617">
        <w:t xml:space="preserve">to go ahead with TIGER. </w:t>
      </w:r>
    </w:p>
    <w:p w:rsidR="00E86364" w:rsidRPr="00E86364" w:rsidRDefault="00E86364" w:rsidP="00113617">
      <w:pPr>
        <w:spacing w:before="240" w:line="240" w:lineRule="auto"/>
      </w:pPr>
      <w:r w:rsidRPr="00113617">
        <w:t>The</w:t>
      </w:r>
      <w:r w:rsidR="004E5678" w:rsidRPr="00113617">
        <w:t xml:space="preserve"> </w:t>
      </w:r>
      <w:r w:rsidR="002E6077">
        <w:t xml:space="preserve">Philippine </w:t>
      </w:r>
      <w:r w:rsidR="00D428DB">
        <w:t>G</w:t>
      </w:r>
      <w:r w:rsidR="008D6EEC" w:rsidRPr="00113617">
        <w:t>overnment</w:t>
      </w:r>
      <w:r w:rsidRPr="00113617">
        <w:t xml:space="preserve">’s </w:t>
      </w:r>
      <w:r w:rsidR="00D428DB">
        <w:t xml:space="preserve">direction on the </w:t>
      </w:r>
      <w:r w:rsidRPr="00113617">
        <w:t>hybrid Public Private Partnerships (PPP) model became cleare</w:t>
      </w:r>
      <w:r w:rsidR="00C24D3C" w:rsidRPr="00113617">
        <w:t>r</w:t>
      </w:r>
      <w:r w:rsidRPr="00113617">
        <w:t xml:space="preserve"> over the reporting period. Ensuring our investment remained effective and relevant</w:t>
      </w:r>
      <w:r w:rsidR="00D76A68">
        <w:t>,</w:t>
      </w:r>
      <w:r w:rsidR="006F5A9E">
        <w:t xml:space="preserve"> w</w:t>
      </w:r>
      <w:r w:rsidRPr="00113617">
        <w:t xml:space="preserve">e adapted our approach </w:t>
      </w:r>
      <w:r w:rsidR="00D428DB">
        <w:t>to the</w:t>
      </w:r>
      <w:r w:rsidRPr="00113617">
        <w:t xml:space="preserve"> </w:t>
      </w:r>
      <w:r w:rsidRPr="00113617">
        <w:rPr>
          <w:b/>
        </w:rPr>
        <w:t>Strengthening Public Private Partnerships Program</w:t>
      </w:r>
      <w:r w:rsidRPr="00113617">
        <w:t xml:space="preserve"> whilst mitigating risks associated with </w:t>
      </w:r>
      <w:r w:rsidR="00D428DB">
        <w:t xml:space="preserve">PPP </w:t>
      </w:r>
      <w:r w:rsidRPr="00113617">
        <w:t>implementation. We also set up a new panel for probity adv</w:t>
      </w:r>
      <w:r w:rsidR="004E5678" w:rsidRPr="00113617">
        <w:t xml:space="preserve">ice, supporting the </w:t>
      </w:r>
      <w:r w:rsidR="00113617">
        <w:t>G</w:t>
      </w:r>
      <w:r w:rsidR="008D6EEC" w:rsidRPr="00113617">
        <w:t>overnment</w:t>
      </w:r>
      <w:r w:rsidR="00D428DB">
        <w:t>’s introduction of</w:t>
      </w:r>
      <w:r w:rsidRPr="00113617">
        <w:t xml:space="preserve"> independent probity advice. </w:t>
      </w:r>
      <w:r w:rsidR="00113617">
        <w:t xml:space="preserve">We altered our </w:t>
      </w:r>
      <w:r w:rsidRPr="00113617">
        <w:t xml:space="preserve">program approach </w:t>
      </w:r>
      <w:r w:rsidR="006F5A9E">
        <w:t>to</w:t>
      </w:r>
      <w:r w:rsidRPr="00113617">
        <w:t xml:space="preserve"> technical assistance tak</w:t>
      </w:r>
      <w:r w:rsidR="006F5A9E">
        <w:t>ing</w:t>
      </w:r>
      <w:r w:rsidRPr="00113617">
        <w:t xml:space="preserve"> </w:t>
      </w:r>
      <w:r w:rsidR="00113617">
        <w:t xml:space="preserve">into </w:t>
      </w:r>
      <w:r w:rsidRPr="00113617">
        <w:t xml:space="preserve">account the </w:t>
      </w:r>
      <w:r w:rsidR="00D428DB">
        <w:t xml:space="preserve">Government’s </w:t>
      </w:r>
      <w:r w:rsidRPr="00113617">
        <w:t xml:space="preserve">preference for hybrid </w:t>
      </w:r>
      <w:r w:rsidR="00D428DB">
        <w:t>PPP arrangements</w:t>
      </w:r>
      <w:r w:rsidRPr="00113617">
        <w:t xml:space="preserve"> and </w:t>
      </w:r>
      <w:r w:rsidR="00D428DB">
        <w:t>its</w:t>
      </w:r>
      <w:r w:rsidRPr="00113617">
        <w:t xml:space="preserve"> openness to unsolicited bids from the private sector</w:t>
      </w:r>
      <w:r w:rsidR="00D428DB">
        <w:t xml:space="preserve">. </w:t>
      </w:r>
      <w:r w:rsidRPr="00113617">
        <w:t xml:space="preserve">Keeping PPPs relevant in this environment </w:t>
      </w:r>
      <w:r w:rsidR="00113617">
        <w:t xml:space="preserve">enables us to </w:t>
      </w:r>
      <w:r w:rsidRPr="00113617">
        <w:t xml:space="preserve">remain influential </w:t>
      </w:r>
      <w:r w:rsidR="00113617">
        <w:t xml:space="preserve">and </w:t>
      </w:r>
      <w:r w:rsidR="00D428DB">
        <w:t xml:space="preserve">to continue to </w:t>
      </w:r>
      <w:r w:rsidR="00113617">
        <w:t>support</w:t>
      </w:r>
      <w:r w:rsidRPr="00113617">
        <w:t xml:space="preserve"> our objective to increase private sector investment in infrastructure and ensure better adherence to safeguard standards in infrastructure projects.</w:t>
      </w:r>
      <w:r w:rsidRPr="00E86364">
        <w:t xml:space="preserve">  </w:t>
      </w:r>
    </w:p>
    <w:p w:rsidR="00D428DB" w:rsidRPr="00A749B7" w:rsidRDefault="00D428DB" w:rsidP="00D428DB">
      <w:pPr>
        <w:spacing w:before="240" w:line="240" w:lineRule="auto"/>
      </w:pPr>
      <w:r>
        <w:t>T</w:t>
      </w:r>
      <w:r w:rsidRPr="00D428DB">
        <w:t xml:space="preserve">he </w:t>
      </w:r>
      <w:r w:rsidRPr="00D428DB">
        <w:rPr>
          <w:b/>
        </w:rPr>
        <w:t>Australia-World Bank Philippines Development Trust Fund</w:t>
      </w:r>
      <w:r w:rsidR="005E4A85">
        <w:rPr>
          <w:b/>
        </w:rPr>
        <w:t xml:space="preserve"> -</w:t>
      </w:r>
      <w:r w:rsidRPr="00D428DB">
        <w:t xml:space="preserve"> referred to as the Umbrella Trust Fund (UTF)</w:t>
      </w:r>
      <w:r w:rsidR="005E4A85">
        <w:t xml:space="preserve"> -</w:t>
      </w:r>
      <w:r w:rsidRPr="00D428DB">
        <w:t xml:space="preserve"> provided technical advice on tax reforms underpinning the Tax Reform Acceleration and Inclusion (TRAIN) Act, signed into law in December 2017. </w:t>
      </w:r>
      <w:r w:rsidR="004F5727">
        <w:t xml:space="preserve"> This work was complemented by efforts under the Coalitions for Change program (see Objective 2).</w:t>
      </w:r>
      <w:r w:rsidR="00911D51">
        <w:t xml:space="preserve"> </w:t>
      </w:r>
      <w:r w:rsidRPr="00D428DB">
        <w:t>The World Bank</w:t>
      </w:r>
      <w:r w:rsidR="003A0395">
        <w:t xml:space="preserve">, with Australian </w:t>
      </w:r>
      <w:r w:rsidR="00280CEA">
        <w:t>f</w:t>
      </w:r>
      <w:r w:rsidR="003A0395">
        <w:t xml:space="preserve">unding </w:t>
      </w:r>
      <w:r w:rsidR="00280CEA">
        <w:t>s</w:t>
      </w:r>
      <w:r w:rsidR="003A0395">
        <w:t xml:space="preserve">upport, </w:t>
      </w:r>
      <w:r w:rsidR="006F5A9E">
        <w:t>strengthened</w:t>
      </w:r>
      <w:r w:rsidRPr="00D428DB">
        <w:t xml:space="preserve"> the Philippines Competition Commission, supporting it to become fully operational</w:t>
      </w:r>
      <w:r w:rsidR="006F5A9E">
        <w:t xml:space="preserve"> to pursue its</w:t>
      </w:r>
      <w:r w:rsidRPr="00D428DB">
        <w:t xml:space="preserve"> mandate on competition enforcement and advocacy. Regular technical support was provided to the Chair and Commissioners and staff were trained in a range of areas including energy policy, anti-cartel and anti-</w:t>
      </w:r>
      <w:r w:rsidR="003A0395">
        <w:t xml:space="preserve">trust enforcement. The UTF </w:t>
      </w:r>
      <w:r w:rsidRPr="00D428DB">
        <w:t xml:space="preserve">completed a study </w:t>
      </w:r>
      <w:r>
        <w:t>of</w:t>
      </w:r>
      <w:r w:rsidRPr="00D428DB">
        <w:t xml:space="preserve"> regulatory constraints, which is being used to inform the current drafting of a National Competition Policy</w:t>
      </w:r>
      <w:r w:rsidR="003A0395">
        <w:t xml:space="preserve">. </w:t>
      </w:r>
      <w:r w:rsidR="00724227">
        <w:t xml:space="preserve">Competition is important because when a market is </w:t>
      </w:r>
      <w:r w:rsidR="00724227">
        <w:lastRenderedPageBreak/>
        <w:t xml:space="preserve">competitive, businesses will have greater incentives to lower prices, to improve the quality of their products and services, and to provide buyers with more options.  Lower prices of goods and services will mean more purchasing power for Filipinos, which would, in turn, boost the economy and improve quality of life. </w:t>
      </w:r>
      <w:r w:rsidR="003A0395">
        <w:t xml:space="preserve">The UTF </w:t>
      </w:r>
      <w:r w:rsidRPr="00D428DB">
        <w:t xml:space="preserve">provided the analytical groundwork </w:t>
      </w:r>
      <w:r w:rsidR="0068507C">
        <w:t>for</w:t>
      </w:r>
      <w:r w:rsidRPr="00D428DB">
        <w:t xml:space="preserve"> the Philippines Customs Bureau systems to support </w:t>
      </w:r>
      <w:r w:rsidR="0068507C">
        <w:t xml:space="preserve">a </w:t>
      </w:r>
      <w:r w:rsidRPr="00D428DB">
        <w:t>proposed World Bank loan on customs modernisation. This included an assessment of the Bureau’s operations, information technology, infrastructure, processing and business systems with a view to improving efficiency, effec</w:t>
      </w:r>
      <w:r>
        <w:t>tiveness and transparency. High-</w:t>
      </w:r>
      <w:r w:rsidRPr="00D428DB">
        <w:t xml:space="preserve">level officials </w:t>
      </w:r>
      <w:r w:rsidR="0068507C">
        <w:t>from the C</w:t>
      </w:r>
      <w:r w:rsidRPr="00D428DB">
        <w:t xml:space="preserve">ompetition </w:t>
      </w:r>
      <w:r w:rsidR="0068507C">
        <w:t xml:space="preserve">Commission </w:t>
      </w:r>
      <w:r w:rsidRPr="00D428DB">
        <w:t xml:space="preserve">and </w:t>
      </w:r>
      <w:r w:rsidR="0068507C">
        <w:t>Department of F</w:t>
      </w:r>
      <w:r w:rsidRPr="00D428DB">
        <w:t>inance have publicly acknowledged the UTF’s work</w:t>
      </w:r>
      <w:r w:rsidR="003D406C">
        <w:t xml:space="preserve"> and Australian funding</w:t>
      </w:r>
      <w:r w:rsidRPr="00D428DB">
        <w:t xml:space="preserve">, noting it has strengthened the quality of policy decisions. </w:t>
      </w:r>
    </w:p>
    <w:p w:rsidR="00730928" w:rsidRPr="00A749B7" w:rsidRDefault="002E6077" w:rsidP="00730928">
      <w:pPr>
        <w:spacing w:before="240" w:line="240" w:lineRule="auto"/>
      </w:pPr>
      <w:r>
        <w:t>T</w:t>
      </w:r>
      <w:r w:rsidR="00730928" w:rsidRPr="00D428DB">
        <w:t xml:space="preserve">he </w:t>
      </w:r>
      <w:r w:rsidR="00730928" w:rsidRPr="00D428DB">
        <w:rPr>
          <w:b/>
        </w:rPr>
        <w:t>Social Protection Initiative</w:t>
      </w:r>
      <w:r w:rsidR="00730928" w:rsidRPr="00D428DB">
        <w:t xml:space="preserve"> </w:t>
      </w:r>
      <w:r w:rsidR="003D406C">
        <w:t>experienced</w:t>
      </w:r>
      <w:r w:rsidR="00730928" w:rsidRPr="00D428DB">
        <w:t xml:space="preserve"> implementation delays due to the inability of </w:t>
      </w:r>
      <w:r w:rsidR="00730928">
        <w:t>DSWD</w:t>
      </w:r>
      <w:r w:rsidR="00730928" w:rsidRPr="00D428DB">
        <w:t xml:space="preserve"> to access donor funds</w:t>
      </w:r>
      <w:r w:rsidR="00730928">
        <w:t xml:space="preserve"> during the reporting period</w:t>
      </w:r>
      <w:r w:rsidR="001D59EB">
        <w:t xml:space="preserve">.  This was </w:t>
      </w:r>
      <w:r w:rsidR="00D76A68">
        <w:t xml:space="preserve">due to the Philippine Government’s </w:t>
      </w:r>
      <w:r w:rsidR="001D59EB">
        <w:t>new policy requiring donor funds providing direct support to line agencies be channelled through the Bureau of Treasury</w:t>
      </w:r>
      <w:r w:rsidR="00730928" w:rsidRPr="00D428DB">
        <w:t xml:space="preserve">. </w:t>
      </w:r>
      <w:r w:rsidR="00730928">
        <w:t xml:space="preserve"> </w:t>
      </w:r>
      <w:r w:rsidR="00730928" w:rsidRPr="00D428DB">
        <w:t>In response</w:t>
      </w:r>
      <w:r w:rsidR="00730928">
        <w:t xml:space="preserve"> to this delay</w:t>
      </w:r>
      <w:r w:rsidR="00730928" w:rsidRPr="00D428DB">
        <w:t>, the a</w:t>
      </w:r>
      <w:r w:rsidR="00730928">
        <w:t xml:space="preserve">rrangement </w:t>
      </w:r>
      <w:r w:rsidR="00730928" w:rsidRPr="00D428DB">
        <w:t>with</w:t>
      </w:r>
      <w:r w:rsidR="00730928">
        <w:t xml:space="preserve"> DSWD </w:t>
      </w:r>
      <w:r w:rsidR="004F7119">
        <w:t xml:space="preserve">was extended </w:t>
      </w:r>
      <w:r w:rsidR="00730928">
        <w:t>until December 2019</w:t>
      </w:r>
      <w:r w:rsidR="00730928" w:rsidRPr="00D428DB">
        <w:t xml:space="preserve"> so that </w:t>
      </w:r>
      <w:r w:rsidR="00730928">
        <w:t xml:space="preserve">planned work </w:t>
      </w:r>
      <w:r w:rsidR="00730928" w:rsidRPr="00D428DB">
        <w:t xml:space="preserve">can be completed. Other components of the social protection </w:t>
      </w:r>
      <w:r w:rsidR="00730928">
        <w:t xml:space="preserve">support </w:t>
      </w:r>
      <w:r w:rsidR="00730928" w:rsidRPr="00D428DB">
        <w:t>through UNICEF and the World Bank</w:t>
      </w:r>
      <w:r w:rsidR="007A01FD">
        <w:t xml:space="preserve"> </w:t>
      </w:r>
      <w:r w:rsidR="00730928" w:rsidRPr="00D428DB">
        <w:t>progress</w:t>
      </w:r>
      <w:r w:rsidR="004F7119">
        <w:t>ed</w:t>
      </w:r>
      <w:r w:rsidR="007A01FD">
        <w:t xml:space="preserve"> well</w:t>
      </w:r>
      <w:r w:rsidR="00730928" w:rsidRPr="00D428DB">
        <w:t>.  UNICEF completed a</w:t>
      </w:r>
      <w:r>
        <w:t xml:space="preserve"> demand and supply analysis of i</w:t>
      </w:r>
      <w:r w:rsidR="00730928" w:rsidRPr="00D428DB">
        <w:t>ndigenous pe</w:t>
      </w:r>
      <w:r w:rsidR="00730928">
        <w:t>ople’s access to the</w:t>
      </w:r>
      <w:r w:rsidR="00730928" w:rsidRPr="00D428DB">
        <w:t xml:space="preserve"> modified conditional cash transfer program</w:t>
      </w:r>
      <w:r w:rsidR="00730928">
        <w:t>,</w:t>
      </w:r>
      <w:r w:rsidR="00730928" w:rsidRPr="00D428DB">
        <w:t xml:space="preserve"> and </w:t>
      </w:r>
      <w:r w:rsidR="00730928">
        <w:t xml:space="preserve">commenced </w:t>
      </w:r>
      <w:r w:rsidR="00730928" w:rsidRPr="00D428DB">
        <w:t xml:space="preserve">pilot testing </w:t>
      </w:r>
      <w:r w:rsidR="00730928">
        <w:t xml:space="preserve">of </w:t>
      </w:r>
      <w:r w:rsidR="00730928" w:rsidRPr="00D428DB">
        <w:t>a new management information system for the program. UNICEF</w:t>
      </w:r>
      <w:r w:rsidR="0068507C">
        <w:t xml:space="preserve"> also</w:t>
      </w:r>
      <w:r w:rsidR="00730928" w:rsidRPr="00D428DB">
        <w:t xml:space="preserve"> completed a situational analysis of children with disability with the next step </w:t>
      </w:r>
      <w:r w:rsidR="00730928">
        <w:t xml:space="preserve">being to </w:t>
      </w:r>
      <w:r w:rsidR="00730928" w:rsidRPr="00D428DB">
        <w:t>design</w:t>
      </w:r>
      <w:r w:rsidR="00730928">
        <w:t xml:space="preserve"> a program to</w:t>
      </w:r>
      <w:r w:rsidR="00730928" w:rsidRPr="00D428DB">
        <w:t xml:space="preserve"> assist relevant households. </w:t>
      </w:r>
      <w:r w:rsidR="000F70C1">
        <w:t>The</w:t>
      </w:r>
      <w:r w:rsidR="00280CEA">
        <w:t xml:space="preserve"> World Bank</w:t>
      </w:r>
      <w:r w:rsidR="0068507C">
        <w:t xml:space="preserve"> supported</w:t>
      </w:r>
      <w:r w:rsidR="00730928" w:rsidRPr="00D428DB">
        <w:t xml:space="preserve"> the </w:t>
      </w:r>
      <w:r w:rsidR="00730928">
        <w:t xml:space="preserve">government </w:t>
      </w:r>
      <w:r w:rsidR="0068507C">
        <w:t xml:space="preserve">to </w:t>
      </w:r>
      <w:r w:rsidR="00730928" w:rsidRPr="00D428DB">
        <w:t xml:space="preserve">plan the technical and operational roll out of the Unconditional Cash Transfer program, and analysed the </w:t>
      </w:r>
      <w:r w:rsidR="0043260B">
        <w:t xml:space="preserve">potential </w:t>
      </w:r>
      <w:r w:rsidR="00730928" w:rsidRPr="00D428DB">
        <w:t xml:space="preserve">poverty impact of the taxation reform and transfer. The transfer </w:t>
      </w:r>
      <w:r>
        <w:t>was effected by the Philippine G</w:t>
      </w:r>
      <w:r w:rsidR="00730928" w:rsidRPr="00D428DB">
        <w:t xml:space="preserve">overnment in early 2018. </w:t>
      </w:r>
      <w:r w:rsidR="00730928" w:rsidRPr="00FC24D4">
        <w:t xml:space="preserve">The </w:t>
      </w:r>
      <w:r w:rsidR="000F70C1" w:rsidRPr="00FC24D4">
        <w:t xml:space="preserve">World </w:t>
      </w:r>
      <w:r w:rsidR="00730928" w:rsidRPr="00FC24D4">
        <w:t>Bank also provid</w:t>
      </w:r>
      <w:r w:rsidR="00046C80" w:rsidRPr="00FC24D4">
        <w:t>ed</w:t>
      </w:r>
      <w:r w:rsidR="00730928" w:rsidRPr="00FC24D4">
        <w:t xml:space="preserve"> expertise to develop the new So</w:t>
      </w:r>
      <w:r w:rsidR="00FC24D4" w:rsidRPr="00FC24D4">
        <w:t xml:space="preserve">cial Protection Framework, and </w:t>
      </w:r>
      <w:r w:rsidR="00730928" w:rsidRPr="00FC24D4">
        <w:t>provid</w:t>
      </w:r>
      <w:r w:rsidR="00FC24D4" w:rsidRPr="00FC24D4">
        <w:t>ed</w:t>
      </w:r>
      <w:r w:rsidR="00730928" w:rsidRPr="00FC24D4">
        <w:t xml:space="preserve"> advice on implementation reform for social pensions, </w:t>
      </w:r>
      <w:r w:rsidRPr="00FC24D4">
        <w:t xml:space="preserve">the </w:t>
      </w:r>
      <w:r w:rsidR="00730928" w:rsidRPr="00FC24D4">
        <w:t>sustainable livelihood program, and the national household targeting system</w:t>
      </w:r>
      <w:r w:rsidR="00730928" w:rsidRPr="0068507C">
        <w:rPr>
          <w:i/>
        </w:rPr>
        <w:t>.</w:t>
      </w:r>
    </w:p>
    <w:p w:rsidR="007A7706" w:rsidRPr="006C6105" w:rsidRDefault="0005469A" w:rsidP="007A7706">
      <w:pPr>
        <w:spacing w:before="240"/>
        <w:rPr>
          <w:color w:val="595959" w:themeColor="text1" w:themeTint="A6"/>
        </w:rPr>
      </w:pPr>
      <w:r w:rsidRPr="0005469A">
        <w:t xml:space="preserve">The </w:t>
      </w:r>
      <w:r w:rsidRPr="00113617">
        <w:rPr>
          <w:b/>
        </w:rPr>
        <w:t xml:space="preserve">Basic Education Sector Transformation </w:t>
      </w:r>
      <w:r>
        <w:rPr>
          <w:b/>
        </w:rPr>
        <w:t xml:space="preserve">(BEST) </w:t>
      </w:r>
      <w:r w:rsidRPr="00113617">
        <w:rPr>
          <w:b/>
        </w:rPr>
        <w:t>Program</w:t>
      </w:r>
      <w:r w:rsidRPr="0005469A">
        <w:t xml:space="preserve"> made contributions to the</w:t>
      </w:r>
      <w:r w:rsidR="00AF49BC">
        <w:t xml:space="preserve"> Philippine DepEd’s</w:t>
      </w:r>
      <w:r w:rsidRPr="0005469A">
        <w:t xml:space="preserve"> organisational development and evidence-based planning at the national and regional levels.</w:t>
      </w:r>
      <w:r w:rsidR="00FC24D4">
        <w:t xml:space="preserve"> </w:t>
      </w:r>
      <w:r w:rsidRPr="0005469A">
        <w:t xml:space="preserve">The Independent Progress Review conducted in 2017 found that BEST </w:t>
      </w:r>
      <w:r w:rsidR="005E4A85">
        <w:t xml:space="preserve">contributed significantly to improvements in </w:t>
      </w:r>
      <w:r w:rsidRPr="0005469A">
        <w:t xml:space="preserve">teaching quality, learning resources and assessment tools, but as yet has not been able to demonstrate widespread classroom-level improvements in teaching and learning. </w:t>
      </w:r>
      <w:r w:rsidR="0068507C" w:rsidRPr="00FC24D4">
        <w:rPr>
          <w:color w:val="595959" w:themeColor="text1" w:themeTint="A6"/>
        </w:rPr>
        <w:t xml:space="preserve">As such, </w:t>
      </w:r>
      <w:r w:rsidR="00AF5F5A">
        <w:rPr>
          <w:color w:val="595959" w:themeColor="text1" w:themeTint="A6"/>
        </w:rPr>
        <w:t>like</w:t>
      </w:r>
      <w:r w:rsidR="00F83382">
        <w:rPr>
          <w:color w:val="595959" w:themeColor="text1" w:themeTint="A6"/>
        </w:rPr>
        <w:t xml:space="preserve"> the Social Protection </w:t>
      </w:r>
      <w:r w:rsidR="00AF49BC">
        <w:rPr>
          <w:color w:val="595959" w:themeColor="text1" w:themeTint="A6"/>
        </w:rPr>
        <w:t>I</w:t>
      </w:r>
      <w:r w:rsidR="00F83382">
        <w:rPr>
          <w:color w:val="595959" w:themeColor="text1" w:themeTint="A6"/>
        </w:rPr>
        <w:t xml:space="preserve">nitiative, </w:t>
      </w:r>
      <w:r w:rsidR="0068507C" w:rsidRPr="00FC24D4">
        <w:rPr>
          <w:color w:val="595959" w:themeColor="text1" w:themeTint="A6"/>
        </w:rPr>
        <w:t xml:space="preserve">BEST is currently an </w:t>
      </w:r>
      <w:r w:rsidR="00F83382">
        <w:rPr>
          <w:color w:val="595959" w:themeColor="text1" w:themeTint="A6"/>
        </w:rPr>
        <w:t>IRI</w:t>
      </w:r>
      <w:r w:rsidR="00CB7404" w:rsidRPr="00FC24D4">
        <w:rPr>
          <w:color w:val="595959" w:themeColor="text1" w:themeTint="A6"/>
        </w:rPr>
        <w:t>.</w:t>
      </w:r>
      <w:r w:rsidR="00FC24D4">
        <w:rPr>
          <w:color w:val="FF0000"/>
        </w:rPr>
        <w:t xml:space="preserve"> </w:t>
      </w:r>
      <w:r w:rsidR="0043260B">
        <w:t xml:space="preserve">Enhancing teaching quality in schools </w:t>
      </w:r>
      <w:r w:rsidRPr="0005469A">
        <w:t>will be the main focus of the program in its final year. In 2017-18, BEST delivered the following key results on teacher quality and systems strengthening:</w:t>
      </w:r>
    </w:p>
    <w:p w:rsidR="007A7706" w:rsidRDefault="005E619D" w:rsidP="00FD0C18">
      <w:pPr>
        <w:pStyle w:val="Bullet1"/>
        <w:numPr>
          <w:ilvl w:val="0"/>
          <w:numId w:val="13"/>
        </w:numPr>
        <w:ind w:left="426"/>
      </w:pPr>
      <w:r w:rsidRPr="005E619D">
        <w:t xml:space="preserve">Critical support to </w:t>
      </w:r>
      <w:r w:rsidR="002348CC">
        <w:t>the</w:t>
      </w:r>
      <w:r w:rsidR="00AF49BC">
        <w:t xml:space="preserve"> Philippine</w:t>
      </w:r>
      <w:r w:rsidR="002348CC">
        <w:t xml:space="preserve"> </w:t>
      </w:r>
      <w:r w:rsidR="00AF49BC">
        <w:t>DepEd</w:t>
      </w:r>
      <w:r w:rsidRPr="005E619D">
        <w:t xml:space="preserve"> </w:t>
      </w:r>
      <w:r w:rsidR="002E6077">
        <w:t>for</w:t>
      </w:r>
      <w:r w:rsidRPr="005E619D">
        <w:t xml:space="preserve"> finalisation of the Philippines Professional Standards for Teachers, which are being adopted nationally as the basis for salary increments and promotions. This demonstrates important policy influence and concrete steps towards teacher professionalisation. The standards are internationally benchmarked, and linked to the ASEAN 2015 agenda and the Philippines Qualification Framework (PQF).</w:t>
      </w:r>
    </w:p>
    <w:p w:rsidR="005E619D" w:rsidRDefault="005E4A85" w:rsidP="00FD0C18">
      <w:pPr>
        <w:pStyle w:val="Bullet1"/>
        <w:numPr>
          <w:ilvl w:val="0"/>
          <w:numId w:val="13"/>
        </w:numPr>
        <w:ind w:left="426"/>
      </w:pPr>
      <w:r>
        <w:t>S</w:t>
      </w:r>
      <w:r w:rsidR="005E619D" w:rsidRPr="005E619D">
        <w:t xml:space="preserve">upport for refinement of </w:t>
      </w:r>
      <w:r w:rsidR="002348CC">
        <w:t xml:space="preserve">the </w:t>
      </w:r>
      <w:r w:rsidR="005E619D" w:rsidRPr="005E619D">
        <w:t xml:space="preserve">Unified Information System (UIS), developed with Australian support over many years, enabling data-driven planning and budgeting, tracking of all students in public and private schools, and access for hundreds of thousands of public school teachers to all DepEd-approved learning resources through an online portal. </w:t>
      </w:r>
    </w:p>
    <w:p w:rsidR="005E619D" w:rsidRDefault="005E619D" w:rsidP="00FD0C18">
      <w:pPr>
        <w:pStyle w:val="Bullet1"/>
        <w:numPr>
          <w:ilvl w:val="0"/>
          <w:numId w:val="14"/>
        </w:numPr>
      </w:pPr>
      <w:r w:rsidRPr="005E619D">
        <w:t>In 2017, the Learner Information System enabled st</w:t>
      </w:r>
      <w:r w:rsidR="002348CC">
        <w:t>udents displaced by the Marawi conflict</w:t>
      </w:r>
      <w:r w:rsidRPr="005E619D">
        <w:t xml:space="preserve"> to enrol quickly and smoothly in local public schools in the areas to which their families fled based on their unique Leaner Reference Numbers.</w:t>
      </w:r>
    </w:p>
    <w:p w:rsidR="005E619D" w:rsidRDefault="002348CC" w:rsidP="00FD0C18">
      <w:pPr>
        <w:pStyle w:val="Bullet1"/>
        <w:numPr>
          <w:ilvl w:val="0"/>
          <w:numId w:val="15"/>
        </w:numPr>
        <w:ind w:left="426"/>
      </w:pPr>
      <w:r>
        <w:t xml:space="preserve">BEST supported </w:t>
      </w:r>
      <w:r w:rsidR="005E619D">
        <w:t xml:space="preserve">in-service teacher training through the development of a range of materials for Learning Action Cells, the Philippines’ mechanism for demand-driven, school-based professional development: </w:t>
      </w:r>
    </w:p>
    <w:p w:rsidR="005E619D" w:rsidRDefault="00EB4BDB" w:rsidP="00FD0C18">
      <w:pPr>
        <w:pStyle w:val="Bullet1"/>
        <w:numPr>
          <w:ilvl w:val="0"/>
          <w:numId w:val="14"/>
        </w:numPr>
      </w:pPr>
      <w:r>
        <w:t>S</w:t>
      </w:r>
      <w:r w:rsidR="005E619D">
        <w:t>tarter kits and materials on ‘least learnt skills training’, which address weaknesses identified through individual teacher performance assessments;</w:t>
      </w:r>
    </w:p>
    <w:p w:rsidR="005E619D" w:rsidRDefault="00EB4BDB" w:rsidP="00FD0C18">
      <w:pPr>
        <w:pStyle w:val="Bullet1"/>
        <w:numPr>
          <w:ilvl w:val="0"/>
          <w:numId w:val="14"/>
        </w:numPr>
      </w:pPr>
      <w:r>
        <w:lastRenderedPageBreak/>
        <w:t>M</w:t>
      </w:r>
      <w:r w:rsidR="005E619D">
        <w:t>aterials to support ongoing teacher development in learner-centred pedagogy in classrooms, integrating gender equality, disability inclusion and child protection.</w:t>
      </w:r>
    </w:p>
    <w:p w:rsidR="00E86364" w:rsidRPr="00A749B7" w:rsidRDefault="00E86364" w:rsidP="00E86364">
      <w:pPr>
        <w:spacing w:before="240" w:line="240" w:lineRule="auto"/>
      </w:pPr>
      <w:r w:rsidRPr="00A749B7">
        <w:t xml:space="preserve">DFAT held an internal review of our </w:t>
      </w:r>
      <w:r w:rsidR="004E5678" w:rsidRPr="004E5678">
        <w:rPr>
          <w:b/>
        </w:rPr>
        <w:t>Disaster and Climate Risk R</w:t>
      </w:r>
      <w:r w:rsidRPr="004E5678">
        <w:rPr>
          <w:b/>
        </w:rPr>
        <w:t xml:space="preserve">eduction </w:t>
      </w:r>
      <w:r w:rsidR="004E5678" w:rsidRPr="004E5678">
        <w:rPr>
          <w:b/>
        </w:rPr>
        <w:t>Management</w:t>
      </w:r>
      <w:r w:rsidR="004E5678">
        <w:t xml:space="preserve"> program </w:t>
      </w:r>
      <w:r w:rsidRPr="00A749B7">
        <w:t>in the second half of 2017, to assess progress to date of our investments and inform decisions on whether and how we continue to invest in this sector. This review highlighted the benefits of our support</w:t>
      </w:r>
      <w:r w:rsidR="003E3FE5">
        <w:t>, including a stronger focus on science-based risk mapping,</w:t>
      </w:r>
      <w:r w:rsidRPr="00A749B7">
        <w:t xml:space="preserve"> and recommended continued engagement in targeted areas</w:t>
      </w:r>
      <w:r w:rsidR="00F130AB">
        <w:t>.  W</w:t>
      </w:r>
      <w:r w:rsidRPr="00A749B7">
        <w:t xml:space="preserve">e will undertake new scoping and design work in pursuit of this in 2018-19. </w:t>
      </w:r>
    </w:p>
    <w:p w:rsidR="00E86364" w:rsidRPr="00A749B7" w:rsidRDefault="00E86364" w:rsidP="00E86364">
      <w:pPr>
        <w:spacing w:before="240" w:line="240" w:lineRule="auto"/>
      </w:pPr>
      <w:r w:rsidRPr="00A749B7">
        <w:t xml:space="preserve">The Support Program for Disaster Response (SPDR) was affected by the </w:t>
      </w:r>
      <w:r w:rsidR="00182B06">
        <w:t xml:space="preserve">Philippine Government’s </w:t>
      </w:r>
      <w:r w:rsidRPr="00A749B7">
        <w:t>procedural changes to the administration of foreign donor funds</w:t>
      </w:r>
      <w:r w:rsidR="0043260B">
        <w:t xml:space="preserve">. While issues </w:t>
      </w:r>
      <w:r w:rsidR="005E4A85">
        <w:t>surrounding</w:t>
      </w:r>
      <w:r w:rsidR="0043260B">
        <w:t xml:space="preserve"> these changes were resolved in early 2018,</w:t>
      </w:r>
      <w:r w:rsidR="003E3FE5">
        <w:t xml:space="preserve"> </w:t>
      </w:r>
      <w:r w:rsidR="005E4A85">
        <w:t>p</w:t>
      </w:r>
      <w:r w:rsidRPr="00A749B7">
        <w:t xml:space="preserve">rogram implementation </w:t>
      </w:r>
      <w:r w:rsidR="005E4A85">
        <w:t xml:space="preserve">was slow </w:t>
      </w:r>
      <w:r w:rsidRPr="00A749B7">
        <w:t xml:space="preserve">due to delayed procurement </w:t>
      </w:r>
      <w:r w:rsidR="00E77EB2">
        <w:t>of</w:t>
      </w:r>
      <w:r w:rsidRPr="00A749B7">
        <w:t xml:space="preserve"> goods and services. </w:t>
      </w:r>
      <w:r w:rsidR="00E77EB2">
        <w:t>T</w:t>
      </w:r>
      <w:r w:rsidRPr="00A749B7">
        <w:t xml:space="preserve">he significant </w:t>
      </w:r>
      <w:r w:rsidR="00182B06">
        <w:t>diversion of government resources</w:t>
      </w:r>
      <w:r w:rsidRPr="00A749B7">
        <w:t xml:space="preserve"> required for </w:t>
      </w:r>
      <w:r w:rsidR="00182B06">
        <w:t xml:space="preserve">the response to </w:t>
      </w:r>
      <w:r w:rsidRPr="00A749B7">
        <w:t xml:space="preserve">Marawi </w:t>
      </w:r>
      <w:r w:rsidR="000F70C1">
        <w:t xml:space="preserve">by Philippines Government counterparts </w:t>
      </w:r>
      <w:r w:rsidRPr="00A749B7">
        <w:t xml:space="preserve">resulted in further delays to finalisation of policy reforms supported by this investment in previous years. Information on our response to the humanitarian crisis brought on by the Marawi siege can be found under Objective 3 below. </w:t>
      </w:r>
    </w:p>
    <w:p w:rsidR="00E86364" w:rsidRPr="00A749B7" w:rsidRDefault="00E86364" w:rsidP="00E86364">
      <w:pPr>
        <w:spacing w:before="240" w:line="240" w:lineRule="auto"/>
      </w:pPr>
      <w:r w:rsidRPr="00A749B7">
        <w:t>The Project Climate Twin Phoenix-Resilience and Preparedness Towards Incl</w:t>
      </w:r>
      <w:r w:rsidR="003726B9">
        <w:t xml:space="preserve">usive Development (PCTP-RAPID) </w:t>
      </w:r>
      <w:r w:rsidRPr="00A749B7">
        <w:t>support</w:t>
      </w:r>
      <w:r w:rsidR="007B6898">
        <w:t>ed</w:t>
      </w:r>
      <w:r w:rsidRPr="00A749B7">
        <w:t xml:space="preserve"> </w:t>
      </w:r>
      <w:r w:rsidR="003726B9">
        <w:t xml:space="preserve">Typhoon </w:t>
      </w:r>
      <w:r w:rsidRPr="00A749B7">
        <w:t>Haiyan-affected communities and local government units to better plan and implement disaster and climate risk measures</w:t>
      </w:r>
      <w:r w:rsidR="00182B06">
        <w:t xml:space="preserve">.  </w:t>
      </w:r>
      <w:r w:rsidR="007B6898">
        <w:t xml:space="preserve">Key achievements included geotagging structures in 11 affected municipalities, </w:t>
      </w:r>
      <w:r w:rsidR="005E4A85">
        <w:t>prov</w:t>
      </w:r>
      <w:r w:rsidR="005D2B50">
        <w:t>iding exact geographic referencing</w:t>
      </w:r>
      <w:r w:rsidR="005E4A85">
        <w:t xml:space="preserve"> for </w:t>
      </w:r>
      <w:r w:rsidR="00596BFB">
        <w:t xml:space="preserve">disaster </w:t>
      </w:r>
      <w:r w:rsidR="005E4A85">
        <w:t>planning</w:t>
      </w:r>
      <w:r w:rsidR="00596BFB">
        <w:t>,</w:t>
      </w:r>
      <w:r w:rsidR="005E4A85">
        <w:t xml:space="preserve"> </w:t>
      </w:r>
      <w:r w:rsidR="007B6898">
        <w:t>livelihood support for 13 villages, benefiting 309 people including 200 women</w:t>
      </w:r>
      <w:r w:rsidR="002348CC">
        <w:t xml:space="preserve">, and design of a multi-purpose evacuation centre.  The project </w:t>
      </w:r>
      <w:r w:rsidRPr="00A749B7">
        <w:t>was due to end in December 2017</w:t>
      </w:r>
      <w:r w:rsidR="00182B06">
        <w:t xml:space="preserve"> but </w:t>
      </w:r>
      <w:r w:rsidR="003726B9">
        <w:t xml:space="preserve">due to </w:t>
      </w:r>
      <w:r w:rsidRPr="00A749B7">
        <w:t>slow implementation</w:t>
      </w:r>
      <w:r w:rsidR="003726B9">
        <w:t xml:space="preserve"> </w:t>
      </w:r>
      <w:r w:rsidR="0043260B">
        <w:t>caused by leadership changes in the partner government agency</w:t>
      </w:r>
      <w:r w:rsidRPr="00A749B7">
        <w:t xml:space="preserve">, the project </w:t>
      </w:r>
      <w:r w:rsidR="002348CC">
        <w:t>was</w:t>
      </w:r>
      <w:r w:rsidRPr="00A749B7">
        <w:t xml:space="preserve"> extended and strategies are now in place to accelerate progress</w:t>
      </w:r>
      <w:r w:rsidR="000F70C1">
        <w:t xml:space="preserve"> to see it end by 30 December 2018</w:t>
      </w:r>
      <w:r w:rsidRPr="00A749B7">
        <w:t>.</w:t>
      </w:r>
    </w:p>
    <w:p w:rsidR="005E619D" w:rsidRPr="00A749B7" w:rsidRDefault="00E86364" w:rsidP="00E86364">
      <w:pPr>
        <w:spacing w:before="240" w:line="240" w:lineRule="auto"/>
      </w:pPr>
      <w:r w:rsidRPr="00A749B7">
        <w:t xml:space="preserve">Our best-practice system of stationing pre-positioned stores with key partners enabled us to respond quickly to government requests for </w:t>
      </w:r>
      <w:r w:rsidR="0043260B">
        <w:t>assistance</w:t>
      </w:r>
      <w:r w:rsidR="0043260B" w:rsidRPr="00A749B7">
        <w:t xml:space="preserve"> </w:t>
      </w:r>
      <w:r w:rsidRPr="00A749B7">
        <w:t>with</w:t>
      </w:r>
      <w:r w:rsidR="00FC24D4">
        <w:t xml:space="preserve"> </w:t>
      </w:r>
      <w:r w:rsidRPr="00A749B7">
        <w:t>two natural disasters – Typhoon Tembin in Dece</w:t>
      </w:r>
      <w:r w:rsidR="00D70BC6">
        <w:t>mber 2017 and the eruption of Mount</w:t>
      </w:r>
      <w:r w:rsidRPr="00A749B7">
        <w:t xml:space="preserve"> Mayon in February 2018:</w:t>
      </w:r>
    </w:p>
    <w:p w:rsidR="00E86364" w:rsidRPr="00120CD6" w:rsidRDefault="00E86364" w:rsidP="00D428DB">
      <w:pPr>
        <w:pStyle w:val="Bullet1"/>
        <w:ind w:left="426" w:hanging="426"/>
      </w:pPr>
      <w:r w:rsidRPr="00422985">
        <w:t>Australia supported the immediate needs of around 25,000 people affected by Typhoon Tembin through our government partner</w:t>
      </w:r>
      <w:r w:rsidR="00182B06">
        <w:t>, DSWD,</w:t>
      </w:r>
      <w:r w:rsidR="000F70C1">
        <w:t xml:space="preserve"> </w:t>
      </w:r>
      <w:r w:rsidRPr="00422985">
        <w:t>and the Philippine Red Cross</w:t>
      </w:r>
      <w:r w:rsidR="008D6EEC" w:rsidRPr="00422985">
        <w:t xml:space="preserve"> (PRC)</w:t>
      </w:r>
      <w:r w:rsidRPr="00120CD6">
        <w:t>. We provided non-food items including tarpaulins, sleeping kits (blankets, plastic mats and mosquito nets) and hygiene kits.</w:t>
      </w:r>
    </w:p>
    <w:p w:rsidR="00724227" w:rsidRDefault="00E86364" w:rsidP="00F83382">
      <w:pPr>
        <w:pStyle w:val="Bullet1"/>
        <w:numPr>
          <w:ilvl w:val="0"/>
          <w:numId w:val="0"/>
        </w:numPr>
        <w:ind w:left="426"/>
      </w:pPr>
      <w:r w:rsidRPr="00A749B7">
        <w:t>I</w:t>
      </w:r>
      <w:r w:rsidR="00D70BC6">
        <w:t>n response to the eruption of Mount</w:t>
      </w:r>
      <w:r w:rsidRPr="00A749B7">
        <w:t xml:space="preserve"> Mayon, our humanitarian response was provided through </w:t>
      </w:r>
      <w:r w:rsidR="00182B06">
        <w:t>DSWD</w:t>
      </w:r>
      <w:r w:rsidRPr="00A749B7">
        <w:t>, the P</w:t>
      </w:r>
      <w:r w:rsidR="008D6EEC">
        <w:t>RC</w:t>
      </w:r>
      <w:r w:rsidRPr="00A749B7">
        <w:t xml:space="preserve"> and UNFPA for around 40,000 people. We provided non-food items including tarpaulins, sleeping kit, hygiene kits, </w:t>
      </w:r>
      <w:r w:rsidR="002348CC">
        <w:t xml:space="preserve">and </w:t>
      </w:r>
      <w:r w:rsidRPr="00A749B7">
        <w:t>toys for children and a maternity tent which supported 300 pregnant and lactating women.</w:t>
      </w:r>
    </w:p>
    <w:p w:rsidR="00056CFA" w:rsidRDefault="00724227" w:rsidP="00EB4BDB">
      <w:pPr>
        <w:spacing w:before="240" w:line="240" w:lineRule="auto"/>
      </w:pPr>
      <w:r>
        <w:t>Through the regionally funded Investing in Women the Philippines and Australia co-hosted the Philippines Australia ASEAN Forum on Women’s Economic Empowerment in Manila.  Australia’s Ambassador for Women and Girls co-chaired the Forum, which was attended by 200 people. Discussion focused on the importance of workplace gender equality and identified practical strategies for improvement across ASEAN.  The Forum was recognised in statements from both the ASEAN Economic Ministers Meeting and ASEAN-Australia-New Zealand Economic Ministers Meeting</w:t>
      </w:r>
      <w:r w:rsidR="00056CFA">
        <w:t xml:space="preserve"> – contributing to mainstreaming gender across ASEAN activities.</w:t>
      </w:r>
    </w:p>
    <w:p w:rsidR="00113617" w:rsidRPr="00EB4BDB" w:rsidRDefault="00056CFA" w:rsidP="00EB4BDB">
      <w:pPr>
        <w:spacing w:before="240" w:line="240" w:lineRule="auto"/>
      </w:pPr>
      <w:r>
        <w:t xml:space="preserve">Investing in Women also worked with larger private sector companies, including Ayala Land and Convergys, to gain EDGE Certification, the leading global assessment methodology and business certification standard for gender equality. </w:t>
      </w:r>
      <w:r w:rsidR="00E86364" w:rsidRPr="00724227">
        <w:t xml:space="preserve"> </w:t>
      </w:r>
    </w:p>
    <w:p w:rsidR="00EB4BDB" w:rsidRDefault="00EB4BDB" w:rsidP="00EB4BDB">
      <w:pPr>
        <w:pStyle w:val="ListBullet"/>
        <w:tabs>
          <w:tab w:val="clear" w:pos="284"/>
        </w:tabs>
        <w:spacing w:before="240" w:after="40" w:line="300" w:lineRule="exact"/>
        <w:rPr>
          <w:rFonts w:asciiTheme="majorHAnsi" w:eastAsiaTheme="majorEastAsia" w:hAnsiTheme="majorHAnsi" w:cstheme="majorBidi"/>
          <w:caps/>
          <w:color w:val="495965" w:themeColor="text2"/>
          <w:sz w:val="38"/>
          <w:szCs w:val="26"/>
          <w:lang w:val="en-GB" w:eastAsia="en-US"/>
        </w:rPr>
      </w:pPr>
    </w:p>
    <w:p w:rsidR="00EB4BDB" w:rsidRDefault="00EB4BDB" w:rsidP="00EB4BDB">
      <w:pPr>
        <w:pStyle w:val="ListBullet"/>
        <w:tabs>
          <w:tab w:val="clear" w:pos="284"/>
        </w:tabs>
        <w:spacing w:before="240" w:after="40" w:line="300" w:lineRule="exact"/>
        <w:rPr>
          <w:rFonts w:asciiTheme="majorHAnsi" w:eastAsiaTheme="majorEastAsia" w:hAnsiTheme="majorHAnsi" w:cstheme="majorBidi"/>
          <w:caps/>
          <w:color w:val="495965" w:themeColor="text2"/>
          <w:sz w:val="38"/>
          <w:szCs w:val="26"/>
          <w:lang w:val="en-GB" w:eastAsia="en-US"/>
        </w:rPr>
      </w:pPr>
    </w:p>
    <w:p w:rsidR="00FA468A" w:rsidRDefault="00FA468A" w:rsidP="00EB4BDB">
      <w:pPr>
        <w:pStyle w:val="ListBullet"/>
        <w:tabs>
          <w:tab w:val="clear" w:pos="284"/>
        </w:tabs>
        <w:spacing w:before="240" w:after="40" w:line="300" w:lineRule="exact"/>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color w:val="495965" w:themeColor="text2"/>
          <w:sz w:val="38"/>
          <w:szCs w:val="26"/>
          <w:lang w:val="en-GB" w:eastAsia="en-US"/>
        </w:rPr>
        <w:lastRenderedPageBreak/>
        <w:t>Objective 2:</w:t>
      </w:r>
      <w:r w:rsidRPr="007132DD">
        <w:rPr>
          <w:rFonts w:asciiTheme="majorHAnsi" w:eastAsiaTheme="majorEastAsia" w:hAnsiTheme="majorHAnsi" w:cstheme="majorBidi"/>
          <w:caps/>
          <w:sz w:val="38"/>
          <w:szCs w:val="26"/>
        </w:rPr>
        <w:t xml:space="preserve"> </w:t>
      </w:r>
      <w:r w:rsidRPr="00FA468A">
        <w:rPr>
          <w:rFonts w:asciiTheme="majorHAnsi" w:eastAsiaTheme="majorEastAsia" w:hAnsiTheme="majorHAnsi" w:cstheme="majorBidi"/>
          <w:caps/>
          <w:color w:val="495965" w:themeColor="text2"/>
          <w:sz w:val="38"/>
          <w:szCs w:val="26"/>
          <w:lang w:val="en-GB" w:eastAsia="en-US"/>
        </w:rPr>
        <w:t>Building stronger institutions for transparent and accountable governance</w:t>
      </w:r>
      <w:r>
        <w:rPr>
          <w:rFonts w:asciiTheme="majorHAnsi" w:eastAsiaTheme="majorEastAsia" w:hAnsiTheme="majorHAnsi" w:cstheme="majorBidi"/>
          <w:caps/>
          <w:color w:val="495965" w:themeColor="text2"/>
          <w:sz w:val="38"/>
          <w:szCs w:val="26"/>
          <w:lang w:val="en-GB" w:eastAsia="en-US"/>
        </w:rPr>
        <w:t xml:space="preserve"> </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1904"/>
        <w:gridCol w:w="1906"/>
        <w:gridCol w:w="1906"/>
        <w:gridCol w:w="1906"/>
      </w:tblGrid>
      <w:tr w:rsidR="00FA468A" w:rsidTr="00A7706C">
        <w:trPr>
          <w:trHeight w:val="567"/>
        </w:trPr>
        <w:tc>
          <w:tcPr>
            <w:tcW w:w="9780" w:type="dxa"/>
            <w:gridSpan w:val="5"/>
            <w:vAlign w:val="center"/>
          </w:tcPr>
          <w:p w:rsidR="00FA468A" w:rsidRDefault="00FA468A" w:rsidP="00A7706C">
            <w:pPr>
              <w:pStyle w:val="ListBullet"/>
              <w:tabs>
                <w:tab w:val="clear" w:pos="284"/>
              </w:tabs>
              <w:spacing w:before="100" w:beforeAutospacing="1" w:after="0" w:line="300" w:lineRule="exact"/>
              <w:rPr>
                <w:noProof/>
              </w:rPr>
            </w:pPr>
            <w:r w:rsidRPr="00D67AA5">
              <w:rPr>
                <w:rFonts w:asciiTheme="majorHAnsi" w:eastAsiaTheme="majorEastAsia" w:hAnsiTheme="majorHAnsi" w:cstheme="majorBidi"/>
                <w:caps/>
                <w:color w:val="495965" w:themeColor="text2"/>
                <w:sz w:val="38"/>
                <w:szCs w:val="26"/>
                <w:lang w:val="en-GB" w:eastAsia="en-US"/>
              </w:rPr>
              <w:t xml:space="preserve">Rating: </w:t>
            </w:r>
            <w:r>
              <w:rPr>
                <w:rFonts w:asciiTheme="majorHAnsi" w:eastAsiaTheme="majorEastAsia" w:hAnsiTheme="majorHAnsi" w:cstheme="majorBidi"/>
                <w:caps/>
                <w:color w:val="495965" w:themeColor="text2"/>
                <w:sz w:val="38"/>
                <w:szCs w:val="26"/>
                <w:lang w:val="en-GB" w:eastAsia="en-US"/>
              </w:rPr>
              <w:t>GREEN</w:t>
            </w:r>
          </w:p>
        </w:tc>
      </w:tr>
      <w:tr w:rsidR="00FA468A" w:rsidTr="004D5007">
        <w:trPr>
          <w:trHeight w:val="1300"/>
        </w:trPr>
        <w:tc>
          <w:tcPr>
            <w:tcW w:w="2158" w:type="dxa"/>
          </w:tcPr>
          <w:p w:rsidR="00FA468A" w:rsidRDefault="00FA468A" w:rsidP="000210D0">
            <w:pPr>
              <w:pStyle w:val="ListBullet"/>
              <w:tabs>
                <w:tab w:val="clear" w:pos="284"/>
              </w:tabs>
              <w:spacing w:before="80" w:after="80" w:line="240" w:lineRule="auto"/>
              <w:jc w:val="center"/>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noProof/>
                <w:color w:val="495965" w:themeColor="text2"/>
                <w:sz w:val="38"/>
                <w:szCs w:val="26"/>
              </w:rPr>
              <w:drawing>
                <wp:inline distT="0" distB="0" distL="0" distR="0" wp14:anchorId="7670D9FB" wp14:editId="62675F81">
                  <wp:extent cx="1137600" cy="720000"/>
                  <wp:effectExtent l="0" t="0" r="5715" b="444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04" w:type="dxa"/>
          </w:tcPr>
          <w:p w:rsidR="00FA468A" w:rsidRDefault="00FA468A" w:rsidP="000210D0">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sidRPr="00F75380">
              <w:rPr>
                <w:noProof/>
              </w:rPr>
              <w:drawing>
                <wp:inline distT="0" distB="0" distL="0" distR="0" wp14:anchorId="32C7B24E" wp14:editId="32101707">
                  <wp:extent cx="612000" cy="612000"/>
                  <wp:effectExtent l="0" t="0" r="0" b="0"/>
                  <wp:docPr id="6" name="Picture 6" descr="\\TITAN\CHCH\Desktop\scarpen2\Desktop\New folder (2)\SD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AN\CHCH\Desktop\scarpen2\Desktop\New folder (2)\SDG 1.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1906" w:type="dxa"/>
          </w:tcPr>
          <w:p w:rsidR="00FA468A" w:rsidRDefault="00FA468A" w:rsidP="000210D0">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2E504654" wp14:editId="58A6D5BD">
                  <wp:extent cx="612000" cy="612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rsidR="00FA468A" w:rsidRDefault="00FA468A" w:rsidP="000210D0">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1362899B" wp14:editId="4645BFE6">
                  <wp:extent cx="612000" cy="6120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rsidR="00FA468A" w:rsidRDefault="00FA468A" w:rsidP="000210D0">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7CDFA40E" wp14:editId="2AA5B48F">
                  <wp:extent cx="612000" cy="6120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r>
      <w:tr w:rsidR="00FA468A" w:rsidTr="004D5007">
        <w:trPr>
          <w:trHeight w:val="1300"/>
        </w:trPr>
        <w:tc>
          <w:tcPr>
            <w:tcW w:w="2158" w:type="dxa"/>
            <w:vAlign w:val="center"/>
          </w:tcPr>
          <w:p w:rsidR="00FA468A" w:rsidRDefault="00FA468A" w:rsidP="000210D0">
            <w:pPr>
              <w:pStyle w:val="ListBullet"/>
              <w:tabs>
                <w:tab w:val="clear" w:pos="284"/>
              </w:tabs>
              <w:spacing w:before="80" w:after="80" w:line="240" w:lineRule="auto"/>
              <w:jc w:val="center"/>
              <w:rPr>
                <w:rFonts w:asciiTheme="majorHAnsi" w:eastAsiaTheme="majorEastAsia" w:hAnsiTheme="majorHAnsi" w:cstheme="majorBidi"/>
                <w:caps/>
                <w:noProof/>
                <w:color w:val="495965" w:themeColor="text2"/>
                <w:sz w:val="38"/>
                <w:szCs w:val="26"/>
              </w:rPr>
            </w:pPr>
            <w:r w:rsidRPr="00A51694">
              <w:rPr>
                <w:noProof/>
              </w:rPr>
              <w:drawing>
                <wp:inline distT="0" distB="0" distL="0" distR="0" wp14:anchorId="320C9503" wp14:editId="27BD5D5F">
                  <wp:extent cx="685380" cy="633044"/>
                  <wp:effectExtent l="0" t="0" r="635" b="0"/>
                  <wp:docPr id="50" name="Picture 50" descr="C:\Users\fcruise\AppData\Local\Microsoft\Windows\INetCache\Content.Outlook\QHZZFRQQ\sdg-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cruise\AppData\Local\Microsoft\Windows\INetCache\Content.Outlook\QHZZFRQQ\sdg-09.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03023" cy="649340"/>
                          </a:xfrm>
                          <a:prstGeom prst="rect">
                            <a:avLst/>
                          </a:prstGeom>
                          <a:noFill/>
                          <a:ln>
                            <a:noFill/>
                          </a:ln>
                        </pic:spPr>
                      </pic:pic>
                    </a:graphicData>
                  </a:graphic>
                </wp:inline>
              </w:drawing>
            </w:r>
          </w:p>
        </w:tc>
        <w:tc>
          <w:tcPr>
            <w:tcW w:w="1904" w:type="dxa"/>
          </w:tcPr>
          <w:p w:rsidR="00FA468A" w:rsidRDefault="00FA468A" w:rsidP="000210D0">
            <w:pPr>
              <w:pStyle w:val="ListBullet"/>
              <w:tabs>
                <w:tab w:val="clear" w:pos="284"/>
              </w:tabs>
              <w:spacing w:before="160" w:after="80" w:line="240" w:lineRule="auto"/>
              <w:jc w:val="center"/>
              <w:rPr>
                <w:rFonts w:asciiTheme="majorHAnsi" w:eastAsiaTheme="majorEastAsia" w:hAnsiTheme="majorHAnsi" w:cstheme="majorBidi"/>
                <w:caps/>
                <w:noProof/>
                <w:color w:val="495965" w:themeColor="text2"/>
                <w:sz w:val="38"/>
                <w:szCs w:val="26"/>
              </w:rPr>
            </w:pPr>
            <w:r>
              <w:rPr>
                <w:noProof/>
              </w:rPr>
              <w:drawing>
                <wp:inline distT="0" distB="0" distL="0" distR="0" wp14:anchorId="26B3D1B7" wp14:editId="5B8128E7">
                  <wp:extent cx="612000" cy="6120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DG 11.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rsidR="00FA468A" w:rsidRDefault="00FA468A" w:rsidP="000210D0">
            <w:pPr>
              <w:pStyle w:val="ListBullet"/>
              <w:tabs>
                <w:tab w:val="clear" w:pos="284"/>
              </w:tabs>
              <w:spacing w:before="160" w:after="80" w:line="240" w:lineRule="auto"/>
              <w:jc w:val="center"/>
              <w:rPr>
                <w:noProof/>
              </w:rPr>
            </w:pPr>
            <w:r>
              <w:rPr>
                <w:noProof/>
              </w:rPr>
              <w:drawing>
                <wp:inline distT="0" distB="0" distL="0" distR="0" wp14:anchorId="050B1471" wp14:editId="151BE375">
                  <wp:extent cx="612000" cy="6120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 13.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rsidR="00FA468A" w:rsidRDefault="00FA468A" w:rsidP="000210D0">
            <w:pPr>
              <w:pStyle w:val="ListBullet"/>
              <w:tabs>
                <w:tab w:val="clear" w:pos="284"/>
              </w:tabs>
              <w:spacing w:before="160" w:after="80" w:line="240" w:lineRule="auto"/>
              <w:jc w:val="center"/>
              <w:rPr>
                <w:noProof/>
              </w:rPr>
            </w:pPr>
            <w:r>
              <w:rPr>
                <w:noProof/>
              </w:rPr>
              <w:drawing>
                <wp:inline distT="0" distB="0" distL="0" distR="0" wp14:anchorId="69F1C004" wp14:editId="7A604259">
                  <wp:extent cx="608400" cy="612000"/>
                  <wp:effectExtent l="0" t="0" r="127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 16.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08400" cy="612000"/>
                          </a:xfrm>
                          <a:prstGeom prst="rect">
                            <a:avLst/>
                          </a:prstGeom>
                        </pic:spPr>
                      </pic:pic>
                    </a:graphicData>
                  </a:graphic>
                </wp:inline>
              </w:drawing>
            </w:r>
          </w:p>
        </w:tc>
        <w:tc>
          <w:tcPr>
            <w:tcW w:w="1906" w:type="dxa"/>
          </w:tcPr>
          <w:p w:rsidR="00FA468A" w:rsidRDefault="00FA468A" w:rsidP="000210D0">
            <w:pPr>
              <w:pStyle w:val="ListBullet"/>
              <w:tabs>
                <w:tab w:val="clear" w:pos="284"/>
              </w:tabs>
              <w:spacing w:before="160" w:after="80" w:line="240" w:lineRule="auto"/>
              <w:jc w:val="center"/>
              <w:rPr>
                <w:noProof/>
              </w:rPr>
            </w:pPr>
            <w:r>
              <w:rPr>
                <w:noProof/>
              </w:rPr>
              <w:drawing>
                <wp:inline distT="0" distB="0" distL="0" distR="0" wp14:anchorId="59DE5BEC" wp14:editId="427955DC">
                  <wp:extent cx="612000" cy="6120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DF 17.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r>
    </w:tbl>
    <w:p w:rsidR="00FA468A" w:rsidRPr="00FA468A" w:rsidRDefault="00FA468A" w:rsidP="005B2A0A">
      <w:pPr>
        <w:spacing w:after="120" w:line="280" w:lineRule="exact"/>
      </w:pPr>
      <w:r w:rsidRPr="00FA468A">
        <w:t>This Objective is on track. Working to leverage cross-program collaboration in governance and institutions has ensured we contributed to shared national development goals including infrastructure, competition, and legislative and economic reform.</w:t>
      </w:r>
      <w:r w:rsidR="005B2A0A">
        <w:t xml:space="preserve"> </w:t>
      </w:r>
      <w:r w:rsidR="005B2A0A">
        <w:rPr>
          <w:lang w:val="en-US"/>
        </w:rPr>
        <w:t xml:space="preserve">Improving the quality of governance in the Philippines is fundamental to the country’s prosperity and stability.  In response to the challenge of weak institutions and corruption, we will continue </w:t>
      </w:r>
      <w:r w:rsidR="00E06619">
        <w:rPr>
          <w:lang w:val="en-US"/>
        </w:rPr>
        <w:t xml:space="preserve">to </w:t>
      </w:r>
      <w:r w:rsidR="005B2A0A">
        <w:rPr>
          <w:lang w:val="en-US"/>
        </w:rPr>
        <w:t>support a culture of accountability and transparency.</w:t>
      </w:r>
    </w:p>
    <w:p w:rsidR="0043260B" w:rsidRDefault="0043260B" w:rsidP="0043260B">
      <w:pPr>
        <w:spacing w:after="120" w:line="280" w:lineRule="exact"/>
      </w:pPr>
      <w:r>
        <w:t xml:space="preserve">The </w:t>
      </w:r>
      <w:r w:rsidRPr="003C084F">
        <w:rPr>
          <w:b/>
        </w:rPr>
        <w:t>Coalitions for Change Program (CfC)</w:t>
      </w:r>
      <w:r>
        <w:t xml:space="preserve"> supported multi-sectoral, formal and informal coalitions and networks to push for reforms and institutional strengthening in pursuit of transformational change. This program provided support for the signing into law of the 2017 Tax Reform for Acceleration and Inclusion (TRAIN) under the Duterte administration, one of the most significant structural reforms since the mid-1990s.  </w:t>
      </w:r>
      <w:r w:rsidR="00056CFA">
        <w:t>This tax reform is an important step to simplify taxation and to ensure that the Government of the Philippines will have the revenue it needs to invest in much</w:t>
      </w:r>
      <w:r w:rsidR="005D2B50">
        <w:t>-</w:t>
      </w:r>
      <w:r w:rsidR="00056CFA">
        <w:t xml:space="preserve">needed infrastructure and to provide services for the population. CfC </w:t>
      </w:r>
      <w:r w:rsidR="003E3FE5">
        <w:t xml:space="preserve">facilitated the involvement of civil society organisations in influencing the development of the law and successfully negotiated provisions that made the tax system fairer, simpler, and more efficient. </w:t>
      </w:r>
      <w:r>
        <w:t xml:space="preserve">These were achieved through the following: </w:t>
      </w:r>
      <w:r w:rsidR="005D2B50">
        <w:t>(</w:t>
      </w:r>
      <w:r>
        <w:t>1) adjustments in personal income tax to reduce the unfair burden on salarie</w:t>
      </w:r>
      <w:r w:rsidR="005D2B50">
        <w:t>d</w:t>
      </w:r>
      <w:r>
        <w:t xml:space="preserve"> employees and lower</w:t>
      </w:r>
      <w:r w:rsidR="005D2B50">
        <w:t>-</w:t>
      </w:r>
      <w:r>
        <w:t xml:space="preserve">income workers, </w:t>
      </w:r>
      <w:r w:rsidR="005D2B50">
        <w:t>(</w:t>
      </w:r>
      <w:r>
        <w:t xml:space="preserve">2) tax increases for goods consumed by wealthier Filipinos, such as cars and oil products, </w:t>
      </w:r>
      <w:r w:rsidR="005D2B50">
        <w:t>(</w:t>
      </w:r>
      <w:r>
        <w:t>3) reductions in the number of exemptions in the value-added tax system that fostered unnecessary complexity and opportunities for corruption.  In addition, the law generated additional revenue (estimated at</w:t>
      </w:r>
      <w:r w:rsidRPr="00C10CA4">
        <w:t xml:space="preserve"> </w:t>
      </w:r>
      <w:r>
        <w:t xml:space="preserve">Php786.4 billion or AUD19.6 billion) to finance the administration’s ambitious infrastructure, health, and social protection investments.  Our World Bank social protection investment and UTF also contributed to this result.  </w:t>
      </w:r>
    </w:p>
    <w:p w:rsidR="0043260B" w:rsidRDefault="0043260B" w:rsidP="0043260B">
      <w:pPr>
        <w:spacing w:after="120" w:line="280" w:lineRule="exact"/>
      </w:pPr>
      <w:r>
        <w:t xml:space="preserve">Another notable CfC achievement during the reporting period was addressing low levels of access to the internet, a significant constraint to growth in the Philippines. Almost 60 per cent of Filipinos still do not have access to the internet. Evidence shows that broadband contributes to economic growth by producing a series of effects similar to those generated by infrastructure deployment. </w:t>
      </w:r>
      <w:r w:rsidR="003E3FE5">
        <w:t>The program supported civil society organisations to influence the development of the Free Internet Access in Public Places Act in August 2017.  They promoted greater service</w:t>
      </w:r>
      <w:r w:rsidR="005D2B50">
        <w:t>-</w:t>
      </w:r>
      <w:r w:rsidR="003E3FE5">
        <w:t>provider competition and mechanisms to increase public access to broadband services.</w:t>
      </w:r>
      <w:r>
        <w:t xml:space="preserve"> </w:t>
      </w:r>
      <w:r w:rsidR="003E3FE5">
        <w:t xml:space="preserve">With the support of our Child Protection program, child safeguarding provisions were included in the Act to counter online abuse and exploitation of children. </w:t>
      </w:r>
      <w:r>
        <w:t xml:space="preserve">By March 2018 the first new connections were made in a remote area in the southern Philippines, connecting marginalised communities for the first time. </w:t>
      </w:r>
    </w:p>
    <w:p w:rsidR="005E619D" w:rsidRDefault="005E619D" w:rsidP="005E619D">
      <w:pPr>
        <w:spacing w:after="120" w:line="280" w:lineRule="exact"/>
      </w:pPr>
      <w:r>
        <w:t>In support of Australia’s longstanding commitment to advance the rights of children to protection from all forms of exploitation and abuse</w:t>
      </w:r>
      <w:r w:rsidR="001D59EB">
        <w:t>,</w:t>
      </w:r>
      <w:r>
        <w:t xml:space="preserve"> the </w:t>
      </w:r>
      <w:r w:rsidRPr="00D54DB5">
        <w:rPr>
          <w:b/>
        </w:rPr>
        <w:t>Philippines Child Protection program</w:t>
      </w:r>
      <w:r>
        <w:t xml:space="preserve"> facilitated close collaboration among key partners to develop stronger judicial and law enforcement institutions and social services to combat online exploitation and abuse of Filipino children. </w:t>
      </w:r>
      <w:r w:rsidR="0043260B">
        <w:t>Key program results for 2017-18 are</w:t>
      </w:r>
      <w:r w:rsidR="00C352D2">
        <w:t>:</w:t>
      </w:r>
    </w:p>
    <w:p w:rsidR="005E619D" w:rsidRDefault="005D2B50" w:rsidP="00730928">
      <w:pPr>
        <w:pStyle w:val="Bullet1"/>
        <w:ind w:left="426" w:hanging="426"/>
      </w:pPr>
      <w:r>
        <w:lastRenderedPageBreak/>
        <w:t>Improved</w:t>
      </w:r>
      <w:r w:rsidR="005E619D">
        <w:t xml:space="preserve"> capacity of Philippine law enforcement </w:t>
      </w:r>
      <w:r w:rsidR="0043260B">
        <w:t xml:space="preserve">agencies </w:t>
      </w:r>
      <w:r w:rsidR="005E619D">
        <w:t>to run effective operations in preventing and detecting incidents of child abuse and exploitation</w:t>
      </w:r>
      <w:r w:rsidR="0043260B">
        <w:t xml:space="preserve"> through our partnership with the Australian Federal Police (AFP)</w:t>
      </w:r>
      <w:r w:rsidR="005E619D">
        <w:t xml:space="preserve">; </w:t>
      </w:r>
    </w:p>
    <w:p w:rsidR="00C10CA4" w:rsidRDefault="00EB4BDB" w:rsidP="002C361D">
      <w:pPr>
        <w:pStyle w:val="Bullet1"/>
        <w:ind w:left="426" w:hanging="426"/>
      </w:pPr>
      <w:r>
        <w:t>P</w:t>
      </w:r>
      <w:r w:rsidR="002C361D">
        <w:t>rovi</w:t>
      </w:r>
      <w:r w:rsidR="005D2B50">
        <w:t>sion of</w:t>
      </w:r>
      <w:r w:rsidR="002C361D">
        <w:t xml:space="preserve"> critical audio-video equipment </w:t>
      </w:r>
      <w:r w:rsidR="00C10CA4">
        <w:t>to two child protection units in government-run hosp</w:t>
      </w:r>
      <w:r w:rsidR="0016653F">
        <w:t xml:space="preserve">itals and two family courts </w:t>
      </w:r>
      <w:r w:rsidR="00C10CA4">
        <w:t>through the Asia Foundation (Philippines), with support from QBE Insurance Group.</w:t>
      </w:r>
      <w:r w:rsidR="00C10CA4" w:rsidRPr="00C10CA4">
        <w:t xml:space="preserve"> </w:t>
      </w:r>
      <w:r w:rsidR="00C10CA4">
        <w:t>This aims to reduce the number of child abuse survivors who have to testify in court, thereb</w:t>
      </w:r>
      <w:r w:rsidR="00DB3DEA">
        <w:t xml:space="preserve">y preventing further trauma; </w:t>
      </w:r>
    </w:p>
    <w:p w:rsidR="002C361D" w:rsidRDefault="00EB4BDB" w:rsidP="002C361D">
      <w:pPr>
        <w:pStyle w:val="Bullet1"/>
        <w:ind w:left="426" w:hanging="426"/>
      </w:pPr>
      <w:r>
        <w:t>T</w:t>
      </w:r>
      <w:r w:rsidR="00DB3DEA">
        <w:t>rain</w:t>
      </w:r>
      <w:r w:rsidR="005D2B50">
        <w:t>ing of</w:t>
      </w:r>
      <w:r w:rsidR="00DB3DEA">
        <w:t xml:space="preserve"> </w:t>
      </w:r>
      <w:r w:rsidR="0016653F">
        <w:t xml:space="preserve">152 judges, prosecutors, social workers and law enforcers on better management of </w:t>
      </w:r>
      <w:r w:rsidR="00CA3444">
        <w:t>online child abuse cases through the Philippines Judicial Academy and The Asia Foundation;</w:t>
      </w:r>
    </w:p>
    <w:p w:rsidR="005E619D" w:rsidDel="0043260B" w:rsidRDefault="00EB4BDB" w:rsidP="00730928">
      <w:pPr>
        <w:pStyle w:val="Bullet1"/>
        <w:ind w:left="426" w:hanging="426"/>
      </w:pPr>
      <w:r>
        <w:t>S</w:t>
      </w:r>
      <w:r w:rsidR="00CA3444">
        <w:t>upport</w:t>
      </w:r>
      <w:r w:rsidR="005D2B50">
        <w:t xml:space="preserve"> to</w:t>
      </w:r>
      <w:r w:rsidR="00CA3444">
        <w:t xml:space="preserve"> </w:t>
      </w:r>
      <w:r w:rsidR="00C352D2">
        <w:t xml:space="preserve">UNICEF’s first </w:t>
      </w:r>
      <w:r w:rsidR="002C361D">
        <w:t xml:space="preserve">National Kids Online Survey </w:t>
      </w:r>
      <w:r w:rsidR="00C352D2">
        <w:t>and rais</w:t>
      </w:r>
      <w:r w:rsidR="005D2B50">
        <w:t>ing</w:t>
      </w:r>
      <w:r w:rsidR="00C352D2">
        <w:t xml:space="preserve"> awareness on the safe use of the internet with support from </w:t>
      </w:r>
      <w:r w:rsidR="00E77EB2" w:rsidDel="0043260B">
        <w:t>t</w:t>
      </w:r>
      <w:r w:rsidR="005E619D" w:rsidDel="0043260B">
        <w:t>he private sector, including Telstra and Oceana</w:t>
      </w:r>
      <w:r w:rsidR="00E77EB2" w:rsidDel="0043260B">
        <w:t xml:space="preserve"> </w:t>
      </w:r>
      <w:r w:rsidR="005E619D" w:rsidDel="0043260B">
        <w:t>Gold</w:t>
      </w:r>
      <w:r w:rsidR="00C90034">
        <w:t>.</w:t>
      </w:r>
    </w:p>
    <w:p w:rsidR="00FA468A" w:rsidRPr="00FA468A" w:rsidRDefault="007E6F34" w:rsidP="00730928">
      <w:r w:rsidRPr="00580816">
        <w:t>In recognition of our commitment as a member of the Human Rights Council (HRC) from 2018</w:t>
      </w:r>
      <w:r w:rsidR="001D59EB">
        <w:t>, and</w:t>
      </w:r>
      <w:r w:rsidR="005D2B50">
        <w:t xml:space="preserve"> assist with</w:t>
      </w:r>
      <w:r w:rsidRPr="00580816">
        <w:t xml:space="preserve"> our objectives set out in the Foreign Policy White Paper, </w:t>
      </w:r>
      <w:r w:rsidR="001D59EB">
        <w:t xml:space="preserve">we made </w:t>
      </w:r>
      <w:r w:rsidRPr="00580816">
        <w:t>investments in 2017-18 to support human rights and judicial reform. These investments support the national human rights institution, freedom of expression, and the Philippines’ continued constructive engagement with the UN human rights system. We also supported the digitisation of cases handled by the national anti-graft court to help promote transparency and accountability. We will report on the progress of these investments in the coming years.</w:t>
      </w:r>
      <w:r w:rsidR="00FA468A" w:rsidRPr="00FA468A">
        <w:t xml:space="preserve"> </w:t>
      </w:r>
    </w:p>
    <w:p w:rsidR="00FA468A" w:rsidRPr="00730928" w:rsidRDefault="00FA468A" w:rsidP="00730928">
      <w:r w:rsidRPr="00730928">
        <w:t xml:space="preserve">The new </w:t>
      </w:r>
      <w:r w:rsidRPr="00730928">
        <w:rPr>
          <w:b/>
        </w:rPr>
        <w:t>Australia Awards and Alumni Engagement Program</w:t>
      </w:r>
      <w:r w:rsidR="00AF49BC">
        <w:rPr>
          <w:b/>
        </w:rPr>
        <w:t xml:space="preserve"> (AAAEP)</w:t>
      </w:r>
      <w:r w:rsidRPr="00730928">
        <w:t xml:space="preserve"> mobilised during the reporting period. This program has been set up to </w:t>
      </w:r>
      <w:r w:rsidR="00FB1131">
        <w:t>support the achievement of the objectives of the</w:t>
      </w:r>
      <w:r w:rsidR="002348CC">
        <w:t xml:space="preserve"> </w:t>
      </w:r>
      <w:r w:rsidRPr="00730928">
        <w:t xml:space="preserve">Philippines Program </w:t>
      </w:r>
      <w:r w:rsidR="00FB1131">
        <w:t xml:space="preserve">through the </w:t>
      </w:r>
      <w:r w:rsidRPr="00730928">
        <w:t>mobilis</w:t>
      </w:r>
      <w:r w:rsidR="00FB1131">
        <w:t>ation of</w:t>
      </w:r>
      <w:r w:rsidRPr="00730928">
        <w:t xml:space="preserve"> scholarships, short courses</w:t>
      </w:r>
      <w:r w:rsidR="00FB1131">
        <w:t xml:space="preserve">, </w:t>
      </w:r>
      <w:r w:rsidR="002348CC">
        <w:t xml:space="preserve">and </w:t>
      </w:r>
      <w:r w:rsidR="00FB1131">
        <w:t>capability building</w:t>
      </w:r>
      <w:r w:rsidRPr="00730928">
        <w:t xml:space="preserve"> and alumni activities</w:t>
      </w:r>
      <w:r w:rsidR="00FB1131">
        <w:t>. The Program</w:t>
      </w:r>
      <w:r w:rsidRPr="00730928">
        <w:t xml:space="preserve"> maximise</w:t>
      </w:r>
      <w:r w:rsidR="00FB1131">
        <w:t>s</w:t>
      </w:r>
      <w:r w:rsidRPr="00730928">
        <w:t xml:space="preserve"> our opportunities for influence</w:t>
      </w:r>
      <w:r w:rsidR="00046C80">
        <w:t xml:space="preserve"> by</w:t>
      </w:r>
      <w:r w:rsidRPr="00730928">
        <w:t xml:space="preserve"> support</w:t>
      </w:r>
      <w:r w:rsidR="00046C80">
        <w:t>ing</w:t>
      </w:r>
      <w:r w:rsidRPr="00730928">
        <w:t xml:space="preserve"> cross</w:t>
      </w:r>
      <w:r w:rsidR="00E77EB2">
        <w:t>-</w:t>
      </w:r>
      <w:r w:rsidRPr="00730928">
        <w:t>program collaboration. Although it is early in program implementation, in response to a major priority for Australia</w:t>
      </w:r>
      <w:r w:rsidR="00E77EB2">
        <w:t xml:space="preserve"> and the Philippines,</w:t>
      </w:r>
      <w:r w:rsidRPr="00730928">
        <w:t xml:space="preserve"> the program rapidly designed and c</w:t>
      </w:r>
      <w:r w:rsidR="00DF3D0E" w:rsidRPr="00730928">
        <w:t>onducted a short course on the Law of the S</w:t>
      </w:r>
      <w:r w:rsidRPr="00730928">
        <w:t xml:space="preserve">ea. This was attended by senior representatives of the </w:t>
      </w:r>
      <w:r w:rsidR="00E77EB2">
        <w:t>Philippine G</w:t>
      </w:r>
      <w:r w:rsidR="008D6EEC" w:rsidRPr="00730928">
        <w:t>overnment</w:t>
      </w:r>
      <w:r w:rsidR="00E77EB2">
        <w:t>.</w:t>
      </w:r>
      <w:r w:rsidRPr="00730928">
        <w:t xml:space="preserve"> </w:t>
      </w:r>
    </w:p>
    <w:p w:rsidR="00FA468A" w:rsidRPr="00730928" w:rsidRDefault="00FA468A" w:rsidP="00730928">
      <w:r w:rsidRPr="00730928">
        <w:t xml:space="preserve">The </w:t>
      </w:r>
      <w:r w:rsidRPr="00730928">
        <w:rPr>
          <w:b/>
        </w:rPr>
        <w:t>Public Financial Management Program for Infrastructure</w:t>
      </w:r>
      <w:r w:rsidR="00DF3D0E" w:rsidRPr="00730928">
        <w:rPr>
          <w:b/>
        </w:rPr>
        <w:t xml:space="preserve"> (PFM-</w:t>
      </w:r>
      <w:r w:rsidR="00BB549F" w:rsidRPr="00730928">
        <w:rPr>
          <w:b/>
        </w:rPr>
        <w:t>I</w:t>
      </w:r>
      <w:r w:rsidRPr="00730928">
        <w:rPr>
          <w:b/>
        </w:rPr>
        <w:t>)</w:t>
      </w:r>
      <w:r w:rsidRPr="00730928">
        <w:t xml:space="preserve"> is assisting the </w:t>
      </w:r>
      <w:r w:rsidR="00C6247A">
        <w:t xml:space="preserve">Philippine </w:t>
      </w:r>
      <w:r w:rsidR="00DF3D0E" w:rsidRPr="00730928">
        <w:t>D</w:t>
      </w:r>
      <w:r w:rsidR="00E77EB2">
        <w:t xml:space="preserve">epartment of </w:t>
      </w:r>
      <w:r w:rsidR="00DF3D0E" w:rsidRPr="00730928">
        <w:t>B</w:t>
      </w:r>
      <w:r w:rsidR="00E77EB2">
        <w:t xml:space="preserve">udget and </w:t>
      </w:r>
      <w:r w:rsidR="00DF3D0E" w:rsidRPr="00730928">
        <w:t>M</w:t>
      </w:r>
      <w:r w:rsidR="00E77EB2">
        <w:t>anagement</w:t>
      </w:r>
      <w:r w:rsidR="00C6247A">
        <w:t xml:space="preserve"> (DBM)</w:t>
      </w:r>
      <w:r w:rsidRPr="00730928">
        <w:t xml:space="preserve"> to introduce a major reform – adopting an annual cash-based appropriation system</w:t>
      </w:r>
      <w:r w:rsidR="00043D12">
        <w:t xml:space="preserve"> –</w:t>
      </w:r>
      <w:r w:rsidRPr="00730928">
        <w:t xml:space="preserve"> starting with the calendar year 2019 national budget.</w:t>
      </w:r>
      <w:r w:rsidR="00043D12">
        <w:t xml:space="preserve"> The shift </w:t>
      </w:r>
      <w:r w:rsidR="00043D12" w:rsidRPr="00043D12">
        <w:t xml:space="preserve">from </w:t>
      </w:r>
      <w:r w:rsidR="00043D12">
        <w:t xml:space="preserve">a </w:t>
      </w:r>
      <w:r w:rsidR="00043D12" w:rsidRPr="00043D12">
        <w:t>two-year obligation budget appropriation to one-year cash budget appropriation</w:t>
      </w:r>
      <w:r w:rsidR="00043D12">
        <w:t xml:space="preserve"> will strengthen</w:t>
      </w:r>
      <w:r w:rsidR="00043D12" w:rsidRPr="00043D12">
        <w:t xml:space="preserve"> </w:t>
      </w:r>
      <w:r w:rsidR="00043D12">
        <w:t>fiscal discipline and reinforce</w:t>
      </w:r>
      <w:r w:rsidR="00043D12" w:rsidRPr="00043D12">
        <w:t xml:space="preserve"> the budget intent to deliver services within the fiscal year</w:t>
      </w:r>
      <w:r w:rsidR="00043D12">
        <w:t>.</w:t>
      </w:r>
      <w:r w:rsidRPr="00730928">
        <w:t xml:space="preserve"> The one-year transition program is also supporting the </w:t>
      </w:r>
      <w:r w:rsidR="00C6247A">
        <w:t xml:space="preserve">Philippine </w:t>
      </w:r>
      <w:r w:rsidRPr="00730928">
        <w:t>Department of Transportation</w:t>
      </w:r>
      <w:r w:rsidR="00DF3D0E" w:rsidRPr="00730928">
        <w:t xml:space="preserve"> (D</w:t>
      </w:r>
      <w:r w:rsidR="00A3090E" w:rsidRPr="00730928">
        <w:t>O</w:t>
      </w:r>
      <w:r w:rsidR="00DF3D0E" w:rsidRPr="00730928">
        <w:t>Tr)</w:t>
      </w:r>
      <w:r w:rsidRPr="00730928">
        <w:t xml:space="preserve"> to improve its procurement and right-of-way acquisition systems, which is required in order to fast-track implementation of its infrastructure projects. Australia is working closely with the </w:t>
      </w:r>
      <w:r w:rsidR="008D6EEC" w:rsidRPr="00730928">
        <w:t xml:space="preserve">Philippine </w:t>
      </w:r>
      <w:r w:rsidR="00BF760D">
        <w:t>G</w:t>
      </w:r>
      <w:r w:rsidR="008D6EEC" w:rsidRPr="00730928">
        <w:t>overnment</w:t>
      </w:r>
      <w:r w:rsidRPr="00730928">
        <w:t xml:space="preserve"> to mobilise the new Public Financial Management Program for Institut</w:t>
      </w:r>
      <w:r w:rsidR="00DF3D0E" w:rsidRPr="00730928">
        <w:t>ions and Infrastructure (PFMP-</w:t>
      </w:r>
      <w:r w:rsidR="00A3090E" w:rsidRPr="00730928">
        <w:t>II</w:t>
      </w:r>
      <w:r w:rsidRPr="00730928">
        <w:t>) in 2018-19.</w:t>
      </w:r>
      <w:r w:rsidR="00BF760D">
        <w:t xml:space="preserve"> </w:t>
      </w:r>
    </w:p>
    <w:p w:rsidR="00113617" w:rsidRDefault="00FA468A" w:rsidP="00FC24D4">
      <w:r w:rsidRPr="00730928">
        <w:t>Australia has been a strong supporter of the Philip</w:t>
      </w:r>
      <w:r w:rsidR="00BF760D">
        <w:t>pine Competition Commission (PCC</w:t>
      </w:r>
      <w:r w:rsidR="00AF49BC">
        <w:t>)</w:t>
      </w:r>
      <w:r w:rsidR="00AA691C">
        <w:t xml:space="preserve"> through its establishment and consolidation. Australia’s </w:t>
      </w:r>
      <w:r w:rsidR="000273B8">
        <w:t>deep</w:t>
      </w:r>
      <w:r w:rsidR="00AA691C">
        <w:t xml:space="preserve"> links are a result of </w:t>
      </w:r>
      <w:r w:rsidR="00AA691C" w:rsidRPr="008D6EEC">
        <w:t>support provided through ASEAN Australia New Zealand Free Trade Agreement Competition La</w:t>
      </w:r>
      <w:r w:rsidR="00AA691C">
        <w:t>w Implementation Program (CLIP)</w:t>
      </w:r>
      <w:r w:rsidR="00AA691C" w:rsidRPr="008D6EEC">
        <w:t xml:space="preserve"> </w:t>
      </w:r>
      <w:r w:rsidR="00AA691C">
        <w:t xml:space="preserve">by </w:t>
      </w:r>
      <w:r w:rsidR="00AA691C" w:rsidRPr="008D6EEC">
        <w:t>the Australian Competition and Consumer Commission (ACCC) and our bilateral aid program (through the World Bank</w:t>
      </w:r>
      <w:r w:rsidR="00AA691C">
        <w:t xml:space="preserve"> and Australia Awards</w:t>
      </w:r>
      <w:r w:rsidR="00AA691C" w:rsidRPr="008D6EEC">
        <w:t xml:space="preserve">). Our cooperation is targeted and has </w:t>
      </w:r>
      <w:r w:rsidR="00AA691C">
        <w:t>enabled</w:t>
      </w:r>
      <w:r w:rsidR="00AA691C" w:rsidRPr="008D6EEC">
        <w:t xml:space="preserve"> real improvements to capacity</w:t>
      </w:r>
      <w:r w:rsidR="002B0ED5">
        <w:t>,</w:t>
      </w:r>
      <w:r w:rsidR="00AA691C" w:rsidRPr="008D6EEC">
        <w:t xml:space="preserve"> which has been demonstrated through direct feedback from the Chair of the PCC, the nearly complete development of all policies and procedures, and from the increasing number of cases on which the PCC works. </w:t>
      </w:r>
      <w:r w:rsidRPr="00730928">
        <w:t>Our PCC cooperation is a good example</w:t>
      </w:r>
      <w:r w:rsidR="008D6EEC" w:rsidRPr="00730928">
        <w:t xml:space="preserve"> of how Australian development assistance</w:t>
      </w:r>
      <w:r w:rsidRPr="00730928">
        <w:t xml:space="preserve"> has enhanced our influence in </w:t>
      </w:r>
      <w:r w:rsidR="00BF760D">
        <w:t xml:space="preserve">the </w:t>
      </w:r>
      <w:r w:rsidRPr="00730928">
        <w:t xml:space="preserve">competition </w:t>
      </w:r>
      <w:r w:rsidR="00BF760D">
        <w:t xml:space="preserve">arena </w:t>
      </w:r>
      <w:r w:rsidRPr="00730928">
        <w:t>in the Philippines</w:t>
      </w:r>
      <w:r w:rsidR="00AA691C" w:rsidRPr="008D6EEC">
        <w:t>.</w:t>
      </w:r>
      <w:r w:rsidR="00AA691C">
        <w:t xml:space="preserve"> Next year the CLIP program will continue ASEAN wide activities including e-learning, tools to support the judiciary, secondments and regional training, but it will shift its bilateral focus to Vietnam, Indonesia and Malaysia. </w:t>
      </w:r>
      <w:r w:rsidR="00FB1131">
        <w:t xml:space="preserve">The PCC will also receive capability building support under the </w:t>
      </w:r>
      <w:r w:rsidR="00C6247A">
        <w:t>AAAEP</w:t>
      </w:r>
      <w:r w:rsidR="00FB1131">
        <w:t xml:space="preserve"> in areas that are jointly priorities for Australia and the Philippines</w:t>
      </w:r>
      <w:r w:rsidR="00AA691C">
        <w:t>.</w:t>
      </w:r>
    </w:p>
    <w:p w:rsidR="00EB4BDB" w:rsidRDefault="00EB4BDB" w:rsidP="00A7706C">
      <w:pPr>
        <w:spacing w:before="0" w:after="0"/>
        <w:rPr>
          <w:rFonts w:asciiTheme="majorHAnsi" w:eastAsiaTheme="majorEastAsia" w:hAnsiTheme="majorHAnsi" w:cstheme="majorBidi"/>
          <w:caps/>
          <w:sz w:val="38"/>
          <w:szCs w:val="26"/>
        </w:rPr>
      </w:pPr>
    </w:p>
    <w:p w:rsidR="00FA468A" w:rsidRDefault="00FA468A" w:rsidP="00A7706C">
      <w:pPr>
        <w:spacing w:before="0" w:after="0"/>
        <w:rPr>
          <w:rFonts w:asciiTheme="majorHAnsi" w:eastAsiaTheme="majorEastAsia" w:hAnsiTheme="majorHAnsi" w:cstheme="majorBidi"/>
          <w:caps/>
          <w:sz w:val="38"/>
          <w:szCs w:val="26"/>
        </w:rPr>
      </w:pPr>
      <w:r w:rsidRPr="000C25E6">
        <w:rPr>
          <w:rFonts w:asciiTheme="majorHAnsi" w:eastAsiaTheme="majorEastAsia" w:hAnsiTheme="majorHAnsi" w:cstheme="majorBidi"/>
          <w:caps/>
          <w:sz w:val="38"/>
          <w:szCs w:val="26"/>
        </w:rPr>
        <w:lastRenderedPageBreak/>
        <w:t>Objective 3: Improving conditions for peace and stability</w:t>
      </w:r>
    </w:p>
    <w:p w:rsidR="000413F8" w:rsidRPr="000C25E6" w:rsidRDefault="000413F8" w:rsidP="00A7706C">
      <w:pPr>
        <w:spacing w:before="0" w:after="0"/>
        <w:rPr>
          <w:rFonts w:asciiTheme="majorHAnsi" w:eastAsiaTheme="majorEastAsia" w:hAnsiTheme="majorHAnsi" w:cstheme="majorBidi"/>
          <w:caps/>
          <w:sz w:val="38"/>
          <w:szCs w:val="26"/>
        </w:rPr>
      </w:pPr>
      <w:r w:rsidRPr="00D67AA5">
        <w:rPr>
          <w:rFonts w:asciiTheme="majorHAnsi" w:eastAsiaTheme="majorEastAsia" w:hAnsiTheme="majorHAnsi" w:cstheme="majorBidi"/>
          <w:caps/>
          <w:sz w:val="38"/>
          <w:szCs w:val="26"/>
        </w:rPr>
        <w:t xml:space="preserve">Rating: </w:t>
      </w:r>
      <w:r>
        <w:rPr>
          <w:rFonts w:asciiTheme="majorHAnsi" w:eastAsiaTheme="majorEastAsia" w:hAnsiTheme="majorHAnsi" w:cstheme="majorBidi"/>
          <w:caps/>
          <w:sz w:val="38"/>
          <w:szCs w:val="26"/>
        </w:rPr>
        <w:t>GREEN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855"/>
        <w:gridCol w:w="1857"/>
        <w:gridCol w:w="1857"/>
        <w:gridCol w:w="1836"/>
      </w:tblGrid>
      <w:tr w:rsidR="00FA468A" w:rsidTr="000210D0">
        <w:trPr>
          <w:trHeight w:val="1156"/>
        </w:trPr>
        <w:tc>
          <w:tcPr>
            <w:tcW w:w="2016" w:type="dxa"/>
          </w:tcPr>
          <w:p w:rsidR="00FA468A" w:rsidRDefault="00FA468A" w:rsidP="000210D0">
            <w:pPr>
              <w:pStyle w:val="ListBullet"/>
              <w:tabs>
                <w:tab w:val="clear" w:pos="284"/>
              </w:tabs>
              <w:spacing w:before="80" w:after="80" w:line="240" w:lineRule="auto"/>
              <w:jc w:val="center"/>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noProof/>
                <w:color w:val="495965" w:themeColor="text2"/>
                <w:sz w:val="38"/>
                <w:szCs w:val="26"/>
              </w:rPr>
              <w:drawing>
                <wp:inline distT="0" distB="0" distL="0" distR="0" wp14:anchorId="43DFACB1" wp14:editId="76F0DEFC">
                  <wp:extent cx="1137600" cy="720000"/>
                  <wp:effectExtent l="0" t="0" r="5715" b="444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855" w:type="dxa"/>
          </w:tcPr>
          <w:p w:rsidR="00FA468A" w:rsidRDefault="00FA468A" w:rsidP="000210D0">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11A75DD7" wp14:editId="5CC7B0FC">
                  <wp:extent cx="612000" cy="6120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857" w:type="dxa"/>
          </w:tcPr>
          <w:p w:rsidR="00FA468A" w:rsidRDefault="00FA468A" w:rsidP="000210D0">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73DD9001" wp14:editId="15EA7C1D">
                  <wp:extent cx="612000" cy="6120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857" w:type="dxa"/>
          </w:tcPr>
          <w:p w:rsidR="00FA468A" w:rsidRDefault="00FA468A" w:rsidP="000210D0">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5FA820DA" wp14:editId="50012D80">
                  <wp:extent cx="608400" cy="612000"/>
                  <wp:effectExtent l="0" t="0" r="127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 16.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08400" cy="612000"/>
                          </a:xfrm>
                          <a:prstGeom prst="rect">
                            <a:avLst/>
                          </a:prstGeom>
                        </pic:spPr>
                      </pic:pic>
                    </a:graphicData>
                  </a:graphic>
                </wp:inline>
              </w:drawing>
            </w:r>
          </w:p>
        </w:tc>
        <w:tc>
          <w:tcPr>
            <w:tcW w:w="1836" w:type="dxa"/>
          </w:tcPr>
          <w:p w:rsidR="00FA468A" w:rsidRDefault="00FA468A" w:rsidP="000210D0">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p>
        </w:tc>
      </w:tr>
    </w:tbl>
    <w:p w:rsidR="00FA468A" w:rsidRPr="008D6EEC" w:rsidRDefault="00FA468A" w:rsidP="00FA468A">
      <w:r w:rsidRPr="008D6EEC">
        <w:t xml:space="preserve">This Objective is rated Green. While </w:t>
      </w:r>
      <w:r w:rsidR="003D406C">
        <w:t xml:space="preserve">there were delays </w:t>
      </w:r>
      <w:r w:rsidR="008D6EEC" w:rsidRPr="008D6EEC">
        <w:t xml:space="preserve">last year as the Philippine </w:t>
      </w:r>
      <w:r w:rsidR="00BF760D">
        <w:t>G</w:t>
      </w:r>
      <w:r w:rsidR="008D6EEC" w:rsidRPr="008D6EEC">
        <w:t>overnment</w:t>
      </w:r>
      <w:r w:rsidRPr="008D6EEC">
        <w:t xml:space="preserve"> transitioned between administrations, this year has seen an improvement in </w:t>
      </w:r>
      <w:r w:rsidR="00BF760D">
        <w:t xml:space="preserve">implementation. </w:t>
      </w:r>
      <w:r w:rsidRPr="008D6EEC">
        <w:t>Our work</w:t>
      </w:r>
      <w:r w:rsidR="0084000F">
        <w:t xml:space="preserve"> under</w:t>
      </w:r>
      <w:r w:rsidRPr="008D6EEC">
        <w:t xml:space="preserve"> this Objective is aligned with our broader security interests in the southern Philippines. We support local communities and leaders, leveraging the expertise and experience of international partners to identify the drivers of violent extremism and to strengthen communities’ resilience to resist the influence of extremist groups.</w:t>
      </w:r>
    </w:p>
    <w:p w:rsidR="00FA468A" w:rsidRPr="008D6EEC" w:rsidRDefault="00751CE6" w:rsidP="00FA468A">
      <w:r w:rsidRPr="00751CE6">
        <w:t>Australia’s $24.02 million commitment in response to the Marawi crisis is in line with our strategic policy objectives for supporting peace in the southern Philippines</w:t>
      </w:r>
      <w:r w:rsidR="00020200">
        <w:t xml:space="preserve"> and is delivered </w:t>
      </w:r>
      <w:r w:rsidR="00020200" w:rsidRPr="004B36B5">
        <w:t>in co</w:t>
      </w:r>
      <w:r w:rsidR="001D59EB">
        <w:t>ordination with the Philippine G</w:t>
      </w:r>
      <w:r w:rsidR="00020200" w:rsidRPr="004B36B5">
        <w:t xml:space="preserve">overnment’s Taskforce </w:t>
      </w:r>
      <w:r w:rsidR="00020200" w:rsidRPr="004B36B5">
        <w:rPr>
          <w:i/>
        </w:rPr>
        <w:t>Bangon Marawi</w:t>
      </w:r>
      <w:r w:rsidR="00020200" w:rsidRPr="004B36B5">
        <w:t>, the World Bank, and other multilateral and NGO partners.</w:t>
      </w:r>
      <w:r w:rsidRPr="00751CE6">
        <w:t xml:space="preserve"> Our response is supporting both the humanitarian and the recovery needs of people directly affected by the crisis, as well as bolstering our long-term investments in peace and stability.</w:t>
      </w:r>
      <w:r w:rsidR="00020200">
        <w:t xml:space="preserve"> </w:t>
      </w:r>
      <w:r w:rsidR="00020200" w:rsidRPr="004B36B5">
        <w:t>A critical part of our response include</w:t>
      </w:r>
      <w:r w:rsidR="00020200">
        <w:t>d</w:t>
      </w:r>
      <w:r w:rsidR="00020200" w:rsidRPr="004B36B5">
        <w:t xml:space="preserve"> support for the Taskforce to conduct consultation processes with stakeholders on the reconstruction plan for the ‘most affected area’.</w:t>
      </w:r>
    </w:p>
    <w:p w:rsidR="00751CE6" w:rsidRDefault="00751CE6" w:rsidP="00751CE6">
      <w:r>
        <w:t>From June 2017, Australia provided immediate humanitarian assistance through our existing arrangements with th</w:t>
      </w:r>
      <w:r w:rsidR="00E61962">
        <w:t>e</w:t>
      </w:r>
      <w:r w:rsidR="00FC24D4">
        <w:t xml:space="preserve"> </w:t>
      </w:r>
      <w:r>
        <w:t xml:space="preserve">PRC, the WFP and </w:t>
      </w:r>
      <w:r w:rsidR="00E61962">
        <w:t>UNFPA.</w:t>
      </w:r>
      <w:r>
        <w:t xml:space="preserve"> Additional funding was provided to the International Committee of the Red Cross (ICRC) and United Nations High Commissioner for Refugees (UNHCR) for protection of affected populations. A critical objective of our funding to the UNHCR in Marawi City is to ensure the rights of displaced populations and their access to registration and documentation processes to improve access to </w:t>
      </w:r>
      <w:r w:rsidR="00E61962">
        <w:t>gove</w:t>
      </w:r>
      <w:r w:rsidR="008C1C33">
        <w:t xml:space="preserve">rnment </w:t>
      </w:r>
      <w:r w:rsidR="00E61962">
        <w:t>service</w:t>
      </w:r>
      <w:r w:rsidR="008C1C33">
        <w:t>s</w:t>
      </w:r>
      <w:r w:rsidR="00E61962">
        <w:t xml:space="preserve"> and </w:t>
      </w:r>
      <w:r>
        <w:t>assistance.</w:t>
      </w:r>
      <w:r w:rsidR="00020200">
        <w:t xml:space="preserve">  Australia’s humanitarian assistance for Marawi in 2017-18 included the following:</w:t>
      </w:r>
    </w:p>
    <w:p w:rsidR="00020200" w:rsidRDefault="00020200" w:rsidP="00020200">
      <w:pPr>
        <w:pStyle w:val="Bullet1"/>
        <w:ind w:left="426" w:hanging="426"/>
      </w:pPr>
      <w:r>
        <w:t xml:space="preserve">Food assistance targeting 18,000 people for general rice distribution and up to 50,000 children with school meals; </w:t>
      </w:r>
    </w:p>
    <w:p w:rsidR="00020200" w:rsidRDefault="00020200" w:rsidP="00020200">
      <w:pPr>
        <w:pStyle w:val="Bullet1"/>
        <w:ind w:left="426" w:hanging="426"/>
      </w:pPr>
      <w:r>
        <w:t xml:space="preserve">More than 17,000 women and girls and 6,700 men and boys benefited from dignity and reproductive health kits, and anti-gender based violence support and women friendly spaces; </w:t>
      </w:r>
    </w:p>
    <w:p w:rsidR="00020200" w:rsidRDefault="00020200" w:rsidP="00020200">
      <w:pPr>
        <w:pStyle w:val="Bullet1"/>
        <w:ind w:left="426" w:hanging="426"/>
      </w:pPr>
      <w:r>
        <w:t>Provided protection assistance to more than 250,000 displaced people.</w:t>
      </w:r>
    </w:p>
    <w:p w:rsidR="00FA468A" w:rsidRPr="00FE5821" w:rsidRDefault="00751CE6" w:rsidP="00FA468A">
      <w:r>
        <w:t xml:space="preserve">As communities and the Government moved past the immediate needs of crisis management, Australia’s support has evolved. </w:t>
      </w:r>
      <w:r w:rsidR="008C1C33">
        <w:t xml:space="preserve">From providing humanitarian assistance – for which there is likely to be a need for some time yet – we have increasingly focused on </w:t>
      </w:r>
      <w:r>
        <w:t>providing protection and psychosocial support and rebuilding self-reliance in affected communities. This is done primarily through greater access to education</w:t>
      </w:r>
      <w:r w:rsidR="008C1C33">
        <w:t xml:space="preserve">, including through our education sub national program, </w:t>
      </w:r>
      <w:r>
        <w:t xml:space="preserve">and increasing livelihood opportunities. </w:t>
      </w:r>
      <w:r w:rsidR="00FA468A" w:rsidRPr="00FE5821">
        <w:t>Our approach to the Marawi response was directly informed by our experience operating in a conflict area in the Zamboanga Recovery Program (part of our D</w:t>
      </w:r>
      <w:r w:rsidR="004B36B5">
        <w:t xml:space="preserve">isaster </w:t>
      </w:r>
      <w:r w:rsidR="00B919C6">
        <w:t>R</w:t>
      </w:r>
      <w:r w:rsidR="004B36B5">
        <w:t xml:space="preserve">isk </w:t>
      </w:r>
      <w:r w:rsidR="00B919C6">
        <w:t>R</w:t>
      </w:r>
      <w:r w:rsidR="004B36B5">
        <w:t>eduction/H</w:t>
      </w:r>
      <w:r w:rsidR="00FA468A" w:rsidRPr="00FE5821">
        <w:t xml:space="preserve">umanitarian portfolio), which finished in December 2017. </w:t>
      </w:r>
    </w:p>
    <w:p w:rsidR="00FA468A" w:rsidRPr="004B36B5" w:rsidRDefault="00FA468A" w:rsidP="00FA468A">
      <w:pPr>
        <w:spacing w:after="120" w:line="280" w:lineRule="exact"/>
      </w:pPr>
      <w:r w:rsidRPr="004B36B5">
        <w:t xml:space="preserve">Our </w:t>
      </w:r>
      <w:r w:rsidR="004B36B5" w:rsidRPr="004B36B5">
        <w:rPr>
          <w:b/>
        </w:rPr>
        <w:t>P</w:t>
      </w:r>
      <w:r w:rsidRPr="004B36B5">
        <w:rPr>
          <w:b/>
        </w:rPr>
        <w:t xml:space="preserve">eace and </w:t>
      </w:r>
      <w:r w:rsidR="004B36B5" w:rsidRPr="004B36B5">
        <w:rPr>
          <w:b/>
        </w:rPr>
        <w:t>S</w:t>
      </w:r>
      <w:r w:rsidRPr="004B36B5">
        <w:rPr>
          <w:b/>
        </w:rPr>
        <w:t>tability programming</w:t>
      </w:r>
      <w:r w:rsidRPr="004B36B5">
        <w:t xml:space="preserve"> remained on track through the reporting period, despite the significant changes in the operating environment during and after the Marawi siege. Our program partners</w:t>
      </w:r>
      <w:r w:rsidR="0084000F">
        <w:t xml:space="preserve"> were</w:t>
      </w:r>
      <w:r w:rsidRPr="004B36B5">
        <w:t xml:space="preserve"> able to access communities that the government c</w:t>
      </w:r>
      <w:r w:rsidR="0084000F">
        <w:t xml:space="preserve">ould </w:t>
      </w:r>
      <w:r w:rsidRPr="004B36B5">
        <w:t xml:space="preserve">not, and this is helping to lay a foundation for normalisation post-conflict. As planned in response to the Strategic Review published in January 2017, activities on countering violent extremism (CVE) increased during 2017-18. The risk presented by violent extremist groups in the Marawi siege saw us </w:t>
      </w:r>
      <w:r w:rsidR="00020200">
        <w:t xml:space="preserve">further </w:t>
      </w:r>
      <w:r w:rsidRPr="004B36B5">
        <w:t>increase our CVE investments with existing partners by August</w:t>
      </w:r>
      <w:r w:rsidR="00020200">
        <w:t xml:space="preserve"> </w:t>
      </w:r>
      <w:r w:rsidR="00020200">
        <w:lastRenderedPageBreak/>
        <w:t>2017</w:t>
      </w:r>
      <w:r w:rsidRPr="004B36B5">
        <w:t xml:space="preserve">. </w:t>
      </w:r>
      <w:r w:rsidRPr="004B36B5">
        <w:rPr>
          <w:b/>
        </w:rPr>
        <w:t>Australian Partnerships for Peace</w:t>
      </w:r>
      <w:r w:rsidR="004B36B5" w:rsidRPr="004B36B5">
        <w:rPr>
          <w:b/>
        </w:rPr>
        <w:t xml:space="preserve"> (APP)</w:t>
      </w:r>
      <w:r w:rsidRPr="004B36B5">
        <w:t xml:space="preserve"> program partners adjusted their work</w:t>
      </w:r>
      <w:r w:rsidR="002348CC">
        <w:t xml:space="preserve"> </w:t>
      </w:r>
      <w:r w:rsidR="00D1732F">
        <w:t>plans in response to the conflict</w:t>
      </w:r>
      <w:r w:rsidRPr="004B36B5">
        <w:t xml:space="preserve">, to expand CVE activities in the Bangsamoro and adjacent regions. Activities included additional research on understanding violent extremism in the area, gathering baseline data, establishing early warning and response networks that monitor conflicts, and activities aimed at preventing youth recruitment by violent extremist groups. </w:t>
      </w:r>
    </w:p>
    <w:p w:rsidR="00FA468A" w:rsidRPr="004B36B5" w:rsidRDefault="00FA468A" w:rsidP="00FA468A">
      <w:pPr>
        <w:spacing w:after="120" w:line="280" w:lineRule="exact"/>
      </w:pPr>
      <w:r w:rsidRPr="004B36B5">
        <w:t>Additional funding</w:t>
      </w:r>
      <w:r w:rsidR="006775D1">
        <w:t xml:space="preserve"> </w:t>
      </w:r>
      <w:r w:rsidR="002B0ED5">
        <w:t xml:space="preserve">of </w:t>
      </w:r>
      <w:r w:rsidR="006775D1">
        <w:t>$4.73 million</w:t>
      </w:r>
      <w:r w:rsidR="0084000F">
        <w:t xml:space="preserve"> </w:t>
      </w:r>
      <w:r w:rsidRPr="004B36B5">
        <w:t xml:space="preserve">was also allocated through the </w:t>
      </w:r>
      <w:r w:rsidRPr="0084000F">
        <w:rPr>
          <w:b/>
        </w:rPr>
        <w:t>Mindanao Trust Fund</w:t>
      </w:r>
      <w:r w:rsidR="00AF49BC">
        <w:rPr>
          <w:b/>
        </w:rPr>
        <w:t xml:space="preserve"> (MTF)</w:t>
      </w:r>
      <w:r w:rsidRPr="004B36B5">
        <w:t xml:space="preserve"> to expand the support to community driven development in the six Moro Islamic Liberation Front </w:t>
      </w:r>
      <w:r w:rsidR="005D2B50">
        <w:t xml:space="preserve">(MILF) </w:t>
      </w:r>
      <w:r w:rsidRPr="004B36B5">
        <w:t xml:space="preserve">camps, and to build institutional capacity to lead normalisation structures in the Bangsamoro. Our support to the Taskforce </w:t>
      </w:r>
      <w:r w:rsidRPr="00EB4BDB">
        <w:rPr>
          <w:i/>
        </w:rPr>
        <w:t>Bangon Marawi</w:t>
      </w:r>
      <w:r w:rsidRPr="004B36B5">
        <w:t xml:space="preserve"> on recovery, reconstruction and rehabilitation of Marawi </w:t>
      </w:r>
      <w:r w:rsidR="004B36B5" w:rsidRPr="004B36B5">
        <w:t xml:space="preserve">City </w:t>
      </w:r>
      <w:r w:rsidRPr="004B36B5">
        <w:t>is channelled through this trust fund.</w:t>
      </w:r>
    </w:p>
    <w:p w:rsidR="00450707" w:rsidRDefault="00450707" w:rsidP="00450707">
      <w:pPr>
        <w:spacing w:after="120" w:line="280" w:lineRule="exact"/>
      </w:pPr>
      <w:r>
        <w:t xml:space="preserve">The </w:t>
      </w:r>
      <w:r w:rsidRPr="0084000F">
        <w:rPr>
          <w:b/>
        </w:rPr>
        <w:t>Education Pathways to Peace Program (Pathways)</w:t>
      </w:r>
      <w:r>
        <w:t xml:space="preserve"> </w:t>
      </w:r>
      <w:r w:rsidR="0084000F">
        <w:t>commenced</w:t>
      </w:r>
      <w:r>
        <w:t xml:space="preserve"> in October 2017, and was formally launched in February 2018 following a four-month inception phase. Pathways seeks to support more equitable participation of boys and girls in quality early grades (K-3) education in the Autonomous Region in Muslim Mindanao (ARMM), including in remote, disadvantaged and conflict-affected communities. It also aims to support the peace process and political transition by working with a wide range of stakeholders to support both government and private Islamic schools, and by bringing communities together through education across religious and cultural divides. In this initial period, work focused on support to the ARMM Department of Education as it prepares for transition to </w:t>
      </w:r>
      <w:r w:rsidR="00167DB8">
        <w:t>the</w:t>
      </w:r>
      <w:r>
        <w:t xml:space="preserve"> new Bangsamoro </w:t>
      </w:r>
      <w:r w:rsidR="00167DB8">
        <w:t>g</w:t>
      </w:r>
      <w:r>
        <w:t>overnment, as well as support for teacher training.  Despite the short period of operation, key results in 2017-18 include:</w:t>
      </w:r>
    </w:p>
    <w:p w:rsidR="00450707" w:rsidRDefault="00450707" w:rsidP="00730928">
      <w:pPr>
        <w:spacing w:after="120" w:line="280" w:lineRule="exact"/>
        <w:ind w:left="426" w:hanging="426"/>
      </w:pPr>
      <w:r>
        <w:t>•</w:t>
      </w:r>
      <w:r>
        <w:tab/>
        <w:t>Targeted technical support to ARMM in developing annual education plans and budgets at the regional level and in three pilot school divisions with reform minded education leaders;</w:t>
      </w:r>
    </w:p>
    <w:p w:rsidR="00450707" w:rsidRDefault="00450707" w:rsidP="00730928">
      <w:pPr>
        <w:spacing w:after="120" w:line="280" w:lineRule="exact"/>
        <w:ind w:left="426" w:hanging="426"/>
      </w:pPr>
      <w:r>
        <w:t>•</w:t>
      </w:r>
      <w:r>
        <w:tab/>
        <w:t>Assisting ARMM to complete the mapping and geotagging of all 2,670 public schools in the region, to support planning and budgeting; and</w:t>
      </w:r>
    </w:p>
    <w:p w:rsidR="00450707" w:rsidRDefault="00450707" w:rsidP="00730928">
      <w:pPr>
        <w:spacing w:after="120" w:line="280" w:lineRule="exact"/>
        <w:ind w:left="426" w:hanging="426"/>
      </w:pPr>
      <w:r>
        <w:t>•</w:t>
      </w:r>
      <w:r>
        <w:tab/>
        <w:t>Assisting public schools to access their maintenance and operations funds for the first time in years, by strengthening school-based management, and improving data management in ARMM.</w:t>
      </w:r>
    </w:p>
    <w:p w:rsidR="00FA468A" w:rsidRPr="00F62B01" w:rsidRDefault="00450707" w:rsidP="00F62B01">
      <w:pPr>
        <w:spacing w:after="120" w:line="280" w:lineRule="exact"/>
      </w:pPr>
      <w:r>
        <w:t xml:space="preserve">Pathways, as a flexible program, is well positioned to respond to a range of scenarios in its 2018-19 annual plan with the </w:t>
      </w:r>
      <w:r w:rsidR="00CA2FA9">
        <w:t xml:space="preserve">passage of the </w:t>
      </w:r>
      <w:r>
        <w:t xml:space="preserve">Bangsamoro </w:t>
      </w:r>
      <w:r w:rsidR="00CA2FA9">
        <w:t xml:space="preserve">Organic </w:t>
      </w:r>
      <w:r>
        <w:t>Law</w:t>
      </w:r>
      <w:r w:rsidR="00AF49BC">
        <w:t xml:space="preserve"> (BOL)</w:t>
      </w:r>
      <w:r>
        <w:t xml:space="preserve"> granting greater autonomy to the region, and leadership transitioning to the Moro Islamic Liberation Front. The program will continue to provide support towards its stated objectives </w:t>
      </w:r>
      <w:r w:rsidR="00167DB8">
        <w:t>while responding to the emerging priorities of the new Bangsamoro government</w:t>
      </w:r>
      <w:r>
        <w:t>.</w:t>
      </w:r>
    </w:p>
    <w:p w:rsidR="00C36E5C" w:rsidRPr="002F0620" w:rsidRDefault="00C36E5C" w:rsidP="00C36E5C">
      <w:pPr>
        <w:rPr>
          <w:sz w:val="38"/>
          <w:szCs w:val="38"/>
        </w:rPr>
      </w:pPr>
      <w:r w:rsidRPr="002F0620">
        <w:rPr>
          <w:sz w:val="38"/>
          <w:szCs w:val="38"/>
        </w:rPr>
        <w:t>REGIONAL, GLOBAL AND OTHER GOVERNMENT DEPARTMENTS</w:t>
      </w:r>
    </w:p>
    <w:p w:rsidR="00C36E5C" w:rsidRDefault="00C36E5C" w:rsidP="00C36E5C">
      <w:r>
        <w:t>In addition to bilateral aid investments, Australia delivered global and regional initiatives in the Philippines, including</w:t>
      </w:r>
      <w:r w:rsidR="00F76370">
        <w:t xml:space="preserve"> Investing in Women,</w:t>
      </w:r>
      <w:r>
        <w:t xml:space="preserve"> Australia Awards, the Direct Aid Program, the Australian NGO Cooperation Program, and through the Australian Centre for International Agricultural Research.</w:t>
      </w:r>
    </w:p>
    <w:p w:rsidR="00D1732F" w:rsidRDefault="00D1732F" w:rsidP="00C36E5C">
      <w:r w:rsidRPr="005D2B50">
        <w:rPr>
          <w:b/>
        </w:rPr>
        <w:t>Investing in Women</w:t>
      </w:r>
      <w:r w:rsidR="00417A84">
        <w:t xml:space="preserve"> (see reference under ‘Objective 1’).</w:t>
      </w:r>
    </w:p>
    <w:p w:rsidR="00C36E5C" w:rsidRPr="005D2B50" w:rsidRDefault="00C36E5C" w:rsidP="00C36E5C">
      <w:pPr>
        <w:rPr>
          <w:b/>
        </w:rPr>
      </w:pPr>
      <w:r w:rsidRPr="005D2B50">
        <w:rPr>
          <w:b/>
        </w:rPr>
        <w:t>Australia Awards</w:t>
      </w:r>
    </w:p>
    <w:p w:rsidR="00C36E5C" w:rsidRDefault="00C36E5C" w:rsidP="00C36E5C">
      <w:r>
        <w:t xml:space="preserve">Australia Awards support Australia’s development agenda in the Philippines by investing in human capacity development in areas that complement the broader objectives of the aid program.  Awards focus on the </w:t>
      </w:r>
      <w:r w:rsidRPr="009D086C">
        <w:t>education, governance (particularly economic governance), infrastructure and humanitarian/disaster resilience fields. In 2017-18, 90 Filipino students (</w:t>
      </w:r>
      <w:r w:rsidR="001D61C9">
        <w:t>51 female</w:t>
      </w:r>
      <w:r w:rsidRPr="009D086C">
        <w:t>) received awards</w:t>
      </w:r>
      <w:r>
        <w:t xml:space="preserve"> to study in Australia.</w:t>
      </w:r>
    </w:p>
    <w:p w:rsidR="00417A84" w:rsidRDefault="00417A84" w:rsidP="00C36E5C"/>
    <w:p w:rsidR="00417A84" w:rsidRDefault="00417A84" w:rsidP="00C36E5C"/>
    <w:p w:rsidR="00C36E5C" w:rsidRPr="005D2B50" w:rsidRDefault="00C36E5C" w:rsidP="00C36E5C">
      <w:pPr>
        <w:rPr>
          <w:b/>
        </w:rPr>
      </w:pPr>
      <w:r w:rsidRPr="005D2B50">
        <w:rPr>
          <w:b/>
        </w:rPr>
        <w:lastRenderedPageBreak/>
        <w:t>Australian NGO Cooperation Program</w:t>
      </w:r>
    </w:p>
    <w:p w:rsidR="00C36E5C" w:rsidRDefault="00C36E5C" w:rsidP="00C36E5C">
      <w:r>
        <w:t xml:space="preserve">In 2017-18, 27 Australian NGOs received funding (totalling approximately $4.1 million) through the Australian NGO Cooperation Program (ANCP) to deliver projects across multiple sectors including disaster risk reduction, promoting disability inclusion, promoting women’s rights, and community development.  </w:t>
      </w:r>
    </w:p>
    <w:p w:rsidR="00C36E5C" w:rsidRPr="005D2B50" w:rsidRDefault="00C36E5C" w:rsidP="00C36E5C">
      <w:pPr>
        <w:rPr>
          <w:b/>
        </w:rPr>
      </w:pPr>
      <w:r w:rsidRPr="005D2B50">
        <w:rPr>
          <w:b/>
        </w:rPr>
        <w:t>Direct Aid Program</w:t>
      </w:r>
    </w:p>
    <w:p w:rsidR="00C36E5C" w:rsidRDefault="00C36E5C" w:rsidP="00C36E5C">
      <w:r>
        <w:t>In 2017-2018</w:t>
      </w:r>
      <w:r w:rsidR="00AA4349">
        <w:t xml:space="preserve">, the Direct Aid Program (DAP) </w:t>
      </w:r>
      <w:r>
        <w:t>funded 11 projects totalling $255,219. The projects focused on child protection and education; adolescent sexual and reproductive health; women’s economic empowerment; HIV prevention, care and treatment within the LGBT community; and environmental conservation and livelihood for indigenous peoples.</w:t>
      </w:r>
      <w:r w:rsidR="00AA4349">
        <w:t xml:space="preserve">  For example,  the </w:t>
      </w:r>
      <w:r>
        <w:t xml:space="preserve">“Strengthening Children’s Rights Protection at the Grassroots”, implemented by the </w:t>
      </w:r>
      <w:r w:rsidRPr="00EB4BDB">
        <w:rPr>
          <w:i/>
        </w:rPr>
        <w:t>Bahay Tuluyan</w:t>
      </w:r>
      <w:r>
        <w:t xml:space="preserve"> Foundation (BT), provided young and vulnerable street children with the knowledge and skills to defend their rights and respond to issues affecting them. </w:t>
      </w:r>
    </w:p>
    <w:p w:rsidR="00C36E5C" w:rsidRPr="005D2B50" w:rsidRDefault="00C36E5C" w:rsidP="00C36E5C">
      <w:pPr>
        <w:rPr>
          <w:b/>
        </w:rPr>
      </w:pPr>
      <w:r w:rsidRPr="005D2B50">
        <w:rPr>
          <w:b/>
        </w:rPr>
        <w:t xml:space="preserve">Australian Centre for International Agricultural Research </w:t>
      </w:r>
    </w:p>
    <w:p w:rsidR="00AA4349" w:rsidRDefault="00C36E5C" w:rsidP="00C36E5C">
      <w:r>
        <w:t xml:space="preserve">During the reporting period the Australian Centre for International Agricultural Research (ACIAR) was implementing 13 ongoing projects with a total </w:t>
      </w:r>
      <w:r w:rsidR="00D1732F">
        <w:t>value</w:t>
      </w:r>
      <w:r>
        <w:t xml:space="preserve"> of $4.0 million.  Key achievements include working to improve mango integrated crop management in the southern Philippines, and reseeding of coral colonies to help restore damaged coral reefs in northern Luzon. </w:t>
      </w:r>
    </w:p>
    <w:p w:rsidR="00641674" w:rsidRDefault="00641674" w:rsidP="00EB4BDB">
      <w:pPr>
        <w:spacing w:before="100"/>
      </w:pPr>
    </w:p>
    <w:p w:rsidR="002A51CA" w:rsidRDefault="002A51CA" w:rsidP="00A7706C">
      <w:pPr>
        <w:pStyle w:val="Heading2"/>
        <w:spacing w:before="0" w:after="0"/>
      </w:pPr>
      <w:r>
        <w:t>Mutual obligations</w:t>
      </w:r>
    </w:p>
    <w:p w:rsidR="00EF7770" w:rsidRPr="00EF7770" w:rsidRDefault="00EF7770" w:rsidP="00A7706C">
      <w:pPr>
        <w:spacing w:after="0" w:line="240" w:lineRule="auto"/>
      </w:pPr>
      <w:r w:rsidRPr="00EF7770">
        <w:t>Th</w:t>
      </w:r>
      <w:r w:rsidR="00B230E1">
        <w:t>e Philippine Development Plan 2017-</w:t>
      </w:r>
      <w:r w:rsidRPr="00EF7770">
        <w:t>22 (PDP) is the Philippine Government’s framework for inclusive growth and the anchor for the bilateral development</w:t>
      </w:r>
      <w:r w:rsidR="00B230E1">
        <w:t xml:space="preserve"> engagement </w:t>
      </w:r>
      <w:r w:rsidRPr="00EF7770">
        <w:t xml:space="preserve">between the Philippines and Australia. These high-level goals of the Philippine Government shape Australia’s priorities in the Philippines, and </w:t>
      </w:r>
      <w:r w:rsidR="00B230E1">
        <w:t xml:space="preserve">we </w:t>
      </w:r>
      <w:r w:rsidRPr="00EF7770">
        <w:t>are tracking progress against these benchmarks during President Duterte’s term.</w:t>
      </w:r>
    </w:p>
    <w:tbl>
      <w:tblPr>
        <w:tblStyle w:val="TableGrid"/>
        <w:tblW w:w="9781" w:type="dxa"/>
        <w:tblInd w:w="-5" w:type="dxa"/>
        <w:tblLook w:val="04A0" w:firstRow="1" w:lastRow="0" w:firstColumn="1" w:lastColumn="0" w:noHBand="0" w:noVBand="1"/>
      </w:tblPr>
      <w:tblGrid>
        <w:gridCol w:w="5812"/>
        <w:gridCol w:w="3969"/>
      </w:tblGrid>
      <w:tr w:rsidR="00EF7770" w:rsidRPr="00B054D6" w:rsidTr="00EF7770">
        <w:tc>
          <w:tcPr>
            <w:tcW w:w="5812" w:type="dxa"/>
            <w:vAlign w:val="center"/>
          </w:tcPr>
          <w:p w:rsidR="00EF7770" w:rsidRPr="00B054D6" w:rsidRDefault="00EF7770" w:rsidP="000210D0">
            <w:pPr>
              <w:spacing w:before="20" w:after="20"/>
              <w:rPr>
                <w:rFonts w:eastAsia="Times New Roman"/>
                <w:b/>
                <w:color w:val="auto"/>
                <w:lang w:val="en-AU"/>
              </w:rPr>
            </w:pPr>
            <w:r w:rsidRPr="00B054D6">
              <w:rPr>
                <w:rFonts w:eastAsia="Times New Roman"/>
                <w:b/>
                <w:color w:val="auto"/>
                <w:lang w:val="en-AU"/>
              </w:rPr>
              <w:t>Philippine Government commitments</w:t>
            </w:r>
          </w:p>
        </w:tc>
        <w:tc>
          <w:tcPr>
            <w:tcW w:w="3969" w:type="dxa"/>
          </w:tcPr>
          <w:p w:rsidR="00EF7770" w:rsidRPr="00B054D6" w:rsidRDefault="00EF7770" w:rsidP="000210D0">
            <w:pPr>
              <w:spacing w:before="20" w:after="20"/>
              <w:rPr>
                <w:rFonts w:eastAsia="Times New Roman"/>
                <w:b/>
                <w:color w:val="auto"/>
                <w:lang w:val="en-AU"/>
              </w:rPr>
            </w:pPr>
            <w:r w:rsidRPr="00B054D6">
              <w:rPr>
                <w:rFonts w:eastAsia="Times New Roman"/>
                <w:b/>
                <w:color w:val="auto"/>
                <w:lang w:val="en-AU"/>
              </w:rPr>
              <w:t xml:space="preserve">Progress </w:t>
            </w:r>
          </w:p>
        </w:tc>
      </w:tr>
      <w:tr w:rsidR="00EF7770" w:rsidRPr="00B054D6" w:rsidTr="00B230E1">
        <w:tc>
          <w:tcPr>
            <w:tcW w:w="5812" w:type="dxa"/>
          </w:tcPr>
          <w:p w:rsidR="00EF7770" w:rsidRPr="00B054D6" w:rsidRDefault="00EF7770" w:rsidP="005D2B50">
            <w:pPr>
              <w:spacing w:before="20" w:after="20"/>
              <w:rPr>
                <w:rFonts w:eastAsia="Times New Roman"/>
                <w:iCs/>
                <w:color w:val="auto"/>
                <w:lang w:val="en-AU"/>
              </w:rPr>
            </w:pPr>
            <w:r w:rsidRPr="00EF7770">
              <w:t>Increase annual infrastructure budget allocations to 7</w:t>
            </w:r>
            <w:r w:rsidR="005D2B50">
              <w:t xml:space="preserve"> per cent</w:t>
            </w:r>
            <w:r w:rsidRPr="00EF7770">
              <w:t xml:space="preserve"> of GDP by 2022 (or Invest PHP8.4 trillion in infrastructure from 2017-2022)</w:t>
            </w:r>
            <w:r w:rsidR="00B230E1">
              <w:t xml:space="preserve"> </w:t>
            </w:r>
            <w:r w:rsidRPr="00EF7770">
              <w:rPr>
                <w:b/>
                <w:i/>
              </w:rPr>
              <w:t>Baseline</w:t>
            </w:r>
            <w:r w:rsidRPr="00EF7770">
              <w:t xml:space="preserve"> CY2017: 5</w:t>
            </w:r>
            <w:r w:rsidR="005D2B50">
              <w:t xml:space="preserve"> per cent</w:t>
            </w:r>
            <w:r w:rsidRPr="00EF7770">
              <w:t xml:space="preserve"> of GDP (PHP847 million in annual budget)</w:t>
            </w:r>
          </w:p>
        </w:tc>
        <w:tc>
          <w:tcPr>
            <w:tcW w:w="3969" w:type="dxa"/>
          </w:tcPr>
          <w:p w:rsidR="00393307" w:rsidRPr="00B230E1" w:rsidRDefault="00255A52" w:rsidP="00B230E1">
            <w:pPr>
              <w:spacing w:before="20" w:after="20"/>
            </w:pPr>
            <w:r w:rsidRPr="00B230E1">
              <w:t>CY2018: PHP1.1 trillion (or 6.4</w:t>
            </w:r>
            <w:r w:rsidR="005D2B50">
              <w:t xml:space="preserve"> per cent</w:t>
            </w:r>
            <w:r w:rsidRPr="00B230E1">
              <w:t xml:space="preserve"> of GDP) </w:t>
            </w:r>
          </w:p>
          <w:p w:rsidR="00EF7770" w:rsidRPr="00B230E1" w:rsidRDefault="00393307" w:rsidP="00B230E1">
            <w:pPr>
              <w:spacing w:before="20" w:after="20"/>
            </w:pPr>
            <w:r w:rsidRPr="00B230E1">
              <w:t xml:space="preserve">Established the inter-agency Project Facilitation, Monitoring, and Innovation Task Force to facilitate implementation of the </w:t>
            </w:r>
            <w:r w:rsidR="00B230E1">
              <w:t>75 Infrastructure Flagship Projects.</w:t>
            </w:r>
            <w:r w:rsidRPr="00B230E1">
              <w:t xml:space="preserve"> </w:t>
            </w:r>
          </w:p>
        </w:tc>
      </w:tr>
      <w:tr w:rsidR="00EF7770" w:rsidRPr="00B054D6" w:rsidTr="00B230E1">
        <w:tc>
          <w:tcPr>
            <w:tcW w:w="5812" w:type="dxa"/>
          </w:tcPr>
          <w:p w:rsidR="00EF7770" w:rsidRPr="00B054D6" w:rsidRDefault="00EF7770" w:rsidP="005D2B50">
            <w:pPr>
              <w:spacing w:before="20" w:after="20"/>
              <w:rPr>
                <w:rFonts w:eastAsia="Times New Roman"/>
                <w:iCs/>
                <w:color w:val="auto"/>
                <w:lang w:val="en-AU"/>
              </w:rPr>
            </w:pPr>
            <w:r w:rsidRPr="00EF7770">
              <w:t>Reduce the national rate of poverty incidence to 14.0 per cent by 2022. Reduce poverty incidence in rural areas to 20 per cent in 2022</w:t>
            </w:r>
            <w:r w:rsidR="00B230E1">
              <w:t xml:space="preserve"> </w:t>
            </w:r>
            <w:r w:rsidRPr="00EF7770">
              <w:rPr>
                <w:b/>
                <w:i/>
              </w:rPr>
              <w:t>Baseline</w:t>
            </w:r>
            <w:r w:rsidRPr="00C96CB9">
              <w:rPr>
                <w:rFonts w:eastAsia="Times New Roman"/>
                <w:b/>
                <w:i/>
                <w:iCs/>
                <w:color w:val="auto"/>
                <w:lang w:val="en-AU"/>
              </w:rPr>
              <w:t>:</w:t>
            </w:r>
            <w:r w:rsidRPr="00B054D6">
              <w:rPr>
                <w:rFonts w:eastAsia="Times New Roman"/>
                <w:iCs/>
                <w:color w:val="auto"/>
                <w:lang w:val="en-AU"/>
              </w:rPr>
              <w:t xml:space="preserve"> </w:t>
            </w:r>
            <w:r w:rsidRPr="00EF7770">
              <w:t>National 21.6</w:t>
            </w:r>
            <w:r w:rsidR="005D2B50">
              <w:t xml:space="preserve"> per cent</w:t>
            </w:r>
            <w:r w:rsidRPr="00EF7770">
              <w:t xml:space="preserve"> in 2015; Rural: 30</w:t>
            </w:r>
            <w:r w:rsidR="005D2B50">
              <w:t xml:space="preserve"> per cent</w:t>
            </w:r>
            <w:r w:rsidRPr="00EF7770">
              <w:t xml:space="preserve"> in 2015</w:t>
            </w:r>
          </w:p>
        </w:tc>
        <w:tc>
          <w:tcPr>
            <w:tcW w:w="3969" w:type="dxa"/>
          </w:tcPr>
          <w:p w:rsidR="00EF7770" w:rsidRPr="00B230E1" w:rsidRDefault="003E4323">
            <w:pPr>
              <w:spacing w:before="20" w:after="20"/>
            </w:pPr>
            <w:r w:rsidRPr="00B230E1">
              <w:t>The next national poverty statistic</w:t>
            </w:r>
            <w:r w:rsidR="00B230E1">
              <w:t>s</w:t>
            </w:r>
            <w:r w:rsidRPr="00B230E1">
              <w:t xml:space="preserve"> for the Philippines </w:t>
            </w:r>
            <w:r w:rsidR="00132C3F" w:rsidRPr="00B230E1">
              <w:t>will be released in 2019.</w:t>
            </w:r>
          </w:p>
        </w:tc>
      </w:tr>
      <w:tr w:rsidR="004B5594" w:rsidRPr="00B054D6" w:rsidTr="00B230E1">
        <w:tc>
          <w:tcPr>
            <w:tcW w:w="5812" w:type="dxa"/>
          </w:tcPr>
          <w:p w:rsidR="004B5594" w:rsidRDefault="004B5594" w:rsidP="00B230E1">
            <w:pPr>
              <w:spacing w:before="20" w:after="20"/>
            </w:pPr>
            <w:r>
              <w:t>Reduce the unemployment rate to 3</w:t>
            </w:r>
            <w:r w:rsidR="005D2B50">
              <w:t>.</w:t>
            </w:r>
            <w:r>
              <w:t>5 per cent by 2022</w:t>
            </w:r>
          </w:p>
          <w:p w:rsidR="004B5594" w:rsidRPr="00EF7770" w:rsidRDefault="004B5594" w:rsidP="00B230E1">
            <w:pPr>
              <w:spacing w:before="20" w:after="20"/>
            </w:pPr>
            <w:r w:rsidRPr="004B5594">
              <w:rPr>
                <w:b/>
                <w:i/>
              </w:rPr>
              <w:t xml:space="preserve">Baseline: </w:t>
            </w:r>
            <w:r>
              <w:t>5.5 Per cent in 2017</w:t>
            </w:r>
          </w:p>
        </w:tc>
        <w:tc>
          <w:tcPr>
            <w:tcW w:w="3969" w:type="dxa"/>
          </w:tcPr>
          <w:p w:rsidR="004B5594" w:rsidRPr="00B230E1" w:rsidRDefault="004B5594">
            <w:pPr>
              <w:spacing w:before="20" w:after="20"/>
            </w:pPr>
            <w:r>
              <w:t>Estimated at 5.3 per cent in January 2018.</w:t>
            </w:r>
          </w:p>
        </w:tc>
      </w:tr>
      <w:tr w:rsidR="00EF7770" w:rsidRPr="00B054D6" w:rsidTr="00B230E1">
        <w:tc>
          <w:tcPr>
            <w:tcW w:w="5812" w:type="dxa"/>
          </w:tcPr>
          <w:p w:rsidR="00EF7770" w:rsidRPr="00B054D6" w:rsidRDefault="00EF7770" w:rsidP="00B230E1">
            <w:pPr>
              <w:spacing w:before="20" w:after="20"/>
              <w:rPr>
                <w:rFonts w:eastAsia="Times New Roman"/>
                <w:iCs/>
                <w:color w:val="auto"/>
                <w:lang w:val="en-AU"/>
              </w:rPr>
            </w:pPr>
            <w:r w:rsidRPr="00EF7770">
              <w:t>Increase the labour force participation rate of women to 51.3 per cent by 2022</w:t>
            </w:r>
            <w:r w:rsidR="00B230E1">
              <w:t xml:space="preserve"> </w:t>
            </w:r>
            <w:r w:rsidRPr="00EF7770">
              <w:rPr>
                <w:b/>
                <w:i/>
              </w:rPr>
              <w:t>Baseline</w:t>
            </w:r>
            <w:r w:rsidRPr="00EF7770">
              <w:t>: (2015) 49.3</w:t>
            </w:r>
            <w:r w:rsidR="005D2B50">
              <w:t xml:space="preserve"> per cent</w:t>
            </w:r>
          </w:p>
        </w:tc>
        <w:tc>
          <w:tcPr>
            <w:tcW w:w="3969" w:type="dxa"/>
          </w:tcPr>
          <w:p w:rsidR="00EF7770" w:rsidRPr="00B230E1" w:rsidRDefault="00B230E1" w:rsidP="00B230E1">
            <w:pPr>
              <w:spacing w:before="20" w:after="20"/>
            </w:pPr>
            <w:r>
              <w:t xml:space="preserve">Women’s </w:t>
            </w:r>
            <w:r w:rsidR="00390274" w:rsidRPr="00B230E1">
              <w:t>labour force participation rate remained at 49.3 p</w:t>
            </w:r>
            <w:r>
              <w:t>er cent according to the Oct</w:t>
            </w:r>
            <w:r w:rsidR="00390274" w:rsidRPr="00B230E1">
              <w:t xml:space="preserve"> 2016 Labo</w:t>
            </w:r>
            <w:r w:rsidR="002348CC">
              <w:t>u</w:t>
            </w:r>
            <w:r w:rsidR="00390274" w:rsidRPr="00B230E1">
              <w:t>r Force Survey</w:t>
            </w:r>
            <w:r w:rsidR="005B60E4" w:rsidRPr="00B230E1">
              <w:t xml:space="preserve"> </w:t>
            </w:r>
          </w:p>
        </w:tc>
      </w:tr>
      <w:tr w:rsidR="00EF7770" w:rsidRPr="00B054D6" w:rsidTr="00B230E1">
        <w:tc>
          <w:tcPr>
            <w:tcW w:w="5812" w:type="dxa"/>
          </w:tcPr>
          <w:p w:rsidR="00EF7770" w:rsidRPr="00B054D6" w:rsidRDefault="00EF7770" w:rsidP="00B230E1">
            <w:pPr>
              <w:spacing w:before="20" w:after="20"/>
              <w:rPr>
                <w:rFonts w:eastAsia="Times New Roman"/>
                <w:iCs/>
                <w:color w:val="auto"/>
                <w:lang w:val="en-AU"/>
              </w:rPr>
            </w:pPr>
            <w:r w:rsidRPr="00EF7770">
              <w:t>Improve the Philippines’ percentile ranking in the Worldwide Governance Indicators (WGI) – Regulatory Quality Improved, to 60 pctl by 2022</w:t>
            </w:r>
            <w:r w:rsidR="00B230E1">
              <w:t xml:space="preserve"> </w:t>
            </w:r>
            <w:r w:rsidRPr="00EF7770">
              <w:rPr>
                <w:b/>
                <w:i/>
              </w:rPr>
              <w:t>Baseline:</w:t>
            </w:r>
            <w:r w:rsidRPr="00EF7770">
              <w:t xml:space="preserve"> (2016) 53 pctl</w:t>
            </w:r>
          </w:p>
        </w:tc>
        <w:tc>
          <w:tcPr>
            <w:tcW w:w="3969" w:type="dxa"/>
          </w:tcPr>
          <w:p w:rsidR="00EF7770" w:rsidRPr="00B230E1" w:rsidRDefault="00B230E1" w:rsidP="00AA691C">
            <w:pPr>
              <w:spacing w:before="20" w:after="20"/>
            </w:pPr>
            <w:r>
              <w:t>N</w:t>
            </w:r>
            <w:r w:rsidR="00AD305C" w:rsidRPr="00B230E1">
              <w:t>o further update is available</w:t>
            </w:r>
            <w:r w:rsidR="00CA2FA9">
              <w:t xml:space="preserve"> (</w:t>
            </w:r>
            <w:r w:rsidR="00AA691C">
              <w:t>2016 is the latest data</w:t>
            </w:r>
            <w:r w:rsidR="00CA2FA9">
              <w:t>)</w:t>
            </w:r>
            <w:r w:rsidR="00AD305C" w:rsidRPr="00B230E1">
              <w:t>.</w:t>
            </w:r>
            <w:r w:rsidR="005B60E4" w:rsidRPr="00B230E1">
              <w:t xml:space="preserve"> </w:t>
            </w:r>
          </w:p>
        </w:tc>
      </w:tr>
      <w:tr w:rsidR="00EF7770" w:rsidRPr="00B054D6" w:rsidTr="00B230E1">
        <w:tc>
          <w:tcPr>
            <w:tcW w:w="5812" w:type="dxa"/>
          </w:tcPr>
          <w:p w:rsidR="00EF7770" w:rsidRPr="004B5594" w:rsidRDefault="004B5594" w:rsidP="004B5594">
            <w:pPr>
              <w:spacing w:before="20" w:after="20"/>
              <w:rPr>
                <w:rFonts w:eastAsia="Times New Roman"/>
                <w:iCs/>
                <w:color w:val="auto"/>
                <w:highlight w:val="yellow"/>
                <w:lang w:val="en-AU"/>
              </w:rPr>
            </w:pPr>
            <w:r w:rsidRPr="000450EF">
              <w:t>Improve</w:t>
            </w:r>
            <w:r w:rsidR="00EF7770" w:rsidRPr="000450EF">
              <w:t xml:space="preserve"> percentile ranking in the Global Competitiveness Index (GCI) to 62 pctl by 2022</w:t>
            </w:r>
            <w:r w:rsidRPr="000450EF">
              <w:t xml:space="preserve"> </w:t>
            </w:r>
            <w:r w:rsidR="00EF7770" w:rsidRPr="000450EF">
              <w:rPr>
                <w:b/>
                <w:i/>
              </w:rPr>
              <w:t>Baseline:</w:t>
            </w:r>
            <w:r w:rsidR="00B230E1" w:rsidRPr="000450EF">
              <w:t xml:space="preserve"> (2016) 5</w:t>
            </w:r>
            <w:r w:rsidRPr="000450EF">
              <w:t>9</w:t>
            </w:r>
            <w:r w:rsidR="00EF7770" w:rsidRPr="000450EF">
              <w:t xml:space="preserve"> pctl</w:t>
            </w:r>
          </w:p>
        </w:tc>
        <w:tc>
          <w:tcPr>
            <w:tcW w:w="3969" w:type="dxa"/>
          </w:tcPr>
          <w:p w:rsidR="00EF7770" w:rsidRPr="004B5594" w:rsidRDefault="000450EF" w:rsidP="004B5594">
            <w:pPr>
              <w:spacing w:before="20" w:after="20"/>
              <w:rPr>
                <w:highlight w:val="yellow"/>
              </w:rPr>
            </w:pPr>
            <w:r w:rsidRPr="000450EF">
              <w:t>The Philippines was ranked 56 for 2017-2018, up one position from 2016, which places them in the 60th percentile.</w:t>
            </w:r>
          </w:p>
        </w:tc>
      </w:tr>
      <w:tr w:rsidR="00EF7770" w:rsidRPr="00B054D6" w:rsidTr="00B230E1">
        <w:tc>
          <w:tcPr>
            <w:tcW w:w="5812" w:type="dxa"/>
          </w:tcPr>
          <w:p w:rsidR="00EF7770" w:rsidRPr="00B054D6" w:rsidRDefault="00EF7770" w:rsidP="004B5594">
            <w:pPr>
              <w:spacing w:before="20" w:after="20"/>
              <w:rPr>
                <w:rFonts w:eastAsia="Times New Roman"/>
                <w:iCs/>
                <w:color w:val="auto"/>
                <w:lang w:val="en-AU"/>
              </w:rPr>
            </w:pPr>
            <w:r w:rsidRPr="00EF7770">
              <w:t>Improve the Philippines’ overall ranking in the WB-IFC Doing Business Report</w:t>
            </w:r>
            <w:r w:rsidR="004B5594">
              <w:t xml:space="preserve"> </w:t>
            </w:r>
            <w:r w:rsidRPr="00EF7770">
              <w:rPr>
                <w:b/>
                <w:i/>
              </w:rPr>
              <w:t>Baseline:</w:t>
            </w:r>
            <w:r w:rsidRPr="00EF7770">
              <w:t xml:space="preserve"> 2017, 99/190</w:t>
            </w:r>
          </w:p>
        </w:tc>
        <w:tc>
          <w:tcPr>
            <w:tcW w:w="3969" w:type="dxa"/>
          </w:tcPr>
          <w:p w:rsidR="00EF7770" w:rsidRPr="00B230E1" w:rsidRDefault="004B5594" w:rsidP="004B5594">
            <w:pPr>
              <w:spacing w:before="20" w:after="20"/>
            </w:pPr>
            <w:r>
              <w:rPr>
                <w:lang w:val="en-AU"/>
              </w:rPr>
              <w:t xml:space="preserve">Decline: </w:t>
            </w:r>
            <w:r w:rsidR="00C75588" w:rsidRPr="00B230E1">
              <w:t>The 2018 WB IFC Doing Business Report ranked the Philippines 113</w:t>
            </w:r>
            <w:r>
              <w:t>.</w:t>
            </w:r>
            <w:r w:rsidR="005B60E4" w:rsidRPr="00B230E1">
              <w:t xml:space="preserve"> </w:t>
            </w:r>
          </w:p>
        </w:tc>
      </w:tr>
      <w:tr w:rsidR="00EF7770" w:rsidRPr="00B054D6" w:rsidTr="00B230E1">
        <w:tc>
          <w:tcPr>
            <w:tcW w:w="5812" w:type="dxa"/>
          </w:tcPr>
          <w:p w:rsidR="00EF7770" w:rsidRPr="006E4EA1" w:rsidRDefault="00EF7770">
            <w:pPr>
              <w:spacing w:before="20" w:after="20"/>
            </w:pPr>
            <w:r w:rsidRPr="006E4EA1">
              <w:lastRenderedPageBreak/>
              <w:t>Increase total government spending in social protection as a proportion of the GDP (in PHP) to 5 per cent by 2022</w:t>
            </w:r>
          </w:p>
          <w:p w:rsidR="00EF7770" w:rsidRPr="006E4EA1" w:rsidRDefault="00EF7770">
            <w:pPr>
              <w:spacing w:before="20" w:after="20"/>
            </w:pPr>
            <w:r w:rsidRPr="006E4EA1">
              <w:rPr>
                <w:b/>
                <w:i/>
              </w:rPr>
              <w:t>Baseline:</w:t>
            </w:r>
            <w:r w:rsidRPr="006E4EA1">
              <w:t xml:space="preserve"> (2017) </w:t>
            </w:r>
          </w:p>
          <w:p w:rsidR="00EF7770" w:rsidRPr="006E4EA1" w:rsidRDefault="00EF7770">
            <w:pPr>
              <w:spacing w:before="20" w:after="20"/>
            </w:pPr>
            <w:r w:rsidRPr="006E4EA1">
              <w:t>Budget allocation in 3 core social protection programs:</w:t>
            </w:r>
          </w:p>
          <w:p w:rsidR="00EF7770" w:rsidRPr="00422985" w:rsidRDefault="00EF7770" w:rsidP="00B230E1">
            <w:pPr>
              <w:pStyle w:val="Bullet1"/>
              <w:ind w:left="319" w:hanging="284"/>
            </w:pPr>
            <w:r w:rsidRPr="00422985">
              <w:t>PHP10,229,160,000 (Kalahi-CIDSS-NCDDP)</w:t>
            </w:r>
          </w:p>
          <w:p w:rsidR="004C76E8" w:rsidRDefault="00EF7770" w:rsidP="00B230E1">
            <w:pPr>
              <w:pStyle w:val="Bullet1"/>
              <w:ind w:left="319" w:hanging="284"/>
            </w:pPr>
            <w:r w:rsidRPr="00120CD6">
              <w:t>PHP78,186,551,000 (4Ps</w:t>
            </w:r>
            <w:r w:rsidR="00015406" w:rsidRPr="00120CD6">
              <w:t>)</w:t>
            </w:r>
          </w:p>
          <w:p w:rsidR="00EF7770" w:rsidRPr="00015406" w:rsidRDefault="00EF7770" w:rsidP="00B230E1">
            <w:pPr>
              <w:pStyle w:val="Bullet1"/>
              <w:ind w:left="319" w:hanging="284"/>
              <w:rPr>
                <w:iCs/>
              </w:rPr>
            </w:pPr>
            <w:r w:rsidRPr="00422985">
              <w:t>PHP9,112,556,000 (SLP)</w:t>
            </w:r>
          </w:p>
        </w:tc>
        <w:tc>
          <w:tcPr>
            <w:tcW w:w="3969" w:type="dxa"/>
          </w:tcPr>
          <w:p w:rsidR="00433A5B" w:rsidRPr="00B230E1" w:rsidRDefault="006E4EA1">
            <w:pPr>
              <w:spacing w:before="20" w:after="20"/>
            </w:pPr>
            <w:r w:rsidRPr="00B230E1">
              <w:t>2018 budget allocation for the</w:t>
            </w:r>
            <w:r w:rsidR="00433A5B" w:rsidRPr="00B230E1">
              <w:t xml:space="preserve"> 3 core social protection programs</w:t>
            </w:r>
            <w:r w:rsidRPr="00B230E1">
              <w:t xml:space="preserve"> are</w:t>
            </w:r>
            <w:r w:rsidR="00433A5B" w:rsidRPr="00B230E1">
              <w:t>:</w:t>
            </w:r>
          </w:p>
          <w:p w:rsidR="00433A5B" w:rsidRPr="00B230E1" w:rsidRDefault="00433A5B" w:rsidP="00B230E1">
            <w:pPr>
              <w:pStyle w:val="Bullet1"/>
              <w:ind w:left="317" w:hanging="283"/>
            </w:pPr>
            <w:r w:rsidRPr="00B230E1">
              <w:t>PHP5,375,085,000 (Kalahi-CIDSS-NCDDP)</w:t>
            </w:r>
          </w:p>
          <w:p w:rsidR="00433A5B" w:rsidRPr="00B230E1" w:rsidRDefault="00433A5B" w:rsidP="00B230E1">
            <w:pPr>
              <w:pStyle w:val="Bullet1"/>
              <w:ind w:left="317" w:hanging="283"/>
            </w:pPr>
            <w:r w:rsidRPr="00B230E1">
              <w:t>PHP89,408,303,000 (4Ps)</w:t>
            </w:r>
          </w:p>
          <w:p w:rsidR="00EF7770" w:rsidRPr="00B230E1" w:rsidRDefault="00433A5B" w:rsidP="00B230E1">
            <w:pPr>
              <w:pStyle w:val="Bullet1"/>
              <w:ind w:left="317" w:hanging="283"/>
            </w:pPr>
            <w:r w:rsidRPr="00B230E1">
              <w:t>PHP5,060,000,000 (SLP)</w:t>
            </w:r>
          </w:p>
          <w:p w:rsidR="006E4EA1" w:rsidRPr="00B230E1" w:rsidRDefault="006E4EA1" w:rsidP="004B5594">
            <w:pPr>
              <w:spacing w:before="20" w:after="20"/>
            </w:pPr>
            <w:r w:rsidRPr="00B230E1">
              <w:t xml:space="preserve">The percentage as a proportion of the GDP will be calculated in the </w:t>
            </w:r>
            <w:r w:rsidR="004B5594">
              <w:t>PDP</w:t>
            </w:r>
            <w:r w:rsidRPr="00B230E1">
              <w:t xml:space="preserve"> update, to be released in 2020</w:t>
            </w:r>
          </w:p>
        </w:tc>
      </w:tr>
      <w:tr w:rsidR="00EF7770" w:rsidRPr="00B054D6" w:rsidTr="00B230E1">
        <w:tc>
          <w:tcPr>
            <w:tcW w:w="5812" w:type="dxa"/>
          </w:tcPr>
          <w:p w:rsidR="00EF7770" w:rsidRPr="00B054D6" w:rsidRDefault="00EF7770" w:rsidP="004B5594">
            <w:pPr>
              <w:spacing w:before="20" w:after="20"/>
              <w:rPr>
                <w:rFonts w:eastAsia="Times New Roman"/>
                <w:iCs/>
                <w:color w:val="auto"/>
                <w:lang w:val="en-AU"/>
              </w:rPr>
            </w:pPr>
            <w:r w:rsidRPr="00EF7770">
              <w:t>Peace agreements with all internal armed conflict groups successfully negotiated and implemented, with passage and ratification of an enabling law in accordance with the Comprehensive Agreement on the Bangsamoro</w:t>
            </w:r>
            <w:r w:rsidR="004B5594">
              <w:t xml:space="preserve">. </w:t>
            </w:r>
            <w:r w:rsidRPr="00EF7770">
              <w:rPr>
                <w:b/>
                <w:i/>
              </w:rPr>
              <w:t>Starting Point:</w:t>
            </w:r>
            <w:r w:rsidRPr="00EF7770">
              <w:t xml:space="preserve"> Bangsamoro Basic</w:t>
            </w:r>
            <w:r w:rsidR="004B5594">
              <w:t xml:space="preserve"> Law</w:t>
            </w:r>
            <w:r w:rsidR="000146D9">
              <w:t xml:space="preserve"> (BBL)</w:t>
            </w:r>
            <w:r w:rsidRPr="00EF7770">
              <w:t xml:space="preserve"> submitted</w:t>
            </w:r>
            <w:r w:rsidR="004B5594">
              <w:t xml:space="preserve"> to Duterte in July 20</w:t>
            </w:r>
            <w:r w:rsidRPr="00EF7770">
              <w:t>17</w:t>
            </w:r>
          </w:p>
        </w:tc>
        <w:tc>
          <w:tcPr>
            <w:tcW w:w="3969" w:type="dxa"/>
          </w:tcPr>
          <w:p w:rsidR="00EF7770" w:rsidRPr="00B230E1" w:rsidRDefault="00450707" w:rsidP="005B60E4">
            <w:pPr>
              <w:spacing w:before="20" w:after="20"/>
            </w:pPr>
            <w:r w:rsidRPr="00B230E1">
              <w:t xml:space="preserve">Bangsamoro Organic Law (BOL) approved by Congress and Senate </w:t>
            </w:r>
            <w:r w:rsidR="00CA2FA9">
              <w:t>i</w:t>
            </w:r>
            <w:r w:rsidR="004C76E8">
              <w:t xml:space="preserve">n </w:t>
            </w:r>
            <w:r w:rsidRPr="00B230E1">
              <w:t>July 2018</w:t>
            </w:r>
            <w:r w:rsidR="00CA2FA9">
              <w:t>, and signed by President Duterte on 26 July, 2018.</w:t>
            </w:r>
          </w:p>
        </w:tc>
      </w:tr>
      <w:tr w:rsidR="00EF7770" w:rsidRPr="00B054D6" w:rsidTr="00B230E1">
        <w:tc>
          <w:tcPr>
            <w:tcW w:w="5812" w:type="dxa"/>
          </w:tcPr>
          <w:p w:rsidR="00EF7770" w:rsidRPr="00B054D6" w:rsidRDefault="00EF7770" w:rsidP="005D2B50">
            <w:pPr>
              <w:spacing w:before="20" w:after="20"/>
              <w:rPr>
                <w:rFonts w:eastAsia="Times New Roman"/>
                <w:iCs/>
                <w:color w:val="auto"/>
                <w:lang w:val="en-AU"/>
              </w:rPr>
            </w:pPr>
            <w:r w:rsidRPr="00EF7770">
              <w:t xml:space="preserve">All families affected by natural and human-induced calamities are provided with relief assistance </w:t>
            </w:r>
            <w:r w:rsidRPr="00EF7770">
              <w:rPr>
                <w:b/>
                <w:i/>
              </w:rPr>
              <w:t>Baseline:</w:t>
            </w:r>
            <w:r w:rsidRPr="00EF7770">
              <w:t xml:space="preserve"> (2015) 54</w:t>
            </w:r>
            <w:r w:rsidR="005D2B50">
              <w:t xml:space="preserve"> per cent</w:t>
            </w:r>
          </w:p>
        </w:tc>
        <w:tc>
          <w:tcPr>
            <w:tcW w:w="3969" w:type="dxa"/>
          </w:tcPr>
          <w:p w:rsidR="00EF7770" w:rsidRPr="00B230E1" w:rsidRDefault="004C76E8" w:rsidP="004B5594">
            <w:pPr>
              <w:spacing w:before="20" w:after="20"/>
            </w:pPr>
            <w:r w:rsidRPr="00B230E1">
              <w:t xml:space="preserve">Australia’s assistance in response to Typhoon Tembin, Mayon Volcano and </w:t>
            </w:r>
            <w:r w:rsidR="004B5594">
              <w:t>Marawi supported 353,000 people.</w:t>
            </w:r>
          </w:p>
        </w:tc>
      </w:tr>
      <w:tr w:rsidR="00EF7770" w:rsidRPr="00B054D6" w:rsidTr="00B230E1">
        <w:tc>
          <w:tcPr>
            <w:tcW w:w="5812" w:type="dxa"/>
          </w:tcPr>
          <w:p w:rsidR="00EF7770" w:rsidRPr="00EF7770" w:rsidRDefault="00EF7770">
            <w:pPr>
              <w:spacing w:before="20" w:after="20"/>
            </w:pPr>
            <w:r w:rsidRPr="00EF7770">
              <w:t xml:space="preserve">Net enrolment rate in school </w:t>
            </w:r>
            <w:r w:rsidRPr="004B5594">
              <w:rPr>
                <w:b/>
              </w:rPr>
              <w:t>(baseline 2015)</w:t>
            </w:r>
            <w:r w:rsidRPr="00EF7770">
              <w:t>:</w:t>
            </w:r>
          </w:p>
          <w:p w:rsidR="00EF7770" w:rsidRPr="00EF7770" w:rsidRDefault="00EF7770" w:rsidP="00FD0C18">
            <w:pPr>
              <w:numPr>
                <w:ilvl w:val="0"/>
                <w:numId w:val="11"/>
              </w:numPr>
              <w:spacing w:before="20" w:after="20"/>
              <w:contextualSpacing/>
            </w:pPr>
            <w:r w:rsidRPr="00EF7770">
              <w:t>Kindergarten to 95.00 by 2022 (74.65)</w:t>
            </w:r>
          </w:p>
          <w:p w:rsidR="00015406" w:rsidRDefault="00EF7770" w:rsidP="00FD0C18">
            <w:pPr>
              <w:numPr>
                <w:ilvl w:val="0"/>
                <w:numId w:val="11"/>
              </w:numPr>
              <w:spacing w:before="20" w:after="20"/>
              <w:contextualSpacing/>
            </w:pPr>
            <w:r w:rsidRPr="00EF7770">
              <w:t>Elementary to 95.00 in 2022 (91.05)</w:t>
            </w:r>
          </w:p>
          <w:p w:rsidR="00EF7770" w:rsidRPr="00B230E1" w:rsidRDefault="00EF7770" w:rsidP="00FD0C18">
            <w:pPr>
              <w:numPr>
                <w:ilvl w:val="0"/>
                <w:numId w:val="11"/>
              </w:numPr>
              <w:spacing w:before="20" w:after="20"/>
              <w:contextualSpacing/>
            </w:pPr>
            <w:r w:rsidRPr="00EF7770">
              <w:t>Junior High School to 75.44 in 2022 (68.15)</w:t>
            </w:r>
          </w:p>
        </w:tc>
        <w:tc>
          <w:tcPr>
            <w:tcW w:w="3969" w:type="dxa"/>
          </w:tcPr>
          <w:p w:rsidR="00015406" w:rsidRPr="00B230E1" w:rsidRDefault="00015406" w:rsidP="00015406">
            <w:pPr>
              <w:spacing w:before="20" w:after="20"/>
            </w:pPr>
            <w:r w:rsidRPr="00B230E1">
              <w:t>Net enrolment rate in school (2017-2018):</w:t>
            </w:r>
          </w:p>
          <w:p w:rsidR="00015406" w:rsidRPr="00015406" w:rsidRDefault="00015406" w:rsidP="00FD0C18">
            <w:pPr>
              <w:numPr>
                <w:ilvl w:val="0"/>
                <w:numId w:val="11"/>
              </w:numPr>
              <w:spacing w:before="20" w:after="20"/>
              <w:contextualSpacing/>
            </w:pPr>
            <w:r w:rsidRPr="00015406">
              <w:t>Kindergarten: 83.7</w:t>
            </w:r>
          </w:p>
          <w:p w:rsidR="00015406" w:rsidRDefault="00015406" w:rsidP="00FD0C18">
            <w:pPr>
              <w:numPr>
                <w:ilvl w:val="0"/>
                <w:numId w:val="11"/>
              </w:numPr>
              <w:spacing w:before="20" w:after="20"/>
              <w:contextualSpacing/>
            </w:pPr>
            <w:r w:rsidRPr="00015406">
              <w:t>Elementary: 94.19</w:t>
            </w:r>
          </w:p>
          <w:p w:rsidR="00EF7770" w:rsidRPr="00B230E1" w:rsidRDefault="00015406" w:rsidP="00FD0C18">
            <w:pPr>
              <w:numPr>
                <w:ilvl w:val="0"/>
                <w:numId w:val="11"/>
              </w:numPr>
              <w:spacing w:before="20" w:after="20"/>
              <w:contextualSpacing/>
            </w:pPr>
            <w:r w:rsidRPr="00015406">
              <w:t>Junior High School: 75.99</w:t>
            </w:r>
          </w:p>
        </w:tc>
      </w:tr>
    </w:tbl>
    <w:p w:rsidR="002A51CA" w:rsidRPr="002A51CA" w:rsidRDefault="002A51CA" w:rsidP="002A51CA">
      <w:pPr>
        <w:pStyle w:val="Heading2"/>
      </w:pPr>
      <w:r w:rsidRPr="002A51CA">
        <w:t xml:space="preserve">Program Quality and Partner Performance </w:t>
      </w:r>
    </w:p>
    <w:p w:rsidR="00A670E9" w:rsidRPr="00DE7226" w:rsidRDefault="00A670E9" w:rsidP="00A670E9">
      <w:pPr>
        <w:rPr>
          <w:b/>
          <w:color w:val="auto"/>
          <w:lang w:eastAsia="zh-CN"/>
        </w:rPr>
      </w:pPr>
      <w:r w:rsidRPr="00E5502A">
        <w:rPr>
          <w:b/>
          <w:lang w:eastAsia="zh-CN"/>
        </w:rPr>
        <w:t>Overview</w:t>
      </w:r>
      <w:r w:rsidRPr="00DE7226">
        <w:rPr>
          <w:b/>
          <w:color w:val="auto"/>
          <w:lang w:eastAsia="zh-CN"/>
        </w:rPr>
        <w:tab/>
      </w:r>
      <w:r w:rsidRPr="00DE7226">
        <w:rPr>
          <w:b/>
          <w:color w:val="auto"/>
          <w:lang w:eastAsia="zh-CN"/>
        </w:rPr>
        <w:tab/>
      </w:r>
    </w:p>
    <w:p w:rsidR="00F633B8" w:rsidRDefault="00A670E9" w:rsidP="00F633B8">
      <w:r w:rsidRPr="00A670E9">
        <w:t>The program engaged monitoring and evaluation expertise late in 2017-18, and a program of work began in support of improved capacity to generate and use eff</w:t>
      </w:r>
      <w:r w:rsidR="00F633B8">
        <w:t xml:space="preserve">ective performance information.  </w:t>
      </w:r>
      <w:r w:rsidRPr="00A670E9">
        <w:t xml:space="preserve">This is timely as the evaluations conducted in the reporting period detailed some shortcomings in </w:t>
      </w:r>
      <w:r w:rsidR="00CC3209">
        <w:t xml:space="preserve">investment and program </w:t>
      </w:r>
      <w:r w:rsidRPr="00A670E9">
        <w:t>monitoring frameworks</w:t>
      </w:r>
      <w:r w:rsidR="00F633B8">
        <w:t xml:space="preserve">.  </w:t>
      </w:r>
    </w:p>
    <w:p w:rsidR="00A7502A" w:rsidRDefault="00A7502A" w:rsidP="00A7502A">
      <w:r>
        <w:t>The Philippines Program’s Aid Quality C</w:t>
      </w:r>
      <w:r w:rsidRPr="00A670E9">
        <w:t>heck</w:t>
      </w:r>
      <w:r>
        <w:t xml:space="preserve"> (AQC)</w:t>
      </w:r>
      <w:r w:rsidRPr="00A670E9">
        <w:t xml:space="preserve"> process this year did note a growing issue with a proliferation of agreements sitting underneath some investments. This is partially a result of the humanitarian response to the Marawi crisis, and partially due to the operating </w:t>
      </w:r>
      <w:r w:rsidR="00CC3209">
        <w:t>environment in the Philippines.</w:t>
      </w:r>
    </w:p>
    <w:p w:rsidR="00DC5016" w:rsidRPr="00DC5016" w:rsidRDefault="00DC5016" w:rsidP="00A670E9">
      <w:r w:rsidRPr="00DC5016">
        <w:t xml:space="preserve">A review of the World Bank Development Trust Fund will be completed in 2018. </w:t>
      </w:r>
    </w:p>
    <w:p w:rsidR="00A670E9" w:rsidRDefault="00A670E9" w:rsidP="00A670E9">
      <w:pPr>
        <w:rPr>
          <w:b/>
          <w:lang w:eastAsia="zh-CN"/>
        </w:rPr>
      </w:pPr>
      <w:r>
        <w:rPr>
          <w:b/>
          <w:lang w:eastAsia="zh-CN"/>
        </w:rPr>
        <w:t>Aid Quality Checks (AQCs)</w:t>
      </w:r>
    </w:p>
    <w:p w:rsidR="00A670E9" w:rsidRPr="00A670E9" w:rsidRDefault="00A670E9" w:rsidP="00A670E9">
      <w:pPr>
        <w:tabs>
          <w:tab w:val="left" w:pos="6762"/>
        </w:tabs>
      </w:pPr>
      <w:r w:rsidRPr="00A670E9">
        <w:t>In 2017-18 the Philippines Program completed seven</w:t>
      </w:r>
      <w:r>
        <w:t xml:space="preserve"> A</w:t>
      </w:r>
      <w:r w:rsidRPr="00A670E9">
        <w:t>Q</w:t>
      </w:r>
      <w:r>
        <w:t>C</w:t>
      </w:r>
      <w:r w:rsidRPr="00A670E9">
        <w:t>s and one F</w:t>
      </w:r>
      <w:r>
        <w:t xml:space="preserve">inal </w:t>
      </w:r>
      <w:r w:rsidRPr="00A670E9">
        <w:t xml:space="preserve">AQC. </w:t>
      </w:r>
      <w:r>
        <w:t>Seven</w:t>
      </w:r>
      <w:r w:rsidRPr="00A670E9">
        <w:t xml:space="preserve"> initiatives were exempt from the process this year, due to a combination of administrative arrangements and new programs that were not yet able to be assessed because they had mobilised </w:t>
      </w:r>
      <w:r w:rsidR="0072441D">
        <w:t xml:space="preserve">only </w:t>
      </w:r>
      <w:r w:rsidRPr="00A670E9">
        <w:t xml:space="preserve">a few months </w:t>
      </w:r>
      <w:r w:rsidR="0072441D">
        <w:t>earlier</w:t>
      </w:r>
      <w:r w:rsidRPr="00A670E9">
        <w:t>. A summary of the ratings for 2017-18 is at Annex D.</w:t>
      </w:r>
    </w:p>
    <w:p w:rsidR="00A670E9" w:rsidRPr="00A670E9" w:rsidRDefault="00A670E9" w:rsidP="00A670E9">
      <w:pPr>
        <w:tabs>
          <w:tab w:val="left" w:pos="6762"/>
        </w:tabs>
      </w:pPr>
      <w:r w:rsidRPr="00A670E9">
        <w:t xml:space="preserve">There was strong engagement on AQCs this year, with a robust process eliciting assessments based on a strengthened evidence base. </w:t>
      </w:r>
      <w:r w:rsidR="0072441D">
        <w:t>S</w:t>
      </w:r>
      <w:r w:rsidRPr="00A670E9">
        <w:t>core</w:t>
      </w:r>
      <w:r w:rsidR="0072441D">
        <w:t>s</w:t>
      </w:r>
      <w:r w:rsidRPr="00A670E9">
        <w:t xml:space="preserve"> of 6 w</w:t>
      </w:r>
      <w:r w:rsidR="0072441D">
        <w:t>ere</w:t>
      </w:r>
      <w:r w:rsidRPr="00A670E9">
        <w:t xml:space="preserve"> given very sparingly – only </w:t>
      </w:r>
      <w:r>
        <w:t>for R</w:t>
      </w:r>
      <w:r w:rsidRPr="00A670E9">
        <w:t xml:space="preserve">elevance in the </w:t>
      </w:r>
      <w:r>
        <w:t>Peacebuilding in Conflict-Affected Mindanao, D</w:t>
      </w:r>
      <w:r w:rsidRPr="00A670E9">
        <w:t xml:space="preserve">isasters and </w:t>
      </w:r>
      <w:r>
        <w:t>C</w:t>
      </w:r>
      <w:r w:rsidRPr="00A670E9">
        <w:t>limate</w:t>
      </w:r>
      <w:r>
        <w:t xml:space="preserve"> Risk Management</w:t>
      </w:r>
      <w:r w:rsidRPr="00A670E9">
        <w:t xml:space="preserve">, and </w:t>
      </w:r>
      <w:r>
        <w:t>the Partnership with The Asia Foundation</w:t>
      </w:r>
      <w:r w:rsidRPr="00A670E9">
        <w:t>, given the ongoing fragi</w:t>
      </w:r>
      <w:r>
        <w:t>lity, extremism and poverty in s</w:t>
      </w:r>
      <w:r w:rsidRPr="00A670E9">
        <w:t xml:space="preserve">outhern Philippines and the success of activating civil society and increasing demand for better governance.  </w:t>
      </w:r>
    </w:p>
    <w:p w:rsidR="00A670E9" w:rsidRDefault="00A670E9" w:rsidP="00A670E9">
      <w:pPr>
        <w:tabs>
          <w:tab w:val="left" w:pos="6762"/>
        </w:tabs>
      </w:pPr>
      <w:r w:rsidRPr="00A670E9">
        <w:t>The program has two Investments Requiring Improvement</w:t>
      </w:r>
      <w:r>
        <w:t xml:space="preserve"> (IRI)</w:t>
      </w:r>
      <w:r w:rsidRPr="00A670E9">
        <w:t xml:space="preserve"> this year – the Basic Education Sector Transformation</w:t>
      </w:r>
      <w:r>
        <w:t xml:space="preserve"> (BEST)</w:t>
      </w:r>
      <w:r w:rsidRPr="00A670E9">
        <w:t xml:space="preserve"> Program and the </w:t>
      </w:r>
      <w:r>
        <w:t xml:space="preserve">Philippines </w:t>
      </w:r>
      <w:r w:rsidRPr="00A670E9">
        <w:t xml:space="preserve">Social Protection </w:t>
      </w:r>
      <w:r>
        <w:t xml:space="preserve">Initiative. Both have </w:t>
      </w:r>
      <w:r w:rsidR="0072441D">
        <w:t>r</w:t>
      </w:r>
      <w:r>
        <w:t xml:space="preserve">emediation </w:t>
      </w:r>
      <w:r w:rsidR="0072441D">
        <w:t>p</w:t>
      </w:r>
      <w:r w:rsidRPr="00A670E9">
        <w:t>lans in place and we have increased senior management engagement with those programs.</w:t>
      </w:r>
    </w:p>
    <w:p w:rsidR="002C63B4" w:rsidRPr="00A670E9" w:rsidRDefault="006A0263" w:rsidP="00A670E9">
      <w:pPr>
        <w:tabs>
          <w:tab w:val="left" w:pos="6762"/>
        </w:tabs>
      </w:pPr>
      <w:r w:rsidRPr="00DC5016">
        <w:lastRenderedPageBreak/>
        <w:t>The program continued to ensure gender is mainstreamed across all of its major investments</w:t>
      </w:r>
      <w:r w:rsidR="003D7500" w:rsidRPr="00DC5016">
        <w:t>. Of the eight investments, seven</w:t>
      </w:r>
      <w:r w:rsidR="002C63B4" w:rsidRPr="00DC5016">
        <w:t xml:space="preserve"> were rated satisfactory and above</w:t>
      </w:r>
      <w:r w:rsidRPr="00DC5016">
        <w:t xml:space="preserve">. One investment, </w:t>
      </w:r>
      <w:r w:rsidR="002C63B4" w:rsidRPr="00DC5016">
        <w:t>INI632 Australia World Bank Development Trust Fund</w:t>
      </w:r>
      <w:r w:rsidRPr="00DC5016">
        <w:t>, was rated as less than adequate</w:t>
      </w:r>
      <w:r w:rsidR="00DC5016">
        <w:t xml:space="preserve"> (a ranking consistent with previous years)</w:t>
      </w:r>
      <w:r w:rsidRPr="00DC5016">
        <w:t>. To ensure a greater focus on gender equality and empowerment of women and girls for the World Bank Development Trust Fund, in 2018-19 it will</w:t>
      </w:r>
      <w:r w:rsidR="00574D83">
        <w:t xml:space="preserve"> support improved gender analysis and use of gender indicators in its projects, to identify how gender equality is relevant and can be addressed effectively in selected policy reforms</w:t>
      </w:r>
      <w:r w:rsidR="002C63B4" w:rsidRPr="00DC5016">
        <w:t xml:space="preserve">. </w:t>
      </w:r>
    </w:p>
    <w:p w:rsidR="00CC3209" w:rsidRDefault="00083450" w:rsidP="00CC3209">
      <w:pPr>
        <w:rPr>
          <w:b/>
          <w:lang w:eastAsia="zh-CN"/>
        </w:rPr>
      </w:pPr>
      <w:r>
        <w:rPr>
          <w:b/>
          <w:lang w:eastAsia="zh-CN"/>
        </w:rPr>
        <w:t xml:space="preserve">Performance Assessment </w:t>
      </w:r>
      <w:r w:rsidR="001A1CF4">
        <w:rPr>
          <w:b/>
          <w:lang w:eastAsia="zh-CN"/>
        </w:rPr>
        <w:t>Framework (PAF)</w:t>
      </w:r>
    </w:p>
    <w:p w:rsidR="00CC3209" w:rsidRPr="00CC3209" w:rsidRDefault="00CC3209" w:rsidP="00A670E9">
      <w:pPr>
        <w:rPr>
          <w:color w:val="auto"/>
          <w:lang w:val="en-AU"/>
        </w:rPr>
      </w:pPr>
      <w:r>
        <w:t xml:space="preserve">In 2018, the Office of Development Effectiveness (ODE) reviewed the Philippines 2016-17 APPR. The review identified the need to update and rationalise the Philippines Program </w:t>
      </w:r>
      <w:r w:rsidR="001A1CF4">
        <w:t>PAF</w:t>
      </w:r>
      <w:r>
        <w:t xml:space="preserve">.  ODE was of the view that the PAF used in 2017 reporting was overly complex and not a useful tool to measure progress.  As this </w:t>
      </w:r>
      <w:r w:rsidRPr="00F633B8">
        <w:t>is</w:t>
      </w:r>
      <w:r>
        <w:t xml:space="preserve"> the last APPR under the existing AIP, this APPR will keep the existing PAF and a new PAF will be developed for use under the new AIP.</w:t>
      </w:r>
    </w:p>
    <w:p w:rsidR="00A670E9" w:rsidRDefault="00A670E9" w:rsidP="00A670E9">
      <w:pPr>
        <w:rPr>
          <w:b/>
          <w:lang w:eastAsia="zh-CN"/>
        </w:rPr>
      </w:pPr>
      <w:r>
        <w:rPr>
          <w:b/>
          <w:lang w:eastAsia="zh-CN"/>
        </w:rPr>
        <w:t>Performance of key delivery partners</w:t>
      </w:r>
    </w:p>
    <w:p w:rsidR="00A670E9" w:rsidRPr="00DC5016" w:rsidRDefault="00BA774F" w:rsidP="00DC5016">
      <w:pPr>
        <w:tabs>
          <w:tab w:val="left" w:pos="6762"/>
        </w:tabs>
      </w:pPr>
      <w:r w:rsidRPr="00DC5016">
        <w:t>In 2017-18, 12 Partner Performance Assessments (</w:t>
      </w:r>
      <w:r w:rsidR="0072441D">
        <w:t>five</w:t>
      </w:r>
      <w:r w:rsidRPr="00DC5016">
        <w:t xml:space="preserve"> with multilateral organisations, </w:t>
      </w:r>
      <w:r w:rsidR="0072441D">
        <w:t>four</w:t>
      </w:r>
      <w:r w:rsidRPr="00DC5016">
        <w:t xml:space="preserve"> with foreign-based NGOs and </w:t>
      </w:r>
      <w:r w:rsidR="0072441D">
        <w:t>three</w:t>
      </w:r>
      <w:r w:rsidRPr="00DC5016">
        <w:t xml:space="preserve"> with commercial contractors) were completed by the Philippines </w:t>
      </w:r>
      <w:r w:rsidR="0072441D">
        <w:t>p</w:t>
      </w:r>
      <w:r w:rsidRPr="00DC5016">
        <w:t xml:space="preserve">rogram. The results indicate that our partners are providing effective program support, and that DFAT is achieving value for money in these partnerships. Where there have been concerns with partner performance, especially in the two IRIs, we have taken action by developing remediation plans with the implementing partners and making </w:t>
      </w:r>
      <w:r w:rsidR="0072441D">
        <w:t xml:space="preserve">clear </w:t>
      </w:r>
      <w:r w:rsidRPr="00DC5016">
        <w:t>DFAT</w:t>
      </w:r>
      <w:r w:rsidR="0072441D">
        <w:t>’</w:t>
      </w:r>
      <w:r w:rsidRPr="00DC5016">
        <w:t>s expectations for improvement clear.</w:t>
      </w:r>
      <w:r w:rsidR="00A670E9" w:rsidRPr="00DC5016">
        <w:t xml:space="preserve"> </w:t>
      </w:r>
    </w:p>
    <w:p w:rsidR="00F03CF2" w:rsidRDefault="00A670E9" w:rsidP="00F920E2">
      <w:r w:rsidRPr="00F920E2">
        <w:t xml:space="preserve">As flagged earlier in the report, </w:t>
      </w:r>
      <w:r w:rsidR="00DC5016">
        <w:t xml:space="preserve">providing </w:t>
      </w:r>
      <w:r w:rsidRPr="00F920E2">
        <w:t xml:space="preserve">budget support </w:t>
      </w:r>
      <w:r w:rsidR="00DC5016">
        <w:t>to the Philippines is a challenging mechanism to use in the Philippines. DFAT should carefully consider future use of this modality</w:t>
      </w:r>
      <w:r w:rsidR="008B0DF1">
        <w:t>.</w:t>
      </w:r>
    </w:p>
    <w:p w:rsidR="002A51CA" w:rsidRPr="002613E9" w:rsidRDefault="002A51CA" w:rsidP="002A51CA">
      <w:pPr>
        <w:pStyle w:val="Heading2"/>
      </w:pPr>
      <w:r w:rsidRPr="002613E9">
        <w:t>Risks</w:t>
      </w:r>
    </w:p>
    <w:p w:rsidR="002A51CA" w:rsidRPr="002613E9" w:rsidRDefault="002A51CA" w:rsidP="002613E9">
      <w:pPr>
        <w:spacing w:before="0" w:after="40"/>
        <w:rPr>
          <w:b/>
          <w:sz w:val="24"/>
        </w:rPr>
      </w:pPr>
      <w:r w:rsidRPr="002613E9">
        <w:rPr>
          <w:b/>
          <w:sz w:val="24"/>
        </w:rPr>
        <w:t>Table 3</w:t>
      </w:r>
      <w:r w:rsidR="00332EC9" w:rsidRPr="002613E9">
        <w:rPr>
          <w:b/>
          <w:sz w:val="24"/>
        </w:rPr>
        <w:t>:</w:t>
      </w:r>
      <w:r w:rsidRPr="002613E9">
        <w:rPr>
          <w:b/>
          <w:sz w:val="24"/>
        </w:rPr>
        <w:t xml:space="preserve"> Management of Key Risks to Achieving Objectives</w:t>
      </w:r>
    </w:p>
    <w:tbl>
      <w:tblPr>
        <w:tblW w:w="0" w:type="auto"/>
        <w:tblLayout w:type="fixed"/>
        <w:tblCellMar>
          <w:left w:w="0" w:type="dxa"/>
          <w:right w:w="0" w:type="dxa"/>
        </w:tblCellMar>
        <w:tblLook w:val="0000" w:firstRow="0" w:lastRow="0" w:firstColumn="0" w:lastColumn="0" w:noHBand="0" w:noVBand="0"/>
      </w:tblPr>
      <w:tblGrid>
        <w:gridCol w:w="2004"/>
        <w:gridCol w:w="2107"/>
        <w:gridCol w:w="2162"/>
        <w:gridCol w:w="1903"/>
        <w:gridCol w:w="1462"/>
      </w:tblGrid>
      <w:tr w:rsidR="002613E9" w:rsidTr="00802E98">
        <w:tc>
          <w:tcPr>
            <w:tcW w:w="2004" w:type="dxa"/>
            <w:tcBorders>
              <w:top w:val="single" w:sz="12" w:space="0" w:color="000000"/>
              <w:left w:val="nil"/>
              <w:bottom w:val="nil"/>
              <w:right w:val="nil"/>
            </w:tcBorders>
          </w:tcPr>
          <w:p w:rsidR="002613E9" w:rsidRPr="002613E9" w:rsidRDefault="002613E9" w:rsidP="00DB6F03">
            <w:pPr>
              <w:spacing w:before="40" w:after="40"/>
              <w:rPr>
                <w:b/>
                <w:sz w:val="17"/>
              </w:rPr>
            </w:pPr>
            <w:r w:rsidRPr="002613E9">
              <w:rPr>
                <w:b/>
                <w:sz w:val="17"/>
              </w:rPr>
              <w:t>Key risks</w:t>
            </w:r>
          </w:p>
        </w:tc>
        <w:tc>
          <w:tcPr>
            <w:tcW w:w="2107" w:type="dxa"/>
            <w:tcBorders>
              <w:top w:val="single" w:sz="12" w:space="0" w:color="000000"/>
              <w:left w:val="nil"/>
              <w:bottom w:val="nil"/>
              <w:right w:val="nil"/>
            </w:tcBorders>
          </w:tcPr>
          <w:p w:rsidR="002613E9" w:rsidRPr="002613E9" w:rsidRDefault="002613E9" w:rsidP="00DB6F03">
            <w:pPr>
              <w:spacing w:before="40" w:after="40"/>
              <w:rPr>
                <w:b/>
                <w:sz w:val="17"/>
              </w:rPr>
            </w:pPr>
            <w:r w:rsidRPr="002613E9">
              <w:rPr>
                <w:b/>
                <w:sz w:val="17"/>
              </w:rPr>
              <w:t>What actions were taken to manage the risks over the past year?</w:t>
            </w:r>
          </w:p>
        </w:tc>
        <w:tc>
          <w:tcPr>
            <w:tcW w:w="2162" w:type="dxa"/>
            <w:tcBorders>
              <w:top w:val="single" w:sz="12" w:space="0" w:color="000000"/>
              <w:left w:val="nil"/>
              <w:bottom w:val="nil"/>
              <w:right w:val="nil"/>
            </w:tcBorders>
          </w:tcPr>
          <w:p w:rsidR="002613E9" w:rsidRPr="002613E9" w:rsidRDefault="002613E9" w:rsidP="00DB6F03">
            <w:pPr>
              <w:spacing w:before="40" w:after="40"/>
              <w:rPr>
                <w:b/>
                <w:sz w:val="17"/>
              </w:rPr>
            </w:pPr>
            <w:r w:rsidRPr="002613E9">
              <w:rPr>
                <w:b/>
                <w:sz w:val="17"/>
              </w:rPr>
              <w:t>What further actions will be taken to manage the risks in the coming year?</w:t>
            </w:r>
          </w:p>
        </w:tc>
        <w:tc>
          <w:tcPr>
            <w:tcW w:w="1903" w:type="dxa"/>
            <w:tcBorders>
              <w:top w:val="single" w:sz="12" w:space="0" w:color="000000"/>
              <w:left w:val="nil"/>
              <w:bottom w:val="nil"/>
              <w:right w:val="nil"/>
            </w:tcBorders>
          </w:tcPr>
          <w:p w:rsidR="002613E9" w:rsidRPr="002613E9" w:rsidRDefault="002613E9" w:rsidP="00DB6F03">
            <w:pPr>
              <w:spacing w:before="40" w:after="40"/>
              <w:rPr>
                <w:b/>
                <w:sz w:val="17"/>
              </w:rPr>
            </w:pPr>
            <w:r w:rsidRPr="002613E9">
              <w:rPr>
                <w:b/>
                <w:sz w:val="17"/>
              </w:rPr>
              <w:t>For emerging/ongoing risks provide a Risk Rating (low, medium, high, very high)</w:t>
            </w:r>
          </w:p>
        </w:tc>
        <w:tc>
          <w:tcPr>
            <w:tcW w:w="1462" w:type="dxa"/>
            <w:tcBorders>
              <w:top w:val="single" w:sz="12" w:space="0" w:color="000000"/>
              <w:left w:val="nil"/>
              <w:bottom w:val="nil"/>
              <w:right w:val="nil"/>
            </w:tcBorders>
          </w:tcPr>
          <w:p w:rsidR="002613E9" w:rsidRPr="002613E9" w:rsidRDefault="002613E9" w:rsidP="00DB6F03">
            <w:pPr>
              <w:spacing w:before="40" w:after="40"/>
              <w:rPr>
                <w:b/>
                <w:sz w:val="17"/>
              </w:rPr>
            </w:pPr>
            <w:r w:rsidRPr="002613E9">
              <w:rPr>
                <w:b/>
                <w:sz w:val="17"/>
              </w:rPr>
              <w:t>Are these same risks in Post’s Risk Register (Yes/No)</w:t>
            </w:r>
          </w:p>
        </w:tc>
      </w:tr>
      <w:tr w:rsidR="002613E9" w:rsidTr="00802E98">
        <w:tc>
          <w:tcPr>
            <w:tcW w:w="2004" w:type="dxa"/>
            <w:tcBorders>
              <w:top w:val="nil"/>
              <w:left w:val="nil"/>
              <w:bottom w:val="nil"/>
              <w:right w:val="nil"/>
            </w:tcBorders>
          </w:tcPr>
          <w:p w:rsidR="002613E9" w:rsidRPr="002613E9" w:rsidRDefault="002613E9" w:rsidP="002613E9">
            <w:pPr>
              <w:spacing w:before="0" w:after="40"/>
              <w:rPr>
                <w:sz w:val="17"/>
              </w:rPr>
            </w:pPr>
            <w:r w:rsidRPr="002613E9">
              <w:rPr>
                <w:sz w:val="17"/>
              </w:rPr>
              <w:t>Humanitarian emergencies and natural disasters disrupt programs and divert resources</w:t>
            </w:r>
          </w:p>
        </w:tc>
        <w:tc>
          <w:tcPr>
            <w:tcW w:w="2107" w:type="dxa"/>
            <w:tcBorders>
              <w:top w:val="nil"/>
              <w:left w:val="nil"/>
              <w:bottom w:val="nil"/>
              <w:right w:val="nil"/>
            </w:tcBorders>
          </w:tcPr>
          <w:p w:rsidR="002613E9" w:rsidRPr="002613E9" w:rsidRDefault="002613E9" w:rsidP="002613E9">
            <w:pPr>
              <w:spacing w:before="0" w:after="40"/>
              <w:rPr>
                <w:sz w:val="17"/>
              </w:rPr>
            </w:pPr>
            <w:r w:rsidRPr="002613E9">
              <w:rPr>
                <w:sz w:val="17"/>
              </w:rPr>
              <w:t>Effective Whole-of-Government humanitarian response, backed by annual Emergency Response Team (ERT) training exercises</w:t>
            </w:r>
          </w:p>
        </w:tc>
        <w:tc>
          <w:tcPr>
            <w:tcW w:w="2162" w:type="dxa"/>
            <w:tcBorders>
              <w:top w:val="nil"/>
              <w:left w:val="nil"/>
              <w:bottom w:val="nil"/>
              <w:right w:val="nil"/>
            </w:tcBorders>
          </w:tcPr>
          <w:p w:rsidR="002613E9" w:rsidRPr="002613E9" w:rsidRDefault="002613E9" w:rsidP="002613E9">
            <w:pPr>
              <w:spacing w:before="0" w:after="40"/>
              <w:rPr>
                <w:sz w:val="17"/>
              </w:rPr>
            </w:pPr>
            <w:r w:rsidRPr="002613E9">
              <w:rPr>
                <w:sz w:val="17"/>
              </w:rPr>
              <w:t>Continue to monitor targets of interest where Australia can provide effective support in humanitarian and disaster risk reduction</w:t>
            </w:r>
          </w:p>
        </w:tc>
        <w:tc>
          <w:tcPr>
            <w:tcW w:w="1903" w:type="dxa"/>
            <w:tcBorders>
              <w:top w:val="nil"/>
              <w:left w:val="nil"/>
              <w:bottom w:val="nil"/>
              <w:right w:val="nil"/>
            </w:tcBorders>
          </w:tcPr>
          <w:p w:rsidR="002613E9" w:rsidRPr="002613E9" w:rsidRDefault="002613E9" w:rsidP="002613E9">
            <w:pPr>
              <w:spacing w:before="0" w:after="40"/>
              <w:rPr>
                <w:sz w:val="17"/>
              </w:rPr>
            </w:pPr>
            <w:r w:rsidRPr="002613E9">
              <w:rPr>
                <w:sz w:val="17"/>
              </w:rPr>
              <w:t>Medium</w:t>
            </w:r>
          </w:p>
        </w:tc>
        <w:tc>
          <w:tcPr>
            <w:tcW w:w="1462" w:type="dxa"/>
            <w:tcBorders>
              <w:top w:val="nil"/>
              <w:left w:val="nil"/>
              <w:bottom w:val="nil"/>
              <w:right w:val="nil"/>
            </w:tcBorders>
          </w:tcPr>
          <w:p w:rsidR="002613E9" w:rsidRPr="002613E9" w:rsidRDefault="002613E9" w:rsidP="002613E9">
            <w:pPr>
              <w:spacing w:before="0" w:after="40"/>
              <w:rPr>
                <w:sz w:val="17"/>
              </w:rPr>
            </w:pPr>
            <w:r w:rsidRPr="002613E9">
              <w:rPr>
                <w:sz w:val="17"/>
              </w:rPr>
              <w:t>Yes</w:t>
            </w:r>
          </w:p>
        </w:tc>
      </w:tr>
      <w:tr w:rsidR="002613E9" w:rsidTr="00802E98">
        <w:tc>
          <w:tcPr>
            <w:tcW w:w="2004" w:type="dxa"/>
            <w:tcBorders>
              <w:top w:val="nil"/>
              <w:left w:val="nil"/>
              <w:bottom w:val="nil"/>
              <w:right w:val="nil"/>
            </w:tcBorders>
          </w:tcPr>
          <w:p w:rsidR="002613E9" w:rsidRPr="002613E9" w:rsidRDefault="002613E9" w:rsidP="002613E9">
            <w:pPr>
              <w:spacing w:before="0" w:after="40"/>
              <w:rPr>
                <w:sz w:val="17"/>
              </w:rPr>
            </w:pPr>
            <w:r w:rsidRPr="002613E9">
              <w:rPr>
                <w:sz w:val="17"/>
              </w:rPr>
              <w:t xml:space="preserve">Changes in GPH priorities, changes in key contacts and/or political and security instability, passage of Bangsamoro Organic Law </w:t>
            </w:r>
            <w:r w:rsidR="00DB6F03">
              <w:rPr>
                <w:sz w:val="17"/>
              </w:rPr>
              <w:t xml:space="preserve">(BOL) </w:t>
            </w:r>
            <w:r w:rsidRPr="002613E9">
              <w:rPr>
                <w:sz w:val="17"/>
              </w:rPr>
              <w:t>delay program designs or sign off/mobilisation</w:t>
            </w:r>
          </w:p>
        </w:tc>
        <w:tc>
          <w:tcPr>
            <w:tcW w:w="2107" w:type="dxa"/>
            <w:tcBorders>
              <w:top w:val="nil"/>
              <w:left w:val="nil"/>
              <w:bottom w:val="nil"/>
              <w:right w:val="nil"/>
            </w:tcBorders>
          </w:tcPr>
          <w:p w:rsidR="002613E9" w:rsidRPr="002613E9" w:rsidRDefault="002613E9" w:rsidP="002613E9">
            <w:pPr>
              <w:spacing w:before="0" w:after="40"/>
              <w:rPr>
                <w:sz w:val="17"/>
              </w:rPr>
            </w:pPr>
            <w:r w:rsidRPr="002613E9">
              <w:rPr>
                <w:sz w:val="17"/>
              </w:rPr>
              <w:t xml:space="preserve">Due diligence done prior to engagement with partners and contractors; worked flexibly to accommodate emerging priorities </w:t>
            </w:r>
          </w:p>
          <w:p w:rsidR="002613E9" w:rsidRPr="002613E9" w:rsidRDefault="002613E9" w:rsidP="002613E9">
            <w:pPr>
              <w:spacing w:before="0" w:after="40"/>
              <w:rPr>
                <w:sz w:val="17"/>
              </w:rPr>
            </w:pPr>
          </w:p>
        </w:tc>
        <w:tc>
          <w:tcPr>
            <w:tcW w:w="2162" w:type="dxa"/>
            <w:tcBorders>
              <w:top w:val="nil"/>
              <w:left w:val="nil"/>
              <w:bottom w:val="nil"/>
              <w:right w:val="nil"/>
            </w:tcBorders>
          </w:tcPr>
          <w:p w:rsidR="002613E9" w:rsidRPr="002613E9" w:rsidRDefault="002613E9" w:rsidP="002613E9">
            <w:pPr>
              <w:spacing w:before="0" w:after="40"/>
              <w:rPr>
                <w:sz w:val="17"/>
              </w:rPr>
            </w:pPr>
            <w:r w:rsidRPr="002613E9">
              <w:rPr>
                <w:sz w:val="17"/>
              </w:rPr>
              <w:t>Continue with existing controls; build and strengthen relationships with the new administration, and working on regular dialogue with counterparts – including at Secretary level as new programs mobilise</w:t>
            </w:r>
          </w:p>
        </w:tc>
        <w:tc>
          <w:tcPr>
            <w:tcW w:w="1903" w:type="dxa"/>
            <w:tcBorders>
              <w:top w:val="nil"/>
              <w:left w:val="nil"/>
              <w:bottom w:val="nil"/>
              <w:right w:val="nil"/>
            </w:tcBorders>
          </w:tcPr>
          <w:p w:rsidR="002613E9" w:rsidRPr="002613E9" w:rsidRDefault="002613E9" w:rsidP="002613E9">
            <w:pPr>
              <w:spacing w:before="0" w:after="40"/>
              <w:rPr>
                <w:sz w:val="17"/>
              </w:rPr>
            </w:pPr>
            <w:r w:rsidRPr="002613E9">
              <w:rPr>
                <w:sz w:val="17"/>
              </w:rPr>
              <w:t>Medium</w:t>
            </w:r>
          </w:p>
        </w:tc>
        <w:tc>
          <w:tcPr>
            <w:tcW w:w="1462" w:type="dxa"/>
            <w:tcBorders>
              <w:top w:val="nil"/>
              <w:left w:val="nil"/>
              <w:bottom w:val="nil"/>
              <w:right w:val="nil"/>
            </w:tcBorders>
          </w:tcPr>
          <w:p w:rsidR="002613E9" w:rsidRPr="002613E9" w:rsidRDefault="002613E9" w:rsidP="002613E9">
            <w:pPr>
              <w:spacing w:before="0" w:after="40"/>
              <w:rPr>
                <w:sz w:val="17"/>
              </w:rPr>
            </w:pPr>
            <w:r w:rsidRPr="002613E9">
              <w:rPr>
                <w:sz w:val="17"/>
              </w:rPr>
              <w:t>Yes</w:t>
            </w:r>
          </w:p>
        </w:tc>
      </w:tr>
      <w:tr w:rsidR="002613E9" w:rsidTr="00802E98">
        <w:tc>
          <w:tcPr>
            <w:tcW w:w="2004" w:type="dxa"/>
            <w:tcBorders>
              <w:top w:val="nil"/>
              <w:left w:val="nil"/>
              <w:bottom w:val="single" w:sz="12" w:space="0" w:color="000000"/>
              <w:right w:val="nil"/>
            </w:tcBorders>
          </w:tcPr>
          <w:p w:rsidR="002613E9" w:rsidRPr="002613E9" w:rsidRDefault="002613E9" w:rsidP="002613E9">
            <w:pPr>
              <w:spacing w:before="0" w:after="40"/>
              <w:rPr>
                <w:sz w:val="17"/>
              </w:rPr>
            </w:pPr>
            <w:r w:rsidRPr="002613E9">
              <w:rPr>
                <w:sz w:val="17"/>
              </w:rPr>
              <w:t>Complex operating environment, active conflict setting, and presence of unlawful groups sees funds unintentionally directed towards entities/individuals with links to unlawful activity.</w:t>
            </w:r>
          </w:p>
          <w:p w:rsidR="002613E9" w:rsidRPr="002613E9" w:rsidRDefault="002613E9" w:rsidP="002613E9">
            <w:pPr>
              <w:spacing w:before="0" w:after="40"/>
              <w:rPr>
                <w:sz w:val="17"/>
              </w:rPr>
            </w:pPr>
          </w:p>
          <w:p w:rsidR="002613E9" w:rsidRPr="002613E9" w:rsidRDefault="002613E9" w:rsidP="002613E9">
            <w:pPr>
              <w:spacing w:before="0" w:after="40"/>
              <w:rPr>
                <w:sz w:val="17"/>
              </w:rPr>
            </w:pPr>
          </w:p>
          <w:p w:rsidR="002613E9" w:rsidRPr="002613E9" w:rsidRDefault="002613E9" w:rsidP="002613E9">
            <w:pPr>
              <w:spacing w:before="0" w:after="40"/>
              <w:rPr>
                <w:sz w:val="17"/>
              </w:rPr>
            </w:pPr>
          </w:p>
          <w:p w:rsidR="002613E9" w:rsidRPr="002613E9" w:rsidRDefault="002613E9" w:rsidP="002613E9">
            <w:pPr>
              <w:spacing w:before="0" w:after="40"/>
              <w:rPr>
                <w:sz w:val="17"/>
              </w:rPr>
            </w:pPr>
          </w:p>
          <w:p w:rsidR="002613E9" w:rsidRPr="002613E9" w:rsidRDefault="002613E9" w:rsidP="002613E9">
            <w:pPr>
              <w:spacing w:before="0" w:after="40"/>
              <w:rPr>
                <w:sz w:val="17"/>
              </w:rPr>
            </w:pPr>
          </w:p>
          <w:p w:rsidR="002613E9" w:rsidRPr="002613E9" w:rsidRDefault="002613E9" w:rsidP="002613E9">
            <w:pPr>
              <w:spacing w:before="0" w:after="40"/>
              <w:rPr>
                <w:sz w:val="17"/>
              </w:rPr>
            </w:pPr>
            <w:r w:rsidRPr="002613E9">
              <w:rPr>
                <w:sz w:val="17"/>
              </w:rPr>
              <w:t>Significant pressure on Embassy staff in Manila due to workloads and the fluid policy environment result in our programs becoming less effective.</w:t>
            </w:r>
          </w:p>
          <w:p w:rsidR="002613E9" w:rsidRPr="002613E9" w:rsidRDefault="002613E9" w:rsidP="002613E9">
            <w:pPr>
              <w:spacing w:before="0" w:after="40"/>
              <w:rPr>
                <w:sz w:val="17"/>
              </w:rPr>
            </w:pPr>
          </w:p>
        </w:tc>
        <w:tc>
          <w:tcPr>
            <w:tcW w:w="2107" w:type="dxa"/>
            <w:tcBorders>
              <w:top w:val="nil"/>
              <w:left w:val="nil"/>
              <w:bottom w:val="single" w:sz="12" w:space="0" w:color="000000"/>
              <w:right w:val="nil"/>
            </w:tcBorders>
          </w:tcPr>
          <w:p w:rsidR="002613E9" w:rsidRPr="002613E9" w:rsidRDefault="002613E9" w:rsidP="00DB6F03">
            <w:pPr>
              <w:spacing w:before="0" w:after="0"/>
              <w:rPr>
                <w:sz w:val="17"/>
              </w:rPr>
            </w:pPr>
            <w:r w:rsidRPr="002613E9">
              <w:rPr>
                <w:sz w:val="17"/>
              </w:rPr>
              <w:lastRenderedPageBreak/>
              <w:t xml:space="preserve">Contractual obligations for Managing Contractors require compliance with Commonwealth Procurement Guidelines, including screening entities and individuals through publically available databases. ‘Managing Terrorism Financing Risk in the Philippines: Threat and Risk </w:t>
            </w:r>
            <w:r w:rsidRPr="002613E9">
              <w:rPr>
                <w:sz w:val="17"/>
              </w:rPr>
              <w:lastRenderedPageBreak/>
              <w:t xml:space="preserve">Assessment and Framework’ paper drafted.  </w:t>
            </w:r>
          </w:p>
          <w:p w:rsidR="002613E9" w:rsidRPr="002613E9" w:rsidRDefault="002613E9" w:rsidP="002613E9">
            <w:pPr>
              <w:spacing w:before="0" w:after="40"/>
              <w:rPr>
                <w:sz w:val="17"/>
              </w:rPr>
            </w:pPr>
          </w:p>
          <w:p w:rsidR="002613E9" w:rsidRPr="002613E9" w:rsidRDefault="002613E9" w:rsidP="0072441D">
            <w:pPr>
              <w:spacing w:before="0" w:after="40"/>
              <w:rPr>
                <w:sz w:val="17"/>
              </w:rPr>
            </w:pPr>
            <w:r w:rsidRPr="002613E9">
              <w:rPr>
                <w:sz w:val="17"/>
              </w:rPr>
              <w:t xml:space="preserve">Additional resources were </w:t>
            </w:r>
            <w:r w:rsidR="005B2A0A">
              <w:rPr>
                <w:sz w:val="17"/>
              </w:rPr>
              <w:t xml:space="preserve">provided </w:t>
            </w:r>
            <w:r w:rsidRPr="002613E9">
              <w:rPr>
                <w:sz w:val="17"/>
              </w:rPr>
              <w:t>where possible</w:t>
            </w:r>
            <w:r w:rsidR="005B2A0A">
              <w:rPr>
                <w:sz w:val="17"/>
              </w:rPr>
              <w:t xml:space="preserve"> when requested</w:t>
            </w:r>
            <w:r w:rsidRPr="002613E9">
              <w:rPr>
                <w:sz w:val="17"/>
              </w:rPr>
              <w:t>; sectoral expertise was enlisted from Canberra.</w:t>
            </w:r>
          </w:p>
        </w:tc>
        <w:tc>
          <w:tcPr>
            <w:tcW w:w="2162" w:type="dxa"/>
            <w:tcBorders>
              <w:top w:val="nil"/>
              <w:left w:val="nil"/>
              <w:bottom w:val="single" w:sz="12" w:space="0" w:color="000000"/>
              <w:right w:val="nil"/>
            </w:tcBorders>
          </w:tcPr>
          <w:p w:rsidR="002613E9" w:rsidRPr="002613E9" w:rsidRDefault="0072441D" w:rsidP="002613E9">
            <w:pPr>
              <w:spacing w:before="0" w:after="40"/>
              <w:rPr>
                <w:sz w:val="17"/>
              </w:rPr>
            </w:pPr>
            <w:r>
              <w:rPr>
                <w:sz w:val="17"/>
              </w:rPr>
              <w:lastRenderedPageBreak/>
              <w:t xml:space="preserve">Our embassy in </w:t>
            </w:r>
            <w:r w:rsidR="002613E9" w:rsidRPr="002613E9">
              <w:rPr>
                <w:sz w:val="17"/>
              </w:rPr>
              <w:t>Manila has been implementing and will continue to implement additional screening measures on a quarterly basis; additional measures to be put in place for conflict-settings as required.</w:t>
            </w:r>
          </w:p>
          <w:p w:rsidR="002613E9" w:rsidRPr="002613E9" w:rsidRDefault="002613E9" w:rsidP="002613E9">
            <w:pPr>
              <w:spacing w:before="0" w:after="40"/>
              <w:rPr>
                <w:sz w:val="17"/>
              </w:rPr>
            </w:pPr>
          </w:p>
          <w:p w:rsidR="002613E9" w:rsidRPr="002613E9" w:rsidRDefault="002613E9" w:rsidP="002613E9">
            <w:pPr>
              <w:spacing w:before="0" w:after="40"/>
              <w:rPr>
                <w:sz w:val="17"/>
              </w:rPr>
            </w:pPr>
          </w:p>
          <w:p w:rsidR="002613E9" w:rsidRPr="002613E9" w:rsidRDefault="002613E9" w:rsidP="002613E9">
            <w:pPr>
              <w:spacing w:before="0" w:after="40"/>
              <w:rPr>
                <w:sz w:val="17"/>
              </w:rPr>
            </w:pPr>
          </w:p>
          <w:p w:rsidR="002613E9" w:rsidRPr="002613E9" w:rsidRDefault="002613E9" w:rsidP="002613E9">
            <w:pPr>
              <w:spacing w:before="0" w:after="40"/>
              <w:rPr>
                <w:sz w:val="17"/>
              </w:rPr>
            </w:pPr>
          </w:p>
          <w:p w:rsidR="002613E9" w:rsidRPr="002613E9" w:rsidRDefault="002613E9" w:rsidP="002613E9">
            <w:pPr>
              <w:spacing w:before="0" w:after="40"/>
              <w:rPr>
                <w:sz w:val="17"/>
              </w:rPr>
            </w:pPr>
          </w:p>
          <w:p w:rsidR="002613E9" w:rsidRPr="002613E9" w:rsidRDefault="002613E9" w:rsidP="002613E9">
            <w:pPr>
              <w:spacing w:before="0" w:after="40"/>
              <w:rPr>
                <w:sz w:val="17"/>
              </w:rPr>
            </w:pPr>
          </w:p>
          <w:p w:rsidR="002613E9" w:rsidRPr="002613E9" w:rsidRDefault="002613E9" w:rsidP="002613E9">
            <w:pPr>
              <w:spacing w:before="0" w:after="40"/>
              <w:rPr>
                <w:sz w:val="17"/>
              </w:rPr>
            </w:pPr>
            <w:r w:rsidRPr="002613E9">
              <w:rPr>
                <w:sz w:val="17"/>
              </w:rPr>
              <w:t>In developing the next Aid Investment Plan, resourcing for program implementation will be closely considered to ensure against staff burnout; relationships with implementing partners will be adjusted to maximise management efficiencies</w:t>
            </w:r>
            <w:r w:rsidR="008D7659">
              <w:rPr>
                <w:sz w:val="17"/>
              </w:rPr>
              <w:t>, and opportunities to consolidate the program, in terms of number of activities and sectors, will be explored</w:t>
            </w:r>
            <w:r w:rsidRPr="002613E9">
              <w:rPr>
                <w:sz w:val="17"/>
              </w:rPr>
              <w:t xml:space="preserve">. </w:t>
            </w:r>
          </w:p>
        </w:tc>
        <w:tc>
          <w:tcPr>
            <w:tcW w:w="1903" w:type="dxa"/>
            <w:tcBorders>
              <w:top w:val="nil"/>
              <w:left w:val="nil"/>
              <w:bottom w:val="single" w:sz="12" w:space="0" w:color="000000"/>
              <w:right w:val="nil"/>
            </w:tcBorders>
          </w:tcPr>
          <w:p w:rsidR="002613E9" w:rsidRPr="002613E9" w:rsidRDefault="002613E9" w:rsidP="002613E9">
            <w:pPr>
              <w:spacing w:before="0" w:after="40"/>
              <w:rPr>
                <w:sz w:val="17"/>
              </w:rPr>
            </w:pPr>
            <w:r w:rsidRPr="002613E9">
              <w:rPr>
                <w:sz w:val="17"/>
              </w:rPr>
              <w:lastRenderedPageBreak/>
              <w:t xml:space="preserve">Medium </w:t>
            </w:r>
          </w:p>
          <w:p w:rsidR="002613E9" w:rsidRPr="002613E9" w:rsidRDefault="002613E9" w:rsidP="002613E9">
            <w:pPr>
              <w:spacing w:before="0" w:after="40"/>
              <w:rPr>
                <w:sz w:val="17"/>
              </w:rPr>
            </w:pPr>
          </w:p>
          <w:p w:rsidR="002613E9" w:rsidRPr="002613E9" w:rsidRDefault="002613E9" w:rsidP="002613E9">
            <w:pPr>
              <w:spacing w:before="0" w:after="40"/>
              <w:rPr>
                <w:sz w:val="17"/>
              </w:rPr>
            </w:pPr>
          </w:p>
          <w:p w:rsidR="002613E9" w:rsidRPr="002613E9" w:rsidRDefault="002613E9" w:rsidP="002613E9">
            <w:pPr>
              <w:spacing w:before="0" w:after="40"/>
              <w:rPr>
                <w:sz w:val="17"/>
              </w:rPr>
            </w:pPr>
          </w:p>
          <w:p w:rsidR="002613E9" w:rsidRPr="002613E9" w:rsidRDefault="002613E9" w:rsidP="002613E9">
            <w:pPr>
              <w:spacing w:before="0" w:after="40"/>
              <w:rPr>
                <w:sz w:val="17"/>
              </w:rPr>
            </w:pPr>
          </w:p>
          <w:p w:rsidR="002613E9" w:rsidRPr="002613E9" w:rsidRDefault="002613E9" w:rsidP="002613E9">
            <w:pPr>
              <w:spacing w:before="0" w:after="40"/>
              <w:rPr>
                <w:sz w:val="17"/>
              </w:rPr>
            </w:pPr>
          </w:p>
          <w:p w:rsidR="002613E9" w:rsidRPr="002613E9" w:rsidRDefault="002613E9" w:rsidP="002613E9">
            <w:pPr>
              <w:spacing w:before="0" w:after="40"/>
              <w:rPr>
                <w:sz w:val="17"/>
              </w:rPr>
            </w:pPr>
          </w:p>
          <w:p w:rsidR="002613E9" w:rsidRPr="002613E9" w:rsidRDefault="002613E9" w:rsidP="002613E9">
            <w:pPr>
              <w:spacing w:before="0" w:after="40"/>
              <w:rPr>
                <w:sz w:val="17"/>
              </w:rPr>
            </w:pPr>
          </w:p>
          <w:p w:rsidR="002613E9" w:rsidRPr="002613E9" w:rsidRDefault="002613E9" w:rsidP="002613E9">
            <w:pPr>
              <w:spacing w:before="0" w:after="40"/>
              <w:rPr>
                <w:sz w:val="17"/>
              </w:rPr>
            </w:pPr>
          </w:p>
          <w:p w:rsidR="002613E9" w:rsidRPr="002613E9" w:rsidRDefault="002613E9" w:rsidP="002613E9">
            <w:pPr>
              <w:spacing w:before="0" w:after="40"/>
              <w:rPr>
                <w:sz w:val="17"/>
              </w:rPr>
            </w:pPr>
          </w:p>
          <w:p w:rsidR="002613E9" w:rsidRPr="002613E9" w:rsidRDefault="002613E9" w:rsidP="002613E9">
            <w:pPr>
              <w:spacing w:before="0" w:after="40"/>
              <w:rPr>
                <w:sz w:val="17"/>
              </w:rPr>
            </w:pPr>
          </w:p>
          <w:p w:rsidR="002613E9" w:rsidRPr="002613E9" w:rsidRDefault="002613E9" w:rsidP="002613E9">
            <w:pPr>
              <w:spacing w:before="0" w:after="40"/>
              <w:rPr>
                <w:sz w:val="17"/>
              </w:rPr>
            </w:pPr>
          </w:p>
          <w:p w:rsidR="002613E9" w:rsidRPr="002613E9" w:rsidRDefault="002613E9" w:rsidP="002613E9">
            <w:pPr>
              <w:spacing w:before="0" w:after="40"/>
              <w:rPr>
                <w:sz w:val="17"/>
              </w:rPr>
            </w:pPr>
            <w:r w:rsidRPr="002613E9">
              <w:rPr>
                <w:sz w:val="17"/>
              </w:rPr>
              <w:t>Medium</w:t>
            </w:r>
          </w:p>
        </w:tc>
        <w:tc>
          <w:tcPr>
            <w:tcW w:w="1462" w:type="dxa"/>
            <w:tcBorders>
              <w:top w:val="nil"/>
              <w:left w:val="nil"/>
              <w:bottom w:val="single" w:sz="12" w:space="0" w:color="000000"/>
              <w:right w:val="nil"/>
            </w:tcBorders>
          </w:tcPr>
          <w:p w:rsidR="002613E9" w:rsidRPr="002613E9" w:rsidRDefault="002613E9" w:rsidP="002613E9">
            <w:pPr>
              <w:spacing w:before="0" w:after="1680"/>
              <w:rPr>
                <w:sz w:val="17"/>
              </w:rPr>
            </w:pPr>
            <w:r w:rsidRPr="002613E9">
              <w:rPr>
                <w:sz w:val="17"/>
              </w:rPr>
              <w:lastRenderedPageBreak/>
              <w:t>Yes</w:t>
            </w:r>
          </w:p>
          <w:p w:rsidR="002613E9" w:rsidRPr="002613E9" w:rsidRDefault="002613E9" w:rsidP="002613E9">
            <w:pPr>
              <w:spacing w:before="0" w:after="40"/>
              <w:rPr>
                <w:sz w:val="17"/>
              </w:rPr>
            </w:pPr>
          </w:p>
          <w:p w:rsidR="002613E9" w:rsidRPr="002613E9" w:rsidRDefault="002613E9" w:rsidP="002613E9">
            <w:pPr>
              <w:spacing w:before="0" w:after="40"/>
              <w:rPr>
                <w:sz w:val="17"/>
              </w:rPr>
            </w:pPr>
          </w:p>
          <w:p w:rsidR="002613E9" w:rsidRPr="002613E9" w:rsidRDefault="002613E9" w:rsidP="002613E9">
            <w:pPr>
              <w:spacing w:before="0" w:after="40"/>
              <w:rPr>
                <w:sz w:val="17"/>
              </w:rPr>
            </w:pPr>
          </w:p>
          <w:p w:rsidR="002613E9" w:rsidRPr="002613E9" w:rsidRDefault="002613E9" w:rsidP="002613E9">
            <w:pPr>
              <w:spacing w:before="0" w:after="40"/>
              <w:rPr>
                <w:sz w:val="17"/>
              </w:rPr>
            </w:pPr>
          </w:p>
          <w:p w:rsidR="002613E9" w:rsidRPr="002613E9" w:rsidRDefault="002613E9" w:rsidP="002613E9">
            <w:pPr>
              <w:spacing w:before="0" w:after="40"/>
              <w:rPr>
                <w:sz w:val="17"/>
              </w:rPr>
            </w:pPr>
          </w:p>
          <w:p w:rsidR="002613E9" w:rsidRPr="002613E9" w:rsidRDefault="002613E9" w:rsidP="002613E9">
            <w:pPr>
              <w:spacing w:before="0" w:after="40"/>
              <w:rPr>
                <w:sz w:val="17"/>
              </w:rPr>
            </w:pPr>
            <w:r w:rsidRPr="002613E9">
              <w:rPr>
                <w:sz w:val="17"/>
              </w:rPr>
              <w:t xml:space="preserve">Yes </w:t>
            </w:r>
          </w:p>
        </w:tc>
      </w:tr>
    </w:tbl>
    <w:p w:rsidR="002A6AC8" w:rsidRPr="00130DFE" w:rsidRDefault="002613E9" w:rsidP="002A51CA">
      <w:pPr>
        <w:spacing w:before="20" w:after="20" w:line="180" w:lineRule="atLeast"/>
        <w:jc w:val="both"/>
      </w:pPr>
      <w:r w:rsidRPr="00130DFE">
        <w:lastRenderedPageBreak/>
        <w:t>The Risk profile for the program has not changed significantly over the last twelve months with the ongoing security and humanitarian situation in Marawi and the slow transition of the new Philippine Government administration. As discussed throughout this report, we have adjusted our approaches and programming accordingly.</w:t>
      </w:r>
    </w:p>
    <w:p w:rsidR="002A51CA" w:rsidRPr="002A51CA" w:rsidRDefault="002A51CA" w:rsidP="002A51CA">
      <w:pPr>
        <w:pStyle w:val="Heading2"/>
      </w:pPr>
      <w:r w:rsidRPr="002A51CA">
        <w:t xml:space="preserve">Management </w:t>
      </w:r>
      <w:r w:rsidR="00AC302F">
        <w:t>actions</w:t>
      </w:r>
      <w:r w:rsidRPr="002A51CA">
        <w:tab/>
      </w:r>
      <w:r w:rsidRPr="002A51CA">
        <w:tab/>
      </w:r>
    </w:p>
    <w:p w:rsidR="00F920E2" w:rsidRPr="0093646C" w:rsidRDefault="00F920E2" w:rsidP="00F920E2">
      <w:pPr>
        <w:rPr>
          <w:color w:val="auto"/>
        </w:rPr>
      </w:pPr>
      <w:r w:rsidRPr="00F920E2">
        <w:t xml:space="preserve">A summary of progress on management responses from 2016-17 is </w:t>
      </w:r>
      <w:r w:rsidR="00DC5016">
        <w:t>in the table in Annex A. In 2018-19</w:t>
      </w:r>
      <w:r w:rsidRPr="00F920E2">
        <w:t xml:space="preserve"> a number of new priorities will guide our management responses to this APPR. Foremost amongst these is development of the new Aid Investment Plan</w:t>
      </w:r>
      <w:r>
        <w:t xml:space="preserve"> (AIP)</w:t>
      </w:r>
      <w:r w:rsidRPr="00F920E2">
        <w:t xml:space="preserve">. The current AIP objectives have remained relevant to the development goals of both the Australian and Philippine </w:t>
      </w:r>
      <w:r>
        <w:t>g</w:t>
      </w:r>
      <w:r w:rsidRPr="00F920E2">
        <w:t>overnments, but the transition to the Duterte administration did take longer than expected and</w:t>
      </w:r>
      <w:r w:rsidR="0072441D">
        <w:t xml:space="preserve"> </w:t>
      </w:r>
      <w:r w:rsidRPr="00F920E2">
        <w:t xml:space="preserve">only now, two years into the administration, is </w:t>
      </w:r>
      <w:r w:rsidR="0072441D">
        <w:t xml:space="preserve">it </w:t>
      </w:r>
      <w:r w:rsidRPr="00F920E2">
        <w:t xml:space="preserve">becoming clear that a recasting of objectives is needed. To do so </w:t>
      </w:r>
      <w:r w:rsidR="0072441D">
        <w:t xml:space="preserve">sooner </w:t>
      </w:r>
      <w:r w:rsidRPr="00F920E2">
        <w:t xml:space="preserve">would have been premature. </w:t>
      </w:r>
    </w:p>
    <w:p w:rsidR="00F920E2" w:rsidRDefault="00F920E2" w:rsidP="00F920E2">
      <w:pPr>
        <w:rPr>
          <w:color w:val="auto"/>
        </w:rPr>
      </w:pPr>
      <w:r w:rsidRPr="00F920E2">
        <w:t>A key lesson learned for the program as it was managed across this lengthy and difficult</w:t>
      </w:r>
      <w:r w:rsidR="00344E4C">
        <w:t xml:space="preserve"> transition between Philippine g</w:t>
      </w:r>
      <w:r w:rsidRPr="00F920E2">
        <w:t xml:space="preserve">overnment administrations is that flexibility in programming is critical. This is not just to ensure we can respond to opportunities for reform as they arise or to ensure we remain relevant for our partners, but to give room to programs to continue operating throughout the transition period. </w:t>
      </w:r>
      <w:r w:rsidRPr="00BD5AED">
        <w:rPr>
          <w:color w:val="auto"/>
        </w:rPr>
        <w:t xml:space="preserve"> </w:t>
      </w:r>
    </w:p>
    <w:p w:rsidR="00FC4722" w:rsidRDefault="00FC4722" w:rsidP="00FC4722">
      <w:pPr>
        <w:rPr>
          <w:color w:val="auto"/>
          <w:lang w:val="en-AU"/>
        </w:rPr>
      </w:pPr>
      <w:r>
        <w:t xml:space="preserve">While to date there has been little strategic focus on disability, as the current AIP pre-dates the </w:t>
      </w:r>
      <w:r>
        <w:rPr>
          <w:i/>
          <w:iCs/>
        </w:rPr>
        <w:t xml:space="preserve">Development for All </w:t>
      </w:r>
      <w:r>
        <w:t>disability strategy, this will be addressed in the next AIP.</w:t>
      </w:r>
    </w:p>
    <w:p w:rsidR="00FC4722" w:rsidRDefault="00FC4722" w:rsidP="00F920E2">
      <w:pPr>
        <w:rPr>
          <w:color w:val="auto"/>
        </w:rPr>
      </w:pPr>
    </w:p>
    <w:p w:rsidR="00F920E2" w:rsidRPr="0093646C" w:rsidRDefault="00F920E2" w:rsidP="00F920E2">
      <w:pPr>
        <w:rPr>
          <w:b/>
          <w:color w:val="auto"/>
        </w:rPr>
      </w:pPr>
      <w:r w:rsidRPr="0093646C">
        <w:rPr>
          <w:b/>
          <w:color w:val="auto"/>
        </w:rPr>
        <w:t>Strategic Responses:</w:t>
      </w:r>
    </w:p>
    <w:p w:rsidR="00F920E2" w:rsidRPr="00F920E2" w:rsidRDefault="00F920E2" w:rsidP="00F920E2">
      <w:r w:rsidRPr="00F920E2">
        <w:t>In 20</w:t>
      </w:r>
      <w:r>
        <w:t xml:space="preserve">18-19 a new </w:t>
      </w:r>
      <w:r w:rsidRPr="00F920E2">
        <w:t>AIP for the Philippines will be finalised and implemented for the period ending 202</w:t>
      </w:r>
      <w:r w:rsidR="008D7659">
        <w:t>4</w:t>
      </w:r>
      <w:r w:rsidRPr="00F920E2">
        <w:t>. The AIP development process will be led by the Ph</w:t>
      </w:r>
      <w:r w:rsidR="00EB35E3">
        <w:t xml:space="preserve">ilippines Desk in </w:t>
      </w:r>
      <w:r w:rsidR="00A04E84">
        <w:t>DFAT</w:t>
      </w:r>
      <w:r w:rsidR="00EB35E3">
        <w:t>, in</w:t>
      </w:r>
      <w:r w:rsidRPr="00F920E2">
        <w:t xml:space="preserve"> close consultation with </w:t>
      </w:r>
      <w:r w:rsidR="00A04E84">
        <w:t>the embassy in Manila</w:t>
      </w:r>
      <w:r w:rsidRPr="00F920E2">
        <w:t>.</w:t>
      </w:r>
    </w:p>
    <w:p w:rsidR="00F920E2" w:rsidRPr="00DB4ADD" w:rsidRDefault="00F920E2" w:rsidP="00FD0C18">
      <w:pPr>
        <w:pStyle w:val="ListParagraph"/>
        <w:numPr>
          <w:ilvl w:val="0"/>
          <w:numId w:val="12"/>
        </w:numPr>
        <w:rPr>
          <w:rFonts w:asciiTheme="minorHAnsi" w:eastAsiaTheme="minorHAnsi" w:hAnsiTheme="minorHAnsi" w:cstheme="minorBidi"/>
          <w:color w:val="495965" w:themeColor="text2"/>
          <w:sz w:val="22"/>
          <w:szCs w:val="22"/>
          <w:lang w:val="en-GB"/>
        </w:rPr>
      </w:pPr>
      <w:r w:rsidRPr="00DB4ADD">
        <w:rPr>
          <w:rFonts w:asciiTheme="minorHAnsi" w:eastAsiaTheme="minorHAnsi" w:hAnsiTheme="minorHAnsi" w:cstheme="minorBidi"/>
          <w:color w:val="495965" w:themeColor="text2"/>
          <w:sz w:val="22"/>
          <w:szCs w:val="22"/>
          <w:lang w:val="en-GB"/>
        </w:rPr>
        <w:t>This process will include: re</w:t>
      </w:r>
      <w:r w:rsidR="00A04E84">
        <w:rPr>
          <w:rFonts w:asciiTheme="minorHAnsi" w:eastAsiaTheme="minorHAnsi" w:hAnsiTheme="minorHAnsi" w:cstheme="minorBidi"/>
          <w:color w:val="495965" w:themeColor="text2"/>
          <w:sz w:val="22"/>
          <w:szCs w:val="22"/>
          <w:lang w:val="en-GB"/>
        </w:rPr>
        <w:t>casting objectives (especially those</w:t>
      </w:r>
      <w:r w:rsidRPr="00DB4ADD">
        <w:rPr>
          <w:rFonts w:asciiTheme="minorHAnsi" w:eastAsiaTheme="minorHAnsi" w:hAnsiTheme="minorHAnsi" w:cstheme="minorBidi"/>
          <w:color w:val="495965" w:themeColor="text2"/>
          <w:sz w:val="22"/>
          <w:szCs w:val="22"/>
          <w:lang w:val="en-GB"/>
        </w:rPr>
        <w:t xml:space="preserve"> in the economic sectors</w:t>
      </w:r>
      <w:r w:rsidR="00A04E84">
        <w:rPr>
          <w:rFonts w:asciiTheme="minorHAnsi" w:eastAsiaTheme="minorHAnsi" w:hAnsiTheme="minorHAnsi" w:cstheme="minorBidi"/>
          <w:color w:val="495965" w:themeColor="text2"/>
          <w:sz w:val="22"/>
          <w:szCs w:val="22"/>
          <w:lang w:val="en-GB"/>
        </w:rPr>
        <w:t>,</w:t>
      </w:r>
      <w:r w:rsidR="008D7659">
        <w:rPr>
          <w:rFonts w:asciiTheme="minorHAnsi" w:eastAsiaTheme="minorHAnsi" w:hAnsiTheme="minorHAnsi" w:cstheme="minorBidi"/>
          <w:color w:val="495965" w:themeColor="text2"/>
          <w:sz w:val="22"/>
          <w:szCs w:val="22"/>
          <w:lang w:val="en-GB"/>
        </w:rPr>
        <w:t xml:space="preserve"> to better align with government priorities</w:t>
      </w:r>
      <w:r w:rsidRPr="00DB4ADD">
        <w:rPr>
          <w:rFonts w:asciiTheme="minorHAnsi" w:eastAsiaTheme="minorHAnsi" w:hAnsiTheme="minorHAnsi" w:cstheme="minorBidi"/>
          <w:color w:val="495965" w:themeColor="text2"/>
          <w:sz w:val="22"/>
          <w:szCs w:val="22"/>
          <w:lang w:val="en-GB"/>
        </w:rPr>
        <w:t xml:space="preserve">), revising the preferred modalities that we will use in the Philippines. We will continue to look for opportunities to work closely </w:t>
      </w:r>
      <w:r w:rsidR="00DB4ADD" w:rsidRPr="00DC5016">
        <w:rPr>
          <w:rFonts w:asciiTheme="minorHAnsi" w:eastAsiaTheme="minorHAnsi" w:hAnsiTheme="minorHAnsi" w:cstheme="minorBidi"/>
          <w:color w:val="495965" w:themeColor="text2"/>
          <w:sz w:val="22"/>
          <w:szCs w:val="22"/>
          <w:lang w:val="en-GB"/>
        </w:rPr>
        <w:t>with partner government departments, a</w:t>
      </w:r>
      <w:r w:rsidR="00915A2B" w:rsidRPr="00915A2B">
        <w:rPr>
          <w:rFonts w:asciiTheme="minorHAnsi" w:eastAsiaTheme="minorHAnsi" w:hAnsiTheme="minorHAnsi" w:cstheme="minorBidi"/>
          <w:color w:val="495965" w:themeColor="text2"/>
          <w:sz w:val="22"/>
          <w:szCs w:val="22"/>
          <w:lang w:val="en-GB"/>
        </w:rPr>
        <w:t>nd review the benefits and risks</w:t>
      </w:r>
      <w:r w:rsidR="00DB4ADD" w:rsidRPr="00DC5016">
        <w:rPr>
          <w:rFonts w:asciiTheme="minorHAnsi" w:eastAsiaTheme="minorHAnsi" w:hAnsiTheme="minorHAnsi" w:cstheme="minorBidi"/>
          <w:color w:val="495965" w:themeColor="text2"/>
          <w:sz w:val="22"/>
          <w:szCs w:val="22"/>
          <w:lang w:val="en-GB"/>
        </w:rPr>
        <w:t xml:space="preserve"> of providing direct budget support.</w:t>
      </w:r>
    </w:p>
    <w:p w:rsidR="00F920E2" w:rsidRPr="00A916D8" w:rsidRDefault="00F920E2" w:rsidP="00FD0C18">
      <w:pPr>
        <w:pStyle w:val="ListParagraph"/>
        <w:numPr>
          <w:ilvl w:val="0"/>
          <w:numId w:val="12"/>
        </w:numPr>
        <w:rPr>
          <w:rFonts w:asciiTheme="minorHAnsi" w:eastAsiaTheme="minorHAnsi" w:hAnsiTheme="minorHAnsi" w:cstheme="minorBidi"/>
          <w:color w:val="495965" w:themeColor="text2"/>
          <w:sz w:val="22"/>
          <w:szCs w:val="22"/>
          <w:lang w:val="en-GB"/>
        </w:rPr>
      </w:pPr>
      <w:r w:rsidRPr="00A916D8">
        <w:rPr>
          <w:rFonts w:asciiTheme="minorHAnsi" w:eastAsiaTheme="minorHAnsi" w:hAnsiTheme="minorHAnsi" w:cstheme="minorBidi"/>
          <w:color w:val="495965" w:themeColor="text2"/>
          <w:sz w:val="22"/>
          <w:szCs w:val="22"/>
          <w:lang w:val="en-GB"/>
        </w:rPr>
        <w:t xml:space="preserve">In developing future AIP benchmarks we will work to articulate </w:t>
      </w:r>
      <w:r w:rsidR="0097490A">
        <w:rPr>
          <w:rFonts w:asciiTheme="minorHAnsi" w:eastAsiaTheme="minorHAnsi" w:hAnsiTheme="minorHAnsi" w:cstheme="minorBidi"/>
          <w:color w:val="495965" w:themeColor="text2"/>
          <w:sz w:val="22"/>
          <w:szCs w:val="22"/>
          <w:lang w:val="en-GB"/>
        </w:rPr>
        <w:t xml:space="preserve">better </w:t>
      </w:r>
      <w:r w:rsidRPr="00A916D8">
        <w:rPr>
          <w:rFonts w:asciiTheme="minorHAnsi" w:eastAsiaTheme="minorHAnsi" w:hAnsiTheme="minorHAnsi" w:cstheme="minorBidi"/>
          <w:color w:val="495965" w:themeColor="text2"/>
          <w:sz w:val="22"/>
          <w:szCs w:val="22"/>
          <w:lang w:val="en-GB"/>
        </w:rPr>
        <w:t>the expected progress towards outcomes</w:t>
      </w:r>
      <w:r w:rsidR="00574D83">
        <w:rPr>
          <w:rFonts w:asciiTheme="minorHAnsi" w:eastAsiaTheme="minorHAnsi" w:hAnsiTheme="minorHAnsi" w:cstheme="minorBidi"/>
          <w:color w:val="495965" w:themeColor="text2"/>
          <w:sz w:val="22"/>
          <w:szCs w:val="22"/>
          <w:lang w:val="en-GB"/>
        </w:rPr>
        <w:t>.  W</w:t>
      </w:r>
      <w:r w:rsidRPr="00A916D8">
        <w:rPr>
          <w:rFonts w:asciiTheme="minorHAnsi" w:eastAsiaTheme="minorHAnsi" w:hAnsiTheme="minorHAnsi" w:cstheme="minorBidi"/>
          <w:color w:val="495965" w:themeColor="text2"/>
          <w:sz w:val="22"/>
          <w:szCs w:val="22"/>
          <w:lang w:val="en-GB"/>
        </w:rPr>
        <w:t xml:space="preserve">e found reporting against the benchmarks for 2015-16 in the current AIP </w:t>
      </w:r>
      <w:r w:rsidR="00A04E84">
        <w:rPr>
          <w:rFonts w:asciiTheme="minorHAnsi" w:eastAsiaTheme="minorHAnsi" w:hAnsiTheme="minorHAnsi" w:cstheme="minorBidi"/>
          <w:color w:val="495965" w:themeColor="text2"/>
          <w:sz w:val="22"/>
          <w:szCs w:val="22"/>
          <w:lang w:val="en-GB"/>
        </w:rPr>
        <w:t>was not useful</w:t>
      </w:r>
      <w:r w:rsidRPr="00A916D8">
        <w:rPr>
          <w:rFonts w:asciiTheme="minorHAnsi" w:eastAsiaTheme="minorHAnsi" w:hAnsiTheme="minorHAnsi" w:cstheme="minorBidi"/>
          <w:color w:val="495965" w:themeColor="text2"/>
          <w:sz w:val="22"/>
          <w:szCs w:val="22"/>
          <w:lang w:val="en-GB"/>
        </w:rPr>
        <w:t xml:space="preserve"> for tracking intended program trajectories, and ill-fitting with the evolving political economy of the Philippines. </w:t>
      </w:r>
    </w:p>
    <w:p w:rsidR="00F920E2" w:rsidRPr="00A916D8" w:rsidRDefault="00F920E2" w:rsidP="00FD0C18">
      <w:pPr>
        <w:pStyle w:val="ListParagraph"/>
        <w:numPr>
          <w:ilvl w:val="0"/>
          <w:numId w:val="12"/>
        </w:numPr>
        <w:rPr>
          <w:rFonts w:asciiTheme="minorHAnsi" w:eastAsiaTheme="minorHAnsi" w:hAnsiTheme="minorHAnsi" w:cstheme="minorBidi"/>
          <w:color w:val="495965" w:themeColor="text2"/>
          <w:sz w:val="22"/>
          <w:szCs w:val="22"/>
          <w:lang w:val="en-GB"/>
        </w:rPr>
      </w:pPr>
      <w:r w:rsidRPr="00A916D8">
        <w:rPr>
          <w:rFonts w:asciiTheme="minorHAnsi" w:eastAsiaTheme="minorHAnsi" w:hAnsiTheme="minorHAnsi" w:cstheme="minorBidi"/>
          <w:color w:val="495965" w:themeColor="text2"/>
          <w:sz w:val="22"/>
          <w:szCs w:val="22"/>
          <w:lang w:val="en-GB"/>
        </w:rPr>
        <w:t xml:space="preserve">The next AIP will have a new Performance Assessment Framework (PAF) to support it. This PAF will be developed </w:t>
      </w:r>
      <w:r w:rsidR="008D7659">
        <w:rPr>
          <w:rFonts w:asciiTheme="minorHAnsi" w:eastAsiaTheme="minorHAnsi" w:hAnsiTheme="minorHAnsi" w:cstheme="minorBidi"/>
          <w:color w:val="495965" w:themeColor="text2"/>
          <w:sz w:val="22"/>
          <w:szCs w:val="22"/>
          <w:lang w:val="en-GB"/>
        </w:rPr>
        <w:t xml:space="preserve">and lead by </w:t>
      </w:r>
      <w:r w:rsidRPr="00A916D8">
        <w:rPr>
          <w:rFonts w:asciiTheme="minorHAnsi" w:eastAsiaTheme="minorHAnsi" w:hAnsiTheme="minorHAnsi" w:cstheme="minorBidi"/>
          <w:color w:val="495965" w:themeColor="text2"/>
          <w:sz w:val="22"/>
          <w:szCs w:val="22"/>
          <w:lang w:val="en-GB"/>
        </w:rPr>
        <w:t xml:space="preserve">the Post Monitoring and Evaluation Adviser with additional expertise </w:t>
      </w:r>
      <w:r w:rsidRPr="00A916D8">
        <w:rPr>
          <w:rFonts w:asciiTheme="minorHAnsi" w:eastAsiaTheme="minorHAnsi" w:hAnsiTheme="minorHAnsi" w:cstheme="minorBidi"/>
          <w:color w:val="495965" w:themeColor="text2"/>
          <w:sz w:val="22"/>
          <w:szCs w:val="22"/>
          <w:lang w:val="en-GB"/>
        </w:rPr>
        <w:lastRenderedPageBreak/>
        <w:t xml:space="preserve">drawn from </w:t>
      </w:r>
      <w:r w:rsidR="00C6247A">
        <w:rPr>
          <w:rFonts w:asciiTheme="minorHAnsi" w:eastAsiaTheme="minorHAnsi" w:hAnsiTheme="minorHAnsi" w:cstheme="minorBidi"/>
          <w:color w:val="495965" w:themeColor="text2"/>
          <w:sz w:val="22"/>
          <w:szCs w:val="22"/>
          <w:lang w:val="en-GB"/>
        </w:rPr>
        <w:t>the Office of Development Effectiveness (</w:t>
      </w:r>
      <w:r w:rsidR="00EB35E3">
        <w:rPr>
          <w:rFonts w:asciiTheme="minorHAnsi" w:eastAsiaTheme="minorHAnsi" w:hAnsiTheme="minorHAnsi" w:cstheme="minorBidi"/>
          <w:color w:val="495965" w:themeColor="text2"/>
          <w:sz w:val="22"/>
          <w:szCs w:val="22"/>
          <w:lang w:val="en-GB"/>
        </w:rPr>
        <w:t>ODE</w:t>
      </w:r>
      <w:r w:rsidR="00C6247A">
        <w:rPr>
          <w:rFonts w:asciiTheme="minorHAnsi" w:eastAsiaTheme="minorHAnsi" w:hAnsiTheme="minorHAnsi" w:cstheme="minorBidi"/>
          <w:color w:val="495965" w:themeColor="text2"/>
          <w:sz w:val="22"/>
          <w:szCs w:val="22"/>
          <w:lang w:val="en-GB"/>
        </w:rPr>
        <w:t>)</w:t>
      </w:r>
      <w:r w:rsidR="00EB35E3">
        <w:rPr>
          <w:rFonts w:asciiTheme="minorHAnsi" w:eastAsiaTheme="minorHAnsi" w:hAnsiTheme="minorHAnsi" w:cstheme="minorBidi"/>
          <w:color w:val="495965" w:themeColor="text2"/>
          <w:sz w:val="22"/>
          <w:szCs w:val="22"/>
          <w:lang w:val="en-GB"/>
        </w:rPr>
        <w:t xml:space="preserve"> and the </w:t>
      </w:r>
      <w:r w:rsidRPr="00A916D8">
        <w:rPr>
          <w:rFonts w:asciiTheme="minorHAnsi" w:eastAsiaTheme="minorHAnsi" w:hAnsiTheme="minorHAnsi" w:cstheme="minorBidi"/>
          <w:color w:val="495965" w:themeColor="text2"/>
          <w:sz w:val="22"/>
          <w:szCs w:val="22"/>
          <w:lang w:val="en-GB"/>
        </w:rPr>
        <w:t>Aid Contracting and Management Division</w:t>
      </w:r>
      <w:r w:rsidR="00344E4C" w:rsidRPr="00A916D8">
        <w:rPr>
          <w:rFonts w:asciiTheme="minorHAnsi" w:eastAsiaTheme="minorHAnsi" w:hAnsiTheme="minorHAnsi" w:cstheme="minorBidi"/>
          <w:color w:val="495965" w:themeColor="text2"/>
          <w:sz w:val="22"/>
          <w:szCs w:val="22"/>
          <w:lang w:val="en-GB"/>
        </w:rPr>
        <w:t xml:space="preserve"> (ACD)</w:t>
      </w:r>
      <w:r w:rsidR="00A04E84">
        <w:rPr>
          <w:rFonts w:asciiTheme="minorHAnsi" w:eastAsiaTheme="minorHAnsi" w:hAnsiTheme="minorHAnsi" w:cstheme="minorBidi"/>
          <w:color w:val="495965" w:themeColor="text2"/>
          <w:sz w:val="22"/>
          <w:szCs w:val="22"/>
          <w:lang w:val="en-GB"/>
        </w:rPr>
        <w:t xml:space="preserve"> in DFAT</w:t>
      </w:r>
      <w:r w:rsidRPr="00A916D8">
        <w:rPr>
          <w:rFonts w:asciiTheme="minorHAnsi" w:eastAsiaTheme="minorHAnsi" w:hAnsiTheme="minorHAnsi" w:cstheme="minorBidi"/>
          <w:color w:val="495965" w:themeColor="text2"/>
          <w:sz w:val="22"/>
          <w:szCs w:val="22"/>
          <w:lang w:val="en-GB"/>
        </w:rPr>
        <w:t>.</w:t>
      </w:r>
    </w:p>
    <w:p w:rsidR="00F920E2" w:rsidRPr="00A916D8" w:rsidRDefault="00F920E2" w:rsidP="00FD0C18">
      <w:pPr>
        <w:pStyle w:val="ListParagraph"/>
        <w:numPr>
          <w:ilvl w:val="0"/>
          <w:numId w:val="12"/>
        </w:numPr>
        <w:rPr>
          <w:rFonts w:asciiTheme="minorHAnsi" w:eastAsiaTheme="minorHAnsi" w:hAnsiTheme="minorHAnsi" w:cstheme="minorBidi"/>
          <w:color w:val="495965" w:themeColor="text2"/>
          <w:sz w:val="22"/>
          <w:szCs w:val="22"/>
          <w:lang w:val="en-GB"/>
        </w:rPr>
      </w:pPr>
      <w:r w:rsidRPr="00A916D8">
        <w:rPr>
          <w:rFonts w:asciiTheme="minorHAnsi" w:eastAsiaTheme="minorHAnsi" w:hAnsiTheme="minorHAnsi" w:cstheme="minorBidi"/>
          <w:color w:val="495965" w:themeColor="text2"/>
          <w:sz w:val="22"/>
          <w:szCs w:val="22"/>
          <w:lang w:val="en-GB"/>
        </w:rPr>
        <w:t xml:space="preserve">The Philippines Program Gender Action Plan will be </w:t>
      </w:r>
      <w:r w:rsidR="00574D83">
        <w:rPr>
          <w:rFonts w:asciiTheme="minorHAnsi" w:eastAsiaTheme="minorHAnsi" w:hAnsiTheme="minorHAnsi" w:cstheme="minorBidi"/>
          <w:color w:val="495965" w:themeColor="text2"/>
          <w:sz w:val="22"/>
          <w:szCs w:val="22"/>
          <w:lang w:val="en-GB"/>
        </w:rPr>
        <w:t>updated</w:t>
      </w:r>
      <w:r w:rsidRPr="00A916D8">
        <w:rPr>
          <w:rFonts w:asciiTheme="minorHAnsi" w:eastAsiaTheme="minorHAnsi" w:hAnsiTheme="minorHAnsi" w:cstheme="minorBidi"/>
          <w:color w:val="495965" w:themeColor="text2"/>
          <w:sz w:val="22"/>
          <w:szCs w:val="22"/>
          <w:lang w:val="en-GB"/>
        </w:rPr>
        <w:t xml:space="preserve"> following an internal review of the first year of implementation of the Plan. This process will be led by </w:t>
      </w:r>
      <w:r w:rsidR="00A04E84">
        <w:rPr>
          <w:rFonts w:asciiTheme="minorHAnsi" w:eastAsiaTheme="minorHAnsi" w:hAnsiTheme="minorHAnsi" w:cstheme="minorBidi"/>
          <w:color w:val="495965" w:themeColor="text2"/>
          <w:sz w:val="22"/>
          <w:szCs w:val="22"/>
          <w:lang w:val="en-GB"/>
        </w:rPr>
        <w:t>the embassy</w:t>
      </w:r>
      <w:r w:rsidR="002B0ED5">
        <w:rPr>
          <w:rFonts w:asciiTheme="minorHAnsi" w:eastAsiaTheme="minorHAnsi" w:hAnsiTheme="minorHAnsi" w:cstheme="minorBidi"/>
          <w:color w:val="495965" w:themeColor="text2"/>
          <w:sz w:val="22"/>
          <w:szCs w:val="22"/>
          <w:lang w:val="en-GB"/>
        </w:rPr>
        <w:t xml:space="preserve"> (by Oct 2018)</w:t>
      </w:r>
      <w:r w:rsidRPr="00A916D8">
        <w:rPr>
          <w:rFonts w:asciiTheme="minorHAnsi" w:eastAsiaTheme="minorHAnsi" w:hAnsiTheme="minorHAnsi" w:cstheme="minorBidi"/>
          <w:color w:val="495965" w:themeColor="text2"/>
          <w:sz w:val="22"/>
          <w:szCs w:val="22"/>
          <w:lang w:val="en-GB"/>
        </w:rPr>
        <w:t>.</w:t>
      </w:r>
      <w:r w:rsidR="008D2A4F" w:rsidRPr="008D2A4F">
        <w:rPr>
          <w:rFonts w:asciiTheme="minorHAnsi" w:eastAsiaTheme="minorHAnsi" w:hAnsiTheme="minorHAnsi" w:cstheme="minorBidi"/>
          <w:color w:val="FF0000"/>
          <w:sz w:val="22"/>
          <w:szCs w:val="22"/>
          <w:lang w:val="en-GB"/>
        </w:rPr>
        <w:t xml:space="preserve"> </w:t>
      </w:r>
    </w:p>
    <w:p w:rsidR="00CC3209" w:rsidRDefault="00CC3209" w:rsidP="00F920E2">
      <w:pPr>
        <w:rPr>
          <w:b/>
          <w:color w:val="auto"/>
        </w:rPr>
      </w:pPr>
    </w:p>
    <w:p w:rsidR="00F920E2" w:rsidRPr="00E62313" w:rsidRDefault="00F920E2" w:rsidP="00F920E2">
      <w:pPr>
        <w:rPr>
          <w:b/>
          <w:color w:val="auto"/>
        </w:rPr>
      </w:pPr>
      <w:r w:rsidRPr="00E62313">
        <w:rPr>
          <w:b/>
          <w:color w:val="auto"/>
        </w:rPr>
        <w:t>Operational Responses:</w:t>
      </w:r>
    </w:p>
    <w:p w:rsidR="00F920E2" w:rsidRPr="00344E4C" w:rsidRDefault="00F920E2" w:rsidP="00FD0C18">
      <w:pPr>
        <w:pStyle w:val="ListParagraph"/>
        <w:numPr>
          <w:ilvl w:val="0"/>
          <w:numId w:val="12"/>
        </w:numPr>
        <w:rPr>
          <w:rFonts w:asciiTheme="minorHAnsi" w:eastAsiaTheme="minorHAnsi" w:hAnsiTheme="minorHAnsi" w:cstheme="minorBidi"/>
          <w:color w:val="495965" w:themeColor="text2"/>
          <w:sz w:val="22"/>
          <w:szCs w:val="22"/>
          <w:lang w:val="en-GB"/>
        </w:rPr>
      </w:pPr>
      <w:r w:rsidRPr="00344E4C">
        <w:rPr>
          <w:rFonts w:asciiTheme="minorHAnsi" w:eastAsiaTheme="minorHAnsi" w:hAnsiTheme="minorHAnsi" w:cstheme="minorBidi"/>
          <w:color w:val="495965" w:themeColor="text2"/>
          <w:sz w:val="22"/>
          <w:szCs w:val="22"/>
          <w:lang w:val="en-GB"/>
        </w:rPr>
        <w:t xml:space="preserve">Management of the two Investments Requiring Improvement (IRI) will be a priority for both program teams and senior management at </w:t>
      </w:r>
      <w:r w:rsidR="00A04E84">
        <w:rPr>
          <w:rFonts w:asciiTheme="minorHAnsi" w:eastAsiaTheme="minorHAnsi" w:hAnsiTheme="minorHAnsi" w:cstheme="minorBidi"/>
          <w:color w:val="495965" w:themeColor="text2"/>
          <w:sz w:val="22"/>
          <w:szCs w:val="22"/>
          <w:lang w:val="en-GB"/>
        </w:rPr>
        <w:t>the embassy</w:t>
      </w:r>
      <w:r w:rsidR="00344E4C">
        <w:rPr>
          <w:rFonts w:asciiTheme="minorHAnsi" w:eastAsiaTheme="minorHAnsi" w:hAnsiTheme="minorHAnsi" w:cstheme="minorBidi"/>
          <w:color w:val="495965" w:themeColor="text2"/>
          <w:sz w:val="22"/>
          <w:szCs w:val="22"/>
          <w:lang w:val="en-GB"/>
        </w:rPr>
        <w:t xml:space="preserve">. The </w:t>
      </w:r>
      <w:r w:rsidR="00A04E84">
        <w:rPr>
          <w:rFonts w:asciiTheme="minorHAnsi" w:eastAsiaTheme="minorHAnsi" w:hAnsiTheme="minorHAnsi" w:cstheme="minorBidi"/>
          <w:color w:val="495965" w:themeColor="text2"/>
          <w:sz w:val="22"/>
          <w:szCs w:val="22"/>
          <w:lang w:val="en-GB"/>
        </w:rPr>
        <w:t>r</w:t>
      </w:r>
      <w:r w:rsidR="00344E4C">
        <w:rPr>
          <w:rFonts w:asciiTheme="minorHAnsi" w:eastAsiaTheme="minorHAnsi" w:hAnsiTheme="minorHAnsi" w:cstheme="minorBidi"/>
          <w:color w:val="495965" w:themeColor="text2"/>
          <w:sz w:val="22"/>
          <w:szCs w:val="22"/>
          <w:lang w:val="en-GB"/>
        </w:rPr>
        <w:t xml:space="preserve">emediation </w:t>
      </w:r>
      <w:r w:rsidR="00A04E84">
        <w:rPr>
          <w:rFonts w:asciiTheme="minorHAnsi" w:eastAsiaTheme="minorHAnsi" w:hAnsiTheme="minorHAnsi" w:cstheme="minorBidi"/>
          <w:color w:val="495965" w:themeColor="text2"/>
          <w:sz w:val="22"/>
          <w:szCs w:val="22"/>
          <w:lang w:val="en-GB"/>
        </w:rPr>
        <w:t>p</w:t>
      </w:r>
      <w:r w:rsidRPr="00344E4C">
        <w:rPr>
          <w:rFonts w:asciiTheme="minorHAnsi" w:eastAsiaTheme="minorHAnsi" w:hAnsiTheme="minorHAnsi" w:cstheme="minorBidi"/>
          <w:color w:val="495965" w:themeColor="text2"/>
          <w:sz w:val="22"/>
          <w:szCs w:val="22"/>
          <w:lang w:val="en-GB"/>
        </w:rPr>
        <w:t xml:space="preserve">lans contain detailed actions and timeframes for this. The program management team acknowledges the significant additional time needed to manage IRIs. </w:t>
      </w:r>
    </w:p>
    <w:p w:rsidR="00F920E2" w:rsidRPr="00344E4C" w:rsidRDefault="00A04E84" w:rsidP="00FD0C18">
      <w:pPr>
        <w:pStyle w:val="ListParagraph"/>
        <w:numPr>
          <w:ilvl w:val="0"/>
          <w:numId w:val="12"/>
        </w:numPr>
        <w:rPr>
          <w:rFonts w:asciiTheme="minorHAnsi" w:eastAsiaTheme="minorHAnsi" w:hAnsiTheme="minorHAnsi" w:cstheme="minorBidi"/>
          <w:color w:val="495965" w:themeColor="text2"/>
          <w:sz w:val="22"/>
          <w:szCs w:val="22"/>
          <w:lang w:val="en-GB"/>
        </w:rPr>
      </w:pPr>
      <w:r>
        <w:rPr>
          <w:rFonts w:asciiTheme="minorHAnsi" w:eastAsiaTheme="minorHAnsi" w:hAnsiTheme="minorHAnsi" w:cstheme="minorBidi"/>
          <w:color w:val="495965" w:themeColor="text2"/>
          <w:sz w:val="22"/>
          <w:szCs w:val="22"/>
          <w:lang w:val="en-GB"/>
        </w:rPr>
        <w:t>The embassy</w:t>
      </w:r>
      <w:r w:rsidR="00F920E2" w:rsidRPr="00344E4C">
        <w:rPr>
          <w:rFonts w:asciiTheme="minorHAnsi" w:eastAsiaTheme="minorHAnsi" w:hAnsiTheme="minorHAnsi" w:cstheme="minorBidi"/>
          <w:color w:val="495965" w:themeColor="text2"/>
          <w:sz w:val="22"/>
          <w:szCs w:val="22"/>
          <w:lang w:val="en-GB"/>
        </w:rPr>
        <w:t xml:space="preserve"> will continue to monitor the humanitarian and recovery activities for communities affected by the Marawi conflict, and will identify opportunities for Australia to assist with the longer term recovery plan from the Philippine Government </w:t>
      </w:r>
      <w:r w:rsidR="00F920E2" w:rsidRPr="00EB35E3">
        <w:rPr>
          <w:rFonts w:asciiTheme="minorHAnsi" w:eastAsiaTheme="minorHAnsi" w:hAnsiTheme="minorHAnsi" w:cstheme="minorBidi"/>
          <w:color w:val="495965" w:themeColor="text2"/>
          <w:sz w:val="22"/>
          <w:szCs w:val="22"/>
          <w:lang w:val="en-GB"/>
        </w:rPr>
        <w:t>when it is available</w:t>
      </w:r>
      <w:r w:rsidR="00F920E2" w:rsidRPr="00344E4C">
        <w:rPr>
          <w:rFonts w:asciiTheme="minorHAnsi" w:eastAsiaTheme="minorHAnsi" w:hAnsiTheme="minorHAnsi" w:cstheme="minorBidi"/>
          <w:color w:val="495965" w:themeColor="text2"/>
          <w:sz w:val="22"/>
          <w:szCs w:val="22"/>
          <w:lang w:val="en-GB"/>
        </w:rPr>
        <w:t xml:space="preserve">. We will emphasise the need for community consultation in all activities, and donor coordination with the </w:t>
      </w:r>
      <w:r w:rsidR="00344E4C">
        <w:rPr>
          <w:rFonts w:asciiTheme="minorHAnsi" w:eastAsiaTheme="minorHAnsi" w:hAnsiTheme="minorHAnsi" w:cstheme="minorBidi"/>
          <w:color w:val="495965" w:themeColor="text2"/>
          <w:sz w:val="22"/>
          <w:szCs w:val="22"/>
          <w:lang w:val="en-GB"/>
        </w:rPr>
        <w:t xml:space="preserve">Taskforce </w:t>
      </w:r>
      <w:r w:rsidR="00F920E2" w:rsidRPr="00344E4C">
        <w:rPr>
          <w:rFonts w:asciiTheme="minorHAnsi" w:eastAsiaTheme="minorHAnsi" w:hAnsiTheme="minorHAnsi" w:cstheme="minorBidi"/>
          <w:i/>
          <w:color w:val="495965" w:themeColor="text2"/>
          <w:sz w:val="22"/>
          <w:szCs w:val="22"/>
          <w:lang w:val="en-GB"/>
        </w:rPr>
        <w:t>Bangon Marawi</w:t>
      </w:r>
      <w:r w:rsidR="00344E4C">
        <w:rPr>
          <w:rFonts w:asciiTheme="minorHAnsi" w:eastAsiaTheme="minorHAnsi" w:hAnsiTheme="minorHAnsi" w:cstheme="minorBidi"/>
          <w:color w:val="495965" w:themeColor="text2"/>
          <w:sz w:val="22"/>
          <w:szCs w:val="22"/>
          <w:lang w:val="en-GB"/>
        </w:rPr>
        <w:t xml:space="preserve"> </w:t>
      </w:r>
      <w:r w:rsidR="00F920E2" w:rsidRPr="00344E4C">
        <w:rPr>
          <w:rFonts w:asciiTheme="minorHAnsi" w:eastAsiaTheme="minorHAnsi" w:hAnsiTheme="minorHAnsi" w:cstheme="minorBidi"/>
          <w:color w:val="495965" w:themeColor="text2"/>
          <w:sz w:val="22"/>
          <w:szCs w:val="22"/>
          <w:lang w:val="en-GB"/>
        </w:rPr>
        <w:t xml:space="preserve">and multilateral partners. </w:t>
      </w:r>
    </w:p>
    <w:p w:rsidR="00F920E2" w:rsidRPr="00344E4C" w:rsidRDefault="00F920E2" w:rsidP="00FD0C18">
      <w:pPr>
        <w:pStyle w:val="ListParagraph"/>
        <w:numPr>
          <w:ilvl w:val="0"/>
          <w:numId w:val="12"/>
        </w:numPr>
        <w:rPr>
          <w:rFonts w:asciiTheme="minorHAnsi" w:eastAsiaTheme="minorHAnsi" w:hAnsiTheme="minorHAnsi" w:cstheme="minorBidi"/>
          <w:color w:val="495965" w:themeColor="text2"/>
          <w:sz w:val="22"/>
          <w:szCs w:val="22"/>
          <w:lang w:val="en-GB"/>
        </w:rPr>
      </w:pPr>
      <w:r w:rsidRPr="00344E4C">
        <w:rPr>
          <w:rFonts w:asciiTheme="minorHAnsi" w:eastAsiaTheme="minorHAnsi" w:hAnsiTheme="minorHAnsi" w:cstheme="minorBidi"/>
          <w:color w:val="495965" w:themeColor="text2"/>
          <w:sz w:val="22"/>
          <w:szCs w:val="22"/>
          <w:lang w:val="en-GB"/>
        </w:rPr>
        <w:t>Post (in consultation with relevant areas in Canberra) will lead a detailed risk assessment process (on top of the processes already in place) to support our operations in Mindanao, to ensure we are managing risk effectively and efficiently.</w:t>
      </w:r>
      <w:r w:rsidRPr="008D2A4F">
        <w:rPr>
          <w:rFonts w:asciiTheme="minorHAnsi" w:eastAsiaTheme="minorHAnsi" w:hAnsiTheme="minorHAnsi" w:cstheme="minorBidi"/>
          <w:color w:val="FF0000"/>
          <w:sz w:val="22"/>
          <w:szCs w:val="22"/>
          <w:lang w:val="en-GB"/>
        </w:rPr>
        <w:t xml:space="preserve"> </w:t>
      </w:r>
    </w:p>
    <w:p w:rsidR="00F920E2" w:rsidRDefault="00F920E2" w:rsidP="00FD0C18">
      <w:pPr>
        <w:pStyle w:val="ListParagraph"/>
        <w:numPr>
          <w:ilvl w:val="0"/>
          <w:numId w:val="12"/>
        </w:numPr>
        <w:rPr>
          <w:rFonts w:asciiTheme="minorHAnsi" w:eastAsiaTheme="minorHAnsi" w:hAnsiTheme="minorHAnsi" w:cstheme="minorBidi"/>
          <w:color w:val="495965" w:themeColor="text2"/>
          <w:sz w:val="22"/>
          <w:szCs w:val="22"/>
          <w:lang w:val="en-GB"/>
        </w:rPr>
      </w:pPr>
      <w:r w:rsidRPr="00344E4C">
        <w:rPr>
          <w:rFonts w:asciiTheme="minorHAnsi" w:eastAsiaTheme="minorHAnsi" w:hAnsiTheme="minorHAnsi" w:cstheme="minorBidi"/>
          <w:color w:val="495965" w:themeColor="text2"/>
          <w:sz w:val="22"/>
          <w:szCs w:val="22"/>
          <w:lang w:val="en-GB"/>
        </w:rPr>
        <w:t>Post will lead pro</w:t>
      </w:r>
      <w:r w:rsidR="00A04E84">
        <w:rPr>
          <w:rFonts w:asciiTheme="minorHAnsi" w:eastAsiaTheme="minorHAnsi" w:hAnsiTheme="minorHAnsi" w:cstheme="minorBidi"/>
          <w:color w:val="495965" w:themeColor="text2"/>
          <w:sz w:val="22"/>
          <w:szCs w:val="22"/>
          <w:lang w:val="en-GB"/>
        </w:rPr>
        <w:t>cesses with the m</w:t>
      </w:r>
      <w:r w:rsidRPr="00344E4C">
        <w:rPr>
          <w:rFonts w:asciiTheme="minorHAnsi" w:eastAsiaTheme="minorHAnsi" w:hAnsiTheme="minorHAnsi" w:cstheme="minorBidi"/>
          <w:color w:val="495965" w:themeColor="text2"/>
          <w:sz w:val="22"/>
          <w:szCs w:val="22"/>
          <w:lang w:val="en-GB"/>
        </w:rPr>
        <w:t xml:space="preserve">onitoring and </w:t>
      </w:r>
      <w:r w:rsidR="00A04E84">
        <w:rPr>
          <w:rFonts w:asciiTheme="minorHAnsi" w:eastAsiaTheme="minorHAnsi" w:hAnsiTheme="minorHAnsi" w:cstheme="minorBidi"/>
          <w:color w:val="495965" w:themeColor="text2"/>
          <w:sz w:val="22"/>
          <w:szCs w:val="22"/>
          <w:lang w:val="en-GB"/>
        </w:rPr>
        <w:t>e</w:t>
      </w:r>
      <w:r w:rsidRPr="00344E4C">
        <w:rPr>
          <w:rFonts w:asciiTheme="minorHAnsi" w:eastAsiaTheme="minorHAnsi" w:hAnsiTheme="minorHAnsi" w:cstheme="minorBidi"/>
          <w:color w:val="495965" w:themeColor="text2"/>
          <w:sz w:val="22"/>
          <w:szCs w:val="22"/>
          <w:lang w:val="en-GB"/>
        </w:rPr>
        <w:t xml:space="preserve">valuation adviser to ensure initiatives </w:t>
      </w:r>
      <w:r w:rsidR="00A04E84">
        <w:rPr>
          <w:rFonts w:asciiTheme="minorHAnsi" w:eastAsiaTheme="minorHAnsi" w:hAnsiTheme="minorHAnsi" w:cstheme="minorBidi"/>
          <w:color w:val="495965" w:themeColor="text2"/>
          <w:sz w:val="22"/>
          <w:szCs w:val="22"/>
          <w:lang w:val="en-GB"/>
        </w:rPr>
        <w:t>involving a</w:t>
      </w:r>
      <w:r w:rsidRPr="00344E4C">
        <w:rPr>
          <w:rFonts w:asciiTheme="minorHAnsi" w:eastAsiaTheme="minorHAnsi" w:hAnsiTheme="minorHAnsi" w:cstheme="minorBidi"/>
          <w:color w:val="495965" w:themeColor="text2"/>
          <w:sz w:val="22"/>
          <w:szCs w:val="22"/>
          <w:lang w:val="en-GB"/>
        </w:rPr>
        <w:t xml:space="preserve"> large number of separate investments </w:t>
      </w:r>
      <w:r w:rsidR="00A04E84">
        <w:rPr>
          <w:rFonts w:asciiTheme="minorHAnsi" w:eastAsiaTheme="minorHAnsi" w:hAnsiTheme="minorHAnsi" w:cstheme="minorBidi"/>
          <w:color w:val="495965" w:themeColor="text2"/>
          <w:sz w:val="22"/>
          <w:szCs w:val="22"/>
          <w:lang w:val="en-GB"/>
        </w:rPr>
        <w:t>a</w:t>
      </w:r>
      <w:r w:rsidRPr="00344E4C">
        <w:rPr>
          <w:rFonts w:asciiTheme="minorHAnsi" w:eastAsiaTheme="minorHAnsi" w:hAnsiTheme="minorHAnsi" w:cstheme="minorBidi"/>
          <w:color w:val="495965" w:themeColor="text2"/>
          <w:sz w:val="22"/>
          <w:szCs w:val="22"/>
          <w:lang w:val="en-GB"/>
        </w:rPr>
        <w:t xml:space="preserve">re contributing to </w:t>
      </w:r>
      <w:r w:rsidR="00A04E84">
        <w:rPr>
          <w:rFonts w:asciiTheme="minorHAnsi" w:eastAsiaTheme="minorHAnsi" w:hAnsiTheme="minorHAnsi" w:cstheme="minorBidi"/>
          <w:color w:val="495965" w:themeColor="text2"/>
          <w:sz w:val="22"/>
          <w:szCs w:val="22"/>
          <w:lang w:val="en-GB"/>
        </w:rPr>
        <w:t xml:space="preserve">our consolidated </w:t>
      </w:r>
      <w:r w:rsidRPr="00344E4C">
        <w:rPr>
          <w:rFonts w:asciiTheme="minorHAnsi" w:eastAsiaTheme="minorHAnsi" w:hAnsiTheme="minorHAnsi" w:cstheme="minorBidi"/>
          <w:color w:val="495965" w:themeColor="text2"/>
          <w:sz w:val="22"/>
          <w:szCs w:val="22"/>
          <w:lang w:val="en-GB"/>
        </w:rPr>
        <w:t>objectives. This will help to prevent proliferation of smaller investments.</w:t>
      </w:r>
    </w:p>
    <w:p w:rsidR="004C76E8" w:rsidRPr="00EB35E3" w:rsidRDefault="00F920E2" w:rsidP="00FD0C18">
      <w:pPr>
        <w:pStyle w:val="ListParagraph"/>
        <w:numPr>
          <w:ilvl w:val="0"/>
          <w:numId w:val="12"/>
        </w:numPr>
        <w:rPr>
          <w:rFonts w:asciiTheme="minorHAnsi" w:hAnsiTheme="minorHAnsi" w:cstheme="minorHAnsi"/>
        </w:rPr>
      </w:pPr>
      <w:r w:rsidRPr="00344E4C">
        <w:rPr>
          <w:rFonts w:asciiTheme="minorHAnsi" w:eastAsiaTheme="minorHAnsi" w:hAnsiTheme="minorHAnsi" w:cstheme="minorBidi"/>
          <w:color w:val="495965" w:themeColor="text2"/>
          <w:sz w:val="22"/>
          <w:szCs w:val="22"/>
          <w:lang w:val="en-GB"/>
        </w:rPr>
        <w:t xml:space="preserve">Two programs will </w:t>
      </w:r>
      <w:r w:rsidR="00A04E84">
        <w:rPr>
          <w:rFonts w:asciiTheme="minorHAnsi" w:eastAsiaTheme="minorHAnsi" w:hAnsiTheme="minorHAnsi" w:cstheme="minorBidi"/>
          <w:color w:val="495965" w:themeColor="text2"/>
          <w:sz w:val="22"/>
          <w:szCs w:val="22"/>
          <w:lang w:val="en-GB"/>
        </w:rPr>
        <w:t>commence</w:t>
      </w:r>
      <w:r w:rsidRPr="00344E4C">
        <w:rPr>
          <w:rFonts w:asciiTheme="minorHAnsi" w:eastAsiaTheme="minorHAnsi" w:hAnsiTheme="minorHAnsi" w:cstheme="minorBidi"/>
          <w:color w:val="495965" w:themeColor="text2"/>
          <w:sz w:val="22"/>
          <w:szCs w:val="22"/>
          <w:lang w:val="en-GB"/>
        </w:rPr>
        <w:t xml:space="preserve"> </w:t>
      </w:r>
      <w:r w:rsidR="00344E4C">
        <w:rPr>
          <w:rFonts w:asciiTheme="minorHAnsi" w:eastAsiaTheme="minorHAnsi" w:hAnsiTheme="minorHAnsi" w:cstheme="minorBidi"/>
          <w:color w:val="495965" w:themeColor="text2"/>
          <w:sz w:val="22"/>
          <w:szCs w:val="22"/>
          <w:lang w:val="en-GB"/>
        </w:rPr>
        <w:t xml:space="preserve">a second phase in 2018-19: </w:t>
      </w:r>
      <w:r w:rsidRPr="00344E4C">
        <w:rPr>
          <w:rFonts w:asciiTheme="minorHAnsi" w:eastAsiaTheme="minorHAnsi" w:hAnsiTheme="minorHAnsi" w:cstheme="minorBidi"/>
          <w:color w:val="495965" w:themeColor="text2"/>
          <w:sz w:val="22"/>
          <w:szCs w:val="22"/>
          <w:lang w:val="en-GB"/>
        </w:rPr>
        <w:t>Coalitions for Change and Child Protection</w:t>
      </w:r>
      <w:r w:rsidR="008C1C33">
        <w:rPr>
          <w:rFonts w:asciiTheme="minorHAnsi" w:eastAsiaTheme="minorHAnsi" w:hAnsiTheme="minorHAnsi" w:cstheme="minorBidi"/>
          <w:color w:val="495965" w:themeColor="text2"/>
          <w:sz w:val="22"/>
          <w:szCs w:val="22"/>
          <w:lang w:val="en-GB"/>
        </w:rPr>
        <w:t xml:space="preserve"> programs</w:t>
      </w:r>
      <w:r w:rsidRPr="00344E4C">
        <w:rPr>
          <w:rFonts w:asciiTheme="minorHAnsi" w:eastAsiaTheme="minorHAnsi" w:hAnsiTheme="minorHAnsi" w:cstheme="minorBidi"/>
          <w:color w:val="495965" w:themeColor="text2"/>
          <w:sz w:val="22"/>
          <w:szCs w:val="22"/>
          <w:lang w:val="en-GB"/>
        </w:rPr>
        <w:t xml:space="preserve">. This process will be managed by </w:t>
      </w:r>
      <w:r w:rsidR="00A04E84">
        <w:rPr>
          <w:rFonts w:asciiTheme="minorHAnsi" w:eastAsiaTheme="minorHAnsi" w:hAnsiTheme="minorHAnsi" w:cstheme="minorBidi"/>
          <w:color w:val="495965" w:themeColor="text2"/>
          <w:sz w:val="22"/>
          <w:szCs w:val="22"/>
          <w:lang w:val="en-GB"/>
        </w:rPr>
        <w:t>the embassy</w:t>
      </w:r>
      <w:r w:rsidRPr="00344E4C">
        <w:rPr>
          <w:rFonts w:asciiTheme="minorHAnsi" w:eastAsiaTheme="minorHAnsi" w:hAnsiTheme="minorHAnsi" w:cstheme="minorBidi"/>
          <w:color w:val="495965" w:themeColor="text2"/>
          <w:sz w:val="22"/>
          <w:szCs w:val="22"/>
          <w:lang w:val="en-GB"/>
        </w:rPr>
        <w:t>.</w:t>
      </w:r>
    </w:p>
    <w:p w:rsidR="00D15A00" w:rsidRDefault="00D15A00" w:rsidP="002A51CA">
      <w:pPr>
        <w:sectPr w:rsidR="00D15A00" w:rsidSect="00C6626C">
          <w:pgSz w:w="11906" w:h="16838" w:code="9"/>
          <w:pgMar w:top="1527" w:right="1134" w:bottom="851" w:left="1134" w:header="1418" w:footer="567" w:gutter="0"/>
          <w:cols w:space="397"/>
          <w:docGrid w:linePitch="360"/>
        </w:sectPr>
      </w:pPr>
    </w:p>
    <w:p w:rsidR="00400B0F" w:rsidRPr="00C61187" w:rsidRDefault="00400B0F" w:rsidP="000210D0">
      <w:pPr>
        <w:pStyle w:val="Subtitle"/>
        <w:numPr>
          <w:ilvl w:val="0"/>
          <w:numId w:val="0"/>
        </w:numPr>
      </w:pPr>
      <w:r w:rsidRPr="00BF74AF">
        <w:lastRenderedPageBreak/>
        <w:t xml:space="preserve">Annex A - Progress in Addressing Management </w:t>
      </w:r>
      <w:r w:rsidR="00AC302F" w:rsidRPr="00BF74AF">
        <w:t>actions</w:t>
      </w:r>
    </w:p>
    <w:tbl>
      <w:tblPr>
        <w:tblStyle w:val="APPR"/>
        <w:tblpPr w:leftFromText="180" w:rightFromText="180" w:vertAnchor="text" w:tblpY="1"/>
        <w:tblW w:w="5000" w:type="pct"/>
        <w:tblLayout w:type="fixed"/>
        <w:tblLook w:val="0000" w:firstRow="0" w:lastRow="0" w:firstColumn="0" w:lastColumn="0" w:noHBand="0" w:noVBand="0"/>
      </w:tblPr>
      <w:tblGrid>
        <w:gridCol w:w="6237"/>
        <w:gridCol w:w="1134"/>
        <w:gridCol w:w="6802"/>
      </w:tblGrid>
      <w:tr w:rsidR="00400B0F" w:rsidRPr="00C61187" w:rsidTr="00DB6F03">
        <w:trPr>
          <w:cnfStyle w:val="000000010000" w:firstRow="0" w:lastRow="0" w:firstColumn="0" w:lastColumn="0" w:oddVBand="0" w:evenVBand="0" w:oddHBand="0" w:evenHBand="1" w:firstRowFirstColumn="0" w:firstRowLastColumn="0" w:lastRowFirstColumn="0" w:lastRowLastColumn="0"/>
        </w:trPr>
        <w:tc>
          <w:tcPr>
            <w:tcW w:w="6195" w:type="dxa"/>
          </w:tcPr>
          <w:p w:rsidR="00400B0F" w:rsidRPr="00BF74AF" w:rsidRDefault="00400B0F" w:rsidP="00A54034">
            <w:pPr>
              <w:keepLines/>
              <w:spacing w:before="80" w:after="80" w:line="200" w:lineRule="atLeast"/>
              <w:rPr>
                <w:rFonts w:asciiTheme="minorHAnsi" w:eastAsia="Times New Roman" w:hAnsiTheme="minorHAnsi"/>
                <w:b/>
                <w:iCs/>
                <w:szCs w:val="17"/>
                <w:lang w:eastAsia="en-US"/>
              </w:rPr>
            </w:pPr>
            <w:r w:rsidRPr="00BF74AF">
              <w:rPr>
                <w:rFonts w:asciiTheme="minorHAnsi" w:eastAsia="Times New Roman" w:hAnsiTheme="minorHAnsi"/>
                <w:b/>
                <w:iCs/>
                <w:szCs w:val="17"/>
                <w:lang w:eastAsia="en-US"/>
              </w:rPr>
              <w:t xml:space="preserve">Management </w:t>
            </w:r>
            <w:r w:rsidR="00A54034" w:rsidRPr="00BF74AF">
              <w:rPr>
                <w:rFonts w:asciiTheme="minorHAnsi" w:eastAsia="Times New Roman" w:hAnsiTheme="minorHAnsi"/>
                <w:b/>
                <w:iCs/>
                <w:szCs w:val="17"/>
                <w:lang w:eastAsia="en-US"/>
              </w:rPr>
              <w:t>actions</w:t>
            </w:r>
            <w:r w:rsidRPr="00BF74AF">
              <w:rPr>
                <w:rFonts w:asciiTheme="minorHAnsi" w:eastAsia="Times New Roman" w:hAnsiTheme="minorHAnsi"/>
                <w:b/>
                <w:iCs/>
                <w:szCs w:val="17"/>
                <w:lang w:eastAsia="en-US"/>
              </w:rPr>
              <w:t xml:space="preserve"> identified in 201</w:t>
            </w:r>
            <w:r w:rsidR="000210D0" w:rsidRPr="00BF74AF">
              <w:rPr>
                <w:rFonts w:asciiTheme="minorHAnsi" w:eastAsia="Times New Roman" w:hAnsiTheme="minorHAnsi"/>
                <w:b/>
                <w:iCs/>
                <w:szCs w:val="17"/>
                <w:lang w:eastAsia="en-US"/>
              </w:rPr>
              <w:t>6</w:t>
            </w:r>
            <w:r w:rsidRPr="00BF74AF">
              <w:rPr>
                <w:rFonts w:asciiTheme="minorHAnsi" w:eastAsia="Times New Roman" w:hAnsiTheme="minorHAnsi"/>
                <w:b/>
                <w:iCs/>
                <w:szCs w:val="17"/>
                <w:lang w:eastAsia="en-US"/>
              </w:rPr>
              <w:t>-1</w:t>
            </w:r>
            <w:r w:rsidR="000210D0" w:rsidRPr="00BF74AF">
              <w:rPr>
                <w:rFonts w:asciiTheme="minorHAnsi" w:eastAsia="Times New Roman" w:hAnsiTheme="minorHAnsi"/>
                <w:b/>
                <w:iCs/>
                <w:szCs w:val="17"/>
                <w:lang w:eastAsia="en-US"/>
              </w:rPr>
              <w:t>7</w:t>
            </w:r>
            <w:r w:rsidRPr="00BF74AF">
              <w:rPr>
                <w:rFonts w:asciiTheme="minorHAnsi" w:eastAsia="Times New Roman" w:hAnsiTheme="minorHAnsi"/>
                <w:b/>
                <w:iCs/>
                <w:szCs w:val="17"/>
                <w:lang w:eastAsia="en-US"/>
              </w:rPr>
              <w:t xml:space="preserve"> APPR</w:t>
            </w:r>
            <w:r w:rsidRPr="00BF74AF">
              <w:rPr>
                <w:rFonts w:asciiTheme="minorHAnsi" w:eastAsia="Times New Roman" w:hAnsiTheme="minorHAnsi"/>
                <w:b/>
                <w:iCs/>
                <w:szCs w:val="17"/>
                <w:lang w:eastAsia="en-US"/>
              </w:rPr>
              <w:tab/>
            </w:r>
          </w:p>
        </w:tc>
        <w:tc>
          <w:tcPr>
            <w:tcW w:w="1106" w:type="dxa"/>
            <w:vAlign w:val="center"/>
          </w:tcPr>
          <w:p w:rsidR="00400B0F" w:rsidRPr="00880004" w:rsidRDefault="00400B0F" w:rsidP="00DB6F03">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Rating</w:t>
            </w:r>
          </w:p>
        </w:tc>
        <w:tc>
          <w:tcPr>
            <w:tcW w:w="6760" w:type="dxa"/>
          </w:tcPr>
          <w:p w:rsidR="00400B0F" w:rsidRPr="00880004" w:rsidRDefault="00400B0F" w:rsidP="002D37BC">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Progress made  in 201</w:t>
            </w:r>
            <w:r w:rsidR="002D37BC">
              <w:rPr>
                <w:rFonts w:asciiTheme="minorHAnsi" w:eastAsia="Times New Roman" w:hAnsiTheme="minorHAnsi"/>
                <w:b/>
                <w:iCs/>
                <w:szCs w:val="17"/>
                <w:lang w:eastAsia="en-US"/>
              </w:rPr>
              <w:t>7</w:t>
            </w:r>
            <w:r w:rsidRPr="00880004">
              <w:rPr>
                <w:rFonts w:asciiTheme="minorHAnsi" w:eastAsia="Times New Roman" w:hAnsiTheme="minorHAnsi"/>
                <w:b/>
                <w:iCs/>
                <w:szCs w:val="17"/>
                <w:lang w:eastAsia="en-US"/>
              </w:rPr>
              <w:t>-1</w:t>
            </w:r>
            <w:r w:rsidR="002D37BC">
              <w:rPr>
                <w:rFonts w:asciiTheme="minorHAnsi" w:eastAsia="Times New Roman" w:hAnsiTheme="minorHAnsi"/>
                <w:b/>
                <w:iCs/>
                <w:szCs w:val="17"/>
                <w:lang w:eastAsia="en-US"/>
              </w:rPr>
              <w:t>8</w:t>
            </w:r>
          </w:p>
        </w:tc>
      </w:tr>
      <w:tr w:rsidR="000210D0" w:rsidRPr="00C61187" w:rsidTr="00BF74AF">
        <w:trPr>
          <w:cnfStyle w:val="000000010000" w:firstRow="0" w:lastRow="0" w:firstColumn="0" w:lastColumn="0" w:oddVBand="0" w:evenVBand="0" w:oddHBand="0" w:evenHBand="1" w:firstRowFirstColumn="0" w:firstRowLastColumn="0" w:lastRowFirstColumn="0" w:lastRowLastColumn="0"/>
        </w:trPr>
        <w:tc>
          <w:tcPr>
            <w:tcW w:w="6195" w:type="dxa"/>
          </w:tcPr>
          <w:p w:rsidR="000210D0" w:rsidRPr="00BF74AF" w:rsidRDefault="000210D0" w:rsidP="000210D0">
            <w:pPr>
              <w:keepLines/>
              <w:spacing w:before="40" w:after="40" w:line="200" w:lineRule="atLeast"/>
              <w:rPr>
                <w:rFonts w:asciiTheme="minorHAnsi" w:hAnsiTheme="minorHAnsi"/>
                <w:szCs w:val="17"/>
                <w:lang w:eastAsia="en-US"/>
              </w:rPr>
            </w:pPr>
            <w:r w:rsidRPr="00BF74AF">
              <w:rPr>
                <w:rFonts w:asciiTheme="minorHAnsi" w:hAnsiTheme="minorHAnsi"/>
                <w:szCs w:val="17"/>
                <w:lang w:eastAsia="en-US"/>
              </w:rPr>
              <w:t>The Philippines Desk to lead a strategic planning process to inform development of the next Aid Investment Plan</w:t>
            </w:r>
            <w:r w:rsidR="000146D9">
              <w:rPr>
                <w:rFonts w:asciiTheme="minorHAnsi" w:hAnsiTheme="minorHAnsi"/>
                <w:szCs w:val="17"/>
                <w:lang w:eastAsia="en-US"/>
              </w:rPr>
              <w:t xml:space="preserve"> (AIP)</w:t>
            </w:r>
          </w:p>
        </w:tc>
        <w:tc>
          <w:tcPr>
            <w:tcW w:w="1106" w:type="dxa"/>
            <w:shd w:val="clear" w:color="auto" w:fill="E36C0A"/>
            <w:vAlign w:val="center"/>
          </w:tcPr>
          <w:p w:rsidR="000210D0" w:rsidRPr="00880004" w:rsidRDefault="000210D0" w:rsidP="000210D0">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 xml:space="preserve">Partly </w:t>
            </w:r>
            <w:r w:rsidRPr="00880004">
              <w:rPr>
                <w:rFonts w:asciiTheme="minorHAnsi" w:eastAsia="Times New Roman" w:hAnsiTheme="minorHAnsi"/>
                <w:iCs/>
                <w:color w:val="FFFFFF" w:themeColor="background1"/>
                <w:szCs w:val="17"/>
                <w:lang w:eastAsia="en-US"/>
              </w:rPr>
              <w:t>Achieved</w:t>
            </w:r>
          </w:p>
        </w:tc>
        <w:tc>
          <w:tcPr>
            <w:tcW w:w="6760" w:type="dxa"/>
          </w:tcPr>
          <w:p w:rsidR="000210D0" w:rsidRPr="00471761" w:rsidRDefault="00471761" w:rsidP="000210D0">
            <w:pPr>
              <w:keepLines/>
              <w:spacing w:before="40" w:after="40" w:line="200" w:lineRule="atLeast"/>
              <w:rPr>
                <w:rFonts w:asciiTheme="minorHAnsi" w:hAnsiTheme="minorHAnsi"/>
                <w:color w:val="FF0000"/>
                <w:szCs w:val="17"/>
                <w:lang w:eastAsia="en-US"/>
              </w:rPr>
            </w:pPr>
            <w:r w:rsidRPr="00471761">
              <w:rPr>
                <w:rFonts w:asciiTheme="minorHAnsi" w:hAnsiTheme="minorHAnsi"/>
                <w:szCs w:val="17"/>
                <w:lang w:eastAsia="en-US"/>
              </w:rPr>
              <w:t>The new AIP 2019-2022 is currently being developed.</w:t>
            </w:r>
          </w:p>
        </w:tc>
      </w:tr>
      <w:tr w:rsidR="000210D0" w:rsidRPr="00C61187" w:rsidTr="00BF74AF">
        <w:trPr>
          <w:cnfStyle w:val="000000010000" w:firstRow="0" w:lastRow="0" w:firstColumn="0" w:lastColumn="0" w:oddVBand="0" w:evenVBand="0" w:oddHBand="0" w:evenHBand="1" w:firstRowFirstColumn="0" w:firstRowLastColumn="0" w:lastRowFirstColumn="0" w:lastRowLastColumn="0"/>
        </w:trPr>
        <w:tc>
          <w:tcPr>
            <w:tcW w:w="6195" w:type="dxa"/>
          </w:tcPr>
          <w:p w:rsidR="000210D0" w:rsidRPr="00BF74AF" w:rsidRDefault="000210D0" w:rsidP="000210D0">
            <w:pPr>
              <w:keepLines/>
              <w:spacing w:before="40" w:after="40" w:line="200" w:lineRule="atLeast"/>
              <w:rPr>
                <w:rFonts w:asciiTheme="minorHAnsi" w:hAnsiTheme="minorHAnsi"/>
                <w:szCs w:val="17"/>
                <w:lang w:eastAsia="en-US"/>
              </w:rPr>
            </w:pPr>
            <w:r w:rsidRPr="00BF74AF">
              <w:rPr>
                <w:rFonts w:asciiTheme="minorHAnsi" w:hAnsiTheme="minorHAnsi"/>
                <w:szCs w:val="17"/>
                <w:lang w:eastAsia="en-US"/>
              </w:rPr>
              <w:t>A new Performance Assessment Framework</w:t>
            </w:r>
            <w:r w:rsidR="000146D9">
              <w:rPr>
                <w:rFonts w:asciiTheme="minorHAnsi" w:hAnsiTheme="minorHAnsi"/>
                <w:szCs w:val="17"/>
                <w:lang w:eastAsia="en-US"/>
              </w:rPr>
              <w:t xml:space="preserve"> (PAF)</w:t>
            </w:r>
            <w:r w:rsidRPr="00BF74AF">
              <w:rPr>
                <w:rFonts w:asciiTheme="minorHAnsi" w:hAnsiTheme="minorHAnsi"/>
                <w:szCs w:val="17"/>
                <w:lang w:eastAsia="en-US"/>
              </w:rPr>
              <w:t xml:space="preserve"> will be developed for the next AIP, with the support of a monitoring and evaluation </w:t>
            </w:r>
            <w:r w:rsidR="000146D9">
              <w:rPr>
                <w:rFonts w:asciiTheme="minorHAnsi" w:hAnsiTheme="minorHAnsi"/>
                <w:szCs w:val="17"/>
                <w:lang w:eastAsia="en-US"/>
              </w:rPr>
              <w:t xml:space="preserve">(M&amp;E) </w:t>
            </w:r>
            <w:r w:rsidRPr="00BF74AF">
              <w:rPr>
                <w:rFonts w:asciiTheme="minorHAnsi" w:hAnsiTheme="minorHAnsi"/>
                <w:szCs w:val="17"/>
                <w:lang w:eastAsia="en-US"/>
              </w:rPr>
              <w:t>adviser.</w:t>
            </w:r>
          </w:p>
        </w:tc>
        <w:tc>
          <w:tcPr>
            <w:tcW w:w="1106" w:type="dxa"/>
            <w:shd w:val="clear" w:color="auto" w:fill="E36C0A"/>
            <w:vAlign w:val="center"/>
          </w:tcPr>
          <w:p w:rsidR="000210D0" w:rsidRDefault="000210D0" w:rsidP="000210D0">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Partly</w:t>
            </w:r>
          </w:p>
          <w:p w:rsidR="000210D0" w:rsidRPr="00880004" w:rsidRDefault="000210D0" w:rsidP="000210D0">
            <w:pPr>
              <w:keepLines/>
              <w:spacing w:before="40" w:after="40" w:line="200" w:lineRule="atLeast"/>
              <w:jc w:val="center"/>
              <w:rPr>
                <w:rFonts w:asciiTheme="minorHAnsi" w:eastAsia="Times New Roman" w:hAnsiTheme="minorHAnsi"/>
                <w:iCs/>
                <w:color w:val="FFFFFF" w:themeColor="background1"/>
                <w:szCs w:val="17"/>
                <w:lang w:eastAsia="en-US"/>
              </w:rPr>
            </w:pPr>
            <w:r w:rsidRPr="00880004">
              <w:rPr>
                <w:rFonts w:asciiTheme="minorHAnsi" w:eastAsia="Times New Roman" w:hAnsiTheme="minorHAnsi"/>
                <w:iCs/>
                <w:color w:val="FFFFFF" w:themeColor="background1"/>
                <w:szCs w:val="17"/>
                <w:lang w:eastAsia="en-US"/>
              </w:rPr>
              <w:t>Achieved</w:t>
            </w:r>
            <w:r w:rsidRPr="00880004">
              <w:rPr>
                <w:rFonts w:eastAsia="Times New Roman"/>
                <w:iCs/>
                <w:color w:val="FFFFFF" w:themeColor="background1"/>
                <w:szCs w:val="17"/>
              </w:rPr>
              <w:fldChar w:fldCharType="begin"/>
            </w:r>
            <w:r w:rsidRPr="00880004">
              <w:rPr>
                <w:rFonts w:asciiTheme="minorHAnsi" w:eastAsia="Times New Roman" w:hAnsiTheme="minorHAnsi"/>
                <w:iCs/>
                <w:color w:val="FFFFFF" w:themeColor="background1"/>
                <w:szCs w:val="17"/>
                <w:lang w:eastAsia="en-US"/>
              </w:rPr>
              <w:instrText xml:space="preserve"> AUTOTEXTLIST  \s "Rating bullet"\t "Right click to choose a rating" \* MERGEFORMAT </w:instrText>
            </w:r>
            <w:r w:rsidRPr="00880004">
              <w:rPr>
                <w:rFonts w:eastAsia="Times New Roman"/>
                <w:iCs/>
                <w:color w:val="FFFFFF" w:themeColor="background1"/>
                <w:szCs w:val="17"/>
              </w:rPr>
              <w:fldChar w:fldCharType="end"/>
            </w:r>
          </w:p>
        </w:tc>
        <w:tc>
          <w:tcPr>
            <w:tcW w:w="6760" w:type="dxa"/>
          </w:tcPr>
          <w:p w:rsidR="000210D0" w:rsidRPr="00BF74AF" w:rsidRDefault="00471761" w:rsidP="000210D0">
            <w:pPr>
              <w:keepLines/>
              <w:spacing w:before="40" w:after="40" w:line="200" w:lineRule="atLeast"/>
              <w:rPr>
                <w:rFonts w:asciiTheme="minorHAnsi" w:hAnsiTheme="minorHAnsi"/>
                <w:color w:val="FF0000"/>
                <w:szCs w:val="17"/>
                <w:lang w:eastAsia="en-US"/>
              </w:rPr>
            </w:pPr>
            <w:r w:rsidRPr="00471761">
              <w:rPr>
                <w:rFonts w:asciiTheme="minorHAnsi" w:hAnsiTheme="minorHAnsi"/>
                <w:szCs w:val="17"/>
                <w:lang w:eastAsia="en-US"/>
              </w:rPr>
              <w:t>The new PAF is currently being developed with external monitoring and evaluation expertise.</w:t>
            </w:r>
          </w:p>
        </w:tc>
      </w:tr>
      <w:tr w:rsidR="000210D0" w:rsidRPr="00C61187" w:rsidTr="00BF74AF">
        <w:trPr>
          <w:cnfStyle w:val="000000010000" w:firstRow="0" w:lastRow="0" w:firstColumn="0" w:lastColumn="0" w:oddVBand="0" w:evenVBand="0" w:oddHBand="0" w:evenHBand="1" w:firstRowFirstColumn="0" w:firstRowLastColumn="0" w:lastRowFirstColumn="0" w:lastRowLastColumn="0"/>
        </w:trPr>
        <w:tc>
          <w:tcPr>
            <w:tcW w:w="6195" w:type="dxa"/>
          </w:tcPr>
          <w:p w:rsidR="000210D0" w:rsidRPr="00EB35E3" w:rsidRDefault="000210D0" w:rsidP="000210D0">
            <w:pPr>
              <w:keepLines/>
              <w:spacing w:before="40" w:after="40" w:line="200" w:lineRule="atLeast"/>
              <w:rPr>
                <w:rFonts w:asciiTheme="minorHAnsi" w:hAnsiTheme="minorHAnsi"/>
                <w:szCs w:val="17"/>
                <w:lang w:eastAsia="en-US"/>
              </w:rPr>
            </w:pPr>
            <w:r w:rsidRPr="00EB35E3">
              <w:rPr>
                <w:rFonts w:asciiTheme="minorHAnsi" w:hAnsiTheme="minorHAnsi"/>
                <w:szCs w:val="17"/>
                <w:lang w:eastAsia="en-US"/>
              </w:rPr>
              <w:t>The Philippines Program Gender Action Plan</w:t>
            </w:r>
            <w:r w:rsidR="000146D9">
              <w:rPr>
                <w:rFonts w:asciiTheme="minorHAnsi" w:hAnsiTheme="minorHAnsi"/>
                <w:szCs w:val="17"/>
                <w:lang w:eastAsia="en-US"/>
              </w:rPr>
              <w:t xml:space="preserve"> (GAP)</w:t>
            </w:r>
            <w:r w:rsidRPr="00EB35E3">
              <w:rPr>
                <w:rFonts w:asciiTheme="minorHAnsi" w:hAnsiTheme="minorHAnsi"/>
                <w:szCs w:val="17"/>
                <w:lang w:eastAsia="en-US"/>
              </w:rPr>
              <w:t xml:space="preserve"> will be implemented </w:t>
            </w:r>
          </w:p>
        </w:tc>
        <w:tc>
          <w:tcPr>
            <w:tcW w:w="1106" w:type="dxa"/>
            <w:shd w:val="clear" w:color="auto" w:fill="72AF2F"/>
            <w:vAlign w:val="center"/>
          </w:tcPr>
          <w:p w:rsidR="000210D0" w:rsidRPr="00880004" w:rsidRDefault="003B1314" w:rsidP="000210D0">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Achieved</w:t>
            </w:r>
          </w:p>
        </w:tc>
        <w:tc>
          <w:tcPr>
            <w:tcW w:w="6760" w:type="dxa"/>
          </w:tcPr>
          <w:p w:rsidR="000210D0" w:rsidRPr="00EB35E3" w:rsidRDefault="003B1314" w:rsidP="003C6DEA">
            <w:pPr>
              <w:keepLines/>
              <w:spacing w:before="40" w:after="40" w:line="200" w:lineRule="atLeast"/>
              <w:rPr>
                <w:rFonts w:asciiTheme="minorHAnsi" w:hAnsiTheme="minorHAnsi"/>
                <w:szCs w:val="17"/>
                <w:lang w:eastAsia="en-US"/>
              </w:rPr>
            </w:pPr>
            <w:r w:rsidRPr="00EB35E3">
              <w:rPr>
                <w:rFonts w:asciiTheme="minorHAnsi" w:hAnsiTheme="minorHAnsi"/>
                <w:szCs w:val="17"/>
                <w:lang w:eastAsia="en-US"/>
              </w:rPr>
              <w:t xml:space="preserve">Over half of the indicators in the </w:t>
            </w:r>
            <w:r w:rsidR="000146D9">
              <w:rPr>
                <w:rFonts w:asciiTheme="minorHAnsi" w:hAnsiTheme="minorHAnsi"/>
                <w:szCs w:val="17"/>
                <w:lang w:eastAsia="en-US"/>
              </w:rPr>
              <w:t>GAP</w:t>
            </w:r>
            <w:r w:rsidRPr="00EB35E3">
              <w:rPr>
                <w:rFonts w:asciiTheme="minorHAnsi" w:hAnsiTheme="minorHAnsi"/>
                <w:szCs w:val="17"/>
                <w:lang w:eastAsia="en-US"/>
              </w:rPr>
              <w:t xml:space="preserve"> were achieved with close to 90</w:t>
            </w:r>
            <w:r w:rsidR="00EB35E3" w:rsidRPr="00EB35E3">
              <w:rPr>
                <w:rFonts w:asciiTheme="minorHAnsi" w:hAnsiTheme="minorHAnsi"/>
                <w:szCs w:val="17"/>
                <w:lang w:eastAsia="en-US"/>
              </w:rPr>
              <w:t xml:space="preserve">% rated as </w:t>
            </w:r>
            <w:r w:rsidRPr="00EB35E3">
              <w:rPr>
                <w:rFonts w:asciiTheme="minorHAnsi" w:hAnsiTheme="minorHAnsi"/>
                <w:szCs w:val="17"/>
                <w:lang w:eastAsia="en-US"/>
              </w:rPr>
              <w:t>achieved, partially achieved or ongoing.  Some indicators could not be achieved as a result of the Trade, Inclusive Growth and Economic Reform</w:t>
            </w:r>
            <w:r w:rsidR="000146D9">
              <w:rPr>
                <w:rFonts w:asciiTheme="minorHAnsi" w:hAnsiTheme="minorHAnsi"/>
                <w:szCs w:val="17"/>
                <w:lang w:eastAsia="en-US"/>
              </w:rPr>
              <w:t xml:space="preserve"> (TIGER)</w:t>
            </w:r>
            <w:r w:rsidRPr="00EB35E3">
              <w:rPr>
                <w:rFonts w:asciiTheme="minorHAnsi" w:hAnsiTheme="minorHAnsi"/>
                <w:szCs w:val="17"/>
                <w:lang w:eastAsia="en-US"/>
              </w:rPr>
              <w:t xml:space="preserve"> program </w:t>
            </w:r>
            <w:r w:rsidR="00EB35E3" w:rsidRPr="00EB35E3">
              <w:rPr>
                <w:rFonts w:asciiTheme="minorHAnsi" w:hAnsiTheme="minorHAnsi"/>
                <w:szCs w:val="17"/>
                <w:lang w:eastAsia="en-US"/>
              </w:rPr>
              <w:t>cancellation</w:t>
            </w:r>
            <w:r w:rsidRPr="00EB35E3">
              <w:rPr>
                <w:rFonts w:asciiTheme="minorHAnsi" w:hAnsiTheme="minorHAnsi"/>
                <w:szCs w:val="17"/>
                <w:lang w:eastAsia="en-US"/>
              </w:rPr>
              <w:t xml:space="preserve">.  </w:t>
            </w:r>
          </w:p>
        </w:tc>
      </w:tr>
      <w:tr w:rsidR="000210D0" w:rsidRPr="00C61187" w:rsidTr="00BF74AF">
        <w:trPr>
          <w:cnfStyle w:val="000000010000" w:firstRow="0" w:lastRow="0" w:firstColumn="0" w:lastColumn="0" w:oddVBand="0" w:evenVBand="0" w:oddHBand="0" w:evenHBand="1" w:firstRowFirstColumn="0" w:firstRowLastColumn="0" w:lastRowFirstColumn="0" w:lastRowLastColumn="0"/>
        </w:trPr>
        <w:tc>
          <w:tcPr>
            <w:tcW w:w="6195" w:type="dxa"/>
          </w:tcPr>
          <w:p w:rsidR="000210D0" w:rsidRPr="00EB35E3" w:rsidRDefault="000210D0" w:rsidP="00056CFA">
            <w:pPr>
              <w:keepLines/>
              <w:spacing w:before="40" w:after="40" w:line="200" w:lineRule="atLeast"/>
              <w:rPr>
                <w:rFonts w:asciiTheme="minorHAnsi" w:hAnsiTheme="minorHAnsi"/>
                <w:szCs w:val="17"/>
                <w:lang w:eastAsia="en-US"/>
              </w:rPr>
            </w:pPr>
            <w:r w:rsidRPr="00EB35E3">
              <w:rPr>
                <w:rFonts w:asciiTheme="minorHAnsi" w:hAnsiTheme="minorHAnsi"/>
                <w:szCs w:val="17"/>
                <w:lang w:eastAsia="en-US"/>
              </w:rPr>
              <w:t xml:space="preserve">Three benchmarks rated Amber </w:t>
            </w:r>
            <w:r w:rsidR="00056CFA">
              <w:rPr>
                <w:rFonts w:asciiTheme="minorHAnsi" w:hAnsiTheme="minorHAnsi"/>
                <w:szCs w:val="17"/>
                <w:lang w:eastAsia="en-US"/>
              </w:rPr>
              <w:t>in the 2016-17 APPR would be priorities, namely (i) the mobilisation of TIGER; (ii) the mobilisation of an infrastructure investment; and (iii) DSWD’s social protection reform agenda.</w:t>
            </w:r>
            <w:r w:rsidRPr="00EB35E3">
              <w:rPr>
                <w:rFonts w:asciiTheme="minorHAnsi" w:hAnsiTheme="minorHAnsi"/>
                <w:szCs w:val="17"/>
                <w:lang w:eastAsia="en-US"/>
              </w:rPr>
              <w:t xml:space="preserve"> </w:t>
            </w:r>
          </w:p>
        </w:tc>
        <w:tc>
          <w:tcPr>
            <w:tcW w:w="1106" w:type="dxa"/>
            <w:shd w:val="clear" w:color="auto" w:fill="E36C0A"/>
            <w:vAlign w:val="center"/>
          </w:tcPr>
          <w:p w:rsidR="000210D0" w:rsidRPr="00880004" w:rsidRDefault="000210D0" w:rsidP="000210D0">
            <w:pPr>
              <w:keepLines/>
              <w:spacing w:before="40" w:after="40" w:line="200" w:lineRule="atLeast"/>
              <w:jc w:val="center"/>
              <w:rPr>
                <w:rFonts w:asciiTheme="minorHAnsi" w:eastAsia="Times New Roman" w:hAnsiTheme="minorHAnsi"/>
                <w:iCs/>
                <w:color w:val="FFFFFF" w:themeColor="background1"/>
                <w:szCs w:val="17"/>
                <w:lang w:eastAsia="en-US"/>
              </w:rPr>
            </w:pPr>
            <w:r w:rsidRPr="00880004">
              <w:rPr>
                <w:rFonts w:asciiTheme="minorHAnsi" w:eastAsia="Times New Roman" w:hAnsiTheme="minorHAnsi"/>
                <w:iCs/>
                <w:color w:val="FFFFFF" w:themeColor="background1"/>
                <w:szCs w:val="17"/>
                <w:lang w:eastAsia="en-US"/>
              </w:rPr>
              <w:t>Partly achieved</w:t>
            </w:r>
          </w:p>
        </w:tc>
        <w:tc>
          <w:tcPr>
            <w:tcW w:w="6760" w:type="dxa"/>
          </w:tcPr>
          <w:p w:rsidR="000210D0" w:rsidRPr="00FC3AFA" w:rsidRDefault="000210D0" w:rsidP="00420E07">
            <w:pPr>
              <w:keepLines/>
              <w:spacing w:before="40" w:after="40" w:line="200" w:lineRule="atLeast"/>
              <w:rPr>
                <w:rFonts w:asciiTheme="minorHAnsi" w:hAnsiTheme="minorHAnsi"/>
                <w:szCs w:val="17"/>
                <w:lang w:eastAsia="en-US"/>
              </w:rPr>
            </w:pPr>
            <w:r w:rsidRPr="00EB35E3">
              <w:rPr>
                <w:rFonts w:asciiTheme="minorHAnsi" w:hAnsiTheme="minorHAnsi"/>
                <w:szCs w:val="17"/>
                <w:lang w:eastAsia="en-US"/>
              </w:rPr>
              <w:t xml:space="preserve">The </w:t>
            </w:r>
            <w:r w:rsidR="00AF49BC" w:rsidRPr="00AF49BC">
              <w:rPr>
                <w:rFonts w:asciiTheme="minorHAnsi" w:hAnsiTheme="minorHAnsi"/>
                <w:szCs w:val="17"/>
                <w:lang w:eastAsia="en-US"/>
              </w:rPr>
              <w:t>TIGER</w:t>
            </w:r>
            <w:r w:rsidR="000146D9">
              <w:rPr>
                <w:rFonts w:asciiTheme="minorHAnsi" w:hAnsiTheme="minorHAnsi"/>
                <w:szCs w:val="17"/>
                <w:lang w:eastAsia="en-US"/>
              </w:rPr>
              <w:t xml:space="preserve"> </w:t>
            </w:r>
            <w:r w:rsidR="00BF74AF" w:rsidRPr="00EB35E3">
              <w:rPr>
                <w:rFonts w:asciiTheme="minorHAnsi" w:hAnsiTheme="minorHAnsi"/>
                <w:szCs w:val="17"/>
                <w:lang w:eastAsia="en-US"/>
              </w:rPr>
              <w:t>p</w:t>
            </w:r>
            <w:r w:rsidRPr="00EB35E3">
              <w:rPr>
                <w:rFonts w:asciiTheme="minorHAnsi" w:hAnsiTheme="minorHAnsi"/>
                <w:szCs w:val="17"/>
                <w:lang w:eastAsia="en-US"/>
              </w:rPr>
              <w:t>rogram</w:t>
            </w:r>
            <w:r w:rsidR="00EA232C">
              <w:rPr>
                <w:rFonts w:asciiTheme="minorHAnsi" w:hAnsiTheme="minorHAnsi"/>
                <w:szCs w:val="17"/>
                <w:lang w:eastAsia="en-US"/>
              </w:rPr>
              <w:t xml:space="preserve"> was not mobilised, </w:t>
            </w:r>
            <w:r w:rsidR="00420E07">
              <w:rPr>
                <w:rFonts w:asciiTheme="minorHAnsi" w:hAnsiTheme="minorHAnsi"/>
                <w:szCs w:val="17"/>
                <w:lang w:eastAsia="en-US"/>
              </w:rPr>
              <w:t>but</w:t>
            </w:r>
            <w:r w:rsidR="00EA232C">
              <w:rPr>
                <w:rFonts w:asciiTheme="minorHAnsi" w:hAnsiTheme="minorHAnsi"/>
                <w:szCs w:val="17"/>
                <w:lang w:eastAsia="en-US"/>
              </w:rPr>
              <w:t xml:space="preserve"> the new infrastructure program PFMP-II has been approved by the Philippines </w:t>
            </w:r>
            <w:r w:rsidR="00420E07">
              <w:rPr>
                <w:rFonts w:asciiTheme="minorHAnsi" w:hAnsiTheme="minorHAnsi"/>
                <w:szCs w:val="17"/>
                <w:lang w:eastAsia="en-US"/>
              </w:rPr>
              <w:t xml:space="preserve">government </w:t>
            </w:r>
            <w:r w:rsidR="00EA232C">
              <w:rPr>
                <w:rFonts w:asciiTheme="minorHAnsi" w:hAnsiTheme="minorHAnsi"/>
                <w:szCs w:val="17"/>
                <w:lang w:eastAsia="en-US"/>
              </w:rPr>
              <w:t xml:space="preserve">and is currently out for tender. </w:t>
            </w:r>
            <w:r w:rsidR="00BF74AF" w:rsidRPr="00EB35E3">
              <w:rPr>
                <w:rFonts w:asciiTheme="minorHAnsi" w:hAnsiTheme="minorHAnsi"/>
                <w:szCs w:val="17"/>
                <w:lang w:eastAsia="en-US"/>
              </w:rPr>
              <w:t>S</w:t>
            </w:r>
            <w:r w:rsidRPr="00EB35E3">
              <w:rPr>
                <w:rFonts w:asciiTheme="minorHAnsi" w:hAnsiTheme="minorHAnsi"/>
                <w:szCs w:val="17"/>
                <w:lang w:eastAsia="en-US"/>
              </w:rPr>
              <w:t xml:space="preserve">ocial protection policy dialogue has </w:t>
            </w:r>
            <w:r w:rsidR="00FC3AFA" w:rsidRPr="00EB35E3">
              <w:rPr>
                <w:rFonts w:asciiTheme="minorHAnsi" w:hAnsiTheme="minorHAnsi"/>
                <w:szCs w:val="17"/>
                <w:lang w:eastAsia="en-US"/>
              </w:rPr>
              <w:t xml:space="preserve">increased. Notably DFAT, DSWD and </w:t>
            </w:r>
            <w:r w:rsidR="00C8715F" w:rsidRPr="00EB35E3">
              <w:rPr>
                <w:rFonts w:asciiTheme="minorHAnsi" w:hAnsiTheme="minorHAnsi"/>
                <w:szCs w:val="17"/>
                <w:lang w:eastAsia="en-US"/>
              </w:rPr>
              <w:t>T</w:t>
            </w:r>
            <w:r w:rsidR="00FC3AFA" w:rsidRPr="00EB35E3">
              <w:rPr>
                <w:rFonts w:asciiTheme="minorHAnsi" w:hAnsiTheme="minorHAnsi"/>
                <w:szCs w:val="17"/>
                <w:lang w:eastAsia="en-US"/>
              </w:rPr>
              <w:t>he World Bank hosted a review of the Philippines Social Protection Framework</w:t>
            </w:r>
            <w:r w:rsidR="0042533D" w:rsidRPr="00EB35E3">
              <w:rPr>
                <w:rFonts w:asciiTheme="minorHAnsi" w:hAnsiTheme="minorHAnsi"/>
                <w:szCs w:val="17"/>
                <w:lang w:eastAsia="en-US"/>
              </w:rPr>
              <w:t>, which will help shape the country’s future social protection programs</w:t>
            </w:r>
            <w:r w:rsidR="00EA232C">
              <w:rPr>
                <w:rFonts w:asciiTheme="minorHAnsi" w:hAnsiTheme="minorHAnsi"/>
                <w:szCs w:val="17"/>
                <w:lang w:eastAsia="en-US"/>
              </w:rPr>
              <w:t>.</w:t>
            </w:r>
          </w:p>
        </w:tc>
      </w:tr>
      <w:tr w:rsidR="000210D0" w:rsidRPr="00C61187" w:rsidTr="00BF74AF">
        <w:trPr>
          <w:cnfStyle w:val="000000010000" w:firstRow="0" w:lastRow="0" w:firstColumn="0" w:lastColumn="0" w:oddVBand="0" w:evenVBand="0" w:oddHBand="0" w:evenHBand="1" w:firstRowFirstColumn="0" w:firstRowLastColumn="0" w:lastRowFirstColumn="0" w:lastRowLastColumn="0"/>
        </w:trPr>
        <w:tc>
          <w:tcPr>
            <w:tcW w:w="6195" w:type="dxa"/>
          </w:tcPr>
          <w:p w:rsidR="000210D0" w:rsidRPr="00EB35E3" w:rsidRDefault="000210D0" w:rsidP="000210D0">
            <w:pPr>
              <w:keepLines/>
              <w:spacing w:before="40" w:after="40" w:line="200" w:lineRule="atLeast"/>
              <w:rPr>
                <w:rFonts w:asciiTheme="minorHAnsi" w:hAnsiTheme="minorHAnsi"/>
                <w:szCs w:val="17"/>
                <w:lang w:eastAsia="en-US"/>
              </w:rPr>
            </w:pPr>
            <w:r w:rsidRPr="00EB35E3">
              <w:rPr>
                <w:rFonts w:asciiTheme="minorHAnsi" w:hAnsiTheme="minorHAnsi"/>
                <w:szCs w:val="17"/>
                <w:lang w:eastAsia="en-US"/>
              </w:rPr>
              <w:t>Process of developing interim indicators will be repeated in 2017-18</w:t>
            </w:r>
          </w:p>
        </w:tc>
        <w:tc>
          <w:tcPr>
            <w:tcW w:w="1106" w:type="dxa"/>
            <w:shd w:val="clear" w:color="auto" w:fill="72AF2F"/>
            <w:vAlign w:val="center"/>
          </w:tcPr>
          <w:p w:rsidR="000210D0" w:rsidRPr="00880004" w:rsidRDefault="000210D0" w:rsidP="000210D0">
            <w:pPr>
              <w:keepLines/>
              <w:spacing w:before="40" w:after="40" w:line="200" w:lineRule="atLeast"/>
              <w:jc w:val="center"/>
              <w:rPr>
                <w:rFonts w:eastAsia="Times New Roman"/>
                <w:iCs/>
                <w:color w:val="FFFFFF" w:themeColor="background1"/>
                <w:szCs w:val="17"/>
              </w:rPr>
            </w:pPr>
            <w:r>
              <w:rPr>
                <w:rFonts w:asciiTheme="minorHAnsi" w:eastAsia="Times New Roman" w:hAnsiTheme="minorHAnsi"/>
                <w:iCs/>
                <w:color w:val="FFFFFF" w:themeColor="background1"/>
                <w:szCs w:val="17"/>
                <w:lang w:eastAsia="en-US"/>
              </w:rPr>
              <w:t>Achieved</w:t>
            </w:r>
          </w:p>
        </w:tc>
        <w:tc>
          <w:tcPr>
            <w:tcW w:w="6760" w:type="dxa"/>
          </w:tcPr>
          <w:p w:rsidR="000210D0" w:rsidRPr="00BF74AF" w:rsidRDefault="00EA232C" w:rsidP="00EA232C">
            <w:pPr>
              <w:keepLines/>
              <w:spacing w:before="40" w:after="40" w:line="200" w:lineRule="atLeast"/>
              <w:rPr>
                <w:rFonts w:asciiTheme="minorHAnsi" w:hAnsiTheme="minorHAnsi"/>
                <w:szCs w:val="17"/>
                <w:lang w:eastAsia="en-US"/>
              </w:rPr>
            </w:pPr>
            <w:r>
              <w:rPr>
                <w:rFonts w:asciiTheme="minorHAnsi" w:hAnsiTheme="minorHAnsi"/>
                <w:szCs w:val="17"/>
                <w:lang w:eastAsia="en-US"/>
              </w:rPr>
              <w:t>Following</w:t>
            </w:r>
            <w:r w:rsidR="000146D9">
              <w:rPr>
                <w:rFonts w:asciiTheme="minorHAnsi" w:hAnsiTheme="minorHAnsi"/>
                <w:szCs w:val="17"/>
                <w:lang w:eastAsia="en-US"/>
              </w:rPr>
              <w:t xml:space="preserve"> the</w:t>
            </w:r>
            <w:r>
              <w:rPr>
                <w:rFonts w:asciiTheme="minorHAnsi" w:hAnsiTheme="minorHAnsi"/>
                <w:szCs w:val="17"/>
                <w:lang w:eastAsia="en-US"/>
              </w:rPr>
              <w:t xml:space="preserve"> </w:t>
            </w:r>
            <w:r w:rsidR="000146D9">
              <w:rPr>
                <w:rFonts w:asciiTheme="minorHAnsi" w:hAnsiTheme="minorHAnsi"/>
                <w:szCs w:val="17"/>
                <w:lang w:eastAsia="en-US"/>
              </w:rPr>
              <w:t>Office of Development Effectiveness’ (</w:t>
            </w:r>
            <w:r>
              <w:rPr>
                <w:rFonts w:asciiTheme="minorHAnsi" w:hAnsiTheme="minorHAnsi"/>
                <w:szCs w:val="17"/>
                <w:lang w:eastAsia="en-US"/>
              </w:rPr>
              <w:t>ODE</w:t>
            </w:r>
            <w:r w:rsidR="000146D9">
              <w:rPr>
                <w:rFonts w:asciiTheme="minorHAnsi" w:hAnsiTheme="minorHAnsi"/>
                <w:szCs w:val="17"/>
                <w:lang w:eastAsia="en-US"/>
              </w:rPr>
              <w:t>)</w:t>
            </w:r>
            <w:r>
              <w:rPr>
                <w:rFonts w:asciiTheme="minorHAnsi" w:hAnsiTheme="minorHAnsi"/>
                <w:szCs w:val="17"/>
                <w:lang w:eastAsia="en-US"/>
              </w:rPr>
              <w:t xml:space="preserve"> review of the PAF in 2018, it was agreed with ODE that the best approach would be to retain the broad indicators used in the 2016-17 PAF, but to edit for clarity.</w:t>
            </w:r>
          </w:p>
        </w:tc>
      </w:tr>
      <w:tr w:rsidR="00EA232C" w:rsidRPr="00C61187" w:rsidTr="00EA232C">
        <w:trPr>
          <w:cnfStyle w:val="000000010000" w:firstRow="0" w:lastRow="0" w:firstColumn="0" w:lastColumn="0" w:oddVBand="0" w:evenVBand="0" w:oddHBand="0" w:evenHBand="1" w:firstRowFirstColumn="0" w:firstRowLastColumn="0" w:lastRowFirstColumn="0" w:lastRowLastColumn="0"/>
        </w:trPr>
        <w:tc>
          <w:tcPr>
            <w:tcW w:w="6195" w:type="dxa"/>
          </w:tcPr>
          <w:p w:rsidR="00EA232C" w:rsidRPr="00EB35E3" w:rsidRDefault="00EA232C" w:rsidP="00EA232C">
            <w:pPr>
              <w:keepLines/>
              <w:spacing w:before="40" w:after="40" w:line="200" w:lineRule="atLeast"/>
              <w:rPr>
                <w:rFonts w:asciiTheme="minorHAnsi" w:hAnsiTheme="minorHAnsi"/>
                <w:szCs w:val="17"/>
                <w:lang w:eastAsia="en-US"/>
              </w:rPr>
            </w:pPr>
            <w:r w:rsidRPr="00EB35E3">
              <w:rPr>
                <w:rFonts w:asciiTheme="minorHAnsi" w:hAnsiTheme="minorHAnsi"/>
                <w:szCs w:val="17"/>
                <w:lang w:eastAsia="en-US"/>
              </w:rPr>
              <w:t>Progress against program level management responses will be tracked at regular aid management team</w:t>
            </w:r>
            <w:r w:rsidR="000146D9">
              <w:rPr>
                <w:rFonts w:asciiTheme="minorHAnsi" w:hAnsiTheme="minorHAnsi"/>
                <w:szCs w:val="17"/>
                <w:lang w:eastAsia="en-US"/>
              </w:rPr>
              <w:t xml:space="preserve"> (AMT)</w:t>
            </w:r>
            <w:r w:rsidRPr="00EB35E3">
              <w:rPr>
                <w:rFonts w:asciiTheme="minorHAnsi" w:hAnsiTheme="minorHAnsi"/>
                <w:szCs w:val="17"/>
                <w:lang w:eastAsia="en-US"/>
              </w:rPr>
              <w:t xml:space="preserve"> meetings at Post </w:t>
            </w:r>
          </w:p>
        </w:tc>
        <w:tc>
          <w:tcPr>
            <w:tcW w:w="1106" w:type="dxa"/>
            <w:shd w:val="clear" w:color="auto" w:fill="72AF2F"/>
            <w:vAlign w:val="center"/>
          </w:tcPr>
          <w:p w:rsidR="00EA232C" w:rsidRPr="00EA232C" w:rsidRDefault="00EA232C" w:rsidP="00EA232C">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Achieved</w:t>
            </w:r>
          </w:p>
        </w:tc>
        <w:tc>
          <w:tcPr>
            <w:tcW w:w="6760" w:type="dxa"/>
          </w:tcPr>
          <w:p w:rsidR="00EA232C" w:rsidRPr="00EB35E3" w:rsidRDefault="00EA232C" w:rsidP="00EA232C">
            <w:pPr>
              <w:keepLines/>
              <w:spacing w:before="40" w:after="40" w:line="200" w:lineRule="atLeast"/>
              <w:rPr>
                <w:rFonts w:asciiTheme="minorHAnsi" w:hAnsiTheme="minorHAnsi"/>
                <w:szCs w:val="17"/>
                <w:lang w:eastAsia="en-US"/>
              </w:rPr>
            </w:pPr>
            <w:r>
              <w:rPr>
                <w:rFonts w:asciiTheme="minorHAnsi" w:hAnsiTheme="minorHAnsi"/>
                <w:szCs w:val="17"/>
                <w:lang w:eastAsia="en-US"/>
              </w:rPr>
              <w:t xml:space="preserve">Monitored via oral updates at regular AMT meetings. </w:t>
            </w:r>
          </w:p>
        </w:tc>
      </w:tr>
      <w:tr w:rsidR="000210D0" w:rsidRPr="00C61187" w:rsidTr="00BF74AF">
        <w:trPr>
          <w:cnfStyle w:val="000000010000" w:firstRow="0" w:lastRow="0" w:firstColumn="0" w:lastColumn="0" w:oddVBand="0" w:evenVBand="0" w:oddHBand="0" w:evenHBand="1" w:firstRowFirstColumn="0" w:firstRowLastColumn="0" w:lastRowFirstColumn="0" w:lastRowLastColumn="0"/>
        </w:trPr>
        <w:tc>
          <w:tcPr>
            <w:tcW w:w="6195" w:type="dxa"/>
          </w:tcPr>
          <w:p w:rsidR="000210D0" w:rsidRPr="00EB35E3" w:rsidRDefault="000210D0" w:rsidP="003C6DEA">
            <w:pPr>
              <w:keepLines/>
              <w:spacing w:before="40" w:after="40" w:line="200" w:lineRule="atLeast"/>
              <w:rPr>
                <w:rFonts w:asciiTheme="minorHAnsi" w:hAnsiTheme="minorHAnsi"/>
                <w:szCs w:val="17"/>
                <w:lang w:eastAsia="en-US"/>
              </w:rPr>
            </w:pPr>
            <w:r w:rsidRPr="00EB35E3">
              <w:rPr>
                <w:rFonts w:asciiTheme="minorHAnsi" w:hAnsiTheme="minorHAnsi"/>
                <w:szCs w:val="17"/>
                <w:lang w:eastAsia="en-US"/>
              </w:rPr>
              <w:t>Post will mo</w:t>
            </w:r>
            <w:r w:rsidR="00BF74AF" w:rsidRPr="00EB35E3">
              <w:rPr>
                <w:rFonts w:asciiTheme="minorHAnsi" w:hAnsiTheme="minorHAnsi"/>
                <w:szCs w:val="17"/>
                <w:lang w:eastAsia="en-US"/>
              </w:rPr>
              <w:t>bilise three programs: Education Pathways to Peace in Mindan</w:t>
            </w:r>
            <w:r w:rsidR="00BA774F" w:rsidRPr="00EB35E3">
              <w:rPr>
                <w:rFonts w:asciiTheme="minorHAnsi" w:hAnsiTheme="minorHAnsi"/>
                <w:szCs w:val="17"/>
                <w:lang w:eastAsia="en-US"/>
              </w:rPr>
              <w:t>a</w:t>
            </w:r>
            <w:r w:rsidR="00BF74AF" w:rsidRPr="00EB35E3">
              <w:rPr>
                <w:rFonts w:asciiTheme="minorHAnsi" w:hAnsiTheme="minorHAnsi"/>
                <w:szCs w:val="17"/>
                <w:lang w:eastAsia="en-US"/>
              </w:rPr>
              <w:t>o (PATHWAYS),</w:t>
            </w:r>
            <w:r w:rsidRPr="00EB35E3">
              <w:rPr>
                <w:rFonts w:asciiTheme="minorHAnsi" w:hAnsiTheme="minorHAnsi"/>
                <w:szCs w:val="17"/>
                <w:lang w:eastAsia="en-US"/>
              </w:rPr>
              <w:t xml:space="preserve"> Australia Awards</w:t>
            </w:r>
            <w:r w:rsidR="00BF74AF" w:rsidRPr="00EB35E3">
              <w:rPr>
                <w:rFonts w:asciiTheme="minorHAnsi" w:hAnsiTheme="minorHAnsi"/>
                <w:szCs w:val="17"/>
                <w:lang w:eastAsia="en-US"/>
              </w:rPr>
              <w:t xml:space="preserve"> and Alumni Engagement Program (AAAEP)</w:t>
            </w:r>
            <w:r w:rsidRPr="00EB35E3">
              <w:rPr>
                <w:rFonts w:asciiTheme="minorHAnsi" w:hAnsiTheme="minorHAnsi"/>
                <w:szCs w:val="17"/>
                <w:lang w:eastAsia="en-US"/>
              </w:rPr>
              <w:t xml:space="preserve"> and</w:t>
            </w:r>
            <w:r w:rsidR="00BF74AF" w:rsidRPr="00EB35E3">
              <w:rPr>
                <w:rFonts w:asciiTheme="minorHAnsi" w:hAnsiTheme="minorHAnsi"/>
                <w:szCs w:val="17"/>
                <w:lang w:eastAsia="en-US"/>
              </w:rPr>
              <w:t xml:space="preserve"> the</w:t>
            </w:r>
            <w:r w:rsidRPr="00EB35E3">
              <w:rPr>
                <w:rFonts w:asciiTheme="minorHAnsi" w:hAnsiTheme="minorHAnsi"/>
                <w:szCs w:val="17"/>
                <w:lang w:eastAsia="en-US"/>
              </w:rPr>
              <w:t xml:space="preserve"> </w:t>
            </w:r>
            <w:r w:rsidR="00AF49BC">
              <w:rPr>
                <w:rFonts w:asciiTheme="minorHAnsi" w:hAnsiTheme="minorHAnsi"/>
                <w:szCs w:val="17"/>
                <w:lang w:eastAsia="en-US"/>
              </w:rPr>
              <w:t>TIGER program.</w:t>
            </w:r>
            <w:r w:rsidRPr="00EB35E3">
              <w:rPr>
                <w:rFonts w:asciiTheme="minorHAnsi" w:hAnsiTheme="minorHAnsi"/>
                <w:szCs w:val="17"/>
                <w:lang w:eastAsia="en-US"/>
              </w:rPr>
              <w:t xml:space="preserve"> </w:t>
            </w:r>
          </w:p>
        </w:tc>
        <w:tc>
          <w:tcPr>
            <w:tcW w:w="1106" w:type="dxa"/>
            <w:shd w:val="clear" w:color="auto" w:fill="E36C0A"/>
            <w:vAlign w:val="center"/>
          </w:tcPr>
          <w:p w:rsidR="000210D0" w:rsidRPr="00880004" w:rsidRDefault="000210D0" w:rsidP="000210D0">
            <w:pPr>
              <w:keepLines/>
              <w:spacing w:before="40" w:after="40" w:line="200" w:lineRule="atLeast"/>
              <w:jc w:val="center"/>
              <w:rPr>
                <w:rFonts w:eastAsia="Times New Roman"/>
                <w:iCs/>
                <w:color w:val="FFFFFF" w:themeColor="background1"/>
                <w:szCs w:val="17"/>
              </w:rPr>
            </w:pPr>
            <w:r w:rsidRPr="00612A21">
              <w:rPr>
                <w:rFonts w:asciiTheme="minorHAnsi" w:eastAsia="Times New Roman" w:hAnsiTheme="minorHAnsi"/>
                <w:iCs/>
                <w:color w:val="FFFFFF" w:themeColor="background1"/>
                <w:szCs w:val="17"/>
                <w:lang w:eastAsia="en-US"/>
              </w:rPr>
              <w:t>Partly Achieved</w:t>
            </w:r>
          </w:p>
        </w:tc>
        <w:tc>
          <w:tcPr>
            <w:tcW w:w="6760" w:type="dxa"/>
          </w:tcPr>
          <w:p w:rsidR="000210D0" w:rsidRPr="00BF74AF" w:rsidRDefault="000210D0" w:rsidP="0097490A">
            <w:pPr>
              <w:keepLines/>
              <w:spacing w:before="40" w:after="40" w:line="200" w:lineRule="atLeast"/>
              <w:rPr>
                <w:rFonts w:asciiTheme="minorHAnsi" w:hAnsiTheme="minorHAnsi"/>
                <w:szCs w:val="17"/>
                <w:lang w:eastAsia="en-US"/>
              </w:rPr>
            </w:pPr>
            <w:r w:rsidRPr="00EB35E3">
              <w:rPr>
                <w:rFonts w:asciiTheme="minorHAnsi" w:hAnsiTheme="minorHAnsi"/>
                <w:szCs w:val="17"/>
                <w:lang w:eastAsia="en-US"/>
              </w:rPr>
              <w:t>P</w:t>
            </w:r>
            <w:r w:rsidR="00BF74AF" w:rsidRPr="00EB35E3">
              <w:rPr>
                <w:rFonts w:asciiTheme="minorHAnsi" w:hAnsiTheme="minorHAnsi"/>
                <w:szCs w:val="17"/>
                <w:lang w:eastAsia="en-US"/>
              </w:rPr>
              <w:t xml:space="preserve">ATHWAYS and </w:t>
            </w:r>
            <w:r w:rsidRPr="00EB35E3">
              <w:rPr>
                <w:rFonts w:asciiTheme="minorHAnsi" w:hAnsiTheme="minorHAnsi"/>
                <w:szCs w:val="17"/>
                <w:lang w:eastAsia="en-US"/>
              </w:rPr>
              <w:t>A</w:t>
            </w:r>
            <w:r w:rsidR="00BF74AF" w:rsidRPr="00EB35E3">
              <w:rPr>
                <w:rFonts w:asciiTheme="minorHAnsi" w:hAnsiTheme="minorHAnsi"/>
                <w:szCs w:val="17"/>
                <w:lang w:eastAsia="en-US"/>
              </w:rPr>
              <w:t>AAEP</w:t>
            </w:r>
            <w:r w:rsidRPr="00EB35E3">
              <w:rPr>
                <w:rFonts w:asciiTheme="minorHAnsi" w:hAnsiTheme="minorHAnsi"/>
                <w:szCs w:val="17"/>
                <w:lang w:eastAsia="en-US"/>
              </w:rPr>
              <w:t xml:space="preserve"> were mobilised, but as previously stated the </w:t>
            </w:r>
            <w:r w:rsidR="00BF74AF" w:rsidRPr="00EB35E3">
              <w:rPr>
                <w:rFonts w:asciiTheme="minorHAnsi" w:hAnsiTheme="minorHAnsi"/>
                <w:szCs w:val="17"/>
                <w:lang w:eastAsia="en-US"/>
              </w:rPr>
              <w:t xml:space="preserve">TIGER program </w:t>
            </w:r>
            <w:r w:rsidR="0097490A">
              <w:rPr>
                <w:rFonts w:asciiTheme="minorHAnsi" w:hAnsiTheme="minorHAnsi"/>
                <w:szCs w:val="17"/>
                <w:lang w:eastAsia="en-US"/>
              </w:rPr>
              <w:t>was</w:t>
            </w:r>
            <w:r w:rsidR="00417A84">
              <w:rPr>
                <w:rFonts w:asciiTheme="minorHAnsi" w:hAnsiTheme="minorHAnsi"/>
                <w:szCs w:val="17"/>
                <w:lang w:eastAsia="en-US"/>
              </w:rPr>
              <w:t xml:space="preserve"> </w:t>
            </w:r>
            <w:r w:rsidR="00BF74AF" w:rsidRPr="00EB35E3">
              <w:rPr>
                <w:rFonts w:asciiTheme="minorHAnsi" w:hAnsiTheme="minorHAnsi"/>
                <w:szCs w:val="17"/>
                <w:lang w:eastAsia="en-US"/>
              </w:rPr>
              <w:t>not</w:t>
            </w:r>
            <w:r w:rsidRPr="00EB35E3">
              <w:rPr>
                <w:rFonts w:asciiTheme="minorHAnsi" w:hAnsiTheme="minorHAnsi"/>
                <w:szCs w:val="17"/>
                <w:lang w:eastAsia="en-US"/>
              </w:rPr>
              <w:t xml:space="preserve">. </w:t>
            </w:r>
          </w:p>
        </w:tc>
      </w:tr>
      <w:tr w:rsidR="000210D0" w:rsidRPr="00C61187" w:rsidTr="00BF74AF">
        <w:trPr>
          <w:cnfStyle w:val="000000010000" w:firstRow="0" w:lastRow="0" w:firstColumn="0" w:lastColumn="0" w:oddVBand="0" w:evenVBand="0" w:oddHBand="0" w:evenHBand="1" w:firstRowFirstColumn="0" w:firstRowLastColumn="0" w:lastRowFirstColumn="0" w:lastRowLastColumn="0"/>
        </w:trPr>
        <w:tc>
          <w:tcPr>
            <w:tcW w:w="6195" w:type="dxa"/>
          </w:tcPr>
          <w:p w:rsidR="000210D0" w:rsidRPr="00BF74AF" w:rsidRDefault="000210D0" w:rsidP="000210D0">
            <w:pPr>
              <w:keepLines/>
              <w:spacing w:before="40" w:after="40" w:line="200" w:lineRule="atLeast"/>
              <w:rPr>
                <w:rFonts w:asciiTheme="minorHAnsi" w:hAnsiTheme="minorHAnsi"/>
                <w:szCs w:val="17"/>
                <w:lang w:eastAsia="en-US"/>
              </w:rPr>
            </w:pPr>
            <w:r w:rsidRPr="00BF74AF">
              <w:rPr>
                <w:rFonts w:asciiTheme="minorHAnsi" w:hAnsiTheme="minorHAnsi"/>
                <w:szCs w:val="17"/>
                <w:lang w:eastAsia="en-US"/>
              </w:rPr>
              <w:t>Post will continue to monitory and support humanitarian and recovery activities for Marawi</w:t>
            </w:r>
          </w:p>
        </w:tc>
        <w:tc>
          <w:tcPr>
            <w:tcW w:w="1106" w:type="dxa"/>
            <w:shd w:val="clear" w:color="auto" w:fill="72AF2F"/>
            <w:vAlign w:val="center"/>
          </w:tcPr>
          <w:p w:rsidR="000210D0" w:rsidRPr="00880004" w:rsidRDefault="000210D0" w:rsidP="000210D0">
            <w:pPr>
              <w:keepLines/>
              <w:spacing w:before="40" w:after="40" w:line="200" w:lineRule="atLeast"/>
              <w:jc w:val="center"/>
              <w:rPr>
                <w:rFonts w:asciiTheme="minorHAnsi" w:eastAsia="Times New Roman" w:hAnsiTheme="minorHAnsi"/>
                <w:iCs/>
                <w:color w:val="FFFFFF" w:themeColor="background1"/>
                <w:szCs w:val="17"/>
                <w:lang w:eastAsia="en-US"/>
              </w:rPr>
            </w:pPr>
            <w:r w:rsidRPr="002A2ED9">
              <w:rPr>
                <w:rFonts w:asciiTheme="minorHAnsi" w:eastAsia="Times New Roman" w:hAnsiTheme="minorHAnsi"/>
                <w:iCs/>
                <w:color w:val="FFFFFF" w:themeColor="background1"/>
                <w:szCs w:val="17"/>
                <w:lang w:eastAsia="en-US"/>
              </w:rPr>
              <w:t>Achieved</w:t>
            </w:r>
          </w:p>
        </w:tc>
        <w:tc>
          <w:tcPr>
            <w:tcW w:w="6760" w:type="dxa"/>
          </w:tcPr>
          <w:p w:rsidR="000210D0" w:rsidRPr="00BF74AF" w:rsidRDefault="000210D0" w:rsidP="00BF74AF">
            <w:pPr>
              <w:keepLines/>
              <w:spacing w:before="40" w:after="40" w:line="200" w:lineRule="atLeast"/>
              <w:rPr>
                <w:rFonts w:asciiTheme="minorHAnsi" w:hAnsiTheme="minorHAnsi"/>
                <w:szCs w:val="17"/>
                <w:lang w:eastAsia="en-US"/>
              </w:rPr>
            </w:pPr>
            <w:r w:rsidRPr="00BF74AF">
              <w:rPr>
                <w:rFonts w:asciiTheme="minorHAnsi" w:hAnsiTheme="minorHAnsi"/>
                <w:szCs w:val="17"/>
                <w:lang w:eastAsia="en-US"/>
              </w:rPr>
              <w:t>This management response was an important fo</w:t>
            </w:r>
            <w:r w:rsidR="00BF74AF" w:rsidRPr="00BF74AF">
              <w:rPr>
                <w:rFonts w:asciiTheme="minorHAnsi" w:hAnsiTheme="minorHAnsi"/>
                <w:szCs w:val="17"/>
                <w:lang w:eastAsia="en-US"/>
              </w:rPr>
              <w:t>cus for the Philippines Program</w:t>
            </w:r>
            <w:r w:rsidRPr="00BF74AF">
              <w:rPr>
                <w:rFonts w:asciiTheme="minorHAnsi" w:hAnsiTheme="minorHAnsi"/>
                <w:szCs w:val="17"/>
                <w:lang w:eastAsia="en-US"/>
              </w:rPr>
              <w:t xml:space="preserve"> and the Australian Embassy in Manila i</w:t>
            </w:r>
            <w:r w:rsidR="00BF74AF" w:rsidRPr="00BF74AF">
              <w:rPr>
                <w:rFonts w:asciiTheme="minorHAnsi" w:hAnsiTheme="minorHAnsi"/>
                <w:szCs w:val="17"/>
                <w:lang w:eastAsia="en-US"/>
              </w:rPr>
              <w:t>n 2017-18; P</w:t>
            </w:r>
            <w:r w:rsidRPr="00BF74AF">
              <w:rPr>
                <w:rFonts w:asciiTheme="minorHAnsi" w:hAnsiTheme="minorHAnsi"/>
                <w:szCs w:val="17"/>
                <w:lang w:eastAsia="en-US"/>
              </w:rPr>
              <w:t xml:space="preserve">rogram results articulated in this report support this. </w:t>
            </w:r>
          </w:p>
        </w:tc>
      </w:tr>
    </w:tbl>
    <w:p w:rsidR="00BF74AF" w:rsidRDefault="00BF74AF" w:rsidP="00400B0F">
      <w:pPr>
        <w:spacing w:before="20" w:after="20" w:line="180" w:lineRule="atLeast"/>
        <w:jc w:val="both"/>
        <w:rPr>
          <w:rFonts w:eastAsia="Times New Roman"/>
          <w:b/>
          <w:sz w:val="16"/>
          <w:szCs w:val="14"/>
        </w:rPr>
      </w:pPr>
    </w:p>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sz w:val="16"/>
          <w:szCs w:val="14"/>
        </w:rPr>
        <w:t xml:space="preserve">Note: </w:t>
      </w:r>
    </w:p>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w:t>
      </w:r>
      <w:r w:rsidRPr="00880004">
        <w:rPr>
          <w:rFonts w:eastAsia="Times New Roman"/>
          <w:b/>
          <w:sz w:val="16"/>
          <w:szCs w:val="14"/>
        </w:rPr>
        <w:t xml:space="preserve"> Achieved.  Significant progress has been made in addressing the issue </w:t>
      </w:r>
    </w:p>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sz w:val="16"/>
          <w:szCs w:val="14"/>
        </w:rPr>
        <w:t> </w:t>
      </w:r>
      <w:r w:rsidRPr="00880004">
        <w:rPr>
          <w:rFonts w:eastAsia="Times New Roman"/>
          <w:b/>
          <w:sz w:val="16"/>
          <w:szCs w:val="14"/>
        </w:rPr>
        <w:t xml:space="preserve"> Partly achieved.  Some progress has been made in addressing the issue, but the issue has not been resolved </w:t>
      </w:r>
    </w:p>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w:t>
      </w:r>
      <w:r w:rsidRPr="00880004">
        <w:rPr>
          <w:rFonts w:eastAsia="Times New Roman"/>
          <w:b/>
          <w:sz w:val="16"/>
          <w:szCs w:val="14"/>
        </w:rPr>
        <w:t xml:space="preserve"> Not achieved. Progress in addressing the issue has been significantly below expectations</w:t>
      </w:r>
    </w:p>
    <w:p w:rsidR="00400B0F" w:rsidRPr="00C61187" w:rsidRDefault="00400B0F" w:rsidP="00400B0F">
      <w:pPr>
        <w:spacing w:after="160" w:line="280" w:lineRule="exact"/>
        <w:rPr>
          <w:rFonts w:ascii="Franklin Gothic Book" w:eastAsia="Times New Roman" w:hAnsi="Franklin Gothic Book"/>
          <w:sz w:val="21"/>
        </w:rPr>
      </w:pPr>
    </w:p>
    <w:p w:rsidR="00400B0F" w:rsidRPr="00C61187" w:rsidRDefault="00400B0F" w:rsidP="00400B0F">
      <w:pPr>
        <w:spacing w:after="200" w:line="276" w:lineRule="auto"/>
        <w:rPr>
          <w:rFonts w:ascii="Franklin Gothic Book" w:hAnsi="Franklin Gothic Book"/>
          <w:sz w:val="21"/>
        </w:rPr>
      </w:pPr>
    </w:p>
    <w:p w:rsidR="00D15A00" w:rsidRDefault="00D15A00" w:rsidP="002A51CA"/>
    <w:p w:rsidR="00060268" w:rsidRDefault="00060268" w:rsidP="002A51CA"/>
    <w:p w:rsidR="00033AB7" w:rsidRDefault="002A51CA" w:rsidP="00826F4F">
      <w:pPr>
        <w:pStyle w:val="Subtitle"/>
        <w:numPr>
          <w:ilvl w:val="0"/>
          <w:numId w:val="0"/>
        </w:numPr>
        <w:spacing w:before="100" w:beforeAutospacing="1" w:after="100" w:afterAutospacing="1"/>
      </w:pPr>
      <w:r w:rsidRPr="00C61187">
        <w:rPr>
          <w:rFonts w:ascii="Franklin Gothic Book" w:eastAsia="Times New Roman" w:hAnsi="Franklin Gothic Book"/>
          <w:sz w:val="21"/>
        </w:rPr>
        <w:lastRenderedPageBreak/>
        <w:t xml:space="preserve"> </w:t>
      </w:r>
      <w:r w:rsidR="00400B0F" w:rsidRPr="00BF4477">
        <w:t xml:space="preserve">Annex B </w:t>
      </w:r>
      <w:r w:rsidR="00033AB7" w:rsidRPr="00BF4477">
        <w:t>–</w:t>
      </w:r>
      <w:r w:rsidR="00400B0F" w:rsidRPr="00BF4477">
        <w:t xml:space="preserve"> </w:t>
      </w:r>
      <w:r w:rsidR="00033AB7" w:rsidRPr="00BF4477">
        <w:t>PERFORMANCE BENCHMARKS</w:t>
      </w:r>
    </w:p>
    <w:p w:rsidR="00826F4F" w:rsidRPr="00826F4F" w:rsidRDefault="00826F4F" w:rsidP="00826F4F">
      <w:pPr>
        <w:pStyle w:val="Heading5"/>
        <w:spacing w:before="100" w:beforeAutospacing="1"/>
      </w:pPr>
      <w:r w:rsidRPr="00320251">
        <w:rPr>
          <w:rFonts w:ascii="Franklin Gothic Book" w:eastAsia="Times New Roman" w:hAnsi="Franklin Gothic Book"/>
          <w:sz w:val="24"/>
          <w:szCs w:val="24"/>
        </w:rPr>
        <w:t>Progress towards P</w:t>
      </w:r>
      <w:r>
        <w:rPr>
          <w:rFonts w:ascii="Franklin Gothic Book" w:eastAsia="Times New Roman" w:hAnsi="Franklin Gothic Book"/>
          <w:sz w:val="24"/>
          <w:szCs w:val="24"/>
        </w:rPr>
        <w:t>erformance Benchmarks in 2017-18</w:t>
      </w:r>
    </w:p>
    <w:tbl>
      <w:tblPr>
        <w:tblStyle w:val="DFATTable"/>
        <w:tblW w:w="5000" w:type="pct"/>
        <w:tblLook w:val="04A0" w:firstRow="1" w:lastRow="0" w:firstColumn="1" w:lastColumn="0" w:noHBand="0" w:noVBand="1"/>
      </w:tblPr>
      <w:tblGrid>
        <w:gridCol w:w="2211"/>
        <w:gridCol w:w="2211"/>
        <w:gridCol w:w="1332"/>
        <w:gridCol w:w="8419"/>
      </w:tblGrid>
      <w:tr w:rsidR="00400B0F" w:rsidRPr="00C61187" w:rsidTr="003C084F">
        <w:trPr>
          <w:trHeight w:val="20"/>
          <w:tblHeader/>
        </w:trPr>
        <w:tc>
          <w:tcPr>
            <w:tcW w:w="780" w:type="pct"/>
            <w:tcMar>
              <w:top w:w="57" w:type="dxa"/>
              <w:bottom w:w="57" w:type="dxa"/>
            </w:tcMar>
            <w:vAlign w:val="center"/>
          </w:tcPr>
          <w:p w:rsidR="00400B0F" w:rsidRPr="00880004" w:rsidRDefault="00400B0F" w:rsidP="00576BE4">
            <w:pPr>
              <w:keepLines/>
              <w:spacing w:before="100" w:beforeAutospacing="1" w:after="80" w:line="200" w:lineRule="atLeast"/>
              <w:jc w:val="center"/>
              <w:rPr>
                <w:rFonts w:asciiTheme="minorHAnsi" w:eastAsia="Times New Roman" w:hAnsiTheme="minorHAnsi"/>
                <w:b/>
                <w:iCs/>
                <w:szCs w:val="17"/>
                <w:lang w:eastAsia="en-US"/>
              </w:rPr>
            </w:pPr>
          </w:p>
        </w:tc>
        <w:tc>
          <w:tcPr>
            <w:tcW w:w="780" w:type="pct"/>
            <w:vAlign w:val="center"/>
          </w:tcPr>
          <w:p w:rsidR="00400B0F" w:rsidRPr="00880004" w:rsidRDefault="00400B0F" w:rsidP="00576BE4">
            <w:pPr>
              <w:keepLines/>
              <w:spacing w:before="100" w:beforeAutospacing="1" w:after="80" w:line="200" w:lineRule="atLeast"/>
              <w:jc w:val="center"/>
              <w:rPr>
                <w:rFonts w:asciiTheme="minorHAnsi" w:eastAsia="Times New Roman" w:hAnsiTheme="minorHAnsi"/>
                <w:b/>
                <w:iCs/>
                <w:szCs w:val="17"/>
                <w:lang w:eastAsia="en-US"/>
              </w:rPr>
            </w:pPr>
          </w:p>
        </w:tc>
        <w:tc>
          <w:tcPr>
            <w:tcW w:w="470" w:type="pct"/>
            <w:vAlign w:val="center"/>
          </w:tcPr>
          <w:p w:rsidR="00400B0F" w:rsidRPr="00576BE4" w:rsidRDefault="00400B0F" w:rsidP="00576BE4">
            <w:pPr>
              <w:keepLines/>
              <w:spacing w:before="100" w:beforeAutospacing="1" w:after="100" w:afterAutospacing="1" w:line="200" w:lineRule="atLeast"/>
              <w:jc w:val="center"/>
              <w:rPr>
                <w:rFonts w:asciiTheme="minorHAnsi" w:eastAsia="Times New Roman" w:hAnsiTheme="minorHAnsi"/>
                <w:b/>
                <w:iCs/>
                <w:sz w:val="18"/>
                <w:szCs w:val="18"/>
                <w:lang w:eastAsia="en-US"/>
              </w:rPr>
            </w:pPr>
            <w:r w:rsidRPr="00576BE4">
              <w:rPr>
                <w:rFonts w:asciiTheme="minorHAnsi" w:eastAsia="Times New Roman" w:hAnsiTheme="minorHAnsi"/>
                <w:b/>
                <w:iCs/>
                <w:sz w:val="18"/>
                <w:szCs w:val="18"/>
                <w:lang w:eastAsia="en-US"/>
              </w:rPr>
              <w:t>Rating</w:t>
            </w:r>
          </w:p>
        </w:tc>
        <w:tc>
          <w:tcPr>
            <w:tcW w:w="2970" w:type="pct"/>
            <w:vAlign w:val="center"/>
          </w:tcPr>
          <w:p w:rsidR="00400B0F" w:rsidRPr="00576BE4" w:rsidRDefault="00400B0F" w:rsidP="00576BE4">
            <w:pPr>
              <w:keepLines/>
              <w:spacing w:before="100" w:beforeAutospacing="1" w:after="100" w:afterAutospacing="1" w:line="200" w:lineRule="atLeast"/>
              <w:jc w:val="center"/>
              <w:rPr>
                <w:rFonts w:asciiTheme="minorHAnsi" w:eastAsia="Times New Roman" w:hAnsiTheme="minorHAnsi"/>
                <w:b/>
                <w:iCs/>
                <w:sz w:val="18"/>
                <w:szCs w:val="18"/>
                <w:lang w:eastAsia="en-US"/>
              </w:rPr>
            </w:pPr>
            <w:r w:rsidRPr="00576BE4">
              <w:rPr>
                <w:rFonts w:asciiTheme="minorHAnsi" w:eastAsia="Times New Roman" w:hAnsiTheme="minorHAnsi"/>
                <w:b/>
                <w:iCs/>
                <w:sz w:val="18"/>
                <w:szCs w:val="18"/>
                <w:lang w:eastAsia="en-US"/>
              </w:rPr>
              <w:t>Progress in 201</w:t>
            </w:r>
            <w:r w:rsidR="002D37BC" w:rsidRPr="00576BE4">
              <w:rPr>
                <w:rFonts w:asciiTheme="minorHAnsi" w:eastAsia="Times New Roman" w:hAnsiTheme="minorHAnsi"/>
                <w:b/>
                <w:iCs/>
                <w:sz w:val="18"/>
                <w:szCs w:val="18"/>
                <w:lang w:eastAsia="en-US"/>
              </w:rPr>
              <w:t>7</w:t>
            </w:r>
            <w:r w:rsidRPr="00576BE4">
              <w:rPr>
                <w:rFonts w:asciiTheme="minorHAnsi" w:eastAsia="Times New Roman" w:hAnsiTheme="minorHAnsi"/>
                <w:b/>
                <w:iCs/>
                <w:sz w:val="18"/>
                <w:szCs w:val="18"/>
                <w:lang w:eastAsia="en-US"/>
              </w:rPr>
              <w:t>-1</w:t>
            </w:r>
            <w:r w:rsidR="002D37BC" w:rsidRPr="00576BE4">
              <w:rPr>
                <w:rFonts w:asciiTheme="minorHAnsi" w:eastAsia="Times New Roman" w:hAnsiTheme="minorHAnsi"/>
                <w:b/>
                <w:iCs/>
                <w:sz w:val="18"/>
                <w:szCs w:val="18"/>
                <w:lang w:eastAsia="en-US"/>
              </w:rPr>
              <w:t>8</w:t>
            </w:r>
          </w:p>
        </w:tc>
      </w:tr>
      <w:tr w:rsidR="00576BE4" w:rsidRPr="00C61187" w:rsidTr="00576BE4">
        <w:trPr>
          <w:trHeight w:val="20"/>
        </w:trPr>
        <w:tc>
          <w:tcPr>
            <w:tcW w:w="5000" w:type="pct"/>
            <w:gridSpan w:val="4"/>
            <w:tcMar>
              <w:top w:w="57" w:type="dxa"/>
              <w:bottom w:w="57" w:type="dxa"/>
            </w:tcMar>
          </w:tcPr>
          <w:p w:rsidR="00576BE4" w:rsidRPr="00880004" w:rsidRDefault="00576BE4" w:rsidP="00576BE4">
            <w:pPr>
              <w:keepLines/>
              <w:spacing w:before="100" w:beforeAutospacing="1" w:after="40" w:line="200" w:lineRule="atLeast"/>
              <w:rPr>
                <w:rFonts w:asciiTheme="minorHAnsi" w:eastAsia="Times New Roman" w:hAnsiTheme="minorHAnsi"/>
                <w:iCs/>
                <w:szCs w:val="17"/>
                <w:lang w:eastAsia="en-US"/>
              </w:rPr>
            </w:pPr>
            <w:r w:rsidRPr="00576BE4">
              <w:rPr>
                <w:rFonts w:asciiTheme="minorHAnsi" w:eastAsia="Times New Roman" w:hAnsiTheme="minorHAnsi"/>
                <w:b/>
                <w:iCs/>
                <w:sz w:val="18"/>
                <w:szCs w:val="18"/>
                <w:lang w:eastAsia="en-US"/>
              </w:rPr>
              <w:t>AIP Strategic Objective 1</w:t>
            </w:r>
            <w:r>
              <w:rPr>
                <w:rFonts w:asciiTheme="minorHAnsi" w:eastAsia="Times New Roman" w:hAnsiTheme="minorHAnsi"/>
                <w:b/>
                <w:iCs/>
                <w:sz w:val="18"/>
                <w:szCs w:val="18"/>
                <w:lang w:eastAsia="en-US"/>
              </w:rPr>
              <w:t xml:space="preserve">: </w:t>
            </w:r>
            <w:r w:rsidRPr="00826F4F">
              <w:rPr>
                <w:rFonts w:asciiTheme="minorHAnsi" w:eastAsia="Times New Roman" w:hAnsiTheme="minorHAnsi"/>
                <w:b/>
                <w:i/>
                <w:iCs/>
                <w:sz w:val="18"/>
                <w:szCs w:val="18"/>
                <w:lang w:eastAsia="en-US"/>
              </w:rPr>
              <w:t>Enhancing the Foundations for Economic Growth</w:t>
            </w:r>
          </w:p>
        </w:tc>
      </w:tr>
      <w:tr w:rsidR="00576BE4" w:rsidRPr="00C61187" w:rsidTr="003C084F">
        <w:tc>
          <w:tcPr>
            <w:tcW w:w="780" w:type="pct"/>
            <w:tcMar>
              <w:top w:w="57" w:type="dxa"/>
              <w:bottom w:w="57" w:type="dxa"/>
            </w:tcMar>
          </w:tcPr>
          <w:p w:rsidR="00576BE4" w:rsidRPr="00EA232C" w:rsidRDefault="00576BE4" w:rsidP="00576BE4">
            <w:pPr>
              <w:keepLines/>
              <w:spacing w:before="40" w:after="40" w:line="200" w:lineRule="atLeast"/>
              <w:rPr>
                <w:rFonts w:asciiTheme="minorHAnsi" w:hAnsiTheme="minorHAnsi"/>
                <w:szCs w:val="17"/>
                <w:lang w:eastAsia="en-US"/>
              </w:rPr>
            </w:pPr>
            <w:r w:rsidRPr="00EA232C">
              <w:rPr>
                <w:rFonts w:asciiTheme="minorHAnsi" w:hAnsiTheme="minorHAnsi"/>
                <w:szCs w:val="17"/>
                <w:lang w:eastAsia="en-US"/>
              </w:rPr>
              <w:t>Strengthen Philippine Government planning for interconnectivity of transport infrastructure at the national and local levels</w:t>
            </w:r>
          </w:p>
        </w:tc>
        <w:tc>
          <w:tcPr>
            <w:tcW w:w="780" w:type="pct"/>
          </w:tcPr>
          <w:p w:rsidR="00576BE4" w:rsidRPr="00EA232C" w:rsidRDefault="00576BE4" w:rsidP="00576BE4">
            <w:pPr>
              <w:keepLines/>
              <w:spacing w:before="40" w:after="40" w:line="200" w:lineRule="atLeast"/>
              <w:rPr>
                <w:rFonts w:asciiTheme="minorHAnsi" w:hAnsiTheme="minorHAnsi"/>
                <w:szCs w:val="17"/>
                <w:lang w:eastAsia="en-US"/>
              </w:rPr>
            </w:pPr>
            <w:r w:rsidRPr="00EA232C">
              <w:rPr>
                <w:rFonts w:asciiTheme="minorHAnsi" w:hAnsiTheme="minorHAnsi"/>
                <w:szCs w:val="17"/>
                <w:lang w:eastAsia="en-US"/>
              </w:rPr>
              <w:t>Key transport planning and project bottlenecks are addressed</w:t>
            </w:r>
          </w:p>
        </w:tc>
        <w:tc>
          <w:tcPr>
            <w:tcW w:w="470" w:type="pct"/>
            <w:shd w:val="clear" w:color="auto" w:fill="E36C0A"/>
            <w:vAlign w:val="center"/>
          </w:tcPr>
          <w:p w:rsidR="00576BE4" w:rsidRPr="00880004" w:rsidRDefault="00576BE4" w:rsidP="00576BE4">
            <w:pPr>
              <w:keepLines/>
              <w:spacing w:before="40" w:after="40" w:line="200" w:lineRule="atLeast"/>
              <w:jc w:val="center"/>
              <w:rPr>
                <w:rFonts w:eastAsia="Times New Roman"/>
                <w:iCs/>
                <w:color w:val="FFFFFF" w:themeColor="background1"/>
                <w:szCs w:val="17"/>
              </w:rPr>
            </w:pPr>
            <w:r w:rsidRPr="007E3B35">
              <w:rPr>
                <w:rFonts w:ascii="Calibri" w:eastAsia="Times New Roman" w:hAnsi="Calibri" w:cs="Times New Roman"/>
                <w:b/>
                <w:color w:val="FFFFFF" w:themeColor="background1"/>
                <w:szCs w:val="17"/>
                <w:lang w:val="en-AU"/>
              </w:rPr>
              <w:t>Partly Achieved</w:t>
            </w:r>
          </w:p>
        </w:tc>
        <w:tc>
          <w:tcPr>
            <w:tcW w:w="2970" w:type="pct"/>
          </w:tcPr>
          <w:p w:rsidR="00576BE4" w:rsidRPr="00576BE4" w:rsidRDefault="00F65819" w:rsidP="00F65819">
            <w:pPr>
              <w:keepLines/>
              <w:spacing w:before="40" w:after="40" w:line="200" w:lineRule="atLeast"/>
              <w:rPr>
                <w:rFonts w:asciiTheme="minorHAnsi" w:hAnsiTheme="minorHAnsi"/>
                <w:szCs w:val="17"/>
                <w:lang w:eastAsia="en-US"/>
              </w:rPr>
            </w:pPr>
            <w:r>
              <w:rPr>
                <w:rFonts w:asciiTheme="minorHAnsi" w:hAnsiTheme="minorHAnsi"/>
                <w:szCs w:val="17"/>
                <w:lang w:eastAsia="en-US"/>
              </w:rPr>
              <w:t xml:space="preserve">The new infrastructure program, Public Financial Management for Institutions and Infrastructure was tendered in 2018.  As the design incorporates both PFM and infrastructure related objectives, this program falls partly under objective 1 and partly under objective 2. </w:t>
            </w:r>
          </w:p>
        </w:tc>
      </w:tr>
      <w:tr w:rsidR="00576BE4" w:rsidRPr="00C61187" w:rsidTr="003C084F">
        <w:tc>
          <w:tcPr>
            <w:tcW w:w="780" w:type="pct"/>
            <w:tcMar>
              <w:top w:w="57" w:type="dxa"/>
              <w:bottom w:w="57" w:type="dxa"/>
            </w:tcMar>
          </w:tcPr>
          <w:p w:rsidR="00576BE4" w:rsidRPr="00EA232C" w:rsidRDefault="00576BE4" w:rsidP="00576BE4">
            <w:pPr>
              <w:keepLines/>
              <w:spacing w:before="40" w:after="40" w:line="200" w:lineRule="atLeast"/>
              <w:rPr>
                <w:rFonts w:asciiTheme="minorHAnsi" w:hAnsiTheme="minorHAnsi"/>
                <w:szCs w:val="17"/>
                <w:lang w:eastAsia="en-US"/>
              </w:rPr>
            </w:pPr>
            <w:r w:rsidRPr="00EA232C">
              <w:rPr>
                <w:rFonts w:asciiTheme="minorHAnsi" w:hAnsiTheme="minorHAnsi"/>
                <w:szCs w:val="17"/>
                <w:lang w:eastAsia="en-US"/>
              </w:rPr>
              <w:t xml:space="preserve">Contribute to Australia’s commitment to increase Aid for Trade spending to 20% of the aid program </w:t>
            </w:r>
          </w:p>
        </w:tc>
        <w:tc>
          <w:tcPr>
            <w:tcW w:w="780" w:type="pct"/>
          </w:tcPr>
          <w:p w:rsidR="00576BE4" w:rsidRPr="00EA232C" w:rsidRDefault="00576BE4" w:rsidP="00576BE4">
            <w:pPr>
              <w:keepLines/>
              <w:spacing w:before="40" w:after="40" w:line="200" w:lineRule="atLeast"/>
              <w:rPr>
                <w:rFonts w:asciiTheme="minorHAnsi" w:hAnsiTheme="minorHAnsi"/>
                <w:szCs w:val="17"/>
                <w:lang w:eastAsia="en-US"/>
              </w:rPr>
            </w:pPr>
            <w:r w:rsidRPr="00EA232C">
              <w:rPr>
                <w:rFonts w:asciiTheme="minorHAnsi" w:hAnsiTheme="minorHAnsi"/>
                <w:szCs w:val="17"/>
                <w:lang w:eastAsia="en-US"/>
              </w:rPr>
              <w:t xml:space="preserve">Trade and Inclusive Economic Growth Facility ready for implementation </w:t>
            </w:r>
          </w:p>
        </w:tc>
        <w:tc>
          <w:tcPr>
            <w:tcW w:w="470" w:type="pct"/>
            <w:shd w:val="clear" w:color="auto" w:fill="FF0000"/>
            <w:vAlign w:val="center"/>
          </w:tcPr>
          <w:p w:rsidR="00576BE4" w:rsidRPr="00880004" w:rsidRDefault="003D135F" w:rsidP="00576BE4">
            <w:pPr>
              <w:keepLines/>
              <w:spacing w:before="40" w:after="40" w:line="200" w:lineRule="atLeast"/>
              <w:jc w:val="center"/>
              <w:rPr>
                <w:rFonts w:eastAsia="Times New Roman"/>
                <w:iCs/>
                <w:color w:val="FFFFFF" w:themeColor="background1"/>
                <w:szCs w:val="17"/>
              </w:rPr>
            </w:pPr>
            <w:r>
              <w:rPr>
                <w:rFonts w:ascii="Calibri" w:eastAsia="Times New Roman" w:hAnsi="Calibri" w:cs="Times New Roman"/>
                <w:b/>
                <w:color w:val="FFFFFF" w:themeColor="background1"/>
                <w:szCs w:val="17"/>
                <w:lang w:val="en-AU"/>
              </w:rPr>
              <w:t xml:space="preserve">Not </w:t>
            </w:r>
            <w:r w:rsidR="00576BE4" w:rsidRPr="007E3B35">
              <w:rPr>
                <w:rFonts w:ascii="Calibri" w:eastAsia="Times New Roman" w:hAnsi="Calibri" w:cs="Times New Roman"/>
                <w:b/>
                <w:color w:val="FFFFFF" w:themeColor="background1"/>
                <w:szCs w:val="17"/>
                <w:lang w:val="en-AU"/>
              </w:rPr>
              <w:t>Achieved</w:t>
            </w:r>
          </w:p>
        </w:tc>
        <w:tc>
          <w:tcPr>
            <w:tcW w:w="2970" w:type="pct"/>
          </w:tcPr>
          <w:p w:rsidR="00576BE4" w:rsidRPr="00576BE4" w:rsidRDefault="00802E98" w:rsidP="00802E98">
            <w:pPr>
              <w:keepLines/>
              <w:spacing w:before="40" w:after="40" w:line="200" w:lineRule="atLeast"/>
              <w:rPr>
                <w:rFonts w:asciiTheme="minorHAnsi" w:hAnsiTheme="minorHAnsi"/>
                <w:szCs w:val="17"/>
                <w:lang w:eastAsia="en-US"/>
              </w:rPr>
            </w:pPr>
            <w:r w:rsidRPr="00802E98">
              <w:rPr>
                <w:rFonts w:asciiTheme="minorHAnsi" w:hAnsiTheme="minorHAnsi"/>
                <w:iCs/>
                <w:szCs w:val="17"/>
                <w:lang w:eastAsia="en-US"/>
              </w:rPr>
              <w:t>Facility approved by</w:t>
            </w:r>
            <w:r>
              <w:rPr>
                <w:rFonts w:asciiTheme="minorHAnsi" w:hAnsiTheme="minorHAnsi"/>
                <w:iCs/>
                <w:szCs w:val="17"/>
                <w:lang w:eastAsia="en-US"/>
              </w:rPr>
              <w:t xml:space="preserve"> Philippine Government</w:t>
            </w:r>
            <w:r w:rsidRPr="00802E98">
              <w:rPr>
                <w:rFonts w:asciiTheme="minorHAnsi" w:hAnsiTheme="minorHAnsi"/>
                <w:iCs/>
                <w:szCs w:val="17"/>
                <w:lang w:eastAsia="en-US"/>
              </w:rPr>
              <w:t xml:space="preserve"> I</w:t>
            </w:r>
            <w:r>
              <w:rPr>
                <w:rFonts w:asciiTheme="minorHAnsi" w:hAnsiTheme="minorHAnsi"/>
                <w:iCs/>
                <w:szCs w:val="17"/>
                <w:lang w:eastAsia="en-US"/>
              </w:rPr>
              <w:t xml:space="preserve">nvestment </w:t>
            </w:r>
            <w:r w:rsidRPr="00802E98">
              <w:rPr>
                <w:rFonts w:asciiTheme="minorHAnsi" w:hAnsiTheme="minorHAnsi"/>
                <w:iCs/>
                <w:szCs w:val="17"/>
                <w:lang w:eastAsia="en-US"/>
              </w:rPr>
              <w:t>C</w:t>
            </w:r>
            <w:r>
              <w:rPr>
                <w:rFonts w:asciiTheme="minorHAnsi" w:hAnsiTheme="minorHAnsi"/>
                <w:iCs/>
                <w:szCs w:val="17"/>
                <w:lang w:eastAsia="en-US"/>
              </w:rPr>
              <w:t xml:space="preserve">oordination </w:t>
            </w:r>
            <w:r w:rsidRPr="00802E98">
              <w:rPr>
                <w:rFonts w:asciiTheme="minorHAnsi" w:hAnsiTheme="minorHAnsi"/>
                <w:iCs/>
                <w:szCs w:val="17"/>
                <w:lang w:eastAsia="en-US"/>
              </w:rPr>
              <w:t>C</w:t>
            </w:r>
            <w:r>
              <w:rPr>
                <w:rFonts w:asciiTheme="minorHAnsi" w:hAnsiTheme="minorHAnsi"/>
                <w:iCs/>
                <w:szCs w:val="17"/>
                <w:lang w:eastAsia="en-US"/>
              </w:rPr>
              <w:t>ommittee</w:t>
            </w:r>
            <w:r w:rsidRPr="00802E98">
              <w:rPr>
                <w:rFonts w:asciiTheme="minorHAnsi" w:hAnsiTheme="minorHAnsi"/>
                <w:iCs/>
                <w:szCs w:val="17"/>
                <w:lang w:eastAsia="en-US"/>
              </w:rPr>
              <w:t xml:space="preserve"> Technical Board</w:t>
            </w:r>
            <w:r>
              <w:rPr>
                <w:rFonts w:asciiTheme="minorHAnsi" w:hAnsiTheme="minorHAnsi"/>
                <w:iCs/>
                <w:szCs w:val="17"/>
                <w:lang w:eastAsia="en-US"/>
              </w:rPr>
              <w:t xml:space="preserve"> (Undersecretary level)</w:t>
            </w:r>
            <w:r w:rsidRPr="00802E98">
              <w:rPr>
                <w:rFonts w:asciiTheme="minorHAnsi" w:hAnsiTheme="minorHAnsi"/>
                <w:iCs/>
                <w:szCs w:val="17"/>
                <w:lang w:eastAsia="en-US"/>
              </w:rPr>
              <w:t xml:space="preserve"> in October 2017. Subsequently, t</w:t>
            </w:r>
            <w:r>
              <w:rPr>
                <w:rFonts w:asciiTheme="minorHAnsi" w:hAnsiTheme="minorHAnsi"/>
                <w:iCs/>
                <w:szCs w:val="17"/>
                <w:lang w:eastAsia="en-US"/>
              </w:rPr>
              <w:t>he Philippine G</w:t>
            </w:r>
            <w:r w:rsidRPr="00802E98">
              <w:rPr>
                <w:rFonts w:asciiTheme="minorHAnsi" w:hAnsiTheme="minorHAnsi"/>
                <w:iCs/>
                <w:szCs w:val="17"/>
                <w:lang w:eastAsia="en-US"/>
              </w:rPr>
              <w:t>overnment decided not to proceed with the Facility.</w:t>
            </w:r>
          </w:p>
        </w:tc>
      </w:tr>
      <w:tr w:rsidR="00576BE4" w:rsidRPr="00C61187" w:rsidTr="00D54DB5">
        <w:tc>
          <w:tcPr>
            <w:tcW w:w="780" w:type="pct"/>
            <w:tcMar>
              <w:top w:w="57" w:type="dxa"/>
              <w:bottom w:w="57" w:type="dxa"/>
            </w:tcMar>
          </w:tcPr>
          <w:p w:rsidR="00576BE4" w:rsidRPr="00576BE4" w:rsidRDefault="005C3D29" w:rsidP="00576BE4">
            <w:pPr>
              <w:keepLines/>
              <w:spacing w:before="40" w:after="40" w:line="200" w:lineRule="atLeast"/>
              <w:rPr>
                <w:rFonts w:asciiTheme="minorHAnsi" w:hAnsiTheme="minorHAnsi"/>
                <w:szCs w:val="17"/>
                <w:lang w:eastAsia="en-US"/>
              </w:rPr>
            </w:pPr>
            <w:r>
              <w:rPr>
                <w:rFonts w:asciiTheme="minorHAnsi" w:hAnsiTheme="minorHAnsi"/>
                <w:szCs w:val="17"/>
                <w:lang w:eastAsia="en-US"/>
              </w:rPr>
              <w:t xml:space="preserve">Philippine </w:t>
            </w:r>
            <w:r w:rsidR="00576BE4" w:rsidRPr="00576BE4">
              <w:rPr>
                <w:rFonts w:asciiTheme="minorHAnsi" w:hAnsiTheme="minorHAnsi"/>
                <w:szCs w:val="17"/>
                <w:lang w:eastAsia="en-US"/>
              </w:rPr>
              <w:t>Dep</w:t>
            </w:r>
            <w:r>
              <w:rPr>
                <w:rFonts w:asciiTheme="minorHAnsi" w:hAnsiTheme="minorHAnsi"/>
                <w:szCs w:val="17"/>
                <w:lang w:eastAsia="en-US"/>
              </w:rPr>
              <w:t xml:space="preserve">artment of </w:t>
            </w:r>
            <w:r w:rsidR="00576BE4" w:rsidRPr="00576BE4">
              <w:rPr>
                <w:rFonts w:asciiTheme="minorHAnsi" w:hAnsiTheme="minorHAnsi"/>
                <w:szCs w:val="17"/>
                <w:lang w:eastAsia="en-US"/>
              </w:rPr>
              <w:t>Ed</w:t>
            </w:r>
            <w:r>
              <w:rPr>
                <w:rFonts w:asciiTheme="minorHAnsi" w:hAnsiTheme="minorHAnsi"/>
                <w:szCs w:val="17"/>
                <w:lang w:eastAsia="en-US"/>
              </w:rPr>
              <w:t>ucation (DepEd)</w:t>
            </w:r>
            <w:r w:rsidR="00576BE4" w:rsidRPr="00576BE4">
              <w:rPr>
                <w:rFonts w:asciiTheme="minorHAnsi" w:hAnsiTheme="minorHAnsi"/>
                <w:szCs w:val="17"/>
                <w:lang w:eastAsia="en-US"/>
              </w:rPr>
              <w:t xml:space="preserve"> has an appropriate org structure, functioning management systems and improved staff capacity in leadership, planning and decision making to deliver better education services </w:t>
            </w:r>
          </w:p>
        </w:tc>
        <w:tc>
          <w:tcPr>
            <w:tcW w:w="780" w:type="pct"/>
          </w:tcPr>
          <w:p w:rsidR="00576BE4" w:rsidRPr="00576BE4" w:rsidRDefault="00576BE4" w:rsidP="00576BE4">
            <w:pPr>
              <w:keepLines/>
              <w:spacing w:before="40" w:after="40" w:line="200" w:lineRule="atLeast"/>
              <w:rPr>
                <w:rFonts w:asciiTheme="minorHAnsi" w:hAnsiTheme="minorHAnsi"/>
                <w:szCs w:val="17"/>
                <w:lang w:eastAsia="en-US"/>
              </w:rPr>
            </w:pPr>
            <w:r w:rsidRPr="00576BE4">
              <w:rPr>
                <w:rFonts w:asciiTheme="minorHAnsi" w:hAnsiTheme="minorHAnsi"/>
                <w:szCs w:val="17"/>
                <w:lang w:eastAsia="en-US"/>
              </w:rPr>
              <w:t>Strategic and foundational capacities and competencies buil</w:t>
            </w:r>
            <w:r w:rsidR="00AA08FD">
              <w:rPr>
                <w:rFonts w:asciiTheme="minorHAnsi" w:hAnsiTheme="minorHAnsi"/>
                <w:szCs w:val="17"/>
                <w:lang w:eastAsia="en-US"/>
              </w:rPr>
              <w:t>t</w:t>
            </w:r>
            <w:r w:rsidRPr="00576BE4">
              <w:rPr>
                <w:rFonts w:asciiTheme="minorHAnsi" w:hAnsiTheme="minorHAnsi"/>
                <w:szCs w:val="17"/>
                <w:lang w:eastAsia="en-US"/>
              </w:rPr>
              <w:t xml:space="preserve"> in DepEd to support improvements in learning, teaching and operations, in at least 20,000 schools and 214 school divisions</w:t>
            </w:r>
          </w:p>
        </w:tc>
        <w:tc>
          <w:tcPr>
            <w:tcW w:w="470" w:type="pct"/>
            <w:shd w:val="clear" w:color="auto" w:fill="FF6600"/>
            <w:vAlign w:val="center"/>
          </w:tcPr>
          <w:p w:rsidR="00576BE4" w:rsidRPr="00880004" w:rsidRDefault="002F0257" w:rsidP="00576BE4">
            <w:pPr>
              <w:keepLines/>
              <w:spacing w:before="40" w:after="40" w:line="200" w:lineRule="atLeast"/>
              <w:jc w:val="center"/>
              <w:rPr>
                <w:rFonts w:eastAsia="Times New Roman"/>
                <w:iCs/>
                <w:color w:val="FFFFFF" w:themeColor="background1"/>
                <w:szCs w:val="17"/>
              </w:rPr>
            </w:pPr>
            <w:r>
              <w:rPr>
                <w:rFonts w:ascii="Calibri" w:eastAsia="Times New Roman" w:hAnsi="Calibri" w:cs="Times New Roman"/>
                <w:b/>
                <w:color w:val="FFFFFF" w:themeColor="background1"/>
                <w:szCs w:val="17"/>
                <w:lang w:val="en-AU"/>
              </w:rPr>
              <w:t xml:space="preserve">Partially </w:t>
            </w:r>
            <w:r w:rsidR="00576BE4" w:rsidRPr="007E3B35">
              <w:rPr>
                <w:rFonts w:ascii="Calibri" w:eastAsia="Times New Roman" w:hAnsi="Calibri" w:cs="Times New Roman"/>
                <w:b/>
                <w:color w:val="FFFFFF" w:themeColor="background1"/>
                <w:szCs w:val="17"/>
                <w:lang w:val="en-AU"/>
              </w:rPr>
              <w:t>Achieved</w:t>
            </w:r>
          </w:p>
        </w:tc>
        <w:tc>
          <w:tcPr>
            <w:tcW w:w="2970" w:type="pct"/>
          </w:tcPr>
          <w:p w:rsidR="00576BE4" w:rsidRPr="00576BE4" w:rsidRDefault="00C671FD">
            <w:pPr>
              <w:keepLines/>
              <w:spacing w:before="40" w:after="40" w:line="200" w:lineRule="atLeast"/>
              <w:rPr>
                <w:rFonts w:asciiTheme="minorHAnsi" w:hAnsiTheme="minorHAnsi"/>
                <w:szCs w:val="17"/>
                <w:lang w:eastAsia="en-US"/>
              </w:rPr>
            </w:pPr>
            <w:r w:rsidRPr="00C671FD">
              <w:rPr>
                <w:rFonts w:asciiTheme="minorHAnsi" w:hAnsiTheme="minorHAnsi"/>
                <w:szCs w:val="17"/>
                <w:lang w:eastAsia="en-US"/>
              </w:rPr>
              <w:t xml:space="preserve">BEST developed </w:t>
            </w:r>
            <w:r w:rsidR="002124B2">
              <w:rPr>
                <w:rFonts w:asciiTheme="minorHAnsi" w:hAnsiTheme="minorHAnsi"/>
                <w:szCs w:val="17"/>
                <w:lang w:eastAsia="en-US"/>
              </w:rPr>
              <w:t>13</w:t>
            </w:r>
            <w:r w:rsidRPr="00C671FD">
              <w:rPr>
                <w:rFonts w:asciiTheme="minorHAnsi" w:hAnsiTheme="minorHAnsi"/>
                <w:szCs w:val="17"/>
                <w:lang w:eastAsia="en-US"/>
              </w:rPr>
              <w:t xml:space="preserve"> sets of teaching and learning materials aligned with the new national curriculum and published on the </w:t>
            </w:r>
            <w:r w:rsidR="005C3D29">
              <w:rPr>
                <w:rFonts w:asciiTheme="minorHAnsi" w:hAnsiTheme="minorHAnsi"/>
                <w:szCs w:val="17"/>
                <w:lang w:eastAsia="en-US"/>
              </w:rPr>
              <w:t>DepEd</w:t>
            </w:r>
            <w:r w:rsidRPr="00C671FD">
              <w:rPr>
                <w:rFonts w:asciiTheme="minorHAnsi" w:hAnsiTheme="minorHAnsi"/>
                <w:szCs w:val="17"/>
                <w:lang w:eastAsia="en-US"/>
              </w:rPr>
              <w:t>’s online Learning Resources Port</w:t>
            </w:r>
            <w:r w:rsidR="00340C63">
              <w:rPr>
                <w:rFonts w:asciiTheme="minorHAnsi" w:hAnsiTheme="minorHAnsi"/>
                <w:szCs w:val="17"/>
                <w:lang w:eastAsia="en-US"/>
              </w:rPr>
              <w:t>al</w:t>
            </w:r>
            <w:r w:rsidR="002124B2">
              <w:rPr>
                <w:rFonts w:asciiTheme="minorHAnsi" w:hAnsiTheme="minorHAnsi"/>
                <w:szCs w:val="17"/>
                <w:lang w:eastAsia="en-US"/>
              </w:rPr>
              <w:t xml:space="preserve"> during the reporting period</w:t>
            </w:r>
            <w:r w:rsidR="00340C63">
              <w:rPr>
                <w:rFonts w:asciiTheme="minorHAnsi" w:hAnsiTheme="minorHAnsi"/>
                <w:szCs w:val="17"/>
                <w:lang w:eastAsia="en-US"/>
              </w:rPr>
              <w:t>,;</w:t>
            </w:r>
            <w:r w:rsidRPr="00C671FD">
              <w:rPr>
                <w:rFonts w:asciiTheme="minorHAnsi" w:hAnsiTheme="minorHAnsi"/>
                <w:szCs w:val="17"/>
                <w:lang w:eastAsia="en-US"/>
              </w:rPr>
              <w:t xml:space="preserve"> The program developed and delivered a Schools Superintendents Leadership Program; </w:t>
            </w:r>
            <w:r w:rsidR="00CE4DC1">
              <w:rPr>
                <w:rFonts w:asciiTheme="minorHAnsi" w:hAnsiTheme="minorHAnsi"/>
                <w:szCs w:val="17"/>
                <w:lang w:eastAsia="en-US"/>
              </w:rPr>
              <w:t>trained 209 School H</w:t>
            </w:r>
            <w:r w:rsidR="00CE4DC1" w:rsidRPr="00CE4DC1">
              <w:rPr>
                <w:rFonts w:asciiTheme="minorHAnsi" w:hAnsiTheme="minorHAnsi"/>
                <w:szCs w:val="17"/>
                <w:lang w:eastAsia="en-US"/>
              </w:rPr>
              <w:t xml:space="preserve">eads as trainers </w:t>
            </w:r>
            <w:r w:rsidR="00CE4DC1">
              <w:rPr>
                <w:rFonts w:asciiTheme="minorHAnsi" w:hAnsiTheme="minorHAnsi"/>
                <w:szCs w:val="17"/>
                <w:lang w:eastAsia="en-US"/>
              </w:rPr>
              <w:t>to deliver</w:t>
            </w:r>
            <w:r w:rsidR="00CE4DC1" w:rsidRPr="00CE4DC1">
              <w:rPr>
                <w:rFonts w:asciiTheme="minorHAnsi" w:hAnsiTheme="minorHAnsi"/>
                <w:szCs w:val="17"/>
                <w:lang w:eastAsia="en-US"/>
              </w:rPr>
              <w:t xml:space="preserve"> the School Heads Development Program (SHDP</w:t>
            </w:r>
            <w:r w:rsidR="00CE4DC1">
              <w:rPr>
                <w:rFonts w:asciiTheme="minorHAnsi" w:hAnsiTheme="minorHAnsi"/>
                <w:szCs w:val="17"/>
                <w:lang w:eastAsia="en-US"/>
              </w:rPr>
              <w:t>)</w:t>
            </w:r>
            <w:r w:rsidR="00CE4DC1" w:rsidRPr="00CE4DC1">
              <w:rPr>
                <w:rFonts w:asciiTheme="minorHAnsi" w:hAnsiTheme="minorHAnsi"/>
                <w:szCs w:val="17"/>
                <w:lang w:eastAsia="en-US"/>
              </w:rPr>
              <w:t xml:space="preserve"> to 28,000</w:t>
            </w:r>
            <w:r w:rsidR="00CE4DC1">
              <w:rPr>
                <w:rFonts w:asciiTheme="minorHAnsi" w:hAnsiTheme="minorHAnsi"/>
                <w:szCs w:val="17"/>
                <w:lang w:eastAsia="en-US"/>
              </w:rPr>
              <w:t xml:space="preserve"> School H</w:t>
            </w:r>
            <w:r w:rsidR="00CE4DC1" w:rsidRPr="00CE4DC1">
              <w:rPr>
                <w:rFonts w:asciiTheme="minorHAnsi" w:hAnsiTheme="minorHAnsi"/>
                <w:szCs w:val="17"/>
                <w:lang w:eastAsia="en-US"/>
              </w:rPr>
              <w:t>eads</w:t>
            </w:r>
            <w:r w:rsidR="00CE4DC1">
              <w:rPr>
                <w:rFonts w:asciiTheme="minorHAnsi" w:hAnsiTheme="minorHAnsi"/>
                <w:szCs w:val="17"/>
                <w:lang w:eastAsia="en-US"/>
              </w:rPr>
              <w:t xml:space="preserve"> (</w:t>
            </w:r>
            <w:r w:rsidR="00CE4DC1" w:rsidRPr="00CE4DC1">
              <w:rPr>
                <w:rFonts w:asciiTheme="minorHAnsi" w:hAnsiTheme="minorHAnsi"/>
                <w:szCs w:val="17"/>
                <w:lang w:eastAsia="en-US"/>
              </w:rPr>
              <w:t>59% of the national cohort</w:t>
            </w:r>
            <w:r w:rsidR="00CE4DC1">
              <w:rPr>
                <w:rFonts w:asciiTheme="minorHAnsi" w:hAnsiTheme="minorHAnsi"/>
                <w:szCs w:val="17"/>
                <w:lang w:eastAsia="en-US"/>
              </w:rPr>
              <w:t xml:space="preserve">); </w:t>
            </w:r>
            <w:r w:rsidRPr="00C671FD">
              <w:rPr>
                <w:rFonts w:asciiTheme="minorHAnsi" w:hAnsiTheme="minorHAnsi"/>
                <w:szCs w:val="17"/>
                <w:lang w:eastAsia="en-US"/>
              </w:rPr>
              <w:t>and trained educators in core English, Maths and Science competencies, reaching 2,600 schools and 120 schools division offices</w:t>
            </w:r>
            <w:r w:rsidR="00CE4DC1">
              <w:rPr>
                <w:rFonts w:asciiTheme="minorHAnsi" w:hAnsiTheme="minorHAnsi"/>
                <w:szCs w:val="17"/>
                <w:lang w:eastAsia="en-US"/>
              </w:rPr>
              <w:t>.</w:t>
            </w:r>
            <w:r w:rsidRPr="00C671FD">
              <w:rPr>
                <w:rFonts w:asciiTheme="minorHAnsi" w:hAnsiTheme="minorHAnsi"/>
                <w:szCs w:val="17"/>
                <w:lang w:eastAsia="en-US"/>
              </w:rPr>
              <w:t xml:space="preserve"> BEST also provided critical policy advice to support the transformation of the National Educators Academy of the Philippines (NEAP) into a full-service Professional Development Academy for public school teachers and administrators.</w:t>
            </w:r>
          </w:p>
        </w:tc>
      </w:tr>
      <w:tr w:rsidR="00576BE4" w:rsidRPr="00C61187" w:rsidTr="003C084F">
        <w:tc>
          <w:tcPr>
            <w:tcW w:w="780" w:type="pct"/>
            <w:tcMar>
              <w:top w:w="57" w:type="dxa"/>
              <w:bottom w:w="57" w:type="dxa"/>
            </w:tcMar>
          </w:tcPr>
          <w:p w:rsidR="00576BE4" w:rsidRPr="00EA232C" w:rsidRDefault="005C3D29" w:rsidP="00576BE4">
            <w:pPr>
              <w:keepLines/>
              <w:spacing w:before="40" w:after="40" w:line="200" w:lineRule="atLeast"/>
              <w:rPr>
                <w:rFonts w:asciiTheme="minorHAnsi" w:hAnsiTheme="minorHAnsi"/>
                <w:szCs w:val="17"/>
                <w:lang w:eastAsia="en-US"/>
              </w:rPr>
            </w:pPr>
            <w:r>
              <w:rPr>
                <w:rFonts w:asciiTheme="minorHAnsi" w:hAnsiTheme="minorHAnsi"/>
                <w:szCs w:val="17"/>
                <w:lang w:eastAsia="en-US"/>
              </w:rPr>
              <w:t xml:space="preserve">Philippine </w:t>
            </w:r>
            <w:r w:rsidR="00576BE4" w:rsidRPr="00EA232C">
              <w:rPr>
                <w:rFonts w:asciiTheme="minorHAnsi" w:hAnsiTheme="minorHAnsi"/>
                <w:szCs w:val="17"/>
                <w:lang w:eastAsia="en-US"/>
              </w:rPr>
              <w:t>D</w:t>
            </w:r>
            <w:r>
              <w:rPr>
                <w:rFonts w:asciiTheme="minorHAnsi" w:hAnsiTheme="minorHAnsi"/>
                <w:szCs w:val="17"/>
                <w:lang w:eastAsia="en-US"/>
              </w:rPr>
              <w:t xml:space="preserve">epartment of </w:t>
            </w:r>
            <w:r w:rsidR="00576BE4" w:rsidRPr="00EA232C">
              <w:rPr>
                <w:rFonts w:asciiTheme="minorHAnsi" w:hAnsiTheme="minorHAnsi"/>
                <w:szCs w:val="17"/>
                <w:lang w:eastAsia="en-US"/>
              </w:rPr>
              <w:t>S</w:t>
            </w:r>
            <w:r>
              <w:rPr>
                <w:rFonts w:asciiTheme="minorHAnsi" w:hAnsiTheme="minorHAnsi"/>
                <w:szCs w:val="17"/>
                <w:lang w:eastAsia="en-US"/>
              </w:rPr>
              <w:t xml:space="preserve">ocial </w:t>
            </w:r>
            <w:r w:rsidR="00576BE4" w:rsidRPr="00EA232C">
              <w:rPr>
                <w:rFonts w:asciiTheme="minorHAnsi" w:hAnsiTheme="minorHAnsi"/>
                <w:szCs w:val="17"/>
                <w:lang w:eastAsia="en-US"/>
              </w:rPr>
              <w:t>W</w:t>
            </w:r>
            <w:r>
              <w:rPr>
                <w:rFonts w:asciiTheme="minorHAnsi" w:hAnsiTheme="minorHAnsi"/>
                <w:szCs w:val="17"/>
                <w:lang w:eastAsia="en-US"/>
              </w:rPr>
              <w:t xml:space="preserve">elfare and </w:t>
            </w:r>
            <w:r w:rsidR="00576BE4" w:rsidRPr="00EA232C">
              <w:rPr>
                <w:rFonts w:asciiTheme="minorHAnsi" w:hAnsiTheme="minorHAnsi"/>
                <w:szCs w:val="17"/>
                <w:lang w:eastAsia="en-US"/>
              </w:rPr>
              <w:t>D</w:t>
            </w:r>
            <w:r>
              <w:rPr>
                <w:rFonts w:asciiTheme="minorHAnsi" w:hAnsiTheme="minorHAnsi"/>
                <w:szCs w:val="17"/>
                <w:lang w:eastAsia="en-US"/>
              </w:rPr>
              <w:t>evelopment (DSWD)</w:t>
            </w:r>
            <w:r w:rsidR="00576BE4" w:rsidRPr="00EA232C">
              <w:rPr>
                <w:rFonts w:asciiTheme="minorHAnsi" w:hAnsiTheme="minorHAnsi"/>
                <w:szCs w:val="17"/>
                <w:lang w:eastAsia="en-US"/>
              </w:rPr>
              <w:t xml:space="preserve"> has improved analytical capacity to develop policies and guidelines to effectively implement its social protection reform agenda</w:t>
            </w:r>
          </w:p>
        </w:tc>
        <w:tc>
          <w:tcPr>
            <w:tcW w:w="780" w:type="pct"/>
          </w:tcPr>
          <w:p w:rsidR="00576BE4" w:rsidRPr="00EA232C" w:rsidRDefault="005C3D29" w:rsidP="00576BE4">
            <w:pPr>
              <w:keepLines/>
              <w:spacing w:before="40" w:after="40" w:line="200" w:lineRule="atLeast"/>
              <w:rPr>
                <w:rFonts w:asciiTheme="minorHAnsi" w:hAnsiTheme="minorHAnsi"/>
                <w:szCs w:val="17"/>
                <w:lang w:eastAsia="en-US"/>
              </w:rPr>
            </w:pPr>
            <w:r>
              <w:rPr>
                <w:rFonts w:asciiTheme="minorHAnsi" w:hAnsiTheme="minorHAnsi"/>
                <w:szCs w:val="17"/>
                <w:lang w:eastAsia="en-US"/>
              </w:rPr>
              <w:t>Conditional Cash Transfer (</w:t>
            </w:r>
            <w:r w:rsidR="00576BE4" w:rsidRPr="00EA232C">
              <w:rPr>
                <w:rFonts w:asciiTheme="minorHAnsi" w:hAnsiTheme="minorHAnsi"/>
                <w:szCs w:val="17"/>
                <w:lang w:eastAsia="en-US"/>
              </w:rPr>
              <w:t>CCT</w:t>
            </w:r>
            <w:r>
              <w:rPr>
                <w:rFonts w:asciiTheme="minorHAnsi" w:hAnsiTheme="minorHAnsi"/>
                <w:szCs w:val="17"/>
                <w:lang w:eastAsia="en-US"/>
              </w:rPr>
              <w:t>)</w:t>
            </w:r>
            <w:r w:rsidR="00576BE4" w:rsidRPr="00EA232C">
              <w:rPr>
                <w:rFonts w:asciiTheme="minorHAnsi" w:hAnsiTheme="minorHAnsi"/>
                <w:szCs w:val="17"/>
                <w:lang w:eastAsia="en-US"/>
              </w:rPr>
              <w:t xml:space="preserve"> policy dialogue is informed by the outputs of analytical research produced through our investments</w:t>
            </w:r>
          </w:p>
        </w:tc>
        <w:tc>
          <w:tcPr>
            <w:tcW w:w="470" w:type="pct"/>
            <w:shd w:val="clear" w:color="auto" w:fill="E36C0A"/>
            <w:vAlign w:val="center"/>
          </w:tcPr>
          <w:p w:rsidR="00576BE4" w:rsidRPr="00880004" w:rsidRDefault="00F65819" w:rsidP="00576BE4">
            <w:pPr>
              <w:keepLines/>
              <w:spacing w:before="40" w:after="40" w:line="200" w:lineRule="atLeast"/>
              <w:jc w:val="center"/>
              <w:rPr>
                <w:rFonts w:eastAsia="Times New Roman"/>
                <w:iCs/>
                <w:color w:val="FFFFFF" w:themeColor="background1"/>
                <w:szCs w:val="17"/>
              </w:rPr>
            </w:pPr>
            <w:r>
              <w:rPr>
                <w:rFonts w:ascii="Calibri" w:eastAsia="Times New Roman" w:hAnsi="Calibri" w:cs="Times New Roman"/>
                <w:b/>
                <w:color w:val="FFFFFF" w:themeColor="background1"/>
                <w:szCs w:val="17"/>
                <w:lang w:val="en-AU"/>
              </w:rPr>
              <w:t xml:space="preserve">Partly </w:t>
            </w:r>
            <w:r w:rsidR="00576BE4" w:rsidRPr="007E3B35">
              <w:rPr>
                <w:rFonts w:ascii="Calibri" w:eastAsia="Times New Roman" w:hAnsi="Calibri" w:cs="Times New Roman"/>
                <w:b/>
                <w:color w:val="FFFFFF" w:themeColor="background1"/>
                <w:szCs w:val="17"/>
                <w:lang w:val="en-AU"/>
              </w:rPr>
              <w:t>Achieved</w:t>
            </w:r>
          </w:p>
        </w:tc>
        <w:tc>
          <w:tcPr>
            <w:tcW w:w="2970" w:type="pct"/>
          </w:tcPr>
          <w:p w:rsidR="00576BE4" w:rsidRPr="001132F4" w:rsidRDefault="00A522A1" w:rsidP="00A522A1">
            <w:pPr>
              <w:keepLines/>
              <w:spacing w:before="40" w:after="40" w:line="200" w:lineRule="atLeast"/>
              <w:rPr>
                <w:rFonts w:asciiTheme="minorHAnsi" w:hAnsiTheme="minorHAnsi"/>
                <w:szCs w:val="17"/>
                <w:lang w:eastAsia="en-US"/>
              </w:rPr>
            </w:pPr>
            <w:r>
              <w:rPr>
                <w:rFonts w:asciiTheme="minorHAnsi" w:hAnsiTheme="minorHAnsi"/>
                <w:szCs w:val="17"/>
                <w:lang w:eastAsia="en-US"/>
              </w:rPr>
              <w:t xml:space="preserve">Whilst there were challenges in DSWD’s inability to access resources during the reporting period, </w:t>
            </w:r>
            <w:r w:rsidRPr="00EB35E3">
              <w:rPr>
                <w:rFonts w:asciiTheme="minorHAnsi" w:hAnsiTheme="minorHAnsi"/>
                <w:szCs w:val="17"/>
                <w:lang w:eastAsia="en-US"/>
              </w:rPr>
              <w:t>DFAT, DSWD and The World Bank hosted a review of the Philippines Social Protection Framework, which will help shape the country’s future social protection programs</w:t>
            </w:r>
            <w:r>
              <w:rPr>
                <w:rFonts w:asciiTheme="minorHAnsi" w:hAnsiTheme="minorHAnsi"/>
                <w:szCs w:val="17"/>
                <w:lang w:eastAsia="en-US"/>
              </w:rPr>
              <w:t xml:space="preserve">. </w:t>
            </w:r>
          </w:p>
        </w:tc>
      </w:tr>
      <w:tr w:rsidR="00576BE4" w:rsidRPr="00C61187" w:rsidTr="00576BE4">
        <w:tc>
          <w:tcPr>
            <w:tcW w:w="5000" w:type="pct"/>
            <w:gridSpan w:val="4"/>
            <w:tcMar>
              <w:top w:w="57" w:type="dxa"/>
              <w:bottom w:w="57" w:type="dxa"/>
            </w:tcMar>
          </w:tcPr>
          <w:p w:rsidR="00576BE4" w:rsidRPr="00EA232C" w:rsidRDefault="00576BE4" w:rsidP="00A522A1">
            <w:pPr>
              <w:keepLines/>
              <w:spacing w:before="100" w:beforeAutospacing="1" w:after="40" w:line="200" w:lineRule="atLeast"/>
              <w:rPr>
                <w:rFonts w:asciiTheme="minorHAnsi" w:hAnsiTheme="minorHAnsi"/>
                <w:szCs w:val="17"/>
                <w:lang w:eastAsia="en-US"/>
              </w:rPr>
            </w:pPr>
            <w:r w:rsidRPr="00A522A1">
              <w:rPr>
                <w:rFonts w:asciiTheme="minorHAnsi" w:eastAsia="Times New Roman" w:hAnsiTheme="minorHAnsi"/>
                <w:b/>
                <w:i/>
                <w:iCs/>
                <w:sz w:val="18"/>
                <w:szCs w:val="18"/>
                <w:lang w:eastAsia="en-US"/>
              </w:rPr>
              <w:t>AIP Strategic Objective 2</w:t>
            </w:r>
            <w:r w:rsidR="00826F4F" w:rsidRPr="00A522A1">
              <w:rPr>
                <w:rFonts w:asciiTheme="minorHAnsi" w:eastAsia="Times New Roman" w:hAnsiTheme="minorHAnsi"/>
                <w:b/>
                <w:i/>
                <w:iCs/>
                <w:sz w:val="18"/>
                <w:szCs w:val="18"/>
                <w:lang w:eastAsia="en-US"/>
              </w:rPr>
              <w:t>: Building Stronger Institutions for Transparent and Accountable Governance</w:t>
            </w:r>
          </w:p>
        </w:tc>
      </w:tr>
      <w:tr w:rsidR="00576BE4" w:rsidRPr="00C61187" w:rsidTr="00802E98">
        <w:tc>
          <w:tcPr>
            <w:tcW w:w="780" w:type="pct"/>
            <w:tcMar>
              <w:top w:w="57" w:type="dxa"/>
              <w:bottom w:w="57" w:type="dxa"/>
            </w:tcMar>
          </w:tcPr>
          <w:p w:rsidR="00576BE4" w:rsidRPr="00EA232C" w:rsidRDefault="00576BE4" w:rsidP="00576BE4">
            <w:pPr>
              <w:keepLines/>
              <w:spacing w:before="40" w:after="40" w:line="200" w:lineRule="atLeast"/>
              <w:rPr>
                <w:rFonts w:asciiTheme="minorHAnsi" w:hAnsiTheme="minorHAnsi"/>
                <w:szCs w:val="17"/>
                <w:lang w:eastAsia="en-US"/>
              </w:rPr>
            </w:pPr>
            <w:r w:rsidRPr="00EA232C">
              <w:rPr>
                <w:rFonts w:asciiTheme="minorHAnsi" w:hAnsiTheme="minorHAnsi"/>
                <w:szCs w:val="17"/>
                <w:lang w:eastAsia="en-US"/>
              </w:rPr>
              <w:t xml:space="preserve">Improved Philippine Government systems for budget formulation, execution, accounting and reporting </w:t>
            </w:r>
          </w:p>
        </w:tc>
        <w:tc>
          <w:tcPr>
            <w:tcW w:w="780" w:type="pct"/>
          </w:tcPr>
          <w:p w:rsidR="00576BE4" w:rsidRPr="00EA232C" w:rsidRDefault="00576BE4" w:rsidP="00576BE4">
            <w:pPr>
              <w:keepLines/>
              <w:spacing w:before="40" w:after="40" w:line="200" w:lineRule="atLeast"/>
              <w:rPr>
                <w:rFonts w:asciiTheme="minorHAnsi" w:hAnsiTheme="minorHAnsi"/>
                <w:szCs w:val="17"/>
                <w:lang w:eastAsia="en-US"/>
              </w:rPr>
            </w:pPr>
            <w:r w:rsidRPr="00EA232C">
              <w:rPr>
                <w:rFonts w:asciiTheme="minorHAnsi" w:hAnsiTheme="minorHAnsi"/>
                <w:szCs w:val="17"/>
                <w:lang w:eastAsia="en-US"/>
              </w:rPr>
              <w:t>Electronic Budget and Treasury Management System</w:t>
            </w:r>
            <w:r w:rsidR="005C3D29">
              <w:rPr>
                <w:rFonts w:asciiTheme="minorHAnsi" w:hAnsiTheme="minorHAnsi"/>
                <w:szCs w:val="17"/>
                <w:lang w:eastAsia="en-US"/>
              </w:rPr>
              <w:t xml:space="preserve"> (eBTMS)</w:t>
            </w:r>
            <w:r w:rsidRPr="00EA232C">
              <w:rPr>
                <w:rFonts w:asciiTheme="minorHAnsi" w:hAnsiTheme="minorHAnsi"/>
                <w:szCs w:val="17"/>
                <w:lang w:eastAsia="en-US"/>
              </w:rPr>
              <w:t xml:space="preserve"> is adopted</w:t>
            </w:r>
          </w:p>
        </w:tc>
        <w:tc>
          <w:tcPr>
            <w:tcW w:w="470" w:type="pct"/>
            <w:shd w:val="clear" w:color="auto" w:fill="7FB64D"/>
            <w:vAlign w:val="center"/>
          </w:tcPr>
          <w:p w:rsidR="00576BE4" w:rsidRPr="00F65819" w:rsidRDefault="00576BE4" w:rsidP="00F65819">
            <w:pPr>
              <w:keepLines/>
              <w:spacing w:before="40" w:after="40" w:line="200" w:lineRule="atLeast"/>
              <w:jc w:val="center"/>
              <w:rPr>
                <w:rFonts w:ascii="Calibri" w:eastAsia="Times New Roman" w:hAnsi="Calibri" w:cs="Times New Roman"/>
                <w:b/>
                <w:color w:val="FFFFFF" w:themeColor="background1"/>
                <w:szCs w:val="17"/>
                <w:lang w:val="en-AU"/>
              </w:rPr>
            </w:pPr>
            <w:r w:rsidRPr="00F65819">
              <w:rPr>
                <w:rFonts w:ascii="Calibri" w:eastAsia="Times New Roman" w:hAnsi="Calibri" w:cs="Times New Roman"/>
                <w:b/>
                <w:color w:val="FFFFFF" w:themeColor="background1"/>
                <w:szCs w:val="17"/>
                <w:lang w:val="en-AU"/>
              </w:rPr>
              <w:t>Achieved</w:t>
            </w:r>
          </w:p>
        </w:tc>
        <w:tc>
          <w:tcPr>
            <w:tcW w:w="2970" w:type="pct"/>
          </w:tcPr>
          <w:p w:rsidR="00576BE4" w:rsidRPr="00F24A47" w:rsidRDefault="00576BE4" w:rsidP="00020996">
            <w:pPr>
              <w:keepLines/>
              <w:spacing w:before="40" w:after="40" w:line="200" w:lineRule="atLeast"/>
              <w:rPr>
                <w:rFonts w:asciiTheme="minorHAnsi" w:hAnsiTheme="minorHAnsi"/>
                <w:szCs w:val="17"/>
                <w:highlight w:val="yellow"/>
                <w:lang w:eastAsia="en-US"/>
              </w:rPr>
            </w:pPr>
            <w:r w:rsidRPr="00802E98">
              <w:rPr>
                <w:rFonts w:asciiTheme="minorHAnsi" w:hAnsiTheme="minorHAnsi"/>
                <w:szCs w:val="17"/>
                <w:lang w:eastAsia="en-US"/>
              </w:rPr>
              <w:t xml:space="preserve">This system </w:t>
            </w:r>
            <w:r w:rsidR="008D7659">
              <w:rPr>
                <w:rFonts w:asciiTheme="minorHAnsi" w:hAnsiTheme="minorHAnsi"/>
                <w:szCs w:val="17"/>
                <w:lang w:eastAsia="en-US"/>
              </w:rPr>
              <w:t>was</w:t>
            </w:r>
            <w:r w:rsidR="00802E98">
              <w:rPr>
                <w:rFonts w:asciiTheme="minorHAnsi" w:hAnsiTheme="minorHAnsi"/>
                <w:szCs w:val="17"/>
                <w:lang w:eastAsia="en-US"/>
              </w:rPr>
              <w:t xml:space="preserve"> designed and </w:t>
            </w:r>
            <w:r w:rsidR="00802E98" w:rsidRPr="00C95D6D">
              <w:rPr>
                <w:rFonts w:asciiTheme="minorHAnsi" w:hAnsiTheme="minorHAnsi"/>
                <w:color w:val="595959" w:themeColor="text1" w:themeTint="A6"/>
                <w:szCs w:val="17"/>
                <w:lang w:eastAsia="en-US"/>
              </w:rPr>
              <w:t xml:space="preserve">adopted </w:t>
            </w:r>
            <w:r w:rsidR="008D7659" w:rsidRPr="00C95D6D">
              <w:rPr>
                <w:rFonts w:asciiTheme="minorHAnsi" w:hAnsiTheme="minorHAnsi"/>
                <w:color w:val="595959" w:themeColor="text1" w:themeTint="A6"/>
                <w:szCs w:val="17"/>
                <w:lang w:eastAsia="en-US"/>
              </w:rPr>
              <w:t xml:space="preserve">during the </w:t>
            </w:r>
            <w:r w:rsidR="00020996" w:rsidRPr="00C95D6D">
              <w:rPr>
                <w:rFonts w:asciiTheme="minorHAnsi" w:hAnsiTheme="minorHAnsi"/>
                <w:color w:val="595959" w:themeColor="text1" w:themeTint="A6"/>
                <w:szCs w:val="17"/>
                <w:lang w:eastAsia="en-US"/>
              </w:rPr>
              <w:t xml:space="preserve">previous </w:t>
            </w:r>
            <w:r w:rsidR="008D7659" w:rsidRPr="00C95D6D">
              <w:rPr>
                <w:rFonts w:asciiTheme="minorHAnsi" w:hAnsiTheme="minorHAnsi"/>
                <w:color w:val="595959" w:themeColor="text1" w:themeTint="A6"/>
                <w:szCs w:val="17"/>
                <w:lang w:eastAsia="en-US"/>
              </w:rPr>
              <w:t xml:space="preserve">reporting period </w:t>
            </w:r>
            <w:r w:rsidR="00802E98" w:rsidRPr="00C95D6D">
              <w:rPr>
                <w:rFonts w:asciiTheme="minorHAnsi" w:hAnsiTheme="minorHAnsi"/>
                <w:color w:val="595959" w:themeColor="text1" w:themeTint="A6"/>
                <w:szCs w:val="17"/>
                <w:lang w:eastAsia="en-US"/>
              </w:rPr>
              <w:t xml:space="preserve">and </w:t>
            </w:r>
            <w:r w:rsidR="00802E98">
              <w:rPr>
                <w:rFonts w:asciiTheme="minorHAnsi" w:hAnsiTheme="minorHAnsi"/>
                <w:szCs w:val="17"/>
                <w:lang w:eastAsia="en-US"/>
              </w:rPr>
              <w:t>is being implemented by the Government of the Philippines</w:t>
            </w:r>
            <w:r w:rsidR="00020996">
              <w:rPr>
                <w:rFonts w:asciiTheme="minorHAnsi" w:hAnsiTheme="minorHAnsi"/>
                <w:szCs w:val="17"/>
                <w:lang w:eastAsia="en-US"/>
              </w:rPr>
              <w:t xml:space="preserve"> oversight agencies (Department of Budget and Management and Bureau of Treasury)</w:t>
            </w:r>
            <w:r w:rsidR="00802E98">
              <w:rPr>
                <w:rFonts w:asciiTheme="minorHAnsi" w:hAnsiTheme="minorHAnsi"/>
                <w:szCs w:val="17"/>
                <w:lang w:eastAsia="en-US"/>
              </w:rPr>
              <w:t>.</w:t>
            </w:r>
          </w:p>
        </w:tc>
      </w:tr>
      <w:tr w:rsidR="00576BE4" w:rsidRPr="00C61187" w:rsidTr="00EA232C">
        <w:tc>
          <w:tcPr>
            <w:tcW w:w="780" w:type="pct"/>
            <w:tcMar>
              <w:top w:w="57" w:type="dxa"/>
              <w:bottom w:w="57" w:type="dxa"/>
            </w:tcMar>
            <w:vAlign w:val="bottom"/>
          </w:tcPr>
          <w:p w:rsidR="00576BE4" w:rsidRPr="00576BE4" w:rsidRDefault="00576BE4" w:rsidP="00576BE4">
            <w:pPr>
              <w:keepLines/>
              <w:spacing w:before="40" w:after="40" w:line="200" w:lineRule="atLeast"/>
              <w:rPr>
                <w:rFonts w:asciiTheme="minorHAnsi" w:hAnsiTheme="minorHAnsi"/>
                <w:szCs w:val="17"/>
                <w:lang w:eastAsia="en-US"/>
              </w:rPr>
            </w:pPr>
          </w:p>
        </w:tc>
        <w:tc>
          <w:tcPr>
            <w:tcW w:w="780" w:type="pct"/>
          </w:tcPr>
          <w:p w:rsidR="00576BE4" w:rsidRPr="006C0282" w:rsidRDefault="00576BE4" w:rsidP="00576BE4">
            <w:pPr>
              <w:keepLines/>
              <w:spacing w:before="40" w:after="40" w:line="200" w:lineRule="atLeast"/>
              <w:rPr>
                <w:rFonts w:asciiTheme="minorHAnsi" w:hAnsiTheme="minorHAnsi"/>
                <w:szCs w:val="17"/>
                <w:lang w:eastAsia="en-US"/>
              </w:rPr>
            </w:pPr>
            <w:r w:rsidRPr="006C0282">
              <w:rPr>
                <w:rFonts w:asciiTheme="minorHAnsi" w:hAnsiTheme="minorHAnsi"/>
                <w:szCs w:val="17"/>
                <w:lang w:eastAsia="en-US"/>
              </w:rPr>
              <w:t>Budget preparation processes are improved</w:t>
            </w:r>
          </w:p>
        </w:tc>
        <w:tc>
          <w:tcPr>
            <w:tcW w:w="470" w:type="pct"/>
            <w:shd w:val="clear" w:color="auto" w:fill="7FB64D" w:themeFill="accent3" w:themeFillShade="BF"/>
            <w:vAlign w:val="center"/>
          </w:tcPr>
          <w:p w:rsidR="00576BE4" w:rsidRPr="006C0282" w:rsidRDefault="00576BE4" w:rsidP="00576BE4">
            <w:pPr>
              <w:keepLines/>
              <w:spacing w:before="40" w:after="40" w:line="200" w:lineRule="atLeast"/>
              <w:jc w:val="center"/>
              <w:rPr>
                <w:rFonts w:eastAsia="Times New Roman"/>
                <w:iCs/>
                <w:color w:val="FFFFFF" w:themeColor="background1"/>
                <w:szCs w:val="17"/>
                <w:highlight w:val="yellow"/>
              </w:rPr>
            </w:pPr>
            <w:r w:rsidRPr="006C0282">
              <w:rPr>
                <w:rFonts w:ascii="Calibri" w:eastAsia="Times New Roman" w:hAnsi="Calibri" w:cs="Times New Roman"/>
                <w:b/>
                <w:color w:val="FFFFFF" w:themeColor="background1"/>
                <w:szCs w:val="17"/>
                <w:lang w:val="en-AU"/>
              </w:rPr>
              <w:t>Achieved</w:t>
            </w:r>
          </w:p>
        </w:tc>
        <w:tc>
          <w:tcPr>
            <w:tcW w:w="2970" w:type="pct"/>
          </w:tcPr>
          <w:p w:rsidR="00576BE4" w:rsidRPr="008C5180" w:rsidRDefault="00CD034E" w:rsidP="00CD034E">
            <w:pPr>
              <w:keepLines/>
              <w:spacing w:before="40" w:after="40" w:line="200" w:lineRule="atLeast"/>
              <w:rPr>
                <w:rFonts w:asciiTheme="minorHAnsi" w:hAnsiTheme="minorHAnsi"/>
                <w:color w:val="auto"/>
                <w:szCs w:val="17"/>
                <w:lang w:eastAsia="en-US"/>
              </w:rPr>
            </w:pPr>
            <w:r>
              <w:rPr>
                <w:rFonts w:asciiTheme="minorHAnsi" w:hAnsiTheme="minorHAnsi"/>
                <w:szCs w:val="17"/>
                <w:lang w:eastAsia="en-US"/>
              </w:rPr>
              <w:t>The Executive’s 2019 budget proposal submitted to Congress in July 2018 already reflects the s</w:t>
            </w:r>
            <w:r w:rsidR="00340C63" w:rsidRPr="008C5180">
              <w:rPr>
                <w:rFonts w:asciiTheme="minorHAnsi" w:hAnsiTheme="minorHAnsi"/>
                <w:szCs w:val="17"/>
                <w:lang w:eastAsia="en-US"/>
              </w:rPr>
              <w:t xml:space="preserve">hift from </w:t>
            </w:r>
            <w:r>
              <w:rPr>
                <w:rFonts w:asciiTheme="minorHAnsi" w:hAnsiTheme="minorHAnsi"/>
                <w:szCs w:val="17"/>
                <w:lang w:eastAsia="en-US"/>
              </w:rPr>
              <w:t xml:space="preserve">a </w:t>
            </w:r>
            <w:r w:rsidR="00340C63" w:rsidRPr="008C5180">
              <w:rPr>
                <w:rFonts w:asciiTheme="minorHAnsi" w:hAnsiTheme="minorHAnsi"/>
                <w:szCs w:val="17"/>
                <w:lang w:eastAsia="en-US"/>
              </w:rPr>
              <w:t xml:space="preserve">two-year obligation budget appropriation to </w:t>
            </w:r>
            <w:r>
              <w:rPr>
                <w:rFonts w:asciiTheme="minorHAnsi" w:hAnsiTheme="minorHAnsi"/>
                <w:szCs w:val="17"/>
                <w:lang w:eastAsia="en-US"/>
              </w:rPr>
              <w:t xml:space="preserve">a </w:t>
            </w:r>
            <w:r w:rsidR="00340C63" w:rsidRPr="008C5180">
              <w:rPr>
                <w:rFonts w:asciiTheme="minorHAnsi" w:hAnsiTheme="minorHAnsi"/>
                <w:szCs w:val="17"/>
                <w:lang w:eastAsia="en-US"/>
              </w:rPr>
              <w:t>one-year cash budget appropriation</w:t>
            </w:r>
            <w:r w:rsidR="006C0282" w:rsidRPr="008C5180">
              <w:rPr>
                <w:rFonts w:asciiTheme="minorHAnsi" w:hAnsiTheme="minorHAnsi"/>
                <w:szCs w:val="17"/>
                <w:lang w:eastAsia="en-US"/>
              </w:rPr>
              <w:t>.</w:t>
            </w:r>
          </w:p>
        </w:tc>
      </w:tr>
      <w:tr w:rsidR="00576BE4" w:rsidRPr="00C61187" w:rsidTr="00EA232C">
        <w:tc>
          <w:tcPr>
            <w:tcW w:w="780" w:type="pct"/>
            <w:tcMar>
              <w:top w:w="57" w:type="dxa"/>
              <w:bottom w:w="57" w:type="dxa"/>
            </w:tcMar>
            <w:vAlign w:val="bottom"/>
          </w:tcPr>
          <w:p w:rsidR="00576BE4" w:rsidRPr="00576BE4" w:rsidRDefault="00576BE4" w:rsidP="00576BE4">
            <w:pPr>
              <w:keepLines/>
              <w:spacing w:before="40" w:after="40" w:line="200" w:lineRule="atLeast"/>
              <w:rPr>
                <w:rFonts w:asciiTheme="minorHAnsi" w:hAnsiTheme="minorHAnsi"/>
                <w:szCs w:val="17"/>
                <w:lang w:eastAsia="en-US"/>
              </w:rPr>
            </w:pPr>
          </w:p>
        </w:tc>
        <w:tc>
          <w:tcPr>
            <w:tcW w:w="780" w:type="pct"/>
          </w:tcPr>
          <w:p w:rsidR="00576BE4" w:rsidRPr="006C0282" w:rsidRDefault="00576BE4" w:rsidP="00576BE4">
            <w:pPr>
              <w:keepLines/>
              <w:spacing w:before="40" w:after="40" w:line="200" w:lineRule="atLeast"/>
              <w:rPr>
                <w:rFonts w:asciiTheme="minorHAnsi" w:hAnsiTheme="minorHAnsi"/>
                <w:szCs w:val="17"/>
                <w:lang w:eastAsia="en-US"/>
              </w:rPr>
            </w:pPr>
            <w:r w:rsidRPr="006C0282">
              <w:rPr>
                <w:rFonts w:asciiTheme="minorHAnsi" w:hAnsiTheme="minorHAnsi"/>
                <w:szCs w:val="17"/>
                <w:lang w:eastAsia="en-US"/>
              </w:rPr>
              <w:t>Internal control systems and internal audit practices of Philippine Government agencies strengthened</w:t>
            </w:r>
          </w:p>
        </w:tc>
        <w:tc>
          <w:tcPr>
            <w:tcW w:w="470" w:type="pct"/>
            <w:shd w:val="clear" w:color="auto" w:fill="7FB64D" w:themeFill="accent3" w:themeFillShade="BF"/>
            <w:vAlign w:val="center"/>
          </w:tcPr>
          <w:p w:rsidR="00576BE4" w:rsidRPr="006C0282" w:rsidRDefault="00576BE4" w:rsidP="00576BE4">
            <w:pPr>
              <w:keepLines/>
              <w:spacing w:before="40" w:after="40" w:line="200" w:lineRule="atLeast"/>
              <w:jc w:val="center"/>
              <w:rPr>
                <w:rFonts w:eastAsia="Times New Roman"/>
                <w:iCs/>
                <w:color w:val="FFFFFF" w:themeColor="background1"/>
                <w:szCs w:val="17"/>
                <w:highlight w:val="yellow"/>
              </w:rPr>
            </w:pPr>
            <w:r w:rsidRPr="006C0282">
              <w:rPr>
                <w:rFonts w:ascii="Calibri" w:eastAsia="Times New Roman" w:hAnsi="Calibri" w:cs="Times New Roman"/>
                <w:b/>
                <w:color w:val="FFFFFF" w:themeColor="background1"/>
                <w:szCs w:val="17"/>
                <w:lang w:val="en-AU"/>
              </w:rPr>
              <w:t>Achieved</w:t>
            </w:r>
          </w:p>
        </w:tc>
        <w:tc>
          <w:tcPr>
            <w:tcW w:w="2970" w:type="pct"/>
          </w:tcPr>
          <w:p w:rsidR="00576BE4" w:rsidRPr="008C5180" w:rsidRDefault="00576BE4" w:rsidP="007C4FB6">
            <w:pPr>
              <w:keepLines/>
              <w:spacing w:before="40" w:after="40" w:line="200" w:lineRule="atLeast"/>
              <w:rPr>
                <w:rFonts w:asciiTheme="minorHAnsi" w:hAnsiTheme="minorHAnsi"/>
                <w:color w:val="auto"/>
                <w:szCs w:val="17"/>
                <w:lang w:eastAsia="en-US"/>
              </w:rPr>
            </w:pPr>
          </w:p>
        </w:tc>
      </w:tr>
      <w:tr w:rsidR="00576BE4" w:rsidRPr="00C61187" w:rsidTr="00576BE4">
        <w:tc>
          <w:tcPr>
            <w:tcW w:w="5000" w:type="pct"/>
            <w:gridSpan w:val="4"/>
            <w:tcMar>
              <w:top w:w="57" w:type="dxa"/>
              <w:bottom w:w="57" w:type="dxa"/>
            </w:tcMar>
          </w:tcPr>
          <w:p w:rsidR="00576BE4" w:rsidRPr="00880004" w:rsidRDefault="00576BE4" w:rsidP="00576BE4">
            <w:pPr>
              <w:keepLines/>
              <w:spacing w:before="100" w:beforeAutospacing="1" w:after="40" w:line="200" w:lineRule="atLeast"/>
              <w:rPr>
                <w:rFonts w:asciiTheme="minorHAnsi" w:eastAsia="Times New Roman" w:hAnsiTheme="minorHAnsi"/>
                <w:iCs/>
                <w:szCs w:val="17"/>
                <w:lang w:eastAsia="en-US"/>
              </w:rPr>
            </w:pPr>
            <w:r w:rsidRPr="00576BE4">
              <w:rPr>
                <w:rFonts w:asciiTheme="minorHAnsi" w:eastAsia="Times New Roman" w:hAnsiTheme="minorHAnsi"/>
                <w:b/>
                <w:iCs/>
                <w:sz w:val="18"/>
                <w:szCs w:val="18"/>
                <w:lang w:eastAsia="en-US"/>
              </w:rPr>
              <w:t>AIP Strategic Objective 3</w:t>
            </w:r>
            <w:r w:rsidR="00826F4F">
              <w:rPr>
                <w:rFonts w:asciiTheme="minorHAnsi" w:eastAsia="Times New Roman" w:hAnsiTheme="minorHAnsi"/>
                <w:b/>
                <w:iCs/>
                <w:sz w:val="18"/>
                <w:szCs w:val="18"/>
                <w:lang w:eastAsia="en-US"/>
              </w:rPr>
              <w:t xml:space="preserve">: </w:t>
            </w:r>
            <w:r w:rsidR="00826F4F" w:rsidRPr="00826F4F">
              <w:rPr>
                <w:rFonts w:asciiTheme="minorHAnsi" w:eastAsia="Times New Roman" w:hAnsiTheme="minorHAnsi"/>
                <w:b/>
                <w:i/>
                <w:iCs/>
                <w:sz w:val="18"/>
                <w:szCs w:val="18"/>
                <w:lang w:eastAsia="en-US"/>
              </w:rPr>
              <w:t>Improving Conditions for Peace and Stability</w:t>
            </w:r>
          </w:p>
        </w:tc>
      </w:tr>
      <w:tr w:rsidR="00576BE4" w:rsidRPr="00C61187" w:rsidTr="003C084F">
        <w:tc>
          <w:tcPr>
            <w:tcW w:w="780" w:type="pct"/>
            <w:tcMar>
              <w:top w:w="57" w:type="dxa"/>
              <w:bottom w:w="57" w:type="dxa"/>
            </w:tcMar>
          </w:tcPr>
          <w:p w:rsidR="00576BE4" w:rsidRPr="00576BE4" w:rsidRDefault="00576BE4" w:rsidP="00576BE4">
            <w:pPr>
              <w:keepLines/>
              <w:spacing w:before="40" w:after="40" w:line="200" w:lineRule="atLeast"/>
              <w:rPr>
                <w:rFonts w:asciiTheme="minorHAnsi" w:hAnsiTheme="minorHAnsi"/>
                <w:szCs w:val="17"/>
                <w:lang w:eastAsia="en-US"/>
              </w:rPr>
            </w:pPr>
            <w:r w:rsidRPr="00576BE4">
              <w:rPr>
                <w:rFonts w:asciiTheme="minorHAnsi" w:hAnsiTheme="minorHAnsi"/>
                <w:szCs w:val="17"/>
                <w:lang w:eastAsia="en-US"/>
              </w:rPr>
              <w:t>Peace process more credible and widely supported</w:t>
            </w:r>
          </w:p>
        </w:tc>
        <w:tc>
          <w:tcPr>
            <w:tcW w:w="780" w:type="pct"/>
          </w:tcPr>
          <w:p w:rsidR="00576BE4" w:rsidRPr="00576BE4" w:rsidRDefault="00576BE4" w:rsidP="002613E9">
            <w:pPr>
              <w:keepLines/>
              <w:spacing w:before="40" w:after="0" w:line="200" w:lineRule="atLeast"/>
              <w:rPr>
                <w:rFonts w:asciiTheme="minorHAnsi" w:hAnsiTheme="minorHAnsi"/>
                <w:szCs w:val="17"/>
                <w:lang w:eastAsia="en-US"/>
              </w:rPr>
            </w:pPr>
            <w:r w:rsidRPr="00576BE4">
              <w:rPr>
                <w:rFonts w:asciiTheme="minorHAnsi" w:hAnsiTheme="minorHAnsi"/>
                <w:szCs w:val="17"/>
                <w:lang w:eastAsia="en-US"/>
              </w:rPr>
              <w:t>DFAT programs aligned with the peace and development framework of the new Philippine Government administration</w:t>
            </w:r>
          </w:p>
        </w:tc>
        <w:tc>
          <w:tcPr>
            <w:tcW w:w="470" w:type="pct"/>
            <w:shd w:val="clear" w:color="auto" w:fill="7FB64D" w:themeFill="accent3" w:themeFillShade="BF"/>
            <w:vAlign w:val="center"/>
          </w:tcPr>
          <w:p w:rsidR="00576BE4" w:rsidRPr="00880004" w:rsidRDefault="00576BE4" w:rsidP="002613E9">
            <w:pPr>
              <w:keepLines/>
              <w:spacing w:before="40" w:after="0" w:line="200" w:lineRule="atLeast"/>
              <w:jc w:val="center"/>
              <w:rPr>
                <w:rFonts w:eastAsia="Times New Roman"/>
                <w:iCs/>
                <w:color w:val="FFFFFF" w:themeColor="background1"/>
                <w:szCs w:val="17"/>
              </w:rPr>
            </w:pPr>
            <w:r w:rsidRPr="007E3B35">
              <w:rPr>
                <w:rFonts w:ascii="Calibri" w:eastAsia="Times New Roman" w:hAnsi="Calibri" w:cs="Times New Roman"/>
                <w:b/>
                <w:color w:val="FFFFFF" w:themeColor="background1"/>
                <w:szCs w:val="17"/>
                <w:lang w:val="en-AU"/>
              </w:rPr>
              <w:t>Achieved</w:t>
            </w:r>
          </w:p>
        </w:tc>
        <w:tc>
          <w:tcPr>
            <w:tcW w:w="2970" w:type="pct"/>
          </w:tcPr>
          <w:p w:rsidR="002613E9" w:rsidRPr="002613E9" w:rsidRDefault="002613E9" w:rsidP="002613E9">
            <w:pPr>
              <w:keepLines/>
              <w:spacing w:before="40" w:after="40" w:line="200" w:lineRule="atLeast"/>
              <w:rPr>
                <w:rFonts w:asciiTheme="minorHAnsi" w:hAnsiTheme="minorHAnsi"/>
                <w:szCs w:val="17"/>
                <w:lang w:eastAsia="en-US"/>
              </w:rPr>
            </w:pPr>
            <w:r w:rsidRPr="002613E9">
              <w:rPr>
                <w:rFonts w:asciiTheme="minorHAnsi" w:hAnsiTheme="minorHAnsi"/>
                <w:szCs w:val="17"/>
                <w:lang w:eastAsia="en-US"/>
              </w:rPr>
              <w:t xml:space="preserve">The number of surveys conducted nationwide and within the proposed Bangsamoro territory were used by </w:t>
            </w:r>
            <w:r w:rsidR="00CF515B" w:rsidRPr="00CF515B">
              <w:rPr>
                <w:rFonts w:asciiTheme="minorHAnsi" w:hAnsiTheme="minorHAnsi"/>
                <w:szCs w:val="17"/>
                <w:lang w:eastAsia="en-US"/>
              </w:rPr>
              <w:t>Office of the Presidential Adviser on</w:t>
            </w:r>
            <w:r w:rsidR="00CF515B">
              <w:rPr>
                <w:rFonts w:asciiTheme="minorHAnsi" w:hAnsiTheme="minorHAnsi"/>
                <w:szCs w:val="17"/>
                <w:lang w:eastAsia="en-US"/>
              </w:rPr>
              <w:t xml:space="preserve"> the Peace Process (</w:t>
            </w:r>
            <w:r w:rsidRPr="002613E9">
              <w:rPr>
                <w:rFonts w:asciiTheme="minorHAnsi" w:hAnsiTheme="minorHAnsi"/>
                <w:szCs w:val="17"/>
                <w:lang w:eastAsia="en-US"/>
              </w:rPr>
              <w:t>OPAPP</w:t>
            </w:r>
            <w:r w:rsidR="00CF515B">
              <w:rPr>
                <w:rFonts w:asciiTheme="minorHAnsi" w:hAnsiTheme="minorHAnsi"/>
                <w:szCs w:val="17"/>
                <w:lang w:eastAsia="en-US"/>
              </w:rPr>
              <w:t>)</w:t>
            </w:r>
            <w:r w:rsidRPr="002613E9">
              <w:rPr>
                <w:rFonts w:asciiTheme="minorHAnsi" w:hAnsiTheme="minorHAnsi"/>
                <w:szCs w:val="17"/>
                <w:lang w:eastAsia="en-US"/>
              </w:rPr>
              <w:t xml:space="preserve"> and the Transitional Authority to measure support for the transition.</w:t>
            </w:r>
          </w:p>
          <w:p w:rsidR="00576BE4" w:rsidRPr="00576BE4" w:rsidRDefault="002613E9" w:rsidP="002613E9">
            <w:pPr>
              <w:keepLines/>
              <w:spacing w:before="40" w:after="0" w:line="200" w:lineRule="atLeast"/>
              <w:rPr>
                <w:rFonts w:asciiTheme="minorHAnsi" w:hAnsiTheme="minorHAnsi"/>
                <w:szCs w:val="17"/>
                <w:lang w:eastAsia="en-US"/>
              </w:rPr>
            </w:pPr>
            <w:r w:rsidRPr="002613E9">
              <w:rPr>
                <w:rFonts w:asciiTheme="minorHAnsi" w:hAnsiTheme="minorHAnsi"/>
                <w:szCs w:val="17"/>
                <w:lang w:eastAsia="en-US"/>
              </w:rPr>
              <w:t>The networks among various Bangsamoro stakeholders have been established and capacity to engage in joint political action improved</w:t>
            </w:r>
            <w:r>
              <w:rPr>
                <w:rFonts w:asciiTheme="minorHAnsi" w:hAnsiTheme="minorHAnsi"/>
                <w:szCs w:val="17"/>
                <w:lang w:eastAsia="en-US"/>
              </w:rPr>
              <w:t>.</w:t>
            </w:r>
          </w:p>
        </w:tc>
      </w:tr>
      <w:tr w:rsidR="00576BE4" w:rsidRPr="00C61187" w:rsidTr="003C084F">
        <w:tc>
          <w:tcPr>
            <w:tcW w:w="780" w:type="pct"/>
            <w:tcMar>
              <w:top w:w="57" w:type="dxa"/>
              <w:bottom w:w="57" w:type="dxa"/>
            </w:tcMar>
            <w:vAlign w:val="bottom"/>
          </w:tcPr>
          <w:p w:rsidR="00576BE4" w:rsidRPr="00576BE4" w:rsidRDefault="00576BE4" w:rsidP="00576BE4">
            <w:pPr>
              <w:keepLines/>
              <w:spacing w:before="40" w:after="40" w:line="200" w:lineRule="atLeast"/>
              <w:rPr>
                <w:rFonts w:asciiTheme="minorHAnsi" w:hAnsiTheme="minorHAnsi"/>
                <w:szCs w:val="17"/>
                <w:lang w:eastAsia="en-US"/>
              </w:rPr>
            </w:pPr>
          </w:p>
        </w:tc>
        <w:tc>
          <w:tcPr>
            <w:tcW w:w="780" w:type="pct"/>
          </w:tcPr>
          <w:p w:rsidR="00576BE4" w:rsidRPr="00576BE4" w:rsidRDefault="00576BE4" w:rsidP="00576BE4">
            <w:pPr>
              <w:keepLines/>
              <w:spacing w:before="40" w:after="40" w:line="200" w:lineRule="atLeast"/>
              <w:rPr>
                <w:rFonts w:asciiTheme="minorHAnsi" w:hAnsiTheme="minorHAnsi"/>
                <w:szCs w:val="17"/>
                <w:lang w:eastAsia="en-US"/>
              </w:rPr>
            </w:pPr>
            <w:r w:rsidRPr="00576BE4">
              <w:rPr>
                <w:rFonts w:asciiTheme="minorHAnsi" w:hAnsiTheme="minorHAnsi"/>
                <w:szCs w:val="17"/>
                <w:lang w:eastAsia="en-US"/>
              </w:rPr>
              <w:t xml:space="preserve">Women more actively participating in peace building and political reform and dialogue </w:t>
            </w:r>
          </w:p>
        </w:tc>
        <w:tc>
          <w:tcPr>
            <w:tcW w:w="470" w:type="pct"/>
            <w:shd w:val="clear" w:color="auto" w:fill="7FB64D" w:themeFill="accent3" w:themeFillShade="BF"/>
            <w:vAlign w:val="center"/>
          </w:tcPr>
          <w:p w:rsidR="00576BE4" w:rsidRPr="00880004" w:rsidRDefault="00576BE4" w:rsidP="00576BE4">
            <w:pPr>
              <w:keepLines/>
              <w:spacing w:before="40" w:after="40" w:line="200" w:lineRule="atLeast"/>
              <w:jc w:val="center"/>
              <w:rPr>
                <w:rFonts w:eastAsia="Times New Roman"/>
                <w:iCs/>
                <w:color w:val="FFFFFF" w:themeColor="background1"/>
                <w:szCs w:val="17"/>
              </w:rPr>
            </w:pPr>
            <w:r w:rsidRPr="007E3B35">
              <w:rPr>
                <w:rFonts w:ascii="Calibri" w:eastAsia="Times New Roman" w:hAnsi="Calibri" w:cs="Times New Roman"/>
                <w:b/>
                <w:color w:val="FFFFFF" w:themeColor="background1"/>
                <w:szCs w:val="17"/>
                <w:lang w:val="en-AU"/>
              </w:rPr>
              <w:t>Achieved</w:t>
            </w:r>
          </w:p>
        </w:tc>
        <w:tc>
          <w:tcPr>
            <w:tcW w:w="2970" w:type="pct"/>
          </w:tcPr>
          <w:p w:rsidR="00576BE4" w:rsidRPr="006C0282" w:rsidRDefault="00CF515B" w:rsidP="006C0282">
            <w:pPr>
              <w:keepLines/>
              <w:spacing w:before="40" w:after="40" w:line="200" w:lineRule="atLeast"/>
              <w:rPr>
                <w:rFonts w:asciiTheme="minorHAnsi" w:hAnsiTheme="minorHAnsi"/>
                <w:color w:val="FF0000"/>
                <w:szCs w:val="17"/>
                <w:lang w:eastAsia="en-US"/>
              </w:rPr>
            </w:pPr>
            <w:r w:rsidRPr="00CF515B">
              <w:rPr>
                <w:rFonts w:asciiTheme="minorHAnsi" w:hAnsiTheme="minorHAnsi"/>
                <w:szCs w:val="17"/>
                <w:lang w:eastAsia="en-US"/>
              </w:rPr>
              <w:t>Gender balance in consultation teams: 3,000 women attended public consultations and 30 women attended specific consultations. This was started in 2016-17 and achieved in 2017-18.</w:t>
            </w:r>
          </w:p>
        </w:tc>
      </w:tr>
    </w:tbl>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sz w:val="16"/>
          <w:szCs w:val="14"/>
        </w:rPr>
        <w:t xml:space="preserve">Note: </w:t>
      </w:r>
    </w:p>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w:t>
      </w:r>
      <w:r w:rsidRPr="00880004">
        <w:rPr>
          <w:rFonts w:eastAsia="Times New Roman"/>
          <w:b/>
          <w:sz w:val="16"/>
          <w:szCs w:val="14"/>
        </w:rPr>
        <w:t xml:space="preserve"> Achieved.  Significant progress has been made and the performance benchmark was achieved </w:t>
      </w:r>
    </w:p>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sz w:val="16"/>
          <w:szCs w:val="14"/>
        </w:rPr>
        <w:t> </w:t>
      </w:r>
      <w:r w:rsidRPr="00880004">
        <w:rPr>
          <w:rFonts w:eastAsia="Times New Roman"/>
          <w:b/>
          <w:sz w:val="16"/>
          <w:szCs w:val="14"/>
        </w:rPr>
        <w:t xml:space="preserve"> Partly achieved.  Some progress has been made towards achieving the performance benchmark, but progress was less than anticipated. </w:t>
      </w:r>
    </w:p>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w:t>
      </w:r>
      <w:r w:rsidRPr="00880004">
        <w:rPr>
          <w:rFonts w:eastAsia="Times New Roman"/>
          <w:b/>
          <w:sz w:val="16"/>
          <w:szCs w:val="14"/>
        </w:rPr>
        <w:t xml:space="preserve"> Not achieved. Progress towards the performance benchmark has been significantly below expectations</w:t>
      </w:r>
    </w:p>
    <w:p w:rsidR="007B4865" w:rsidRDefault="007B4865" w:rsidP="007B4865">
      <w:pPr>
        <w:rPr>
          <w:rFonts w:ascii="Franklin Gothic Book" w:eastAsia="Times New Roman" w:hAnsi="Franklin Gothic Book"/>
          <w:b/>
          <w:sz w:val="24"/>
          <w:szCs w:val="24"/>
        </w:rPr>
      </w:pPr>
    </w:p>
    <w:p w:rsidR="002A51CA" w:rsidRDefault="002A51CA" w:rsidP="00600479">
      <w:pPr>
        <w:spacing w:after="120" w:line="280" w:lineRule="exact"/>
        <w:rPr>
          <w:rFonts w:ascii="Franklin Gothic Book" w:eastAsia="Times New Roman" w:hAnsi="Franklin Gothic Book"/>
          <w:sz w:val="21"/>
        </w:rPr>
      </w:pPr>
    </w:p>
    <w:p w:rsidR="00400B0F" w:rsidRPr="00784031" w:rsidRDefault="00400B0F" w:rsidP="0081451D">
      <w:pPr>
        <w:pStyle w:val="Subtitle"/>
        <w:numPr>
          <w:ilvl w:val="0"/>
          <w:numId w:val="0"/>
        </w:numPr>
        <w:spacing w:before="100" w:beforeAutospacing="1" w:after="100" w:afterAutospacing="1"/>
      </w:pPr>
      <w:r>
        <w:rPr>
          <w:rFonts w:ascii="Franklin Gothic Book" w:eastAsia="Times New Roman" w:hAnsi="Franklin Gothic Book"/>
          <w:sz w:val="21"/>
        </w:rPr>
        <w:br w:type="page"/>
      </w:r>
      <w:r w:rsidRPr="00784031">
        <w:lastRenderedPageBreak/>
        <w:t xml:space="preserve">Annex C </w:t>
      </w:r>
      <w:r w:rsidR="00E67694">
        <w:t xml:space="preserve"> </w:t>
      </w:r>
      <w:r w:rsidRPr="00784031">
        <w:t>- Evaluation Planning</w:t>
      </w:r>
    </w:p>
    <w:p w:rsidR="00400B0F" w:rsidRPr="008C2F58" w:rsidRDefault="00400B0F" w:rsidP="008C2F58">
      <w:pPr>
        <w:rPr>
          <w:b/>
          <w:sz w:val="24"/>
        </w:rPr>
      </w:pPr>
      <w:r w:rsidRPr="008C2F58">
        <w:rPr>
          <w:b/>
          <w:sz w:val="24"/>
        </w:rPr>
        <w:t xml:space="preserve">List of </w:t>
      </w:r>
      <w:r w:rsidR="0081451D">
        <w:rPr>
          <w:b/>
          <w:sz w:val="24"/>
        </w:rPr>
        <w:t xml:space="preserve">reviews or </w:t>
      </w:r>
      <w:r w:rsidRPr="008C2F58">
        <w:rPr>
          <w:b/>
          <w:sz w:val="24"/>
        </w:rPr>
        <w:t xml:space="preserve">evaluations completed in the reporting period </w:t>
      </w:r>
    </w:p>
    <w:tbl>
      <w:tblPr>
        <w:tblStyle w:val="APPR"/>
        <w:tblW w:w="14453" w:type="dxa"/>
        <w:tblLayout w:type="fixed"/>
        <w:tblLook w:val="04A0" w:firstRow="1" w:lastRow="0" w:firstColumn="1" w:lastColumn="0" w:noHBand="0" w:noVBand="1"/>
      </w:tblPr>
      <w:tblGrid>
        <w:gridCol w:w="3106"/>
        <w:gridCol w:w="4685"/>
        <w:gridCol w:w="1425"/>
        <w:gridCol w:w="1981"/>
        <w:gridCol w:w="1699"/>
        <w:gridCol w:w="1557"/>
      </w:tblGrid>
      <w:tr w:rsidR="00400B0F" w:rsidRPr="00C61187" w:rsidTr="006F27B1">
        <w:trPr>
          <w:cnfStyle w:val="100000000000" w:firstRow="1" w:lastRow="0" w:firstColumn="0" w:lastColumn="0" w:oddVBand="0" w:evenVBand="0" w:oddHBand="0" w:evenHBand="0" w:firstRowFirstColumn="0" w:firstRowLastColumn="0" w:lastRowFirstColumn="0" w:lastRowLastColumn="0"/>
        </w:trPr>
        <w:tc>
          <w:tcPr>
            <w:tcW w:w="3064" w:type="dxa"/>
          </w:tcPr>
          <w:p w:rsidR="00400B0F" w:rsidRPr="00880004" w:rsidRDefault="00400B0F" w:rsidP="006F27B1">
            <w:pPr>
              <w:keepLines/>
              <w:spacing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 xml:space="preserve">Investment number and name </w:t>
            </w:r>
          </w:p>
          <w:p w:rsidR="00400B0F" w:rsidRPr="00880004" w:rsidRDefault="00400B0F" w:rsidP="006F27B1">
            <w:pPr>
              <w:keepLines/>
              <w:spacing w:line="200" w:lineRule="atLeast"/>
              <w:rPr>
                <w:rFonts w:asciiTheme="minorHAnsi" w:eastAsia="Times New Roman" w:hAnsiTheme="minorHAnsi"/>
                <w:b w:val="0"/>
                <w:iCs/>
                <w:szCs w:val="17"/>
                <w:lang w:eastAsia="en-US"/>
              </w:rPr>
            </w:pPr>
          </w:p>
        </w:tc>
        <w:tc>
          <w:tcPr>
            <w:tcW w:w="4657" w:type="dxa"/>
          </w:tcPr>
          <w:p w:rsidR="00400B0F" w:rsidRPr="00880004" w:rsidRDefault="00400B0F" w:rsidP="006F27B1">
            <w:pPr>
              <w:keepLines/>
              <w:spacing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Name of evaluation</w:t>
            </w:r>
          </w:p>
        </w:tc>
        <w:tc>
          <w:tcPr>
            <w:tcW w:w="1397" w:type="dxa"/>
          </w:tcPr>
          <w:p w:rsidR="00400B0F" w:rsidRPr="00880004" w:rsidRDefault="00400B0F" w:rsidP="006F27B1">
            <w:pPr>
              <w:keepLines/>
              <w:spacing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Date completed</w:t>
            </w:r>
          </w:p>
        </w:tc>
        <w:tc>
          <w:tcPr>
            <w:tcW w:w="1953" w:type="dxa"/>
          </w:tcPr>
          <w:p w:rsidR="00400B0F" w:rsidRPr="00880004" w:rsidRDefault="00400B0F" w:rsidP="006F27B1">
            <w:pPr>
              <w:keepLines/>
              <w:spacing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Date Evaluation report Uploaded into AidWorks</w:t>
            </w:r>
          </w:p>
        </w:tc>
        <w:tc>
          <w:tcPr>
            <w:tcW w:w="1671" w:type="dxa"/>
          </w:tcPr>
          <w:p w:rsidR="00400B0F" w:rsidRPr="00880004" w:rsidRDefault="00400B0F" w:rsidP="006F27B1">
            <w:pPr>
              <w:keepLines/>
              <w:spacing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Date Management response uploaded into AidWorks</w:t>
            </w:r>
          </w:p>
        </w:tc>
        <w:tc>
          <w:tcPr>
            <w:tcW w:w="1515" w:type="dxa"/>
          </w:tcPr>
          <w:p w:rsidR="00400B0F" w:rsidRPr="00880004" w:rsidRDefault="00400B0F" w:rsidP="006F27B1">
            <w:pPr>
              <w:keepLines/>
              <w:spacing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Published on website</w:t>
            </w:r>
          </w:p>
        </w:tc>
      </w:tr>
      <w:tr w:rsidR="003D135F" w:rsidRPr="003B5EE5" w:rsidTr="006F27B1">
        <w:trPr>
          <w:cnfStyle w:val="100000000000" w:firstRow="1" w:lastRow="0" w:firstColumn="0" w:lastColumn="0" w:oddVBand="0" w:evenVBand="0" w:oddHBand="0" w:evenHBand="0" w:firstRowFirstColumn="0" w:firstRowLastColumn="0" w:lastRowFirstColumn="0" w:lastRowLastColumn="0"/>
        </w:trPr>
        <w:tc>
          <w:tcPr>
            <w:tcW w:w="3064" w:type="dxa"/>
          </w:tcPr>
          <w:p w:rsidR="003D135F" w:rsidRPr="003D135F" w:rsidRDefault="003D135F" w:rsidP="003D135F">
            <w:pPr>
              <w:keepLines/>
              <w:spacing w:before="40" w:after="40" w:line="200" w:lineRule="atLeast"/>
              <w:rPr>
                <w:rFonts w:asciiTheme="minorHAnsi" w:eastAsia="Times New Roman" w:hAnsiTheme="minorHAnsi"/>
                <w:b w:val="0"/>
                <w:iCs/>
                <w:szCs w:val="17"/>
                <w:lang w:eastAsia="en-US"/>
              </w:rPr>
            </w:pPr>
            <w:r w:rsidRPr="003D135F">
              <w:rPr>
                <w:rFonts w:asciiTheme="minorHAnsi" w:eastAsia="Times New Roman" w:hAnsiTheme="minorHAnsi"/>
                <w:b w:val="0"/>
                <w:iCs/>
                <w:szCs w:val="17"/>
                <w:lang w:eastAsia="en-US"/>
              </w:rPr>
              <w:t>INJ223</w:t>
            </w:r>
            <w:r>
              <w:rPr>
                <w:rFonts w:asciiTheme="minorHAnsi" w:eastAsia="Times New Roman" w:hAnsiTheme="minorHAnsi"/>
                <w:b w:val="0"/>
                <w:iCs/>
                <w:szCs w:val="17"/>
                <w:lang w:eastAsia="en-US"/>
              </w:rPr>
              <w:t xml:space="preserve"> </w:t>
            </w:r>
            <w:r w:rsidR="0081451D">
              <w:rPr>
                <w:rFonts w:asciiTheme="minorHAnsi" w:eastAsia="Times New Roman" w:hAnsiTheme="minorHAnsi"/>
                <w:b w:val="0"/>
                <w:iCs/>
                <w:szCs w:val="17"/>
                <w:lang w:eastAsia="en-US"/>
              </w:rPr>
              <w:t>- Basic Education Sector Transformation (BEST) Program</w:t>
            </w:r>
          </w:p>
        </w:tc>
        <w:tc>
          <w:tcPr>
            <w:tcW w:w="4657" w:type="dxa"/>
          </w:tcPr>
          <w:p w:rsidR="003D135F" w:rsidRPr="003D135F" w:rsidRDefault="003D135F" w:rsidP="003D135F">
            <w:pPr>
              <w:keepLines/>
              <w:spacing w:before="40" w:after="40" w:line="200" w:lineRule="atLeast"/>
              <w:rPr>
                <w:rFonts w:asciiTheme="minorHAnsi" w:eastAsia="Times New Roman" w:hAnsiTheme="minorHAnsi"/>
                <w:b w:val="0"/>
                <w:iCs/>
                <w:szCs w:val="17"/>
                <w:lang w:eastAsia="en-US"/>
              </w:rPr>
            </w:pPr>
            <w:r w:rsidRPr="003D135F">
              <w:rPr>
                <w:rFonts w:asciiTheme="minorHAnsi" w:eastAsia="Times New Roman" w:hAnsiTheme="minorHAnsi"/>
                <w:b w:val="0"/>
                <w:iCs/>
                <w:szCs w:val="17"/>
                <w:lang w:eastAsia="en-US"/>
              </w:rPr>
              <w:t>Independent Progress Review of BEST</w:t>
            </w:r>
          </w:p>
        </w:tc>
        <w:tc>
          <w:tcPr>
            <w:tcW w:w="1397" w:type="dxa"/>
          </w:tcPr>
          <w:p w:rsidR="003D135F" w:rsidRPr="00753206" w:rsidRDefault="00E76081" w:rsidP="003D135F">
            <w:pPr>
              <w:keepLines/>
              <w:spacing w:before="40" w:after="40" w:line="200" w:lineRule="atLeast"/>
              <w:rPr>
                <w:rFonts w:asciiTheme="minorHAnsi" w:hAnsiTheme="minorHAnsi"/>
                <w:b w:val="0"/>
                <w:szCs w:val="17"/>
                <w:lang w:eastAsia="en-US"/>
              </w:rPr>
            </w:pPr>
            <w:r>
              <w:rPr>
                <w:rFonts w:asciiTheme="minorHAnsi" w:hAnsiTheme="minorHAnsi"/>
                <w:b w:val="0"/>
                <w:szCs w:val="17"/>
                <w:lang w:eastAsia="en-US"/>
              </w:rPr>
              <w:t>5 February 2018</w:t>
            </w:r>
          </w:p>
        </w:tc>
        <w:tc>
          <w:tcPr>
            <w:tcW w:w="1953" w:type="dxa"/>
          </w:tcPr>
          <w:p w:rsidR="003D135F" w:rsidRPr="00753206" w:rsidRDefault="00753206" w:rsidP="003D135F">
            <w:pPr>
              <w:keepLines/>
              <w:spacing w:before="40" w:after="40" w:line="200" w:lineRule="atLeast"/>
              <w:rPr>
                <w:rFonts w:asciiTheme="minorHAnsi" w:hAnsiTheme="minorHAnsi"/>
                <w:b w:val="0"/>
                <w:szCs w:val="17"/>
                <w:lang w:eastAsia="en-US"/>
              </w:rPr>
            </w:pPr>
            <w:r>
              <w:rPr>
                <w:rFonts w:asciiTheme="minorHAnsi" w:hAnsiTheme="minorHAnsi"/>
                <w:b w:val="0"/>
                <w:szCs w:val="17"/>
                <w:lang w:eastAsia="en-US"/>
              </w:rPr>
              <w:t xml:space="preserve">28 </w:t>
            </w:r>
            <w:r w:rsidRPr="00753206">
              <w:rPr>
                <w:rFonts w:asciiTheme="minorHAnsi" w:hAnsiTheme="minorHAnsi"/>
                <w:b w:val="0"/>
                <w:szCs w:val="17"/>
                <w:lang w:eastAsia="en-US"/>
              </w:rPr>
              <w:t>February 2018</w:t>
            </w:r>
          </w:p>
        </w:tc>
        <w:tc>
          <w:tcPr>
            <w:tcW w:w="1671" w:type="dxa"/>
          </w:tcPr>
          <w:p w:rsidR="003D135F" w:rsidRPr="00753206" w:rsidRDefault="00753206" w:rsidP="003D135F">
            <w:pPr>
              <w:keepLines/>
              <w:spacing w:before="40" w:after="40" w:line="200" w:lineRule="atLeast"/>
              <w:rPr>
                <w:rFonts w:asciiTheme="minorHAnsi" w:hAnsiTheme="minorHAnsi"/>
                <w:b w:val="0"/>
                <w:szCs w:val="17"/>
                <w:lang w:eastAsia="en-US"/>
              </w:rPr>
            </w:pPr>
            <w:r>
              <w:rPr>
                <w:rFonts w:asciiTheme="minorHAnsi" w:hAnsiTheme="minorHAnsi"/>
                <w:b w:val="0"/>
                <w:szCs w:val="17"/>
                <w:lang w:eastAsia="en-US"/>
              </w:rPr>
              <w:t xml:space="preserve">28 </w:t>
            </w:r>
            <w:r w:rsidRPr="00753206">
              <w:rPr>
                <w:rFonts w:asciiTheme="minorHAnsi" w:hAnsiTheme="minorHAnsi"/>
                <w:b w:val="0"/>
                <w:szCs w:val="17"/>
                <w:lang w:eastAsia="en-US"/>
              </w:rPr>
              <w:t>February 2018</w:t>
            </w:r>
          </w:p>
        </w:tc>
        <w:tc>
          <w:tcPr>
            <w:tcW w:w="1515" w:type="dxa"/>
          </w:tcPr>
          <w:p w:rsidR="003D135F" w:rsidRPr="00753206" w:rsidRDefault="00753206" w:rsidP="003D135F">
            <w:pPr>
              <w:keepLines/>
              <w:spacing w:before="40" w:after="40" w:line="200" w:lineRule="atLeast"/>
              <w:rPr>
                <w:rFonts w:asciiTheme="minorHAnsi" w:hAnsiTheme="minorHAnsi"/>
                <w:b w:val="0"/>
                <w:szCs w:val="17"/>
                <w:lang w:eastAsia="en-US"/>
              </w:rPr>
            </w:pPr>
            <w:r>
              <w:rPr>
                <w:rFonts w:asciiTheme="minorHAnsi" w:hAnsiTheme="minorHAnsi"/>
                <w:b w:val="0"/>
                <w:szCs w:val="17"/>
                <w:lang w:eastAsia="en-US"/>
              </w:rPr>
              <w:t xml:space="preserve">14 </w:t>
            </w:r>
            <w:r w:rsidR="0081451D" w:rsidRPr="00753206">
              <w:rPr>
                <w:rFonts w:asciiTheme="minorHAnsi" w:hAnsiTheme="minorHAnsi"/>
                <w:b w:val="0"/>
                <w:szCs w:val="17"/>
                <w:lang w:eastAsia="en-US"/>
              </w:rPr>
              <w:t>February 2018</w:t>
            </w:r>
          </w:p>
        </w:tc>
      </w:tr>
      <w:tr w:rsidR="00753206" w:rsidRPr="003B5EE5" w:rsidTr="006F27B1">
        <w:trPr>
          <w:cnfStyle w:val="100000000000" w:firstRow="1" w:lastRow="0" w:firstColumn="0" w:lastColumn="0" w:oddVBand="0" w:evenVBand="0" w:oddHBand="0" w:evenHBand="0" w:firstRowFirstColumn="0" w:firstRowLastColumn="0" w:lastRowFirstColumn="0" w:lastRowLastColumn="0"/>
        </w:trPr>
        <w:tc>
          <w:tcPr>
            <w:tcW w:w="3064" w:type="dxa"/>
          </w:tcPr>
          <w:p w:rsidR="00753206" w:rsidRPr="003D135F" w:rsidRDefault="00753206" w:rsidP="00753206">
            <w:pPr>
              <w:keepLines/>
              <w:spacing w:before="40" w:after="40" w:line="200" w:lineRule="atLeast"/>
              <w:rPr>
                <w:rFonts w:eastAsia="Times New Roman"/>
                <w:b w:val="0"/>
                <w:iCs/>
                <w:szCs w:val="17"/>
              </w:rPr>
            </w:pPr>
            <w:r>
              <w:rPr>
                <w:rFonts w:asciiTheme="minorHAnsi" w:eastAsia="Times New Roman" w:hAnsiTheme="minorHAnsi"/>
                <w:b w:val="0"/>
                <w:iCs/>
                <w:szCs w:val="17"/>
                <w:lang w:eastAsia="en-US"/>
              </w:rPr>
              <w:t>INJ839 - The Asia Foundation</w:t>
            </w:r>
            <w:r w:rsidR="001B4992">
              <w:rPr>
                <w:rFonts w:asciiTheme="minorHAnsi" w:eastAsia="Times New Roman" w:hAnsiTheme="minorHAnsi"/>
                <w:b w:val="0"/>
                <w:iCs/>
                <w:szCs w:val="17"/>
                <w:lang w:eastAsia="en-US"/>
              </w:rPr>
              <w:t xml:space="preserve"> (TAF)</w:t>
            </w:r>
            <w:r>
              <w:rPr>
                <w:rFonts w:asciiTheme="minorHAnsi" w:eastAsia="Times New Roman" w:hAnsiTheme="minorHAnsi"/>
                <w:b w:val="0"/>
                <w:iCs/>
                <w:szCs w:val="17"/>
                <w:lang w:eastAsia="en-US"/>
              </w:rPr>
              <w:t xml:space="preserve"> Partnership Philippines</w:t>
            </w:r>
          </w:p>
        </w:tc>
        <w:tc>
          <w:tcPr>
            <w:tcW w:w="4657" w:type="dxa"/>
          </w:tcPr>
          <w:p w:rsidR="00753206" w:rsidRPr="003D135F" w:rsidRDefault="00753206" w:rsidP="00753206">
            <w:pPr>
              <w:keepLines/>
              <w:spacing w:before="40" w:after="40" w:line="200" w:lineRule="atLeast"/>
              <w:rPr>
                <w:rFonts w:eastAsia="Times New Roman"/>
                <w:b w:val="0"/>
                <w:iCs/>
                <w:szCs w:val="17"/>
              </w:rPr>
            </w:pPr>
            <w:r w:rsidRPr="003D135F">
              <w:rPr>
                <w:rFonts w:asciiTheme="minorHAnsi" w:eastAsia="Times New Roman" w:hAnsiTheme="minorHAnsi"/>
                <w:b w:val="0"/>
                <w:iCs/>
                <w:szCs w:val="17"/>
                <w:lang w:eastAsia="en-US"/>
              </w:rPr>
              <w:t>Independent Completion Review</w:t>
            </w:r>
            <w:r w:rsidR="001B4992">
              <w:rPr>
                <w:rFonts w:asciiTheme="minorHAnsi" w:eastAsia="Times New Roman" w:hAnsiTheme="minorHAnsi"/>
                <w:b w:val="0"/>
                <w:iCs/>
                <w:szCs w:val="17"/>
                <w:lang w:eastAsia="en-US"/>
              </w:rPr>
              <w:t xml:space="preserve"> of the Coalitions for Change Program under the TAF Partnership Philippines</w:t>
            </w:r>
          </w:p>
        </w:tc>
        <w:tc>
          <w:tcPr>
            <w:tcW w:w="1397" w:type="dxa"/>
          </w:tcPr>
          <w:p w:rsidR="00753206" w:rsidRPr="00070343" w:rsidRDefault="00FC3743" w:rsidP="00753206">
            <w:pPr>
              <w:keepLines/>
              <w:spacing w:before="40" w:after="40" w:line="200" w:lineRule="atLeast"/>
              <w:rPr>
                <w:rFonts w:asciiTheme="minorHAnsi" w:eastAsia="Times New Roman" w:hAnsiTheme="minorHAnsi"/>
                <w:b w:val="0"/>
                <w:iCs/>
                <w:szCs w:val="17"/>
                <w:lang w:eastAsia="en-US"/>
              </w:rPr>
            </w:pPr>
            <w:r w:rsidRPr="00070343">
              <w:rPr>
                <w:rFonts w:asciiTheme="minorHAnsi" w:eastAsia="Times New Roman" w:hAnsiTheme="minorHAnsi"/>
                <w:b w:val="0"/>
                <w:iCs/>
                <w:szCs w:val="17"/>
                <w:lang w:eastAsia="en-US"/>
              </w:rPr>
              <w:t>17 February 2018</w:t>
            </w:r>
          </w:p>
        </w:tc>
        <w:tc>
          <w:tcPr>
            <w:tcW w:w="1953" w:type="dxa"/>
          </w:tcPr>
          <w:p w:rsidR="00753206" w:rsidRPr="00070343" w:rsidRDefault="00BA3565" w:rsidP="00753206">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20 August 2018</w:t>
            </w:r>
          </w:p>
        </w:tc>
        <w:tc>
          <w:tcPr>
            <w:tcW w:w="1671" w:type="dxa"/>
          </w:tcPr>
          <w:p w:rsidR="00753206" w:rsidRPr="00070343" w:rsidRDefault="00BA3565" w:rsidP="00753206">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20 August 2018</w:t>
            </w:r>
          </w:p>
        </w:tc>
        <w:tc>
          <w:tcPr>
            <w:tcW w:w="1515" w:type="dxa"/>
          </w:tcPr>
          <w:p w:rsidR="00753206" w:rsidRPr="00070343" w:rsidRDefault="00D47652" w:rsidP="00753206">
            <w:pPr>
              <w:keepLines/>
              <w:spacing w:before="40" w:after="40" w:line="200" w:lineRule="atLeast"/>
              <w:rPr>
                <w:rFonts w:asciiTheme="minorHAnsi" w:eastAsia="Times New Roman" w:hAnsiTheme="minorHAnsi"/>
                <w:b w:val="0"/>
                <w:iCs/>
                <w:szCs w:val="17"/>
                <w:lang w:eastAsia="en-US"/>
              </w:rPr>
            </w:pPr>
            <w:r w:rsidRPr="00070343">
              <w:rPr>
                <w:rFonts w:asciiTheme="minorHAnsi" w:eastAsia="Times New Roman" w:hAnsiTheme="minorHAnsi"/>
                <w:b w:val="0"/>
                <w:iCs/>
                <w:szCs w:val="17"/>
                <w:lang w:eastAsia="en-US"/>
              </w:rPr>
              <w:t>Expected by August 2018</w:t>
            </w:r>
          </w:p>
        </w:tc>
      </w:tr>
    </w:tbl>
    <w:p w:rsidR="00400B0F" w:rsidRPr="008C2F58" w:rsidRDefault="00400B0F" w:rsidP="008C2F58">
      <w:pPr>
        <w:rPr>
          <w:b/>
          <w:sz w:val="24"/>
        </w:rPr>
      </w:pPr>
      <w:r w:rsidRPr="008C2F58">
        <w:rPr>
          <w:b/>
          <w:sz w:val="24"/>
        </w:rPr>
        <w:t>List of program prioritised evaluations planned for the next 12 months</w:t>
      </w:r>
    </w:p>
    <w:tbl>
      <w:tblPr>
        <w:tblStyle w:val="APPR"/>
        <w:tblW w:w="14427" w:type="dxa"/>
        <w:tblLook w:val="0600" w:firstRow="0" w:lastRow="0" w:firstColumn="0" w:lastColumn="0" w:noHBand="1" w:noVBand="1"/>
      </w:tblPr>
      <w:tblGrid>
        <w:gridCol w:w="2506"/>
        <w:gridCol w:w="2402"/>
        <w:gridCol w:w="2491"/>
        <w:gridCol w:w="2256"/>
        <w:gridCol w:w="2374"/>
        <w:gridCol w:w="2398"/>
      </w:tblGrid>
      <w:tr w:rsidR="00400B0F" w:rsidRPr="00C61187" w:rsidTr="00753206">
        <w:trPr>
          <w:trHeight w:val="567"/>
        </w:trPr>
        <w:tc>
          <w:tcPr>
            <w:tcW w:w="2464" w:type="dxa"/>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Evaluation title</w:t>
            </w:r>
          </w:p>
        </w:tc>
        <w:tc>
          <w:tcPr>
            <w:tcW w:w="2374" w:type="dxa"/>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 xml:space="preserve">Investment number and name (if applicable) </w:t>
            </w:r>
          </w:p>
        </w:tc>
        <w:tc>
          <w:tcPr>
            <w:tcW w:w="2463" w:type="dxa"/>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Date – planned commencement (month/year)</w:t>
            </w:r>
          </w:p>
        </w:tc>
        <w:tc>
          <w:tcPr>
            <w:tcW w:w="2228" w:type="dxa"/>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Date – planned completion (month/year)</w:t>
            </w:r>
          </w:p>
        </w:tc>
        <w:tc>
          <w:tcPr>
            <w:tcW w:w="2346" w:type="dxa"/>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Purpose of evaluation</w:t>
            </w:r>
          </w:p>
        </w:tc>
        <w:tc>
          <w:tcPr>
            <w:tcW w:w="2356" w:type="dxa"/>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Evaluation type</w:t>
            </w:r>
          </w:p>
        </w:tc>
      </w:tr>
      <w:tr w:rsidR="00753206" w:rsidRPr="00C61187" w:rsidTr="00753206">
        <w:trPr>
          <w:trHeight w:val="910"/>
        </w:trPr>
        <w:tc>
          <w:tcPr>
            <w:tcW w:w="2464" w:type="dxa"/>
          </w:tcPr>
          <w:p w:rsidR="00753206" w:rsidRPr="00DC165D" w:rsidRDefault="00753206" w:rsidP="00DB6F03">
            <w:pPr>
              <w:keepLines/>
              <w:spacing w:before="40" w:after="40" w:line="200" w:lineRule="atLeast"/>
              <w:rPr>
                <w:rFonts w:asciiTheme="minorHAnsi" w:eastAsia="Times New Roman" w:hAnsiTheme="minorHAnsi"/>
                <w:iCs/>
                <w:szCs w:val="17"/>
                <w:lang w:eastAsia="en-US"/>
              </w:rPr>
            </w:pPr>
            <w:r w:rsidRPr="00DC165D">
              <w:rPr>
                <w:rFonts w:asciiTheme="minorHAnsi" w:eastAsia="Times New Roman" w:hAnsiTheme="minorHAnsi"/>
                <w:iCs/>
                <w:szCs w:val="17"/>
                <w:lang w:eastAsia="en-US"/>
              </w:rPr>
              <w:t>Review of the Australia-W</w:t>
            </w:r>
            <w:r w:rsidR="00DB6F03">
              <w:rPr>
                <w:rFonts w:asciiTheme="minorHAnsi" w:eastAsia="Times New Roman" w:hAnsiTheme="minorHAnsi"/>
                <w:iCs/>
                <w:szCs w:val="17"/>
                <w:lang w:eastAsia="en-US"/>
              </w:rPr>
              <w:t xml:space="preserve">orld </w:t>
            </w:r>
            <w:r w:rsidRPr="00DC165D">
              <w:rPr>
                <w:rFonts w:asciiTheme="minorHAnsi" w:eastAsia="Times New Roman" w:hAnsiTheme="minorHAnsi"/>
                <w:iCs/>
                <w:szCs w:val="17"/>
                <w:lang w:eastAsia="en-US"/>
              </w:rPr>
              <w:t>B</w:t>
            </w:r>
            <w:r w:rsidR="00DB6F03">
              <w:rPr>
                <w:rFonts w:asciiTheme="minorHAnsi" w:eastAsia="Times New Roman" w:hAnsiTheme="minorHAnsi"/>
                <w:iCs/>
                <w:szCs w:val="17"/>
                <w:lang w:eastAsia="en-US"/>
              </w:rPr>
              <w:t>ank</w:t>
            </w:r>
            <w:r w:rsidRPr="00DC165D">
              <w:rPr>
                <w:rFonts w:asciiTheme="minorHAnsi" w:eastAsia="Times New Roman" w:hAnsiTheme="minorHAnsi"/>
                <w:iCs/>
                <w:szCs w:val="17"/>
                <w:lang w:eastAsia="en-US"/>
              </w:rPr>
              <w:t xml:space="preserve"> Philippines </w:t>
            </w:r>
            <w:r w:rsidR="00DB6F03">
              <w:rPr>
                <w:rFonts w:asciiTheme="minorHAnsi" w:eastAsia="Times New Roman" w:hAnsiTheme="minorHAnsi"/>
                <w:iCs/>
                <w:szCs w:val="17"/>
                <w:lang w:eastAsia="en-US"/>
              </w:rPr>
              <w:t>Development</w:t>
            </w:r>
            <w:r w:rsidRPr="00DC165D">
              <w:rPr>
                <w:rFonts w:asciiTheme="minorHAnsi" w:eastAsia="Times New Roman" w:hAnsiTheme="minorHAnsi"/>
                <w:iCs/>
                <w:szCs w:val="17"/>
                <w:lang w:eastAsia="en-US"/>
              </w:rPr>
              <w:t xml:space="preserve"> Trust Fund</w:t>
            </w:r>
          </w:p>
        </w:tc>
        <w:tc>
          <w:tcPr>
            <w:tcW w:w="2374" w:type="dxa"/>
          </w:tcPr>
          <w:p w:rsidR="00753206" w:rsidRPr="00915A2B" w:rsidRDefault="00753206" w:rsidP="00753206">
            <w:pPr>
              <w:keepLines/>
              <w:spacing w:before="40" w:after="40" w:line="200" w:lineRule="atLeast"/>
              <w:rPr>
                <w:rFonts w:asciiTheme="minorHAnsi" w:eastAsia="Times New Roman" w:hAnsiTheme="minorHAnsi"/>
                <w:iCs/>
                <w:szCs w:val="17"/>
                <w:lang w:eastAsia="en-US"/>
              </w:rPr>
            </w:pPr>
            <w:r w:rsidRPr="00DC165D">
              <w:rPr>
                <w:rFonts w:asciiTheme="minorHAnsi" w:eastAsia="Times New Roman" w:hAnsiTheme="minorHAnsi"/>
                <w:iCs/>
                <w:szCs w:val="17"/>
                <w:lang w:eastAsia="en-US"/>
              </w:rPr>
              <w:t>INI632 - Australia-World Bank Philippines Development Trust Fund (UTF)</w:t>
            </w:r>
          </w:p>
        </w:tc>
        <w:tc>
          <w:tcPr>
            <w:tcW w:w="2463" w:type="dxa"/>
          </w:tcPr>
          <w:p w:rsidR="00753206" w:rsidRPr="00915A2B" w:rsidRDefault="00753206" w:rsidP="00753206">
            <w:pPr>
              <w:keepLines/>
              <w:spacing w:before="40" w:after="40" w:line="200" w:lineRule="atLeast"/>
              <w:rPr>
                <w:rFonts w:asciiTheme="minorHAnsi" w:eastAsia="Times New Roman" w:hAnsiTheme="minorHAnsi"/>
                <w:iCs/>
                <w:szCs w:val="17"/>
                <w:lang w:eastAsia="en-US"/>
              </w:rPr>
            </w:pPr>
            <w:r w:rsidRPr="00DC165D">
              <w:rPr>
                <w:rFonts w:asciiTheme="minorHAnsi" w:eastAsia="Times New Roman" w:hAnsiTheme="minorHAnsi"/>
                <w:iCs/>
                <w:szCs w:val="17"/>
                <w:lang w:eastAsia="en-US"/>
              </w:rPr>
              <w:t>Ju</w:t>
            </w:r>
            <w:r w:rsidR="00915A2B" w:rsidRPr="00DC165D">
              <w:rPr>
                <w:rFonts w:asciiTheme="minorHAnsi" w:eastAsia="Times New Roman" w:hAnsiTheme="minorHAnsi"/>
                <w:iCs/>
                <w:szCs w:val="17"/>
                <w:lang w:eastAsia="en-US"/>
              </w:rPr>
              <w:t>ly</w:t>
            </w:r>
            <w:r w:rsidRPr="00DC165D">
              <w:rPr>
                <w:rFonts w:asciiTheme="minorHAnsi" w:eastAsia="Times New Roman" w:hAnsiTheme="minorHAnsi"/>
                <w:iCs/>
                <w:szCs w:val="17"/>
                <w:lang w:eastAsia="en-US"/>
              </w:rPr>
              <w:t xml:space="preserve"> 2018</w:t>
            </w:r>
          </w:p>
        </w:tc>
        <w:tc>
          <w:tcPr>
            <w:tcW w:w="2228" w:type="dxa"/>
          </w:tcPr>
          <w:p w:rsidR="00753206" w:rsidRPr="00915A2B" w:rsidRDefault="00753206" w:rsidP="00753206">
            <w:pPr>
              <w:keepLines/>
              <w:spacing w:before="40" w:after="40" w:line="200" w:lineRule="atLeast"/>
              <w:rPr>
                <w:rFonts w:asciiTheme="minorHAnsi" w:eastAsia="Times New Roman" w:hAnsiTheme="minorHAnsi"/>
                <w:iCs/>
                <w:szCs w:val="17"/>
                <w:lang w:eastAsia="en-US"/>
              </w:rPr>
            </w:pPr>
            <w:r w:rsidRPr="00DC165D">
              <w:rPr>
                <w:rFonts w:asciiTheme="minorHAnsi" w:eastAsia="Times New Roman" w:hAnsiTheme="minorHAnsi"/>
                <w:iCs/>
                <w:szCs w:val="17"/>
                <w:lang w:eastAsia="en-US"/>
              </w:rPr>
              <w:t>October 2018</w:t>
            </w:r>
          </w:p>
        </w:tc>
        <w:tc>
          <w:tcPr>
            <w:tcW w:w="2346" w:type="dxa"/>
          </w:tcPr>
          <w:p w:rsidR="00753206" w:rsidRPr="00DC165D" w:rsidRDefault="00753206" w:rsidP="00753206">
            <w:pPr>
              <w:keepLines/>
              <w:spacing w:before="40" w:after="40" w:line="200" w:lineRule="atLeast"/>
              <w:rPr>
                <w:rFonts w:asciiTheme="minorHAnsi" w:eastAsia="Times New Roman" w:hAnsiTheme="minorHAnsi"/>
                <w:iCs/>
                <w:szCs w:val="17"/>
                <w:lang w:eastAsia="en-US"/>
              </w:rPr>
            </w:pPr>
            <w:r w:rsidRPr="00DC165D">
              <w:rPr>
                <w:rFonts w:asciiTheme="minorHAnsi" w:eastAsia="Times New Roman" w:hAnsiTheme="minorHAnsi"/>
                <w:iCs/>
                <w:szCs w:val="17"/>
                <w:lang w:eastAsia="en-US"/>
              </w:rPr>
              <w:t>To assess effectiveness; advise structure of the UTF in final year and potential successor functions</w:t>
            </w:r>
          </w:p>
        </w:tc>
        <w:tc>
          <w:tcPr>
            <w:tcW w:w="2356" w:type="dxa"/>
          </w:tcPr>
          <w:p w:rsidR="00753206" w:rsidRPr="00915A2B" w:rsidRDefault="00DB6F03" w:rsidP="00DB6F03">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Joint </w:t>
            </w:r>
            <w:r w:rsidR="00753206" w:rsidRPr="00DC165D">
              <w:rPr>
                <w:rFonts w:asciiTheme="minorHAnsi" w:eastAsia="Times New Roman" w:hAnsiTheme="minorHAnsi"/>
                <w:iCs/>
                <w:szCs w:val="17"/>
                <w:lang w:eastAsia="en-US"/>
              </w:rPr>
              <w:t>DFAT</w:t>
            </w:r>
            <w:r>
              <w:rPr>
                <w:rFonts w:asciiTheme="minorHAnsi" w:eastAsia="Times New Roman" w:hAnsiTheme="minorHAnsi"/>
                <w:iCs/>
                <w:szCs w:val="17"/>
                <w:lang w:eastAsia="en-US"/>
              </w:rPr>
              <w:t xml:space="preserve"> and partner</w:t>
            </w:r>
          </w:p>
        </w:tc>
      </w:tr>
    </w:tbl>
    <w:p w:rsidR="00400B0F" w:rsidRPr="00C61187" w:rsidRDefault="00400B0F" w:rsidP="00400B0F">
      <w:pPr>
        <w:rPr>
          <w:b/>
        </w:rPr>
        <w:sectPr w:rsidR="00400B0F" w:rsidRPr="00C61187" w:rsidSect="008C2F58">
          <w:headerReference w:type="even" r:id="rId29"/>
          <w:headerReference w:type="default" r:id="rId30"/>
          <w:headerReference w:type="first" r:id="rId31"/>
          <w:footerReference w:type="first" r:id="rId32"/>
          <w:footnotePr>
            <w:numRestart w:val="eachPage"/>
          </w:footnotePr>
          <w:type w:val="continuous"/>
          <w:pgSz w:w="16838" w:h="11906" w:orient="landscape" w:code="9"/>
          <w:pgMar w:top="1272" w:right="1814" w:bottom="851" w:left="851" w:header="709" w:footer="230" w:gutter="0"/>
          <w:cols w:space="708"/>
          <w:titlePg/>
          <w:docGrid w:linePitch="360"/>
        </w:sectPr>
      </w:pPr>
    </w:p>
    <w:p w:rsidR="00400B0F" w:rsidRPr="001B4992" w:rsidRDefault="00400B0F" w:rsidP="001B4992">
      <w:pPr>
        <w:keepNext/>
        <w:tabs>
          <w:tab w:val="left" w:pos="1560"/>
        </w:tabs>
        <w:spacing w:before="360" w:after="120"/>
        <w:outlineLvl w:val="1"/>
        <w:rPr>
          <w:rFonts w:eastAsiaTheme="majorEastAsia" w:cstheme="majorBidi"/>
          <w:bCs/>
          <w:iCs/>
          <w:caps/>
          <w:spacing w:val="-10"/>
          <w:kern w:val="28"/>
          <w:sz w:val="38"/>
          <w:szCs w:val="24"/>
        </w:rPr>
      </w:pPr>
      <w:r w:rsidRPr="00784031">
        <w:rPr>
          <w:rFonts w:eastAsiaTheme="majorEastAsia" w:cstheme="majorBidi"/>
          <w:bCs/>
          <w:iCs/>
          <w:caps/>
          <w:spacing w:val="-10"/>
          <w:kern w:val="28"/>
          <w:sz w:val="38"/>
          <w:szCs w:val="24"/>
        </w:rPr>
        <w:lastRenderedPageBreak/>
        <w:t xml:space="preserve">Annex D </w:t>
      </w:r>
      <w:r w:rsidR="001B4992">
        <w:rPr>
          <w:rFonts w:eastAsiaTheme="majorEastAsia" w:cstheme="majorBidi"/>
          <w:bCs/>
          <w:iCs/>
          <w:caps/>
          <w:spacing w:val="-10"/>
          <w:kern w:val="28"/>
          <w:sz w:val="38"/>
          <w:szCs w:val="24"/>
        </w:rPr>
        <w:t xml:space="preserve"> </w:t>
      </w:r>
      <w:r w:rsidRPr="00784031">
        <w:rPr>
          <w:rFonts w:eastAsiaTheme="majorEastAsia" w:cstheme="majorBidi"/>
          <w:bCs/>
          <w:iCs/>
          <w:caps/>
          <w:spacing w:val="-10"/>
          <w:kern w:val="28"/>
          <w:sz w:val="38"/>
          <w:szCs w:val="24"/>
        </w:rPr>
        <w:t>- Aid Quality Check ratings</w:t>
      </w:r>
    </w:p>
    <w:tbl>
      <w:tblPr>
        <w:tblStyle w:val="APPR"/>
        <w:tblW w:w="5018" w:type="pct"/>
        <w:tblLook w:val="0000" w:firstRow="0" w:lastRow="0" w:firstColumn="0" w:lastColumn="0" w:noHBand="0" w:noVBand="0"/>
      </w:tblPr>
      <w:tblGrid>
        <w:gridCol w:w="2865"/>
        <w:gridCol w:w="2214"/>
        <w:gridCol w:w="1209"/>
        <w:gridCol w:w="1383"/>
        <w:gridCol w:w="1363"/>
        <w:gridCol w:w="1377"/>
        <w:gridCol w:w="1363"/>
        <w:gridCol w:w="1377"/>
        <w:gridCol w:w="1363"/>
      </w:tblGrid>
      <w:tr w:rsidR="00F44A10" w:rsidRPr="00C61187" w:rsidTr="00F44A10">
        <w:trPr>
          <w:cnfStyle w:val="000000010000" w:firstRow="0" w:lastRow="0" w:firstColumn="0" w:lastColumn="0" w:oddVBand="0" w:evenVBand="0" w:oddHBand="0" w:evenHBand="1" w:firstRowFirstColumn="0" w:firstRowLastColumn="0" w:lastRowFirstColumn="0" w:lastRowLastColumn="0"/>
          <w:trHeight w:val="1182"/>
        </w:trPr>
        <w:tc>
          <w:tcPr>
            <w:tcW w:w="973" w:type="pct"/>
          </w:tcPr>
          <w:p w:rsidR="00E41425" w:rsidRPr="008B6A51" w:rsidRDefault="00E41425" w:rsidP="006F27B1">
            <w:pPr>
              <w:keepLines/>
              <w:spacing w:before="80" w:after="80" w:line="200" w:lineRule="atLeast"/>
              <w:rPr>
                <w:rFonts w:asciiTheme="minorHAnsi" w:eastAsia="Times New Roman" w:hAnsiTheme="minorHAnsi"/>
                <w:b/>
                <w:iCs/>
                <w:sz w:val="18"/>
                <w:szCs w:val="18"/>
                <w:lang w:eastAsia="en-US"/>
              </w:rPr>
            </w:pPr>
            <w:r w:rsidRPr="008B6A51">
              <w:rPr>
                <w:rFonts w:eastAsia="Times New Roman"/>
                <w:b/>
                <w:iCs/>
                <w:noProof/>
                <w:sz w:val="18"/>
                <w:szCs w:val="18"/>
                <w:lang w:val="en-AU"/>
              </w:rPr>
              <w:drawing>
                <wp:anchor distT="0" distB="0" distL="114300" distR="114300" simplePos="0" relativeHeight="251689984" behindDoc="0" locked="0" layoutInCell="1" allowOverlap="1" wp14:anchorId="583B6D54" wp14:editId="7ADE0395">
                  <wp:simplePos x="0" y="0"/>
                  <wp:positionH relativeFrom="column">
                    <wp:posOffset>0</wp:posOffset>
                  </wp:positionH>
                  <wp:positionV relativeFrom="paragraph">
                    <wp:posOffset>0</wp:posOffset>
                  </wp:positionV>
                  <wp:extent cx="1857375" cy="228600"/>
                  <wp:effectExtent l="0" t="0" r="9525" b="0"/>
                  <wp:wrapNone/>
                  <wp:docPr id="14" name="Picture 14"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6A51">
              <w:rPr>
                <w:rFonts w:asciiTheme="minorHAnsi" w:eastAsia="Times New Roman" w:hAnsiTheme="minorHAnsi"/>
                <w:b/>
                <w:iCs/>
                <w:sz w:val="18"/>
                <w:szCs w:val="18"/>
                <w:lang w:eastAsia="en-US"/>
              </w:rPr>
              <w:t>Investment name</w:t>
            </w:r>
          </w:p>
        </w:tc>
        <w:tc>
          <w:tcPr>
            <w:tcW w:w="753" w:type="pct"/>
            <w:textDirection w:val="btLr"/>
            <w:vAlign w:val="center"/>
          </w:tcPr>
          <w:p w:rsidR="00E41425" w:rsidRPr="008B6A51" w:rsidRDefault="00E41425" w:rsidP="00E41425">
            <w:pPr>
              <w:keepLines/>
              <w:spacing w:before="80" w:after="80" w:line="200" w:lineRule="atLeast"/>
              <w:jc w:val="center"/>
              <w:rPr>
                <w:rFonts w:asciiTheme="minorHAnsi" w:eastAsia="Times New Roman" w:hAnsiTheme="minorHAnsi"/>
                <w:b/>
                <w:iCs/>
                <w:sz w:val="18"/>
                <w:szCs w:val="18"/>
                <w:lang w:eastAsia="en-US"/>
              </w:rPr>
            </w:pPr>
            <w:r w:rsidRPr="008B6A51">
              <w:rPr>
                <w:rFonts w:asciiTheme="minorHAnsi" w:eastAsia="Times New Roman" w:hAnsiTheme="minorHAnsi"/>
                <w:b/>
                <w:iCs/>
                <w:sz w:val="18"/>
                <w:szCs w:val="18"/>
                <w:lang w:eastAsia="en-US"/>
              </w:rPr>
              <w:t>Approved budget and duration</w:t>
            </w:r>
          </w:p>
        </w:tc>
        <w:tc>
          <w:tcPr>
            <w:tcW w:w="407" w:type="pct"/>
            <w:textDirection w:val="btLr"/>
            <w:vAlign w:val="center"/>
          </w:tcPr>
          <w:p w:rsidR="00E41425" w:rsidRPr="008B6A51" w:rsidRDefault="00E41425" w:rsidP="008B6A51">
            <w:pPr>
              <w:keepLines/>
              <w:spacing w:before="80" w:after="80" w:line="200" w:lineRule="atLeast"/>
              <w:jc w:val="center"/>
              <w:rPr>
                <w:rFonts w:asciiTheme="minorHAnsi" w:eastAsia="Times New Roman" w:hAnsiTheme="minorHAnsi"/>
                <w:b/>
                <w:iCs/>
                <w:sz w:val="18"/>
                <w:szCs w:val="18"/>
                <w:lang w:eastAsia="en-US"/>
              </w:rPr>
            </w:pPr>
            <w:r w:rsidRPr="008B6A51">
              <w:rPr>
                <w:rFonts w:asciiTheme="minorHAnsi" w:eastAsia="Times New Roman" w:hAnsiTheme="minorHAnsi"/>
                <w:b/>
                <w:iCs/>
                <w:sz w:val="18"/>
                <w:szCs w:val="18"/>
                <w:lang w:eastAsia="en-US"/>
              </w:rPr>
              <w:t>year on year</w:t>
            </w:r>
          </w:p>
        </w:tc>
        <w:tc>
          <w:tcPr>
            <w:tcW w:w="467" w:type="pct"/>
            <w:textDirection w:val="btLr"/>
            <w:vAlign w:val="center"/>
          </w:tcPr>
          <w:p w:rsidR="00E41425" w:rsidRPr="008B6A51" w:rsidRDefault="00F44A10" w:rsidP="00F44A10">
            <w:pPr>
              <w:keepLines/>
              <w:spacing w:before="80" w:after="80" w:line="200" w:lineRule="atLeast"/>
              <w:jc w:val="center"/>
              <w:rPr>
                <w:rFonts w:asciiTheme="minorHAnsi" w:eastAsia="Times New Roman" w:hAnsiTheme="minorHAnsi"/>
                <w:b/>
                <w:iCs/>
                <w:sz w:val="18"/>
                <w:szCs w:val="18"/>
                <w:lang w:eastAsia="en-US"/>
              </w:rPr>
            </w:pPr>
            <w:r w:rsidRPr="008B6A51">
              <w:rPr>
                <w:rFonts w:asciiTheme="minorHAnsi" w:eastAsia="Times New Roman" w:hAnsiTheme="minorHAnsi"/>
                <w:b/>
                <w:iCs/>
                <w:sz w:val="18"/>
                <w:szCs w:val="18"/>
                <w:lang w:eastAsia="en-US"/>
              </w:rPr>
              <w:t xml:space="preserve">Effectiveness </w:t>
            </w:r>
          </w:p>
        </w:tc>
        <w:tc>
          <w:tcPr>
            <w:tcW w:w="460" w:type="pct"/>
            <w:textDirection w:val="btLr"/>
            <w:vAlign w:val="center"/>
          </w:tcPr>
          <w:p w:rsidR="00E41425" w:rsidRPr="008B6A51" w:rsidRDefault="00F44A10" w:rsidP="008B6A51">
            <w:pPr>
              <w:keepLines/>
              <w:spacing w:before="80" w:after="80" w:line="200" w:lineRule="atLeast"/>
              <w:jc w:val="center"/>
              <w:rPr>
                <w:rFonts w:asciiTheme="minorHAnsi" w:eastAsia="Times New Roman" w:hAnsiTheme="minorHAnsi"/>
                <w:b/>
                <w:iCs/>
                <w:sz w:val="18"/>
                <w:szCs w:val="18"/>
                <w:lang w:eastAsia="en-US"/>
              </w:rPr>
            </w:pPr>
            <w:r w:rsidRPr="008B6A51">
              <w:rPr>
                <w:rFonts w:asciiTheme="minorHAnsi" w:eastAsia="Times New Roman" w:hAnsiTheme="minorHAnsi"/>
                <w:b/>
                <w:iCs/>
                <w:sz w:val="18"/>
                <w:szCs w:val="18"/>
                <w:lang w:eastAsia="en-US"/>
              </w:rPr>
              <w:t>Efficiency</w:t>
            </w:r>
          </w:p>
        </w:tc>
        <w:tc>
          <w:tcPr>
            <w:tcW w:w="465" w:type="pct"/>
            <w:textDirection w:val="btLr"/>
            <w:vAlign w:val="center"/>
          </w:tcPr>
          <w:p w:rsidR="00E41425" w:rsidRPr="008B6A51" w:rsidRDefault="00F44A10" w:rsidP="00F44A10">
            <w:pPr>
              <w:keepLines/>
              <w:spacing w:before="80" w:after="80" w:line="200" w:lineRule="atLeast"/>
              <w:jc w:val="center"/>
              <w:rPr>
                <w:rFonts w:asciiTheme="minorHAnsi" w:eastAsia="Times New Roman" w:hAnsiTheme="minorHAnsi"/>
                <w:b/>
                <w:iCs/>
                <w:sz w:val="18"/>
                <w:szCs w:val="18"/>
                <w:lang w:eastAsia="en-US"/>
              </w:rPr>
            </w:pPr>
            <w:r w:rsidRPr="008B6A51">
              <w:rPr>
                <w:rFonts w:asciiTheme="minorHAnsi" w:eastAsia="Times New Roman" w:hAnsiTheme="minorHAnsi"/>
                <w:b/>
                <w:iCs/>
                <w:sz w:val="18"/>
                <w:szCs w:val="18"/>
                <w:lang w:eastAsia="en-US"/>
              </w:rPr>
              <w:t xml:space="preserve">Relevance </w:t>
            </w:r>
          </w:p>
        </w:tc>
        <w:tc>
          <w:tcPr>
            <w:tcW w:w="460" w:type="pct"/>
            <w:textDirection w:val="btLr"/>
            <w:vAlign w:val="center"/>
          </w:tcPr>
          <w:p w:rsidR="00E41425" w:rsidRPr="008B6A51" w:rsidRDefault="00F44A10" w:rsidP="008B6A51">
            <w:pPr>
              <w:keepLines/>
              <w:spacing w:before="80" w:after="80" w:line="200" w:lineRule="atLeast"/>
              <w:jc w:val="center"/>
              <w:rPr>
                <w:rFonts w:asciiTheme="minorHAnsi" w:eastAsia="Times New Roman" w:hAnsiTheme="minorHAnsi"/>
                <w:b/>
                <w:iCs/>
                <w:sz w:val="18"/>
                <w:szCs w:val="18"/>
                <w:lang w:eastAsia="en-US"/>
              </w:rPr>
            </w:pPr>
            <w:r w:rsidRPr="008B6A51">
              <w:rPr>
                <w:rFonts w:asciiTheme="minorHAnsi" w:eastAsia="Times New Roman" w:hAnsiTheme="minorHAnsi"/>
                <w:b/>
                <w:iCs/>
                <w:sz w:val="18"/>
                <w:szCs w:val="18"/>
                <w:lang w:eastAsia="en-US"/>
              </w:rPr>
              <w:t>Gender equality</w:t>
            </w:r>
          </w:p>
        </w:tc>
        <w:tc>
          <w:tcPr>
            <w:tcW w:w="465" w:type="pct"/>
            <w:textDirection w:val="btLr"/>
            <w:vAlign w:val="center"/>
          </w:tcPr>
          <w:p w:rsidR="00E41425" w:rsidRPr="008B6A51" w:rsidRDefault="00F44A10" w:rsidP="00F44A10">
            <w:pPr>
              <w:keepLines/>
              <w:spacing w:before="80" w:after="80" w:line="200" w:lineRule="atLeast"/>
              <w:jc w:val="center"/>
              <w:rPr>
                <w:rFonts w:asciiTheme="minorHAnsi" w:eastAsia="Times New Roman" w:hAnsiTheme="minorHAnsi"/>
                <w:b/>
                <w:iCs/>
                <w:sz w:val="18"/>
                <w:szCs w:val="18"/>
                <w:lang w:eastAsia="en-US"/>
              </w:rPr>
            </w:pPr>
            <w:r w:rsidRPr="008B6A51">
              <w:rPr>
                <w:rFonts w:asciiTheme="minorHAnsi" w:eastAsia="Times New Roman" w:hAnsiTheme="minorHAnsi"/>
                <w:b/>
                <w:iCs/>
                <w:sz w:val="18"/>
                <w:szCs w:val="18"/>
                <w:lang w:eastAsia="en-US"/>
              </w:rPr>
              <w:t xml:space="preserve">Monitoring and Evaluation </w:t>
            </w:r>
          </w:p>
        </w:tc>
        <w:tc>
          <w:tcPr>
            <w:tcW w:w="455" w:type="pct"/>
            <w:textDirection w:val="btLr"/>
            <w:vAlign w:val="center"/>
          </w:tcPr>
          <w:p w:rsidR="00E41425" w:rsidRPr="008B6A51" w:rsidRDefault="00F44A10" w:rsidP="00F44A10">
            <w:pPr>
              <w:keepLines/>
              <w:spacing w:before="80" w:after="80" w:line="200" w:lineRule="atLeast"/>
              <w:jc w:val="center"/>
              <w:rPr>
                <w:rFonts w:asciiTheme="minorHAnsi" w:eastAsia="Times New Roman" w:hAnsiTheme="minorHAnsi"/>
                <w:b/>
                <w:iCs/>
                <w:sz w:val="18"/>
                <w:szCs w:val="18"/>
                <w:lang w:eastAsia="en-US"/>
              </w:rPr>
            </w:pPr>
            <w:r w:rsidRPr="008B6A51">
              <w:rPr>
                <w:rFonts w:asciiTheme="minorHAnsi" w:eastAsia="Times New Roman" w:hAnsiTheme="minorHAnsi"/>
                <w:b/>
                <w:iCs/>
                <w:sz w:val="18"/>
                <w:szCs w:val="18"/>
                <w:lang w:eastAsia="en-US"/>
              </w:rPr>
              <w:t xml:space="preserve">Sustainability </w:t>
            </w:r>
          </w:p>
        </w:tc>
      </w:tr>
      <w:tr w:rsidR="00F44A10" w:rsidRPr="00C61187" w:rsidTr="00F44A10">
        <w:trPr>
          <w:cnfStyle w:val="000000010000" w:firstRow="0" w:lastRow="0" w:firstColumn="0" w:lastColumn="0" w:oddVBand="0" w:evenVBand="0" w:oddHBand="0" w:evenHBand="1" w:firstRowFirstColumn="0" w:firstRowLastColumn="0" w:lastRowFirstColumn="0" w:lastRowLastColumn="0"/>
          <w:trHeight w:val="236"/>
        </w:trPr>
        <w:tc>
          <w:tcPr>
            <w:tcW w:w="973" w:type="pct"/>
            <w:vMerge w:val="restart"/>
            <w:vAlign w:val="center"/>
          </w:tcPr>
          <w:p w:rsidR="00E41425" w:rsidRPr="00814A42" w:rsidRDefault="00E41425" w:rsidP="00356AA8">
            <w:pPr>
              <w:keepLines/>
              <w:spacing w:before="40" w:after="40" w:line="200" w:lineRule="atLeast"/>
              <w:rPr>
                <w:rFonts w:asciiTheme="minorHAnsi" w:eastAsia="Times New Roman" w:hAnsiTheme="minorHAnsi"/>
                <w:iCs/>
                <w:szCs w:val="17"/>
                <w:lang w:eastAsia="en-US"/>
              </w:rPr>
            </w:pPr>
            <w:r w:rsidRPr="00814A42">
              <w:rPr>
                <w:rFonts w:asciiTheme="minorHAnsi" w:eastAsia="Times New Roman" w:hAnsiTheme="minorHAnsi"/>
                <w:iCs/>
                <w:szCs w:val="17"/>
                <w:lang w:eastAsia="en-US"/>
              </w:rPr>
              <w:t>INI632 - Australia-WB Philippines Development Trust Fund</w:t>
            </w:r>
          </w:p>
        </w:tc>
        <w:tc>
          <w:tcPr>
            <w:tcW w:w="753" w:type="pct"/>
            <w:vMerge w:val="restart"/>
            <w:vAlign w:val="center"/>
          </w:tcPr>
          <w:p w:rsidR="00E41425" w:rsidRPr="001B4992" w:rsidRDefault="00E41425" w:rsidP="00814A42">
            <w:pPr>
              <w:keepLines/>
              <w:spacing w:before="40" w:after="40" w:line="200" w:lineRule="atLeast"/>
              <w:jc w:val="center"/>
              <w:rPr>
                <w:rFonts w:asciiTheme="minorHAnsi" w:eastAsia="Times New Roman" w:hAnsiTheme="minorHAnsi"/>
                <w:iCs/>
                <w:szCs w:val="17"/>
                <w:lang w:eastAsia="en-US"/>
              </w:rPr>
            </w:pPr>
            <w:r w:rsidRPr="001B4992">
              <w:rPr>
                <w:rFonts w:asciiTheme="minorHAnsi" w:eastAsia="Times New Roman" w:hAnsiTheme="minorHAnsi"/>
                <w:iCs/>
                <w:szCs w:val="17"/>
                <w:lang w:eastAsia="en-US"/>
              </w:rPr>
              <w:t>$47,094,288</w:t>
            </w:r>
          </w:p>
          <w:p w:rsidR="00E41425" w:rsidRPr="00880004" w:rsidRDefault="00E41425" w:rsidP="00814A42">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1 Jun 2009 -</w:t>
            </w:r>
            <w:r w:rsidRPr="001B4992">
              <w:rPr>
                <w:rFonts w:asciiTheme="minorHAnsi" w:eastAsia="Times New Roman" w:hAnsiTheme="minorHAnsi"/>
                <w:iCs/>
                <w:szCs w:val="17"/>
                <w:lang w:eastAsia="en-US"/>
              </w:rPr>
              <w:t xml:space="preserve"> 30 Dec 2019</w:t>
            </w:r>
          </w:p>
        </w:tc>
        <w:tc>
          <w:tcPr>
            <w:tcW w:w="407" w:type="pct"/>
            <w:vAlign w:val="center"/>
          </w:tcPr>
          <w:p w:rsidR="00E41425" w:rsidRPr="00880004" w:rsidRDefault="00E41425" w:rsidP="00814A42">
            <w:pPr>
              <w:keepLines/>
              <w:spacing w:before="40" w:after="40" w:line="200" w:lineRule="atLeast"/>
              <w:jc w:val="center"/>
              <w:rPr>
                <w:rFonts w:asciiTheme="minorHAnsi" w:eastAsia="Times New Roman" w:hAnsiTheme="minorHAnsi"/>
                <w:iCs/>
                <w:szCs w:val="17"/>
                <w:lang w:eastAsia="en-US"/>
              </w:rPr>
            </w:pPr>
            <w:r w:rsidRPr="001B4992">
              <w:rPr>
                <w:rFonts w:asciiTheme="minorHAnsi" w:eastAsia="Times New Roman" w:hAnsiTheme="minorHAnsi"/>
                <w:iCs/>
                <w:szCs w:val="17"/>
                <w:lang w:eastAsia="en-US"/>
              </w:rPr>
              <w:t>2016-17</w:t>
            </w:r>
          </w:p>
        </w:tc>
        <w:tc>
          <w:tcPr>
            <w:tcW w:w="467" w:type="pct"/>
            <w:shd w:val="clear" w:color="auto" w:fill="FFFF00"/>
            <w:noWrap/>
            <w:vAlign w:val="center"/>
          </w:tcPr>
          <w:p w:rsidR="00E41425" w:rsidRPr="00880004" w:rsidRDefault="00E41425" w:rsidP="00814A42">
            <w:pPr>
              <w:keepLines/>
              <w:spacing w:before="40" w:after="40" w:line="200" w:lineRule="atLeast"/>
              <w:jc w:val="center"/>
              <w:rPr>
                <w:rFonts w:asciiTheme="minorHAnsi" w:eastAsia="Times New Roman" w:hAnsiTheme="minorHAnsi"/>
                <w:iCs/>
                <w:szCs w:val="17"/>
                <w:lang w:eastAsia="en-US"/>
              </w:rPr>
            </w:pPr>
            <w:r w:rsidRPr="002F536B">
              <w:rPr>
                <w:rFonts w:asciiTheme="majorHAnsi" w:hAnsiTheme="majorHAnsi"/>
                <w:sz w:val="16"/>
                <w:szCs w:val="16"/>
              </w:rPr>
              <w:t>4</w:t>
            </w:r>
          </w:p>
        </w:tc>
        <w:tc>
          <w:tcPr>
            <w:tcW w:w="460" w:type="pct"/>
            <w:shd w:val="clear" w:color="auto" w:fill="FFFF00"/>
            <w:noWrap/>
            <w:vAlign w:val="center"/>
          </w:tcPr>
          <w:p w:rsidR="00E41425" w:rsidRPr="00880004" w:rsidRDefault="00E41425" w:rsidP="00814A42">
            <w:pPr>
              <w:keepLines/>
              <w:spacing w:before="40" w:after="40" w:line="200" w:lineRule="atLeast"/>
              <w:jc w:val="center"/>
              <w:rPr>
                <w:rFonts w:asciiTheme="minorHAnsi" w:eastAsia="Times New Roman" w:hAnsiTheme="minorHAnsi"/>
                <w:iCs/>
                <w:szCs w:val="17"/>
                <w:lang w:eastAsia="en-US"/>
              </w:rPr>
            </w:pPr>
            <w:r w:rsidRPr="002F536B">
              <w:rPr>
                <w:rFonts w:asciiTheme="majorHAnsi" w:hAnsiTheme="majorHAnsi"/>
                <w:sz w:val="16"/>
                <w:szCs w:val="16"/>
              </w:rPr>
              <w:t>4</w:t>
            </w:r>
          </w:p>
        </w:tc>
        <w:tc>
          <w:tcPr>
            <w:tcW w:w="465" w:type="pct"/>
            <w:shd w:val="clear" w:color="auto" w:fill="92D050"/>
            <w:noWrap/>
            <w:vAlign w:val="center"/>
          </w:tcPr>
          <w:p w:rsidR="00E41425" w:rsidRPr="00880004" w:rsidRDefault="00E41425" w:rsidP="00814A42">
            <w:pPr>
              <w:keepLines/>
              <w:spacing w:before="40" w:after="40" w:line="200" w:lineRule="atLeast"/>
              <w:jc w:val="center"/>
              <w:rPr>
                <w:rFonts w:asciiTheme="minorHAnsi" w:eastAsia="Times New Roman" w:hAnsiTheme="minorHAnsi"/>
                <w:iCs/>
                <w:szCs w:val="17"/>
                <w:lang w:eastAsia="en-US"/>
              </w:rPr>
            </w:pPr>
            <w:r w:rsidRPr="002F536B">
              <w:rPr>
                <w:rFonts w:asciiTheme="majorHAnsi" w:hAnsiTheme="majorHAnsi"/>
                <w:sz w:val="16"/>
                <w:szCs w:val="16"/>
              </w:rPr>
              <w:t>5</w:t>
            </w:r>
          </w:p>
        </w:tc>
        <w:tc>
          <w:tcPr>
            <w:tcW w:w="460" w:type="pct"/>
            <w:shd w:val="clear" w:color="auto" w:fill="FFC000"/>
            <w:noWrap/>
            <w:vAlign w:val="center"/>
          </w:tcPr>
          <w:p w:rsidR="00E41425" w:rsidRPr="00880004" w:rsidRDefault="00E41425" w:rsidP="00814A42">
            <w:pPr>
              <w:keepLines/>
              <w:spacing w:before="40" w:after="40" w:line="200" w:lineRule="atLeast"/>
              <w:jc w:val="center"/>
              <w:rPr>
                <w:rFonts w:asciiTheme="minorHAnsi" w:eastAsia="Times New Roman" w:hAnsiTheme="minorHAnsi"/>
                <w:iCs/>
                <w:szCs w:val="17"/>
                <w:lang w:eastAsia="en-US"/>
              </w:rPr>
            </w:pPr>
            <w:r w:rsidRPr="002F536B">
              <w:rPr>
                <w:rFonts w:asciiTheme="majorHAnsi" w:hAnsiTheme="majorHAnsi"/>
                <w:sz w:val="16"/>
                <w:szCs w:val="16"/>
              </w:rPr>
              <w:t>3</w:t>
            </w:r>
          </w:p>
        </w:tc>
        <w:tc>
          <w:tcPr>
            <w:tcW w:w="465" w:type="pct"/>
            <w:shd w:val="clear" w:color="auto" w:fill="FFFF00"/>
            <w:noWrap/>
            <w:vAlign w:val="center"/>
          </w:tcPr>
          <w:p w:rsidR="00E41425" w:rsidRPr="00880004" w:rsidRDefault="00E41425" w:rsidP="00814A42">
            <w:pPr>
              <w:keepLines/>
              <w:spacing w:before="40" w:after="40" w:line="200" w:lineRule="atLeast"/>
              <w:jc w:val="center"/>
              <w:rPr>
                <w:rFonts w:asciiTheme="minorHAnsi" w:eastAsia="Times New Roman" w:hAnsiTheme="minorHAnsi"/>
                <w:iCs/>
                <w:szCs w:val="17"/>
                <w:lang w:eastAsia="en-US"/>
              </w:rPr>
            </w:pPr>
            <w:r w:rsidRPr="002F536B">
              <w:rPr>
                <w:rFonts w:asciiTheme="majorHAnsi" w:hAnsiTheme="majorHAnsi"/>
                <w:sz w:val="16"/>
                <w:szCs w:val="16"/>
              </w:rPr>
              <w:t>4</w:t>
            </w:r>
          </w:p>
        </w:tc>
        <w:tc>
          <w:tcPr>
            <w:tcW w:w="455" w:type="pct"/>
            <w:shd w:val="clear" w:color="auto" w:fill="92D050"/>
            <w:noWrap/>
            <w:vAlign w:val="center"/>
          </w:tcPr>
          <w:p w:rsidR="00E41425" w:rsidRPr="00880004" w:rsidRDefault="00E41425" w:rsidP="00814A42">
            <w:pPr>
              <w:keepLines/>
              <w:spacing w:before="40" w:after="40" w:line="200" w:lineRule="atLeast"/>
              <w:jc w:val="center"/>
              <w:rPr>
                <w:rFonts w:asciiTheme="minorHAnsi" w:eastAsia="Times New Roman" w:hAnsiTheme="minorHAnsi"/>
                <w:iCs/>
                <w:szCs w:val="17"/>
                <w:lang w:eastAsia="en-US"/>
              </w:rPr>
            </w:pPr>
            <w:r w:rsidRPr="002F536B">
              <w:rPr>
                <w:rFonts w:asciiTheme="majorHAnsi" w:hAnsiTheme="majorHAnsi"/>
                <w:sz w:val="16"/>
                <w:szCs w:val="16"/>
              </w:rPr>
              <w:t>5</w:t>
            </w:r>
          </w:p>
        </w:tc>
      </w:tr>
      <w:tr w:rsidR="00F44A10" w:rsidRPr="00C61187" w:rsidTr="00F44A10">
        <w:trPr>
          <w:cnfStyle w:val="000000010000" w:firstRow="0" w:lastRow="0" w:firstColumn="0" w:lastColumn="0" w:oddVBand="0" w:evenVBand="0" w:oddHBand="0" w:evenHBand="1" w:firstRowFirstColumn="0" w:firstRowLastColumn="0" w:lastRowFirstColumn="0" w:lastRowLastColumn="0"/>
          <w:trHeight w:val="236"/>
        </w:trPr>
        <w:tc>
          <w:tcPr>
            <w:tcW w:w="973" w:type="pct"/>
            <w:vMerge/>
            <w:tcBorders>
              <w:bottom w:val="single" w:sz="4" w:space="0" w:color="auto"/>
            </w:tcBorders>
            <w:vAlign w:val="center"/>
          </w:tcPr>
          <w:p w:rsidR="00E41425" w:rsidRPr="00814A42" w:rsidRDefault="00E41425" w:rsidP="00356AA8">
            <w:pPr>
              <w:keepLines/>
              <w:spacing w:before="40" w:after="40" w:line="200" w:lineRule="atLeast"/>
              <w:rPr>
                <w:rFonts w:asciiTheme="minorHAnsi" w:eastAsia="Times New Roman" w:hAnsiTheme="minorHAnsi"/>
                <w:iCs/>
                <w:szCs w:val="17"/>
                <w:lang w:eastAsia="en-US"/>
              </w:rPr>
            </w:pPr>
          </w:p>
        </w:tc>
        <w:tc>
          <w:tcPr>
            <w:tcW w:w="753" w:type="pct"/>
            <w:vMerge/>
            <w:tcBorders>
              <w:bottom w:val="single" w:sz="4" w:space="0" w:color="auto"/>
            </w:tcBorders>
            <w:vAlign w:val="center"/>
          </w:tcPr>
          <w:p w:rsidR="00E41425" w:rsidRPr="00880004" w:rsidRDefault="00E41425" w:rsidP="00814A42">
            <w:pPr>
              <w:keepLines/>
              <w:spacing w:before="40" w:after="40" w:line="200" w:lineRule="atLeast"/>
              <w:jc w:val="center"/>
              <w:rPr>
                <w:rFonts w:asciiTheme="minorHAnsi" w:eastAsia="Times New Roman" w:hAnsiTheme="minorHAnsi"/>
                <w:iCs/>
                <w:szCs w:val="17"/>
                <w:lang w:eastAsia="en-US"/>
              </w:rPr>
            </w:pPr>
          </w:p>
        </w:tc>
        <w:tc>
          <w:tcPr>
            <w:tcW w:w="407" w:type="pct"/>
            <w:tcBorders>
              <w:bottom w:val="single" w:sz="4" w:space="0" w:color="auto"/>
            </w:tcBorders>
            <w:vAlign w:val="center"/>
          </w:tcPr>
          <w:p w:rsidR="00E41425" w:rsidRPr="00880004" w:rsidRDefault="00E41425" w:rsidP="00814A42">
            <w:pPr>
              <w:keepLines/>
              <w:spacing w:before="40" w:after="40" w:line="200" w:lineRule="atLeast"/>
              <w:jc w:val="center"/>
              <w:rPr>
                <w:rFonts w:asciiTheme="minorHAnsi" w:eastAsia="Times New Roman" w:hAnsiTheme="minorHAnsi"/>
                <w:iCs/>
                <w:szCs w:val="17"/>
                <w:lang w:eastAsia="en-US"/>
              </w:rPr>
            </w:pPr>
            <w:r w:rsidRPr="001B4992">
              <w:rPr>
                <w:rFonts w:asciiTheme="minorHAnsi" w:eastAsia="Times New Roman" w:hAnsiTheme="minorHAnsi"/>
                <w:iCs/>
                <w:szCs w:val="17"/>
                <w:lang w:eastAsia="en-US"/>
              </w:rPr>
              <w:t>2017-18</w:t>
            </w:r>
          </w:p>
        </w:tc>
        <w:tc>
          <w:tcPr>
            <w:tcW w:w="467" w:type="pct"/>
            <w:tcBorders>
              <w:bottom w:val="single" w:sz="4" w:space="0" w:color="auto"/>
            </w:tcBorders>
            <w:shd w:val="clear" w:color="auto" w:fill="FFFF00"/>
            <w:noWrap/>
            <w:vAlign w:val="center"/>
          </w:tcPr>
          <w:p w:rsidR="00E41425" w:rsidRPr="00880004" w:rsidRDefault="00E41425" w:rsidP="00814A42">
            <w:pPr>
              <w:keepLines/>
              <w:spacing w:before="40" w:after="40" w:line="200" w:lineRule="atLeast"/>
              <w:jc w:val="center"/>
              <w:rPr>
                <w:rFonts w:asciiTheme="minorHAnsi" w:eastAsia="Times New Roman" w:hAnsiTheme="minorHAnsi"/>
                <w:iCs/>
                <w:szCs w:val="17"/>
                <w:lang w:eastAsia="en-US"/>
              </w:rPr>
            </w:pPr>
            <w:r w:rsidRPr="002F536B">
              <w:rPr>
                <w:rFonts w:asciiTheme="majorHAnsi" w:hAnsiTheme="majorHAnsi"/>
                <w:sz w:val="16"/>
                <w:szCs w:val="16"/>
              </w:rPr>
              <w:t>4</w:t>
            </w:r>
          </w:p>
        </w:tc>
        <w:tc>
          <w:tcPr>
            <w:tcW w:w="460" w:type="pct"/>
            <w:tcBorders>
              <w:bottom w:val="single" w:sz="4" w:space="0" w:color="auto"/>
            </w:tcBorders>
            <w:shd w:val="clear" w:color="auto" w:fill="FFFF00"/>
            <w:noWrap/>
            <w:vAlign w:val="center"/>
          </w:tcPr>
          <w:p w:rsidR="00E41425" w:rsidRPr="00880004" w:rsidRDefault="00E41425" w:rsidP="00814A42">
            <w:pPr>
              <w:keepLines/>
              <w:spacing w:before="40" w:after="40" w:line="200" w:lineRule="atLeast"/>
              <w:jc w:val="center"/>
              <w:rPr>
                <w:rFonts w:asciiTheme="minorHAnsi" w:eastAsia="Times New Roman" w:hAnsiTheme="minorHAnsi"/>
                <w:iCs/>
                <w:szCs w:val="17"/>
                <w:lang w:eastAsia="en-US"/>
              </w:rPr>
            </w:pPr>
            <w:r w:rsidRPr="002F536B">
              <w:rPr>
                <w:rFonts w:asciiTheme="majorHAnsi" w:hAnsiTheme="majorHAnsi"/>
                <w:sz w:val="16"/>
                <w:szCs w:val="16"/>
              </w:rPr>
              <w:t>4</w:t>
            </w:r>
          </w:p>
        </w:tc>
        <w:tc>
          <w:tcPr>
            <w:tcW w:w="465" w:type="pct"/>
            <w:tcBorders>
              <w:bottom w:val="single" w:sz="4" w:space="0" w:color="auto"/>
            </w:tcBorders>
            <w:shd w:val="clear" w:color="auto" w:fill="92D050"/>
            <w:noWrap/>
            <w:vAlign w:val="center"/>
          </w:tcPr>
          <w:p w:rsidR="00E41425" w:rsidRPr="00880004" w:rsidRDefault="00E41425" w:rsidP="00814A42">
            <w:pPr>
              <w:keepLines/>
              <w:spacing w:before="40" w:after="40" w:line="200" w:lineRule="atLeast"/>
              <w:jc w:val="center"/>
              <w:rPr>
                <w:rFonts w:asciiTheme="minorHAnsi" w:eastAsia="Times New Roman" w:hAnsiTheme="minorHAnsi"/>
                <w:iCs/>
                <w:szCs w:val="17"/>
                <w:lang w:eastAsia="en-US"/>
              </w:rPr>
            </w:pPr>
            <w:r w:rsidRPr="002F536B">
              <w:rPr>
                <w:rFonts w:asciiTheme="majorHAnsi" w:hAnsiTheme="majorHAnsi"/>
                <w:sz w:val="16"/>
                <w:szCs w:val="16"/>
              </w:rPr>
              <w:t>5</w:t>
            </w:r>
          </w:p>
        </w:tc>
        <w:tc>
          <w:tcPr>
            <w:tcW w:w="460" w:type="pct"/>
            <w:tcBorders>
              <w:bottom w:val="single" w:sz="4" w:space="0" w:color="auto"/>
            </w:tcBorders>
            <w:shd w:val="clear" w:color="auto" w:fill="FFC000"/>
            <w:noWrap/>
            <w:vAlign w:val="center"/>
          </w:tcPr>
          <w:p w:rsidR="00E41425" w:rsidRPr="00880004" w:rsidRDefault="00E41425" w:rsidP="00814A42">
            <w:pPr>
              <w:keepLines/>
              <w:spacing w:before="40" w:after="40" w:line="200" w:lineRule="atLeast"/>
              <w:jc w:val="center"/>
              <w:rPr>
                <w:rFonts w:asciiTheme="minorHAnsi" w:eastAsia="Times New Roman" w:hAnsiTheme="minorHAnsi"/>
                <w:iCs/>
                <w:szCs w:val="17"/>
                <w:lang w:eastAsia="en-US"/>
              </w:rPr>
            </w:pPr>
            <w:r w:rsidRPr="002F536B">
              <w:rPr>
                <w:rFonts w:asciiTheme="majorHAnsi" w:hAnsiTheme="majorHAnsi"/>
                <w:sz w:val="16"/>
                <w:szCs w:val="16"/>
              </w:rPr>
              <w:t>3</w:t>
            </w:r>
          </w:p>
        </w:tc>
        <w:tc>
          <w:tcPr>
            <w:tcW w:w="465" w:type="pct"/>
            <w:tcBorders>
              <w:bottom w:val="single" w:sz="4" w:space="0" w:color="auto"/>
            </w:tcBorders>
            <w:shd w:val="clear" w:color="auto" w:fill="FFFF00"/>
            <w:noWrap/>
            <w:vAlign w:val="center"/>
          </w:tcPr>
          <w:p w:rsidR="00E41425" w:rsidRPr="00880004" w:rsidRDefault="00E41425" w:rsidP="00814A42">
            <w:pPr>
              <w:keepLines/>
              <w:spacing w:before="40" w:after="40" w:line="200" w:lineRule="atLeast"/>
              <w:jc w:val="center"/>
              <w:rPr>
                <w:rFonts w:asciiTheme="minorHAnsi" w:eastAsia="Times New Roman" w:hAnsiTheme="minorHAnsi"/>
                <w:iCs/>
                <w:szCs w:val="17"/>
                <w:lang w:eastAsia="en-US"/>
              </w:rPr>
            </w:pPr>
            <w:r w:rsidRPr="002F536B">
              <w:rPr>
                <w:rFonts w:asciiTheme="majorHAnsi" w:hAnsiTheme="majorHAnsi"/>
                <w:sz w:val="16"/>
                <w:szCs w:val="16"/>
              </w:rPr>
              <w:t>4</w:t>
            </w:r>
          </w:p>
        </w:tc>
        <w:tc>
          <w:tcPr>
            <w:tcW w:w="455" w:type="pct"/>
            <w:tcBorders>
              <w:bottom w:val="single" w:sz="4" w:space="0" w:color="auto"/>
            </w:tcBorders>
            <w:shd w:val="clear" w:color="auto" w:fill="92D050"/>
            <w:noWrap/>
            <w:vAlign w:val="center"/>
          </w:tcPr>
          <w:p w:rsidR="00E41425" w:rsidRPr="00880004" w:rsidRDefault="00E41425" w:rsidP="00814A42">
            <w:pPr>
              <w:keepLines/>
              <w:spacing w:before="40" w:after="40" w:line="200" w:lineRule="atLeast"/>
              <w:jc w:val="center"/>
              <w:rPr>
                <w:rFonts w:asciiTheme="minorHAnsi" w:eastAsia="Times New Roman" w:hAnsiTheme="minorHAnsi"/>
                <w:iCs/>
                <w:szCs w:val="17"/>
                <w:lang w:eastAsia="en-US"/>
              </w:rPr>
            </w:pPr>
            <w:r w:rsidRPr="002F536B">
              <w:rPr>
                <w:rFonts w:asciiTheme="majorHAnsi" w:hAnsiTheme="majorHAnsi"/>
                <w:sz w:val="16"/>
                <w:szCs w:val="16"/>
              </w:rPr>
              <w:t>5</w:t>
            </w:r>
          </w:p>
        </w:tc>
      </w:tr>
      <w:tr w:rsidR="00F44A10" w:rsidRPr="00C61187" w:rsidTr="00F44A10">
        <w:trPr>
          <w:cnfStyle w:val="000000010000" w:firstRow="0" w:lastRow="0" w:firstColumn="0" w:lastColumn="0" w:oddVBand="0" w:evenVBand="0" w:oddHBand="0" w:evenHBand="1" w:firstRowFirstColumn="0" w:firstRowLastColumn="0" w:lastRowFirstColumn="0" w:lastRowLastColumn="0"/>
          <w:trHeight w:val="236"/>
        </w:trPr>
        <w:tc>
          <w:tcPr>
            <w:tcW w:w="973" w:type="pct"/>
            <w:vMerge w:val="restart"/>
            <w:vAlign w:val="center"/>
          </w:tcPr>
          <w:p w:rsidR="00E41425" w:rsidRPr="00814A42" w:rsidRDefault="00E41425" w:rsidP="00356AA8">
            <w:pPr>
              <w:keepLines/>
              <w:spacing w:before="40" w:after="40" w:line="200" w:lineRule="atLeast"/>
              <w:rPr>
                <w:rFonts w:asciiTheme="minorHAnsi" w:eastAsia="Times New Roman" w:hAnsiTheme="minorHAnsi"/>
                <w:iCs/>
                <w:szCs w:val="17"/>
                <w:lang w:eastAsia="en-US"/>
              </w:rPr>
            </w:pPr>
            <w:r w:rsidRPr="00814A42">
              <w:rPr>
                <w:rFonts w:asciiTheme="minorHAnsi" w:eastAsia="Times New Roman" w:hAnsiTheme="minorHAnsi"/>
                <w:iCs/>
                <w:szCs w:val="17"/>
                <w:lang w:eastAsia="en-US"/>
              </w:rPr>
              <w:t>INJ766 - Strengthening Public-Private Partnership Program</w:t>
            </w:r>
          </w:p>
        </w:tc>
        <w:tc>
          <w:tcPr>
            <w:tcW w:w="753" w:type="pct"/>
            <w:vMerge w:val="restart"/>
            <w:vAlign w:val="center"/>
          </w:tcPr>
          <w:p w:rsidR="00E41425" w:rsidRPr="001B4992" w:rsidRDefault="00E41425" w:rsidP="00814A42">
            <w:pPr>
              <w:keepLines/>
              <w:spacing w:before="40" w:after="40" w:line="200" w:lineRule="atLeast"/>
              <w:jc w:val="center"/>
              <w:rPr>
                <w:rFonts w:asciiTheme="minorHAnsi" w:eastAsia="Times New Roman" w:hAnsiTheme="minorHAnsi"/>
                <w:iCs/>
                <w:szCs w:val="17"/>
                <w:lang w:eastAsia="en-US"/>
              </w:rPr>
            </w:pPr>
            <w:r w:rsidRPr="001B4992">
              <w:rPr>
                <w:rFonts w:asciiTheme="minorHAnsi" w:eastAsia="Times New Roman" w:hAnsiTheme="minorHAnsi"/>
                <w:iCs/>
                <w:szCs w:val="17"/>
                <w:lang w:eastAsia="en-US"/>
              </w:rPr>
              <w:t>$26,074,557</w:t>
            </w:r>
          </w:p>
          <w:p w:rsidR="00E41425" w:rsidRPr="001B4992" w:rsidRDefault="00E41425" w:rsidP="00814A42">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22 Mar 2011 -</w:t>
            </w:r>
            <w:r w:rsidRPr="001B4992">
              <w:rPr>
                <w:rFonts w:asciiTheme="minorHAnsi" w:eastAsia="Times New Roman" w:hAnsiTheme="minorHAnsi"/>
                <w:iCs/>
                <w:szCs w:val="17"/>
                <w:lang w:eastAsia="en-US"/>
              </w:rPr>
              <w:t xml:space="preserve"> 31 Mar 2021</w:t>
            </w:r>
          </w:p>
        </w:tc>
        <w:tc>
          <w:tcPr>
            <w:tcW w:w="407" w:type="pct"/>
            <w:vMerge w:val="restart"/>
            <w:vAlign w:val="center"/>
          </w:tcPr>
          <w:p w:rsidR="00E41425" w:rsidRPr="001B4992" w:rsidRDefault="00E41425" w:rsidP="00814A42">
            <w:pPr>
              <w:keepLines/>
              <w:spacing w:before="40" w:after="40" w:line="200" w:lineRule="atLeast"/>
              <w:jc w:val="center"/>
              <w:rPr>
                <w:rFonts w:asciiTheme="minorHAnsi" w:eastAsia="Times New Roman" w:hAnsiTheme="minorHAnsi"/>
                <w:iCs/>
                <w:szCs w:val="17"/>
                <w:lang w:eastAsia="en-US"/>
              </w:rPr>
            </w:pPr>
            <w:r w:rsidRPr="001B4992">
              <w:rPr>
                <w:rFonts w:asciiTheme="minorHAnsi" w:eastAsia="Times New Roman" w:hAnsiTheme="minorHAnsi"/>
                <w:iCs/>
                <w:szCs w:val="17"/>
                <w:lang w:eastAsia="en-US"/>
              </w:rPr>
              <w:t>2016-17</w:t>
            </w:r>
          </w:p>
          <w:p w:rsidR="00E41425" w:rsidRPr="001B4992" w:rsidRDefault="00E41425" w:rsidP="00814A42">
            <w:pPr>
              <w:keepLines/>
              <w:spacing w:before="40" w:after="40" w:line="200" w:lineRule="atLeast"/>
              <w:jc w:val="center"/>
              <w:rPr>
                <w:rFonts w:asciiTheme="minorHAnsi" w:eastAsia="Times New Roman" w:hAnsiTheme="minorHAnsi"/>
                <w:iCs/>
                <w:szCs w:val="17"/>
                <w:lang w:eastAsia="en-US"/>
              </w:rPr>
            </w:pPr>
            <w:r w:rsidRPr="001B4992">
              <w:rPr>
                <w:rFonts w:asciiTheme="minorHAnsi" w:eastAsia="Times New Roman" w:hAnsiTheme="minorHAnsi"/>
                <w:iCs/>
                <w:szCs w:val="17"/>
                <w:lang w:eastAsia="en-US"/>
              </w:rPr>
              <w:t>2017-18</w:t>
            </w:r>
          </w:p>
        </w:tc>
        <w:tc>
          <w:tcPr>
            <w:tcW w:w="467" w:type="pct"/>
            <w:tcBorders>
              <w:bottom w:val="single" w:sz="4" w:space="0" w:color="auto"/>
            </w:tcBorders>
            <w:shd w:val="clear" w:color="auto" w:fill="FFFF00"/>
            <w:noWrap/>
            <w:vAlign w:val="center"/>
          </w:tcPr>
          <w:p w:rsidR="00E41425" w:rsidRPr="00880004" w:rsidRDefault="00E41425" w:rsidP="00814A42">
            <w:pPr>
              <w:keepLines/>
              <w:spacing w:before="40" w:after="40" w:line="200" w:lineRule="atLeast"/>
              <w:jc w:val="center"/>
              <w:rPr>
                <w:rFonts w:eastAsia="Times New Roman"/>
                <w:iCs/>
                <w:szCs w:val="17"/>
              </w:rPr>
            </w:pPr>
            <w:r w:rsidRPr="002F536B">
              <w:rPr>
                <w:rFonts w:asciiTheme="majorHAnsi" w:hAnsiTheme="majorHAnsi"/>
                <w:sz w:val="16"/>
                <w:szCs w:val="16"/>
              </w:rPr>
              <w:t>4</w:t>
            </w:r>
          </w:p>
        </w:tc>
        <w:tc>
          <w:tcPr>
            <w:tcW w:w="460" w:type="pct"/>
            <w:tcBorders>
              <w:bottom w:val="single" w:sz="4" w:space="0" w:color="auto"/>
            </w:tcBorders>
            <w:shd w:val="clear" w:color="auto" w:fill="FFFF00"/>
            <w:noWrap/>
            <w:vAlign w:val="center"/>
          </w:tcPr>
          <w:p w:rsidR="00E41425" w:rsidRPr="00880004" w:rsidRDefault="00E41425" w:rsidP="00814A42">
            <w:pPr>
              <w:keepLines/>
              <w:spacing w:before="40" w:after="40" w:line="200" w:lineRule="atLeast"/>
              <w:jc w:val="center"/>
              <w:rPr>
                <w:rFonts w:eastAsia="Times New Roman"/>
                <w:iCs/>
                <w:szCs w:val="17"/>
              </w:rPr>
            </w:pPr>
            <w:r w:rsidRPr="002F536B">
              <w:rPr>
                <w:rFonts w:asciiTheme="majorHAnsi" w:hAnsiTheme="majorHAnsi"/>
                <w:sz w:val="16"/>
                <w:szCs w:val="16"/>
              </w:rPr>
              <w:t>4</w:t>
            </w:r>
          </w:p>
        </w:tc>
        <w:tc>
          <w:tcPr>
            <w:tcW w:w="465" w:type="pct"/>
            <w:tcBorders>
              <w:bottom w:val="single" w:sz="4" w:space="0" w:color="auto"/>
            </w:tcBorders>
            <w:shd w:val="clear" w:color="auto" w:fill="92D050"/>
            <w:noWrap/>
            <w:vAlign w:val="center"/>
          </w:tcPr>
          <w:p w:rsidR="00E41425" w:rsidRPr="00880004" w:rsidRDefault="00E41425" w:rsidP="00814A42">
            <w:pPr>
              <w:keepLines/>
              <w:spacing w:before="40" w:after="40" w:line="200" w:lineRule="atLeast"/>
              <w:jc w:val="center"/>
              <w:rPr>
                <w:rFonts w:eastAsia="Times New Roman"/>
                <w:iCs/>
                <w:szCs w:val="17"/>
              </w:rPr>
            </w:pPr>
            <w:r w:rsidRPr="002F536B">
              <w:rPr>
                <w:rFonts w:asciiTheme="majorHAnsi" w:hAnsiTheme="majorHAnsi"/>
                <w:sz w:val="16"/>
                <w:szCs w:val="16"/>
              </w:rPr>
              <w:t>5</w:t>
            </w:r>
          </w:p>
        </w:tc>
        <w:tc>
          <w:tcPr>
            <w:tcW w:w="460" w:type="pct"/>
            <w:tcBorders>
              <w:bottom w:val="single" w:sz="4" w:space="0" w:color="auto"/>
            </w:tcBorders>
            <w:shd w:val="clear" w:color="auto" w:fill="FFFF00"/>
            <w:noWrap/>
            <w:vAlign w:val="center"/>
          </w:tcPr>
          <w:p w:rsidR="00E41425" w:rsidRPr="00880004" w:rsidRDefault="00E41425" w:rsidP="00814A42">
            <w:pPr>
              <w:keepLines/>
              <w:spacing w:before="40" w:after="40" w:line="200" w:lineRule="atLeast"/>
              <w:jc w:val="center"/>
              <w:rPr>
                <w:rFonts w:eastAsia="Times New Roman"/>
                <w:iCs/>
                <w:szCs w:val="17"/>
              </w:rPr>
            </w:pPr>
            <w:r w:rsidRPr="002F536B">
              <w:rPr>
                <w:rFonts w:asciiTheme="majorHAnsi" w:hAnsiTheme="majorHAnsi"/>
                <w:sz w:val="16"/>
                <w:szCs w:val="16"/>
              </w:rPr>
              <w:t>4</w:t>
            </w:r>
          </w:p>
        </w:tc>
        <w:tc>
          <w:tcPr>
            <w:tcW w:w="465" w:type="pct"/>
            <w:tcBorders>
              <w:bottom w:val="single" w:sz="4" w:space="0" w:color="auto"/>
            </w:tcBorders>
            <w:shd w:val="clear" w:color="auto" w:fill="FFFF00"/>
            <w:noWrap/>
            <w:vAlign w:val="center"/>
          </w:tcPr>
          <w:p w:rsidR="00E41425" w:rsidRPr="00880004" w:rsidRDefault="00E41425" w:rsidP="00814A42">
            <w:pPr>
              <w:keepLines/>
              <w:spacing w:before="40" w:after="40" w:line="200" w:lineRule="atLeast"/>
              <w:jc w:val="center"/>
              <w:rPr>
                <w:rFonts w:eastAsia="Times New Roman"/>
                <w:iCs/>
                <w:szCs w:val="17"/>
              </w:rPr>
            </w:pPr>
            <w:r w:rsidRPr="002F536B">
              <w:rPr>
                <w:rFonts w:asciiTheme="majorHAnsi" w:hAnsiTheme="majorHAnsi"/>
                <w:sz w:val="16"/>
                <w:szCs w:val="16"/>
              </w:rPr>
              <w:t>4</w:t>
            </w:r>
          </w:p>
        </w:tc>
        <w:tc>
          <w:tcPr>
            <w:tcW w:w="455" w:type="pct"/>
            <w:tcBorders>
              <w:bottom w:val="single" w:sz="4" w:space="0" w:color="auto"/>
            </w:tcBorders>
            <w:shd w:val="clear" w:color="auto" w:fill="92D050"/>
            <w:noWrap/>
            <w:vAlign w:val="center"/>
          </w:tcPr>
          <w:p w:rsidR="00E41425" w:rsidRPr="00880004" w:rsidRDefault="00E41425" w:rsidP="00814A42">
            <w:pPr>
              <w:keepLines/>
              <w:spacing w:before="40" w:after="40" w:line="200" w:lineRule="atLeast"/>
              <w:jc w:val="center"/>
              <w:rPr>
                <w:rFonts w:eastAsia="Times New Roman"/>
                <w:iCs/>
                <w:szCs w:val="17"/>
              </w:rPr>
            </w:pPr>
            <w:r w:rsidRPr="002F536B">
              <w:rPr>
                <w:rFonts w:asciiTheme="majorHAnsi" w:hAnsiTheme="majorHAnsi"/>
                <w:sz w:val="16"/>
                <w:szCs w:val="16"/>
              </w:rPr>
              <w:t>5</w:t>
            </w:r>
          </w:p>
        </w:tc>
      </w:tr>
      <w:tr w:rsidR="00F44A10" w:rsidRPr="00C61187" w:rsidTr="00F44A10">
        <w:trPr>
          <w:cnfStyle w:val="000000010000" w:firstRow="0" w:lastRow="0" w:firstColumn="0" w:lastColumn="0" w:oddVBand="0" w:evenVBand="0" w:oddHBand="0" w:evenHBand="1" w:firstRowFirstColumn="0" w:firstRowLastColumn="0" w:lastRowFirstColumn="0" w:lastRowLastColumn="0"/>
          <w:trHeight w:val="236"/>
        </w:trPr>
        <w:tc>
          <w:tcPr>
            <w:tcW w:w="973" w:type="pct"/>
            <w:vMerge/>
            <w:tcBorders>
              <w:bottom w:val="single" w:sz="4" w:space="0" w:color="auto"/>
            </w:tcBorders>
            <w:vAlign w:val="center"/>
          </w:tcPr>
          <w:p w:rsidR="00E41425" w:rsidRPr="00814A42" w:rsidRDefault="00E41425" w:rsidP="00356AA8">
            <w:pPr>
              <w:keepLines/>
              <w:spacing w:before="40" w:after="40" w:line="200" w:lineRule="atLeast"/>
              <w:rPr>
                <w:rFonts w:asciiTheme="minorHAnsi" w:eastAsia="Times New Roman" w:hAnsiTheme="minorHAnsi"/>
                <w:iCs/>
                <w:szCs w:val="17"/>
                <w:lang w:eastAsia="en-US"/>
              </w:rPr>
            </w:pPr>
          </w:p>
        </w:tc>
        <w:tc>
          <w:tcPr>
            <w:tcW w:w="753" w:type="pct"/>
            <w:vMerge/>
            <w:tcBorders>
              <w:bottom w:val="single" w:sz="4" w:space="0" w:color="auto"/>
            </w:tcBorders>
            <w:vAlign w:val="center"/>
          </w:tcPr>
          <w:p w:rsidR="00E41425" w:rsidRPr="001B4992" w:rsidRDefault="00E41425" w:rsidP="00814A42">
            <w:pPr>
              <w:keepLines/>
              <w:spacing w:before="40" w:after="40" w:line="200" w:lineRule="atLeast"/>
              <w:jc w:val="center"/>
              <w:rPr>
                <w:rFonts w:asciiTheme="minorHAnsi" w:eastAsia="Times New Roman" w:hAnsiTheme="minorHAnsi"/>
                <w:iCs/>
                <w:szCs w:val="17"/>
                <w:lang w:eastAsia="en-US"/>
              </w:rPr>
            </w:pPr>
          </w:p>
        </w:tc>
        <w:tc>
          <w:tcPr>
            <w:tcW w:w="407" w:type="pct"/>
            <w:vMerge/>
            <w:tcBorders>
              <w:bottom w:val="single" w:sz="4" w:space="0" w:color="auto"/>
            </w:tcBorders>
            <w:vAlign w:val="center"/>
          </w:tcPr>
          <w:p w:rsidR="00E41425" w:rsidRPr="001B4992" w:rsidRDefault="00E41425" w:rsidP="00814A42">
            <w:pPr>
              <w:keepLines/>
              <w:spacing w:before="40" w:after="40" w:line="200" w:lineRule="atLeast"/>
              <w:jc w:val="center"/>
              <w:rPr>
                <w:rFonts w:asciiTheme="minorHAnsi" w:eastAsia="Times New Roman" w:hAnsiTheme="minorHAnsi"/>
                <w:iCs/>
                <w:szCs w:val="17"/>
                <w:lang w:eastAsia="en-US"/>
              </w:rPr>
            </w:pPr>
          </w:p>
        </w:tc>
        <w:tc>
          <w:tcPr>
            <w:tcW w:w="467" w:type="pct"/>
            <w:tcBorders>
              <w:bottom w:val="single" w:sz="4" w:space="0" w:color="auto"/>
            </w:tcBorders>
            <w:shd w:val="clear" w:color="auto" w:fill="FFFF00"/>
            <w:noWrap/>
            <w:vAlign w:val="center"/>
          </w:tcPr>
          <w:p w:rsidR="00E41425" w:rsidRPr="00880004" w:rsidRDefault="00E41425" w:rsidP="00814A42">
            <w:pPr>
              <w:keepLines/>
              <w:spacing w:before="40" w:after="40" w:line="200" w:lineRule="atLeast"/>
              <w:jc w:val="center"/>
              <w:rPr>
                <w:rFonts w:eastAsia="Times New Roman"/>
                <w:iCs/>
                <w:szCs w:val="17"/>
              </w:rPr>
            </w:pPr>
            <w:r w:rsidRPr="002F536B">
              <w:rPr>
                <w:rFonts w:asciiTheme="majorHAnsi" w:hAnsiTheme="majorHAnsi"/>
                <w:sz w:val="16"/>
                <w:szCs w:val="16"/>
              </w:rPr>
              <w:t>4</w:t>
            </w:r>
          </w:p>
        </w:tc>
        <w:tc>
          <w:tcPr>
            <w:tcW w:w="460" w:type="pct"/>
            <w:tcBorders>
              <w:bottom w:val="single" w:sz="4" w:space="0" w:color="auto"/>
            </w:tcBorders>
            <w:shd w:val="clear" w:color="auto" w:fill="FFFF00"/>
            <w:noWrap/>
            <w:vAlign w:val="center"/>
          </w:tcPr>
          <w:p w:rsidR="00E41425" w:rsidRPr="00880004" w:rsidRDefault="00E41425" w:rsidP="00814A42">
            <w:pPr>
              <w:keepLines/>
              <w:spacing w:before="40" w:after="40" w:line="200" w:lineRule="atLeast"/>
              <w:jc w:val="center"/>
              <w:rPr>
                <w:rFonts w:eastAsia="Times New Roman"/>
                <w:iCs/>
                <w:szCs w:val="17"/>
              </w:rPr>
            </w:pPr>
            <w:r w:rsidRPr="002F536B">
              <w:rPr>
                <w:rFonts w:asciiTheme="majorHAnsi" w:hAnsiTheme="majorHAnsi"/>
                <w:sz w:val="16"/>
                <w:szCs w:val="16"/>
              </w:rPr>
              <w:t>4</w:t>
            </w:r>
          </w:p>
        </w:tc>
        <w:tc>
          <w:tcPr>
            <w:tcW w:w="465" w:type="pct"/>
            <w:tcBorders>
              <w:bottom w:val="single" w:sz="4" w:space="0" w:color="auto"/>
            </w:tcBorders>
            <w:shd w:val="clear" w:color="auto" w:fill="92D050"/>
            <w:noWrap/>
            <w:vAlign w:val="center"/>
          </w:tcPr>
          <w:p w:rsidR="00E41425" w:rsidRPr="00880004" w:rsidRDefault="00E41425" w:rsidP="00814A42">
            <w:pPr>
              <w:keepLines/>
              <w:spacing w:before="40" w:after="40" w:line="200" w:lineRule="atLeast"/>
              <w:jc w:val="center"/>
              <w:rPr>
                <w:rFonts w:eastAsia="Times New Roman"/>
                <w:iCs/>
                <w:szCs w:val="17"/>
              </w:rPr>
            </w:pPr>
            <w:r w:rsidRPr="002F536B">
              <w:rPr>
                <w:rFonts w:asciiTheme="majorHAnsi" w:hAnsiTheme="majorHAnsi"/>
                <w:sz w:val="16"/>
                <w:szCs w:val="16"/>
              </w:rPr>
              <w:t>5</w:t>
            </w:r>
          </w:p>
        </w:tc>
        <w:tc>
          <w:tcPr>
            <w:tcW w:w="460" w:type="pct"/>
            <w:tcBorders>
              <w:bottom w:val="single" w:sz="4" w:space="0" w:color="auto"/>
            </w:tcBorders>
            <w:shd w:val="clear" w:color="auto" w:fill="FFFF00"/>
            <w:noWrap/>
            <w:vAlign w:val="center"/>
          </w:tcPr>
          <w:p w:rsidR="00E41425" w:rsidRPr="00880004" w:rsidRDefault="00E41425" w:rsidP="00814A42">
            <w:pPr>
              <w:keepLines/>
              <w:spacing w:before="40" w:after="40" w:line="200" w:lineRule="atLeast"/>
              <w:jc w:val="center"/>
              <w:rPr>
                <w:rFonts w:eastAsia="Times New Roman"/>
                <w:iCs/>
                <w:szCs w:val="17"/>
              </w:rPr>
            </w:pPr>
            <w:r w:rsidRPr="002F536B">
              <w:rPr>
                <w:rFonts w:asciiTheme="majorHAnsi" w:hAnsiTheme="majorHAnsi"/>
                <w:sz w:val="16"/>
                <w:szCs w:val="16"/>
              </w:rPr>
              <w:t>4</w:t>
            </w:r>
          </w:p>
        </w:tc>
        <w:tc>
          <w:tcPr>
            <w:tcW w:w="465" w:type="pct"/>
            <w:tcBorders>
              <w:bottom w:val="single" w:sz="4" w:space="0" w:color="auto"/>
            </w:tcBorders>
            <w:shd w:val="clear" w:color="auto" w:fill="FFFF00"/>
            <w:noWrap/>
            <w:vAlign w:val="center"/>
          </w:tcPr>
          <w:p w:rsidR="00E41425" w:rsidRPr="00880004" w:rsidRDefault="00E41425" w:rsidP="00814A42">
            <w:pPr>
              <w:keepLines/>
              <w:spacing w:before="40" w:after="40" w:line="200" w:lineRule="atLeast"/>
              <w:jc w:val="center"/>
              <w:rPr>
                <w:rFonts w:eastAsia="Times New Roman"/>
                <w:iCs/>
                <w:szCs w:val="17"/>
              </w:rPr>
            </w:pPr>
            <w:r w:rsidRPr="002F536B">
              <w:rPr>
                <w:rFonts w:asciiTheme="majorHAnsi" w:hAnsiTheme="majorHAnsi"/>
                <w:sz w:val="16"/>
                <w:szCs w:val="16"/>
              </w:rPr>
              <w:t>4</w:t>
            </w:r>
          </w:p>
        </w:tc>
        <w:tc>
          <w:tcPr>
            <w:tcW w:w="455" w:type="pct"/>
            <w:tcBorders>
              <w:bottom w:val="single" w:sz="4" w:space="0" w:color="auto"/>
            </w:tcBorders>
            <w:shd w:val="clear" w:color="auto" w:fill="92D050"/>
            <w:noWrap/>
            <w:vAlign w:val="center"/>
          </w:tcPr>
          <w:p w:rsidR="00E41425" w:rsidRPr="00880004" w:rsidRDefault="00E41425" w:rsidP="00814A42">
            <w:pPr>
              <w:keepLines/>
              <w:spacing w:before="40" w:after="40" w:line="200" w:lineRule="atLeast"/>
              <w:jc w:val="center"/>
              <w:rPr>
                <w:rFonts w:eastAsia="Times New Roman"/>
                <w:iCs/>
                <w:szCs w:val="17"/>
              </w:rPr>
            </w:pPr>
            <w:r w:rsidRPr="002F536B">
              <w:rPr>
                <w:rFonts w:asciiTheme="majorHAnsi" w:hAnsiTheme="majorHAnsi"/>
                <w:sz w:val="16"/>
                <w:szCs w:val="16"/>
              </w:rPr>
              <w:t>5</w:t>
            </w:r>
          </w:p>
        </w:tc>
      </w:tr>
      <w:tr w:rsidR="00F44A10" w:rsidRPr="00C61187" w:rsidTr="00F44A10">
        <w:trPr>
          <w:cnfStyle w:val="000000010000" w:firstRow="0" w:lastRow="0" w:firstColumn="0" w:lastColumn="0" w:oddVBand="0" w:evenVBand="0" w:oddHBand="0" w:evenHBand="1" w:firstRowFirstColumn="0" w:firstRowLastColumn="0" w:lastRowFirstColumn="0" w:lastRowLastColumn="0"/>
          <w:trHeight w:val="236"/>
        </w:trPr>
        <w:tc>
          <w:tcPr>
            <w:tcW w:w="973" w:type="pct"/>
            <w:vMerge w:val="restart"/>
            <w:vAlign w:val="center"/>
          </w:tcPr>
          <w:p w:rsidR="00E41425" w:rsidRPr="00814A42" w:rsidRDefault="00F44A10" w:rsidP="00356AA8">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ING581 - Philippines</w:t>
            </w:r>
            <w:r w:rsidR="00E41425" w:rsidRPr="00814A42">
              <w:rPr>
                <w:rFonts w:asciiTheme="minorHAnsi" w:eastAsia="Times New Roman" w:hAnsiTheme="minorHAnsi"/>
                <w:iCs/>
                <w:szCs w:val="17"/>
                <w:lang w:eastAsia="en-US"/>
              </w:rPr>
              <w:t xml:space="preserve"> Disaster and Climate Risks Management</w:t>
            </w:r>
          </w:p>
        </w:tc>
        <w:tc>
          <w:tcPr>
            <w:tcW w:w="753" w:type="pct"/>
            <w:vMerge w:val="restart"/>
            <w:vAlign w:val="center"/>
          </w:tcPr>
          <w:p w:rsidR="00E41425" w:rsidRPr="001B4992" w:rsidRDefault="00E41425" w:rsidP="00814A42">
            <w:pPr>
              <w:keepLines/>
              <w:spacing w:before="40" w:after="40" w:line="200" w:lineRule="atLeast"/>
              <w:jc w:val="center"/>
              <w:rPr>
                <w:rFonts w:asciiTheme="minorHAnsi" w:eastAsia="Times New Roman" w:hAnsiTheme="minorHAnsi"/>
                <w:iCs/>
                <w:szCs w:val="17"/>
                <w:lang w:eastAsia="en-US"/>
              </w:rPr>
            </w:pPr>
            <w:r w:rsidRPr="001B4992">
              <w:rPr>
                <w:rFonts w:asciiTheme="minorHAnsi" w:eastAsia="Times New Roman" w:hAnsiTheme="minorHAnsi"/>
                <w:iCs/>
                <w:szCs w:val="17"/>
                <w:lang w:eastAsia="en-US"/>
              </w:rPr>
              <w:t>$48,061,706</w:t>
            </w:r>
          </w:p>
          <w:p w:rsidR="00E41425" w:rsidRPr="001B4992" w:rsidRDefault="00E41425" w:rsidP="00814A42">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2 Jun 2006 -</w:t>
            </w:r>
            <w:r w:rsidRPr="001B4992">
              <w:rPr>
                <w:rFonts w:asciiTheme="minorHAnsi" w:eastAsia="Times New Roman" w:hAnsiTheme="minorHAnsi"/>
                <w:iCs/>
                <w:szCs w:val="17"/>
                <w:lang w:eastAsia="en-US"/>
              </w:rPr>
              <w:t xml:space="preserve"> 31 Dec 2020</w:t>
            </w:r>
          </w:p>
        </w:tc>
        <w:tc>
          <w:tcPr>
            <w:tcW w:w="407" w:type="pct"/>
            <w:vMerge w:val="restart"/>
            <w:vAlign w:val="center"/>
          </w:tcPr>
          <w:p w:rsidR="00E41425" w:rsidRPr="001B4992" w:rsidRDefault="00E41425" w:rsidP="00814A42">
            <w:pPr>
              <w:keepLines/>
              <w:spacing w:before="40" w:after="40" w:line="200" w:lineRule="atLeast"/>
              <w:jc w:val="center"/>
              <w:rPr>
                <w:rFonts w:asciiTheme="minorHAnsi" w:eastAsia="Times New Roman" w:hAnsiTheme="minorHAnsi"/>
                <w:iCs/>
                <w:szCs w:val="17"/>
                <w:lang w:eastAsia="en-US"/>
              </w:rPr>
            </w:pPr>
            <w:r w:rsidRPr="001B4992">
              <w:rPr>
                <w:rFonts w:asciiTheme="minorHAnsi" w:eastAsia="Times New Roman" w:hAnsiTheme="minorHAnsi"/>
                <w:iCs/>
                <w:szCs w:val="17"/>
                <w:lang w:eastAsia="en-US"/>
              </w:rPr>
              <w:t>2016-17</w:t>
            </w:r>
          </w:p>
          <w:p w:rsidR="00E41425" w:rsidRPr="001B4992" w:rsidRDefault="00E41425" w:rsidP="00814A42">
            <w:pPr>
              <w:keepLines/>
              <w:spacing w:before="40" w:after="40" w:line="200" w:lineRule="atLeast"/>
              <w:jc w:val="center"/>
              <w:rPr>
                <w:rFonts w:asciiTheme="minorHAnsi" w:eastAsia="Times New Roman" w:hAnsiTheme="minorHAnsi"/>
                <w:iCs/>
                <w:szCs w:val="17"/>
                <w:lang w:eastAsia="en-US"/>
              </w:rPr>
            </w:pPr>
            <w:r w:rsidRPr="001B4992">
              <w:rPr>
                <w:rFonts w:asciiTheme="minorHAnsi" w:eastAsia="Times New Roman" w:hAnsiTheme="minorHAnsi"/>
                <w:iCs/>
                <w:szCs w:val="17"/>
                <w:lang w:eastAsia="en-US"/>
              </w:rPr>
              <w:t>2017-18</w:t>
            </w:r>
          </w:p>
        </w:tc>
        <w:tc>
          <w:tcPr>
            <w:tcW w:w="467" w:type="pct"/>
            <w:tcBorders>
              <w:bottom w:val="single" w:sz="4" w:space="0" w:color="auto"/>
            </w:tcBorders>
            <w:shd w:val="clear" w:color="auto" w:fill="92D050"/>
            <w:noWrap/>
            <w:vAlign w:val="center"/>
          </w:tcPr>
          <w:p w:rsidR="00E41425" w:rsidRPr="00880004" w:rsidRDefault="00E41425" w:rsidP="00814A42">
            <w:pPr>
              <w:keepLines/>
              <w:spacing w:before="40" w:after="40" w:line="200" w:lineRule="atLeast"/>
              <w:jc w:val="center"/>
              <w:rPr>
                <w:rFonts w:eastAsia="Times New Roman"/>
                <w:iCs/>
                <w:szCs w:val="17"/>
              </w:rPr>
            </w:pPr>
            <w:r w:rsidRPr="002F536B">
              <w:rPr>
                <w:rFonts w:asciiTheme="majorHAnsi" w:hAnsiTheme="majorHAnsi"/>
                <w:sz w:val="16"/>
                <w:szCs w:val="16"/>
              </w:rPr>
              <w:t>5</w:t>
            </w:r>
          </w:p>
        </w:tc>
        <w:tc>
          <w:tcPr>
            <w:tcW w:w="460" w:type="pct"/>
            <w:tcBorders>
              <w:bottom w:val="single" w:sz="4" w:space="0" w:color="auto"/>
            </w:tcBorders>
            <w:shd w:val="clear" w:color="auto" w:fill="FFFF00"/>
            <w:noWrap/>
            <w:vAlign w:val="center"/>
          </w:tcPr>
          <w:p w:rsidR="00E41425" w:rsidRPr="00880004" w:rsidRDefault="00E41425" w:rsidP="00814A42">
            <w:pPr>
              <w:keepLines/>
              <w:spacing w:before="40" w:after="40" w:line="200" w:lineRule="atLeast"/>
              <w:jc w:val="center"/>
              <w:rPr>
                <w:rFonts w:eastAsia="Times New Roman"/>
                <w:iCs/>
                <w:szCs w:val="17"/>
              </w:rPr>
            </w:pPr>
            <w:r w:rsidRPr="002F536B">
              <w:rPr>
                <w:rFonts w:asciiTheme="majorHAnsi" w:hAnsiTheme="majorHAnsi"/>
                <w:sz w:val="16"/>
                <w:szCs w:val="16"/>
              </w:rPr>
              <w:t>4</w:t>
            </w:r>
          </w:p>
        </w:tc>
        <w:tc>
          <w:tcPr>
            <w:tcW w:w="465" w:type="pct"/>
            <w:tcBorders>
              <w:bottom w:val="single" w:sz="4" w:space="0" w:color="auto"/>
            </w:tcBorders>
            <w:shd w:val="clear" w:color="auto" w:fill="92D050"/>
            <w:noWrap/>
            <w:vAlign w:val="center"/>
          </w:tcPr>
          <w:p w:rsidR="00E41425" w:rsidRPr="00880004" w:rsidRDefault="00E41425" w:rsidP="00814A42">
            <w:pPr>
              <w:keepLines/>
              <w:spacing w:before="40" w:after="40" w:line="200" w:lineRule="atLeast"/>
              <w:jc w:val="center"/>
              <w:rPr>
                <w:rFonts w:eastAsia="Times New Roman"/>
                <w:iCs/>
                <w:szCs w:val="17"/>
              </w:rPr>
            </w:pPr>
            <w:r w:rsidRPr="002F536B">
              <w:rPr>
                <w:rFonts w:asciiTheme="majorHAnsi" w:hAnsiTheme="majorHAnsi"/>
                <w:sz w:val="16"/>
                <w:szCs w:val="16"/>
              </w:rPr>
              <w:t>5</w:t>
            </w:r>
          </w:p>
        </w:tc>
        <w:tc>
          <w:tcPr>
            <w:tcW w:w="460" w:type="pct"/>
            <w:tcBorders>
              <w:bottom w:val="single" w:sz="4" w:space="0" w:color="auto"/>
            </w:tcBorders>
            <w:shd w:val="clear" w:color="auto" w:fill="92D050"/>
            <w:noWrap/>
            <w:vAlign w:val="center"/>
          </w:tcPr>
          <w:p w:rsidR="00E41425" w:rsidRPr="00880004" w:rsidRDefault="00E41425" w:rsidP="00814A42">
            <w:pPr>
              <w:keepLines/>
              <w:spacing w:before="40" w:after="40" w:line="200" w:lineRule="atLeast"/>
              <w:jc w:val="center"/>
              <w:rPr>
                <w:rFonts w:eastAsia="Times New Roman"/>
                <w:iCs/>
                <w:szCs w:val="17"/>
              </w:rPr>
            </w:pPr>
            <w:r w:rsidRPr="002F536B">
              <w:rPr>
                <w:rFonts w:asciiTheme="majorHAnsi" w:hAnsiTheme="majorHAnsi"/>
                <w:sz w:val="16"/>
                <w:szCs w:val="16"/>
              </w:rPr>
              <w:t>5</w:t>
            </w:r>
          </w:p>
        </w:tc>
        <w:tc>
          <w:tcPr>
            <w:tcW w:w="465" w:type="pct"/>
            <w:tcBorders>
              <w:bottom w:val="single" w:sz="4" w:space="0" w:color="auto"/>
            </w:tcBorders>
            <w:shd w:val="clear" w:color="auto" w:fill="FFFF00"/>
            <w:noWrap/>
            <w:vAlign w:val="center"/>
          </w:tcPr>
          <w:p w:rsidR="00E41425" w:rsidRPr="00880004" w:rsidRDefault="00E41425" w:rsidP="00814A42">
            <w:pPr>
              <w:keepLines/>
              <w:spacing w:before="40" w:after="40" w:line="200" w:lineRule="atLeast"/>
              <w:jc w:val="center"/>
              <w:rPr>
                <w:rFonts w:eastAsia="Times New Roman"/>
                <w:iCs/>
                <w:szCs w:val="17"/>
              </w:rPr>
            </w:pPr>
            <w:r w:rsidRPr="002F536B">
              <w:rPr>
                <w:rFonts w:asciiTheme="majorHAnsi" w:hAnsiTheme="majorHAnsi"/>
                <w:sz w:val="16"/>
                <w:szCs w:val="16"/>
              </w:rPr>
              <w:t>4</w:t>
            </w:r>
          </w:p>
        </w:tc>
        <w:tc>
          <w:tcPr>
            <w:tcW w:w="455" w:type="pct"/>
            <w:tcBorders>
              <w:bottom w:val="single" w:sz="4" w:space="0" w:color="auto"/>
            </w:tcBorders>
            <w:shd w:val="clear" w:color="auto" w:fill="92D050"/>
            <w:noWrap/>
            <w:vAlign w:val="center"/>
          </w:tcPr>
          <w:p w:rsidR="00E41425" w:rsidRPr="00880004" w:rsidRDefault="00E41425" w:rsidP="00814A42">
            <w:pPr>
              <w:keepLines/>
              <w:spacing w:before="40" w:after="40" w:line="200" w:lineRule="atLeast"/>
              <w:jc w:val="center"/>
              <w:rPr>
                <w:rFonts w:eastAsia="Times New Roman"/>
                <w:iCs/>
                <w:szCs w:val="17"/>
              </w:rPr>
            </w:pPr>
            <w:r w:rsidRPr="002F536B">
              <w:rPr>
                <w:rFonts w:asciiTheme="majorHAnsi" w:hAnsiTheme="majorHAnsi"/>
                <w:sz w:val="16"/>
                <w:szCs w:val="16"/>
              </w:rPr>
              <w:t>5</w:t>
            </w:r>
          </w:p>
        </w:tc>
      </w:tr>
      <w:tr w:rsidR="00F44A10" w:rsidRPr="00C61187" w:rsidTr="00F44A10">
        <w:trPr>
          <w:cnfStyle w:val="000000010000" w:firstRow="0" w:lastRow="0" w:firstColumn="0" w:lastColumn="0" w:oddVBand="0" w:evenVBand="0" w:oddHBand="0" w:evenHBand="1" w:firstRowFirstColumn="0" w:firstRowLastColumn="0" w:lastRowFirstColumn="0" w:lastRowLastColumn="0"/>
          <w:trHeight w:val="236"/>
        </w:trPr>
        <w:tc>
          <w:tcPr>
            <w:tcW w:w="973" w:type="pct"/>
            <w:vMerge/>
            <w:tcBorders>
              <w:bottom w:val="single" w:sz="4" w:space="0" w:color="auto"/>
            </w:tcBorders>
            <w:vAlign w:val="center"/>
          </w:tcPr>
          <w:p w:rsidR="00E41425" w:rsidRPr="00814A42" w:rsidRDefault="00E41425" w:rsidP="00356AA8">
            <w:pPr>
              <w:keepLines/>
              <w:spacing w:before="40" w:after="40" w:line="200" w:lineRule="atLeast"/>
              <w:rPr>
                <w:rFonts w:asciiTheme="minorHAnsi" w:eastAsia="Times New Roman" w:hAnsiTheme="minorHAnsi"/>
                <w:iCs/>
                <w:szCs w:val="17"/>
                <w:lang w:eastAsia="en-US"/>
              </w:rPr>
            </w:pPr>
          </w:p>
        </w:tc>
        <w:tc>
          <w:tcPr>
            <w:tcW w:w="753" w:type="pct"/>
            <w:vMerge/>
            <w:tcBorders>
              <w:bottom w:val="single" w:sz="4" w:space="0" w:color="auto"/>
            </w:tcBorders>
            <w:vAlign w:val="center"/>
          </w:tcPr>
          <w:p w:rsidR="00E41425" w:rsidRPr="001B4992" w:rsidRDefault="00E41425" w:rsidP="00814A42">
            <w:pPr>
              <w:keepLines/>
              <w:spacing w:before="40" w:after="40" w:line="200" w:lineRule="atLeast"/>
              <w:jc w:val="center"/>
              <w:rPr>
                <w:rFonts w:asciiTheme="minorHAnsi" w:eastAsia="Times New Roman" w:hAnsiTheme="minorHAnsi"/>
                <w:iCs/>
                <w:szCs w:val="17"/>
                <w:lang w:eastAsia="en-US"/>
              </w:rPr>
            </w:pPr>
          </w:p>
        </w:tc>
        <w:tc>
          <w:tcPr>
            <w:tcW w:w="407" w:type="pct"/>
            <w:vMerge/>
            <w:tcBorders>
              <w:bottom w:val="single" w:sz="4" w:space="0" w:color="auto"/>
            </w:tcBorders>
            <w:vAlign w:val="center"/>
          </w:tcPr>
          <w:p w:rsidR="00E41425" w:rsidRPr="001B4992" w:rsidRDefault="00E41425" w:rsidP="00814A42">
            <w:pPr>
              <w:keepLines/>
              <w:spacing w:before="40" w:after="40" w:line="200" w:lineRule="atLeast"/>
              <w:jc w:val="center"/>
              <w:rPr>
                <w:rFonts w:asciiTheme="minorHAnsi" w:eastAsia="Times New Roman" w:hAnsiTheme="minorHAnsi"/>
                <w:iCs/>
                <w:szCs w:val="17"/>
                <w:lang w:eastAsia="en-US"/>
              </w:rPr>
            </w:pPr>
          </w:p>
        </w:tc>
        <w:tc>
          <w:tcPr>
            <w:tcW w:w="467" w:type="pct"/>
            <w:tcBorders>
              <w:bottom w:val="single" w:sz="4" w:space="0" w:color="auto"/>
            </w:tcBorders>
            <w:shd w:val="clear" w:color="auto" w:fill="92D050"/>
            <w:noWrap/>
            <w:vAlign w:val="center"/>
          </w:tcPr>
          <w:p w:rsidR="00E41425" w:rsidRPr="00880004" w:rsidRDefault="00E41425" w:rsidP="00814A42">
            <w:pPr>
              <w:keepLines/>
              <w:spacing w:before="40" w:after="40" w:line="200" w:lineRule="atLeast"/>
              <w:jc w:val="center"/>
              <w:rPr>
                <w:rFonts w:eastAsia="Times New Roman"/>
                <w:iCs/>
                <w:szCs w:val="17"/>
              </w:rPr>
            </w:pPr>
            <w:r w:rsidRPr="002F536B">
              <w:rPr>
                <w:rFonts w:asciiTheme="majorHAnsi" w:hAnsiTheme="majorHAnsi"/>
                <w:sz w:val="16"/>
                <w:szCs w:val="16"/>
              </w:rPr>
              <w:t>5</w:t>
            </w:r>
          </w:p>
        </w:tc>
        <w:tc>
          <w:tcPr>
            <w:tcW w:w="460" w:type="pct"/>
            <w:tcBorders>
              <w:bottom w:val="single" w:sz="4" w:space="0" w:color="auto"/>
            </w:tcBorders>
            <w:shd w:val="clear" w:color="auto" w:fill="FFC000"/>
            <w:noWrap/>
            <w:vAlign w:val="center"/>
          </w:tcPr>
          <w:p w:rsidR="00E41425" w:rsidRPr="00880004" w:rsidRDefault="00E41425" w:rsidP="00814A42">
            <w:pPr>
              <w:keepLines/>
              <w:spacing w:before="40" w:after="40" w:line="200" w:lineRule="atLeast"/>
              <w:jc w:val="center"/>
              <w:rPr>
                <w:rFonts w:eastAsia="Times New Roman"/>
                <w:iCs/>
                <w:szCs w:val="17"/>
              </w:rPr>
            </w:pPr>
            <w:r w:rsidRPr="002F536B">
              <w:rPr>
                <w:rFonts w:asciiTheme="majorHAnsi" w:hAnsiTheme="majorHAnsi"/>
                <w:sz w:val="16"/>
                <w:szCs w:val="16"/>
              </w:rPr>
              <w:t>3</w:t>
            </w:r>
          </w:p>
        </w:tc>
        <w:tc>
          <w:tcPr>
            <w:tcW w:w="465" w:type="pct"/>
            <w:tcBorders>
              <w:bottom w:val="single" w:sz="4" w:space="0" w:color="auto"/>
            </w:tcBorders>
            <w:shd w:val="clear" w:color="auto" w:fill="92D050"/>
            <w:noWrap/>
            <w:vAlign w:val="center"/>
          </w:tcPr>
          <w:p w:rsidR="00E41425" w:rsidRPr="00880004" w:rsidRDefault="00E41425" w:rsidP="00814A42">
            <w:pPr>
              <w:keepLines/>
              <w:spacing w:before="40" w:after="40" w:line="200" w:lineRule="atLeast"/>
              <w:jc w:val="center"/>
              <w:rPr>
                <w:rFonts w:eastAsia="Times New Roman"/>
                <w:iCs/>
                <w:szCs w:val="17"/>
              </w:rPr>
            </w:pPr>
            <w:r w:rsidRPr="002F536B">
              <w:rPr>
                <w:rFonts w:asciiTheme="majorHAnsi" w:hAnsiTheme="majorHAnsi"/>
                <w:sz w:val="16"/>
                <w:szCs w:val="16"/>
              </w:rPr>
              <w:t>6</w:t>
            </w:r>
          </w:p>
        </w:tc>
        <w:tc>
          <w:tcPr>
            <w:tcW w:w="460" w:type="pct"/>
            <w:tcBorders>
              <w:bottom w:val="single" w:sz="4" w:space="0" w:color="auto"/>
            </w:tcBorders>
            <w:shd w:val="clear" w:color="auto" w:fill="92D050"/>
            <w:noWrap/>
            <w:vAlign w:val="center"/>
          </w:tcPr>
          <w:p w:rsidR="00E41425" w:rsidRPr="00880004" w:rsidRDefault="00E41425" w:rsidP="00814A42">
            <w:pPr>
              <w:keepLines/>
              <w:spacing w:before="40" w:after="40" w:line="200" w:lineRule="atLeast"/>
              <w:jc w:val="center"/>
              <w:rPr>
                <w:rFonts w:eastAsia="Times New Roman"/>
                <w:iCs/>
                <w:szCs w:val="17"/>
              </w:rPr>
            </w:pPr>
            <w:r w:rsidRPr="002F536B">
              <w:rPr>
                <w:rFonts w:asciiTheme="majorHAnsi" w:hAnsiTheme="majorHAnsi"/>
                <w:sz w:val="16"/>
                <w:szCs w:val="16"/>
              </w:rPr>
              <w:t>5</w:t>
            </w:r>
          </w:p>
        </w:tc>
        <w:tc>
          <w:tcPr>
            <w:tcW w:w="465" w:type="pct"/>
            <w:tcBorders>
              <w:bottom w:val="single" w:sz="4" w:space="0" w:color="auto"/>
            </w:tcBorders>
            <w:shd w:val="clear" w:color="auto" w:fill="FFFF00"/>
            <w:noWrap/>
            <w:vAlign w:val="center"/>
          </w:tcPr>
          <w:p w:rsidR="00E41425" w:rsidRPr="00880004" w:rsidRDefault="00E41425" w:rsidP="00814A42">
            <w:pPr>
              <w:keepLines/>
              <w:spacing w:before="40" w:after="40" w:line="200" w:lineRule="atLeast"/>
              <w:jc w:val="center"/>
              <w:rPr>
                <w:rFonts w:eastAsia="Times New Roman"/>
                <w:iCs/>
                <w:szCs w:val="17"/>
              </w:rPr>
            </w:pPr>
            <w:r w:rsidRPr="002F536B">
              <w:rPr>
                <w:rFonts w:asciiTheme="majorHAnsi" w:hAnsiTheme="majorHAnsi"/>
                <w:sz w:val="16"/>
                <w:szCs w:val="16"/>
              </w:rPr>
              <w:t>4</w:t>
            </w:r>
          </w:p>
        </w:tc>
        <w:tc>
          <w:tcPr>
            <w:tcW w:w="455" w:type="pct"/>
            <w:tcBorders>
              <w:bottom w:val="single" w:sz="4" w:space="0" w:color="auto"/>
            </w:tcBorders>
            <w:shd w:val="clear" w:color="auto" w:fill="92D050"/>
            <w:noWrap/>
            <w:vAlign w:val="center"/>
          </w:tcPr>
          <w:p w:rsidR="00E41425" w:rsidRPr="00880004" w:rsidRDefault="00E41425" w:rsidP="00814A42">
            <w:pPr>
              <w:keepLines/>
              <w:spacing w:before="40" w:after="40" w:line="200" w:lineRule="atLeast"/>
              <w:jc w:val="center"/>
              <w:rPr>
                <w:rFonts w:eastAsia="Times New Roman"/>
                <w:iCs/>
                <w:szCs w:val="17"/>
              </w:rPr>
            </w:pPr>
            <w:r w:rsidRPr="002F536B">
              <w:rPr>
                <w:rFonts w:asciiTheme="majorHAnsi" w:hAnsiTheme="majorHAnsi"/>
                <w:sz w:val="16"/>
                <w:szCs w:val="16"/>
              </w:rPr>
              <w:t>5</w:t>
            </w:r>
          </w:p>
        </w:tc>
      </w:tr>
      <w:tr w:rsidR="00F44A10" w:rsidRPr="00C61187" w:rsidTr="00F44A10">
        <w:trPr>
          <w:cnfStyle w:val="000000010000" w:firstRow="0" w:lastRow="0" w:firstColumn="0" w:lastColumn="0" w:oddVBand="0" w:evenVBand="0" w:oddHBand="0" w:evenHBand="1" w:firstRowFirstColumn="0" w:firstRowLastColumn="0" w:lastRowFirstColumn="0" w:lastRowLastColumn="0"/>
          <w:trHeight w:val="236"/>
        </w:trPr>
        <w:tc>
          <w:tcPr>
            <w:tcW w:w="973" w:type="pct"/>
            <w:vMerge w:val="restart"/>
            <w:vAlign w:val="center"/>
          </w:tcPr>
          <w:p w:rsidR="00E41425" w:rsidRPr="00814A42" w:rsidRDefault="00E41425" w:rsidP="00356AA8">
            <w:pPr>
              <w:keepLines/>
              <w:spacing w:before="40" w:after="40" w:line="200" w:lineRule="atLeast"/>
              <w:rPr>
                <w:rFonts w:asciiTheme="minorHAnsi" w:eastAsia="Times New Roman" w:hAnsiTheme="minorHAnsi"/>
                <w:iCs/>
                <w:szCs w:val="17"/>
                <w:lang w:eastAsia="en-US"/>
              </w:rPr>
            </w:pPr>
            <w:r w:rsidRPr="00814A42">
              <w:rPr>
                <w:rFonts w:asciiTheme="minorHAnsi" w:eastAsia="Times New Roman" w:hAnsiTheme="minorHAnsi"/>
                <w:iCs/>
                <w:szCs w:val="17"/>
                <w:lang w:eastAsia="en-US"/>
              </w:rPr>
              <w:t>INJ223 - Basic Education Sector Transformation (BEST) Program</w:t>
            </w:r>
          </w:p>
        </w:tc>
        <w:tc>
          <w:tcPr>
            <w:tcW w:w="753" w:type="pct"/>
            <w:vMerge w:val="restart"/>
            <w:vAlign w:val="center"/>
          </w:tcPr>
          <w:p w:rsidR="00E41425" w:rsidRPr="001B4992" w:rsidRDefault="00E41425" w:rsidP="00814A42">
            <w:pPr>
              <w:keepLines/>
              <w:spacing w:before="40" w:after="40" w:line="200" w:lineRule="atLeast"/>
              <w:jc w:val="center"/>
              <w:rPr>
                <w:rFonts w:asciiTheme="minorHAnsi" w:eastAsia="Times New Roman" w:hAnsiTheme="minorHAnsi"/>
                <w:iCs/>
                <w:szCs w:val="17"/>
                <w:lang w:eastAsia="en-US"/>
              </w:rPr>
            </w:pPr>
            <w:r w:rsidRPr="001B4992">
              <w:rPr>
                <w:rFonts w:asciiTheme="minorHAnsi" w:eastAsia="Times New Roman" w:hAnsiTheme="minorHAnsi"/>
                <w:iCs/>
                <w:szCs w:val="17"/>
                <w:lang w:eastAsia="en-US"/>
              </w:rPr>
              <w:t>$158,716,392</w:t>
            </w:r>
          </w:p>
          <w:p w:rsidR="00E41425" w:rsidRPr="001B4992" w:rsidRDefault="00E41425" w:rsidP="00814A42">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1 Jul 2010 -</w:t>
            </w:r>
            <w:r w:rsidRPr="001B4992">
              <w:rPr>
                <w:rFonts w:asciiTheme="minorHAnsi" w:eastAsia="Times New Roman" w:hAnsiTheme="minorHAnsi"/>
                <w:iCs/>
                <w:szCs w:val="17"/>
                <w:lang w:eastAsia="en-US"/>
              </w:rPr>
              <w:t xml:space="preserve"> 30 Jun 2019</w:t>
            </w:r>
          </w:p>
        </w:tc>
        <w:tc>
          <w:tcPr>
            <w:tcW w:w="407" w:type="pct"/>
            <w:vMerge w:val="restart"/>
            <w:vAlign w:val="center"/>
          </w:tcPr>
          <w:p w:rsidR="00E41425" w:rsidRPr="001B4992" w:rsidRDefault="00E41425" w:rsidP="00814A42">
            <w:pPr>
              <w:keepLines/>
              <w:spacing w:before="40" w:after="40" w:line="200" w:lineRule="atLeast"/>
              <w:jc w:val="center"/>
              <w:rPr>
                <w:rFonts w:asciiTheme="minorHAnsi" w:eastAsia="Times New Roman" w:hAnsiTheme="minorHAnsi"/>
                <w:iCs/>
                <w:szCs w:val="17"/>
                <w:lang w:eastAsia="en-US"/>
              </w:rPr>
            </w:pPr>
            <w:r w:rsidRPr="001B4992">
              <w:rPr>
                <w:rFonts w:asciiTheme="minorHAnsi" w:eastAsia="Times New Roman" w:hAnsiTheme="minorHAnsi"/>
                <w:iCs/>
                <w:szCs w:val="17"/>
                <w:lang w:eastAsia="en-US"/>
              </w:rPr>
              <w:t>2016-17</w:t>
            </w:r>
          </w:p>
          <w:p w:rsidR="00E41425" w:rsidRPr="001B4992" w:rsidRDefault="00E41425" w:rsidP="00814A42">
            <w:pPr>
              <w:keepLines/>
              <w:spacing w:before="40" w:after="40" w:line="200" w:lineRule="atLeast"/>
              <w:jc w:val="center"/>
              <w:rPr>
                <w:rFonts w:asciiTheme="minorHAnsi" w:eastAsia="Times New Roman" w:hAnsiTheme="minorHAnsi"/>
                <w:iCs/>
                <w:szCs w:val="17"/>
                <w:lang w:eastAsia="en-US"/>
              </w:rPr>
            </w:pPr>
            <w:r w:rsidRPr="001B4992">
              <w:rPr>
                <w:rFonts w:asciiTheme="minorHAnsi" w:eastAsia="Times New Roman" w:hAnsiTheme="minorHAnsi"/>
                <w:iCs/>
                <w:szCs w:val="17"/>
                <w:lang w:eastAsia="en-US"/>
              </w:rPr>
              <w:t>2017-18</w:t>
            </w:r>
          </w:p>
        </w:tc>
        <w:tc>
          <w:tcPr>
            <w:tcW w:w="467" w:type="pct"/>
            <w:tcBorders>
              <w:bottom w:val="single" w:sz="4" w:space="0" w:color="auto"/>
            </w:tcBorders>
            <w:shd w:val="clear" w:color="auto" w:fill="FFFF00"/>
            <w:noWrap/>
            <w:vAlign w:val="center"/>
          </w:tcPr>
          <w:p w:rsidR="00E41425" w:rsidRPr="00880004" w:rsidRDefault="00E41425" w:rsidP="00814A42">
            <w:pPr>
              <w:keepLines/>
              <w:spacing w:before="40" w:after="40" w:line="200" w:lineRule="atLeast"/>
              <w:jc w:val="center"/>
              <w:rPr>
                <w:rFonts w:eastAsia="Times New Roman"/>
                <w:iCs/>
                <w:szCs w:val="17"/>
              </w:rPr>
            </w:pPr>
            <w:r w:rsidRPr="002F536B">
              <w:rPr>
                <w:rFonts w:asciiTheme="majorHAnsi" w:hAnsiTheme="majorHAnsi"/>
                <w:sz w:val="16"/>
                <w:szCs w:val="16"/>
              </w:rPr>
              <w:t>4</w:t>
            </w:r>
          </w:p>
        </w:tc>
        <w:tc>
          <w:tcPr>
            <w:tcW w:w="460" w:type="pct"/>
            <w:tcBorders>
              <w:bottom w:val="single" w:sz="4" w:space="0" w:color="auto"/>
            </w:tcBorders>
            <w:shd w:val="clear" w:color="auto" w:fill="FFFF00"/>
            <w:noWrap/>
            <w:vAlign w:val="center"/>
          </w:tcPr>
          <w:p w:rsidR="00E41425" w:rsidRPr="00880004" w:rsidRDefault="00E41425" w:rsidP="00814A42">
            <w:pPr>
              <w:keepLines/>
              <w:spacing w:before="40" w:after="40" w:line="200" w:lineRule="atLeast"/>
              <w:jc w:val="center"/>
              <w:rPr>
                <w:rFonts w:eastAsia="Times New Roman"/>
                <w:iCs/>
                <w:szCs w:val="17"/>
              </w:rPr>
            </w:pPr>
            <w:r w:rsidRPr="002F536B">
              <w:rPr>
                <w:rFonts w:asciiTheme="majorHAnsi" w:hAnsiTheme="majorHAnsi"/>
                <w:sz w:val="16"/>
                <w:szCs w:val="16"/>
              </w:rPr>
              <w:t>4</w:t>
            </w:r>
          </w:p>
        </w:tc>
        <w:tc>
          <w:tcPr>
            <w:tcW w:w="465" w:type="pct"/>
            <w:tcBorders>
              <w:bottom w:val="single" w:sz="4" w:space="0" w:color="auto"/>
            </w:tcBorders>
            <w:shd w:val="clear" w:color="auto" w:fill="92D050"/>
            <w:noWrap/>
            <w:vAlign w:val="center"/>
          </w:tcPr>
          <w:p w:rsidR="00E41425" w:rsidRPr="00880004" w:rsidRDefault="00E41425" w:rsidP="00814A42">
            <w:pPr>
              <w:keepLines/>
              <w:spacing w:before="40" w:after="40" w:line="200" w:lineRule="atLeast"/>
              <w:jc w:val="center"/>
              <w:rPr>
                <w:rFonts w:eastAsia="Times New Roman"/>
                <w:iCs/>
                <w:szCs w:val="17"/>
              </w:rPr>
            </w:pPr>
            <w:r w:rsidRPr="002F536B">
              <w:rPr>
                <w:rFonts w:asciiTheme="majorHAnsi" w:hAnsiTheme="majorHAnsi"/>
                <w:sz w:val="16"/>
                <w:szCs w:val="16"/>
              </w:rPr>
              <w:t>5</w:t>
            </w:r>
          </w:p>
        </w:tc>
        <w:tc>
          <w:tcPr>
            <w:tcW w:w="460" w:type="pct"/>
            <w:tcBorders>
              <w:bottom w:val="single" w:sz="4" w:space="0" w:color="auto"/>
            </w:tcBorders>
            <w:shd w:val="clear" w:color="auto" w:fill="FFFF00"/>
            <w:noWrap/>
            <w:vAlign w:val="center"/>
          </w:tcPr>
          <w:p w:rsidR="00E41425" w:rsidRPr="00880004" w:rsidRDefault="00E41425" w:rsidP="00814A42">
            <w:pPr>
              <w:keepLines/>
              <w:spacing w:before="40" w:after="40" w:line="200" w:lineRule="atLeast"/>
              <w:jc w:val="center"/>
              <w:rPr>
                <w:rFonts w:eastAsia="Times New Roman"/>
                <w:iCs/>
                <w:szCs w:val="17"/>
              </w:rPr>
            </w:pPr>
            <w:r w:rsidRPr="002F536B">
              <w:rPr>
                <w:rFonts w:asciiTheme="majorHAnsi" w:hAnsiTheme="majorHAnsi"/>
                <w:sz w:val="16"/>
                <w:szCs w:val="16"/>
              </w:rPr>
              <w:t>4</w:t>
            </w:r>
          </w:p>
        </w:tc>
        <w:tc>
          <w:tcPr>
            <w:tcW w:w="465" w:type="pct"/>
            <w:tcBorders>
              <w:bottom w:val="single" w:sz="4" w:space="0" w:color="auto"/>
            </w:tcBorders>
            <w:shd w:val="clear" w:color="auto" w:fill="FFFF00"/>
            <w:noWrap/>
            <w:vAlign w:val="center"/>
          </w:tcPr>
          <w:p w:rsidR="00E41425" w:rsidRPr="00880004" w:rsidRDefault="00E41425" w:rsidP="00814A42">
            <w:pPr>
              <w:keepLines/>
              <w:spacing w:before="40" w:after="40" w:line="200" w:lineRule="atLeast"/>
              <w:jc w:val="center"/>
              <w:rPr>
                <w:rFonts w:eastAsia="Times New Roman"/>
                <w:iCs/>
                <w:szCs w:val="17"/>
              </w:rPr>
            </w:pPr>
            <w:r w:rsidRPr="002F536B">
              <w:rPr>
                <w:rFonts w:asciiTheme="majorHAnsi" w:hAnsiTheme="majorHAnsi"/>
                <w:sz w:val="16"/>
                <w:szCs w:val="16"/>
              </w:rPr>
              <w:t>4</w:t>
            </w:r>
          </w:p>
        </w:tc>
        <w:tc>
          <w:tcPr>
            <w:tcW w:w="455" w:type="pct"/>
            <w:tcBorders>
              <w:bottom w:val="single" w:sz="4" w:space="0" w:color="auto"/>
            </w:tcBorders>
            <w:shd w:val="clear" w:color="auto" w:fill="92D050"/>
            <w:noWrap/>
            <w:vAlign w:val="center"/>
          </w:tcPr>
          <w:p w:rsidR="00E41425" w:rsidRPr="00880004" w:rsidRDefault="00E41425" w:rsidP="00814A42">
            <w:pPr>
              <w:keepLines/>
              <w:spacing w:before="40" w:after="40" w:line="200" w:lineRule="atLeast"/>
              <w:jc w:val="center"/>
              <w:rPr>
                <w:rFonts w:eastAsia="Times New Roman"/>
                <w:iCs/>
                <w:szCs w:val="17"/>
              </w:rPr>
            </w:pPr>
            <w:r w:rsidRPr="002F536B">
              <w:rPr>
                <w:rFonts w:asciiTheme="majorHAnsi" w:hAnsiTheme="majorHAnsi"/>
                <w:sz w:val="16"/>
                <w:szCs w:val="16"/>
              </w:rPr>
              <w:t>5</w:t>
            </w:r>
          </w:p>
        </w:tc>
      </w:tr>
      <w:tr w:rsidR="00F44A10" w:rsidRPr="00C61187" w:rsidTr="00F44A10">
        <w:trPr>
          <w:cnfStyle w:val="000000010000" w:firstRow="0" w:lastRow="0" w:firstColumn="0" w:lastColumn="0" w:oddVBand="0" w:evenVBand="0" w:oddHBand="0" w:evenHBand="1" w:firstRowFirstColumn="0" w:firstRowLastColumn="0" w:lastRowFirstColumn="0" w:lastRowLastColumn="0"/>
          <w:trHeight w:val="236"/>
        </w:trPr>
        <w:tc>
          <w:tcPr>
            <w:tcW w:w="973" w:type="pct"/>
            <w:vMerge/>
            <w:tcBorders>
              <w:bottom w:val="single" w:sz="4" w:space="0" w:color="auto"/>
            </w:tcBorders>
            <w:vAlign w:val="center"/>
          </w:tcPr>
          <w:p w:rsidR="00E41425" w:rsidRPr="00814A42" w:rsidRDefault="00E41425" w:rsidP="00356AA8">
            <w:pPr>
              <w:keepLines/>
              <w:spacing w:before="40" w:after="40" w:line="200" w:lineRule="atLeast"/>
              <w:rPr>
                <w:rFonts w:asciiTheme="minorHAnsi" w:eastAsia="Times New Roman" w:hAnsiTheme="minorHAnsi"/>
                <w:iCs/>
                <w:szCs w:val="17"/>
                <w:lang w:eastAsia="en-US"/>
              </w:rPr>
            </w:pPr>
          </w:p>
        </w:tc>
        <w:tc>
          <w:tcPr>
            <w:tcW w:w="753" w:type="pct"/>
            <w:vMerge/>
            <w:tcBorders>
              <w:bottom w:val="single" w:sz="4" w:space="0" w:color="auto"/>
            </w:tcBorders>
            <w:vAlign w:val="center"/>
          </w:tcPr>
          <w:p w:rsidR="00E41425" w:rsidRPr="001B4992" w:rsidRDefault="00E41425" w:rsidP="00814A42">
            <w:pPr>
              <w:keepLines/>
              <w:spacing w:before="40" w:after="40" w:line="200" w:lineRule="atLeast"/>
              <w:jc w:val="center"/>
              <w:rPr>
                <w:rFonts w:asciiTheme="minorHAnsi" w:eastAsia="Times New Roman" w:hAnsiTheme="minorHAnsi"/>
                <w:iCs/>
                <w:szCs w:val="17"/>
                <w:lang w:eastAsia="en-US"/>
              </w:rPr>
            </w:pPr>
          </w:p>
        </w:tc>
        <w:tc>
          <w:tcPr>
            <w:tcW w:w="407" w:type="pct"/>
            <w:vMerge/>
            <w:tcBorders>
              <w:bottom w:val="single" w:sz="4" w:space="0" w:color="auto"/>
            </w:tcBorders>
            <w:vAlign w:val="center"/>
          </w:tcPr>
          <w:p w:rsidR="00E41425" w:rsidRPr="001B4992" w:rsidRDefault="00E41425" w:rsidP="00814A42">
            <w:pPr>
              <w:keepLines/>
              <w:spacing w:before="40" w:after="40" w:line="200" w:lineRule="atLeast"/>
              <w:jc w:val="center"/>
              <w:rPr>
                <w:rFonts w:asciiTheme="minorHAnsi" w:eastAsia="Times New Roman" w:hAnsiTheme="minorHAnsi"/>
                <w:iCs/>
                <w:szCs w:val="17"/>
                <w:lang w:eastAsia="en-US"/>
              </w:rPr>
            </w:pPr>
          </w:p>
        </w:tc>
        <w:tc>
          <w:tcPr>
            <w:tcW w:w="467" w:type="pct"/>
            <w:tcBorders>
              <w:bottom w:val="single" w:sz="4" w:space="0" w:color="auto"/>
            </w:tcBorders>
            <w:shd w:val="clear" w:color="auto" w:fill="FFC000"/>
            <w:noWrap/>
            <w:vAlign w:val="center"/>
          </w:tcPr>
          <w:p w:rsidR="00E41425" w:rsidRPr="00880004" w:rsidRDefault="00E41425" w:rsidP="00814A42">
            <w:pPr>
              <w:keepLines/>
              <w:spacing w:before="40" w:after="40" w:line="200" w:lineRule="atLeast"/>
              <w:jc w:val="center"/>
              <w:rPr>
                <w:rFonts w:eastAsia="Times New Roman"/>
                <w:iCs/>
                <w:szCs w:val="17"/>
              </w:rPr>
            </w:pPr>
            <w:r w:rsidRPr="002F536B">
              <w:rPr>
                <w:rFonts w:asciiTheme="majorHAnsi" w:hAnsiTheme="majorHAnsi"/>
                <w:sz w:val="16"/>
                <w:szCs w:val="16"/>
              </w:rPr>
              <w:t>3</w:t>
            </w:r>
          </w:p>
        </w:tc>
        <w:tc>
          <w:tcPr>
            <w:tcW w:w="460" w:type="pct"/>
            <w:tcBorders>
              <w:bottom w:val="single" w:sz="4" w:space="0" w:color="auto"/>
            </w:tcBorders>
            <w:shd w:val="clear" w:color="auto" w:fill="FFC000"/>
            <w:noWrap/>
            <w:vAlign w:val="center"/>
          </w:tcPr>
          <w:p w:rsidR="00E41425" w:rsidRPr="00880004" w:rsidRDefault="00E41425" w:rsidP="00814A42">
            <w:pPr>
              <w:keepLines/>
              <w:spacing w:before="40" w:after="40" w:line="200" w:lineRule="atLeast"/>
              <w:jc w:val="center"/>
              <w:rPr>
                <w:rFonts w:eastAsia="Times New Roman"/>
                <w:iCs/>
                <w:szCs w:val="17"/>
              </w:rPr>
            </w:pPr>
            <w:r w:rsidRPr="002F536B">
              <w:rPr>
                <w:rFonts w:asciiTheme="majorHAnsi" w:hAnsiTheme="majorHAnsi"/>
                <w:sz w:val="16"/>
                <w:szCs w:val="16"/>
              </w:rPr>
              <w:t>3</w:t>
            </w:r>
          </w:p>
        </w:tc>
        <w:tc>
          <w:tcPr>
            <w:tcW w:w="465" w:type="pct"/>
            <w:tcBorders>
              <w:bottom w:val="single" w:sz="4" w:space="0" w:color="auto"/>
            </w:tcBorders>
            <w:shd w:val="clear" w:color="auto" w:fill="92D050"/>
            <w:noWrap/>
            <w:vAlign w:val="center"/>
          </w:tcPr>
          <w:p w:rsidR="00E41425" w:rsidRPr="00880004" w:rsidRDefault="00E41425" w:rsidP="00814A42">
            <w:pPr>
              <w:keepLines/>
              <w:spacing w:before="40" w:after="40" w:line="200" w:lineRule="atLeast"/>
              <w:jc w:val="center"/>
              <w:rPr>
                <w:rFonts w:eastAsia="Times New Roman"/>
                <w:iCs/>
                <w:szCs w:val="17"/>
              </w:rPr>
            </w:pPr>
            <w:r w:rsidRPr="002F536B">
              <w:rPr>
                <w:rFonts w:asciiTheme="majorHAnsi" w:hAnsiTheme="majorHAnsi"/>
                <w:sz w:val="16"/>
                <w:szCs w:val="16"/>
              </w:rPr>
              <w:t>5</w:t>
            </w:r>
          </w:p>
        </w:tc>
        <w:tc>
          <w:tcPr>
            <w:tcW w:w="460" w:type="pct"/>
            <w:tcBorders>
              <w:bottom w:val="single" w:sz="4" w:space="0" w:color="auto"/>
            </w:tcBorders>
            <w:shd w:val="clear" w:color="auto" w:fill="FFFF00"/>
            <w:noWrap/>
            <w:vAlign w:val="center"/>
          </w:tcPr>
          <w:p w:rsidR="00E41425" w:rsidRPr="00880004" w:rsidRDefault="00E41425" w:rsidP="00814A42">
            <w:pPr>
              <w:keepLines/>
              <w:spacing w:before="40" w:after="40" w:line="200" w:lineRule="atLeast"/>
              <w:jc w:val="center"/>
              <w:rPr>
                <w:rFonts w:eastAsia="Times New Roman"/>
                <w:iCs/>
                <w:szCs w:val="17"/>
              </w:rPr>
            </w:pPr>
            <w:r w:rsidRPr="002F536B">
              <w:rPr>
                <w:rFonts w:asciiTheme="majorHAnsi" w:hAnsiTheme="majorHAnsi"/>
                <w:sz w:val="16"/>
                <w:szCs w:val="16"/>
              </w:rPr>
              <w:t>4</w:t>
            </w:r>
          </w:p>
        </w:tc>
        <w:tc>
          <w:tcPr>
            <w:tcW w:w="465" w:type="pct"/>
            <w:tcBorders>
              <w:bottom w:val="single" w:sz="4" w:space="0" w:color="auto"/>
            </w:tcBorders>
            <w:shd w:val="clear" w:color="auto" w:fill="FFC000"/>
            <w:noWrap/>
            <w:vAlign w:val="center"/>
          </w:tcPr>
          <w:p w:rsidR="00E41425" w:rsidRPr="00880004" w:rsidRDefault="00E41425" w:rsidP="00814A42">
            <w:pPr>
              <w:keepLines/>
              <w:spacing w:before="40" w:after="40" w:line="200" w:lineRule="atLeast"/>
              <w:jc w:val="center"/>
              <w:rPr>
                <w:rFonts w:eastAsia="Times New Roman"/>
                <w:iCs/>
                <w:szCs w:val="17"/>
              </w:rPr>
            </w:pPr>
            <w:r w:rsidRPr="002F536B">
              <w:rPr>
                <w:rFonts w:asciiTheme="majorHAnsi" w:hAnsiTheme="majorHAnsi"/>
                <w:sz w:val="16"/>
                <w:szCs w:val="16"/>
              </w:rPr>
              <w:t>3</w:t>
            </w:r>
          </w:p>
        </w:tc>
        <w:tc>
          <w:tcPr>
            <w:tcW w:w="455" w:type="pct"/>
            <w:tcBorders>
              <w:bottom w:val="single" w:sz="4" w:space="0" w:color="auto"/>
            </w:tcBorders>
            <w:shd w:val="clear" w:color="auto" w:fill="FFFF00"/>
            <w:noWrap/>
            <w:vAlign w:val="center"/>
          </w:tcPr>
          <w:p w:rsidR="00E41425" w:rsidRPr="00880004" w:rsidRDefault="00E41425" w:rsidP="00814A42">
            <w:pPr>
              <w:keepLines/>
              <w:spacing w:before="40" w:after="40" w:line="200" w:lineRule="atLeast"/>
              <w:jc w:val="center"/>
              <w:rPr>
                <w:rFonts w:eastAsia="Times New Roman"/>
                <w:iCs/>
                <w:szCs w:val="17"/>
              </w:rPr>
            </w:pPr>
            <w:r w:rsidRPr="002F536B">
              <w:rPr>
                <w:rFonts w:asciiTheme="majorHAnsi" w:hAnsiTheme="majorHAnsi"/>
                <w:sz w:val="16"/>
                <w:szCs w:val="16"/>
              </w:rPr>
              <w:t>4</w:t>
            </w:r>
          </w:p>
        </w:tc>
      </w:tr>
      <w:tr w:rsidR="00F44A10" w:rsidRPr="00C61187" w:rsidTr="00F44A10">
        <w:trPr>
          <w:cnfStyle w:val="000000010000" w:firstRow="0" w:lastRow="0" w:firstColumn="0" w:lastColumn="0" w:oddVBand="0" w:evenVBand="0" w:oddHBand="0" w:evenHBand="1" w:firstRowFirstColumn="0" w:firstRowLastColumn="0" w:lastRowFirstColumn="0" w:lastRowLastColumn="0"/>
          <w:trHeight w:val="236"/>
        </w:trPr>
        <w:tc>
          <w:tcPr>
            <w:tcW w:w="973" w:type="pct"/>
            <w:vMerge w:val="restart"/>
            <w:vAlign w:val="center"/>
          </w:tcPr>
          <w:p w:rsidR="00E41425" w:rsidRPr="00814A42" w:rsidRDefault="00E41425" w:rsidP="00356AA8">
            <w:pPr>
              <w:keepLines/>
              <w:spacing w:before="40" w:after="40" w:line="200" w:lineRule="atLeast"/>
              <w:rPr>
                <w:rFonts w:asciiTheme="minorHAnsi" w:eastAsia="Times New Roman" w:hAnsiTheme="minorHAnsi"/>
                <w:iCs/>
                <w:szCs w:val="17"/>
                <w:lang w:eastAsia="en-US"/>
              </w:rPr>
            </w:pPr>
            <w:r w:rsidRPr="00814A42">
              <w:rPr>
                <w:rFonts w:asciiTheme="minorHAnsi" w:eastAsia="Times New Roman" w:hAnsiTheme="minorHAnsi"/>
                <w:iCs/>
                <w:szCs w:val="17"/>
                <w:lang w:eastAsia="en-US"/>
              </w:rPr>
              <w:t>INL343 - Peacebuilding in Conflict-Affected Mindanao</w:t>
            </w:r>
          </w:p>
        </w:tc>
        <w:tc>
          <w:tcPr>
            <w:tcW w:w="753" w:type="pct"/>
            <w:vMerge w:val="restart"/>
            <w:vAlign w:val="center"/>
          </w:tcPr>
          <w:p w:rsidR="00E41425" w:rsidRPr="001B4992" w:rsidRDefault="00E41425" w:rsidP="00814A42">
            <w:pPr>
              <w:keepLines/>
              <w:spacing w:before="40" w:after="40" w:line="200" w:lineRule="atLeast"/>
              <w:jc w:val="center"/>
              <w:rPr>
                <w:rFonts w:asciiTheme="minorHAnsi" w:eastAsia="Times New Roman" w:hAnsiTheme="minorHAnsi"/>
                <w:iCs/>
                <w:szCs w:val="17"/>
                <w:lang w:eastAsia="en-US"/>
              </w:rPr>
            </w:pPr>
            <w:r w:rsidRPr="001B4992">
              <w:rPr>
                <w:rFonts w:asciiTheme="minorHAnsi" w:eastAsia="Times New Roman" w:hAnsiTheme="minorHAnsi"/>
                <w:iCs/>
                <w:szCs w:val="17"/>
                <w:lang w:eastAsia="en-US"/>
              </w:rPr>
              <w:t>$16,925,084</w:t>
            </w:r>
          </w:p>
          <w:p w:rsidR="00E41425" w:rsidRPr="001B4992" w:rsidRDefault="00E41425" w:rsidP="00814A42">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1 Apr 2014 -</w:t>
            </w:r>
            <w:r w:rsidRPr="001B4992">
              <w:rPr>
                <w:rFonts w:asciiTheme="minorHAnsi" w:eastAsia="Times New Roman" w:hAnsiTheme="minorHAnsi"/>
                <w:iCs/>
                <w:szCs w:val="17"/>
                <w:lang w:eastAsia="en-US"/>
              </w:rPr>
              <w:t xml:space="preserve"> 30 Jun 2022</w:t>
            </w:r>
          </w:p>
        </w:tc>
        <w:tc>
          <w:tcPr>
            <w:tcW w:w="407" w:type="pct"/>
            <w:vMerge w:val="restart"/>
            <w:vAlign w:val="center"/>
          </w:tcPr>
          <w:p w:rsidR="00E41425" w:rsidRPr="001B4992" w:rsidRDefault="00E41425" w:rsidP="00814A42">
            <w:pPr>
              <w:keepLines/>
              <w:spacing w:before="40" w:after="40" w:line="200" w:lineRule="atLeast"/>
              <w:jc w:val="center"/>
              <w:rPr>
                <w:rFonts w:asciiTheme="minorHAnsi" w:eastAsia="Times New Roman" w:hAnsiTheme="minorHAnsi"/>
                <w:iCs/>
                <w:szCs w:val="17"/>
                <w:lang w:eastAsia="en-US"/>
              </w:rPr>
            </w:pPr>
            <w:r w:rsidRPr="001B4992">
              <w:rPr>
                <w:rFonts w:asciiTheme="minorHAnsi" w:eastAsia="Times New Roman" w:hAnsiTheme="minorHAnsi"/>
                <w:iCs/>
                <w:szCs w:val="17"/>
                <w:lang w:eastAsia="en-US"/>
              </w:rPr>
              <w:t>2016-17</w:t>
            </w:r>
          </w:p>
          <w:p w:rsidR="00E41425" w:rsidRPr="001B4992" w:rsidRDefault="00E41425" w:rsidP="00814A42">
            <w:pPr>
              <w:keepLines/>
              <w:spacing w:before="40" w:after="40" w:line="200" w:lineRule="atLeast"/>
              <w:jc w:val="center"/>
              <w:rPr>
                <w:rFonts w:asciiTheme="minorHAnsi" w:eastAsia="Times New Roman" w:hAnsiTheme="minorHAnsi"/>
                <w:iCs/>
                <w:szCs w:val="17"/>
                <w:lang w:eastAsia="en-US"/>
              </w:rPr>
            </w:pPr>
            <w:r w:rsidRPr="001B4992">
              <w:rPr>
                <w:rFonts w:asciiTheme="minorHAnsi" w:eastAsia="Times New Roman" w:hAnsiTheme="minorHAnsi"/>
                <w:iCs/>
                <w:szCs w:val="17"/>
                <w:lang w:eastAsia="en-US"/>
              </w:rPr>
              <w:t>2017-18</w:t>
            </w:r>
          </w:p>
        </w:tc>
        <w:tc>
          <w:tcPr>
            <w:tcW w:w="467" w:type="pct"/>
            <w:tcBorders>
              <w:bottom w:val="single" w:sz="4" w:space="0" w:color="auto"/>
            </w:tcBorders>
            <w:shd w:val="clear" w:color="auto" w:fill="92D050"/>
            <w:noWrap/>
            <w:vAlign w:val="center"/>
          </w:tcPr>
          <w:p w:rsidR="00E41425" w:rsidRPr="00880004" w:rsidRDefault="00E41425" w:rsidP="00814A42">
            <w:pPr>
              <w:keepLines/>
              <w:spacing w:before="40" w:after="40" w:line="200" w:lineRule="atLeast"/>
              <w:jc w:val="center"/>
              <w:rPr>
                <w:rFonts w:eastAsia="Times New Roman"/>
                <w:iCs/>
                <w:szCs w:val="17"/>
              </w:rPr>
            </w:pPr>
            <w:r w:rsidRPr="002F536B">
              <w:rPr>
                <w:rFonts w:asciiTheme="majorHAnsi" w:hAnsiTheme="majorHAnsi"/>
                <w:sz w:val="16"/>
                <w:szCs w:val="16"/>
              </w:rPr>
              <w:t>5</w:t>
            </w:r>
          </w:p>
        </w:tc>
        <w:tc>
          <w:tcPr>
            <w:tcW w:w="460" w:type="pct"/>
            <w:tcBorders>
              <w:bottom w:val="single" w:sz="4" w:space="0" w:color="auto"/>
            </w:tcBorders>
            <w:shd w:val="clear" w:color="auto" w:fill="FFFF00"/>
            <w:noWrap/>
            <w:vAlign w:val="center"/>
          </w:tcPr>
          <w:p w:rsidR="00E41425" w:rsidRPr="00880004" w:rsidRDefault="00E41425" w:rsidP="00814A42">
            <w:pPr>
              <w:keepLines/>
              <w:spacing w:before="40" w:after="40" w:line="200" w:lineRule="atLeast"/>
              <w:jc w:val="center"/>
              <w:rPr>
                <w:rFonts w:eastAsia="Times New Roman"/>
                <w:iCs/>
                <w:szCs w:val="17"/>
              </w:rPr>
            </w:pPr>
            <w:r w:rsidRPr="002F536B">
              <w:rPr>
                <w:rFonts w:asciiTheme="majorHAnsi" w:hAnsiTheme="majorHAnsi"/>
                <w:sz w:val="16"/>
                <w:szCs w:val="16"/>
              </w:rPr>
              <w:t>4</w:t>
            </w:r>
          </w:p>
        </w:tc>
        <w:tc>
          <w:tcPr>
            <w:tcW w:w="465" w:type="pct"/>
            <w:tcBorders>
              <w:bottom w:val="single" w:sz="4" w:space="0" w:color="auto"/>
            </w:tcBorders>
            <w:shd w:val="clear" w:color="auto" w:fill="92D050"/>
            <w:noWrap/>
            <w:vAlign w:val="center"/>
          </w:tcPr>
          <w:p w:rsidR="00E41425" w:rsidRPr="00880004" w:rsidRDefault="00E41425" w:rsidP="00814A42">
            <w:pPr>
              <w:keepLines/>
              <w:spacing w:before="40" w:after="40" w:line="200" w:lineRule="atLeast"/>
              <w:jc w:val="center"/>
              <w:rPr>
                <w:rFonts w:eastAsia="Times New Roman"/>
                <w:iCs/>
                <w:szCs w:val="17"/>
              </w:rPr>
            </w:pPr>
            <w:r w:rsidRPr="002F536B">
              <w:rPr>
                <w:rFonts w:asciiTheme="majorHAnsi" w:hAnsiTheme="majorHAnsi"/>
                <w:sz w:val="16"/>
                <w:szCs w:val="16"/>
              </w:rPr>
              <w:t>6</w:t>
            </w:r>
          </w:p>
        </w:tc>
        <w:tc>
          <w:tcPr>
            <w:tcW w:w="460" w:type="pct"/>
            <w:tcBorders>
              <w:bottom w:val="single" w:sz="4" w:space="0" w:color="auto"/>
            </w:tcBorders>
            <w:shd w:val="clear" w:color="auto" w:fill="92D050"/>
            <w:noWrap/>
            <w:vAlign w:val="center"/>
          </w:tcPr>
          <w:p w:rsidR="00E41425" w:rsidRPr="00880004" w:rsidRDefault="00E41425" w:rsidP="00814A42">
            <w:pPr>
              <w:keepLines/>
              <w:spacing w:before="40" w:after="40" w:line="200" w:lineRule="atLeast"/>
              <w:jc w:val="center"/>
              <w:rPr>
                <w:rFonts w:eastAsia="Times New Roman"/>
                <w:iCs/>
                <w:szCs w:val="17"/>
              </w:rPr>
            </w:pPr>
            <w:r w:rsidRPr="002F536B">
              <w:rPr>
                <w:rFonts w:asciiTheme="majorHAnsi" w:hAnsiTheme="majorHAnsi"/>
                <w:sz w:val="16"/>
                <w:szCs w:val="16"/>
              </w:rPr>
              <w:t>5</w:t>
            </w:r>
          </w:p>
        </w:tc>
        <w:tc>
          <w:tcPr>
            <w:tcW w:w="465" w:type="pct"/>
            <w:tcBorders>
              <w:bottom w:val="single" w:sz="4" w:space="0" w:color="auto"/>
            </w:tcBorders>
            <w:shd w:val="clear" w:color="auto" w:fill="FFFF00"/>
            <w:noWrap/>
            <w:vAlign w:val="center"/>
          </w:tcPr>
          <w:p w:rsidR="00E41425" w:rsidRPr="00880004" w:rsidRDefault="00E41425" w:rsidP="00814A42">
            <w:pPr>
              <w:keepLines/>
              <w:spacing w:before="40" w:after="40" w:line="200" w:lineRule="atLeast"/>
              <w:jc w:val="center"/>
              <w:rPr>
                <w:rFonts w:eastAsia="Times New Roman"/>
                <w:iCs/>
                <w:szCs w:val="17"/>
              </w:rPr>
            </w:pPr>
            <w:r w:rsidRPr="002F536B">
              <w:rPr>
                <w:rFonts w:asciiTheme="majorHAnsi" w:hAnsiTheme="majorHAnsi"/>
                <w:sz w:val="16"/>
                <w:szCs w:val="16"/>
              </w:rPr>
              <w:t>4</w:t>
            </w:r>
          </w:p>
        </w:tc>
        <w:tc>
          <w:tcPr>
            <w:tcW w:w="455" w:type="pct"/>
            <w:tcBorders>
              <w:bottom w:val="single" w:sz="4" w:space="0" w:color="auto"/>
            </w:tcBorders>
            <w:shd w:val="clear" w:color="auto" w:fill="92D050"/>
            <w:noWrap/>
            <w:vAlign w:val="center"/>
          </w:tcPr>
          <w:p w:rsidR="00E41425" w:rsidRPr="00880004" w:rsidRDefault="00E41425" w:rsidP="00814A42">
            <w:pPr>
              <w:keepLines/>
              <w:spacing w:before="40" w:after="40" w:line="200" w:lineRule="atLeast"/>
              <w:jc w:val="center"/>
              <w:rPr>
                <w:rFonts w:eastAsia="Times New Roman"/>
                <w:iCs/>
                <w:szCs w:val="17"/>
              </w:rPr>
            </w:pPr>
            <w:r w:rsidRPr="002F536B">
              <w:rPr>
                <w:rFonts w:asciiTheme="majorHAnsi" w:hAnsiTheme="majorHAnsi"/>
                <w:sz w:val="16"/>
                <w:szCs w:val="16"/>
              </w:rPr>
              <w:t>5</w:t>
            </w:r>
          </w:p>
        </w:tc>
      </w:tr>
      <w:tr w:rsidR="009635B1" w:rsidRPr="00C61187" w:rsidTr="00EC30DD">
        <w:trPr>
          <w:cnfStyle w:val="000000010000" w:firstRow="0" w:lastRow="0" w:firstColumn="0" w:lastColumn="0" w:oddVBand="0" w:evenVBand="0" w:oddHBand="0" w:evenHBand="1" w:firstRowFirstColumn="0" w:firstRowLastColumn="0" w:lastRowFirstColumn="0" w:lastRowLastColumn="0"/>
          <w:trHeight w:val="236"/>
        </w:trPr>
        <w:tc>
          <w:tcPr>
            <w:tcW w:w="973" w:type="pct"/>
            <w:vMerge/>
            <w:tcBorders>
              <w:bottom w:val="single" w:sz="4" w:space="0" w:color="auto"/>
            </w:tcBorders>
            <w:vAlign w:val="center"/>
          </w:tcPr>
          <w:p w:rsidR="00E41425" w:rsidRPr="00814A42" w:rsidRDefault="00E41425" w:rsidP="00356AA8">
            <w:pPr>
              <w:keepLines/>
              <w:spacing w:before="40" w:after="40" w:line="200" w:lineRule="atLeast"/>
              <w:rPr>
                <w:rFonts w:asciiTheme="minorHAnsi" w:eastAsia="Times New Roman" w:hAnsiTheme="minorHAnsi"/>
                <w:iCs/>
                <w:szCs w:val="17"/>
                <w:lang w:eastAsia="en-US"/>
              </w:rPr>
            </w:pPr>
          </w:p>
        </w:tc>
        <w:tc>
          <w:tcPr>
            <w:tcW w:w="753" w:type="pct"/>
            <w:vMerge/>
            <w:tcBorders>
              <w:bottom w:val="single" w:sz="4" w:space="0" w:color="auto"/>
            </w:tcBorders>
            <w:vAlign w:val="center"/>
          </w:tcPr>
          <w:p w:rsidR="00E41425" w:rsidRPr="001B4992" w:rsidRDefault="00E41425" w:rsidP="00814A42">
            <w:pPr>
              <w:keepLines/>
              <w:spacing w:before="40" w:after="40" w:line="200" w:lineRule="atLeast"/>
              <w:jc w:val="center"/>
              <w:rPr>
                <w:rFonts w:asciiTheme="minorHAnsi" w:eastAsia="Times New Roman" w:hAnsiTheme="minorHAnsi"/>
                <w:iCs/>
                <w:szCs w:val="17"/>
                <w:lang w:eastAsia="en-US"/>
              </w:rPr>
            </w:pPr>
          </w:p>
        </w:tc>
        <w:tc>
          <w:tcPr>
            <w:tcW w:w="407" w:type="pct"/>
            <w:vMerge/>
            <w:tcBorders>
              <w:bottom w:val="single" w:sz="4" w:space="0" w:color="auto"/>
            </w:tcBorders>
            <w:vAlign w:val="center"/>
          </w:tcPr>
          <w:p w:rsidR="00E41425" w:rsidRPr="001B4992" w:rsidRDefault="00E41425" w:rsidP="00814A42">
            <w:pPr>
              <w:keepLines/>
              <w:spacing w:before="40" w:after="40" w:line="200" w:lineRule="atLeast"/>
              <w:jc w:val="center"/>
              <w:rPr>
                <w:rFonts w:asciiTheme="minorHAnsi" w:eastAsia="Times New Roman" w:hAnsiTheme="minorHAnsi"/>
                <w:iCs/>
                <w:szCs w:val="17"/>
                <w:lang w:eastAsia="en-US"/>
              </w:rPr>
            </w:pPr>
          </w:p>
        </w:tc>
        <w:tc>
          <w:tcPr>
            <w:tcW w:w="467" w:type="pct"/>
            <w:tcBorders>
              <w:bottom w:val="single" w:sz="4" w:space="0" w:color="auto"/>
            </w:tcBorders>
            <w:shd w:val="clear" w:color="auto" w:fill="FFFF00"/>
            <w:noWrap/>
            <w:vAlign w:val="center"/>
          </w:tcPr>
          <w:p w:rsidR="00E41425" w:rsidRPr="00880004" w:rsidRDefault="00E41425" w:rsidP="00814A42">
            <w:pPr>
              <w:keepLines/>
              <w:spacing w:before="40" w:after="40" w:line="200" w:lineRule="atLeast"/>
              <w:jc w:val="center"/>
              <w:rPr>
                <w:rFonts w:eastAsia="Times New Roman"/>
                <w:iCs/>
                <w:szCs w:val="17"/>
              </w:rPr>
            </w:pPr>
            <w:r w:rsidRPr="002F536B">
              <w:rPr>
                <w:rFonts w:asciiTheme="majorHAnsi" w:hAnsiTheme="majorHAnsi"/>
                <w:sz w:val="16"/>
                <w:szCs w:val="16"/>
              </w:rPr>
              <w:t>4</w:t>
            </w:r>
          </w:p>
        </w:tc>
        <w:tc>
          <w:tcPr>
            <w:tcW w:w="460" w:type="pct"/>
            <w:tcBorders>
              <w:bottom w:val="single" w:sz="4" w:space="0" w:color="auto"/>
            </w:tcBorders>
            <w:shd w:val="clear" w:color="auto" w:fill="FFFF00"/>
            <w:noWrap/>
            <w:vAlign w:val="center"/>
          </w:tcPr>
          <w:p w:rsidR="00E41425" w:rsidRPr="00880004" w:rsidRDefault="00EC30DD" w:rsidP="00814A42">
            <w:pPr>
              <w:keepLines/>
              <w:spacing w:before="40" w:after="40" w:line="200" w:lineRule="atLeast"/>
              <w:jc w:val="center"/>
              <w:rPr>
                <w:rFonts w:eastAsia="Times New Roman"/>
                <w:iCs/>
                <w:szCs w:val="17"/>
              </w:rPr>
            </w:pPr>
            <w:r>
              <w:rPr>
                <w:rFonts w:asciiTheme="majorHAnsi" w:hAnsiTheme="majorHAnsi"/>
                <w:sz w:val="16"/>
                <w:szCs w:val="16"/>
              </w:rPr>
              <w:t>4</w:t>
            </w:r>
          </w:p>
        </w:tc>
        <w:tc>
          <w:tcPr>
            <w:tcW w:w="465" w:type="pct"/>
            <w:tcBorders>
              <w:bottom w:val="single" w:sz="4" w:space="0" w:color="auto"/>
            </w:tcBorders>
            <w:shd w:val="clear" w:color="auto" w:fill="92D050"/>
            <w:noWrap/>
            <w:vAlign w:val="center"/>
          </w:tcPr>
          <w:p w:rsidR="00E41425" w:rsidRPr="00880004" w:rsidRDefault="00E41425" w:rsidP="00814A42">
            <w:pPr>
              <w:keepLines/>
              <w:spacing w:before="40" w:after="40" w:line="200" w:lineRule="atLeast"/>
              <w:jc w:val="center"/>
              <w:rPr>
                <w:rFonts w:eastAsia="Times New Roman"/>
                <w:iCs/>
                <w:szCs w:val="17"/>
              </w:rPr>
            </w:pPr>
            <w:r w:rsidRPr="002F536B">
              <w:rPr>
                <w:rFonts w:asciiTheme="majorHAnsi" w:hAnsiTheme="majorHAnsi"/>
                <w:sz w:val="16"/>
                <w:szCs w:val="16"/>
              </w:rPr>
              <w:t>6</w:t>
            </w:r>
          </w:p>
        </w:tc>
        <w:tc>
          <w:tcPr>
            <w:tcW w:w="460" w:type="pct"/>
            <w:tcBorders>
              <w:bottom w:val="single" w:sz="4" w:space="0" w:color="auto"/>
            </w:tcBorders>
            <w:shd w:val="clear" w:color="auto" w:fill="92D050"/>
            <w:noWrap/>
            <w:vAlign w:val="center"/>
          </w:tcPr>
          <w:p w:rsidR="00E41425" w:rsidRPr="00880004" w:rsidRDefault="00E41425" w:rsidP="00814A42">
            <w:pPr>
              <w:keepLines/>
              <w:spacing w:before="40" w:after="40" w:line="200" w:lineRule="atLeast"/>
              <w:jc w:val="center"/>
              <w:rPr>
                <w:rFonts w:eastAsia="Times New Roman"/>
                <w:iCs/>
                <w:szCs w:val="17"/>
              </w:rPr>
            </w:pPr>
            <w:r w:rsidRPr="002F536B">
              <w:rPr>
                <w:rFonts w:asciiTheme="majorHAnsi" w:hAnsiTheme="majorHAnsi"/>
                <w:sz w:val="16"/>
                <w:szCs w:val="16"/>
              </w:rPr>
              <w:t>5</w:t>
            </w:r>
          </w:p>
        </w:tc>
        <w:tc>
          <w:tcPr>
            <w:tcW w:w="465" w:type="pct"/>
            <w:tcBorders>
              <w:bottom w:val="single" w:sz="4" w:space="0" w:color="auto"/>
            </w:tcBorders>
            <w:shd w:val="clear" w:color="auto" w:fill="FFFF00"/>
            <w:noWrap/>
            <w:vAlign w:val="center"/>
          </w:tcPr>
          <w:p w:rsidR="00E41425" w:rsidRPr="00880004" w:rsidRDefault="00E41425" w:rsidP="00814A42">
            <w:pPr>
              <w:keepLines/>
              <w:spacing w:before="40" w:after="40" w:line="200" w:lineRule="atLeast"/>
              <w:jc w:val="center"/>
              <w:rPr>
                <w:rFonts w:eastAsia="Times New Roman"/>
                <w:iCs/>
                <w:szCs w:val="17"/>
              </w:rPr>
            </w:pPr>
            <w:r w:rsidRPr="002F536B">
              <w:rPr>
                <w:rFonts w:asciiTheme="majorHAnsi" w:hAnsiTheme="majorHAnsi"/>
                <w:sz w:val="16"/>
                <w:szCs w:val="16"/>
              </w:rPr>
              <w:t>4</w:t>
            </w:r>
          </w:p>
        </w:tc>
        <w:tc>
          <w:tcPr>
            <w:tcW w:w="455" w:type="pct"/>
            <w:tcBorders>
              <w:bottom w:val="single" w:sz="4" w:space="0" w:color="auto"/>
            </w:tcBorders>
            <w:shd w:val="clear" w:color="auto" w:fill="92D050"/>
            <w:noWrap/>
            <w:vAlign w:val="center"/>
          </w:tcPr>
          <w:p w:rsidR="00E41425" w:rsidRPr="00880004" w:rsidRDefault="00E41425" w:rsidP="00814A42">
            <w:pPr>
              <w:keepLines/>
              <w:spacing w:before="40" w:after="40" w:line="200" w:lineRule="atLeast"/>
              <w:jc w:val="center"/>
              <w:rPr>
                <w:rFonts w:eastAsia="Times New Roman"/>
                <w:iCs/>
                <w:szCs w:val="17"/>
              </w:rPr>
            </w:pPr>
            <w:r w:rsidRPr="002F536B">
              <w:rPr>
                <w:rFonts w:asciiTheme="majorHAnsi" w:hAnsiTheme="majorHAnsi"/>
                <w:sz w:val="16"/>
                <w:szCs w:val="16"/>
              </w:rPr>
              <w:t>5</w:t>
            </w:r>
          </w:p>
        </w:tc>
      </w:tr>
      <w:tr w:rsidR="00F44A10" w:rsidRPr="00C61187" w:rsidTr="00F44A10">
        <w:trPr>
          <w:cnfStyle w:val="000000010000" w:firstRow="0" w:lastRow="0" w:firstColumn="0" w:lastColumn="0" w:oddVBand="0" w:evenVBand="0" w:oddHBand="0" w:evenHBand="1" w:firstRowFirstColumn="0" w:firstRowLastColumn="0" w:lastRowFirstColumn="0" w:lastRowLastColumn="0"/>
          <w:trHeight w:val="236"/>
        </w:trPr>
        <w:tc>
          <w:tcPr>
            <w:tcW w:w="973" w:type="pct"/>
            <w:vMerge w:val="restart"/>
            <w:vAlign w:val="center"/>
          </w:tcPr>
          <w:p w:rsidR="00E41425" w:rsidRPr="00814A42" w:rsidRDefault="00E41425" w:rsidP="00F44A10">
            <w:pPr>
              <w:keepLines/>
              <w:spacing w:before="40" w:after="40" w:line="200" w:lineRule="atLeast"/>
              <w:rPr>
                <w:rFonts w:eastAsia="Times New Roman"/>
                <w:iCs/>
                <w:szCs w:val="17"/>
              </w:rPr>
            </w:pPr>
            <w:r w:rsidRPr="00814A42">
              <w:rPr>
                <w:rFonts w:asciiTheme="minorHAnsi" w:eastAsia="Times New Roman" w:hAnsiTheme="minorHAnsi"/>
                <w:iCs/>
                <w:szCs w:val="17"/>
                <w:lang w:eastAsia="en-US"/>
              </w:rPr>
              <w:t xml:space="preserve">INL799 </w:t>
            </w:r>
            <w:r w:rsidR="00F44A10">
              <w:rPr>
                <w:rFonts w:asciiTheme="minorHAnsi" w:eastAsia="Times New Roman" w:hAnsiTheme="minorHAnsi"/>
                <w:iCs/>
                <w:szCs w:val="17"/>
                <w:lang w:eastAsia="en-US"/>
              </w:rPr>
              <w:t>-</w:t>
            </w:r>
            <w:r w:rsidRPr="00814A42">
              <w:rPr>
                <w:rFonts w:asciiTheme="minorHAnsi" w:eastAsia="Times New Roman" w:hAnsiTheme="minorHAnsi"/>
                <w:iCs/>
                <w:szCs w:val="17"/>
                <w:lang w:eastAsia="en-US"/>
              </w:rPr>
              <w:t xml:space="preserve"> </w:t>
            </w:r>
            <w:r w:rsidR="00F44A10">
              <w:rPr>
                <w:rFonts w:asciiTheme="minorHAnsi" w:eastAsia="Times New Roman" w:hAnsiTheme="minorHAnsi"/>
                <w:iCs/>
                <w:szCs w:val="17"/>
                <w:lang w:eastAsia="en-US"/>
              </w:rPr>
              <w:t xml:space="preserve">Philippines </w:t>
            </w:r>
            <w:r w:rsidRPr="00814A42">
              <w:rPr>
                <w:rFonts w:asciiTheme="minorHAnsi" w:eastAsia="Times New Roman" w:hAnsiTheme="minorHAnsi"/>
                <w:iCs/>
                <w:szCs w:val="17"/>
                <w:lang w:eastAsia="en-US"/>
              </w:rPr>
              <w:t>Social Protection Initiative</w:t>
            </w:r>
          </w:p>
        </w:tc>
        <w:tc>
          <w:tcPr>
            <w:tcW w:w="753" w:type="pct"/>
            <w:vMerge w:val="restart"/>
            <w:vAlign w:val="center"/>
          </w:tcPr>
          <w:p w:rsidR="00E41425" w:rsidRPr="001B4992" w:rsidRDefault="00E41425" w:rsidP="00E41425">
            <w:pPr>
              <w:keepLines/>
              <w:spacing w:before="40" w:after="40" w:line="200" w:lineRule="atLeast"/>
              <w:jc w:val="center"/>
              <w:rPr>
                <w:rFonts w:asciiTheme="minorHAnsi" w:eastAsia="Times New Roman" w:hAnsiTheme="minorHAnsi"/>
                <w:iCs/>
                <w:szCs w:val="17"/>
                <w:lang w:eastAsia="en-US"/>
              </w:rPr>
            </w:pPr>
            <w:r w:rsidRPr="001B4992">
              <w:rPr>
                <w:rFonts w:asciiTheme="minorHAnsi" w:eastAsia="Times New Roman" w:hAnsiTheme="minorHAnsi"/>
                <w:iCs/>
                <w:szCs w:val="17"/>
                <w:lang w:eastAsia="en-US"/>
              </w:rPr>
              <w:t>$7,861,124</w:t>
            </w:r>
          </w:p>
          <w:p w:rsidR="00E41425" w:rsidRPr="001B4992" w:rsidRDefault="00E41425" w:rsidP="00E41425">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25 Apr 2016 -</w:t>
            </w:r>
            <w:r w:rsidRPr="001B4992">
              <w:rPr>
                <w:rFonts w:asciiTheme="minorHAnsi" w:eastAsia="Times New Roman" w:hAnsiTheme="minorHAnsi"/>
                <w:iCs/>
                <w:szCs w:val="17"/>
                <w:lang w:eastAsia="en-US"/>
              </w:rPr>
              <w:t xml:space="preserve"> 30 Jun 2020</w:t>
            </w:r>
          </w:p>
        </w:tc>
        <w:tc>
          <w:tcPr>
            <w:tcW w:w="407" w:type="pct"/>
            <w:vMerge w:val="restart"/>
            <w:vAlign w:val="center"/>
          </w:tcPr>
          <w:p w:rsidR="00E41425" w:rsidRPr="00880004" w:rsidRDefault="00E41425" w:rsidP="00E41425">
            <w:pPr>
              <w:keepLines/>
              <w:spacing w:before="40" w:after="40" w:line="200" w:lineRule="atLeast"/>
              <w:jc w:val="center"/>
              <w:rPr>
                <w:rFonts w:asciiTheme="minorHAnsi" w:eastAsia="Times New Roman" w:hAnsiTheme="minorHAnsi"/>
                <w:iCs/>
                <w:szCs w:val="17"/>
                <w:lang w:eastAsia="en-US"/>
              </w:rPr>
            </w:pPr>
            <w:r w:rsidRPr="001B4992">
              <w:rPr>
                <w:rFonts w:asciiTheme="minorHAnsi" w:eastAsia="Times New Roman" w:hAnsiTheme="minorHAnsi"/>
                <w:iCs/>
                <w:szCs w:val="17"/>
                <w:lang w:eastAsia="en-US"/>
              </w:rPr>
              <w:t>2016-17</w:t>
            </w:r>
          </w:p>
          <w:p w:rsidR="00E41425" w:rsidRPr="001B4992" w:rsidRDefault="00E41425" w:rsidP="00E41425">
            <w:pPr>
              <w:keepLines/>
              <w:spacing w:before="40" w:after="40" w:line="200" w:lineRule="atLeast"/>
              <w:jc w:val="center"/>
              <w:rPr>
                <w:rFonts w:eastAsia="Times New Roman"/>
                <w:iCs/>
                <w:szCs w:val="17"/>
              </w:rPr>
            </w:pPr>
            <w:r w:rsidRPr="001B4992">
              <w:rPr>
                <w:rFonts w:asciiTheme="minorHAnsi" w:eastAsia="Times New Roman" w:hAnsiTheme="minorHAnsi"/>
                <w:iCs/>
                <w:szCs w:val="17"/>
                <w:lang w:eastAsia="en-US"/>
              </w:rPr>
              <w:t>2017-18</w:t>
            </w:r>
          </w:p>
        </w:tc>
        <w:tc>
          <w:tcPr>
            <w:tcW w:w="467" w:type="pct"/>
            <w:tcBorders>
              <w:bottom w:val="single" w:sz="4" w:space="0" w:color="auto"/>
            </w:tcBorders>
            <w:shd w:val="clear" w:color="auto" w:fill="92D050"/>
            <w:noWrap/>
            <w:vAlign w:val="center"/>
          </w:tcPr>
          <w:p w:rsidR="00E41425" w:rsidRPr="002F536B" w:rsidRDefault="00E41425" w:rsidP="00E41425">
            <w:pPr>
              <w:keepLines/>
              <w:spacing w:before="40" w:after="40" w:line="200" w:lineRule="atLeast"/>
              <w:jc w:val="center"/>
              <w:rPr>
                <w:rFonts w:asciiTheme="majorHAnsi" w:hAnsiTheme="majorHAnsi"/>
                <w:sz w:val="16"/>
                <w:szCs w:val="16"/>
              </w:rPr>
            </w:pPr>
            <w:r w:rsidRPr="002F536B">
              <w:rPr>
                <w:rFonts w:asciiTheme="majorHAnsi" w:hAnsiTheme="majorHAnsi"/>
                <w:sz w:val="16"/>
                <w:szCs w:val="16"/>
              </w:rPr>
              <w:t>5</w:t>
            </w:r>
          </w:p>
        </w:tc>
        <w:tc>
          <w:tcPr>
            <w:tcW w:w="460" w:type="pct"/>
            <w:tcBorders>
              <w:bottom w:val="single" w:sz="4" w:space="0" w:color="auto"/>
            </w:tcBorders>
            <w:shd w:val="clear" w:color="auto" w:fill="FFFF00"/>
            <w:noWrap/>
            <w:vAlign w:val="center"/>
          </w:tcPr>
          <w:p w:rsidR="00E41425" w:rsidRPr="002F536B" w:rsidRDefault="00E41425" w:rsidP="00E41425">
            <w:pPr>
              <w:keepLines/>
              <w:spacing w:before="40" w:after="40" w:line="200" w:lineRule="atLeast"/>
              <w:jc w:val="center"/>
              <w:rPr>
                <w:rFonts w:asciiTheme="majorHAnsi" w:hAnsiTheme="majorHAnsi"/>
                <w:sz w:val="16"/>
                <w:szCs w:val="16"/>
              </w:rPr>
            </w:pPr>
            <w:r w:rsidRPr="002F536B">
              <w:rPr>
                <w:rFonts w:asciiTheme="majorHAnsi" w:hAnsiTheme="majorHAnsi"/>
                <w:sz w:val="16"/>
                <w:szCs w:val="16"/>
              </w:rPr>
              <w:t>4</w:t>
            </w:r>
          </w:p>
        </w:tc>
        <w:tc>
          <w:tcPr>
            <w:tcW w:w="465" w:type="pct"/>
            <w:tcBorders>
              <w:bottom w:val="single" w:sz="4" w:space="0" w:color="auto"/>
            </w:tcBorders>
            <w:shd w:val="clear" w:color="auto" w:fill="92D050"/>
            <w:noWrap/>
            <w:vAlign w:val="center"/>
          </w:tcPr>
          <w:p w:rsidR="00E41425" w:rsidRPr="002F536B" w:rsidRDefault="00E41425" w:rsidP="00E41425">
            <w:pPr>
              <w:keepLines/>
              <w:spacing w:before="40" w:after="40" w:line="200" w:lineRule="atLeast"/>
              <w:jc w:val="center"/>
              <w:rPr>
                <w:rFonts w:asciiTheme="majorHAnsi" w:hAnsiTheme="majorHAnsi"/>
                <w:sz w:val="16"/>
                <w:szCs w:val="16"/>
              </w:rPr>
            </w:pPr>
            <w:r w:rsidRPr="002F536B">
              <w:rPr>
                <w:rFonts w:asciiTheme="majorHAnsi" w:hAnsiTheme="majorHAnsi"/>
                <w:sz w:val="16"/>
                <w:szCs w:val="16"/>
              </w:rPr>
              <w:t>5</w:t>
            </w:r>
          </w:p>
        </w:tc>
        <w:tc>
          <w:tcPr>
            <w:tcW w:w="460" w:type="pct"/>
            <w:tcBorders>
              <w:bottom w:val="single" w:sz="4" w:space="0" w:color="auto"/>
            </w:tcBorders>
            <w:shd w:val="clear" w:color="auto" w:fill="FFFF00"/>
            <w:noWrap/>
            <w:vAlign w:val="center"/>
          </w:tcPr>
          <w:p w:rsidR="00E41425" w:rsidRPr="002F536B" w:rsidRDefault="00E41425" w:rsidP="00E41425">
            <w:pPr>
              <w:keepLines/>
              <w:spacing w:before="40" w:after="40" w:line="200" w:lineRule="atLeast"/>
              <w:jc w:val="center"/>
              <w:rPr>
                <w:rFonts w:asciiTheme="majorHAnsi" w:hAnsiTheme="majorHAnsi"/>
                <w:sz w:val="16"/>
                <w:szCs w:val="16"/>
              </w:rPr>
            </w:pPr>
            <w:r w:rsidRPr="002F536B">
              <w:rPr>
                <w:rFonts w:asciiTheme="majorHAnsi" w:hAnsiTheme="majorHAnsi"/>
                <w:sz w:val="16"/>
                <w:szCs w:val="16"/>
              </w:rPr>
              <w:t>4</w:t>
            </w:r>
          </w:p>
        </w:tc>
        <w:tc>
          <w:tcPr>
            <w:tcW w:w="465" w:type="pct"/>
            <w:tcBorders>
              <w:bottom w:val="single" w:sz="4" w:space="0" w:color="auto"/>
            </w:tcBorders>
            <w:shd w:val="clear" w:color="auto" w:fill="FFFF00"/>
            <w:noWrap/>
            <w:vAlign w:val="center"/>
          </w:tcPr>
          <w:p w:rsidR="00E41425" w:rsidRPr="002F536B" w:rsidRDefault="00E41425" w:rsidP="00E41425">
            <w:pPr>
              <w:keepLines/>
              <w:spacing w:before="40" w:after="40" w:line="200" w:lineRule="atLeast"/>
              <w:jc w:val="center"/>
              <w:rPr>
                <w:rFonts w:asciiTheme="majorHAnsi" w:hAnsiTheme="majorHAnsi"/>
                <w:sz w:val="16"/>
                <w:szCs w:val="16"/>
              </w:rPr>
            </w:pPr>
            <w:r w:rsidRPr="002F536B">
              <w:rPr>
                <w:rFonts w:asciiTheme="majorHAnsi" w:hAnsiTheme="majorHAnsi"/>
                <w:sz w:val="16"/>
                <w:szCs w:val="16"/>
              </w:rPr>
              <w:t>4</w:t>
            </w:r>
          </w:p>
        </w:tc>
        <w:tc>
          <w:tcPr>
            <w:tcW w:w="455" w:type="pct"/>
            <w:tcBorders>
              <w:bottom w:val="single" w:sz="4" w:space="0" w:color="auto"/>
            </w:tcBorders>
            <w:shd w:val="clear" w:color="auto" w:fill="92D050"/>
            <w:noWrap/>
            <w:vAlign w:val="center"/>
          </w:tcPr>
          <w:p w:rsidR="00E41425" w:rsidRPr="002F536B" w:rsidRDefault="00E41425" w:rsidP="00E41425">
            <w:pPr>
              <w:keepLines/>
              <w:spacing w:before="40" w:after="40" w:line="200" w:lineRule="atLeast"/>
              <w:jc w:val="center"/>
              <w:rPr>
                <w:rFonts w:asciiTheme="majorHAnsi" w:hAnsiTheme="majorHAnsi"/>
                <w:sz w:val="16"/>
                <w:szCs w:val="16"/>
              </w:rPr>
            </w:pPr>
            <w:r w:rsidRPr="002F536B">
              <w:rPr>
                <w:rFonts w:asciiTheme="majorHAnsi" w:hAnsiTheme="majorHAnsi"/>
                <w:sz w:val="16"/>
                <w:szCs w:val="16"/>
              </w:rPr>
              <w:t>5</w:t>
            </w:r>
          </w:p>
        </w:tc>
      </w:tr>
      <w:tr w:rsidR="00F44A10" w:rsidRPr="00C61187" w:rsidTr="00F44A10">
        <w:trPr>
          <w:cnfStyle w:val="000000010000" w:firstRow="0" w:lastRow="0" w:firstColumn="0" w:lastColumn="0" w:oddVBand="0" w:evenVBand="0" w:oddHBand="0" w:evenHBand="1" w:firstRowFirstColumn="0" w:firstRowLastColumn="0" w:lastRowFirstColumn="0" w:lastRowLastColumn="0"/>
          <w:trHeight w:val="236"/>
        </w:trPr>
        <w:tc>
          <w:tcPr>
            <w:tcW w:w="973" w:type="pct"/>
            <w:vMerge/>
            <w:tcBorders>
              <w:bottom w:val="single" w:sz="4" w:space="0" w:color="auto"/>
            </w:tcBorders>
            <w:vAlign w:val="center"/>
          </w:tcPr>
          <w:p w:rsidR="00E41425" w:rsidRPr="00814A42" w:rsidRDefault="00E41425" w:rsidP="00E41425">
            <w:pPr>
              <w:keepLines/>
              <w:spacing w:before="40" w:after="40" w:line="200" w:lineRule="atLeast"/>
              <w:rPr>
                <w:rFonts w:eastAsia="Times New Roman"/>
                <w:iCs/>
                <w:szCs w:val="17"/>
              </w:rPr>
            </w:pPr>
          </w:p>
        </w:tc>
        <w:tc>
          <w:tcPr>
            <w:tcW w:w="753" w:type="pct"/>
            <w:vMerge/>
            <w:tcBorders>
              <w:bottom w:val="single" w:sz="4" w:space="0" w:color="auto"/>
            </w:tcBorders>
            <w:vAlign w:val="center"/>
          </w:tcPr>
          <w:p w:rsidR="00E41425" w:rsidRPr="001B4992" w:rsidRDefault="00E41425" w:rsidP="00E41425">
            <w:pPr>
              <w:keepLines/>
              <w:spacing w:before="40" w:after="40" w:line="200" w:lineRule="atLeast"/>
              <w:jc w:val="center"/>
              <w:rPr>
                <w:rFonts w:eastAsia="Times New Roman"/>
                <w:iCs/>
                <w:szCs w:val="17"/>
              </w:rPr>
            </w:pPr>
          </w:p>
        </w:tc>
        <w:tc>
          <w:tcPr>
            <w:tcW w:w="407" w:type="pct"/>
            <w:vMerge/>
            <w:tcBorders>
              <w:bottom w:val="single" w:sz="4" w:space="0" w:color="auto"/>
            </w:tcBorders>
            <w:vAlign w:val="center"/>
          </w:tcPr>
          <w:p w:rsidR="00E41425" w:rsidRPr="001B4992" w:rsidRDefault="00E41425" w:rsidP="00E41425">
            <w:pPr>
              <w:keepLines/>
              <w:spacing w:before="40" w:after="40" w:line="200" w:lineRule="atLeast"/>
              <w:jc w:val="center"/>
              <w:rPr>
                <w:rFonts w:eastAsia="Times New Roman"/>
                <w:iCs/>
                <w:szCs w:val="17"/>
              </w:rPr>
            </w:pPr>
          </w:p>
        </w:tc>
        <w:tc>
          <w:tcPr>
            <w:tcW w:w="467" w:type="pct"/>
            <w:tcBorders>
              <w:bottom w:val="single" w:sz="4" w:space="0" w:color="auto"/>
            </w:tcBorders>
            <w:shd w:val="clear" w:color="auto" w:fill="FFC000"/>
            <w:noWrap/>
            <w:vAlign w:val="center"/>
          </w:tcPr>
          <w:p w:rsidR="00E41425" w:rsidRPr="002F536B" w:rsidRDefault="00E41425" w:rsidP="00E41425">
            <w:pPr>
              <w:keepLines/>
              <w:spacing w:before="40" w:after="40" w:line="200" w:lineRule="atLeast"/>
              <w:jc w:val="center"/>
              <w:rPr>
                <w:rFonts w:asciiTheme="majorHAnsi" w:hAnsiTheme="majorHAnsi"/>
                <w:sz w:val="16"/>
                <w:szCs w:val="16"/>
              </w:rPr>
            </w:pPr>
            <w:r w:rsidRPr="002F536B">
              <w:rPr>
                <w:rFonts w:asciiTheme="majorHAnsi" w:hAnsiTheme="majorHAnsi"/>
                <w:sz w:val="16"/>
                <w:szCs w:val="16"/>
              </w:rPr>
              <w:t>3</w:t>
            </w:r>
          </w:p>
        </w:tc>
        <w:tc>
          <w:tcPr>
            <w:tcW w:w="460" w:type="pct"/>
            <w:tcBorders>
              <w:bottom w:val="single" w:sz="4" w:space="0" w:color="auto"/>
            </w:tcBorders>
            <w:shd w:val="clear" w:color="auto" w:fill="FFC000"/>
            <w:noWrap/>
            <w:vAlign w:val="center"/>
          </w:tcPr>
          <w:p w:rsidR="00E41425" w:rsidRPr="002F536B" w:rsidRDefault="00E41425" w:rsidP="00E41425">
            <w:pPr>
              <w:keepLines/>
              <w:spacing w:before="40" w:after="40" w:line="200" w:lineRule="atLeast"/>
              <w:jc w:val="center"/>
              <w:rPr>
                <w:rFonts w:asciiTheme="majorHAnsi" w:hAnsiTheme="majorHAnsi"/>
                <w:sz w:val="16"/>
                <w:szCs w:val="16"/>
              </w:rPr>
            </w:pPr>
            <w:r w:rsidRPr="002F536B">
              <w:rPr>
                <w:rFonts w:asciiTheme="majorHAnsi" w:hAnsiTheme="majorHAnsi"/>
                <w:sz w:val="16"/>
                <w:szCs w:val="16"/>
              </w:rPr>
              <w:t>3</w:t>
            </w:r>
          </w:p>
        </w:tc>
        <w:tc>
          <w:tcPr>
            <w:tcW w:w="465" w:type="pct"/>
            <w:tcBorders>
              <w:bottom w:val="single" w:sz="4" w:space="0" w:color="auto"/>
            </w:tcBorders>
            <w:shd w:val="clear" w:color="auto" w:fill="92D050"/>
            <w:noWrap/>
            <w:vAlign w:val="center"/>
          </w:tcPr>
          <w:p w:rsidR="00E41425" w:rsidRPr="002F536B" w:rsidRDefault="00E41425" w:rsidP="00E41425">
            <w:pPr>
              <w:keepLines/>
              <w:spacing w:before="40" w:after="40" w:line="200" w:lineRule="atLeast"/>
              <w:jc w:val="center"/>
              <w:rPr>
                <w:rFonts w:asciiTheme="majorHAnsi" w:hAnsiTheme="majorHAnsi"/>
                <w:sz w:val="16"/>
                <w:szCs w:val="16"/>
              </w:rPr>
            </w:pPr>
            <w:r w:rsidRPr="002F536B">
              <w:rPr>
                <w:rFonts w:asciiTheme="majorHAnsi" w:hAnsiTheme="majorHAnsi"/>
                <w:sz w:val="16"/>
                <w:szCs w:val="16"/>
              </w:rPr>
              <w:t>5</w:t>
            </w:r>
          </w:p>
        </w:tc>
        <w:tc>
          <w:tcPr>
            <w:tcW w:w="460" w:type="pct"/>
            <w:tcBorders>
              <w:bottom w:val="single" w:sz="4" w:space="0" w:color="auto"/>
            </w:tcBorders>
            <w:shd w:val="clear" w:color="auto" w:fill="FFFF00"/>
            <w:noWrap/>
            <w:vAlign w:val="center"/>
          </w:tcPr>
          <w:p w:rsidR="00E41425" w:rsidRPr="002F536B" w:rsidRDefault="00E41425" w:rsidP="00E41425">
            <w:pPr>
              <w:keepLines/>
              <w:spacing w:before="40" w:after="40" w:line="200" w:lineRule="atLeast"/>
              <w:jc w:val="center"/>
              <w:rPr>
                <w:rFonts w:asciiTheme="majorHAnsi" w:hAnsiTheme="majorHAnsi"/>
                <w:sz w:val="16"/>
                <w:szCs w:val="16"/>
              </w:rPr>
            </w:pPr>
            <w:r w:rsidRPr="002F536B">
              <w:rPr>
                <w:rFonts w:asciiTheme="majorHAnsi" w:hAnsiTheme="majorHAnsi"/>
                <w:sz w:val="16"/>
                <w:szCs w:val="16"/>
              </w:rPr>
              <w:t>4</w:t>
            </w:r>
          </w:p>
        </w:tc>
        <w:tc>
          <w:tcPr>
            <w:tcW w:w="465" w:type="pct"/>
            <w:tcBorders>
              <w:bottom w:val="single" w:sz="4" w:space="0" w:color="auto"/>
            </w:tcBorders>
            <w:shd w:val="clear" w:color="auto" w:fill="FFFF00"/>
            <w:noWrap/>
            <w:vAlign w:val="center"/>
          </w:tcPr>
          <w:p w:rsidR="00E41425" w:rsidRPr="002F536B" w:rsidRDefault="00E41425" w:rsidP="00E41425">
            <w:pPr>
              <w:keepLines/>
              <w:spacing w:before="40" w:after="40" w:line="200" w:lineRule="atLeast"/>
              <w:jc w:val="center"/>
              <w:rPr>
                <w:rFonts w:asciiTheme="majorHAnsi" w:hAnsiTheme="majorHAnsi"/>
                <w:sz w:val="16"/>
                <w:szCs w:val="16"/>
              </w:rPr>
            </w:pPr>
            <w:r w:rsidRPr="002F536B">
              <w:rPr>
                <w:rFonts w:asciiTheme="majorHAnsi" w:hAnsiTheme="majorHAnsi"/>
                <w:sz w:val="16"/>
                <w:szCs w:val="16"/>
              </w:rPr>
              <w:t>4</w:t>
            </w:r>
          </w:p>
        </w:tc>
        <w:tc>
          <w:tcPr>
            <w:tcW w:w="455" w:type="pct"/>
            <w:tcBorders>
              <w:bottom w:val="single" w:sz="4" w:space="0" w:color="auto"/>
            </w:tcBorders>
            <w:shd w:val="clear" w:color="auto" w:fill="92D050"/>
            <w:noWrap/>
            <w:vAlign w:val="center"/>
          </w:tcPr>
          <w:p w:rsidR="00E41425" w:rsidRPr="002F536B" w:rsidRDefault="00E41425" w:rsidP="00E41425">
            <w:pPr>
              <w:keepLines/>
              <w:spacing w:before="40" w:after="40" w:line="200" w:lineRule="atLeast"/>
              <w:jc w:val="center"/>
              <w:rPr>
                <w:rFonts w:asciiTheme="majorHAnsi" w:hAnsiTheme="majorHAnsi"/>
                <w:sz w:val="16"/>
                <w:szCs w:val="16"/>
              </w:rPr>
            </w:pPr>
            <w:r w:rsidRPr="002F536B">
              <w:rPr>
                <w:rFonts w:asciiTheme="majorHAnsi" w:hAnsiTheme="majorHAnsi"/>
                <w:sz w:val="16"/>
                <w:szCs w:val="16"/>
              </w:rPr>
              <w:t>5</w:t>
            </w:r>
          </w:p>
        </w:tc>
      </w:tr>
      <w:tr w:rsidR="00F44A10" w:rsidRPr="00C61187" w:rsidTr="00F44A10">
        <w:trPr>
          <w:cnfStyle w:val="000000010000" w:firstRow="0" w:lastRow="0" w:firstColumn="0" w:lastColumn="0" w:oddVBand="0" w:evenVBand="0" w:oddHBand="0" w:evenHBand="1" w:firstRowFirstColumn="0" w:firstRowLastColumn="0" w:lastRowFirstColumn="0" w:lastRowLastColumn="0"/>
          <w:trHeight w:val="531"/>
        </w:trPr>
        <w:tc>
          <w:tcPr>
            <w:tcW w:w="973" w:type="pct"/>
            <w:vAlign w:val="center"/>
          </w:tcPr>
          <w:p w:rsidR="00E41425" w:rsidRPr="00814A42" w:rsidRDefault="00E41425" w:rsidP="00E41425">
            <w:pPr>
              <w:keepLines/>
              <w:spacing w:before="40" w:after="40" w:line="200" w:lineRule="atLeast"/>
              <w:rPr>
                <w:rFonts w:eastAsia="Times New Roman"/>
                <w:iCs/>
                <w:szCs w:val="17"/>
              </w:rPr>
            </w:pPr>
            <w:r w:rsidRPr="00814A42">
              <w:rPr>
                <w:rFonts w:asciiTheme="minorHAnsi" w:eastAsia="Times New Roman" w:hAnsiTheme="minorHAnsi"/>
                <w:iCs/>
                <w:szCs w:val="17"/>
                <w:lang w:eastAsia="en-US"/>
              </w:rPr>
              <w:t>INM313 - Philippine Australia Scholarships &amp; Alumni Program</w:t>
            </w:r>
          </w:p>
        </w:tc>
        <w:tc>
          <w:tcPr>
            <w:tcW w:w="753" w:type="pct"/>
            <w:vAlign w:val="center"/>
          </w:tcPr>
          <w:p w:rsidR="00E41425" w:rsidRPr="001B4992" w:rsidRDefault="00E41425" w:rsidP="00E41425">
            <w:pPr>
              <w:keepLines/>
              <w:spacing w:before="40" w:after="40" w:line="200" w:lineRule="atLeast"/>
              <w:jc w:val="center"/>
              <w:rPr>
                <w:rFonts w:asciiTheme="minorHAnsi" w:eastAsia="Times New Roman" w:hAnsiTheme="minorHAnsi"/>
                <w:iCs/>
                <w:szCs w:val="17"/>
                <w:lang w:eastAsia="en-US"/>
              </w:rPr>
            </w:pPr>
            <w:r w:rsidRPr="001B4992">
              <w:rPr>
                <w:rFonts w:asciiTheme="minorHAnsi" w:eastAsia="Times New Roman" w:hAnsiTheme="minorHAnsi"/>
                <w:iCs/>
                <w:szCs w:val="17"/>
                <w:lang w:eastAsia="en-US"/>
              </w:rPr>
              <w:t>$15,500,00</w:t>
            </w:r>
          </w:p>
          <w:p w:rsidR="00E41425" w:rsidRPr="001B4992" w:rsidRDefault="00E41425" w:rsidP="00E41425">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1 Sept 2017 -</w:t>
            </w:r>
            <w:r w:rsidRPr="001B4992">
              <w:rPr>
                <w:rFonts w:asciiTheme="minorHAnsi" w:eastAsia="Times New Roman" w:hAnsiTheme="minorHAnsi"/>
                <w:iCs/>
                <w:szCs w:val="17"/>
                <w:lang w:eastAsia="en-US"/>
              </w:rPr>
              <w:t xml:space="preserve"> 30 Sept 2021</w:t>
            </w:r>
          </w:p>
        </w:tc>
        <w:tc>
          <w:tcPr>
            <w:tcW w:w="407" w:type="pct"/>
            <w:vAlign w:val="center"/>
          </w:tcPr>
          <w:p w:rsidR="00E41425" w:rsidRPr="001B4992" w:rsidRDefault="00E41425" w:rsidP="00E41425">
            <w:pPr>
              <w:keepLines/>
              <w:spacing w:before="40" w:after="40" w:line="200" w:lineRule="atLeast"/>
              <w:jc w:val="center"/>
              <w:rPr>
                <w:rFonts w:eastAsia="Times New Roman"/>
                <w:iCs/>
                <w:szCs w:val="17"/>
              </w:rPr>
            </w:pPr>
            <w:r w:rsidRPr="001B4992">
              <w:rPr>
                <w:rFonts w:asciiTheme="minorHAnsi" w:eastAsia="Times New Roman" w:hAnsiTheme="minorHAnsi"/>
                <w:iCs/>
                <w:szCs w:val="17"/>
                <w:lang w:eastAsia="en-US"/>
              </w:rPr>
              <w:t>2017-18</w:t>
            </w:r>
          </w:p>
        </w:tc>
        <w:tc>
          <w:tcPr>
            <w:tcW w:w="467" w:type="pct"/>
            <w:shd w:val="clear" w:color="auto" w:fill="FFFF00"/>
            <w:noWrap/>
            <w:vAlign w:val="center"/>
          </w:tcPr>
          <w:p w:rsidR="00E41425" w:rsidRPr="002F536B" w:rsidRDefault="00E41425" w:rsidP="00E41425">
            <w:pPr>
              <w:keepLines/>
              <w:spacing w:before="40" w:after="40" w:line="200" w:lineRule="atLeast"/>
              <w:jc w:val="center"/>
              <w:rPr>
                <w:rFonts w:asciiTheme="majorHAnsi" w:hAnsiTheme="majorHAnsi"/>
                <w:sz w:val="16"/>
                <w:szCs w:val="16"/>
              </w:rPr>
            </w:pPr>
            <w:r w:rsidRPr="002F536B">
              <w:rPr>
                <w:rFonts w:asciiTheme="majorHAnsi" w:hAnsiTheme="majorHAnsi"/>
                <w:sz w:val="16"/>
                <w:szCs w:val="16"/>
              </w:rPr>
              <w:t>4</w:t>
            </w:r>
          </w:p>
        </w:tc>
        <w:tc>
          <w:tcPr>
            <w:tcW w:w="460" w:type="pct"/>
            <w:shd w:val="clear" w:color="auto" w:fill="92D050"/>
            <w:noWrap/>
            <w:vAlign w:val="center"/>
          </w:tcPr>
          <w:p w:rsidR="00E41425" w:rsidRPr="002F536B" w:rsidRDefault="00E41425" w:rsidP="00E41425">
            <w:pPr>
              <w:keepLines/>
              <w:spacing w:before="40" w:after="40" w:line="200" w:lineRule="atLeast"/>
              <w:jc w:val="center"/>
              <w:rPr>
                <w:rFonts w:asciiTheme="majorHAnsi" w:hAnsiTheme="majorHAnsi"/>
                <w:sz w:val="16"/>
                <w:szCs w:val="16"/>
              </w:rPr>
            </w:pPr>
            <w:r w:rsidRPr="002F536B">
              <w:rPr>
                <w:rFonts w:asciiTheme="majorHAnsi" w:hAnsiTheme="majorHAnsi"/>
                <w:sz w:val="16"/>
                <w:szCs w:val="16"/>
              </w:rPr>
              <w:t>5</w:t>
            </w:r>
          </w:p>
        </w:tc>
        <w:tc>
          <w:tcPr>
            <w:tcW w:w="465" w:type="pct"/>
            <w:shd w:val="clear" w:color="auto" w:fill="92D050"/>
            <w:noWrap/>
            <w:vAlign w:val="center"/>
          </w:tcPr>
          <w:p w:rsidR="00E41425" w:rsidRPr="002F536B" w:rsidRDefault="00E41425" w:rsidP="00E41425">
            <w:pPr>
              <w:keepLines/>
              <w:spacing w:before="40" w:after="40" w:line="200" w:lineRule="atLeast"/>
              <w:jc w:val="center"/>
              <w:rPr>
                <w:rFonts w:asciiTheme="majorHAnsi" w:hAnsiTheme="majorHAnsi"/>
                <w:sz w:val="16"/>
                <w:szCs w:val="16"/>
              </w:rPr>
            </w:pPr>
            <w:r w:rsidRPr="002F536B">
              <w:rPr>
                <w:rFonts w:asciiTheme="majorHAnsi" w:hAnsiTheme="majorHAnsi"/>
                <w:sz w:val="16"/>
                <w:szCs w:val="16"/>
              </w:rPr>
              <w:t>5</w:t>
            </w:r>
          </w:p>
        </w:tc>
        <w:tc>
          <w:tcPr>
            <w:tcW w:w="460" w:type="pct"/>
            <w:shd w:val="clear" w:color="auto" w:fill="FFFF00"/>
            <w:noWrap/>
            <w:vAlign w:val="center"/>
          </w:tcPr>
          <w:p w:rsidR="00E41425" w:rsidRPr="002F536B" w:rsidRDefault="00E41425" w:rsidP="00E41425">
            <w:pPr>
              <w:keepLines/>
              <w:spacing w:before="40" w:after="40" w:line="200" w:lineRule="atLeast"/>
              <w:jc w:val="center"/>
              <w:rPr>
                <w:rFonts w:asciiTheme="majorHAnsi" w:hAnsiTheme="majorHAnsi"/>
                <w:sz w:val="16"/>
                <w:szCs w:val="16"/>
              </w:rPr>
            </w:pPr>
            <w:r w:rsidRPr="002F536B">
              <w:rPr>
                <w:rFonts w:asciiTheme="majorHAnsi" w:hAnsiTheme="majorHAnsi"/>
                <w:sz w:val="16"/>
                <w:szCs w:val="16"/>
              </w:rPr>
              <w:t>4</w:t>
            </w:r>
          </w:p>
        </w:tc>
        <w:tc>
          <w:tcPr>
            <w:tcW w:w="465" w:type="pct"/>
            <w:shd w:val="clear" w:color="auto" w:fill="FFFF00"/>
            <w:noWrap/>
            <w:vAlign w:val="center"/>
          </w:tcPr>
          <w:p w:rsidR="00E41425" w:rsidRPr="002F536B" w:rsidRDefault="00E41425" w:rsidP="00E41425">
            <w:pPr>
              <w:keepLines/>
              <w:spacing w:before="40" w:after="40" w:line="200" w:lineRule="atLeast"/>
              <w:jc w:val="center"/>
              <w:rPr>
                <w:rFonts w:asciiTheme="majorHAnsi" w:hAnsiTheme="majorHAnsi"/>
                <w:sz w:val="16"/>
                <w:szCs w:val="16"/>
              </w:rPr>
            </w:pPr>
            <w:r w:rsidRPr="002F536B">
              <w:rPr>
                <w:rFonts w:asciiTheme="majorHAnsi" w:hAnsiTheme="majorHAnsi"/>
                <w:sz w:val="16"/>
                <w:szCs w:val="16"/>
              </w:rPr>
              <w:t>4</w:t>
            </w:r>
          </w:p>
        </w:tc>
        <w:tc>
          <w:tcPr>
            <w:tcW w:w="455" w:type="pct"/>
            <w:shd w:val="clear" w:color="auto" w:fill="FFFF00"/>
            <w:noWrap/>
            <w:vAlign w:val="center"/>
          </w:tcPr>
          <w:p w:rsidR="00E41425" w:rsidRPr="002F536B" w:rsidRDefault="00E41425" w:rsidP="00E41425">
            <w:pPr>
              <w:keepLines/>
              <w:spacing w:before="40" w:after="40" w:line="200" w:lineRule="atLeast"/>
              <w:jc w:val="center"/>
              <w:rPr>
                <w:rFonts w:asciiTheme="majorHAnsi" w:hAnsiTheme="majorHAnsi"/>
                <w:sz w:val="16"/>
                <w:szCs w:val="16"/>
              </w:rPr>
            </w:pPr>
            <w:r w:rsidRPr="002F536B">
              <w:rPr>
                <w:rFonts w:asciiTheme="majorHAnsi" w:hAnsiTheme="majorHAnsi"/>
                <w:sz w:val="16"/>
                <w:szCs w:val="16"/>
              </w:rPr>
              <w:t>4</w:t>
            </w:r>
          </w:p>
        </w:tc>
      </w:tr>
    </w:tbl>
    <w:p w:rsidR="00F44A10" w:rsidRDefault="00F44A10" w:rsidP="00F44A10">
      <w:pPr>
        <w:spacing w:before="20" w:after="20" w:line="180" w:lineRule="atLeast"/>
        <w:jc w:val="both"/>
        <w:rPr>
          <w:rFonts w:eastAsia="Times New Roman"/>
          <w:b/>
          <w:sz w:val="16"/>
          <w:szCs w:val="14"/>
        </w:rPr>
      </w:pPr>
    </w:p>
    <w:p w:rsidR="00F44A10" w:rsidRPr="00880004" w:rsidRDefault="00F44A10" w:rsidP="00F44A10">
      <w:pPr>
        <w:spacing w:before="20" w:after="20" w:line="180" w:lineRule="atLeast"/>
        <w:jc w:val="both"/>
        <w:rPr>
          <w:rFonts w:eastAsia="Times New Roman"/>
          <w:b/>
          <w:sz w:val="16"/>
          <w:szCs w:val="14"/>
        </w:rPr>
      </w:pPr>
      <w:r w:rsidRPr="00880004">
        <w:rPr>
          <w:rFonts w:eastAsia="Times New Roman"/>
          <w:b/>
          <w:sz w:val="16"/>
          <w:szCs w:val="14"/>
        </w:rPr>
        <w:t>Definitions of rating scale:</w:t>
      </w:r>
      <w:r w:rsidRPr="00880004">
        <w:rPr>
          <w:rFonts w:eastAsia="Times New Roman"/>
          <w:b/>
          <w:sz w:val="16"/>
          <w:szCs w:val="14"/>
        </w:rPr>
        <w:tab/>
      </w:r>
    </w:p>
    <w:p w:rsidR="00F44A10" w:rsidRPr="00880004" w:rsidRDefault="00F44A10" w:rsidP="00F44A10">
      <w:pPr>
        <w:spacing w:before="20" w:after="20" w:line="180" w:lineRule="atLeast"/>
        <w:jc w:val="both"/>
        <w:rPr>
          <w:rFonts w:eastAsia="Times New Roman"/>
          <w:b/>
          <w:sz w:val="16"/>
          <w:szCs w:val="14"/>
        </w:rPr>
      </w:pPr>
      <w:r w:rsidRPr="00880004">
        <w:rPr>
          <w:rFonts w:eastAsia="Times New Roman"/>
          <w:b/>
          <w:sz w:val="16"/>
          <w:szCs w:val="14"/>
        </w:rPr>
        <w:t>Satisfactory (4, 5 and 6)</w:t>
      </w:r>
    </w:p>
    <w:p w:rsidR="00F44A10" w:rsidRDefault="00F44A10" w:rsidP="00F44A10">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xml:space="preserve"> 6 = Very good; satisfies criteria in all areas. </w:t>
      </w:r>
    </w:p>
    <w:p w:rsidR="00F44A10" w:rsidRPr="00880004" w:rsidRDefault="00F44A10" w:rsidP="00F44A10">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xml:space="preserve"> 5 = Good; satisfies criteria in almost all areas.</w:t>
      </w:r>
    </w:p>
    <w:p w:rsidR="00F44A10" w:rsidRPr="00880004" w:rsidRDefault="00F44A10" w:rsidP="00F44A10">
      <w:pPr>
        <w:spacing w:before="20" w:after="20" w:line="180" w:lineRule="atLeast"/>
        <w:jc w:val="both"/>
        <w:rPr>
          <w:rFonts w:eastAsia="Times New Roman"/>
          <w:b/>
          <w:sz w:val="16"/>
          <w:szCs w:val="14"/>
        </w:rPr>
      </w:pPr>
      <w:r w:rsidRPr="00880004">
        <w:rPr>
          <w:rFonts w:eastAsia="Times New Roman"/>
          <w:b/>
          <w:color w:val="FFFF00"/>
          <w:sz w:val="16"/>
          <w:szCs w:val="14"/>
        </w:rPr>
        <w:sym w:font="Webdings" w:char="F067"/>
      </w:r>
      <w:r w:rsidRPr="00880004">
        <w:rPr>
          <w:rFonts w:eastAsia="Times New Roman"/>
          <w:b/>
          <w:sz w:val="16"/>
          <w:szCs w:val="14"/>
        </w:rPr>
        <w:t xml:space="preserve"> 4 = Adequate; on balance, satisfies criteria; does not fail in any major area.</w:t>
      </w:r>
    </w:p>
    <w:p w:rsidR="00F44A10" w:rsidRPr="00880004" w:rsidRDefault="00F44A10" w:rsidP="00F44A10">
      <w:pPr>
        <w:spacing w:before="20" w:after="20" w:line="180" w:lineRule="atLeast"/>
        <w:jc w:val="both"/>
        <w:rPr>
          <w:rFonts w:eastAsia="Times New Roman"/>
          <w:b/>
          <w:sz w:val="16"/>
          <w:szCs w:val="14"/>
        </w:rPr>
      </w:pPr>
      <w:r w:rsidRPr="00880004">
        <w:rPr>
          <w:rFonts w:eastAsia="Times New Roman"/>
          <w:b/>
          <w:sz w:val="16"/>
          <w:szCs w:val="14"/>
        </w:rPr>
        <w:t>Less than satisfactory (1, 2 and 3)</w:t>
      </w:r>
    </w:p>
    <w:p w:rsidR="00F44A10" w:rsidRPr="00880004" w:rsidRDefault="00F44A10" w:rsidP="00A522A1">
      <w:pPr>
        <w:pStyle w:val="NoSpacing"/>
      </w:pPr>
      <w:r w:rsidRPr="00A522A1">
        <w:rPr>
          <w:color w:val="E36C0A"/>
          <w:sz w:val="16"/>
        </w:rPr>
        <w:sym w:font="Webdings" w:char="F067"/>
      </w:r>
      <w:r w:rsidRPr="00A522A1">
        <w:rPr>
          <w:color w:val="E36C0A"/>
          <w:sz w:val="18"/>
        </w:rPr>
        <w:t xml:space="preserve"> </w:t>
      </w:r>
      <w:r w:rsidRPr="00A522A1">
        <w:rPr>
          <w:rFonts w:eastAsia="Times New Roman"/>
          <w:b/>
          <w:sz w:val="16"/>
          <w:szCs w:val="14"/>
        </w:rPr>
        <w:t>3 = Less than adequate; on balance does not satisfy criteria and/or fails in at least one major area.</w:t>
      </w:r>
    </w:p>
    <w:p w:rsidR="0088253D" w:rsidRDefault="00F44A10" w:rsidP="00A522A1">
      <w:pPr>
        <w:pStyle w:val="NoSpacing"/>
      </w:pPr>
      <w:r w:rsidRPr="00A522A1">
        <w:rPr>
          <w:color w:val="FF0000"/>
          <w:sz w:val="16"/>
        </w:rPr>
        <w:sym w:font="Webdings" w:char="F067"/>
      </w:r>
      <w:r w:rsidRPr="00880004">
        <w:t xml:space="preserve"> </w:t>
      </w:r>
      <w:r w:rsidRPr="00A522A1">
        <w:rPr>
          <w:rFonts w:eastAsia="Times New Roman"/>
          <w:b/>
          <w:sz w:val="16"/>
          <w:szCs w:val="14"/>
        </w:rPr>
        <w:t xml:space="preserve">2 = Poor; does not satisfy criteria in major areas. </w:t>
      </w:r>
      <w:r w:rsidRPr="00880004">
        <w:t xml:space="preserve"> </w:t>
      </w:r>
    </w:p>
    <w:p w:rsidR="00400B0F" w:rsidRDefault="00F44A10" w:rsidP="00A522A1">
      <w:pPr>
        <w:pStyle w:val="NoSpacing"/>
      </w:pPr>
      <w:r w:rsidRPr="00A522A1">
        <w:rPr>
          <w:color w:val="FF0000"/>
          <w:sz w:val="16"/>
        </w:rPr>
        <w:sym w:font="Webdings" w:char="F067"/>
      </w:r>
      <w:r w:rsidRPr="00880004">
        <w:t xml:space="preserve"> </w:t>
      </w:r>
      <w:r w:rsidRPr="00A522A1">
        <w:rPr>
          <w:rFonts w:eastAsia="Times New Roman"/>
          <w:b/>
          <w:sz w:val="16"/>
          <w:szCs w:val="14"/>
        </w:rPr>
        <w:t>1 = Very poor; does not satisfy criteria in many major area.</w:t>
      </w:r>
      <w:r w:rsidR="00400B0F">
        <w:br w:type="page"/>
      </w:r>
    </w:p>
    <w:p w:rsidR="00400B0F" w:rsidRPr="00C61187" w:rsidRDefault="00400B0F" w:rsidP="00483FC0">
      <w:pPr>
        <w:keepNext/>
        <w:tabs>
          <w:tab w:val="left" w:pos="1560"/>
        </w:tabs>
        <w:spacing w:before="360" w:after="120"/>
        <w:outlineLvl w:val="1"/>
        <w:rPr>
          <w:rFonts w:ascii="Helvetica" w:eastAsia="Times New Roman" w:hAnsi="Helvetica" w:cs="Arial"/>
          <w:b/>
          <w:color w:val="124486"/>
          <w:kern w:val="28"/>
          <w:lang w:eastAsia="zh-CN"/>
        </w:rPr>
      </w:pPr>
      <w:r w:rsidRPr="00483FC0">
        <w:rPr>
          <w:rFonts w:eastAsiaTheme="majorEastAsia" w:cstheme="majorBidi"/>
          <w:bCs/>
          <w:iCs/>
          <w:caps/>
          <w:spacing w:val="-10"/>
          <w:kern w:val="28"/>
          <w:sz w:val="38"/>
          <w:szCs w:val="24"/>
        </w:rPr>
        <w:lastRenderedPageBreak/>
        <w:t>FAQC ratings</w:t>
      </w:r>
      <w:r w:rsidRPr="00C61187">
        <w:rPr>
          <w:rFonts w:ascii="Helvetica" w:eastAsia="Times New Roman" w:hAnsi="Helvetica" w:cs="Arial"/>
          <w:b/>
          <w:color w:val="124486"/>
          <w:kern w:val="28"/>
          <w:lang w:eastAsia="zh-CN"/>
        </w:rPr>
        <w:t xml:space="preserve"> </w:t>
      </w:r>
    </w:p>
    <w:tbl>
      <w:tblPr>
        <w:tblStyle w:val="APPR"/>
        <w:tblW w:w="5012" w:type="pct"/>
        <w:tblLook w:val="0000" w:firstRow="0" w:lastRow="0" w:firstColumn="0" w:lastColumn="0" w:noHBand="0" w:noVBand="0"/>
      </w:tblPr>
      <w:tblGrid>
        <w:gridCol w:w="2911"/>
        <w:gridCol w:w="2121"/>
        <w:gridCol w:w="1353"/>
        <w:gridCol w:w="1350"/>
        <w:gridCol w:w="1353"/>
        <w:gridCol w:w="1350"/>
        <w:gridCol w:w="1353"/>
        <w:gridCol w:w="1350"/>
        <w:gridCol w:w="1356"/>
      </w:tblGrid>
      <w:tr w:rsidR="00F44A10" w:rsidRPr="00C61187" w:rsidTr="00F44A10">
        <w:trPr>
          <w:cnfStyle w:val="000000010000" w:firstRow="0" w:lastRow="0" w:firstColumn="0" w:lastColumn="0" w:oddVBand="0" w:evenVBand="0" w:oddHBand="0" w:evenHBand="1" w:firstRowFirstColumn="0" w:firstRowLastColumn="0" w:lastRowFirstColumn="0" w:lastRowLastColumn="0"/>
          <w:trHeight w:val="1488"/>
        </w:trPr>
        <w:tc>
          <w:tcPr>
            <w:tcW w:w="990" w:type="pct"/>
          </w:tcPr>
          <w:p w:rsidR="00F44A10" w:rsidRPr="00E41425" w:rsidRDefault="00F44A10" w:rsidP="00F44A10">
            <w:pPr>
              <w:keepLines/>
              <w:spacing w:before="80" w:after="80" w:line="200" w:lineRule="atLeast"/>
              <w:rPr>
                <w:rFonts w:asciiTheme="minorHAnsi" w:eastAsia="Times New Roman" w:hAnsiTheme="minorHAnsi"/>
                <w:b/>
                <w:iCs/>
                <w:sz w:val="18"/>
                <w:szCs w:val="18"/>
                <w:lang w:eastAsia="en-US"/>
              </w:rPr>
            </w:pPr>
            <w:r w:rsidRPr="00E41425">
              <w:rPr>
                <w:rFonts w:eastAsia="Times New Roman"/>
                <w:b/>
                <w:iCs/>
                <w:noProof/>
                <w:sz w:val="18"/>
                <w:szCs w:val="18"/>
                <w:lang w:val="en-AU"/>
              </w:rPr>
              <w:drawing>
                <wp:anchor distT="0" distB="0" distL="114300" distR="114300" simplePos="0" relativeHeight="251694080" behindDoc="0" locked="0" layoutInCell="1" allowOverlap="1" wp14:anchorId="323C63B1" wp14:editId="51C93AD1">
                  <wp:simplePos x="0" y="0"/>
                  <wp:positionH relativeFrom="column">
                    <wp:posOffset>0</wp:posOffset>
                  </wp:positionH>
                  <wp:positionV relativeFrom="paragraph">
                    <wp:posOffset>0</wp:posOffset>
                  </wp:positionV>
                  <wp:extent cx="1857375" cy="228600"/>
                  <wp:effectExtent l="0" t="0" r="9525" b="0"/>
                  <wp:wrapNone/>
                  <wp:docPr id="5" name="Picture 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1425">
              <w:rPr>
                <w:rFonts w:asciiTheme="minorHAnsi" w:eastAsia="Times New Roman" w:hAnsiTheme="minorHAnsi"/>
                <w:b/>
                <w:iCs/>
                <w:sz w:val="18"/>
                <w:szCs w:val="18"/>
                <w:lang w:eastAsia="en-US"/>
              </w:rPr>
              <w:t>Investment name</w:t>
            </w:r>
          </w:p>
        </w:tc>
        <w:tc>
          <w:tcPr>
            <w:tcW w:w="722" w:type="pct"/>
            <w:textDirection w:val="btLr"/>
            <w:vAlign w:val="center"/>
          </w:tcPr>
          <w:p w:rsidR="00F44A10" w:rsidRPr="00E41425" w:rsidRDefault="00F44A10" w:rsidP="00F44A10">
            <w:pPr>
              <w:keepLines/>
              <w:spacing w:before="80" w:after="80" w:line="200" w:lineRule="atLeast"/>
              <w:jc w:val="center"/>
              <w:rPr>
                <w:rFonts w:asciiTheme="minorHAnsi" w:eastAsia="Times New Roman" w:hAnsiTheme="minorHAnsi"/>
                <w:b/>
                <w:iCs/>
                <w:sz w:val="18"/>
                <w:szCs w:val="18"/>
                <w:lang w:eastAsia="en-US"/>
              </w:rPr>
            </w:pPr>
            <w:r w:rsidRPr="00E41425">
              <w:rPr>
                <w:rFonts w:asciiTheme="minorHAnsi" w:eastAsia="Times New Roman" w:hAnsiTheme="minorHAnsi"/>
                <w:b/>
                <w:iCs/>
                <w:sz w:val="18"/>
                <w:szCs w:val="18"/>
                <w:lang w:eastAsia="en-US"/>
              </w:rPr>
              <w:t>Approved budget and duration</w:t>
            </w:r>
          </w:p>
        </w:tc>
        <w:tc>
          <w:tcPr>
            <w:tcW w:w="457" w:type="pct"/>
            <w:noWrap/>
            <w:textDirection w:val="btLr"/>
            <w:vAlign w:val="center"/>
          </w:tcPr>
          <w:p w:rsidR="00F44A10" w:rsidRPr="00E41425" w:rsidRDefault="00F44A10" w:rsidP="00F44A10">
            <w:pPr>
              <w:keepLines/>
              <w:spacing w:before="80" w:after="80" w:line="200" w:lineRule="atLeast"/>
              <w:jc w:val="center"/>
              <w:rPr>
                <w:rFonts w:asciiTheme="minorHAnsi" w:eastAsia="Times New Roman" w:hAnsiTheme="minorHAnsi"/>
                <w:b/>
                <w:iCs/>
                <w:sz w:val="18"/>
                <w:szCs w:val="18"/>
                <w:lang w:eastAsia="en-US"/>
              </w:rPr>
            </w:pPr>
            <w:r w:rsidRPr="00E41425">
              <w:rPr>
                <w:rFonts w:asciiTheme="minorHAnsi" w:eastAsia="Times New Roman" w:hAnsiTheme="minorHAnsi"/>
                <w:b/>
                <w:iCs/>
                <w:sz w:val="18"/>
                <w:szCs w:val="18"/>
                <w:lang w:eastAsia="en-US"/>
              </w:rPr>
              <w:t>Overall rating</w:t>
            </w:r>
          </w:p>
        </w:tc>
        <w:tc>
          <w:tcPr>
            <w:tcW w:w="456" w:type="pct"/>
            <w:noWrap/>
            <w:textDirection w:val="btLr"/>
            <w:vAlign w:val="center"/>
          </w:tcPr>
          <w:p w:rsidR="00F44A10" w:rsidRPr="00E41425" w:rsidRDefault="00F44A10" w:rsidP="00F44A10">
            <w:pPr>
              <w:keepLines/>
              <w:spacing w:before="80" w:after="80" w:line="200" w:lineRule="atLeast"/>
              <w:jc w:val="center"/>
              <w:rPr>
                <w:rFonts w:asciiTheme="minorHAnsi" w:eastAsia="Times New Roman" w:hAnsiTheme="minorHAnsi"/>
                <w:b/>
                <w:iCs/>
                <w:sz w:val="18"/>
                <w:szCs w:val="18"/>
                <w:lang w:eastAsia="en-US"/>
              </w:rPr>
            </w:pPr>
            <w:r w:rsidRPr="008B6A51">
              <w:rPr>
                <w:rFonts w:asciiTheme="minorHAnsi" w:eastAsia="Times New Roman" w:hAnsiTheme="minorHAnsi"/>
                <w:b/>
                <w:iCs/>
                <w:sz w:val="18"/>
                <w:szCs w:val="18"/>
                <w:lang w:eastAsia="en-US"/>
              </w:rPr>
              <w:t xml:space="preserve">Effectiveness </w:t>
            </w:r>
          </w:p>
        </w:tc>
        <w:tc>
          <w:tcPr>
            <w:tcW w:w="457" w:type="pct"/>
            <w:noWrap/>
            <w:textDirection w:val="btLr"/>
            <w:vAlign w:val="center"/>
          </w:tcPr>
          <w:p w:rsidR="00F44A10" w:rsidRPr="00E41425" w:rsidRDefault="00F44A10" w:rsidP="00F44A10">
            <w:pPr>
              <w:keepLines/>
              <w:spacing w:before="80" w:after="80" w:line="200" w:lineRule="atLeast"/>
              <w:jc w:val="center"/>
              <w:rPr>
                <w:rFonts w:asciiTheme="minorHAnsi" w:eastAsia="Times New Roman" w:hAnsiTheme="minorHAnsi"/>
                <w:b/>
                <w:iCs/>
                <w:sz w:val="18"/>
                <w:szCs w:val="18"/>
                <w:lang w:eastAsia="en-US"/>
              </w:rPr>
            </w:pPr>
            <w:r w:rsidRPr="008B6A51">
              <w:rPr>
                <w:rFonts w:asciiTheme="minorHAnsi" w:eastAsia="Times New Roman" w:hAnsiTheme="minorHAnsi"/>
                <w:b/>
                <w:iCs/>
                <w:sz w:val="18"/>
                <w:szCs w:val="18"/>
                <w:lang w:eastAsia="en-US"/>
              </w:rPr>
              <w:t>Efficiency</w:t>
            </w:r>
          </w:p>
        </w:tc>
        <w:tc>
          <w:tcPr>
            <w:tcW w:w="456" w:type="pct"/>
            <w:noWrap/>
            <w:textDirection w:val="btLr"/>
            <w:vAlign w:val="center"/>
          </w:tcPr>
          <w:p w:rsidR="00F44A10" w:rsidRPr="00E41425" w:rsidRDefault="00F44A10" w:rsidP="00F44A10">
            <w:pPr>
              <w:keepLines/>
              <w:spacing w:before="80" w:after="80" w:line="200" w:lineRule="atLeast"/>
              <w:jc w:val="center"/>
              <w:rPr>
                <w:rFonts w:asciiTheme="minorHAnsi" w:eastAsia="Times New Roman" w:hAnsiTheme="minorHAnsi"/>
                <w:b/>
                <w:iCs/>
                <w:sz w:val="18"/>
                <w:szCs w:val="18"/>
                <w:lang w:eastAsia="en-US"/>
              </w:rPr>
            </w:pPr>
            <w:r w:rsidRPr="008B6A51">
              <w:rPr>
                <w:rFonts w:asciiTheme="minorHAnsi" w:eastAsia="Times New Roman" w:hAnsiTheme="minorHAnsi"/>
                <w:b/>
                <w:iCs/>
                <w:sz w:val="18"/>
                <w:szCs w:val="18"/>
                <w:lang w:eastAsia="en-US"/>
              </w:rPr>
              <w:t xml:space="preserve">Relevance </w:t>
            </w:r>
          </w:p>
        </w:tc>
        <w:tc>
          <w:tcPr>
            <w:tcW w:w="457" w:type="pct"/>
            <w:noWrap/>
            <w:textDirection w:val="btLr"/>
            <w:vAlign w:val="center"/>
          </w:tcPr>
          <w:p w:rsidR="00F44A10" w:rsidRPr="00E41425" w:rsidRDefault="00F44A10" w:rsidP="00F44A10">
            <w:pPr>
              <w:keepLines/>
              <w:spacing w:before="80" w:after="80" w:line="200" w:lineRule="atLeast"/>
              <w:jc w:val="center"/>
              <w:rPr>
                <w:rFonts w:asciiTheme="minorHAnsi" w:eastAsia="Times New Roman" w:hAnsiTheme="minorHAnsi"/>
                <w:b/>
                <w:iCs/>
                <w:sz w:val="18"/>
                <w:szCs w:val="18"/>
                <w:lang w:eastAsia="en-US"/>
              </w:rPr>
            </w:pPr>
            <w:r w:rsidRPr="008B6A51">
              <w:rPr>
                <w:rFonts w:asciiTheme="minorHAnsi" w:eastAsia="Times New Roman" w:hAnsiTheme="minorHAnsi"/>
                <w:b/>
                <w:iCs/>
                <w:sz w:val="18"/>
                <w:szCs w:val="18"/>
                <w:lang w:eastAsia="en-US"/>
              </w:rPr>
              <w:t>Gender equality</w:t>
            </w:r>
          </w:p>
        </w:tc>
        <w:tc>
          <w:tcPr>
            <w:tcW w:w="456" w:type="pct"/>
            <w:noWrap/>
            <w:textDirection w:val="btLr"/>
            <w:vAlign w:val="center"/>
          </w:tcPr>
          <w:p w:rsidR="00F44A10" w:rsidRPr="00E41425" w:rsidRDefault="00F44A10" w:rsidP="00F44A10">
            <w:pPr>
              <w:keepLines/>
              <w:spacing w:before="80" w:after="80" w:line="200" w:lineRule="atLeast"/>
              <w:jc w:val="center"/>
              <w:rPr>
                <w:rFonts w:asciiTheme="minorHAnsi" w:eastAsia="Times New Roman" w:hAnsiTheme="minorHAnsi"/>
                <w:b/>
                <w:iCs/>
                <w:sz w:val="18"/>
                <w:szCs w:val="18"/>
                <w:lang w:eastAsia="en-US"/>
              </w:rPr>
            </w:pPr>
            <w:r w:rsidRPr="008B6A51">
              <w:rPr>
                <w:rFonts w:asciiTheme="minorHAnsi" w:eastAsia="Times New Roman" w:hAnsiTheme="minorHAnsi"/>
                <w:b/>
                <w:iCs/>
                <w:sz w:val="18"/>
                <w:szCs w:val="18"/>
                <w:lang w:eastAsia="en-US"/>
              </w:rPr>
              <w:t xml:space="preserve">Monitoring and Evaluation </w:t>
            </w:r>
          </w:p>
        </w:tc>
        <w:tc>
          <w:tcPr>
            <w:tcW w:w="453" w:type="pct"/>
            <w:textDirection w:val="btLr"/>
            <w:vAlign w:val="center"/>
          </w:tcPr>
          <w:p w:rsidR="00F44A10" w:rsidRPr="00E41425" w:rsidRDefault="00F44A10" w:rsidP="00F44A10">
            <w:pPr>
              <w:keepLines/>
              <w:spacing w:before="80" w:after="80" w:line="200" w:lineRule="atLeast"/>
              <w:jc w:val="center"/>
              <w:rPr>
                <w:rFonts w:asciiTheme="minorHAnsi" w:eastAsia="Times New Roman" w:hAnsiTheme="minorHAnsi"/>
                <w:b/>
                <w:iCs/>
                <w:sz w:val="18"/>
                <w:szCs w:val="18"/>
                <w:lang w:eastAsia="en-US"/>
              </w:rPr>
            </w:pPr>
            <w:r w:rsidRPr="008B6A51">
              <w:rPr>
                <w:rFonts w:asciiTheme="minorHAnsi" w:eastAsia="Times New Roman" w:hAnsiTheme="minorHAnsi"/>
                <w:b/>
                <w:iCs/>
                <w:sz w:val="18"/>
                <w:szCs w:val="18"/>
                <w:lang w:eastAsia="en-US"/>
              </w:rPr>
              <w:t xml:space="preserve">Sustainability </w:t>
            </w:r>
          </w:p>
        </w:tc>
      </w:tr>
      <w:tr w:rsidR="00F44A10" w:rsidRPr="00C61187" w:rsidTr="00F44A10">
        <w:trPr>
          <w:cnfStyle w:val="000000010000" w:firstRow="0" w:lastRow="0" w:firstColumn="0" w:lastColumn="0" w:oddVBand="0" w:evenVBand="0" w:oddHBand="0" w:evenHBand="1" w:firstRowFirstColumn="0" w:firstRowLastColumn="0" w:lastRowFirstColumn="0" w:lastRowLastColumn="0"/>
          <w:trHeight w:val="280"/>
        </w:trPr>
        <w:tc>
          <w:tcPr>
            <w:tcW w:w="990" w:type="pct"/>
            <w:vAlign w:val="center"/>
          </w:tcPr>
          <w:p w:rsidR="00F44A10" w:rsidRPr="00880004" w:rsidRDefault="00F44A10" w:rsidP="00E41425">
            <w:pPr>
              <w:keepLines/>
              <w:spacing w:before="40" w:after="40" w:line="200" w:lineRule="atLeast"/>
              <w:rPr>
                <w:rFonts w:asciiTheme="minorHAnsi" w:eastAsia="Times New Roman" w:hAnsiTheme="minorHAnsi"/>
                <w:iCs/>
                <w:szCs w:val="17"/>
                <w:lang w:eastAsia="en-US"/>
              </w:rPr>
            </w:pPr>
            <w:r w:rsidRPr="00E41425">
              <w:rPr>
                <w:rFonts w:asciiTheme="minorHAnsi" w:eastAsia="Times New Roman" w:hAnsiTheme="minorHAnsi"/>
                <w:iCs/>
                <w:szCs w:val="17"/>
                <w:lang w:eastAsia="en-US"/>
              </w:rPr>
              <w:t>INJ839 - The Asia Foundation Partnership Philippines</w:t>
            </w:r>
          </w:p>
        </w:tc>
        <w:tc>
          <w:tcPr>
            <w:tcW w:w="722" w:type="pct"/>
            <w:vAlign w:val="center"/>
          </w:tcPr>
          <w:p w:rsidR="00F44A10" w:rsidRPr="00E41425" w:rsidRDefault="00F44A10" w:rsidP="00E41425">
            <w:pPr>
              <w:keepLines/>
              <w:spacing w:before="40" w:after="40" w:line="200" w:lineRule="atLeast"/>
              <w:jc w:val="center"/>
              <w:rPr>
                <w:rFonts w:asciiTheme="minorHAnsi" w:eastAsia="Times New Roman" w:hAnsiTheme="minorHAnsi"/>
                <w:iCs/>
                <w:szCs w:val="17"/>
                <w:lang w:eastAsia="en-US"/>
              </w:rPr>
            </w:pPr>
            <w:r w:rsidRPr="00E41425">
              <w:rPr>
                <w:rFonts w:asciiTheme="minorHAnsi" w:eastAsia="Times New Roman" w:hAnsiTheme="minorHAnsi"/>
                <w:iCs/>
                <w:szCs w:val="17"/>
                <w:lang w:eastAsia="en-US"/>
              </w:rPr>
              <w:t>$44,183,210</w:t>
            </w:r>
          </w:p>
          <w:p w:rsidR="00F44A10" w:rsidRPr="00880004" w:rsidRDefault="00F44A10" w:rsidP="00E41425">
            <w:pPr>
              <w:keepLines/>
              <w:spacing w:before="40" w:after="40" w:line="200" w:lineRule="atLeast"/>
              <w:jc w:val="center"/>
              <w:rPr>
                <w:rFonts w:asciiTheme="minorHAnsi" w:eastAsia="Times New Roman" w:hAnsiTheme="minorHAnsi"/>
                <w:iCs/>
                <w:szCs w:val="17"/>
                <w:lang w:eastAsia="en-US"/>
              </w:rPr>
            </w:pPr>
            <w:r w:rsidRPr="00E41425">
              <w:rPr>
                <w:rFonts w:asciiTheme="minorHAnsi" w:eastAsia="Times New Roman" w:hAnsiTheme="minorHAnsi"/>
                <w:iCs/>
                <w:szCs w:val="17"/>
                <w:lang w:eastAsia="en-US"/>
              </w:rPr>
              <w:t>1 Jul 2011 - 30 Jun 2018</w:t>
            </w:r>
          </w:p>
        </w:tc>
        <w:tc>
          <w:tcPr>
            <w:tcW w:w="457" w:type="pct"/>
            <w:shd w:val="clear" w:color="auto" w:fill="92D050"/>
            <w:noWrap/>
            <w:vAlign w:val="center"/>
          </w:tcPr>
          <w:p w:rsidR="00F44A10" w:rsidRPr="00880004" w:rsidRDefault="00F44A10" w:rsidP="00E41425">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56" w:type="pct"/>
            <w:shd w:val="clear" w:color="auto" w:fill="92D050"/>
            <w:noWrap/>
            <w:vAlign w:val="center"/>
          </w:tcPr>
          <w:p w:rsidR="00F44A10" w:rsidRPr="00880004" w:rsidRDefault="00F44A10" w:rsidP="00E41425">
            <w:pPr>
              <w:keepLines/>
              <w:spacing w:before="40" w:after="40" w:line="200" w:lineRule="atLeast"/>
              <w:jc w:val="center"/>
              <w:rPr>
                <w:rFonts w:asciiTheme="minorHAnsi" w:eastAsia="Times New Roman" w:hAnsiTheme="minorHAnsi"/>
                <w:iCs/>
                <w:szCs w:val="17"/>
                <w:lang w:eastAsia="en-US"/>
              </w:rPr>
            </w:pPr>
            <w:r w:rsidRPr="002F536B">
              <w:rPr>
                <w:rFonts w:asciiTheme="majorHAnsi" w:hAnsiTheme="majorHAnsi"/>
                <w:sz w:val="16"/>
                <w:szCs w:val="16"/>
              </w:rPr>
              <w:t>5</w:t>
            </w:r>
          </w:p>
        </w:tc>
        <w:tc>
          <w:tcPr>
            <w:tcW w:w="457" w:type="pct"/>
            <w:shd w:val="clear" w:color="auto" w:fill="92D050"/>
            <w:noWrap/>
            <w:vAlign w:val="center"/>
          </w:tcPr>
          <w:p w:rsidR="00F44A10" w:rsidRPr="00880004" w:rsidRDefault="00F44A10" w:rsidP="00E41425">
            <w:pPr>
              <w:keepLines/>
              <w:spacing w:before="40" w:after="40" w:line="200" w:lineRule="atLeast"/>
              <w:jc w:val="center"/>
              <w:rPr>
                <w:rFonts w:asciiTheme="minorHAnsi" w:eastAsia="Times New Roman" w:hAnsiTheme="minorHAnsi"/>
                <w:iCs/>
                <w:szCs w:val="17"/>
                <w:lang w:eastAsia="en-US"/>
              </w:rPr>
            </w:pPr>
            <w:r w:rsidRPr="002F536B">
              <w:rPr>
                <w:rFonts w:asciiTheme="majorHAnsi" w:hAnsiTheme="majorHAnsi"/>
                <w:sz w:val="16"/>
                <w:szCs w:val="16"/>
              </w:rPr>
              <w:t>5</w:t>
            </w:r>
          </w:p>
        </w:tc>
        <w:tc>
          <w:tcPr>
            <w:tcW w:w="456" w:type="pct"/>
            <w:shd w:val="clear" w:color="auto" w:fill="92D050"/>
            <w:noWrap/>
            <w:vAlign w:val="center"/>
          </w:tcPr>
          <w:p w:rsidR="00F44A10" w:rsidRPr="00880004" w:rsidRDefault="00F44A10" w:rsidP="00E41425">
            <w:pPr>
              <w:keepLines/>
              <w:spacing w:before="40" w:after="40" w:line="200" w:lineRule="atLeast"/>
              <w:jc w:val="center"/>
              <w:rPr>
                <w:rFonts w:asciiTheme="minorHAnsi" w:eastAsia="Times New Roman" w:hAnsiTheme="minorHAnsi"/>
                <w:iCs/>
                <w:szCs w:val="17"/>
                <w:lang w:eastAsia="en-US"/>
              </w:rPr>
            </w:pPr>
            <w:r w:rsidRPr="002F536B">
              <w:rPr>
                <w:rFonts w:asciiTheme="majorHAnsi" w:hAnsiTheme="majorHAnsi"/>
                <w:sz w:val="16"/>
                <w:szCs w:val="16"/>
              </w:rPr>
              <w:t>6</w:t>
            </w:r>
          </w:p>
        </w:tc>
        <w:tc>
          <w:tcPr>
            <w:tcW w:w="457" w:type="pct"/>
            <w:shd w:val="clear" w:color="auto" w:fill="FFFF00"/>
            <w:noWrap/>
            <w:vAlign w:val="center"/>
          </w:tcPr>
          <w:p w:rsidR="00F44A10" w:rsidRPr="00880004" w:rsidRDefault="00F44A10" w:rsidP="00E41425">
            <w:pPr>
              <w:keepLines/>
              <w:spacing w:before="40" w:after="40" w:line="200" w:lineRule="atLeast"/>
              <w:jc w:val="center"/>
              <w:rPr>
                <w:rFonts w:asciiTheme="minorHAnsi" w:eastAsia="Times New Roman" w:hAnsiTheme="minorHAnsi"/>
                <w:iCs/>
                <w:szCs w:val="17"/>
                <w:lang w:eastAsia="en-US"/>
              </w:rPr>
            </w:pPr>
            <w:r w:rsidRPr="002F536B">
              <w:rPr>
                <w:rFonts w:asciiTheme="majorHAnsi" w:hAnsiTheme="majorHAnsi"/>
                <w:sz w:val="16"/>
                <w:szCs w:val="16"/>
              </w:rPr>
              <w:t>4</w:t>
            </w:r>
          </w:p>
        </w:tc>
        <w:tc>
          <w:tcPr>
            <w:tcW w:w="456" w:type="pct"/>
            <w:shd w:val="clear" w:color="auto" w:fill="FFFF00"/>
            <w:noWrap/>
            <w:vAlign w:val="center"/>
          </w:tcPr>
          <w:p w:rsidR="00F44A10" w:rsidRPr="00880004" w:rsidRDefault="00F44A10" w:rsidP="00E41425">
            <w:pPr>
              <w:keepLines/>
              <w:spacing w:before="40" w:after="40" w:line="200" w:lineRule="atLeast"/>
              <w:jc w:val="center"/>
              <w:rPr>
                <w:rFonts w:asciiTheme="minorHAnsi" w:eastAsia="Times New Roman" w:hAnsiTheme="minorHAnsi"/>
                <w:iCs/>
                <w:szCs w:val="17"/>
                <w:lang w:eastAsia="en-US"/>
              </w:rPr>
            </w:pPr>
            <w:r w:rsidRPr="002F536B">
              <w:rPr>
                <w:rFonts w:asciiTheme="majorHAnsi" w:hAnsiTheme="majorHAnsi"/>
                <w:sz w:val="16"/>
                <w:szCs w:val="16"/>
              </w:rPr>
              <w:t>4</w:t>
            </w:r>
          </w:p>
        </w:tc>
        <w:tc>
          <w:tcPr>
            <w:tcW w:w="453" w:type="pct"/>
            <w:shd w:val="clear" w:color="auto" w:fill="92D050"/>
            <w:vAlign w:val="center"/>
          </w:tcPr>
          <w:p w:rsidR="00F44A10" w:rsidRPr="00880004" w:rsidRDefault="00F44A10" w:rsidP="00E41425">
            <w:pPr>
              <w:keepLines/>
              <w:spacing w:before="40" w:after="40" w:line="200" w:lineRule="atLeast"/>
              <w:jc w:val="center"/>
              <w:rPr>
                <w:rFonts w:asciiTheme="minorHAnsi" w:eastAsia="Times New Roman" w:hAnsiTheme="minorHAnsi"/>
                <w:iCs/>
                <w:szCs w:val="17"/>
                <w:lang w:eastAsia="en-US"/>
              </w:rPr>
            </w:pPr>
            <w:r w:rsidRPr="002F536B">
              <w:rPr>
                <w:rFonts w:asciiTheme="majorHAnsi" w:hAnsiTheme="majorHAnsi"/>
                <w:sz w:val="16"/>
                <w:szCs w:val="16"/>
              </w:rPr>
              <w:t>5</w:t>
            </w:r>
          </w:p>
        </w:tc>
      </w:tr>
    </w:tbl>
    <w:p w:rsidR="00400B0F" w:rsidRPr="00C61187" w:rsidRDefault="00400B0F" w:rsidP="00400B0F">
      <w:pPr>
        <w:spacing w:before="20" w:after="20" w:line="180" w:lineRule="atLeast"/>
        <w:jc w:val="both"/>
        <w:rPr>
          <w:rFonts w:ascii="Franklin Gothic Book" w:eastAsia="Times New Roman" w:hAnsi="Franklin Gothic Book"/>
          <w:b/>
          <w:sz w:val="14"/>
          <w:szCs w:val="14"/>
        </w:rPr>
      </w:pPr>
    </w:p>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sz w:val="16"/>
          <w:szCs w:val="14"/>
        </w:rPr>
        <w:t>Definitions of rating scale:</w:t>
      </w:r>
      <w:r w:rsidRPr="00880004">
        <w:rPr>
          <w:rFonts w:eastAsia="Times New Roman"/>
          <w:b/>
          <w:sz w:val="16"/>
          <w:szCs w:val="14"/>
        </w:rPr>
        <w:tab/>
      </w:r>
    </w:p>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sz w:val="16"/>
          <w:szCs w:val="14"/>
        </w:rPr>
        <w:t>Satisfactory (4, 5 and 6)</w:t>
      </w:r>
    </w:p>
    <w:p w:rsidR="008B6A51" w:rsidRDefault="00400B0F" w:rsidP="00400B0F">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xml:space="preserve"> 6 = Very good; satisfies criteria in all areas. </w:t>
      </w:r>
    </w:p>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xml:space="preserve"> 5 = Good; satisfies criteria in almost all areas.</w:t>
      </w:r>
    </w:p>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FFFF00"/>
          <w:sz w:val="16"/>
          <w:szCs w:val="14"/>
        </w:rPr>
        <w:sym w:font="Webdings" w:char="F067"/>
      </w:r>
      <w:r w:rsidRPr="00880004">
        <w:rPr>
          <w:rFonts w:eastAsia="Times New Roman"/>
          <w:b/>
          <w:sz w:val="16"/>
          <w:szCs w:val="14"/>
        </w:rPr>
        <w:t xml:space="preserve"> 4 = Adequate; on balance, satisfies criteria; does not fail in any major area.</w:t>
      </w:r>
    </w:p>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sz w:val="16"/>
          <w:szCs w:val="14"/>
        </w:rPr>
        <w:t>Less than satisfactory (1, 2 and 3)</w:t>
      </w:r>
    </w:p>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color w:val="E36C0A"/>
          <w:sz w:val="16"/>
          <w:szCs w:val="14"/>
        </w:rPr>
        <w:t xml:space="preserve"> </w:t>
      </w:r>
      <w:r w:rsidRPr="00880004">
        <w:rPr>
          <w:rFonts w:eastAsia="Times New Roman"/>
          <w:b/>
          <w:sz w:val="16"/>
          <w:szCs w:val="14"/>
        </w:rPr>
        <w:t>3 = Less than adequate; on balance does not satisfy criteria and/or fails in at least one major area.</w:t>
      </w:r>
    </w:p>
    <w:p w:rsidR="0088253D" w:rsidRDefault="00400B0F" w:rsidP="00784031">
      <w:pPr>
        <w:spacing w:before="20" w:after="20" w:line="180" w:lineRule="atLeast"/>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xml:space="preserve"> 2 = Poor; does not satisfy criteria in major areas.  </w:t>
      </w:r>
    </w:p>
    <w:p w:rsidR="006C0282" w:rsidRPr="00604D18" w:rsidRDefault="00400B0F" w:rsidP="00604D18">
      <w:pPr>
        <w:spacing w:before="20" w:after="20" w:line="180" w:lineRule="atLeast"/>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xml:space="preserve"> 1 = Very poor; does not satisfy criteria in many major area.</w:t>
      </w:r>
      <w:r w:rsidR="00604D18">
        <w:rPr>
          <w:rFonts w:eastAsiaTheme="majorEastAsia" w:cstheme="majorBidi"/>
          <w:bCs/>
          <w:iCs/>
          <w:caps/>
          <w:spacing w:val="-10"/>
          <w:kern w:val="28"/>
          <w:sz w:val="38"/>
          <w:szCs w:val="24"/>
        </w:rPr>
        <w:br w:type="page"/>
      </w:r>
    </w:p>
    <w:p w:rsidR="00584657" w:rsidRDefault="00483FC0" w:rsidP="00584657">
      <w:pPr>
        <w:keepNext/>
        <w:tabs>
          <w:tab w:val="left" w:pos="1560"/>
        </w:tabs>
        <w:spacing w:before="360" w:after="120"/>
        <w:outlineLvl w:val="1"/>
        <w:rPr>
          <w:rFonts w:eastAsiaTheme="majorEastAsia" w:cstheme="majorBidi"/>
          <w:bCs/>
          <w:iCs/>
          <w:caps/>
          <w:spacing w:val="-10"/>
          <w:kern w:val="28"/>
          <w:sz w:val="38"/>
          <w:szCs w:val="24"/>
        </w:rPr>
      </w:pPr>
      <w:r w:rsidRPr="00483FC0">
        <w:rPr>
          <w:rFonts w:eastAsiaTheme="majorEastAsia" w:cstheme="majorBidi"/>
          <w:bCs/>
          <w:iCs/>
          <w:caps/>
          <w:spacing w:val="-10"/>
          <w:kern w:val="28"/>
          <w:sz w:val="38"/>
          <w:szCs w:val="24"/>
        </w:rPr>
        <w:lastRenderedPageBreak/>
        <w:t>ANNEX E</w:t>
      </w:r>
      <w:r w:rsidR="003B51B2">
        <w:rPr>
          <w:rFonts w:eastAsiaTheme="majorEastAsia" w:cstheme="majorBidi"/>
          <w:bCs/>
          <w:iCs/>
          <w:caps/>
          <w:spacing w:val="-10"/>
          <w:kern w:val="28"/>
          <w:sz w:val="38"/>
          <w:szCs w:val="24"/>
        </w:rPr>
        <w:t xml:space="preserve"> </w:t>
      </w:r>
      <w:r w:rsidRPr="00483FC0">
        <w:rPr>
          <w:rFonts w:eastAsiaTheme="majorEastAsia" w:cstheme="majorBidi"/>
          <w:bCs/>
          <w:iCs/>
          <w:caps/>
          <w:spacing w:val="-10"/>
          <w:kern w:val="28"/>
          <w:sz w:val="38"/>
          <w:szCs w:val="24"/>
        </w:rPr>
        <w:t xml:space="preserve"> - PERFORMANCE ASSESSMENT FRAMEWORK</w:t>
      </w:r>
      <w:r w:rsidR="00584657">
        <w:rPr>
          <w:rFonts w:eastAsiaTheme="majorEastAsia" w:cstheme="majorBidi"/>
          <w:bCs/>
          <w:iCs/>
          <w:caps/>
          <w:spacing w:val="-10"/>
          <w:kern w:val="28"/>
          <w:sz w:val="38"/>
          <w:szCs w:val="24"/>
        </w:rPr>
        <w:t>*</w:t>
      </w:r>
    </w:p>
    <w:p w:rsidR="00584657" w:rsidRPr="00584657" w:rsidRDefault="00584657" w:rsidP="00584657">
      <w:pPr>
        <w:pStyle w:val="TableSourceNotes"/>
        <w:rPr>
          <w:i/>
        </w:rPr>
      </w:pPr>
      <w:r>
        <w:rPr>
          <w:i/>
          <w:sz w:val="14"/>
        </w:rPr>
        <w:t>*</w:t>
      </w:r>
      <w:r w:rsidRPr="00584657">
        <w:rPr>
          <w:i/>
          <w:sz w:val="14"/>
        </w:rPr>
        <w:t>PAF will be revised and new milestones added when developing the new Aid Investment Plan 2018-2023</w:t>
      </w:r>
    </w:p>
    <w:tbl>
      <w:tblPr>
        <w:tblStyle w:val="TableGrid"/>
        <w:tblW w:w="0" w:type="auto"/>
        <w:tblLook w:val="04A0" w:firstRow="1" w:lastRow="0" w:firstColumn="1" w:lastColumn="0" w:noHBand="0" w:noVBand="1"/>
      </w:tblPr>
      <w:tblGrid>
        <w:gridCol w:w="2890"/>
        <w:gridCol w:w="2890"/>
        <w:gridCol w:w="2890"/>
        <w:gridCol w:w="2891"/>
        <w:gridCol w:w="2891"/>
      </w:tblGrid>
      <w:tr w:rsidR="002B324F" w:rsidTr="002B324F">
        <w:trPr>
          <w:tblHeader/>
        </w:trPr>
        <w:tc>
          <w:tcPr>
            <w:tcW w:w="2890" w:type="dxa"/>
          </w:tcPr>
          <w:p w:rsidR="002B324F" w:rsidRPr="002B324F" w:rsidRDefault="002B324F" w:rsidP="002B324F">
            <w:pPr>
              <w:keepLines/>
              <w:spacing w:before="20" w:after="20" w:line="200" w:lineRule="atLeast"/>
              <w:jc w:val="center"/>
              <w:rPr>
                <w:rFonts w:eastAsia="Times New Roman"/>
                <w:b/>
                <w:iCs/>
                <w:smallCaps/>
                <w:sz w:val="18"/>
                <w:szCs w:val="18"/>
              </w:rPr>
            </w:pPr>
            <w:r w:rsidRPr="002B324F">
              <w:rPr>
                <w:b/>
                <w:sz w:val="18"/>
                <w:szCs w:val="18"/>
              </w:rPr>
              <w:t>Australia’s Aid Objective 1</w:t>
            </w:r>
          </w:p>
        </w:tc>
        <w:tc>
          <w:tcPr>
            <w:tcW w:w="11562" w:type="dxa"/>
            <w:gridSpan w:val="4"/>
            <w:vAlign w:val="center"/>
          </w:tcPr>
          <w:p w:rsidR="002B324F" w:rsidRPr="002B324F" w:rsidRDefault="00E12348" w:rsidP="00E12348">
            <w:pPr>
              <w:keepLines/>
              <w:spacing w:before="20" w:after="20" w:line="200" w:lineRule="atLeast"/>
              <w:jc w:val="center"/>
              <w:rPr>
                <w:rFonts w:eastAsia="Times New Roman"/>
                <w:b/>
                <w:iCs/>
                <w:sz w:val="18"/>
                <w:szCs w:val="18"/>
              </w:rPr>
            </w:pPr>
            <w:r>
              <w:rPr>
                <w:b/>
                <w:sz w:val="18"/>
                <w:szCs w:val="18"/>
              </w:rPr>
              <w:t>ENHANCING THE FOUNDATIONS OF ECONOMIC GROWTH</w:t>
            </w:r>
          </w:p>
        </w:tc>
      </w:tr>
      <w:tr w:rsidR="002B324F" w:rsidTr="00622BA2">
        <w:trPr>
          <w:tblHeader/>
        </w:trPr>
        <w:tc>
          <w:tcPr>
            <w:tcW w:w="2890" w:type="dxa"/>
          </w:tcPr>
          <w:p w:rsidR="002B324F" w:rsidRPr="002B324F" w:rsidRDefault="002B324F" w:rsidP="002B324F">
            <w:pPr>
              <w:keepLines/>
              <w:spacing w:before="20" w:after="20" w:line="200" w:lineRule="atLeast"/>
              <w:jc w:val="center"/>
              <w:rPr>
                <w:b/>
                <w:sz w:val="18"/>
                <w:szCs w:val="18"/>
              </w:rPr>
            </w:pPr>
          </w:p>
        </w:tc>
        <w:tc>
          <w:tcPr>
            <w:tcW w:w="2890" w:type="dxa"/>
          </w:tcPr>
          <w:p w:rsidR="002B324F" w:rsidRPr="002B324F" w:rsidRDefault="002B324F" w:rsidP="002B324F">
            <w:pPr>
              <w:keepLines/>
              <w:spacing w:before="20" w:after="20" w:line="200" w:lineRule="atLeast"/>
              <w:jc w:val="center"/>
              <w:rPr>
                <w:b/>
                <w:sz w:val="18"/>
                <w:szCs w:val="18"/>
              </w:rPr>
            </w:pPr>
          </w:p>
        </w:tc>
        <w:tc>
          <w:tcPr>
            <w:tcW w:w="8672" w:type="dxa"/>
            <w:gridSpan w:val="3"/>
          </w:tcPr>
          <w:p w:rsidR="002B324F" w:rsidRPr="002B324F" w:rsidRDefault="002B324F" w:rsidP="002B324F">
            <w:pPr>
              <w:keepLines/>
              <w:spacing w:before="20" w:after="20" w:line="200" w:lineRule="atLeast"/>
              <w:jc w:val="center"/>
              <w:rPr>
                <w:b/>
                <w:sz w:val="18"/>
                <w:szCs w:val="18"/>
              </w:rPr>
            </w:pPr>
            <w:r w:rsidRPr="002B324F">
              <w:rPr>
                <w:b/>
                <w:iCs/>
                <w:sz w:val="18"/>
                <w:szCs w:val="18"/>
              </w:rPr>
              <w:t>Annual Progress Targets/Milestones</w:t>
            </w:r>
          </w:p>
        </w:tc>
      </w:tr>
      <w:tr w:rsidR="00A71902" w:rsidTr="00A71902">
        <w:trPr>
          <w:tblHeader/>
        </w:trPr>
        <w:tc>
          <w:tcPr>
            <w:tcW w:w="2890" w:type="dxa"/>
          </w:tcPr>
          <w:p w:rsidR="00A71902" w:rsidRPr="002B324F" w:rsidRDefault="00A71902" w:rsidP="002B324F">
            <w:pPr>
              <w:keepLines/>
              <w:spacing w:before="20" w:after="20" w:line="200" w:lineRule="atLeast"/>
              <w:jc w:val="center"/>
              <w:rPr>
                <w:b/>
                <w:sz w:val="18"/>
                <w:szCs w:val="18"/>
              </w:rPr>
            </w:pPr>
            <w:r w:rsidRPr="002B324F">
              <w:rPr>
                <w:b/>
                <w:sz w:val="18"/>
                <w:szCs w:val="18"/>
              </w:rPr>
              <w:t>Intermediate outcome</w:t>
            </w:r>
          </w:p>
        </w:tc>
        <w:tc>
          <w:tcPr>
            <w:tcW w:w="2890" w:type="dxa"/>
          </w:tcPr>
          <w:p w:rsidR="00A71902" w:rsidRPr="002B324F" w:rsidRDefault="00A71902" w:rsidP="002B324F">
            <w:pPr>
              <w:keepLines/>
              <w:spacing w:before="20" w:after="20" w:line="200" w:lineRule="atLeast"/>
              <w:jc w:val="center"/>
              <w:rPr>
                <w:b/>
                <w:sz w:val="18"/>
                <w:szCs w:val="18"/>
              </w:rPr>
            </w:pPr>
            <w:r w:rsidRPr="002B324F">
              <w:rPr>
                <w:b/>
                <w:sz w:val="18"/>
                <w:szCs w:val="18"/>
              </w:rPr>
              <w:t>Intermediate outcome indicators</w:t>
            </w:r>
          </w:p>
        </w:tc>
        <w:tc>
          <w:tcPr>
            <w:tcW w:w="2890" w:type="dxa"/>
          </w:tcPr>
          <w:p w:rsidR="00A71902" w:rsidRPr="002B324F" w:rsidRDefault="00A71902" w:rsidP="002B324F">
            <w:pPr>
              <w:keepLines/>
              <w:spacing w:before="20" w:after="20" w:line="200" w:lineRule="atLeast"/>
              <w:jc w:val="center"/>
              <w:rPr>
                <w:b/>
                <w:sz w:val="18"/>
                <w:szCs w:val="18"/>
              </w:rPr>
            </w:pPr>
            <w:r w:rsidRPr="002B324F">
              <w:rPr>
                <w:b/>
                <w:sz w:val="18"/>
                <w:szCs w:val="18"/>
              </w:rPr>
              <w:t>2016-17</w:t>
            </w:r>
          </w:p>
        </w:tc>
        <w:tc>
          <w:tcPr>
            <w:tcW w:w="2891" w:type="dxa"/>
          </w:tcPr>
          <w:p w:rsidR="00A71902" w:rsidRPr="002B324F" w:rsidRDefault="00A71902" w:rsidP="002B324F">
            <w:pPr>
              <w:keepLines/>
              <w:spacing w:before="20" w:after="20" w:line="200" w:lineRule="atLeast"/>
              <w:jc w:val="center"/>
              <w:rPr>
                <w:b/>
                <w:sz w:val="18"/>
                <w:szCs w:val="18"/>
              </w:rPr>
            </w:pPr>
            <w:r w:rsidRPr="002B324F">
              <w:rPr>
                <w:b/>
                <w:sz w:val="18"/>
                <w:szCs w:val="18"/>
              </w:rPr>
              <w:t>2017-18</w:t>
            </w:r>
          </w:p>
        </w:tc>
        <w:tc>
          <w:tcPr>
            <w:tcW w:w="2891" w:type="dxa"/>
          </w:tcPr>
          <w:p w:rsidR="00A71902" w:rsidRPr="002B324F" w:rsidRDefault="00A71902" w:rsidP="002B324F">
            <w:pPr>
              <w:keepLines/>
              <w:spacing w:before="20" w:after="20" w:line="200" w:lineRule="atLeast"/>
              <w:jc w:val="center"/>
              <w:rPr>
                <w:b/>
                <w:sz w:val="18"/>
                <w:szCs w:val="18"/>
              </w:rPr>
            </w:pPr>
            <w:r w:rsidRPr="002B324F">
              <w:rPr>
                <w:b/>
                <w:sz w:val="18"/>
                <w:szCs w:val="18"/>
              </w:rPr>
              <w:t>Data source and baseline</w:t>
            </w:r>
          </w:p>
        </w:tc>
      </w:tr>
      <w:tr w:rsidR="00A71902" w:rsidTr="00A71902">
        <w:tc>
          <w:tcPr>
            <w:tcW w:w="2890" w:type="dxa"/>
          </w:tcPr>
          <w:p w:rsidR="00A71902" w:rsidRPr="002B324F" w:rsidRDefault="00A71902" w:rsidP="002B324F">
            <w:pPr>
              <w:keepLines/>
              <w:spacing w:before="0" w:after="40" w:line="200" w:lineRule="atLeast"/>
              <w:rPr>
                <w:rFonts w:eastAsia="Times New Roman"/>
                <w:iCs/>
                <w:sz w:val="17"/>
                <w:szCs w:val="17"/>
              </w:rPr>
            </w:pPr>
            <w:r w:rsidRPr="002B324F">
              <w:rPr>
                <w:rFonts w:eastAsia="Times New Roman"/>
                <w:b/>
                <w:iCs/>
                <w:sz w:val="17"/>
                <w:szCs w:val="17"/>
              </w:rPr>
              <w:t>Outcome 1:</w:t>
            </w:r>
            <w:r w:rsidRPr="002B324F">
              <w:rPr>
                <w:rFonts w:eastAsia="Times New Roman"/>
                <w:iCs/>
                <w:sz w:val="17"/>
                <w:szCs w:val="17"/>
              </w:rPr>
              <w:t xml:space="preserve"> Strengthen Philippine Government planning for interconnectivity of transport infrastructure at the national and local levels </w:t>
            </w:r>
          </w:p>
        </w:tc>
        <w:tc>
          <w:tcPr>
            <w:tcW w:w="2890" w:type="dxa"/>
          </w:tcPr>
          <w:p w:rsidR="00A71902" w:rsidRDefault="00A71902" w:rsidP="002B324F">
            <w:pPr>
              <w:keepLines/>
              <w:spacing w:before="0" w:after="40" w:line="200" w:lineRule="atLeast"/>
              <w:rPr>
                <w:rFonts w:eastAsia="Times New Roman"/>
                <w:iCs/>
                <w:sz w:val="17"/>
                <w:szCs w:val="17"/>
              </w:rPr>
            </w:pPr>
            <w:r w:rsidRPr="002B324F">
              <w:rPr>
                <w:rFonts w:eastAsia="Times New Roman"/>
                <w:iCs/>
                <w:sz w:val="17"/>
                <w:szCs w:val="17"/>
              </w:rPr>
              <w:t xml:space="preserve">Key transport planning and project bottlenecks are addressed </w:t>
            </w:r>
            <w:r w:rsidR="002E2938">
              <w:rPr>
                <w:rFonts w:eastAsia="Times New Roman"/>
                <w:iCs/>
                <w:sz w:val="17"/>
                <w:szCs w:val="17"/>
              </w:rPr>
              <w:t xml:space="preserve">as measured through: </w:t>
            </w:r>
          </w:p>
          <w:p w:rsidR="002E2938" w:rsidRPr="002E2938" w:rsidRDefault="002E2938" w:rsidP="002E2938">
            <w:pPr>
              <w:pStyle w:val="ListParagraph"/>
              <w:keepLines/>
              <w:numPr>
                <w:ilvl w:val="0"/>
                <w:numId w:val="17"/>
              </w:numPr>
              <w:spacing w:after="40" w:line="200" w:lineRule="atLeast"/>
              <w:ind w:left="261" w:hanging="219"/>
              <w:rPr>
                <w:rFonts w:asciiTheme="minorHAnsi" w:hAnsiTheme="minorHAnsi"/>
                <w:iCs/>
                <w:sz w:val="17"/>
                <w:szCs w:val="17"/>
              </w:rPr>
            </w:pPr>
            <w:r w:rsidRPr="002E2938">
              <w:rPr>
                <w:rFonts w:asciiTheme="minorHAnsi" w:hAnsiTheme="minorHAnsi"/>
                <w:iCs/>
                <w:color w:val="495965" w:themeColor="text2"/>
                <w:sz w:val="17"/>
                <w:szCs w:val="17"/>
              </w:rPr>
              <w:t>Provision of technical assistance and capacity building</w:t>
            </w:r>
          </w:p>
        </w:tc>
        <w:tc>
          <w:tcPr>
            <w:tcW w:w="2890" w:type="dxa"/>
          </w:tcPr>
          <w:p w:rsidR="00A71902" w:rsidRPr="002B324F" w:rsidRDefault="00A71902" w:rsidP="002B324F">
            <w:pPr>
              <w:keepLines/>
              <w:spacing w:before="0" w:after="40" w:line="200" w:lineRule="atLeast"/>
              <w:rPr>
                <w:rFonts w:eastAsia="Times New Roman"/>
                <w:iCs/>
                <w:sz w:val="17"/>
                <w:szCs w:val="17"/>
              </w:rPr>
            </w:pPr>
            <w:r w:rsidRPr="002B324F">
              <w:rPr>
                <w:rFonts w:eastAsia="Times New Roman"/>
                <w:iCs/>
                <w:sz w:val="17"/>
                <w:szCs w:val="17"/>
              </w:rPr>
              <w:t>Technical assistance activities on procurement, Right-of-Way acquisition, and information management for the Department of Transportation (DOTr) are completed by 30 June 2017</w:t>
            </w:r>
          </w:p>
          <w:p w:rsidR="00A71902" w:rsidRPr="002B324F" w:rsidRDefault="00A71902" w:rsidP="002B324F">
            <w:pPr>
              <w:keepLines/>
              <w:spacing w:before="0" w:after="40" w:line="200" w:lineRule="atLeast"/>
              <w:rPr>
                <w:rFonts w:eastAsia="Times New Roman"/>
                <w:iCs/>
                <w:sz w:val="17"/>
                <w:szCs w:val="17"/>
              </w:rPr>
            </w:pPr>
            <w:r w:rsidRPr="002B324F">
              <w:rPr>
                <w:rFonts w:eastAsia="Times New Roman"/>
                <w:iCs/>
                <w:sz w:val="17"/>
                <w:szCs w:val="17"/>
              </w:rPr>
              <w:t>Design of new aid investment in infrastructure is completed</w:t>
            </w:r>
          </w:p>
        </w:tc>
        <w:tc>
          <w:tcPr>
            <w:tcW w:w="2891" w:type="dxa"/>
          </w:tcPr>
          <w:p w:rsidR="00A71902" w:rsidRPr="002B324F" w:rsidRDefault="00A71902" w:rsidP="002B324F">
            <w:pPr>
              <w:keepLines/>
              <w:spacing w:before="0" w:after="40" w:line="200" w:lineRule="atLeast"/>
              <w:rPr>
                <w:rFonts w:eastAsia="Times New Roman"/>
                <w:iCs/>
                <w:sz w:val="17"/>
                <w:szCs w:val="17"/>
              </w:rPr>
            </w:pPr>
            <w:r w:rsidRPr="002B324F">
              <w:rPr>
                <w:rFonts w:eastAsia="Times New Roman"/>
                <w:iCs/>
                <w:sz w:val="17"/>
                <w:szCs w:val="17"/>
              </w:rPr>
              <w:t>Four activities to strengthen the Philippine Department of Transportation (DOTr) implementation capacity (covering procurement, right-of-way acquisition, organisational restructuring, and rail management) implemented</w:t>
            </w:r>
          </w:p>
        </w:tc>
        <w:tc>
          <w:tcPr>
            <w:tcW w:w="2891" w:type="dxa"/>
          </w:tcPr>
          <w:p w:rsidR="00A71902" w:rsidRPr="002B324F" w:rsidRDefault="00A71902" w:rsidP="002B324F">
            <w:pPr>
              <w:keepLines/>
              <w:spacing w:before="0" w:after="40" w:line="200" w:lineRule="atLeast"/>
              <w:rPr>
                <w:rFonts w:eastAsia="Times New Roman"/>
                <w:iCs/>
                <w:sz w:val="17"/>
                <w:szCs w:val="17"/>
              </w:rPr>
            </w:pPr>
            <w:r w:rsidRPr="002B324F">
              <w:rPr>
                <w:rFonts w:eastAsia="Times New Roman"/>
                <w:iCs/>
                <w:sz w:val="17"/>
                <w:szCs w:val="17"/>
              </w:rPr>
              <w:t>Public Financial Management Program (PFMP) Monitoring and Evaluation (M&amp;E) Reports</w:t>
            </w:r>
          </w:p>
          <w:p w:rsidR="00A71902" w:rsidRPr="002B324F" w:rsidRDefault="00A71902" w:rsidP="002B324F">
            <w:pPr>
              <w:keepLines/>
              <w:spacing w:before="0" w:after="40" w:line="200" w:lineRule="atLeast"/>
              <w:rPr>
                <w:rFonts w:eastAsia="Times New Roman"/>
                <w:iCs/>
                <w:sz w:val="17"/>
                <w:szCs w:val="17"/>
              </w:rPr>
            </w:pPr>
            <w:r w:rsidRPr="002B324F">
              <w:rPr>
                <w:rFonts w:eastAsia="Times New Roman"/>
                <w:iCs/>
                <w:sz w:val="17"/>
                <w:szCs w:val="17"/>
              </w:rPr>
              <w:t>DFAT internal reports (Investment concept and design documents)</w:t>
            </w:r>
          </w:p>
        </w:tc>
      </w:tr>
      <w:tr w:rsidR="00A71902" w:rsidTr="00A71902">
        <w:tc>
          <w:tcPr>
            <w:tcW w:w="2890" w:type="dxa"/>
          </w:tcPr>
          <w:p w:rsidR="00A71902" w:rsidRPr="002B324F" w:rsidRDefault="00A71902" w:rsidP="002B324F">
            <w:pPr>
              <w:keepLines/>
              <w:spacing w:before="0" w:after="40" w:line="200" w:lineRule="atLeast"/>
              <w:rPr>
                <w:rFonts w:eastAsia="Times New Roman"/>
                <w:iCs/>
                <w:sz w:val="17"/>
                <w:szCs w:val="17"/>
              </w:rPr>
            </w:pPr>
            <w:r w:rsidRPr="002B324F">
              <w:rPr>
                <w:rFonts w:eastAsia="Times New Roman"/>
                <w:b/>
                <w:iCs/>
                <w:sz w:val="17"/>
                <w:szCs w:val="17"/>
              </w:rPr>
              <w:t>Outcome 2:</w:t>
            </w:r>
            <w:r w:rsidRPr="002B324F">
              <w:rPr>
                <w:rFonts w:eastAsia="Times New Roman"/>
                <w:iCs/>
                <w:sz w:val="17"/>
                <w:szCs w:val="17"/>
              </w:rPr>
              <w:t xml:space="preserve"> Improve Philippine Government capacity to promote, develop, and implement Public Private Partnership (PPP) projects</w:t>
            </w:r>
          </w:p>
        </w:tc>
        <w:tc>
          <w:tcPr>
            <w:tcW w:w="2890" w:type="dxa"/>
          </w:tcPr>
          <w:p w:rsidR="00A71902" w:rsidRDefault="00A71902" w:rsidP="002B324F">
            <w:pPr>
              <w:keepLines/>
              <w:spacing w:before="0" w:after="40" w:line="200" w:lineRule="atLeast"/>
              <w:rPr>
                <w:rFonts w:eastAsia="Times New Roman"/>
                <w:iCs/>
                <w:sz w:val="17"/>
                <w:szCs w:val="17"/>
              </w:rPr>
            </w:pPr>
            <w:r w:rsidRPr="002B324F">
              <w:rPr>
                <w:rFonts w:eastAsia="Times New Roman"/>
                <w:iCs/>
                <w:sz w:val="17"/>
                <w:szCs w:val="17"/>
              </w:rPr>
              <w:t xml:space="preserve">Capacity of implementing agencies to ensure probity of PPP project procurement and quality construction of PPP projects are strengthened </w:t>
            </w:r>
            <w:r w:rsidR="002E2938">
              <w:rPr>
                <w:rFonts w:eastAsia="Times New Roman"/>
                <w:iCs/>
                <w:sz w:val="17"/>
                <w:szCs w:val="17"/>
              </w:rPr>
              <w:t xml:space="preserve">as measured through: </w:t>
            </w:r>
          </w:p>
          <w:p w:rsidR="002E2938" w:rsidRPr="002E2938" w:rsidRDefault="002E2938" w:rsidP="002E2938">
            <w:pPr>
              <w:pStyle w:val="ListParagraph"/>
              <w:keepLines/>
              <w:numPr>
                <w:ilvl w:val="0"/>
                <w:numId w:val="17"/>
              </w:numPr>
              <w:spacing w:after="40" w:line="200" w:lineRule="atLeast"/>
              <w:ind w:left="261" w:hanging="219"/>
              <w:rPr>
                <w:rFonts w:asciiTheme="minorHAnsi" w:hAnsiTheme="minorHAnsi"/>
                <w:iCs/>
                <w:color w:val="495965" w:themeColor="text2"/>
                <w:sz w:val="17"/>
                <w:szCs w:val="17"/>
              </w:rPr>
            </w:pPr>
            <w:r w:rsidRPr="002E2938">
              <w:rPr>
                <w:rFonts w:asciiTheme="minorHAnsi" w:hAnsiTheme="minorHAnsi"/>
                <w:iCs/>
                <w:color w:val="495965" w:themeColor="text2"/>
                <w:sz w:val="17"/>
                <w:szCs w:val="17"/>
              </w:rPr>
              <w:t>Improved policy frameworks governing PPPs</w:t>
            </w:r>
          </w:p>
          <w:p w:rsidR="002E2938" w:rsidRDefault="00A71902" w:rsidP="002B324F">
            <w:pPr>
              <w:keepLines/>
              <w:spacing w:before="0" w:after="40" w:line="200" w:lineRule="atLeast"/>
              <w:rPr>
                <w:rFonts w:eastAsia="Times New Roman"/>
                <w:iCs/>
                <w:sz w:val="17"/>
                <w:szCs w:val="17"/>
              </w:rPr>
            </w:pPr>
            <w:r w:rsidRPr="002B324F">
              <w:rPr>
                <w:rFonts w:eastAsia="Times New Roman"/>
                <w:iCs/>
                <w:sz w:val="17"/>
                <w:szCs w:val="17"/>
              </w:rPr>
              <w:t>Well-structured bankable PPP projects developed</w:t>
            </w:r>
            <w:r w:rsidR="002E2938">
              <w:rPr>
                <w:rFonts w:eastAsia="Times New Roman"/>
                <w:iCs/>
                <w:sz w:val="17"/>
                <w:szCs w:val="17"/>
              </w:rPr>
              <w:t xml:space="preserve"> as measured through </w:t>
            </w:r>
          </w:p>
          <w:p w:rsidR="00A71902" w:rsidRPr="002B324F" w:rsidRDefault="002E2938" w:rsidP="002E2938">
            <w:pPr>
              <w:pStyle w:val="ListParagraph"/>
              <w:keepLines/>
              <w:numPr>
                <w:ilvl w:val="0"/>
                <w:numId w:val="17"/>
              </w:numPr>
              <w:spacing w:after="40" w:line="200" w:lineRule="atLeast"/>
              <w:ind w:left="261" w:hanging="219"/>
              <w:rPr>
                <w:rFonts w:asciiTheme="minorHAnsi" w:hAnsiTheme="minorHAnsi"/>
                <w:iCs/>
                <w:sz w:val="17"/>
                <w:szCs w:val="17"/>
              </w:rPr>
            </w:pPr>
            <w:r w:rsidRPr="002E2938">
              <w:rPr>
                <w:rFonts w:asciiTheme="minorHAnsi" w:hAnsiTheme="minorHAnsi"/>
                <w:iCs/>
                <w:color w:val="495965" w:themeColor="text2"/>
                <w:sz w:val="17"/>
                <w:szCs w:val="17"/>
              </w:rPr>
              <w:t>ICC approval of PDMF projects</w:t>
            </w:r>
          </w:p>
        </w:tc>
        <w:tc>
          <w:tcPr>
            <w:tcW w:w="2890" w:type="dxa"/>
          </w:tcPr>
          <w:p w:rsidR="00A71902" w:rsidRPr="002B324F" w:rsidRDefault="00A71902" w:rsidP="002B324F">
            <w:pPr>
              <w:keepLines/>
              <w:spacing w:before="0" w:after="40" w:line="200" w:lineRule="atLeast"/>
              <w:rPr>
                <w:rFonts w:eastAsia="Times New Roman"/>
                <w:iCs/>
                <w:sz w:val="17"/>
                <w:szCs w:val="17"/>
              </w:rPr>
            </w:pPr>
            <w:r w:rsidRPr="002B324F">
              <w:rPr>
                <w:rFonts w:eastAsia="Times New Roman"/>
                <w:iCs/>
                <w:sz w:val="17"/>
                <w:szCs w:val="17"/>
              </w:rPr>
              <w:t>Negotiate new technical assistance project on probity and independent construction supervision consultants by 30 June 2017</w:t>
            </w:r>
          </w:p>
          <w:p w:rsidR="00A71902" w:rsidRPr="002B324F" w:rsidRDefault="00A71902" w:rsidP="002B324F">
            <w:pPr>
              <w:keepLines/>
              <w:spacing w:before="0" w:after="40" w:line="200" w:lineRule="atLeast"/>
              <w:rPr>
                <w:rFonts w:eastAsia="Times New Roman"/>
                <w:iCs/>
                <w:sz w:val="17"/>
                <w:szCs w:val="17"/>
              </w:rPr>
            </w:pPr>
            <w:r w:rsidRPr="002B324F">
              <w:rPr>
                <w:rFonts w:eastAsia="Times New Roman"/>
                <w:iCs/>
                <w:sz w:val="17"/>
                <w:szCs w:val="17"/>
              </w:rPr>
              <w:t>At least five PDMF-support projects approved by Investment Coordinating Committee by 30 December 2016</w:t>
            </w:r>
          </w:p>
        </w:tc>
        <w:tc>
          <w:tcPr>
            <w:tcW w:w="2891" w:type="dxa"/>
          </w:tcPr>
          <w:p w:rsidR="00A71902" w:rsidRPr="002B324F" w:rsidRDefault="00A71902" w:rsidP="002B324F">
            <w:pPr>
              <w:keepLines/>
              <w:spacing w:before="0" w:after="40" w:line="200" w:lineRule="atLeast"/>
              <w:rPr>
                <w:rFonts w:eastAsia="Times New Roman"/>
                <w:iCs/>
                <w:sz w:val="17"/>
                <w:szCs w:val="17"/>
              </w:rPr>
            </w:pPr>
            <w:r w:rsidRPr="002B324F">
              <w:rPr>
                <w:rFonts w:eastAsia="Times New Roman"/>
                <w:iCs/>
                <w:sz w:val="17"/>
                <w:szCs w:val="17"/>
              </w:rPr>
              <w:t>By end 2017, ten policy circulars issued by PPP Governing Board to strengthen legal/regulatory enabling environment for PPPs</w:t>
            </w:r>
          </w:p>
          <w:p w:rsidR="00A71902" w:rsidRDefault="00A71902" w:rsidP="002B324F">
            <w:pPr>
              <w:keepLines/>
              <w:spacing w:before="0" w:after="40" w:line="200" w:lineRule="atLeast"/>
              <w:rPr>
                <w:rFonts w:eastAsia="Times New Roman"/>
                <w:iCs/>
                <w:sz w:val="17"/>
                <w:szCs w:val="17"/>
              </w:rPr>
            </w:pPr>
            <w:r w:rsidRPr="002B324F">
              <w:rPr>
                <w:rFonts w:eastAsia="Times New Roman"/>
                <w:iCs/>
                <w:sz w:val="17"/>
                <w:szCs w:val="17"/>
              </w:rPr>
              <w:t>Draft PPP Act (which will amend and replace the current BOT Law) has been filed in Congress</w:t>
            </w:r>
          </w:p>
          <w:p w:rsidR="00622BA2" w:rsidRPr="002B324F" w:rsidRDefault="00E13757" w:rsidP="00E13757">
            <w:pPr>
              <w:keepLines/>
              <w:spacing w:before="0" w:after="40" w:line="200" w:lineRule="atLeast"/>
              <w:rPr>
                <w:rFonts w:eastAsia="Times New Roman"/>
                <w:iCs/>
                <w:sz w:val="17"/>
                <w:szCs w:val="17"/>
              </w:rPr>
            </w:pPr>
            <w:r w:rsidRPr="001312E6">
              <w:rPr>
                <w:rFonts w:eastAsia="Times New Roman"/>
                <w:iCs/>
                <w:sz w:val="17"/>
                <w:szCs w:val="17"/>
              </w:rPr>
              <w:t>17</w:t>
            </w:r>
            <w:r w:rsidR="00622BA2" w:rsidRPr="001312E6">
              <w:rPr>
                <w:rFonts w:eastAsia="Times New Roman"/>
                <w:iCs/>
                <w:sz w:val="17"/>
                <w:szCs w:val="17"/>
              </w:rPr>
              <w:t xml:space="preserve"> Competitively tendered PPP projects since 1 July 2015</w:t>
            </w:r>
          </w:p>
        </w:tc>
        <w:tc>
          <w:tcPr>
            <w:tcW w:w="2891" w:type="dxa"/>
          </w:tcPr>
          <w:p w:rsidR="00A71902" w:rsidRPr="002B324F" w:rsidRDefault="00A71902" w:rsidP="002B324F">
            <w:pPr>
              <w:keepLines/>
              <w:spacing w:before="0" w:after="40" w:line="200" w:lineRule="atLeast"/>
              <w:rPr>
                <w:rFonts w:eastAsia="Times New Roman"/>
                <w:iCs/>
                <w:sz w:val="17"/>
                <w:szCs w:val="17"/>
              </w:rPr>
            </w:pPr>
            <w:r w:rsidRPr="002B324F">
              <w:rPr>
                <w:rFonts w:eastAsia="Times New Roman"/>
                <w:iCs/>
                <w:sz w:val="17"/>
                <w:szCs w:val="17"/>
              </w:rPr>
              <w:t>DFAT internal reports</w:t>
            </w:r>
          </w:p>
          <w:p w:rsidR="00A71902" w:rsidRPr="002B324F" w:rsidRDefault="00A71902" w:rsidP="002B324F">
            <w:pPr>
              <w:keepLines/>
              <w:spacing w:before="0" w:after="40" w:line="200" w:lineRule="atLeast"/>
              <w:rPr>
                <w:rFonts w:eastAsia="Times New Roman"/>
                <w:iCs/>
                <w:sz w:val="17"/>
                <w:szCs w:val="17"/>
              </w:rPr>
            </w:pPr>
            <w:r w:rsidRPr="002B324F">
              <w:rPr>
                <w:rFonts w:eastAsia="Times New Roman"/>
                <w:iCs/>
                <w:sz w:val="17"/>
                <w:szCs w:val="17"/>
              </w:rPr>
              <w:t>ADB PPP Technical Adviser Quarterly Reports</w:t>
            </w:r>
          </w:p>
          <w:p w:rsidR="00A71902" w:rsidRPr="002B324F" w:rsidRDefault="00A71902" w:rsidP="002B324F">
            <w:pPr>
              <w:keepLines/>
              <w:spacing w:before="0" w:after="40" w:line="200" w:lineRule="atLeast"/>
              <w:rPr>
                <w:rFonts w:eastAsia="Times New Roman"/>
                <w:iCs/>
                <w:sz w:val="17"/>
                <w:szCs w:val="17"/>
              </w:rPr>
            </w:pPr>
            <w:r w:rsidRPr="002B324F">
              <w:rPr>
                <w:rFonts w:eastAsia="Times New Roman"/>
                <w:iCs/>
                <w:sz w:val="17"/>
                <w:szCs w:val="17"/>
              </w:rPr>
              <w:t>PPP Centre website</w:t>
            </w:r>
          </w:p>
          <w:p w:rsidR="00A71902" w:rsidRPr="002B324F" w:rsidRDefault="00A71902" w:rsidP="002B324F">
            <w:pPr>
              <w:keepLines/>
              <w:spacing w:before="0" w:after="40" w:line="200" w:lineRule="atLeast"/>
              <w:rPr>
                <w:rFonts w:eastAsia="Times New Roman"/>
                <w:iCs/>
                <w:sz w:val="17"/>
                <w:szCs w:val="17"/>
              </w:rPr>
            </w:pPr>
            <w:r w:rsidRPr="002B324F">
              <w:rPr>
                <w:rFonts w:eastAsia="Times New Roman"/>
                <w:iCs/>
                <w:sz w:val="17"/>
                <w:szCs w:val="17"/>
              </w:rPr>
              <w:t>ADB Capacity Development Technical Assistance Six-monthly Reports</w:t>
            </w:r>
          </w:p>
          <w:p w:rsidR="00A71902" w:rsidRPr="002B324F" w:rsidRDefault="00A71902" w:rsidP="002B324F">
            <w:pPr>
              <w:keepLines/>
              <w:spacing w:before="0" w:after="40" w:line="200" w:lineRule="atLeast"/>
              <w:rPr>
                <w:rFonts w:eastAsia="Times New Roman"/>
                <w:iCs/>
                <w:sz w:val="17"/>
                <w:szCs w:val="17"/>
              </w:rPr>
            </w:pPr>
            <w:r w:rsidRPr="002B324F">
              <w:rPr>
                <w:rFonts w:eastAsia="Times New Roman"/>
                <w:iCs/>
                <w:sz w:val="17"/>
                <w:szCs w:val="17"/>
              </w:rPr>
              <w:t>Baseline (1 July 2015): Nine (9) competitively tendered PPP projects awarded</w:t>
            </w:r>
          </w:p>
        </w:tc>
      </w:tr>
      <w:tr w:rsidR="00A71902" w:rsidTr="00A71902">
        <w:tc>
          <w:tcPr>
            <w:tcW w:w="2890" w:type="dxa"/>
          </w:tcPr>
          <w:p w:rsidR="00A71902" w:rsidRPr="002B324F" w:rsidRDefault="00A71902" w:rsidP="002B324F">
            <w:pPr>
              <w:keepLines/>
              <w:spacing w:before="0" w:after="40" w:line="200" w:lineRule="atLeast"/>
              <w:rPr>
                <w:rFonts w:eastAsia="Times New Roman"/>
                <w:iCs/>
                <w:sz w:val="17"/>
                <w:szCs w:val="17"/>
              </w:rPr>
            </w:pPr>
            <w:r w:rsidRPr="002B324F">
              <w:rPr>
                <w:rFonts w:eastAsia="Times New Roman"/>
                <w:b/>
                <w:iCs/>
                <w:sz w:val="17"/>
                <w:szCs w:val="17"/>
              </w:rPr>
              <w:t>Outcome 3:</w:t>
            </w:r>
            <w:r w:rsidRPr="002B324F">
              <w:rPr>
                <w:rFonts w:eastAsia="Times New Roman"/>
                <w:iCs/>
                <w:sz w:val="17"/>
                <w:szCs w:val="17"/>
              </w:rPr>
              <w:t xml:space="preserve"> Contribute to Australia’s commitment to increase Aid for Trade spending to 20 per cent of the aid program</w:t>
            </w:r>
          </w:p>
        </w:tc>
        <w:tc>
          <w:tcPr>
            <w:tcW w:w="2890" w:type="dxa"/>
          </w:tcPr>
          <w:p w:rsidR="00A71902" w:rsidRPr="002B324F" w:rsidRDefault="00A71902" w:rsidP="002B324F">
            <w:pPr>
              <w:keepLines/>
              <w:spacing w:before="0" w:after="40" w:line="200" w:lineRule="atLeast"/>
              <w:rPr>
                <w:rFonts w:eastAsia="Times New Roman"/>
                <w:iCs/>
                <w:sz w:val="17"/>
                <w:szCs w:val="17"/>
              </w:rPr>
            </w:pPr>
            <w:r w:rsidRPr="002B324F">
              <w:rPr>
                <w:rFonts w:eastAsia="Times New Roman"/>
                <w:iCs/>
                <w:sz w:val="17"/>
                <w:szCs w:val="17"/>
              </w:rPr>
              <w:t>New Trade and Inclusive Economic Growth Facility out to tender</w:t>
            </w:r>
          </w:p>
          <w:p w:rsidR="00A71902" w:rsidRPr="002B324F" w:rsidRDefault="00A71902" w:rsidP="002B324F">
            <w:pPr>
              <w:keepLines/>
              <w:spacing w:before="0" w:after="40" w:line="200" w:lineRule="atLeast"/>
              <w:rPr>
                <w:rFonts w:eastAsia="Times New Roman"/>
                <w:iCs/>
                <w:sz w:val="17"/>
                <w:szCs w:val="17"/>
              </w:rPr>
            </w:pPr>
          </w:p>
        </w:tc>
        <w:tc>
          <w:tcPr>
            <w:tcW w:w="2890" w:type="dxa"/>
          </w:tcPr>
          <w:p w:rsidR="00A71902" w:rsidRPr="002B324F" w:rsidRDefault="00A71902" w:rsidP="002B324F">
            <w:pPr>
              <w:keepLines/>
              <w:spacing w:before="0" w:after="40" w:line="200" w:lineRule="atLeast"/>
              <w:rPr>
                <w:rFonts w:eastAsia="Times New Roman"/>
                <w:iCs/>
                <w:sz w:val="17"/>
                <w:szCs w:val="17"/>
              </w:rPr>
            </w:pPr>
            <w:r w:rsidRPr="002B324F">
              <w:rPr>
                <w:rFonts w:eastAsia="Times New Roman"/>
                <w:iCs/>
                <w:sz w:val="17"/>
                <w:szCs w:val="17"/>
              </w:rPr>
              <w:t>Trade and Inclusive Economic Growth Facility out to tender in March 2017</w:t>
            </w:r>
          </w:p>
        </w:tc>
        <w:tc>
          <w:tcPr>
            <w:tcW w:w="2891" w:type="dxa"/>
          </w:tcPr>
          <w:p w:rsidR="00A71902" w:rsidRPr="002B324F" w:rsidRDefault="00622BA2" w:rsidP="00622BA2">
            <w:pPr>
              <w:keepLines/>
              <w:spacing w:before="0" w:after="40" w:line="200" w:lineRule="atLeast"/>
              <w:rPr>
                <w:rFonts w:eastAsia="Times New Roman"/>
                <w:iCs/>
                <w:sz w:val="17"/>
                <w:szCs w:val="17"/>
              </w:rPr>
            </w:pPr>
            <w:r>
              <w:rPr>
                <w:rFonts w:eastAsia="Times New Roman"/>
                <w:iCs/>
                <w:sz w:val="17"/>
                <w:szCs w:val="17"/>
              </w:rPr>
              <w:t>Facility approved by ICC Technical Board in October 2017. Subsequently, t</w:t>
            </w:r>
            <w:r w:rsidR="00A71902" w:rsidRPr="002B324F">
              <w:rPr>
                <w:rFonts w:eastAsia="Times New Roman"/>
                <w:iCs/>
                <w:sz w:val="17"/>
                <w:szCs w:val="17"/>
              </w:rPr>
              <w:t>he Philippine government decided not to proceed with the Facility</w:t>
            </w:r>
            <w:r>
              <w:rPr>
                <w:rFonts w:eastAsia="Times New Roman"/>
                <w:iCs/>
                <w:sz w:val="17"/>
                <w:szCs w:val="17"/>
              </w:rPr>
              <w:t>.</w:t>
            </w:r>
          </w:p>
        </w:tc>
        <w:tc>
          <w:tcPr>
            <w:tcW w:w="2891" w:type="dxa"/>
          </w:tcPr>
          <w:p w:rsidR="00A71902" w:rsidRPr="002B324F" w:rsidRDefault="00A71902" w:rsidP="002B324F">
            <w:pPr>
              <w:keepLines/>
              <w:spacing w:before="0" w:after="40" w:line="200" w:lineRule="atLeast"/>
              <w:rPr>
                <w:rFonts w:eastAsia="Times New Roman"/>
                <w:iCs/>
                <w:sz w:val="17"/>
                <w:szCs w:val="17"/>
              </w:rPr>
            </w:pPr>
            <w:r w:rsidRPr="002B324F">
              <w:rPr>
                <w:rFonts w:eastAsia="Times New Roman"/>
                <w:iCs/>
                <w:sz w:val="17"/>
                <w:szCs w:val="17"/>
              </w:rPr>
              <w:t>DFAT internal reports (Investment concept and design documents</w:t>
            </w:r>
            <w:r w:rsidR="00622BA2">
              <w:rPr>
                <w:rFonts w:eastAsia="Times New Roman"/>
                <w:iCs/>
                <w:sz w:val="17"/>
                <w:szCs w:val="17"/>
              </w:rPr>
              <w:t>)</w:t>
            </w:r>
            <w:r w:rsidRPr="002B324F">
              <w:rPr>
                <w:rFonts w:eastAsia="Times New Roman"/>
                <w:iCs/>
                <w:sz w:val="17"/>
                <w:szCs w:val="17"/>
              </w:rPr>
              <w:t>; confirmed via AusTender</w:t>
            </w:r>
          </w:p>
        </w:tc>
      </w:tr>
      <w:tr w:rsidR="00622BA2" w:rsidTr="00A71902">
        <w:tc>
          <w:tcPr>
            <w:tcW w:w="2890" w:type="dxa"/>
            <w:vMerge w:val="restart"/>
          </w:tcPr>
          <w:p w:rsidR="00622BA2" w:rsidRPr="002B324F" w:rsidRDefault="00622BA2" w:rsidP="002B324F">
            <w:pPr>
              <w:keepLines/>
              <w:spacing w:before="0" w:after="40" w:line="200" w:lineRule="atLeast"/>
              <w:rPr>
                <w:rFonts w:eastAsia="Times New Roman"/>
                <w:iCs/>
                <w:sz w:val="17"/>
                <w:szCs w:val="17"/>
              </w:rPr>
            </w:pPr>
            <w:r w:rsidRPr="002B324F">
              <w:rPr>
                <w:rFonts w:eastAsia="Times New Roman"/>
                <w:b/>
                <w:iCs/>
                <w:sz w:val="17"/>
                <w:szCs w:val="17"/>
              </w:rPr>
              <w:t>Outcome 4:</w:t>
            </w:r>
            <w:r w:rsidRPr="002B324F">
              <w:rPr>
                <w:rFonts w:eastAsia="Times New Roman"/>
                <w:iCs/>
                <w:sz w:val="17"/>
                <w:szCs w:val="17"/>
              </w:rPr>
              <w:t xml:space="preserve"> Quick and responsive Australian humanitarian assistance to the Philippines </w:t>
            </w:r>
          </w:p>
        </w:tc>
        <w:tc>
          <w:tcPr>
            <w:tcW w:w="2890" w:type="dxa"/>
          </w:tcPr>
          <w:p w:rsidR="00622BA2" w:rsidRDefault="00622BA2" w:rsidP="002B324F">
            <w:pPr>
              <w:keepLines/>
              <w:spacing w:before="0" w:after="40" w:line="200" w:lineRule="atLeast"/>
              <w:rPr>
                <w:rFonts w:eastAsia="Times New Roman"/>
                <w:iCs/>
                <w:sz w:val="17"/>
                <w:szCs w:val="17"/>
              </w:rPr>
            </w:pPr>
            <w:r w:rsidRPr="002B324F">
              <w:rPr>
                <w:rFonts w:eastAsia="Times New Roman"/>
                <w:iCs/>
                <w:sz w:val="17"/>
                <w:szCs w:val="17"/>
              </w:rPr>
              <w:t>Capacity of partners strengthened and partnerships sustained to coordinate, mobilise and respond to natural disasters</w:t>
            </w:r>
            <w:r>
              <w:rPr>
                <w:rFonts w:eastAsia="Times New Roman"/>
                <w:iCs/>
                <w:sz w:val="17"/>
                <w:szCs w:val="17"/>
              </w:rPr>
              <w:t xml:space="preserve"> as measured by: </w:t>
            </w:r>
          </w:p>
          <w:p w:rsidR="00622BA2" w:rsidRPr="002E2938" w:rsidRDefault="00622BA2" w:rsidP="002E2938">
            <w:pPr>
              <w:pStyle w:val="ListParagraph"/>
              <w:keepLines/>
              <w:numPr>
                <w:ilvl w:val="0"/>
                <w:numId w:val="17"/>
              </w:numPr>
              <w:spacing w:after="40" w:line="200" w:lineRule="atLeast"/>
              <w:ind w:left="261" w:hanging="219"/>
              <w:rPr>
                <w:rFonts w:asciiTheme="minorHAnsi" w:hAnsiTheme="minorHAnsi"/>
                <w:iCs/>
                <w:color w:val="495965" w:themeColor="text2"/>
                <w:sz w:val="17"/>
                <w:szCs w:val="17"/>
              </w:rPr>
            </w:pPr>
            <w:r w:rsidRPr="002E2938">
              <w:rPr>
                <w:rFonts w:asciiTheme="minorHAnsi" w:hAnsiTheme="minorHAnsi"/>
                <w:iCs/>
                <w:color w:val="495965" w:themeColor="text2"/>
                <w:sz w:val="17"/>
                <w:szCs w:val="17"/>
              </w:rPr>
              <w:t xml:space="preserve">Provision of </w:t>
            </w:r>
            <w:r>
              <w:rPr>
                <w:rFonts w:asciiTheme="minorHAnsi" w:hAnsiTheme="minorHAnsi"/>
                <w:iCs/>
                <w:color w:val="495965" w:themeColor="text2"/>
                <w:sz w:val="17"/>
                <w:szCs w:val="17"/>
              </w:rPr>
              <w:t>manuals and training</w:t>
            </w:r>
          </w:p>
          <w:p w:rsidR="00622BA2" w:rsidRPr="002B324F" w:rsidRDefault="00622BA2" w:rsidP="002B324F">
            <w:pPr>
              <w:keepLines/>
              <w:spacing w:before="0" w:after="40" w:line="200" w:lineRule="atLeast"/>
              <w:rPr>
                <w:rFonts w:eastAsia="Times New Roman"/>
                <w:iCs/>
                <w:sz w:val="17"/>
                <w:szCs w:val="17"/>
              </w:rPr>
            </w:pPr>
          </w:p>
          <w:p w:rsidR="00622BA2" w:rsidRPr="002B324F" w:rsidRDefault="00622BA2" w:rsidP="002B324F">
            <w:pPr>
              <w:keepLines/>
              <w:spacing w:before="0" w:after="40" w:line="200" w:lineRule="atLeast"/>
              <w:rPr>
                <w:rFonts w:eastAsia="Times New Roman"/>
                <w:iCs/>
                <w:sz w:val="17"/>
                <w:szCs w:val="17"/>
              </w:rPr>
            </w:pPr>
          </w:p>
          <w:p w:rsidR="00622BA2" w:rsidRPr="002B324F" w:rsidRDefault="00622BA2" w:rsidP="002B324F">
            <w:pPr>
              <w:keepLines/>
              <w:spacing w:before="0" w:after="40" w:line="200" w:lineRule="atLeast"/>
              <w:rPr>
                <w:rFonts w:eastAsia="Times New Roman"/>
                <w:iCs/>
                <w:sz w:val="17"/>
                <w:szCs w:val="17"/>
              </w:rPr>
            </w:pPr>
          </w:p>
          <w:p w:rsidR="00622BA2" w:rsidRPr="002B324F" w:rsidRDefault="00622BA2" w:rsidP="002B324F">
            <w:pPr>
              <w:keepLines/>
              <w:spacing w:before="0" w:after="40" w:line="200" w:lineRule="atLeast"/>
              <w:rPr>
                <w:rFonts w:eastAsia="Times New Roman"/>
                <w:iCs/>
                <w:sz w:val="17"/>
                <w:szCs w:val="17"/>
              </w:rPr>
            </w:pPr>
          </w:p>
        </w:tc>
        <w:tc>
          <w:tcPr>
            <w:tcW w:w="2890" w:type="dxa"/>
          </w:tcPr>
          <w:p w:rsidR="00622BA2" w:rsidRPr="002B324F" w:rsidRDefault="00622BA2" w:rsidP="002B324F">
            <w:pPr>
              <w:keepLines/>
              <w:spacing w:before="0" w:after="40" w:line="200" w:lineRule="atLeast"/>
              <w:rPr>
                <w:rFonts w:eastAsia="Times New Roman"/>
                <w:iCs/>
                <w:sz w:val="17"/>
                <w:szCs w:val="17"/>
              </w:rPr>
            </w:pPr>
            <w:r w:rsidRPr="002B324F">
              <w:rPr>
                <w:rFonts w:eastAsia="Times New Roman"/>
                <w:iCs/>
                <w:sz w:val="17"/>
                <w:szCs w:val="17"/>
              </w:rPr>
              <w:t>National Disaster Response Manual of DSWD developed, and Regional Field Offices assisted in preparing their respective Disaster Response Manuals</w:t>
            </w:r>
          </w:p>
        </w:tc>
        <w:tc>
          <w:tcPr>
            <w:tcW w:w="2891" w:type="dxa"/>
          </w:tcPr>
          <w:p w:rsidR="00622BA2" w:rsidRPr="002B324F" w:rsidRDefault="00622BA2" w:rsidP="002B324F">
            <w:pPr>
              <w:keepLines/>
              <w:spacing w:before="0" w:after="40" w:line="200" w:lineRule="atLeast"/>
              <w:rPr>
                <w:rFonts w:eastAsia="Times New Roman"/>
                <w:iCs/>
                <w:sz w:val="17"/>
                <w:szCs w:val="17"/>
              </w:rPr>
            </w:pPr>
            <w:r w:rsidRPr="002B324F">
              <w:rPr>
                <w:rFonts w:eastAsia="Times New Roman"/>
                <w:iCs/>
                <w:sz w:val="17"/>
                <w:szCs w:val="17"/>
              </w:rPr>
              <w:t>Preparation of Disaster Response Manuals for Central Office and 15 Regional Field Offices and hands-on-training of DSWD staff</w:t>
            </w:r>
          </w:p>
        </w:tc>
        <w:tc>
          <w:tcPr>
            <w:tcW w:w="2891" w:type="dxa"/>
          </w:tcPr>
          <w:p w:rsidR="00622BA2" w:rsidRPr="002B324F" w:rsidRDefault="00622BA2" w:rsidP="002B324F">
            <w:pPr>
              <w:keepLines/>
              <w:spacing w:before="0" w:after="40" w:line="200" w:lineRule="atLeast"/>
              <w:rPr>
                <w:rFonts w:eastAsia="Times New Roman"/>
                <w:iCs/>
                <w:sz w:val="17"/>
                <w:szCs w:val="17"/>
              </w:rPr>
            </w:pPr>
            <w:r w:rsidRPr="002B324F">
              <w:rPr>
                <w:rFonts w:eastAsia="Times New Roman"/>
                <w:iCs/>
                <w:sz w:val="17"/>
                <w:szCs w:val="17"/>
              </w:rPr>
              <w:t xml:space="preserve">Support to Disaster Response Program  Inception Plan, Technical Assistance Facility Meeting, Annual Accomplishment Report and Annual Work and Financial Plan </w:t>
            </w:r>
          </w:p>
          <w:p w:rsidR="00622BA2" w:rsidRPr="002B324F" w:rsidRDefault="00622BA2" w:rsidP="002B324F">
            <w:pPr>
              <w:keepLines/>
              <w:spacing w:before="0" w:after="40" w:line="200" w:lineRule="atLeast"/>
              <w:rPr>
                <w:rFonts w:eastAsia="Times New Roman"/>
                <w:iCs/>
                <w:sz w:val="17"/>
                <w:szCs w:val="17"/>
              </w:rPr>
            </w:pPr>
            <w:r w:rsidRPr="002B324F">
              <w:rPr>
                <w:rFonts w:eastAsia="Times New Roman"/>
                <w:iCs/>
                <w:sz w:val="17"/>
                <w:szCs w:val="17"/>
              </w:rPr>
              <w:t>Zamboanga Recovery Program  Inception Plan, Steering Committee Meeting, Annual Accomplishment Report and</w:t>
            </w:r>
            <w:r>
              <w:rPr>
                <w:rFonts w:eastAsia="Times New Roman"/>
                <w:iCs/>
                <w:sz w:val="17"/>
                <w:szCs w:val="17"/>
              </w:rPr>
              <w:t xml:space="preserve"> Annual Work and Financial Plan</w:t>
            </w:r>
          </w:p>
        </w:tc>
      </w:tr>
      <w:tr w:rsidR="00622BA2" w:rsidTr="00A71902">
        <w:tc>
          <w:tcPr>
            <w:tcW w:w="2890" w:type="dxa"/>
            <w:vMerge/>
          </w:tcPr>
          <w:p w:rsidR="00622BA2" w:rsidRPr="002B324F" w:rsidRDefault="00622BA2" w:rsidP="002B324F">
            <w:pPr>
              <w:keepLines/>
              <w:spacing w:before="0" w:after="40" w:line="200" w:lineRule="atLeast"/>
              <w:rPr>
                <w:rFonts w:eastAsia="Times New Roman"/>
                <w:iCs/>
                <w:sz w:val="17"/>
                <w:szCs w:val="17"/>
              </w:rPr>
            </w:pPr>
          </w:p>
        </w:tc>
        <w:tc>
          <w:tcPr>
            <w:tcW w:w="2890" w:type="dxa"/>
          </w:tcPr>
          <w:p w:rsidR="00622BA2" w:rsidRDefault="00622BA2" w:rsidP="002B324F">
            <w:pPr>
              <w:pStyle w:val="TableTextEntries"/>
              <w:spacing w:before="0"/>
              <w:rPr>
                <w:rFonts w:asciiTheme="minorHAnsi" w:hAnsiTheme="minorHAnsi" w:cstheme="minorBidi"/>
                <w:color w:val="495965" w:themeColor="text2"/>
                <w:lang w:val="en-GB"/>
              </w:rPr>
            </w:pPr>
            <w:r w:rsidRPr="002B324F">
              <w:rPr>
                <w:rFonts w:asciiTheme="minorHAnsi" w:hAnsiTheme="minorHAnsi" w:cstheme="minorBidi"/>
                <w:color w:val="495965" w:themeColor="text2"/>
                <w:lang w:val="en-GB"/>
              </w:rPr>
              <w:t xml:space="preserve">Displaced and vulnerable women, men, girls and boys provided with life-saving assistance </w:t>
            </w:r>
            <w:r>
              <w:rPr>
                <w:rFonts w:asciiTheme="minorHAnsi" w:hAnsiTheme="minorHAnsi" w:cstheme="minorBidi"/>
                <w:color w:val="495965" w:themeColor="text2"/>
                <w:lang w:val="en-GB"/>
              </w:rPr>
              <w:t xml:space="preserve">and </w:t>
            </w:r>
            <w:r w:rsidRPr="00007DA3">
              <w:rPr>
                <w:rFonts w:asciiTheme="minorHAnsi" w:hAnsiTheme="minorHAnsi" w:cstheme="minorBidi"/>
                <w:color w:val="495965" w:themeColor="text2"/>
                <w:lang w:val="en-GB"/>
              </w:rPr>
              <w:t xml:space="preserve">increased access to safe water and basic sanitation </w:t>
            </w:r>
            <w:r w:rsidRPr="002B324F">
              <w:rPr>
                <w:rFonts w:asciiTheme="minorHAnsi" w:hAnsiTheme="minorHAnsi" w:cstheme="minorBidi"/>
                <w:color w:val="495965" w:themeColor="text2"/>
                <w:lang w:val="en-GB"/>
              </w:rPr>
              <w:t>in conflict and crisis situations</w:t>
            </w:r>
            <w:r>
              <w:rPr>
                <w:rFonts w:asciiTheme="minorHAnsi" w:hAnsiTheme="minorHAnsi" w:cstheme="minorBidi"/>
                <w:color w:val="495965" w:themeColor="text2"/>
                <w:lang w:val="en-GB"/>
              </w:rPr>
              <w:t xml:space="preserve"> as measured by: </w:t>
            </w:r>
          </w:p>
          <w:p w:rsidR="00622BA2" w:rsidRPr="002B324F" w:rsidRDefault="00622BA2" w:rsidP="002E2938">
            <w:pPr>
              <w:pStyle w:val="ListParagraph"/>
              <w:keepLines/>
              <w:numPr>
                <w:ilvl w:val="0"/>
                <w:numId w:val="17"/>
              </w:numPr>
              <w:spacing w:after="40" w:line="200" w:lineRule="atLeast"/>
              <w:ind w:left="261" w:hanging="219"/>
              <w:rPr>
                <w:rFonts w:asciiTheme="minorHAnsi" w:hAnsiTheme="minorHAnsi" w:cstheme="minorBidi"/>
                <w:color w:val="495965" w:themeColor="text2"/>
                <w:sz w:val="17"/>
                <w:szCs w:val="17"/>
                <w:lang w:val="en-GB"/>
              </w:rPr>
            </w:pPr>
            <w:r>
              <w:rPr>
                <w:rFonts w:asciiTheme="minorHAnsi" w:hAnsiTheme="minorHAnsi" w:cstheme="minorBidi"/>
                <w:color w:val="495965" w:themeColor="text2"/>
                <w:sz w:val="17"/>
                <w:szCs w:val="17"/>
                <w:lang w:val="en-GB"/>
              </w:rPr>
              <w:t>Prepositioning of relief items that are accessible during disasters and emergencies</w:t>
            </w:r>
          </w:p>
        </w:tc>
        <w:tc>
          <w:tcPr>
            <w:tcW w:w="2890" w:type="dxa"/>
          </w:tcPr>
          <w:p w:rsidR="00622BA2" w:rsidRPr="002B324F" w:rsidRDefault="00622BA2" w:rsidP="002B324F">
            <w:pPr>
              <w:pStyle w:val="TableTextEntries"/>
              <w:spacing w:before="0"/>
              <w:rPr>
                <w:rFonts w:asciiTheme="minorHAnsi" w:hAnsiTheme="minorHAnsi" w:cstheme="minorBidi"/>
                <w:color w:val="495965" w:themeColor="text2"/>
                <w:lang w:val="en-GB"/>
              </w:rPr>
            </w:pPr>
            <w:r w:rsidRPr="002B324F">
              <w:rPr>
                <w:rFonts w:asciiTheme="minorHAnsi" w:hAnsiTheme="minorHAnsi" w:cstheme="minorBidi"/>
                <w:color w:val="495965" w:themeColor="text2"/>
                <w:lang w:val="en-GB"/>
              </w:rPr>
              <w:t>One warehouse in the National Resource Operation Centre of DSWD constructed</w:t>
            </w:r>
          </w:p>
          <w:p w:rsidR="00622BA2" w:rsidRPr="002B324F" w:rsidRDefault="00622BA2" w:rsidP="002B324F">
            <w:pPr>
              <w:pStyle w:val="TableTextEntries"/>
              <w:spacing w:before="0"/>
              <w:rPr>
                <w:rFonts w:asciiTheme="minorHAnsi" w:hAnsiTheme="minorHAnsi" w:cstheme="minorBidi"/>
                <w:color w:val="495965" w:themeColor="text2"/>
                <w:lang w:val="en-GB"/>
              </w:rPr>
            </w:pPr>
            <w:r w:rsidRPr="002B324F">
              <w:rPr>
                <w:rFonts w:asciiTheme="minorHAnsi" w:hAnsiTheme="minorHAnsi" w:cstheme="minorBidi"/>
                <w:color w:val="495965" w:themeColor="text2"/>
                <w:lang w:val="en-GB"/>
              </w:rPr>
              <w:t>Prepositioning of Humanitarian Emergency Relief Stores (HERS) with DSWD established and maintained to provide needs of most vulnerable populations affected by disasters and emergencies</w:t>
            </w:r>
          </w:p>
          <w:p w:rsidR="00622BA2" w:rsidRPr="002B324F" w:rsidRDefault="00622BA2" w:rsidP="002B324F">
            <w:pPr>
              <w:pStyle w:val="TableTextEntries"/>
              <w:spacing w:before="0"/>
              <w:rPr>
                <w:rFonts w:asciiTheme="minorHAnsi" w:hAnsiTheme="minorHAnsi" w:cstheme="minorBidi"/>
                <w:color w:val="495965" w:themeColor="text2"/>
                <w:lang w:val="en-GB"/>
              </w:rPr>
            </w:pPr>
            <w:r w:rsidRPr="002B324F">
              <w:rPr>
                <w:rFonts w:asciiTheme="minorHAnsi" w:hAnsiTheme="minorHAnsi" w:cstheme="minorBidi"/>
                <w:color w:val="495965" w:themeColor="text2"/>
                <w:lang w:val="en-GB"/>
              </w:rPr>
              <w:t>Prepositioning of HERS with PRC, UNFPA and WFP maintained to provide needs of most vulnerable populations affected by disasters and emergencies</w:t>
            </w:r>
          </w:p>
        </w:tc>
        <w:tc>
          <w:tcPr>
            <w:tcW w:w="2891" w:type="dxa"/>
          </w:tcPr>
          <w:p w:rsidR="00070343" w:rsidRPr="002B324F" w:rsidRDefault="00070343" w:rsidP="00070343">
            <w:pPr>
              <w:keepLines/>
              <w:spacing w:before="0" w:after="40" w:line="200" w:lineRule="atLeast"/>
              <w:rPr>
                <w:rFonts w:eastAsia="Times New Roman"/>
                <w:iCs/>
                <w:sz w:val="17"/>
                <w:szCs w:val="17"/>
              </w:rPr>
            </w:pPr>
            <w:r w:rsidRPr="002B324F">
              <w:rPr>
                <w:rFonts w:eastAsia="Times New Roman"/>
                <w:iCs/>
                <w:sz w:val="17"/>
                <w:szCs w:val="17"/>
              </w:rPr>
              <w:t>Increase National Resource Operation Centre (NROC) capacity by a third by completing Warehouse H, which can store up to 41,400 family packs</w:t>
            </w:r>
          </w:p>
          <w:p w:rsidR="00070343" w:rsidRDefault="00070343" w:rsidP="00070343">
            <w:pPr>
              <w:pStyle w:val="TableTextEntries"/>
              <w:spacing w:before="0"/>
              <w:rPr>
                <w:rFonts w:asciiTheme="minorHAnsi" w:hAnsiTheme="minorHAnsi" w:cstheme="minorBidi"/>
                <w:color w:val="495965" w:themeColor="text2"/>
                <w:lang w:val="en-GB"/>
              </w:rPr>
            </w:pPr>
            <w:r w:rsidRPr="002B324F">
              <w:rPr>
                <w:rFonts w:asciiTheme="minorHAnsi" w:hAnsiTheme="minorHAnsi" w:cstheme="minorBidi"/>
                <w:color w:val="495965" w:themeColor="text2"/>
                <w:lang w:val="en-GB"/>
              </w:rPr>
              <w:t>Prepositioned AUD $740,000 worth of family relief, non-food items in NROC and 15 Regional Field Offices. DSWD has included prepositioning of non-food items in their annual budget</w:t>
            </w:r>
          </w:p>
          <w:p w:rsidR="00070343" w:rsidRPr="00DD6B86" w:rsidRDefault="00070343" w:rsidP="00070343">
            <w:pPr>
              <w:pStyle w:val="TableTextEntries"/>
              <w:spacing w:before="0"/>
              <w:rPr>
                <w:rFonts w:asciiTheme="minorHAnsi" w:hAnsiTheme="minorHAnsi" w:cstheme="minorBidi"/>
                <w:color w:val="495965" w:themeColor="text2"/>
                <w:lang w:val="en-GB"/>
              </w:rPr>
            </w:pPr>
            <w:r w:rsidRPr="00DD6B86">
              <w:rPr>
                <w:rFonts w:asciiTheme="minorHAnsi" w:hAnsiTheme="minorHAnsi" w:cstheme="minorBidi"/>
                <w:color w:val="495965" w:themeColor="text2"/>
                <w:lang w:val="en-GB"/>
              </w:rPr>
              <w:t>Humanitarian assistance to displaced people by the Marawi conflict includes:</w:t>
            </w:r>
          </w:p>
          <w:p w:rsidR="00070343" w:rsidRPr="00916759" w:rsidRDefault="00070343" w:rsidP="00070343">
            <w:pPr>
              <w:pStyle w:val="ListParagraph"/>
              <w:keepLines/>
              <w:numPr>
                <w:ilvl w:val="0"/>
                <w:numId w:val="17"/>
              </w:numPr>
              <w:spacing w:after="40" w:line="200" w:lineRule="atLeast"/>
              <w:ind w:left="261" w:hanging="219"/>
              <w:rPr>
                <w:rFonts w:asciiTheme="minorHAnsi" w:hAnsiTheme="minorHAnsi" w:cstheme="minorBidi"/>
                <w:color w:val="495965" w:themeColor="text2"/>
                <w:lang w:val="en-GB"/>
              </w:rPr>
            </w:pPr>
            <w:r w:rsidRPr="00916759">
              <w:rPr>
                <w:rFonts w:asciiTheme="minorHAnsi" w:hAnsiTheme="minorHAnsi" w:cstheme="minorBidi"/>
                <w:color w:val="495965" w:themeColor="text2"/>
                <w:sz w:val="17"/>
                <w:szCs w:val="17"/>
                <w:lang w:val="en-GB"/>
              </w:rPr>
              <w:t>Prepositioned food items (rice) with WFP benefitted 18,000 people for general rice distribution and up to 50,000 school children</w:t>
            </w:r>
          </w:p>
          <w:p w:rsidR="00070343" w:rsidRPr="00916759" w:rsidRDefault="00070343" w:rsidP="00070343">
            <w:pPr>
              <w:pStyle w:val="ListParagraph"/>
              <w:keepLines/>
              <w:numPr>
                <w:ilvl w:val="0"/>
                <w:numId w:val="17"/>
              </w:numPr>
              <w:spacing w:after="40" w:line="200" w:lineRule="atLeast"/>
              <w:ind w:left="261" w:hanging="219"/>
              <w:rPr>
                <w:rFonts w:asciiTheme="minorHAnsi" w:hAnsiTheme="minorHAnsi" w:cstheme="minorBidi"/>
                <w:color w:val="495965" w:themeColor="text2"/>
                <w:lang w:val="en-GB"/>
              </w:rPr>
            </w:pPr>
            <w:r w:rsidRPr="00916759">
              <w:rPr>
                <w:rFonts w:asciiTheme="minorHAnsi" w:hAnsiTheme="minorHAnsi" w:cstheme="minorBidi"/>
                <w:color w:val="495965" w:themeColor="text2"/>
                <w:sz w:val="17"/>
                <w:szCs w:val="17"/>
                <w:lang w:val="en-GB"/>
              </w:rPr>
              <w:t>Prepositioned dignity and reproductive health kits, and anti-gender based violence support and women friendly spaces with UNFPA benefitted more than 17,000 women and girls, and 6,700 men and boys</w:t>
            </w:r>
          </w:p>
          <w:p w:rsidR="00070343" w:rsidRPr="00916759" w:rsidRDefault="00070343" w:rsidP="00070343">
            <w:pPr>
              <w:pStyle w:val="ListParagraph"/>
              <w:keepLines/>
              <w:numPr>
                <w:ilvl w:val="0"/>
                <w:numId w:val="17"/>
              </w:numPr>
              <w:spacing w:after="40" w:line="200" w:lineRule="atLeast"/>
              <w:ind w:left="261" w:hanging="219"/>
              <w:rPr>
                <w:rFonts w:asciiTheme="minorHAnsi" w:hAnsiTheme="minorHAnsi" w:cstheme="minorBidi"/>
                <w:color w:val="495965" w:themeColor="text2"/>
                <w:lang w:val="en-GB"/>
              </w:rPr>
            </w:pPr>
            <w:r w:rsidRPr="00916759">
              <w:rPr>
                <w:rFonts w:asciiTheme="minorHAnsi" w:hAnsiTheme="minorHAnsi" w:cstheme="minorBidi"/>
                <w:color w:val="495965" w:themeColor="text2"/>
                <w:sz w:val="17"/>
                <w:szCs w:val="17"/>
                <w:lang w:val="en-GB"/>
              </w:rPr>
              <w:t>Protection assistance was provided to 250,000 displaced people through ICRC and UNHCR</w:t>
            </w:r>
          </w:p>
          <w:p w:rsidR="00070343" w:rsidRPr="00DD6B86" w:rsidRDefault="00070343" w:rsidP="00070343">
            <w:pPr>
              <w:pStyle w:val="TableTextEntries"/>
              <w:spacing w:before="0"/>
              <w:rPr>
                <w:rFonts w:asciiTheme="minorHAnsi" w:hAnsiTheme="minorHAnsi" w:cstheme="minorBidi"/>
                <w:color w:val="495965" w:themeColor="text2"/>
                <w:lang w:val="en-GB"/>
              </w:rPr>
            </w:pPr>
            <w:r w:rsidRPr="00DD6B86">
              <w:rPr>
                <w:rFonts w:asciiTheme="minorHAnsi" w:hAnsiTheme="minorHAnsi" w:cstheme="minorBidi"/>
                <w:color w:val="495965" w:themeColor="text2"/>
                <w:lang w:val="en-GB"/>
              </w:rPr>
              <w:t>Prepositioned non-food items including tarpaulins, sleeping kits (blankets, plastic mats and mosquito nets) with the Department of Social Welfare and Development, and Philippine Red Cross benefitted 25,000 peopl</w:t>
            </w:r>
            <w:r>
              <w:rPr>
                <w:rFonts w:asciiTheme="minorHAnsi" w:hAnsiTheme="minorHAnsi" w:cstheme="minorBidi"/>
                <w:color w:val="495965" w:themeColor="text2"/>
                <w:lang w:val="en-GB"/>
              </w:rPr>
              <w:t>e displaced by Typhoon Tembin</w:t>
            </w:r>
          </w:p>
          <w:p w:rsidR="00622BA2" w:rsidRPr="002B324F" w:rsidRDefault="00070343" w:rsidP="00070343">
            <w:pPr>
              <w:pStyle w:val="TableTextEntries"/>
              <w:spacing w:before="0"/>
              <w:rPr>
                <w:rFonts w:asciiTheme="minorHAnsi" w:hAnsiTheme="minorHAnsi" w:cstheme="minorBidi"/>
                <w:color w:val="495965" w:themeColor="text2"/>
                <w:lang w:val="en-GB"/>
              </w:rPr>
            </w:pPr>
            <w:r w:rsidRPr="00DD6B86">
              <w:rPr>
                <w:rFonts w:asciiTheme="minorHAnsi" w:hAnsiTheme="minorHAnsi" w:cstheme="minorBidi"/>
                <w:color w:val="495965" w:themeColor="text2"/>
                <w:lang w:val="en-GB"/>
              </w:rPr>
              <w:lastRenderedPageBreak/>
              <w:t>Prepositioned non-food items (tarpaulins, sleeping kits, hygiene kits, toys for children and maternity tent) with the PRC and UNFPA benefitted 40,000 people including 300 pregnant and lactating women displaced by the eruption of Mayon Volcano</w:t>
            </w:r>
          </w:p>
        </w:tc>
        <w:tc>
          <w:tcPr>
            <w:tcW w:w="2891" w:type="dxa"/>
          </w:tcPr>
          <w:p w:rsidR="00622BA2" w:rsidRPr="002B324F" w:rsidRDefault="00070343" w:rsidP="002B324F">
            <w:pPr>
              <w:keepLines/>
              <w:spacing w:before="0" w:after="40" w:line="200" w:lineRule="atLeast"/>
              <w:rPr>
                <w:rFonts w:eastAsia="Times New Roman"/>
                <w:iCs/>
                <w:sz w:val="17"/>
                <w:szCs w:val="17"/>
              </w:rPr>
            </w:pPr>
            <w:r w:rsidRPr="008D28EA">
              <w:rPr>
                <w:rFonts w:eastAsia="Times New Roman"/>
                <w:iCs/>
                <w:sz w:val="17"/>
                <w:szCs w:val="17"/>
              </w:rPr>
              <w:lastRenderedPageBreak/>
              <w:t xml:space="preserve">Deployment proposal and monitoring report for HERS with </w:t>
            </w:r>
            <w:r>
              <w:rPr>
                <w:rFonts w:eastAsia="Times New Roman"/>
                <w:iCs/>
                <w:sz w:val="17"/>
                <w:szCs w:val="17"/>
              </w:rPr>
              <w:t xml:space="preserve">the </w:t>
            </w:r>
            <w:r w:rsidRPr="008D28EA">
              <w:rPr>
                <w:rFonts w:eastAsia="Times New Roman"/>
                <w:iCs/>
                <w:sz w:val="17"/>
                <w:szCs w:val="17"/>
              </w:rPr>
              <w:t>W</w:t>
            </w:r>
            <w:r>
              <w:rPr>
                <w:rFonts w:eastAsia="Times New Roman"/>
                <w:iCs/>
                <w:sz w:val="17"/>
                <w:szCs w:val="17"/>
              </w:rPr>
              <w:t xml:space="preserve">orld </w:t>
            </w:r>
            <w:r w:rsidRPr="008D28EA">
              <w:rPr>
                <w:rFonts w:eastAsia="Times New Roman"/>
                <w:iCs/>
                <w:sz w:val="17"/>
                <w:szCs w:val="17"/>
              </w:rPr>
              <w:t>F</w:t>
            </w:r>
            <w:r>
              <w:rPr>
                <w:rFonts w:eastAsia="Times New Roman"/>
                <w:iCs/>
                <w:sz w:val="17"/>
                <w:szCs w:val="17"/>
              </w:rPr>
              <w:t xml:space="preserve">ood </w:t>
            </w:r>
            <w:r w:rsidRPr="008D28EA">
              <w:rPr>
                <w:rFonts w:eastAsia="Times New Roman"/>
                <w:iCs/>
                <w:sz w:val="17"/>
                <w:szCs w:val="17"/>
              </w:rPr>
              <w:t>P</w:t>
            </w:r>
            <w:r>
              <w:rPr>
                <w:rFonts w:eastAsia="Times New Roman"/>
                <w:iCs/>
                <w:sz w:val="17"/>
                <w:szCs w:val="17"/>
              </w:rPr>
              <w:t>rogramme, UNFPA, International Committee of the Red Cross</w:t>
            </w:r>
            <w:r w:rsidRPr="008D28EA">
              <w:rPr>
                <w:rFonts w:eastAsia="Times New Roman"/>
                <w:iCs/>
                <w:sz w:val="17"/>
                <w:szCs w:val="17"/>
              </w:rPr>
              <w:t xml:space="preserve">, UNHCR, </w:t>
            </w:r>
            <w:r>
              <w:rPr>
                <w:rFonts w:eastAsia="Times New Roman"/>
                <w:iCs/>
                <w:sz w:val="17"/>
                <w:szCs w:val="17"/>
              </w:rPr>
              <w:t xml:space="preserve">Philippine </w:t>
            </w:r>
            <w:r w:rsidRPr="008D28EA">
              <w:rPr>
                <w:rFonts w:eastAsia="Times New Roman"/>
                <w:iCs/>
                <w:sz w:val="17"/>
                <w:szCs w:val="17"/>
              </w:rPr>
              <w:t>D</w:t>
            </w:r>
            <w:r>
              <w:rPr>
                <w:rFonts w:eastAsia="Times New Roman"/>
                <w:iCs/>
                <w:sz w:val="17"/>
                <w:szCs w:val="17"/>
              </w:rPr>
              <w:t xml:space="preserve">epartment of </w:t>
            </w:r>
            <w:r w:rsidRPr="008D28EA">
              <w:rPr>
                <w:rFonts w:eastAsia="Times New Roman"/>
                <w:iCs/>
                <w:sz w:val="17"/>
                <w:szCs w:val="17"/>
              </w:rPr>
              <w:t>S</w:t>
            </w:r>
            <w:r>
              <w:rPr>
                <w:rFonts w:eastAsia="Times New Roman"/>
                <w:iCs/>
                <w:sz w:val="17"/>
                <w:szCs w:val="17"/>
              </w:rPr>
              <w:t xml:space="preserve">ocial </w:t>
            </w:r>
            <w:r w:rsidRPr="008D28EA">
              <w:rPr>
                <w:rFonts w:eastAsia="Times New Roman"/>
                <w:iCs/>
                <w:sz w:val="17"/>
                <w:szCs w:val="17"/>
              </w:rPr>
              <w:t>W</w:t>
            </w:r>
            <w:r>
              <w:rPr>
                <w:rFonts w:eastAsia="Times New Roman"/>
                <w:iCs/>
                <w:sz w:val="17"/>
                <w:szCs w:val="17"/>
              </w:rPr>
              <w:t xml:space="preserve">elfare and </w:t>
            </w:r>
            <w:r w:rsidRPr="008D28EA">
              <w:rPr>
                <w:rFonts w:eastAsia="Times New Roman"/>
                <w:iCs/>
                <w:sz w:val="17"/>
                <w:szCs w:val="17"/>
              </w:rPr>
              <w:t>D</w:t>
            </w:r>
            <w:r>
              <w:rPr>
                <w:rFonts w:eastAsia="Times New Roman"/>
                <w:iCs/>
                <w:sz w:val="17"/>
                <w:szCs w:val="17"/>
              </w:rPr>
              <w:t>evelopment</w:t>
            </w:r>
            <w:r w:rsidRPr="008D28EA">
              <w:rPr>
                <w:rFonts w:eastAsia="Times New Roman"/>
                <w:iCs/>
                <w:sz w:val="17"/>
                <w:szCs w:val="17"/>
              </w:rPr>
              <w:t>, and</w:t>
            </w:r>
            <w:r>
              <w:rPr>
                <w:rFonts w:eastAsia="Times New Roman"/>
                <w:iCs/>
                <w:sz w:val="17"/>
                <w:szCs w:val="17"/>
              </w:rPr>
              <w:t xml:space="preserve"> the</w:t>
            </w:r>
            <w:r w:rsidRPr="008D28EA">
              <w:rPr>
                <w:rFonts w:eastAsia="Times New Roman"/>
                <w:iCs/>
                <w:sz w:val="17"/>
                <w:szCs w:val="17"/>
              </w:rPr>
              <w:t xml:space="preserve"> P</w:t>
            </w:r>
            <w:r>
              <w:rPr>
                <w:rFonts w:eastAsia="Times New Roman"/>
                <w:iCs/>
                <w:sz w:val="17"/>
                <w:szCs w:val="17"/>
              </w:rPr>
              <w:t xml:space="preserve">hilippine </w:t>
            </w:r>
            <w:r w:rsidRPr="008D28EA">
              <w:rPr>
                <w:rFonts w:eastAsia="Times New Roman"/>
                <w:iCs/>
                <w:sz w:val="17"/>
                <w:szCs w:val="17"/>
              </w:rPr>
              <w:t>R</w:t>
            </w:r>
            <w:r>
              <w:rPr>
                <w:rFonts w:eastAsia="Times New Roman"/>
                <w:iCs/>
                <w:sz w:val="17"/>
                <w:szCs w:val="17"/>
              </w:rPr>
              <w:t xml:space="preserve">ed </w:t>
            </w:r>
            <w:r w:rsidRPr="008D28EA">
              <w:rPr>
                <w:rFonts w:eastAsia="Times New Roman"/>
                <w:iCs/>
                <w:sz w:val="17"/>
                <w:szCs w:val="17"/>
              </w:rPr>
              <w:t>C</w:t>
            </w:r>
            <w:r>
              <w:rPr>
                <w:rFonts w:eastAsia="Times New Roman"/>
                <w:iCs/>
                <w:sz w:val="17"/>
                <w:szCs w:val="17"/>
              </w:rPr>
              <w:t>ross</w:t>
            </w:r>
          </w:p>
        </w:tc>
      </w:tr>
      <w:tr w:rsidR="00070343" w:rsidTr="00A71902">
        <w:tc>
          <w:tcPr>
            <w:tcW w:w="2890" w:type="dxa"/>
            <w:vMerge/>
          </w:tcPr>
          <w:p w:rsidR="00070343" w:rsidRPr="002B324F" w:rsidRDefault="00070343" w:rsidP="00070343">
            <w:pPr>
              <w:keepLines/>
              <w:spacing w:before="0" w:after="40" w:line="200" w:lineRule="atLeast"/>
              <w:rPr>
                <w:rFonts w:eastAsia="Times New Roman"/>
                <w:iCs/>
                <w:sz w:val="17"/>
                <w:szCs w:val="17"/>
              </w:rPr>
            </w:pPr>
          </w:p>
        </w:tc>
        <w:tc>
          <w:tcPr>
            <w:tcW w:w="2890" w:type="dxa"/>
          </w:tcPr>
          <w:p w:rsidR="00070343" w:rsidRPr="002B324F" w:rsidRDefault="00070343" w:rsidP="00070343">
            <w:pPr>
              <w:pStyle w:val="TableTextEntries"/>
              <w:spacing w:before="0"/>
              <w:rPr>
                <w:rFonts w:asciiTheme="minorHAnsi" w:hAnsiTheme="minorHAnsi" w:cstheme="minorBidi"/>
                <w:color w:val="495965" w:themeColor="text2"/>
                <w:lang w:val="en-GB"/>
              </w:rPr>
            </w:pPr>
            <w:r w:rsidRPr="002B324F">
              <w:rPr>
                <w:rFonts w:asciiTheme="minorHAnsi" w:hAnsiTheme="minorHAnsi" w:cstheme="minorBidi"/>
                <w:color w:val="495965" w:themeColor="text2"/>
                <w:lang w:val="en-GB"/>
              </w:rPr>
              <w:t>Displaced and vulnerable women survivors of violence receiving services such as counselling</w:t>
            </w:r>
          </w:p>
        </w:tc>
        <w:tc>
          <w:tcPr>
            <w:tcW w:w="2890" w:type="dxa"/>
          </w:tcPr>
          <w:p w:rsidR="00070343" w:rsidRPr="002B324F" w:rsidRDefault="00070343" w:rsidP="00070343">
            <w:pPr>
              <w:pStyle w:val="TableTextEntries"/>
              <w:spacing w:before="0"/>
              <w:rPr>
                <w:rFonts w:asciiTheme="minorHAnsi" w:hAnsiTheme="minorHAnsi" w:cstheme="minorBidi"/>
                <w:color w:val="495965" w:themeColor="text2"/>
                <w:lang w:val="en-GB"/>
              </w:rPr>
            </w:pPr>
            <w:r w:rsidRPr="002B324F">
              <w:rPr>
                <w:rFonts w:asciiTheme="minorHAnsi" w:hAnsiTheme="minorHAnsi" w:cstheme="minorBidi"/>
                <w:color w:val="495965" w:themeColor="text2"/>
                <w:lang w:val="en-GB"/>
              </w:rPr>
              <w:t>Up to 1,000 displaced poor and most vulnerable families provided with livelihood, protection and psychosocial assistance</w:t>
            </w:r>
          </w:p>
        </w:tc>
        <w:tc>
          <w:tcPr>
            <w:tcW w:w="2891" w:type="dxa"/>
          </w:tcPr>
          <w:p w:rsidR="00070343" w:rsidRPr="00916759" w:rsidRDefault="00070343" w:rsidP="00070343">
            <w:pPr>
              <w:pStyle w:val="TableTextEntries"/>
              <w:spacing w:before="0"/>
              <w:rPr>
                <w:rFonts w:asciiTheme="minorHAnsi" w:hAnsiTheme="minorHAnsi" w:cstheme="minorBidi"/>
                <w:color w:val="495965" w:themeColor="text2"/>
              </w:rPr>
            </w:pPr>
            <w:r w:rsidRPr="00916759">
              <w:rPr>
                <w:rFonts w:asciiTheme="minorHAnsi" w:hAnsiTheme="minorHAnsi" w:cstheme="minorBidi"/>
                <w:color w:val="495965" w:themeColor="text2"/>
                <w:lang w:val="en-GB"/>
              </w:rPr>
              <w:t>1,000 families displaced by the Marawi conflict provided with protection and psychosocial assistance</w:t>
            </w:r>
          </w:p>
          <w:p w:rsidR="00070343" w:rsidRPr="002B324F" w:rsidRDefault="00070343" w:rsidP="00070343">
            <w:pPr>
              <w:pStyle w:val="TableTextEntries"/>
              <w:spacing w:before="0"/>
              <w:rPr>
                <w:rFonts w:asciiTheme="minorHAnsi" w:hAnsiTheme="minorHAnsi" w:cstheme="minorBidi"/>
                <w:color w:val="495965" w:themeColor="text2"/>
                <w:lang w:val="en-GB"/>
              </w:rPr>
            </w:pPr>
            <w:r w:rsidRPr="00916759">
              <w:rPr>
                <w:rFonts w:asciiTheme="minorHAnsi" w:hAnsiTheme="minorHAnsi" w:cstheme="minorBidi"/>
                <w:color w:val="495965" w:themeColor="text2"/>
                <w:lang w:val="en-GB"/>
              </w:rPr>
              <w:t>1,049 families displaced by the Zamboanga siege provided with psychosocial and protection assistance</w:t>
            </w:r>
          </w:p>
        </w:tc>
        <w:tc>
          <w:tcPr>
            <w:tcW w:w="2891" w:type="dxa"/>
          </w:tcPr>
          <w:p w:rsidR="00070343" w:rsidRPr="002B324F" w:rsidRDefault="00070343" w:rsidP="00070343">
            <w:pPr>
              <w:keepLines/>
              <w:spacing w:before="0" w:after="40" w:line="200" w:lineRule="atLeast"/>
              <w:rPr>
                <w:rFonts w:eastAsia="Times New Roman"/>
                <w:iCs/>
                <w:sz w:val="17"/>
                <w:szCs w:val="17"/>
              </w:rPr>
            </w:pPr>
            <w:r w:rsidRPr="00FF0C45">
              <w:rPr>
                <w:rFonts w:eastAsia="Times New Roman"/>
                <w:iCs/>
                <w:sz w:val="17"/>
                <w:szCs w:val="17"/>
              </w:rPr>
              <w:t>Deployment proposal and monitoring reports of Community and Family Services International (CFSI) and UNFAO</w:t>
            </w:r>
          </w:p>
        </w:tc>
      </w:tr>
      <w:tr w:rsidR="00622BA2" w:rsidTr="00A71902">
        <w:tc>
          <w:tcPr>
            <w:tcW w:w="2890" w:type="dxa"/>
            <w:vMerge/>
          </w:tcPr>
          <w:p w:rsidR="00622BA2" w:rsidRPr="002B324F" w:rsidRDefault="00622BA2" w:rsidP="002B324F">
            <w:pPr>
              <w:keepLines/>
              <w:spacing w:before="0" w:after="40" w:line="200" w:lineRule="atLeast"/>
              <w:rPr>
                <w:rFonts w:eastAsia="Times New Roman"/>
                <w:iCs/>
                <w:sz w:val="17"/>
                <w:szCs w:val="17"/>
              </w:rPr>
            </w:pPr>
          </w:p>
        </w:tc>
        <w:tc>
          <w:tcPr>
            <w:tcW w:w="2890" w:type="dxa"/>
          </w:tcPr>
          <w:p w:rsidR="00622BA2" w:rsidRPr="002B324F" w:rsidRDefault="00622BA2" w:rsidP="002B324F">
            <w:pPr>
              <w:pStyle w:val="TableTextEntries"/>
              <w:spacing w:before="0"/>
              <w:rPr>
                <w:rFonts w:asciiTheme="minorHAnsi" w:hAnsiTheme="minorHAnsi" w:cstheme="minorBidi"/>
                <w:color w:val="495965" w:themeColor="text2"/>
                <w:lang w:val="en-GB"/>
              </w:rPr>
            </w:pPr>
            <w:r w:rsidRPr="002B324F">
              <w:rPr>
                <w:rFonts w:asciiTheme="minorHAnsi" w:hAnsiTheme="minorHAnsi" w:cstheme="minorBidi"/>
                <w:color w:val="495965" w:themeColor="text2"/>
                <w:lang w:val="en-GB"/>
              </w:rPr>
              <w:t>Manila Post Emergency Response Team trained</w:t>
            </w:r>
          </w:p>
        </w:tc>
        <w:tc>
          <w:tcPr>
            <w:tcW w:w="2890" w:type="dxa"/>
          </w:tcPr>
          <w:p w:rsidR="00622BA2" w:rsidRPr="002B324F" w:rsidRDefault="00622BA2" w:rsidP="002B324F">
            <w:pPr>
              <w:pStyle w:val="TableTextEntries"/>
              <w:spacing w:before="0"/>
              <w:rPr>
                <w:rFonts w:asciiTheme="minorHAnsi" w:hAnsiTheme="minorHAnsi" w:cstheme="minorBidi"/>
                <w:color w:val="495965" w:themeColor="text2"/>
                <w:lang w:val="en-GB"/>
              </w:rPr>
            </w:pPr>
            <w:r w:rsidRPr="002B324F">
              <w:rPr>
                <w:rFonts w:asciiTheme="minorHAnsi" w:hAnsiTheme="minorHAnsi" w:cstheme="minorBidi"/>
                <w:color w:val="495965" w:themeColor="text2"/>
                <w:lang w:val="en-GB"/>
              </w:rPr>
              <w:t>SOP for Disaster Response updated, additional ERT members recruited, and training conducted</w:t>
            </w:r>
          </w:p>
        </w:tc>
        <w:tc>
          <w:tcPr>
            <w:tcW w:w="2891" w:type="dxa"/>
          </w:tcPr>
          <w:p w:rsidR="00622BA2" w:rsidRPr="002B324F" w:rsidRDefault="00622BA2" w:rsidP="002B324F">
            <w:pPr>
              <w:pStyle w:val="TableTextEntries"/>
              <w:spacing w:before="0"/>
              <w:rPr>
                <w:rFonts w:asciiTheme="minorHAnsi" w:hAnsiTheme="minorHAnsi" w:cstheme="minorBidi"/>
                <w:color w:val="495965" w:themeColor="text2"/>
                <w:lang w:val="en-GB"/>
              </w:rPr>
            </w:pPr>
            <w:r w:rsidRPr="002B324F">
              <w:rPr>
                <w:rFonts w:asciiTheme="minorHAnsi" w:hAnsiTheme="minorHAnsi" w:cstheme="minorBidi"/>
                <w:color w:val="495965" w:themeColor="text2"/>
                <w:lang w:val="en-GB"/>
              </w:rPr>
              <w:t>Post’s SOP for Disaster Response updated based on comments and recommendations of HPD and lessons from previous disasters/conflict and humanitarian responses</w:t>
            </w:r>
          </w:p>
        </w:tc>
        <w:tc>
          <w:tcPr>
            <w:tcW w:w="2891" w:type="dxa"/>
          </w:tcPr>
          <w:p w:rsidR="00622BA2" w:rsidRPr="002B324F" w:rsidRDefault="00622BA2" w:rsidP="002B324F">
            <w:pPr>
              <w:keepLines/>
              <w:spacing w:before="0" w:after="40" w:line="200" w:lineRule="atLeast"/>
              <w:rPr>
                <w:rFonts w:eastAsia="Times New Roman"/>
                <w:iCs/>
                <w:sz w:val="17"/>
                <w:szCs w:val="17"/>
              </w:rPr>
            </w:pPr>
          </w:p>
        </w:tc>
      </w:tr>
      <w:tr w:rsidR="00070343" w:rsidTr="00A71902">
        <w:tc>
          <w:tcPr>
            <w:tcW w:w="2890" w:type="dxa"/>
            <w:vMerge w:val="restart"/>
          </w:tcPr>
          <w:p w:rsidR="00070343" w:rsidRPr="002B324F" w:rsidRDefault="00070343" w:rsidP="00070343">
            <w:pPr>
              <w:keepLines/>
              <w:spacing w:before="0" w:after="40" w:line="200" w:lineRule="atLeast"/>
              <w:rPr>
                <w:rFonts w:eastAsia="Times New Roman"/>
                <w:iCs/>
                <w:sz w:val="17"/>
                <w:szCs w:val="17"/>
              </w:rPr>
            </w:pPr>
            <w:r w:rsidRPr="002B324F">
              <w:rPr>
                <w:rFonts w:eastAsia="Times New Roman"/>
                <w:b/>
                <w:iCs/>
                <w:sz w:val="17"/>
                <w:szCs w:val="17"/>
              </w:rPr>
              <w:t>Outcome 5:</w:t>
            </w:r>
            <w:r w:rsidRPr="002B324F">
              <w:rPr>
                <w:rFonts w:eastAsia="Times New Roman"/>
                <w:iCs/>
                <w:sz w:val="17"/>
                <w:szCs w:val="17"/>
              </w:rPr>
              <w:t xml:space="preserve"> Mainstream disaster risk reduction and climate change in investments</w:t>
            </w:r>
          </w:p>
        </w:tc>
        <w:tc>
          <w:tcPr>
            <w:tcW w:w="2890" w:type="dxa"/>
          </w:tcPr>
          <w:p w:rsidR="00070343" w:rsidRDefault="00070343" w:rsidP="00070343">
            <w:pPr>
              <w:pStyle w:val="TableTextEntries"/>
              <w:spacing w:before="0"/>
              <w:rPr>
                <w:rFonts w:asciiTheme="minorHAnsi" w:hAnsiTheme="minorHAnsi" w:cstheme="minorBidi"/>
                <w:color w:val="495965" w:themeColor="text2"/>
                <w:lang w:val="en-GB"/>
              </w:rPr>
            </w:pPr>
            <w:r w:rsidRPr="002B324F">
              <w:rPr>
                <w:rFonts w:asciiTheme="minorHAnsi" w:hAnsiTheme="minorHAnsi" w:cstheme="minorBidi"/>
                <w:color w:val="495965" w:themeColor="text2"/>
                <w:lang w:val="en-GB"/>
              </w:rPr>
              <w:t>New program and activity designs include consideration of climate change where possible – whether through risk screening to ensure investments are climate resilient or do not increase vulnerability to climate change, or looking for opportunities for institutional, policy or programmatic capacity building and resilience building.</w:t>
            </w:r>
          </w:p>
          <w:p w:rsidR="00070343" w:rsidRPr="002B324F" w:rsidRDefault="00070343" w:rsidP="00070343">
            <w:pPr>
              <w:pStyle w:val="ListParagraph"/>
              <w:keepLines/>
              <w:numPr>
                <w:ilvl w:val="0"/>
                <w:numId w:val="17"/>
              </w:numPr>
              <w:spacing w:after="40" w:line="200" w:lineRule="atLeast"/>
              <w:ind w:left="261" w:hanging="219"/>
              <w:rPr>
                <w:rFonts w:asciiTheme="minorHAnsi" w:hAnsiTheme="minorHAnsi" w:cstheme="minorBidi"/>
                <w:iCs/>
                <w:color w:val="495965" w:themeColor="text2"/>
                <w:sz w:val="17"/>
                <w:szCs w:val="17"/>
                <w:lang w:val="en-GB"/>
              </w:rPr>
            </w:pPr>
            <w:r w:rsidRPr="00007DA3">
              <w:rPr>
                <w:rFonts w:asciiTheme="minorHAnsi" w:hAnsiTheme="minorHAnsi" w:cstheme="minorBidi"/>
                <w:color w:val="495965" w:themeColor="text2"/>
                <w:sz w:val="17"/>
                <w:szCs w:val="17"/>
                <w:lang w:val="en-GB"/>
              </w:rPr>
              <w:t xml:space="preserve">As measured by the </w:t>
            </w:r>
            <w:r>
              <w:rPr>
                <w:rFonts w:asciiTheme="minorHAnsi" w:hAnsiTheme="minorHAnsi" w:cstheme="minorBidi"/>
                <w:color w:val="495965" w:themeColor="text2"/>
                <w:sz w:val="17"/>
                <w:szCs w:val="17"/>
                <w:lang w:val="en-GB"/>
              </w:rPr>
              <w:t>n</w:t>
            </w:r>
            <w:r w:rsidRPr="00007DA3">
              <w:rPr>
                <w:rFonts w:asciiTheme="minorHAnsi" w:hAnsiTheme="minorHAnsi" w:cstheme="minorBidi"/>
                <w:color w:val="495965" w:themeColor="text2"/>
                <w:sz w:val="17"/>
                <w:szCs w:val="17"/>
                <w:lang w:val="en-GB"/>
              </w:rPr>
              <w:t>umber of programs, and per cent of the program budget supporting climate change policy</w:t>
            </w:r>
          </w:p>
        </w:tc>
        <w:tc>
          <w:tcPr>
            <w:tcW w:w="2890" w:type="dxa"/>
          </w:tcPr>
          <w:p w:rsidR="00070343" w:rsidRDefault="00070343" w:rsidP="00070343">
            <w:pPr>
              <w:pStyle w:val="TableTextEntries"/>
              <w:spacing w:before="0"/>
              <w:rPr>
                <w:rFonts w:asciiTheme="minorHAnsi" w:hAnsiTheme="minorHAnsi" w:cstheme="minorBidi"/>
                <w:color w:val="495965" w:themeColor="text2"/>
                <w:lang w:val="en-GB"/>
              </w:rPr>
            </w:pPr>
            <w:r>
              <w:rPr>
                <w:rFonts w:asciiTheme="minorHAnsi" w:hAnsiTheme="minorHAnsi" w:cstheme="minorBidi"/>
                <w:color w:val="495965" w:themeColor="text2"/>
                <w:lang w:val="en-GB"/>
              </w:rPr>
              <w:t>Existing programs screened to establish how they may already work to address the impacts of climate change.</w:t>
            </w:r>
          </w:p>
          <w:p w:rsidR="00070343" w:rsidRDefault="00070343" w:rsidP="00070343">
            <w:pPr>
              <w:pStyle w:val="TableTextEntries"/>
              <w:spacing w:before="0"/>
              <w:rPr>
                <w:rFonts w:asciiTheme="minorHAnsi" w:hAnsiTheme="minorHAnsi" w:cstheme="minorBidi"/>
                <w:color w:val="495965" w:themeColor="text2"/>
                <w:lang w:val="en-GB"/>
              </w:rPr>
            </w:pPr>
          </w:p>
          <w:p w:rsidR="00070343" w:rsidRDefault="00070343" w:rsidP="00070343">
            <w:pPr>
              <w:pStyle w:val="TableTextEntries"/>
              <w:spacing w:before="0"/>
              <w:rPr>
                <w:rFonts w:asciiTheme="minorHAnsi" w:hAnsiTheme="minorHAnsi" w:cstheme="minorBidi"/>
                <w:color w:val="495965" w:themeColor="text2"/>
                <w:lang w:val="en-GB"/>
              </w:rPr>
            </w:pPr>
            <w:r>
              <w:rPr>
                <w:rFonts w:asciiTheme="minorHAnsi" w:hAnsiTheme="minorHAnsi" w:cstheme="minorBidi"/>
                <w:color w:val="495965" w:themeColor="text2"/>
                <w:lang w:val="en-GB"/>
              </w:rPr>
              <w:t xml:space="preserve">Per cent of program budget that is climate related that support climate change adaptation or mitigation to be reported. </w:t>
            </w:r>
          </w:p>
          <w:p w:rsidR="00070343" w:rsidRDefault="00070343" w:rsidP="00070343">
            <w:pPr>
              <w:pStyle w:val="TableTextEntries"/>
              <w:spacing w:before="0"/>
              <w:rPr>
                <w:rFonts w:asciiTheme="minorHAnsi" w:hAnsiTheme="minorHAnsi" w:cstheme="minorBidi"/>
                <w:color w:val="495965" w:themeColor="text2"/>
                <w:lang w:val="en-GB"/>
              </w:rPr>
            </w:pPr>
          </w:p>
          <w:p w:rsidR="00070343" w:rsidRPr="002B324F" w:rsidRDefault="00070343" w:rsidP="00070343">
            <w:pPr>
              <w:pStyle w:val="TableTextEntries"/>
              <w:spacing w:before="0"/>
              <w:rPr>
                <w:iCs w:val="0"/>
              </w:rPr>
            </w:pPr>
            <w:r w:rsidRPr="002B324F">
              <w:rPr>
                <w:rFonts w:asciiTheme="minorHAnsi" w:hAnsiTheme="minorHAnsi" w:cstheme="minorBidi"/>
                <w:color w:val="495965" w:themeColor="text2"/>
                <w:lang w:val="en-GB"/>
              </w:rPr>
              <w:t xml:space="preserve">Where possible and appropriate, such as during mid-term reviews, climate change is integrated into existing programs. </w:t>
            </w:r>
          </w:p>
        </w:tc>
        <w:tc>
          <w:tcPr>
            <w:tcW w:w="2891" w:type="dxa"/>
          </w:tcPr>
          <w:p w:rsidR="00070343" w:rsidRDefault="00070343" w:rsidP="00070343">
            <w:pPr>
              <w:pStyle w:val="TableTextEntries"/>
              <w:spacing w:before="0"/>
              <w:rPr>
                <w:rFonts w:asciiTheme="minorHAnsi" w:hAnsiTheme="minorHAnsi" w:cstheme="minorBidi"/>
                <w:color w:val="495965" w:themeColor="text2"/>
                <w:lang w:val="en-GB"/>
              </w:rPr>
            </w:pPr>
            <w:r w:rsidRPr="002B324F">
              <w:rPr>
                <w:rFonts w:asciiTheme="minorHAnsi" w:hAnsiTheme="minorHAnsi" w:cstheme="minorBidi"/>
                <w:color w:val="495965" w:themeColor="text2"/>
                <w:lang w:val="en-GB"/>
              </w:rPr>
              <w:t>Where possible and appropriate, such as during mid-term reviews, climate change is integrated into existing programs</w:t>
            </w:r>
          </w:p>
          <w:p w:rsidR="00070343" w:rsidRPr="00916759" w:rsidRDefault="00070343" w:rsidP="00070343">
            <w:pPr>
              <w:pStyle w:val="TableTextEntries"/>
              <w:spacing w:before="0"/>
            </w:pPr>
            <w:r w:rsidRPr="00916759">
              <w:rPr>
                <w:rFonts w:asciiTheme="minorHAnsi" w:hAnsiTheme="minorHAnsi" w:cstheme="minorBidi"/>
                <w:color w:val="495965" w:themeColor="text2"/>
                <w:lang w:val="en-GB"/>
              </w:rPr>
              <w:t>Between 2014 and 2017, Australia provided AUD3.90 million in climate change support to the Philippines through disaster risk reduction, education, governance, and food security programs</w:t>
            </w:r>
          </w:p>
          <w:p w:rsidR="00070343" w:rsidRPr="002B324F" w:rsidRDefault="00070343" w:rsidP="00070343">
            <w:pPr>
              <w:pStyle w:val="TableTextEntries"/>
              <w:spacing w:before="0"/>
              <w:rPr>
                <w:rFonts w:asciiTheme="minorHAnsi" w:hAnsiTheme="minorHAnsi" w:cstheme="minorBidi"/>
                <w:iCs w:val="0"/>
                <w:color w:val="495965" w:themeColor="text2"/>
                <w:lang w:val="en-GB"/>
              </w:rPr>
            </w:pPr>
            <w:r w:rsidRPr="00916759">
              <w:rPr>
                <w:rFonts w:asciiTheme="minorHAnsi" w:hAnsiTheme="minorHAnsi" w:cstheme="minorBidi"/>
                <w:color w:val="495965" w:themeColor="text2"/>
                <w:lang w:val="en-GB"/>
              </w:rPr>
              <w:t>Opportunities for climate change integration for 2017-18 includes investments and activities in energy, women’s economic empowerment, transport infrastructure, education, community resilience and disaster risk reduction. These together account for AUD14.47 million over the year</w:t>
            </w:r>
          </w:p>
        </w:tc>
        <w:tc>
          <w:tcPr>
            <w:tcW w:w="2891" w:type="dxa"/>
          </w:tcPr>
          <w:p w:rsidR="00070343" w:rsidRPr="002B324F" w:rsidRDefault="00070343" w:rsidP="00070343">
            <w:pPr>
              <w:keepLines/>
              <w:spacing w:before="0" w:after="40" w:line="200" w:lineRule="atLeast"/>
              <w:rPr>
                <w:rFonts w:eastAsia="Times New Roman"/>
                <w:iCs/>
                <w:sz w:val="17"/>
                <w:szCs w:val="17"/>
              </w:rPr>
            </w:pPr>
            <w:r w:rsidRPr="002B324F">
              <w:rPr>
                <w:rFonts w:eastAsia="Times New Roman"/>
                <w:iCs/>
                <w:sz w:val="17"/>
                <w:szCs w:val="17"/>
              </w:rPr>
              <w:t>Baseline: 0, at June 2017</w:t>
            </w:r>
          </w:p>
          <w:p w:rsidR="00070343" w:rsidRDefault="00070343" w:rsidP="00070343">
            <w:pPr>
              <w:keepLines/>
              <w:spacing w:before="0" w:after="40" w:line="200" w:lineRule="atLeast"/>
              <w:rPr>
                <w:rFonts w:eastAsia="Times New Roman"/>
                <w:iCs/>
                <w:sz w:val="17"/>
                <w:szCs w:val="17"/>
              </w:rPr>
            </w:pPr>
            <w:r w:rsidRPr="002B324F">
              <w:rPr>
                <w:rFonts w:eastAsia="Times New Roman"/>
                <w:iCs/>
                <w:sz w:val="17"/>
                <w:szCs w:val="17"/>
              </w:rPr>
              <w:t>Relevant program and activity documents</w:t>
            </w:r>
          </w:p>
          <w:p w:rsidR="00070343" w:rsidRDefault="00070343" w:rsidP="00070343">
            <w:pPr>
              <w:keepLines/>
              <w:spacing w:before="0" w:after="40" w:line="200" w:lineRule="atLeast"/>
              <w:rPr>
                <w:rFonts w:eastAsia="Times New Roman"/>
                <w:iCs/>
                <w:sz w:val="17"/>
                <w:szCs w:val="17"/>
              </w:rPr>
            </w:pPr>
          </w:p>
          <w:p w:rsidR="00070343" w:rsidRDefault="00070343" w:rsidP="00070343">
            <w:pPr>
              <w:keepLines/>
              <w:spacing w:before="0" w:after="40" w:line="200" w:lineRule="atLeast"/>
              <w:rPr>
                <w:rFonts w:eastAsia="Times New Roman"/>
                <w:iCs/>
                <w:sz w:val="17"/>
                <w:szCs w:val="17"/>
              </w:rPr>
            </w:pPr>
            <w:r w:rsidRPr="002B324F">
              <w:rPr>
                <w:rFonts w:eastAsia="Times New Roman"/>
                <w:iCs/>
                <w:sz w:val="17"/>
                <w:szCs w:val="17"/>
              </w:rPr>
              <w:t>Existing programs screened to establish how they may already work to address the impacts of climate change</w:t>
            </w:r>
          </w:p>
          <w:p w:rsidR="00070343" w:rsidRDefault="00070343" w:rsidP="00070343">
            <w:pPr>
              <w:keepLines/>
              <w:spacing w:before="0" w:after="40" w:line="200" w:lineRule="atLeast"/>
              <w:rPr>
                <w:rFonts w:eastAsia="Times New Roman"/>
                <w:iCs/>
                <w:sz w:val="17"/>
                <w:szCs w:val="17"/>
              </w:rPr>
            </w:pPr>
          </w:p>
          <w:p w:rsidR="00070343" w:rsidRPr="00B47912" w:rsidRDefault="00070343" w:rsidP="00070343">
            <w:pPr>
              <w:pStyle w:val="TableTextEntries"/>
              <w:spacing w:before="0"/>
              <w:rPr>
                <w:rFonts w:asciiTheme="minorHAnsi" w:hAnsiTheme="minorHAnsi" w:cstheme="minorBidi"/>
                <w:color w:val="495965" w:themeColor="text2"/>
                <w:lang w:val="en-GB"/>
              </w:rPr>
            </w:pPr>
            <w:r w:rsidRPr="002B324F">
              <w:rPr>
                <w:rFonts w:asciiTheme="minorHAnsi" w:hAnsiTheme="minorHAnsi" w:cstheme="minorBidi"/>
                <w:color w:val="495965" w:themeColor="text2"/>
                <w:lang w:val="en-GB"/>
              </w:rPr>
              <w:t>Per cent of program budget that is climate related that support climate change adaptati</w:t>
            </w:r>
            <w:r>
              <w:rPr>
                <w:rFonts w:asciiTheme="minorHAnsi" w:hAnsiTheme="minorHAnsi" w:cstheme="minorBidi"/>
                <w:color w:val="495965" w:themeColor="text2"/>
                <w:lang w:val="en-GB"/>
              </w:rPr>
              <w:t>on or mitigation to be reported</w:t>
            </w:r>
          </w:p>
        </w:tc>
      </w:tr>
      <w:tr w:rsidR="00070343" w:rsidTr="00A71902">
        <w:tc>
          <w:tcPr>
            <w:tcW w:w="2890" w:type="dxa"/>
            <w:vMerge/>
          </w:tcPr>
          <w:p w:rsidR="00070343" w:rsidRPr="002B324F" w:rsidRDefault="00070343" w:rsidP="00070343">
            <w:pPr>
              <w:keepLines/>
              <w:spacing w:before="0" w:after="40" w:line="200" w:lineRule="atLeast"/>
              <w:rPr>
                <w:rFonts w:eastAsia="Times New Roman"/>
                <w:iCs/>
                <w:sz w:val="17"/>
                <w:szCs w:val="17"/>
              </w:rPr>
            </w:pPr>
          </w:p>
        </w:tc>
        <w:tc>
          <w:tcPr>
            <w:tcW w:w="2890" w:type="dxa"/>
          </w:tcPr>
          <w:p w:rsidR="00070343" w:rsidRPr="002B324F" w:rsidRDefault="00070343" w:rsidP="00070343">
            <w:pPr>
              <w:pStyle w:val="TableTextEntries"/>
              <w:spacing w:before="0"/>
              <w:rPr>
                <w:rFonts w:asciiTheme="minorHAnsi" w:hAnsiTheme="minorHAnsi" w:cstheme="minorBidi"/>
                <w:color w:val="495965" w:themeColor="text2"/>
                <w:lang w:val="en-GB"/>
              </w:rPr>
            </w:pPr>
            <w:r w:rsidRPr="002B324F">
              <w:rPr>
                <w:rFonts w:asciiTheme="minorHAnsi" w:hAnsiTheme="minorHAnsi" w:cstheme="minorBidi"/>
                <w:color w:val="495965" w:themeColor="text2"/>
                <w:lang w:val="en-GB"/>
              </w:rPr>
              <w:t>Consideration of standalone climate change programs where Australian expertise has a comparative advantage, ensuring investments are aligned w</w:t>
            </w:r>
            <w:r>
              <w:rPr>
                <w:rFonts w:asciiTheme="minorHAnsi" w:hAnsiTheme="minorHAnsi" w:cstheme="minorBidi"/>
                <w:color w:val="495965" w:themeColor="text2"/>
                <w:lang w:val="en-GB"/>
              </w:rPr>
              <w:t>ith partner country priorities.</w:t>
            </w:r>
          </w:p>
        </w:tc>
        <w:tc>
          <w:tcPr>
            <w:tcW w:w="2890" w:type="dxa"/>
          </w:tcPr>
          <w:p w:rsidR="00070343" w:rsidRPr="002B324F" w:rsidRDefault="00070343" w:rsidP="00070343">
            <w:pPr>
              <w:pStyle w:val="TableTextEntries"/>
              <w:spacing w:before="0"/>
              <w:rPr>
                <w:rFonts w:asciiTheme="minorHAnsi" w:hAnsiTheme="minorHAnsi" w:cstheme="minorBidi"/>
                <w:color w:val="495965" w:themeColor="text2"/>
                <w:lang w:val="en-GB"/>
              </w:rPr>
            </w:pPr>
            <w:r w:rsidRPr="002B324F">
              <w:rPr>
                <w:rFonts w:asciiTheme="minorHAnsi" w:hAnsiTheme="minorHAnsi" w:cstheme="minorBidi"/>
                <w:color w:val="495965" w:themeColor="text2"/>
                <w:lang w:val="en-GB"/>
              </w:rPr>
              <w:t>In 2017-18, work to having 1-2 programs incorporating climate change capacity building/resilience, or standalone projects</w:t>
            </w:r>
          </w:p>
        </w:tc>
        <w:tc>
          <w:tcPr>
            <w:tcW w:w="2891" w:type="dxa"/>
          </w:tcPr>
          <w:p w:rsidR="00070343" w:rsidRDefault="00070343" w:rsidP="00070343">
            <w:pPr>
              <w:pStyle w:val="TableTextEntries"/>
              <w:spacing w:before="0"/>
              <w:rPr>
                <w:rFonts w:asciiTheme="minorHAnsi" w:hAnsiTheme="minorHAnsi" w:cstheme="minorBidi"/>
                <w:color w:val="495965" w:themeColor="text2"/>
                <w:lang w:val="en-GB"/>
              </w:rPr>
            </w:pPr>
            <w:r w:rsidRPr="002B324F">
              <w:rPr>
                <w:rFonts w:asciiTheme="minorHAnsi" w:hAnsiTheme="minorHAnsi" w:cstheme="minorBidi"/>
                <w:color w:val="495965" w:themeColor="text2"/>
                <w:lang w:val="en-GB"/>
              </w:rPr>
              <w:t>One disaster and climate resilience project (RAPID Program) addressing the impact of climate change</w:t>
            </w:r>
          </w:p>
          <w:p w:rsidR="00070343" w:rsidRPr="002B324F" w:rsidRDefault="00070343" w:rsidP="00070343">
            <w:pPr>
              <w:pStyle w:val="TableTextEntries"/>
              <w:spacing w:before="0"/>
              <w:rPr>
                <w:rFonts w:asciiTheme="minorHAnsi" w:hAnsiTheme="minorHAnsi" w:cstheme="minorBidi"/>
                <w:color w:val="495965" w:themeColor="text2"/>
                <w:lang w:val="en-GB"/>
              </w:rPr>
            </w:pPr>
            <w:r w:rsidRPr="00916759">
              <w:rPr>
                <w:rFonts w:asciiTheme="minorHAnsi" w:hAnsiTheme="minorHAnsi" w:cstheme="minorBidi"/>
                <w:iCs w:val="0"/>
                <w:color w:val="495965" w:themeColor="text2"/>
              </w:rPr>
              <w:t>A new climate and disaster resilience investment will be designed from September 2018 with target mobilisation from July 2019. The new investment will contribute to developing disaster and climate resilient institutions and communities to save lives and protect investments and economic gains.  The investment will be at the subnational level, with strategic engagement at the national level</w:t>
            </w:r>
          </w:p>
        </w:tc>
        <w:tc>
          <w:tcPr>
            <w:tcW w:w="2891" w:type="dxa"/>
          </w:tcPr>
          <w:p w:rsidR="00070343" w:rsidRPr="002B324F" w:rsidRDefault="00070343" w:rsidP="00070343">
            <w:pPr>
              <w:keepLines/>
              <w:spacing w:before="0" w:after="40" w:line="200" w:lineRule="atLeast"/>
              <w:rPr>
                <w:rFonts w:eastAsia="Times New Roman"/>
                <w:iCs/>
                <w:sz w:val="17"/>
                <w:szCs w:val="17"/>
              </w:rPr>
            </w:pPr>
            <w:r w:rsidRPr="008B745F">
              <w:rPr>
                <w:rFonts w:eastAsia="Times New Roman"/>
                <w:iCs/>
                <w:sz w:val="17"/>
                <w:szCs w:val="17"/>
              </w:rPr>
              <w:t>PCTP-RAPID Program Annual Accomplishment Report, Project Management Board Meeting, Annual Work and Financial Plan</w:t>
            </w:r>
          </w:p>
        </w:tc>
      </w:tr>
      <w:tr w:rsidR="00070343" w:rsidTr="00A71902">
        <w:tc>
          <w:tcPr>
            <w:tcW w:w="2890" w:type="dxa"/>
            <w:vMerge/>
          </w:tcPr>
          <w:p w:rsidR="00070343" w:rsidRPr="002B324F" w:rsidRDefault="00070343" w:rsidP="00070343">
            <w:pPr>
              <w:keepLines/>
              <w:spacing w:before="0" w:after="40" w:line="200" w:lineRule="atLeast"/>
              <w:rPr>
                <w:rFonts w:eastAsia="Times New Roman"/>
                <w:iCs/>
                <w:sz w:val="17"/>
                <w:szCs w:val="17"/>
              </w:rPr>
            </w:pPr>
          </w:p>
        </w:tc>
        <w:tc>
          <w:tcPr>
            <w:tcW w:w="2890" w:type="dxa"/>
          </w:tcPr>
          <w:p w:rsidR="00070343" w:rsidRPr="002B324F" w:rsidRDefault="00070343" w:rsidP="00070343">
            <w:pPr>
              <w:keepLines/>
              <w:spacing w:before="0" w:after="40" w:line="200" w:lineRule="atLeast"/>
              <w:rPr>
                <w:rFonts w:eastAsia="Times New Roman"/>
                <w:iCs/>
                <w:sz w:val="17"/>
                <w:szCs w:val="17"/>
              </w:rPr>
            </w:pPr>
            <w:r>
              <w:rPr>
                <w:rFonts w:eastAsia="Times New Roman"/>
                <w:iCs/>
                <w:sz w:val="17"/>
                <w:szCs w:val="17"/>
              </w:rPr>
              <w:t xml:space="preserve">Capacity of GPH and local government partners on preparedness and risk reduction strengthened. </w:t>
            </w:r>
          </w:p>
        </w:tc>
        <w:tc>
          <w:tcPr>
            <w:tcW w:w="2890" w:type="dxa"/>
          </w:tcPr>
          <w:p w:rsidR="00070343" w:rsidRPr="002B324F" w:rsidRDefault="00070343" w:rsidP="00070343">
            <w:pPr>
              <w:pStyle w:val="TableTextEntries"/>
              <w:spacing w:before="0"/>
              <w:rPr>
                <w:rFonts w:asciiTheme="minorHAnsi" w:hAnsiTheme="minorHAnsi" w:cstheme="minorBidi"/>
                <w:color w:val="495965" w:themeColor="text2"/>
                <w:lang w:val="en-GB"/>
              </w:rPr>
            </w:pPr>
            <w:r>
              <w:rPr>
                <w:rFonts w:asciiTheme="minorHAnsi" w:hAnsiTheme="minorHAnsi" w:cstheme="minorBidi"/>
                <w:color w:val="495965" w:themeColor="text2"/>
                <w:lang w:val="en-GB"/>
              </w:rPr>
              <w:t>Handbook on Designing Resilient Local Structure finalised and handed over to GPH and LGUs.</w:t>
            </w:r>
          </w:p>
        </w:tc>
        <w:tc>
          <w:tcPr>
            <w:tcW w:w="2891" w:type="dxa"/>
          </w:tcPr>
          <w:p w:rsidR="00070343" w:rsidRPr="002348CC" w:rsidRDefault="007B3F86" w:rsidP="00070343">
            <w:pPr>
              <w:pStyle w:val="TableTextEntries"/>
              <w:spacing w:before="0"/>
              <w:rPr>
                <w:rFonts w:asciiTheme="minorHAnsi" w:hAnsiTheme="minorHAnsi" w:cstheme="minorBidi"/>
                <w:color w:val="495965" w:themeColor="text2"/>
                <w:lang w:val="en-GB"/>
              </w:rPr>
            </w:pPr>
            <w:r w:rsidRPr="002348CC">
              <w:rPr>
                <w:rFonts w:asciiTheme="minorHAnsi" w:hAnsiTheme="minorHAnsi" w:cstheme="minorBidi"/>
                <w:color w:val="495965" w:themeColor="text2"/>
                <w:lang w:val="en-GB"/>
              </w:rPr>
              <w:t>12 Haiyan affected local government units have access to climate and hazard risk data and have been capacitated to mainstream climate change adaptation and disaster risk management into their LGU development plans</w:t>
            </w:r>
            <w:r w:rsidR="0099148E" w:rsidRPr="002348CC">
              <w:rPr>
                <w:rFonts w:asciiTheme="minorHAnsi" w:hAnsiTheme="minorHAnsi" w:cstheme="minorBidi"/>
                <w:color w:val="495965" w:themeColor="text2"/>
                <w:lang w:val="en-GB"/>
              </w:rPr>
              <w:t>, comprehensive land use plans</w:t>
            </w:r>
            <w:r w:rsidR="002348CC">
              <w:rPr>
                <w:rFonts w:asciiTheme="minorHAnsi" w:hAnsiTheme="minorHAnsi" w:cstheme="minorBidi"/>
                <w:color w:val="495965" w:themeColor="text2"/>
                <w:lang w:val="en-GB"/>
              </w:rPr>
              <w:t xml:space="preserve"> </w:t>
            </w:r>
            <w:r w:rsidR="0099148E" w:rsidRPr="002348CC">
              <w:rPr>
                <w:rFonts w:asciiTheme="minorHAnsi" w:hAnsiTheme="minorHAnsi" w:cstheme="minorBidi"/>
                <w:color w:val="495965" w:themeColor="text2"/>
                <w:lang w:val="en-GB"/>
              </w:rPr>
              <w:t>contingency plans and community based disaster risk-reduction management plans.</w:t>
            </w:r>
          </w:p>
        </w:tc>
        <w:tc>
          <w:tcPr>
            <w:tcW w:w="2891" w:type="dxa"/>
          </w:tcPr>
          <w:p w:rsidR="00070343" w:rsidRPr="008B745F" w:rsidRDefault="00274F74" w:rsidP="00070343">
            <w:pPr>
              <w:pStyle w:val="TableTextEntries"/>
              <w:spacing w:before="0"/>
              <w:rPr>
                <w:rFonts w:asciiTheme="minorHAnsi" w:hAnsiTheme="minorHAnsi" w:cstheme="minorBidi"/>
                <w:color w:val="495965" w:themeColor="text2"/>
                <w:lang w:val="en-GB"/>
              </w:rPr>
            </w:pPr>
            <w:r>
              <w:rPr>
                <w:rFonts w:asciiTheme="minorHAnsi" w:hAnsiTheme="minorHAnsi" w:cstheme="minorBidi"/>
                <w:color w:val="495965" w:themeColor="text2"/>
                <w:lang w:val="en-GB"/>
              </w:rPr>
              <w:t>PCTP- RAPID Annual Accomplishment Report</w:t>
            </w:r>
          </w:p>
        </w:tc>
      </w:tr>
      <w:tr w:rsidR="00070343" w:rsidTr="00A71902">
        <w:tc>
          <w:tcPr>
            <w:tcW w:w="2890" w:type="dxa"/>
            <w:vMerge/>
          </w:tcPr>
          <w:p w:rsidR="00070343" w:rsidRPr="002B324F" w:rsidRDefault="00070343" w:rsidP="00070343">
            <w:pPr>
              <w:keepLines/>
              <w:spacing w:before="0" w:after="40" w:line="200" w:lineRule="atLeast"/>
              <w:rPr>
                <w:rFonts w:eastAsia="Times New Roman"/>
                <w:iCs/>
                <w:sz w:val="17"/>
                <w:szCs w:val="17"/>
              </w:rPr>
            </w:pPr>
          </w:p>
        </w:tc>
        <w:tc>
          <w:tcPr>
            <w:tcW w:w="2890" w:type="dxa"/>
          </w:tcPr>
          <w:p w:rsidR="00070343" w:rsidRDefault="00070343" w:rsidP="00070343">
            <w:pPr>
              <w:keepLines/>
              <w:spacing w:before="0" w:after="40" w:line="200" w:lineRule="atLeast"/>
              <w:rPr>
                <w:rFonts w:eastAsia="Times New Roman"/>
                <w:iCs/>
                <w:sz w:val="17"/>
                <w:szCs w:val="17"/>
              </w:rPr>
            </w:pPr>
            <w:r w:rsidRPr="002B324F">
              <w:rPr>
                <w:rFonts w:eastAsia="Times New Roman"/>
                <w:iCs/>
                <w:sz w:val="17"/>
                <w:szCs w:val="17"/>
              </w:rPr>
              <w:t xml:space="preserve">Displaced and vulnerable men and women with access to permanent shelter </w:t>
            </w:r>
          </w:p>
          <w:p w:rsidR="00070343" w:rsidRDefault="00070343" w:rsidP="00070343">
            <w:pPr>
              <w:keepLines/>
              <w:spacing w:before="0" w:after="40" w:line="200" w:lineRule="atLeast"/>
              <w:rPr>
                <w:rFonts w:eastAsia="Times New Roman"/>
                <w:iCs/>
                <w:sz w:val="17"/>
                <w:szCs w:val="17"/>
              </w:rPr>
            </w:pPr>
          </w:p>
          <w:p w:rsidR="00070343" w:rsidRDefault="00070343" w:rsidP="00070343">
            <w:pPr>
              <w:keepLines/>
              <w:spacing w:before="0" w:after="40" w:line="200" w:lineRule="atLeast"/>
              <w:rPr>
                <w:rFonts w:eastAsia="Times New Roman"/>
                <w:iCs/>
                <w:sz w:val="17"/>
                <w:szCs w:val="17"/>
              </w:rPr>
            </w:pPr>
          </w:p>
          <w:p w:rsidR="00070343" w:rsidRDefault="00070343" w:rsidP="00070343">
            <w:pPr>
              <w:keepLines/>
              <w:spacing w:before="0" w:after="40" w:line="200" w:lineRule="atLeast"/>
              <w:rPr>
                <w:rFonts w:eastAsia="Times New Roman"/>
                <w:iCs/>
                <w:sz w:val="17"/>
                <w:szCs w:val="17"/>
              </w:rPr>
            </w:pPr>
            <w:r w:rsidRPr="002B324F">
              <w:rPr>
                <w:rFonts w:eastAsia="Times New Roman"/>
                <w:iCs/>
                <w:sz w:val="17"/>
                <w:szCs w:val="17"/>
              </w:rPr>
              <w:t>Displaced and vulnerable poor women and men with increased incomes</w:t>
            </w:r>
            <w:r>
              <w:rPr>
                <w:rFonts w:eastAsia="Times New Roman"/>
                <w:iCs/>
                <w:sz w:val="17"/>
                <w:szCs w:val="17"/>
              </w:rPr>
              <w:t xml:space="preserve"> as measured by: </w:t>
            </w:r>
          </w:p>
          <w:p w:rsidR="00070343" w:rsidRPr="00674691" w:rsidRDefault="00070343" w:rsidP="00070343">
            <w:pPr>
              <w:pStyle w:val="ListParagraph"/>
              <w:keepLines/>
              <w:numPr>
                <w:ilvl w:val="0"/>
                <w:numId w:val="17"/>
              </w:numPr>
              <w:spacing w:after="40" w:line="200" w:lineRule="atLeast"/>
              <w:ind w:left="261" w:hanging="219"/>
              <w:rPr>
                <w:rFonts w:asciiTheme="minorHAnsi" w:hAnsiTheme="minorHAnsi" w:cstheme="minorBidi"/>
                <w:color w:val="495965" w:themeColor="text2"/>
                <w:sz w:val="17"/>
                <w:szCs w:val="17"/>
                <w:lang w:val="en-GB"/>
              </w:rPr>
            </w:pPr>
            <w:r w:rsidRPr="00674691">
              <w:rPr>
                <w:rFonts w:asciiTheme="minorHAnsi" w:hAnsiTheme="minorHAnsi" w:cstheme="minorBidi"/>
                <w:color w:val="495965" w:themeColor="text2"/>
                <w:sz w:val="17"/>
                <w:szCs w:val="17"/>
                <w:lang w:val="en-GB"/>
              </w:rPr>
              <w:t>Provision of livelihood assistance</w:t>
            </w:r>
          </w:p>
          <w:p w:rsidR="00070343" w:rsidRPr="002B324F" w:rsidRDefault="00070343" w:rsidP="00070343">
            <w:pPr>
              <w:keepLines/>
              <w:spacing w:before="0" w:after="40" w:line="200" w:lineRule="atLeast"/>
              <w:rPr>
                <w:rFonts w:eastAsia="Times New Roman"/>
                <w:iCs/>
                <w:sz w:val="17"/>
                <w:szCs w:val="17"/>
              </w:rPr>
            </w:pPr>
          </w:p>
        </w:tc>
        <w:tc>
          <w:tcPr>
            <w:tcW w:w="2890" w:type="dxa"/>
          </w:tcPr>
          <w:p w:rsidR="00070343" w:rsidRDefault="00070343" w:rsidP="00070343">
            <w:pPr>
              <w:pStyle w:val="TableTextEntries"/>
              <w:spacing w:before="0"/>
              <w:rPr>
                <w:rFonts w:asciiTheme="minorHAnsi" w:hAnsiTheme="minorHAnsi" w:cstheme="minorBidi"/>
                <w:color w:val="495965" w:themeColor="text2"/>
                <w:lang w:val="en-GB"/>
              </w:rPr>
            </w:pPr>
            <w:r w:rsidRPr="002B324F">
              <w:rPr>
                <w:rFonts w:asciiTheme="minorHAnsi" w:hAnsiTheme="minorHAnsi" w:cstheme="minorBidi"/>
                <w:color w:val="495965" w:themeColor="text2"/>
                <w:lang w:val="en-GB"/>
              </w:rPr>
              <w:t>Up to 95 displaced, poorest and most vulnerable families, including men and women provided with permanent shelter</w:t>
            </w:r>
          </w:p>
          <w:p w:rsidR="00070343" w:rsidRDefault="00070343" w:rsidP="00070343">
            <w:pPr>
              <w:pStyle w:val="TableTextEntries"/>
              <w:spacing w:before="0"/>
              <w:rPr>
                <w:rFonts w:asciiTheme="minorHAnsi" w:hAnsiTheme="minorHAnsi" w:cstheme="minorBidi"/>
                <w:color w:val="495965" w:themeColor="text2"/>
                <w:lang w:val="en-GB"/>
              </w:rPr>
            </w:pPr>
          </w:p>
          <w:p w:rsidR="00070343" w:rsidRPr="002B324F" w:rsidRDefault="00070343" w:rsidP="00070343">
            <w:pPr>
              <w:pStyle w:val="TableTextEntries"/>
              <w:spacing w:before="0"/>
              <w:rPr>
                <w:rFonts w:asciiTheme="minorHAnsi" w:hAnsiTheme="minorHAnsi" w:cstheme="minorBidi"/>
                <w:color w:val="495965" w:themeColor="text2"/>
                <w:lang w:val="en-GB"/>
              </w:rPr>
            </w:pPr>
            <w:r w:rsidRPr="002B324F">
              <w:rPr>
                <w:rFonts w:asciiTheme="minorHAnsi" w:hAnsiTheme="minorHAnsi" w:cstheme="minorBidi"/>
                <w:color w:val="495965" w:themeColor="text2"/>
                <w:lang w:val="en-GB"/>
              </w:rPr>
              <w:t>At least 10 communities including most vulnerable families, men and women provided with livelihood assistance</w:t>
            </w:r>
          </w:p>
        </w:tc>
        <w:tc>
          <w:tcPr>
            <w:tcW w:w="2891" w:type="dxa"/>
          </w:tcPr>
          <w:p w:rsidR="00070343" w:rsidRPr="00802E98" w:rsidRDefault="00070343" w:rsidP="00070343">
            <w:pPr>
              <w:pStyle w:val="TableTextEntries"/>
              <w:spacing w:before="0"/>
              <w:rPr>
                <w:rFonts w:asciiTheme="minorHAnsi" w:hAnsiTheme="minorHAnsi" w:cstheme="minorBidi"/>
                <w:color w:val="495965" w:themeColor="text2"/>
                <w:lang w:val="en-GB"/>
              </w:rPr>
            </w:pPr>
            <w:r w:rsidRPr="00802E98">
              <w:rPr>
                <w:rFonts w:asciiTheme="minorHAnsi" w:hAnsiTheme="minorHAnsi" w:cstheme="minorBidi"/>
                <w:color w:val="495965" w:themeColor="text2"/>
                <w:lang w:val="en-GB"/>
              </w:rPr>
              <w:t>95 families including men and women displaced by the Zamboanga conflict provided with permanent shelter</w:t>
            </w:r>
          </w:p>
          <w:p w:rsidR="00070343" w:rsidRPr="00916759" w:rsidRDefault="00070343" w:rsidP="00070343">
            <w:pPr>
              <w:pStyle w:val="TableTextEntries"/>
              <w:spacing w:before="0"/>
              <w:rPr>
                <w:rFonts w:asciiTheme="minorHAnsi" w:hAnsiTheme="minorHAnsi" w:cstheme="minorBidi"/>
                <w:color w:val="495965" w:themeColor="text2"/>
              </w:rPr>
            </w:pPr>
            <w:r w:rsidRPr="00916759">
              <w:rPr>
                <w:rFonts w:asciiTheme="minorHAnsi" w:hAnsiTheme="minorHAnsi" w:cstheme="minorBidi"/>
                <w:color w:val="495965" w:themeColor="text2"/>
                <w:lang w:val="en-GB"/>
              </w:rPr>
              <w:t>1,049 families displaced by the Zamboanga conflict provided with second round of livelihood assistance</w:t>
            </w:r>
          </w:p>
          <w:p w:rsidR="00070343" w:rsidRDefault="00070343" w:rsidP="00070343">
            <w:pPr>
              <w:pStyle w:val="TableTextEntries"/>
              <w:spacing w:before="0"/>
              <w:rPr>
                <w:rFonts w:asciiTheme="minorHAnsi" w:hAnsiTheme="minorHAnsi" w:cstheme="minorBidi"/>
                <w:color w:val="495965" w:themeColor="text2"/>
                <w:lang w:val="en-GB"/>
              </w:rPr>
            </w:pPr>
            <w:r w:rsidRPr="00802E98">
              <w:rPr>
                <w:rFonts w:asciiTheme="minorHAnsi" w:hAnsiTheme="minorHAnsi" w:cstheme="minorBidi"/>
                <w:color w:val="495965" w:themeColor="text2"/>
                <w:lang w:val="en-GB"/>
              </w:rPr>
              <w:t xml:space="preserve">Thirteen (13) </w:t>
            </w:r>
            <w:r w:rsidR="00BA3565">
              <w:rPr>
                <w:rFonts w:asciiTheme="minorHAnsi" w:hAnsiTheme="minorHAnsi" w:cstheme="minorBidi"/>
                <w:color w:val="495965" w:themeColor="text2"/>
                <w:lang w:val="en-GB"/>
              </w:rPr>
              <w:t>host</w:t>
            </w:r>
            <w:r w:rsidRPr="00802E98">
              <w:rPr>
                <w:rFonts w:asciiTheme="minorHAnsi" w:hAnsiTheme="minorHAnsi" w:cstheme="minorBidi"/>
                <w:color w:val="495965" w:themeColor="text2"/>
                <w:lang w:val="en-GB"/>
              </w:rPr>
              <w:t xml:space="preserve"> communities (barangays) including most vulnerable families, men and women provided with livelihood assistance benefitting 309 individuals (200 of which are women)</w:t>
            </w:r>
          </w:p>
          <w:p w:rsidR="00070343" w:rsidRPr="002B324F" w:rsidRDefault="00070343" w:rsidP="00070343">
            <w:pPr>
              <w:pStyle w:val="TableTextEntries"/>
              <w:spacing w:before="0"/>
              <w:rPr>
                <w:rFonts w:asciiTheme="minorHAnsi" w:hAnsiTheme="minorHAnsi" w:cstheme="minorBidi"/>
                <w:color w:val="495965" w:themeColor="text2"/>
                <w:lang w:val="en-GB"/>
              </w:rPr>
            </w:pPr>
            <w:r w:rsidRPr="00916759">
              <w:rPr>
                <w:rFonts w:asciiTheme="minorHAnsi" w:hAnsiTheme="minorHAnsi" w:cstheme="minorBidi"/>
                <w:iCs w:val="0"/>
                <w:color w:val="495965" w:themeColor="text2"/>
              </w:rPr>
              <w:lastRenderedPageBreak/>
              <w:t>Up to 1,000 poor and most vulnerable families displaced by the Marawi conflict provided with livelihood assistance</w:t>
            </w:r>
          </w:p>
        </w:tc>
        <w:tc>
          <w:tcPr>
            <w:tcW w:w="2891" w:type="dxa"/>
          </w:tcPr>
          <w:p w:rsidR="00070343" w:rsidRDefault="00070343" w:rsidP="00070343">
            <w:pPr>
              <w:pStyle w:val="TableTextEntries"/>
              <w:spacing w:before="0"/>
              <w:rPr>
                <w:rFonts w:asciiTheme="minorHAnsi" w:hAnsiTheme="minorHAnsi" w:cstheme="minorBidi"/>
                <w:color w:val="495965" w:themeColor="text2"/>
                <w:lang w:val="en-GB"/>
              </w:rPr>
            </w:pPr>
            <w:r w:rsidRPr="008B745F">
              <w:rPr>
                <w:rFonts w:asciiTheme="minorHAnsi" w:hAnsiTheme="minorHAnsi" w:cstheme="minorBidi"/>
                <w:color w:val="495965" w:themeColor="text2"/>
                <w:lang w:val="en-GB"/>
              </w:rPr>
              <w:lastRenderedPageBreak/>
              <w:t>GMMA READY Project Terminal Report</w:t>
            </w:r>
          </w:p>
          <w:p w:rsidR="00070343" w:rsidRPr="002B324F" w:rsidRDefault="00070343" w:rsidP="00070343">
            <w:pPr>
              <w:pStyle w:val="TableTextEntries"/>
              <w:spacing w:before="0"/>
              <w:rPr>
                <w:iCs w:val="0"/>
              </w:rPr>
            </w:pPr>
            <w:r w:rsidRPr="00916759">
              <w:rPr>
                <w:rFonts w:asciiTheme="minorHAnsi" w:hAnsiTheme="minorHAnsi" w:cstheme="minorBidi"/>
                <w:color w:val="495965" w:themeColor="text2"/>
                <w:lang w:val="en-GB"/>
              </w:rPr>
              <w:t>Accomplishment Report of the Zamboanga Recovery Project, Progress Report of the Marawi Recovery Project</w:t>
            </w:r>
          </w:p>
        </w:tc>
      </w:tr>
      <w:tr w:rsidR="00070343" w:rsidTr="00A71902">
        <w:tc>
          <w:tcPr>
            <w:tcW w:w="2890" w:type="dxa"/>
            <w:vMerge/>
          </w:tcPr>
          <w:p w:rsidR="00070343" w:rsidRPr="002B324F" w:rsidRDefault="00070343" w:rsidP="00070343">
            <w:pPr>
              <w:keepLines/>
              <w:spacing w:before="0" w:after="40" w:line="200" w:lineRule="atLeast"/>
              <w:rPr>
                <w:rFonts w:eastAsia="Times New Roman"/>
                <w:iCs/>
                <w:sz w:val="17"/>
                <w:szCs w:val="17"/>
              </w:rPr>
            </w:pPr>
          </w:p>
        </w:tc>
        <w:tc>
          <w:tcPr>
            <w:tcW w:w="2890" w:type="dxa"/>
          </w:tcPr>
          <w:p w:rsidR="00070343" w:rsidRPr="002B324F" w:rsidRDefault="00070343" w:rsidP="00070343">
            <w:pPr>
              <w:pStyle w:val="TableTextEntries"/>
              <w:spacing w:before="0"/>
              <w:rPr>
                <w:rFonts w:asciiTheme="minorHAnsi" w:hAnsiTheme="minorHAnsi" w:cstheme="minorBidi"/>
                <w:color w:val="495965" w:themeColor="text2"/>
                <w:lang w:val="en-GB"/>
              </w:rPr>
            </w:pPr>
            <w:r w:rsidRPr="002B324F">
              <w:rPr>
                <w:rFonts w:asciiTheme="minorHAnsi" w:hAnsiTheme="minorHAnsi" w:cstheme="minorBidi"/>
                <w:color w:val="495965" w:themeColor="text2"/>
                <w:lang w:val="en-GB"/>
              </w:rPr>
              <w:t>Management committees in which women are equally represented</w:t>
            </w:r>
          </w:p>
        </w:tc>
        <w:tc>
          <w:tcPr>
            <w:tcW w:w="2890" w:type="dxa"/>
          </w:tcPr>
          <w:p w:rsidR="00070343" w:rsidRPr="002B324F" w:rsidRDefault="00070343" w:rsidP="00070343">
            <w:pPr>
              <w:pStyle w:val="TableTextEntries"/>
              <w:spacing w:before="0"/>
              <w:rPr>
                <w:rFonts w:asciiTheme="minorHAnsi" w:hAnsiTheme="minorHAnsi" w:cstheme="minorBidi"/>
                <w:color w:val="495965" w:themeColor="text2"/>
                <w:lang w:val="en-GB"/>
              </w:rPr>
            </w:pPr>
            <w:r w:rsidRPr="002B324F">
              <w:rPr>
                <w:rFonts w:asciiTheme="minorHAnsi" w:hAnsiTheme="minorHAnsi" w:cstheme="minorBidi"/>
                <w:color w:val="495965" w:themeColor="text2"/>
                <w:lang w:val="en-GB"/>
              </w:rPr>
              <w:t>All project committees at strategic and operational levels have equal female representation</w:t>
            </w:r>
          </w:p>
        </w:tc>
        <w:tc>
          <w:tcPr>
            <w:tcW w:w="2891" w:type="dxa"/>
          </w:tcPr>
          <w:p w:rsidR="00070343" w:rsidRDefault="00070343" w:rsidP="00070343">
            <w:pPr>
              <w:pStyle w:val="TableTextEntries"/>
              <w:spacing w:before="0"/>
              <w:rPr>
                <w:rFonts w:asciiTheme="minorHAnsi" w:hAnsiTheme="minorHAnsi" w:cstheme="minorBidi"/>
                <w:color w:val="495965" w:themeColor="text2"/>
                <w:lang w:val="en-GB"/>
              </w:rPr>
            </w:pPr>
            <w:r w:rsidRPr="002B324F">
              <w:rPr>
                <w:rFonts w:asciiTheme="minorHAnsi" w:hAnsiTheme="minorHAnsi" w:cstheme="minorBidi"/>
                <w:color w:val="495965" w:themeColor="text2"/>
                <w:lang w:val="en-GB"/>
              </w:rPr>
              <w:t xml:space="preserve">Committees of </w:t>
            </w:r>
            <w:r>
              <w:rPr>
                <w:rFonts w:asciiTheme="minorHAnsi" w:hAnsiTheme="minorHAnsi" w:cstheme="minorBidi"/>
                <w:color w:val="495965" w:themeColor="text2"/>
                <w:lang w:val="en-GB"/>
              </w:rPr>
              <w:t xml:space="preserve">all </w:t>
            </w:r>
            <w:r w:rsidRPr="002B324F">
              <w:rPr>
                <w:rFonts w:asciiTheme="minorHAnsi" w:hAnsiTheme="minorHAnsi" w:cstheme="minorBidi"/>
                <w:color w:val="495965" w:themeColor="text2"/>
                <w:lang w:val="en-GB"/>
              </w:rPr>
              <w:t>projects have female representatives participating in planning, decision making and activity implementation</w:t>
            </w:r>
          </w:p>
          <w:p w:rsidR="00070343" w:rsidRPr="002B324F" w:rsidRDefault="00070343" w:rsidP="00070343">
            <w:pPr>
              <w:pStyle w:val="TableTextEntries"/>
              <w:spacing w:before="0"/>
              <w:rPr>
                <w:rFonts w:asciiTheme="minorHAnsi" w:hAnsiTheme="minorHAnsi" w:cstheme="minorBidi"/>
                <w:color w:val="495965" w:themeColor="text2"/>
                <w:lang w:val="en-GB"/>
              </w:rPr>
            </w:pPr>
            <w:r w:rsidRPr="00916759">
              <w:rPr>
                <w:rFonts w:asciiTheme="minorHAnsi" w:hAnsiTheme="minorHAnsi" w:cstheme="minorBidi"/>
                <w:color w:val="495965" w:themeColor="text2"/>
                <w:lang w:val="en-GB"/>
              </w:rPr>
              <w:t>Average representation of women in project committees is 55.25 percent (for the three programs on Zamboanga Recovery Project, Support Program for Disaster Response, and Resilience and Preparedness Towards Inclusive Development)</w:t>
            </w:r>
          </w:p>
        </w:tc>
        <w:tc>
          <w:tcPr>
            <w:tcW w:w="2891" w:type="dxa"/>
          </w:tcPr>
          <w:p w:rsidR="00070343" w:rsidRDefault="00070343" w:rsidP="00070343">
            <w:pPr>
              <w:keepLines/>
              <w:spacing w:before="0" w:after="40" w:line="200" w:lineRule="atLeast"/>
              <w:rPr>
                <w:rFonts w:eastAsia="Times New Roman"/>
                <w:iCs/>
                <w:sz w:val="17"/>
                <w:szCs w:val="17"/>
              </w:rPr>
            </w:pPr>
            <w:r w:rsidRPr="008B745F">
              <w:rPr>
                <w:rFonts w:eastAsia="Times New Roman"/>
                <w:iCs/>
                <w:sz w:val="17"/>
                <w:szCs w:val="17"/>
              </w:rPr>
              <w:t>Re-Structure Project Completion Report</w:t>
            </w:r>
          </w:p>
          <w:p w:rsidR="00070343" w:rsidRDefault="00070343" w:rsidP="00070343">
            <w:pPr>
              <w:keepLines/>
              <w:spacing w:before="0" w:after="40" w:line="200" w:lineRule="atLeast"/>
              <w:rPr>
                <w:rFonts w:eastAsia="Times New Roman"/>
                <w:iCs/>
                <w:sz w:val="17"/>
                <w:szCs w:val="17"/>
              </w:rPr>
            </w:pPr>
            <w:r w:rsidRPr="00FF0C45">
              <w:rPr>
                <w:rFonts w:eastAsia="Times New Roman"/>
                <w:iCs/>
                <w:sz w:val="17"/>
                <w:szCs w:val="17"/>
              </w:rPr>
              <w:t xml:space="preserve">Aggregate Development Reports of </w:t>
            </w:r>
            <w:r>
              <w:rPr>
                <w:rFonts w:eastAsia="Times New Roman"/>
                <w:iCs/>
                <w:sz w:val="17"/>
                <w:szCs w:val="17"/>
              </w:rPr>
              <w:t>the Zamboanga Recovery Project</w:t>
            </w:r>
          </w:p>
          <w:p w:rsidR="00070343" w:rsidRDefault="00070343" w:rsidP="00070343">
            <w:pPr>
              <w:keepLines/>
              <w:spacing w:before="0" w:after="40" w:line="200" w:lineRule="atLeast"/>
              <w:rPr>
                <w:rFonts w:eastAsia="Times New Roman"/>
                <w:iCs/>
                <w:sz w:val="17"/>
                <w:szCs w:val="17"/>
              </w:rPr>
            </w:pPr>
            <w:r w:rsidRPr="00FF0C45">
              <w:rPr>
                <w:rFonts w:eastAsia="Times New Roman"/>
                <w:iCs/>
                <w:sz w:val="17"/>
                <w:szCs w:val="17"/>
              </w:rPr>
              <w:t>Support Program for Disast</w:t>
            </w:r>
            <w:r>
              <w:rPr>
                <w:rFonts w:eastAsia="Times New Roman"/>
                <w:iCs/>
                <w:sz w:val="17"/>
                <w:szCs w:val="17"/>
              </w:rPr>
              <w:t>er Response and Resilience</w:t>
            </w:r>
          </w:p>
          <w:p w:rsidR="00070343" w:rsidRPr="002B324F" w:rsidRDefault="00070343" w:rsidP="00070343">
            <w:pPr>
              <w:keepLines/>
              <w:spacing w:before="0" w:after="40" w:line="200" w:lineRule="atLeast"/>
              <w:rPr>
                <w:rFonts w:eastAsia="Times New Roman"/>
                <w:iCs/>
                <w:sz w:val="17"/>
                <w:szCs w:val="17"/>
              </w:rPr>
            </w:pPr>
            <w:r w:rsidRPr="00FF0C45">
              <w:rPr>
                <w:rFonts w:eastAsia="Times New Roman"/>
                <w:iCs/>
                <w:sz w:val="17"/>
                <w:szCs w:val="17"/>
              </w:rPr>
              <w:t>Resilience and Preparedness Towards Inclusive Development</w:t>
            </w:r>
          </w:p>
        </w:tc>
      </w:tr>
      <w:tr w:rsidR="00070343" w:rsidTr="00A71902">
        <w:tc>
          <w:tcPr>
            <w:tcW w:w="2890" w:type="dxa"/>
          </w:tcPr>
          <w:p w:rsidR="00070343" w:rsidRPr="002B324F" w:rsidRDefault="00070343" w:rsidP="00070343">
            <w:pPr>
              <w:keepLines/>
              <w:spacing w:before="0" w:after="40" w:line="200" w:lineRule="atLeast"/>
              <w:rPr>
                <w:rFonts w:eastAsia="Times New Roman"/>
                <w:iCs/>
                <w:sz w:val="17"/>
                <w:szCs w:val="17"/>
              </w:rPr>
            </w:pPr>
            <w:r w:rsidRPr="002B324F">
              <w:rPr>
                <w:rFonts w:eastAsia="Times New Roman"/>
                <w:b/>
                <w:iCs/>
                <w:sz w:val="17"/>
                <w:szCs w:val="17"/>
              </w:rPr>
              <w:t>Outcome 6:</w:t>
            </w:r>
            <w:r w:rsidRPr="002B324F">
              <w:rPr>
                <w:rFonts w:eastAsia="Times New Roman"/>
                <w:iCs/>
                <w:sz w:val="17"/>
                <w:szCs w:val="17"/>
              </w:rPr>
              <w:t xml:space="preserve"> DSWD has improved analytical capacity to develop policies and guidelines to effectively implement its social protection reform agenda</w:t>
            </w:r>
          </w:p>
        </w:tc>
        <w:tc>
          <w:tcPr>
            <w:tcW w:w="2890" w:type="dxa"/>
          </w:tcPr>
          <w:p w:rsidR="00070343" w:rsidRDefault="00070343" w:rsidP="00070343">
            <w:pPr>
              <w:keepLines/>
              <w:spacing w:before="0" w:after="40" w:line="200" w:lineRule="atLeast"/>
              <w:rPr>
                <w:rFonts w:eastAsia="Times New Roman"/>
                <w:iCs/>
                <w:sz w:val="17"/>
                <w:szCs w:val="17"/>
              </w:rPr>
            </w:pPr>
            <w:r w:rsidRPr="002B324F">
              <w:rPr>
                <w:rFonts w:eastAsia="Times New Roman"/>
                <w:iCs/>
                <w:sz w:val="17"/>
                <w:szCs w:val="17"/>
              </w:rPr>
              <w:t xml:space="preserve">Improved systems for implementation of the </w:t>
            </w:r>
            <w:r w:rsidRPr="008B745F">
              <w:rPr>
                <w:rFonts w:eastAsia="Times New Roman"/>
                <w:i/>
                <w:iCs/>
                <w:sz w:val="17"/>
                <w:szCs w:val="17"/>
              </w:rPr>
              <w:t>Pantawid Pamilyang Pilipino</w:t>
            </w:r>
            <w:r w:rsidRPr="002B324F">
              <w:rPr>
                <w:rFonts w:eastAsia="Times New Roman"/>
                <w:iCs/>
                <w:sz w:val="17"/>
                <w:szCs w:val="17"/>
              </w:rPr>
              <w:t xml:space="preserve"> Program (CCT)</w:t>
            </w:r>
            <w:r>
              <w:rPr>
                <w:rFonts w:eastAsia="Times New Roman"/>
                <w:iCs/>
                <w:sz w:val="17"/>
                <w:szCs w:val="17"/>
              </w:rPr>
              <w:t xml:space="preserve"> and </w:t>
            </w:r>
          </w:p>
          <w:p w:rsidR="00070343" w:rsidRDefault="00070343" w:rsidP="00070343">
            <w:pPr>
              <w:keepLines/>
              <w:spacing w:before="0" w:after="40" w:line="200" w:lineRule="atLeast"/>
              <w:rPr>
                <w:rFonts w:eastAsia="Times New Roman"/>
                <w:iCs/>
                <w:sz w:val="17"/>
                <w:szCs w:val="17"/>
              </w:rPr>
            </w:pPr>
            <w:r w:rsidRPr="002B324F">
              <w:rPr>
                <w:sz w:val="17"/>
                <w:szCs w:val="17"/>
              </w:rPr>
              <w:t>CCT policy dialogue is informed by the outputs of the analytical products and research initiative through the TA Facility and UTF AAA</w:t>
            </w:r>
            <w:r w:rsidRPr="00674691">
              <w:rPr>
                <w:rFonts w:eastAsia="Times New Roman"/>
                <w:sz w:val="17"/>
                <w:szCs w:val="17"/>
              </w:rPr>
              <w:t xml:space="preserve"> as measured by</w:t>
            </w:r>
          </w:p>
          <w:p w:rsidR="00070343" w:rsidRPr="002B324F" w:rsidRDefault="00070343" w:rsidP="00070343">
            <w:pPr>
              <w:pStyle w:val="ListParagraph"/>
              <w:keepLines/>
              <w:numPr>
                <w:ilvl w:val="0"/>
                <w:numId w:val="17"/>
              </w:numPr>
              <w:spacing w:after="40" w:line="200" w:lineRule="atLeast"/>
              <w:ind w:left="261" w:hanging="219"/>
              <w:rPr>
                <w:iCs/>
                <w:color w:val="495965" w:themeColor="text2"/>
                <w:sz w:val="17"/>
                <w:szCs w:val="17"/>
              </w:rPr>
            </w:pPr>
            <w:r w:rsidRPr="00674691">
              <w:rPr>
                <w:rFonts w:asciiTheme="minorHAnsi" w:hAnsiTheme="minorHAnsi" w:cstheme="minorBidi"/>
                <w:color w:val="495965" w:themeColor="text2"/>
                <w:sz w:val="17"/>
                <w:szCs w:val="17"/>
                <w:lang w:val="en-GB"/>
              </w:rPr>
              <w:t>provision of appropriate technical assistance</w:t>
            </w:r>
            <w:r w:rsidRPr="00674691">
              <w:rPr>
                <w:sz w:val="17"/>
                <w:szCs w:val="17"/>
              </w:rPr>
              <w:t xml:space="preserve"> </w:t>
            </w:r>
            <w:r w:rsidRPr="00674691">
              <w:rPr>
                <w:rFonts w:asciiTheme="minorHAnsi" w:hAnsiTheme="minorHAnsi" w:cstheme="minorBidi"/>
                <w:color w:val="495965" w:themeColor="text2"/>
                <w:sz w:val="17"/>
                <w:szCs w:val="17"/>
                <w:lang w:val="en-GB"/>
              </w:rPr>
              <w:t>that lead to improved implementation</w:t>
            </w:r>
          </w:p>
        </w:tc>
        <w:tc>
          <w:tcPr>
            <w:tcW w:w="2890" w:type="dxa"/>
          </w:tcPr>
          <w:p w:rsidR="00070343" w:rsidRPr="002B324F" w:rsidRDefault="00070343" w:rsidP="00070343">
            <w:pPr>
              <w:keepLines/>
              <w:spacing w:before="0" w:after="40" w:line="200" w:lineRule="atLeast"/>
              <w:rPr>
                <w:rFonts w:eastAsia="Times New Roman"/>
                <w:iCs/>
                <w:sz w:val="17"/>
                <w:szCs w:val="17"/>
              </w:rPr>
            </w:pPr>
            <w:r w:rsidRPr="002B324F">
              <w:rPr>
                <w:rFonts w:eastAsia="Times New Roman"/>
                <w:iCs/>
                <w:sz w:val="17"/>
                <w:szCs w:val="17"/>
              </w:rPr>
              <w:t>Enhanced CCT program grievance redress system and payment mechanisms</w:t>
            </w:r>
          </w:p>
          <w:p w:rsidR="00070343" w:rsidRPr="002B324F" w:rsidRDefault="00070343" w:rsidP="00070343">
            <w:pPr>
              <w:keepLines/>
              <w:spacing w:before="0" w:after="40" w:line="200" w:lineRule="atLeast"/>
              <w:rPr>
                <w:rFonts w:eastAsia="Times New Roman"/>
                <w:iCs/>
                <w:sz w:val="17"/>
                <w:szCs w:val="17"/>
              </w:rPr>
            </w:pPr>
            <w:r w:rsidRPr="002B324F">
              <w:rPr>
                <w:rFonts w:eastAsia="Times New Roman"/>
                <w:iCs/>
                <w:sz w:val="17"/>
                <w:szCs w:val="17"/>
              </w:rPr>
              <w:t>Enhanced CCT Management Information Systems (MIS) operations to improve inter-operability of various operations</w:t>
            </w:r>
          </w:p>
          <w:p w:rsidR="00070343" w:rsidRPr="002B324F" w:rsidRDefault="00070343" w:rsidP="00070343">
            <w:pPr>
              <w:keepLines/>
              <w:spacing w:before="0" w:after="40" w:line="200" w:lineRule="atLeast"/>
              <w:rPr>
                <w:rFonts w:eastAsia="Times New Roman"/>
                <w:iCs/>
                <w:sz w:val="17"/>
                <w:szCs w:val="17"/>
              </w:rPr>
            </w:pPr>
            <w:r w:rsidRPr="002B324F">
              <w:rPr>
                <w:rFonts w:eastAsia="Times New Roman"/>
                <w:iCs/>
                <w:sz w:val="17"/>
                <w:szCs w:val="17"/>
              </w:rPr>
              <w:t>Enhanced National Household Targeting System (to reduce inclusion and exclusion errors)</w:t>
            </w:r>
          </w:p>
        </w:tc>
        <w:tc>
          <w:tcPr>
            <w:tcW w:w="2891" w:type="dxa"/>
          </w:tcPr>
          <w:p w:rsidR="00070343" w:rsidRPr="00674691" w:rsidRDefault="00070343" w:rsidP="00070343">
            <w:pPr>
              <w:pStyle w:val="TableTextEntries"/>
              <w:spacing w:before="0"/>
              <w:rPr>
                <w:rFonts w:asciiTheme="minorHAnsi" w:hAnsiTheme="minorHAnsi" w:cstheme="minorBidi"/>
                <w:color w:val="495965" w:themeColor="text2"/>
                <w:lang w:val="en-GB"/>
              </w:rPr>
            </w:pPr>
            <w:r w:rsidRPr="00674691">
              <w:rPr>
                <w:rFonts w:asciiTheme="minorHAnsi" w:hAnsiTheme="minorHAnsi" w:cstheme="minorBidi"/>
                <w:color w:val="495965" w:themeColor="text2"/>
                <w:lang w:val="en-GB"/>
              </w:rPr>
              <w:t>Development of the Philippine Social Protection Operational Framework to align with the 2017-2022 Philippine Development Plan - High Level Conference held and Framework drafted</w:t>
            </w:r>
          </w:p>
          <w:p w:rsidR="00070343" w:rsidRPr="002B324F" w:rsidRDefault="00070343" w:rsidP="00070343">
            <w:pPr>
              <w:pStyle w:val="TableTextEntries"/>
              <w:spacing w:before="0"/>
              <w:rPr>
                <w:rFonts w:asciiTheme="minorHAnsi" w:hAnsiTheme="minorHAnsi" w:cstheme="minorBidi"/>
                <w:color w:val="495965" w:themeColor="text2"/>
                <w:lang w:val="en-GB"/>
              </w:rPr>
            </w:pPr>
            <w:r>
              <w:rPr>
                <w:rFonts w:asciiTheme="minorHAnsi" w:hAnsiTheme="minorHAnsi" w:cstheme="minorBidi"/>
                <w:color w:val="495965" w:themeColor="text2"/>
                <w:lang w:val="en-GB"/>
              </w:rPr>
              <w:t>Conduct</w:t>
            </w:r>
            <w:r w:rsidRPr="002B324F">
              <w:rPr>
                <w:rFonts w:asciiTheme="minorHAnsi" w:hAnsiTheme="minorHAnsi" w:cstheme="minorBidi"/>
                <w:color w:val="495965" w:themeColor="text2"/>
                <w:lang w:val="en-GB"/>
              </w:rPr>
              <w:t xml:space="preserve"> a (i) Business Process Review, (ii) demand and supply assessment for Indigenous people living in geographically isolated and disadvantaged areas, and (iii) situation analysis of children with disability </w:t>
            </w:r>
            <w:r>
              <w:rPr>
                <w:rFonts w:asciiTheme="minorHAnsi" w:hAnsiTheme="minorHAnsi" w:cstheme="minorBidi"/>
                <w:color w:val="495965" w:themeColor="text2"/>
                <w:lang w:val="en-GB"/>
              </w:rPr>
              <w:t xml:space="preserve">on the </w:t>
            </w:r>
            <w:r w:rsidRPr="002B324F">
              <w:rPr>
                <w:rFonts w:asciiTheme="minorHAnsi" w:hAnsiTheme="minorHAnsi" w:cstheme="minorBidi"/>
                <w:color w:val="495965" w:themeColor="text2"/>
                <w:lang w:val="en-GB"/>
              </w:rPr>
              <w:t>Modified Conditional Cash Transfer (MCCT) Program</w:t>
            </w:r>
          </w:p>
          <w:p w:rsidR="00070343" w:rsidRPr="002B324F" w:rsidRDefault="00070343" w:rsidP="00070343">
            <w:pPr>
              <w:keepLines/>
              <w:spacing w:before="0" w:after="40" w:line="200" w:lineRule="atLeast"/>
              <w:rPr>
                <w:rFonts w:eastAsia="Times New Roman"/>
                <w:iCs/>
                <w:sz w:val="17"/>
                <w:szCs w:val="17"/>
              </w:rPr>
            </w:pPr>
            <w:r>
              <w:rPr>
                <w:rFonts w:eastAsia="Times New Roman"/>
                <w:iCs/>
                <w:sz w:val="17"/>
                <w:szCs w:val="17"/>
              </w:rPr>
              <w:t>C</w:t>
            </w:r>
            <w:r w:rsidRPr="002B324F">
              <w:rPr>
                <w:rFonts w:eastAsia="Times New Roman"/>
                <w:iCs/>
                <w:sz w:val="17"/>
                <w:szCs w:val="17"/>
              </w:rPr>
              <w:t>ompleted research/advice on transfer options and analysis of impacts of taxation reform</w:t>
            </w:r>
            <w:r>
              <w:rPr>
                <w:rFonts w:eastAsia="Times New Roman"/>
                <w:iCs/>
                <w:sz w:val="17"/>
                <w:szCs w:val="17"/>
              </w:rPr>
              <w:t xml:space="preserve"> to h</w:t>
            </w:r>
            <w:r w:rsidRPr="002B324F">
              <w:rPr>
                <w:rFonts w:eastAsia="Times New Roman"/>
                <w:iCs/>
                <w:sz w:val="17"/>
                <w:szCs w:val="17"/>
              </w:rPr>
              <w:t>elp the Philippine government develop an Unconditional Cash Transfer Program to help the po</w:t>
            </w:r>
            <w:r>
              <w:rPr>
                <w:rFonts w:eastAsia="Times New Roman"/>
                <w:iCs/>
                <w:sz w:val="17"/>
                <w:szCs w:val="17"/>
              </w:rPr>
              <w:t>or impacted by taxation reform</w:t>
            </w:r>
          </w:p>
        </w:tc>
        <w:tc>
          <w:tcPr>
            <w:tcW w:w="2891" w:type="dxa"/>
          </w:tcPr>
          <w:p w:rsidR="00070343" w:rsidRPr="002B324F" w:rsidRDefault="00070343" w:rsidP="00070343">
            <w:pPr>
              <w:keepLines/>
              <w:spacing w:before="0" w:after="40" w:line="200" w:lineRule="atLeast"/>
              <w:rPr>
                <w:rFonts w:eastAsia="Times New Roman"/>
                <w:iCs/>
                <w:sz w:val="17"/>
                <w:szCs w:val="17"/>
              </w:rPr>
            </w:pPr>
            <w:r w:rsidRPr="002B324F">
              <w:rPr>
                <w:rFonts w:eastAsia="Times New Roman"/>
                <w:iCs/>
                <w:sz w:val="17"/>
                <w:szCs w:val="17"/>
              </w:rPr>
              <w:t>Annual WB UTF AAA reports</w:t>
            </w:r>
          </w:p>
          <w:p w:rsidR="00070343" w:rsidRPr="002B324F" w:rsidRDefault="00070343" w:rsidP="00070343">
            <w:pPr>
              <w:keepLines/>
              <w:spacing w:before="0" w:after="40" w:line="200" w:lineRule="atLeast"/>
              <w:rPr>
                <w:rFonts w:eastAsia="Times New Roman"/>
                <w:iCs/>
                <w:sz w:val="17"/>
                <w:szCs w:val="17"/>
              </w:rPr>
            </w:pPr>
            <w:r w:rsidRPr="002B324F">
              <w:rPr>
                <w:rFonts w:eastAsia="Times New Roman"/>
                <w:iCs/>
                <w:sz w:val="17"/>
                <w:szCs w:val="17"/>
              </w:rPr>
              <w:t>DSWD TA Facility M&amp;E reports, completed studies</w:t>
            </w:r>
          </w:p>
        </w:tc>
      </w:tr>
      <w:tr w:rsidR="00070343" w:rsidTr="00A71902">
        <w:tc>
          <w:tcPr>
            <w:tcW w:w="2890" w:type="dxa"/>
            <w:vMerge w:val="restart"/>
          </w:tcPr>
          <w:p w:rsidR="00070343" w:rsidRPr="002B324F" w:rsidRDefault="00070343" w:rsidP="00070343">
            <w:pPr>
              <w:keepLines/>
              <w:spacing w:before="0" w:after="40" w:line="200" w:lineRule="atLeast"/>
              <w:rPr>
                <w:rFonts w:eastAsia="Times New Roman"/>
                <w:iCs/>
                <w:sz w:val="17"/>
                <w:szCs w:val="17"/>
              </w:rPr>
            </w:pPr>
            <w:r w:rsidRPr="002B324F">
              <w:rPr>
                <w:rFonts w:eastAsia="Times New Roman"/>
                <w:b/>
                <w:iCs/>
                <w:sz w:val="17"/>
                <w:szCs w:val="17"/>
              </w:rPr>
              <w:lastRenderedPageBreak/>
              <w:t>Outcome 7:</w:t>
            </w:r>
            <w:r w:rsidRPr="002B324F">
              <w:rPr>
                <w:rFonts w:eastAsia="Times New Roman"/>
                <w:iCs/>
                <w:sz w:val="17"/>
                <w:szCs w:val="17"/>
              </w:rPr>
              <w:t xml:space="preserve"> Philippine Department of Education (DepEd) has an appropriate organisational structure, functioning management systems and improved staff capacity in leadership, planning and decision-making to deliver better education services</w:t>
            </w:r>
          </w:p>
        </w:tc>
        <w:tc>
          <w:tcPr>
            <w:tcW w:w="2890" w:type="dxa"/>
          </w:tcPr>
          <w:p w:rsidR="00070343" w:rsidRPr="002B324F" w:rsidRDefault="002124B2" w:rsidP="00070343">
            <w:pPr>
              <w:keepLines/>
              <w:spacing w:before="0" w:after="40" w:line="200" w:lineRule="atLeast"/>
              <w:rPr>
                <w:rFonts w:eastAsia="Times New Roman"/>
                <w:iCs/>
                <w:sz w:val="17"/>
                <w:szCs w:val="17"/>
              </w:rPr>
            </w:pPr>
            <w:r>
              <w:rPr>
                <w:rFonts w:eastAsia="Times New Roman"/>
                <w:iCs/>
                <w:sz w:val="17"/>
                <w:szCs w:val="17"/>
              </w:rPr>
              <w:t>M</w:t>
            </w:r>
            <w:r w:rsidRPr="00EE48A8">
              <w:rPr>
                <w:sz w:val="17"/>
                <w:szCs w:val="17"/>
              </w:rPr>
              <w:t>a</w:t>
            </w:r>
            <w:r>
              <w:rPr>
                <w:sz w:val="17"/>
                <w:szCs w:val="17"/>
              </w:rPr>
              <w:t xml:space="preserve">jor organisational restructure </w:t>
            </w:r>
            <w:r>
              <w:rPr>
                <w:rFonts w:eastAsia="Times New Roman"/>
                <w:iCs/>
                <w:sz w:val="17"/>
                <w:szCs w:val="17"/>
              </w:rPr>
              <w:t>(</w:t>
            </w:r>
            <w:r w:rsidR="00070343">
              <w:rPr>
                <w:rFonts w:eastAsia="Times New Roman"/>
                <w:iCs/>
                <w:sz w:val="17"/>
                <w:szCs w:val="17"/>
              </w:rPr>
              <w:t>Rationalisation Plan</w:t>
            </w:r>
            <w:r>
              <w:rPr>
                <w:rFonts w:eastAsia="Times New Roman"/>
                <w:iCs/>
                <w:sz w:val="17"/>
                <w:szCs w:val="17"/>
              </w:rPr>
              <w:t>) of DepEd</w:t>
            </w:r>
            <w:r w:rsidR="00070343">
              <w:rPr>
                <w:rFonts w:eastAsia="Times New Roman"/>
                <w:iCs/>
                <w:sz w:val="17"/>
                <w:szCs w:val="17"/>
              </w:rPr>
              <w:t xml:space="preserve"> implemented</w:t>
            </w:r>
          </w:p>
          <w:p w:rsidR="00070343" w:rsidRPr="002B324F" w:rsidRDefault="00070343" w:rsidP="00070343">
            <w:pPr>
              <w:keepLines/>
              <w:spacing w:before="0" w:after="40" w:line="200" w:lineRule="atLeast"/>
              <w:rPr>
                <w:rFonts w:eastAsia="Times New Roman"/>
                <w:iCs/>
                <w:sz w:val="17"/>
                <w:szCs w:val="17"/>
              </w:rPr>
            </w:pPr>
          </w:p>
        </w:tc>
        <w:tc>
          <w:tcPr>
            <w:tcW w:w="2890" w:type="dxa"/>
          </w:tcPr>
          <w:p w:rsidR="00070343" w:rsidRPr="002B324F" w:rsidRDefault="00070343" w:rsidP="00070343">
            <w:pPr>
              <w:keepLines/>
              <w:spacing w:before="0" w:after="40" w:line="200" w:lineRule="atLeast"/>
              <w:rPr>
                <w:rFonts w:eastAsia="Times New Roman"/>
                <w:iCs/>
                <w:sz w:val="17"/>
                <w:szCs w:val="17"/>
              </w:rPr>
            </w:pPr>
            <w:r w:rsidRPr="002B324F">
              <w:rPr>
                <w:rFonts w:eastAsia="Times New Roman"/>
                <w:iCs/>
                <w:sz w:val="17"/>
                <w:szCs w:val="17"/>
              </w:rPr>
              <w:t>Staff movement to the new DepEd structure progressed</w:t>
            </w:r>
          </w:p>
          <w:p w:rsidR="00070343" w:rsidRPr="002B324F" w:rsidRDefault="00070343" w:rsidP="00070343">
            <w:pPr>
              <w:keepLines/>
              <w:spacing w:before="0" w:after="40" w:line="200" w:lineRule="atLeast"/>
              <w:rPr>
                <w:rFonts w:eastAsia="Times New Roman"/>
                <w:iCs/>
                <w:sz w:val="17"/>
                <w:szCs w:val="17"/>
              </w:rPr>
            </w:pPr>
          </w:p>
        </w:tc>
        <w:tc>
          <w:tcPr>
            <w:tcW w:w="2891" w:type="dxa"/>
          </w:tcPr>
          <w:p w:rsidR="00070343" w:rsidRPr="002B324F" w:rsidRDefault="002124B2" w:rsidP="00070343">
            <w:pPr>
              <w:keepLines/>
              <w:spacing w:before="0" w:after="40" w:line="200" w:lineRule="atLeast"/>
              <w:rPr>
                <w:rFonts w:eastAsia="Times New Roman"/>
                <w:iCs/>
                <w:sz w:val="17"/>
                <w:szCs w:val="17"/>
              </w:rPr>
            </w:pPr>
            <w:r w:rsidRPr="002124B2">
              <w:rPr>
                <w:sz w:val="17"/>
                <w:szCs w:val="17"/>
              </w:rPr>
              <w:t>N</w:t>
            </w:r>
            <w:r>
              <w:rPr>
                <w:sz w:val="17"/>
                <w:szCs w:val="17"/>
              </w:rPr>
              <w:t xml:space="preserve">ew organisational structure </w:t>
            </w:r>
            <w:r w:rsidR="00DC5EA1">
              <w:rPr>
                <w:sz w:val="17"/>
                <w:szCs w:val="17"/>
              </w:rPr>
              <w:t>is</w:t>
            </w:r>
            <w:r>
              <w:rPr>
                <w:sz w:val="17"/>
                <w:szCs w:val="17"/>
              </w:rPr>
              <w:t xml:space="preserve"> appropriate</w:t>
            </w:r>
            <w:r w:rsidR="00BE66B6">
              <w:rPr>
                <w:sz w:val="17"/>
                <w:szCs w:val="17"/>
              </w:rPr>
              <w:t xml:space="preserve"> to perform functions required. However, new reporting lines to the senior executive have been modified. No further support was requested in this area. </w:t>
            </w:r>
            <w:r w:rsidR="00DC5EA1">
              <w:rPr>
                <w:sz w:val="17"/>
                <w:szCs w:val="17"/>
              </w:rPr>
              <w:t xml:space="preserve">, </w:t>
            </w:r>
          </w:p>
        </w:tc>
        <w:tc>
          <w:tcPr>
            <w:tcW w:w="2891" w:type="dxa"/>
          </w:tcPr>
          <w:p w:rsidR="002124B2" w:rsidRDefault="002124B2" w:rsidP="002124B2">
            <w:pPr>
              <w:keepLines/>
              <w:spacing w:before="0" w:after="40" w:line="200" w:lineRule="atLeast"/>
              <w:rPr>
                <w:rFonts w:eastAsia="Times New Roman"/>
                <w:iCs/>
                <w:sz w:val="17"/>
                <w:szCs w:val="17"/>
              </w:rPr>
            </w:pPr>
            <w:r>
              <w:rPr>
                <w:rFonts w:eastAsia="Times New Roman"/>
                <w:iCs/>
                <w:sz w:val="17"/>
                <w:szCs w:val="17"/>
              </w:rPr>
              <w:t>Data sources(s):</w:t>
            </w:r>
          </w:p>
          <w:p w:rsidR="00070343" w:rsidRPr="002B324F" w:rsidRDefault="00070343" w:rsidP="00070343">
            <w:pPr>
              <w:keepLines/>
              <w:spacing w:before="0" w:after="40" w:line="200" w:lineRule="atLeast"/>
              <w:rPr>
                <w:rFonts w:eastAsia="Times New Roman"/>
                <w:iCs/>
                <w:sz w:val="17"/>
                <w:szCs w:val="17"/>
              </w:rPr>
            </w:pPr>
            <w:r w:rsidRPr="002B324F">
              <w:rPr>
                <w:rFonts w:eastAsia="Times New Roman"/>
                <w:iCs/>
                <w:sz w:val="17"/>
                <w:szCs w:val="17"/>
              </w:rPr>
              <w:t>BEST M&amp;E Reports</w:t>
            </w:r>
          </w:p>
          <w:p w:rsidR="00070343" w:rsidRPr="002B324F" w:rsidRDefault="00070343" w:rsidP="00070343">
            <w:pPr>
              <w:keepLines/>
              <w:spacing w:before="0" w:after="40" w:line="200" w:lineRule="atLeast"/>
              <w:rPr>
                <w:rFonts w:eastAsia="Times New Roman"/>
                <w:iCs/>
                <w:sz w:val="17"/>
                <w:szCs w:val="17"/>
              </w:rPr>
            </w:pPr>
            <w:r w:rsidRPr="002B324F">
              <w:rPr>
                <w:rFonts w:eastAsia="Times New Roman"/>
                <w:iCs/>
                <w:sz w:val="17"/>
                <w:szCs w:val="17"/>
              </w:rPr>
              <w:t>Department of Education Transition Report 2010-2016</w:t>
            </w:r>
          </w:p>
          <w:p w:rsidR="00DC5EA1" w:rsidRPr="002B324F" w:rsidRDefault="00DC5EA1" w:rsidP="002124B2">
            <w:pPr>
              <w:keepLines/>
              <w:spacing w:before="0" w:after="40" w:line="200" w:lineRule="atLeast"/>
              <w:rPr>
                <w:rFonts w:eastAsia="Times New Roman"/>
                <w:iCs/>
                <w:sz w:val="17"/>
                <w:szCs w:val="17"/>
              </w:rPr>
            </w:pPr>
          </w:p>
          <w:p w:rsidR="00DC5EA1" w:rsidRDefault="00070343" w:rsidP="002124B2">
            <w:pPr>
              <w:keepLines/>
              <w:spacing w:before="0" w:after="40" w:line="200" w:lineRule="atLeast"/>
              <w:rPr>
                <w:rFonts w:eastAsia="Times New Roman"/>
                <w:iCs/>
                <w:sz w:val="17"/>
                <w:szCs w:val="17"/>
              </w:rPr>
            </w:pPr>
            <w:r w:rsidRPr="002B324F">
              <w:rPr>
                <w:rFonts w:eastAsia="Times New Roman"/>
                <w:iCs/>
                <w:sz w:val="17"/>
                <w:szCs w:val="17"/>
              </w:rPr>
              <w:t xml:space="preserve">Baseline: </w:t>
            </w:r>
          </w:p>
          <w:p w:rsidR="00070343" w:rsidRPr="002B324F" w:rsidRDefault="002124B2" w:rsidP="00070343">
            <w:pPr>
              <w:keepLines/>
              <w:spacing w:before="0" w:after="40" w:line="200" w:lineRule="atLeast"/>
              <w:rPr>
                <w:rFonts w:eastAsia="Times New Roman"/>
                <w:iCs/>
                <w:sz w:val="17"/>
                <w:szCs w:val="17"/>
              </w:rPr>
            </w:pPr>
            <w:r w:rsidRPr="002B324F">
              <w:rPr>
                <w:rFonts w:eastAsia="Times New Roman"/>
                <w:iCs/>
                <w:sz w:val="17"/>
                <w:szCs w:val="17"/>
              </w:rPr>
              <w:t>R</w:t>
            </w:r>
            <w:r w:rsidR="00DC5EA1">
              <w:rPr>
                <w:rFonts w:eastAsia="Times New Roman"/>
                <w:iCs/>
                <w:sz w:val="17"/>
                <w:szCs w:val="17"/>
              </w:rPr>
              <w:t>ationalis</w:t>
            </w:r>
            <w:r w:rsidRPr="002B324F">
              <w:rPr>
                <w:rFonts w:eastAsia="Times New Roman"/>
                <w:iCs/>
                <w:sz w:val="17"/>
                <w:szCs w:val="17"/>
              </w:rPr>
              <w:t>ation</w:t>
            </w:r>
            <w:r w:rsidR="00070343" w:rsidRPr="002B324F">
              <w:rPr>
                <w:rFonts w:eastAsia="Times New Roman"/>
                <w:iCs/>
                <w:sz w:val="17"/>
                <w:szCs w:val="17"/>
              </w:rPr>
              <w:t xml:space="preserve"> Plan approved by Department of Budget and Management in late 2013</w:t>
            </w:r>
            <w:r w:rsidR="00DC5EA1" w:rsidRPr="003C084F">
              <w:rPr>
                <w:rFonts w:eastAsia="Times New Roman"/>
                <w:iCs/>
                <w:sz w:val="17"/>
                <w:szCs w:val="17"/>
              </w:rPr>
              <w:t>, but transition to the newly approved structure had not commenced.</w:t>
            </w:r>
          </w:p>
        </w:tc>
      </w:tr>
      <w:tr w:rsidR="00070343" w:rsidTr="00A71902">
        <w:tc>
          <w:tcPr>
            <w:tcW w:w="2890" w:type="dxa"/>
            <w:vMerge/>
          </w:tcPr>
          <w:p w:rsidR="00070343" w:rsidRDefault="00070343" w:rsidP="00070343">
            <w:pPr>
              <w:keepNext/>
              <w:tabs>
                <w:tab w:val="left" w:pos="1560"/>
              </w:tabs>
              <w:spacing w:before="0" w:after="0"/>
              <w:outlineLvl w:val="1"/>
            </w:pPr>
          </w:p>
        </w:tc>
        <w:tc>
          <w:tcPr>
            <w:tcW w:w="2890" w:type="dxa"/>
          </w:tcPr>
          <w:p w:rsidR="00070343" w:rsidRPr="002B324F" w:rsidRDefault="00070343" w:rsidP="00070343">
            <w:pPr>
              <w:keepLines/>
              <w:spacing w:before="0" w:after="40" w:line="200" w:lineRule="atLeast"/>
              <w:rPr>
                <w:rFonts w:eastAsia="Times New Roman"/>
                <w:iCs/>
                <w:sz w:val="17"/>
                <w:szCs w:val="17"/>
              </w:rPr>
            </w:pPr>
            <w:r w:rsidRPr="002B324F">
              <w:rPr>
                <w:rFonts w:eastAsia="Times New Roman"/>
                <w:iCs/>
                <w:sz w:val="17"/>
                <w:szCs w:val="17"/>
              </w:rPr>
              <w:t xml:space="preserve">Unified information System (UIS) (e.g. EBEIS, HRIS, LRMDS) </w:t>
            </w:r>
            <w:r>
              <w:rPr>
                <w:rFonts w:eastAsia="Times New Roman"/>
                <w:iCs/>
                <w:sz w:val="17"/>
                <w:szCs w:val="17"/>
              </w:rPr>
              <w:t xml:space="preserve">and </w:t>
            </w:r>
            <w:r w:rsidRPr="002B324F">
              <w:rPr>
                <w:rFonts w:eastAsia="Times New Roman"/>
                <w:iCs/>
                <w:sz w:val="17"/>
                <w:szCs w:val="17"/>
              </w:rPr>
              <w:t>gender disaggregated data used for policy analysis and developme</w:t>
            </w:r>
            <w:r>
              <w:rPr>
                <w:rFonts w:eastAsia="Times New Roman"/>
                <w:iCs/>
                <w:sz w:val="17"/>
                <w:szCs w:val="17"/>
              </w:rPr>
              <w:t>nt, planning and budgeting</w:t>
            </w:r>
            <w:r w:rsidRPr="002B324F">
              <w:rPr>
                <w:rFonts w:eastAsia="Times New Roman"/>
                <w:iCs/>
                <w:sz w:val="17"/>
                <w:szCs w:val="17"/>
              </w:rPr>
              <w:t xml:space="preserve"> </w:t>
            </w:r>
          </w:p>
        </w:tc>
        <w:tc>
          <w:tcPr>
            <w:tcW w:w="2890" w:type="dxa"/>
          </w:tcPr>
          <w:p w:rsidR="00DC5EA1" w:rsidRDefault="00070343" w:rsidP="00DC5EA1">
            <w:pPr>
              <w:keepLines/>
              <w:spacing w:before="0" w:after="40" w:line="200" w:lineRule="atLeast"/>
              <w:rPr>
                <w:rFonts w:eastAsia="Times New Roman"/>
                <w:iCs/>
                <w:sz w:val="17"/>
                <w:szCs w:val="17"/>
              </w:rPr>
            </w:pPr>
            <w:r w:rsidRPr="002B324F">
              <w:rPr>
                <w:rFonts w:eastAsia="Times New Roman"/>
                <w:iCs/>
                <w:sz w:val="17"/>
                <w:szCs w:val="17"/>
              </w:rPr>
              <w:t>UIS Enterprise Architecture drafted, existing elements of the UIS improved (e.g. EBEIS, HRIS, LRMDS)</w:t>
            </w:r>
          </w:p>
          <w:p w:rsidR="00DC5EA1" w:rsidRDefault="00DC5EA1" w:rsidP="00DC5EA1">
            <w:pPr>
              <w:keepLines/>
              <w:spacing w:before="0" w:after="40" w:line="200" w:lineRule="atLeast"/>
              <w:rPr>
                <w:rFonts w:eastAsia="Times New Roman"/>
                <w:iCs/>
                <w:sz w:val="17"/>
                <w:szCs w:val="17"/>
              </w:rPr>
            </w:pPr>
          </w:p>
          <w:p w:rsidR="00DC5EA1" w:rsidRPr="00D85E7B" w:rsidRDefault="00DC5EA1" w:rsidP="00DC5EA1">
            <w:pPr>
              <w:keepLines/>
              <w:spacing w:before="0" w:after="40" w:line="200" w:lineRule="atLeast"/>
              <w:rPr>
                <w:rFonts w:eastAsia="Times New Roman"/>
                <w:iCs/>
                <w:sz w:val="17"/>
                <w:szCs w:val="17"/>
              </w:rPr>
            </w:pPr>
            <w:r w:rsidRPr="00DC5EA1">
              <w:rPr>
                <w:rFonts w:eastAsia="Times New Roman"/>
                <w:iCs/>
                <w:sz w:val="17"/>
                <w:szCs w:val="17"/>
              </w:rPr>
              <w:t>Additional elements were added to the UIS, on student demographic data, enrolment, including for the new</w:t>
            </w:r>
            <w:r>
              <w:rPr>
                <w:rFonts w:eastAsia="Times New Roman"/>
                <w:iCs/>
                <w:sz w:val="17"/>
                <w:szCs w:val="17"/>
              </w:rPr>
              <w:t>ly added</w:t>
            </w:r>
            <w:r w:rsidRPr="00DC5EA1">
              <w:rPr>
                <w:rFonts w:eastAsia="Times New Roman"/>
                <w:iCs/>
                <w:sz w:val="17"/>
                <w:szCs w:val="17"/>
              </w:rPr>
              <w:t xml:space="preserve"> senior high school grades, private schools and the Alternative Learning System (non-formal education).</w:t>
            </w:r>
            <w:r>
              <w:rPr>
                <w:rFonts w:eastAsia="Times New Roman"/>
                <w:iCs/>
                <w:sz w:val="17"/>
                <w:szCs w:val="17"/>
              </w:rPr>
              <w:t xml:space="preserve"> </w:t>
            </w:r>
          </w:p>
          <w:p w:rsidR="00070343" w:rsidRPr="002B324F" w:rsidRDefault="00070343" w:rsidP="00070343">
            <w:pPr>
              <w:keepLines/>
              <w:spacing w:before="0" w:after="40" w:line="200" w:lineRule="atLeast"/>
              <w:rPr>
                <w:rFonts w:eastAsia="Times New Roman"/>
                <w:iCs/>
                <w:sz w:val="17"/>
                <w:szCs w:val="17"/>
              </w:rPr>
            </w:pPr>
          </w:p>
        </w:tc>
        <w:tc>
          <w:tcPr>
            <w:tcW w:w="2891" w:type="dxa"/>
          </w:tcPr>
          <w:p w:rsidR="00DC5EA1" w:rsidRDefault="00DC5EA1" w:rsidP="00DC5EA1">
            <w:pPr>
              <w:keepLines/>
              <w:spacing w:before="0" w:after="40" w:line="200" w:lineRule="atLeast"/>
              <w:rPr>
                <w:rFonts w:eastAsia="Times New Roman"/>
                <w:iCs/>
                <w:sz w:val="17"/>
                <w:szCs w:val="17"/>
              </w:rPr>
            </w:pPr>
          </w:p>
          <w:p w:rsidR="00DC5EA1" w:rsidRPr="00DC5EA1" w:rsidRDefault="00DC5EA1" w:rsidP="00DC5EA1">
            <w:pPr>
              <w:spacing w:after="40" w:line="200" w:lineRule="atLeast"/>
              <w:rPr>
                <w:sz w:val="17"/>
                <w:szCs w:val="17"/>
              </w:rPr>
            </w:pPr>
            <w:r w:rsidRPr="00DC5EA1">
              <w:rPr>
                <w:sz w:val="17"/>
                <w:szCs w:val="17"/>
              </w:rPr>
              <w:t xml:space="preserve">Core DepEd information systems (Enhanced Basic Education Information System, Learner Information System, and Learning Resource Portal) have been enhanced and expanded with support from BEST. The (sex-disaggregated) data from these systems is routinely used to develop plans and budgets. </w:t>
            </w:r>
          </w:p>
          <w:p w:rsidR="00DC5EA1" w:rsidRPr="00E469E7" w:rsidRDefault="00DC5EA1" w:rsidP="00DC5EA1">
            <w:pPr>
              <w:spacing w:after="40" w:line="200" w:lineRule="atLeast"/>
              <w:rPr>
                <w:sz w:val="17"/>
                <w:szCs w:val="17"/>
              </w:rPr>
            </w:pPr>
            <w:r w:rsidRPr="00DC5EA1">
              <w:rPr>
                <w:sz w:val="17"/>
                <w:szCs w:val="17"/>
              </w:rPr>
              <w:t>All DepEd offices uploaded their Work and Financial Plans for Fiscal Year 2017 into the Australian-supported Program Management Information System (PMIS), for example, and learners displaced by the Marawi siege were tacked and assigned new schools using the Learner Information System (LIS).</w:t>
            </w:r>
          </w:p>
          <w:p w:rsidR="00070343" w:rsidRPr="002B324F" w:rsidRDefault="00070343" w:rsidP="00070343">
            <w:pPr>
              <w:keepLines/>
              <w:spacing w:before="0" w:after="40" w:line="200" w:lineRule="atLeast"/>
              <w:rPr>
                <w:rFonts w:eastAsia="Times New Roman"/>
                <w:iCs/>
                <w:sz w:val="17"/>
                <w:szCs w:val="17"/>
              </w:rPr>
            </w:pPr>
          </w:p>
        </w:tc>
        <w:tc>
          <w:tcPr>
            <w:tcW w:w="2891" w:type="dxa"/>
          </w:tcPr>
          <w:p w:rsidR="00DC5EA1" w:rsidRPr="003C084F" w:rsidRDefault="00DC5EA1" w:rsidP="00DC5EA1">
            <w:pPr>
              <w:keepLines/>
              <w:spacing w:before="0" w:after="40" w:line="200" w:lineRule="atLeast"/>
              <w:rPr>
                <w:rFonts w:eastAsia="Times New Roman"/>
                <w:iCs/>
                <w:sz w:val="17"/>
                <w:szCs w:val="17"/>
              </w:rPr>
            </w:pPr>
            <w:r w:rsidRPr="003C084F">
              <w:rPr>
                <w:rFonts w:eastAsia="Times New Roman"/>
                <w:iCs/>
                <w:sz w:val="17"/>
                <w:szCs w:val="17"/>
              </w:rPr>
              <w:t>Data sources:</w:t>
            </w:r>
          </w:p>
          <w:p w:rsidR="00DC5EA1" w:rsidRPr="003C084F" w:rsidRDefault="00DC5EA1" w:rsidP="00DC5EA1">
            <w:pPr>
              <w:keepLines/>
              <w:spacing w:before="0" w:after="40" w:line="200" w:lineRule="atLeast"/>
              <w:rPr>
                <w:rFonts w:eastAsia="Times New Roman"/>
                <w:iCs/>
                <w:sz w:val="17"/>
                <w:szCs w:val="17"/>
              </w:rPr>
            </w:pPr>
            <w:r w:rsidRPr="003C084F">
              <w:rPr>
                <w:rFonts w:eastAsia="Times New Roman"/>
                <w:iCs/>
                <w:sz w:val="17"/>
                <w:szCs w:val="17"/>
              </w:rPr>
              <w:t>DepEd UIS</w:t>
            </w:r>
          </w:p>
          <w:p w:rsidR="00DC5EA1" w:rsidRPr="003C084F" w:rsidRDefault="00DC5EA1" w:rsidP="00DC5EA1">
            <w:pPr>
              <w:keepLines/>
              <w:spacing w:before="0" w:after="40" w:line="200" w:lineRule="atLeast"/>
              <w:rPr>
                <w:rFonts w:eastAsia="Times New Roman"/>
                <w:iCs/>
                <w:sz w:val="17"/>
                <w:szCs w:val="17"/>
              </w:rPr>
            </w:pPr>
            <w:r w:rsidRPr="003C084F">
              <w:rPr>
                <w:rFonts w:eastAsia="Times New Roman"/>
                <w:iCs/>
                <w:sz w:val="17"/>
                <w:szCs w:val="17"/>
              </w:rPr>
              <w:t>BEST M&amp;E  reports</w:t>
            </w:r>
          </w:p>
          <w:p w:rsidR="00DC5EA1" w:rsidRPr="003C084F" w:rsidRDefault="00DC5EA1" w:rsidP="00DC5EA1">
            <w:pPr>
              <w:keepLines/>
              <w:spacing w:before="0" w:after="40" w:line="200" w:lineRule="atLeast"/>
              <w:rPr>
                <w:rFonts w:eastAsia="Times New Roman"/>
                <w:iCs/>
                <w:sz w:val="17"/>
                <w:szCs w:val="17"/>
              </w:rPr>
            </w:pPr>
          </w:p>
          <w:p w:rsidR="00DC5EA1" w:rsidRPr="003C084F" w:rsidRDefault="00DC5EA1" w:rsidP="00DC5EA1">
            <w:pPr>
              <w:keepLines/>
              <w:spacing w:before="0" w:after="40" w:line="200" w:lineRule="atLeast"/>
              <w:rPr>
                <w:rFonts w:eastAsia="Times New Roman"/>
                <w:iCs/>
                <w:sz w:val="17"/>
                <w:szCs w:val="17"/>
              </w:rPr>
            </w:pPr>
            <w:r w:rsidRPr="003C084F">
              <w:rPr>
                <w:rFonts w:eastAsia="Times New Roman"/>
                <w:iCs/>
                <w:sz w:val="17"/>
                <w:szCs w:val="17"/>
              </w:rPr>
              <w:t>Baseline:</w:t>
            </w:r>
          </w:p>
          <w:p w:rsidR="00070343" w:rsidRPr="002B324F" w:rsidRDefault="00DC5EA1" w:rsidP="00070343">
            <w:pPr>
              <w:keepLines/>
              <w:spacing w:before="0" w:after="40" w:line="200" w:lineRule="atLeast"/>
              <w:rPr>
                <w:rFonts w:eastAsia="Times New Roman"/>
                <w:iCs/>
                <w:sz w:val="17"/>
                <w:szCs w:val="17"/>
              </w:rPr>
            </w:pPr>
            <w:r w:rsidRPr="003C084F">
              <w:rPr>
                <w:rFonts w:eastAsia="Times New Roman"/>
                <w:iCs/>
                <w:sz w:val="17"/>
                <w:szCs w:val="17"/>
              </w:rPr>
              <w:t>The core information systems of the UIS had already been developed at the beginning of the BEST program, but a range of enhancements were needed to fully align with the K-12 reform and integration of private schools.</w:t>
            </w:r>
          </w:p>
        </w:tc>
      </w:tr>
      <w:tr w:rsidR="00070343" w:rsidTr="00A71902">
        <w:tc>
          <w:tcPr>
            <w:tcW w:w="2890" w:type="dxa"/>
            <w:vMerge/>
          </w:tcPr>
          <w:p w:rsidR="00070343" w:rsidRDefault="00070343" w:rsidP="00070343">
            <w:pPr>
              <w:keepNext/>
              <w:tabs>
                <w:tab w:val="left" w:pos="1560"/>
              </w:tabs>
              <w:spacing w:before="0" w:after="0"/>
              <w:outlineLvl w:val="1"/>
            </w:pPr>
          </w:p>
        </w:tc>
        <w:tc>
          <w:tcPr>
            <w:tcW w:w="2890" w:type="dxa"/>
          </w:tcPr>
          <w:p w:rsidR="00070343" w:rsidRPr="002B324F" w:rsidRDefault="00070343" w:rsidP="00070343">
            <w:pPr>
              <w:keepLines/>
              <w:spacing w:before="0" w:after="40" w:line="200" w:lineRule="atLeast"/>
              <w:rPr>
                <w:rFonts w:eastAsia="Times New Roman"/>
                <w:iCs/>
                <w:sz w:val="17"/>
                <w:szCs w:val="17"/>
              </w:rPr>
            </w:pPr>
            <w:r w:rsidRPr="002B324F">
              <w:rPr>
                <w:rFonts w:eastAsia="Times New Roman"/>
                <w:iCs/>
                <w:sz w:val="17"/>
                <w:szCs w:val="17"/>
              </w:rPr>
              <w:t>Strategic and foundational capacities and competencies built in DepEd to support improvements in learning, teaching and operational processes and practices in at least 20,000 schools and 214 schools divisions</w:t>
            </w:r>
          </w:p>
        </w:tc>
        <w:tc>
          <w:tcPr>
            <w:tcW w:w="2890" w:type="dxa"/>
          </w:tcPr>
          <w:p w:rsidR="00070343" w:rsidRPr="002B324F" w:rsidRDefault="00070343" w:rsidP="00070343">
            <w:pPr>
              <w:keepLines/>
              <w:spacing w:before="0" w:after="40" w:line="200" w:lineRule="atLeast"/>
              <w:rPr>
                <w:rFonts w:eastAsia="Times New Roman"/>
                <w:iCs/>
                <w:sz w:val="17"/>
                <w:szCs w:val="17"/>
              </w:rPr>
            </w:pPr>
            <w:r w:rsidRPr="002B324F">
              <w:rPr>
                <w:rFonts w:eastAsia="Times New Roman"/>
                <w:iCs/>
                <w:sz w:val="17"/>
                <w:szCs w:val="17"/>
              </w:rPr>
              <w:t xml:space="preserve">Human Resource Management and Development Systems implemented  </w:t>
            </w:r>
          </w:p>
          <w:p w:rsidR="00070343" w:rsidRPr="002B324F" w:rsidRDefault="00070343" w:rsidP="00070343">
            <w:pPr>
              <w:keepLines/>
              <w:spacing w:before="0" w:after="40" w:line="200" w:lineRule="atLeast"/>
              <w:rPr>
                <w:rFonts w:eastAsia="Times New Roman"/>
                <w:iCs/>
                <w:sz w:val="17"/>
                <w:szCs w:val="17"/>
              </w:rPr>
            </w:pPr>
            <w:r w:rsidRPr="002B324F">
              <w:rPr>
                <w:rFonts w:eastAsia="Times New Roman"/>
                <w:iCs/>
                <w:sz w:val="17"/>
                <w:szCs w:val="17"/>
              </w:rPr>
              <w:t>Coherent system of planning and policy research implemented</w:t>
            </w:r>
          </w:p>
        </w:tc>
        <w:tc>
          <w:tcPr>
            <w:tcW w:w="2891" w:type="dxa"/>
          </w:tcPr>
          <w:p w:rsidR="00A2042D" w:rsidRPr="00A2042D" w:rsidRDefault="00A2042D" w:rsidP="00A2042D">
            <w:pPr>
              <w:rPr>
                <w:i/>
                <w:iCs/>
                <w:sz w:val="17"/>
                <w:szCs w:val="17"/>
              </w:rPr>
            </w:pPr>
            <w:r w:rsidRPr="00A2042D">
              <w:rPr>
                <w:i/>
                <w:iCs/>
                <w:sz w:val="17"/>
                <w:szCs w:val="17"/>
              </w:rPr>
              <w:t>Human Resources</w:t>
            </w:r>
          </w:p>
          <w:p w:rsidR="00A2042D" w:rsidRPr="00A2042D" w:rsidRDefault="00A2042D" w:rsidP="00A2042D">
            <w:pPr>
              <w:rPr>
                <w:sz w:val="17"/>
                <w:szCs w:val="17"/>
              </w:rPr>
            </w:pPr>
            <w:r>
              <w:rPr>
                <w:sz w:val="17"/>
                <w:szCs w:val="17"/>
              </w:rPr>
              <w:t>The national</w:t>
            </w:r>
            <w:r w:rsidRPr="00A2042D">
              <w:rPr>
                <w:sz w:val="17"/>
                <w:szCs w:val="17"/>
              </w:rPr>
              <w:t xml:space="preserve"> Results Based Performance Management System</w:t>
            </w:r>
            <w:r>
              <w:rPr>
                <w:sz w:val="17"/>
                <w:szCs w:val="17"/>
              </w:rPr>
              <w:t xml:space="preserve"> was aligned with the BEST-supported Philippine Professional Standards for Teachers, enabling the linking of teacher salary increments and promotions to performance against internationally-benchmarked quality standards</w:t>
            </w:r>
            <w:r w:rsidRPr="00A2042D">
              <w:rPr>
                <w:sz w:val="17"/>
                <w:szCs w:val="17"/>
              </w:rPr>
              <w:t xml:space="preserve">. </w:t>
            </w:r>
          </w:p>
          <w:p w:rsidR="00A2042D" w:rsidRPr="00A2042D" w:rsidRDefault="00A2042D" w:rsidP="00A2042D">
            <w:pPr>
              <w:rPr>
                <w:i/>
                <w:iCs/>
                <w:sz w:val="17"/>
                <w:szCs w:val="17"/>
              </w:rPr>
            </w:pPr>
            <w:r w:rsidRPr="00A2042D">
              <w:rPr>
                <w:i/>
                <w:iCs/>
                <w:sz w:val="17"/>
                <w:szCs w:val="17"/>
              </w:rPr>
              <w:t>Planning and Policy Research</w:t>
            </w:r>
          </w:p>
          <w:p w:rsidR="00A2042D" w:rsidRPr="00A2042D" w:rsidRDefault="00A2042D" w:rsidP="00A2042D">
            <w:pPr>
              <w:rPr>
                <w:sz w:val="17"/>
                <w:szCs w:val="17"/>
              </w:rPr>
            </w:pPr>
            <w:r w:rsidRPr="00A2042D">
              <w:rPr>
                <w:sz w:val="17"/>
                <w:szCs w:val="17"/>
              </w:rPr>
              <w:t>DepEd</w:t>
            </w:r>
            <w:r>
              <w:rPr>
                <w:sz w:val="17"/>
                <w:szCs w:val="17"/>
              </w:rPr>
              <w:t xml:space="preserve">’s </w:t>
            </w:r>
            <w:r w:rsidRPr="00A2042D">
              <w:rPr>
                <w:sz w:val="17"/>
                <w:szCs w:val="17"/>
              </w:rPr>
              <w:t>Planning and Budgeting Strategy, Basic Education Monitoring and Evaluation Framework policy and Research Management Standards finalised.</w:t>
            </w:r>
          </w:p>
          <w:p w:rsidR="00A2042D" w:rsidRPr="00A2042D" w:rsidRDefault="00A2042D" w:rsidP="00A2042D">
            <w:pPr>
              <w:pStyle w:val="CommentText"/>
              <w:rPr>
                <w:sz w:val="17"/>
                <w:szCs w:val="17"/>
              </w:rPr>
            </w:pPr>
            <w:r w:rsidRPr="00A2042D">
              <w:rPr>
                <w:sz w:val="17"/>
                <w:szCs w:val="17"/>
              </w:rPr>
              <w:t xml:space="preserve">Three </w:t>
            </w:r>
            <w:r>
              <w:rPr>
                <w:sz w:val="17"/>
                <w:szCs w:val="17"/>
              </w:rPr>
              <w:t xml:space="preserve">new BEST-supported </w:t>
            </w:r>
            <w:r w:rsidRPr="00A2042D">
              <w:rPr>
                <w:sz w:val="17"/>
                <w:szCs w:val="17"/>
              </w:rPr>
              <w:t>nationa</w:t>
            </w:r>
            <w:r>
              <w:rPr>
                <w:sz w:val="17"/>
                <w:szCs w:val="17"/>
              </w:rPr>
              <w:t>l policies were approved in 2017-18</w:t>
            </w:r>
            <w:r w:rsidRPr="00A2042D">
              <w:rPr>
                <w:sz w:val="17"/>
                <w:szCs w:val="17"/>
              </w:rPr>
              <w:t xml:space="preserve">: Policy Guidelines on Madrasah Education in the K </w:t>
            </w:r>
            <w:r>
              <w:rPr>
                <w:sz w:val="17"/>
                <w:szCs w:val="17"/>
              </w:rPr>
              <w:t>to 12 Basic Education Program, national adoption and i</w:t>
            </w:r>
            <w:r w:rsidRPr="00A2042D">
              <w:rPr>
                <w:sz w:val="17"/>
                <w:szCs w:val="17"/>
              </w:rPr>
              <w:t xml:space="preserve">mplementation of the Philippine Professional Standards for Teachers (PPST), and Teacher Induction Program Policy. </w:t>
            </w:r>
          </w:p>
          <w:p w:rsidR="00A2042D" w:rsidRPr="00A2042D" w:rsidRDefault="00A2042D" w:rsidP="00A2042D">
            <w:pPr>
              <w:rPr>
                <w:i/>
                <w:iCs/>
                <w:sz w:val="17"/>
                <w:szCs w:val="17"/>
              </w:rPr>
            </w:pPr>
            <w:r w:rsidRPr="00A2042D">
              <w:rPr>
                <w:i/>
                <w:iCs/>
                <w:sz w:val="17"/>
                <w:szCs w:val="17"/>
              </w:rPr>
              <w:t>Capacity Building for Policy, Planning and Research</w:t>
            </w:r>
          </w:p>
          <w:p w:rsidR="00A2042D" w:rsidRPr="00A2042D" w:rsidRDefault="00A2042D" w:rsidP="00A2042D">
            <w:pPr>
              <w:rPr>
                <w:sz w:val="17"/>
                <w:szCs w:val="17"/>
              </w:rPr>
            </w:pPr>
            <w:r w:rsidRPr="00A2042D">
              <w:rPr>
                <w:sz w:val="17"/>
                <w:szCs w:val="17"/>
              </w:rPr>
              <w:t>150 DepEd planning personnel trained on Strategic Planning</w:t>
            </w:r>
          </w:p>
          <w:p w:rsidR="00A2042D" w:rsidRPr="00A2042D" w:rsidRDefault="00A2042D" w:rsidP="00A2042D">
            <w:pPr>
              <w:rPr>
                <w:sz w:val="17"/>
                <w:szCs w:val="17"/>
              </w:rPr>
            </w:pPr>
            <w:r w:rsidRPr="00A2042D">
              <w:rPr>
                <w:sz w:val="17"/>
                <w:szCs w:val="17"/>
              </w:rPr>
              <w:t>60 Divisions in 6 Regions trained and regularly conduct quarterly program reviews</w:t>
            </w:r>
          </w:p>
          <w:p w:rsidR="00070343" w:rsidRPr="002B324F" w:rsidRDefault="00A2042D" w:rsidP="00070343">
            <w:pPr>
              <w:keepLines/>
              <w:spacing w:before="0" w:after="40" w:line="200" w:lineRule="atLeast"/>
              <w:rPr>
                <w:rFonts w:eastAsia="Times New Roman"/>
                <w:iCs/>
                <w:sz w:val="17"/>
                <w:szCs w:val="17"/>
              </w:rPr>
            </w:pPr>
            <w:r w:rsidRPr="00A2042D">
              <w:rPr>
                <w:sz w:val="17"/>
                <w:szCs w:val="17"/>
              </w:rPr>
              <w:lastRenderedPageBreak/>
              <w:t>50 DepEd personnel trained on research management.</w:t>
            </w:r>
          </w:p>
        </w:tc>
        <w:tc>
          <w:tcPr>
            <w:tcW w:w="2891" w:type="dxa"/>
          </w:tcPr>
          <w:p w:rsidR="00A2042D" w:rsidRDefault="00A2042D" w:rsidP="00A2042D">
            <w:pPr>
              <w:keepLines/>
              <w:spacing w:before="0" w:after="40" w:line="200" w:lineRule="atLeast"/>
              <w:rPr>
                <w:sz w:val="17"/>
                <w:szCs w:val="17"/>
              </w:rPr>
            </w:pPr>
            <w:r>
              <w:rPr>
                <w:sz w:val="17"/>
                <w:szCs w:val="17"/>
              </w:rPr>
              <w:lastRenderedPageBreak/>
              <w:t>Data source:</w:t>
            </w:r>
          </w:p>
          <w:p w:rsidR="00A2042D" w:rsidRDefault="00A2042D" w:rsidP="00A2042D">
            <w:pPr>
              <w:keepLines/>
              <w:spacing w:before="0" w:after="40" w:line="200" w:lineRule="atLeast"/>
              <w:rPr>
                <w:sz w:val="17"/>
                <w:szCs w:val="17"/>
              </w:rPr>
            </w:pPr>
            <w:r w:rsidRPr="00E469E7">
              <w:rPr>
                <w:sz w:val="17"/>
                <w:szCs w:val="17"/>
              </w:rPr>
              <w:t>BEST M&amp;E Reports</w:t>
            </w:r>
          </w:p>
          <w:p w:rsidR="00A2042D" w:rsidRDefault="00A2042D" w:rsidP="00A2042D">
            <w:pPr>
              <w:keepLines/>
              <w:spacing w:before="0" w:after="40" w:line="200" w:lineRule="atLeast"/>
              <w:rPr>
                <w:sz w:val="17"/>
                <w:szCs w:val="17"/>
              </w:rPr>
            </w:pPr>
          </w:p>
          <w:p w:rsidR="00A2042D" w:rsidRPr="00A2042D" w:rsidRDefault="00A2042D" w:rsidP="00A2042D">
            <w:pPr>
              <w:keepLines/>
              <w:spacing w:before="0" w:after="40" w:line="200" w:lineRule="atLeast"/>
              <w:rPr>
                <w:sz w:val="17"/>
                <w:szCs w:val="17"/>
              </w:rPr>
            </w:pPr>
            <w:r w:rsidRPr="00A2042D">
              <w:rPr>
                <w:sz w:val="17"/>
                <w:szCs w:val="17"/>
              </w:rPr>
              <w:t>Baseline:</w:t>
            </w:r>
          </w:p>
          <w:p w:rsidR="00070343" w:rsidRPr="002B324F" w:rsidRDefault="00A2042D" w:rsidP="00070343">
            <w:pPr>
              <w:keepLines/>
              <w:spacing w:before="0" w:after="40" w:line="200" w:lineRule="atLeast"/>
              <w:rPr>
                <w:rFonts w:eastAsia="Times New Roman"/>
                <w:iCs/>
                <w:sz w:val="17"/>
                <w:szCs w:val="17"/>
              </w:rPr>
            </w:pPr>
            <w:r w:rsidRPr="00A2042D">
              <w:rPr>
                <w:sz w:val="17"/>
                <w:szCs w:val="17"/>
              </w:rPr>
              <w:t>Dep</w:t>
            </w:r>
            <w:r>
              <w:rPr>
                <w:sz w:val="17"/>
                <w:szCs w:val="17"/>
              </w:rPr>
              <w:t>E</w:t>
            </w:r>
            <w:r w:rsidRPr="00A2042D">
              <w:rPr>
                <w:sz w:val="17"/>
                <w:szCs w:val="17"/>
              </w:rPr>
              <w:t xml:space="preserve">d requires systems strengthening and capacity </w:t>
            </w:r>
            <w:r>
              <w:rPr>
                <w:sz w:val="17"/>
                <w:szCs w:val="17"/>
              </w:rPr>
              <w:t xml:space="preserve">development </w:t>
            </w:r>
            <w:r w:rsidRPr="00A2042D">
              <w:rPr>
                <w:sz w:val="17"/>
                <w:szCs w:val="17"/>
              </w:rPr>
              <w:t xml:space="preserve">to support improvement in operational practices and processes at the central, regional and </w:t>
            </w:r>
            <w:r w:rsidRPr="000146D9">
              <w:rPr>
                <w:sz w:val="17"/>
                <w:szCs w:val="17"/>
              </w:rPr>
              <w:t>division offices</w:t>
            </w:r>
            <w:r w:rsidRPr="00EB4BDB">
              <w:rPr>
                <w:sz w:val="17"/>
                <w:szCs w:val="17"/>
              </w:rPr>
              <w:t>.</w:t>
            </w:r>
          </w:p>
        </w:tc>
      </w:tr>
      <w:tr w:rsidR="00070343" w:rsidTr="00A71902">
        <w:tc>
          <w:tcPr>
            <w:tcW w:w="2890" w:type="dxa"/>
            <w:vMerge/>
          </w:tcPr>
          <w:p w:rsidR="00070343" w:rsidRDefault="00070343" w:rsidP="00070343">
            <w:pPr>
              <w:keepNext/>
              <w:tabs>
                <w:tab w:val="left" w:pos="1560"/>
              </w:tabs>
              <w:spacing w:before="0" w:after="0"/>
              <w:outlineLvl w:val="1"/>
            </w:pPr>
          </w:p>
        </w:tc>
        <w:tc>
          <w:tcPr>
            <w:tcW w:w="2890" w:type="dxa"/>
          </w:tcPr>
          <w:p w:rsidR="00070343" w:rsidRPr="002B324F" w:rsidRDefault="00070343" w:rsidP="00070343">
            <w:pPr>
              <w:keepLines/>
              <w:spacing w:before="0" w:after="40" w:line="200" w:lineRule="atLeast"/>
              <w:rPr>
                <w:rFonts w:eastAsia="Times New Roman"/>
                <w:iCs/>
                <w:sz w:val="17"/>
                <w:szCs w:val="17"/>
              </w:rPr>
            </w:pPr>
            <w:r w:rsidRPr="002B324F">
              <w:rPr>
                <w:rFonts w:eastAsia="Times New Roman"/>
                <w:iCs/>
                <w:sz w:val="17"/>
                <w:szCs w:val="17"/>
              </w:rPr>
              <w:t>Superintendents have appropriate capacity for leadership and engagement with education stakeholders</w:t>
            </w:r>
          </w:p>
        </w:tc>
        <w:tc>
          <w:tcPr>
            <w:tcW w:w="2890" w:type="dxa"/>
          </w:tcPr>
          <w:p w:rsidR="00070343" w:rsidRPr="002B324F" w:rsidRDefault="00070343" w:rsidP="00070343">
            <w:pPr>
              <w:keepLines/>
              <w:spacing w:before="0" w:after="40" w:line="200" w:lineRule="atLeast"/>
              <w:rPr>
                <w:rFonts w:eastAsia="Times New Roman"/>
                <w:iCs/>
                <w:sz w:val="17"/>
                <w:szCs w:val="17"/>
              </w:rPr>
            </w:pPr>
            <w:r w:rsidRPr="002B324F">
              <w:rPr>
                <w:rFonts w:eastAsia="Times New Roman"/>
                <w:iCs/>
                <w:sz w:val="17"/>
                <w:szCs w:val="17"/>
              </w:rPr>
              <w:t>Division Superintendents capacitated in leadership and engagement with education stakeholders</w:t>
            </w:r>
          </w:p>
        </w:tc>
        <w:tc>
          <w:tcPr>
            <w:tcW w:w="2891" w:type="dxa"/>
          </w:tcPr>
          <w:p w:rsidR="00070343" w:rsidRPr="002B324F" w:rsidRDefault="00AA08FD" w:rsidP="002348CC">
            <w:pPr>
              <w:keepLines/>
              <w:spacing w:before="0" w:after="40" w:line="200" w:lineRule="atLeast"/>
              <w:rPr>
                <w:rFonts w:eastAsia="Times New Roman"/>
                <w:iCs/>
                <w:sz w:val="17"/>
                <w:szCs w:val="17"/>
              </w:rPr>
            </w:pPr>
            <w:r>
              <w:rPr>
                <w:rFonts w:eastAsia="Times New Roman"/>
                <w:iCs/>
                <w:sz w:val="17"/>
                <w:szCs w:val="17"/>
              </w:rPr>
              <w:t>178</w:t>
            </w:r>
            <w:r w:rsidR="00070343" w:rsidRPr="002B324F">
              <w:rPr>
                <w:rFonts w:eastAsia="Times New Roman"/>
                <w:iCs/>
                <w:sz w:val="17"/>
                <w:szCs w:val="17"/>
              </w:rPr>
              <w:t xml:space="preserve"> division</w:t>
            </w:r>
            <w:r w:rsidR="00070343">
              <w:rPr>
                <w:rFonts w:eastAsia="Times New Roman"/>
                <w:iCs/>
                <w:sz w:val="17"/>
                <w:szCs w:val="17"/>
              </w:rPr>
              <w:t xml:space="preserve"> </w:t>
            </w:r>
            <w:r w:rsidR="00A2042D" w:rsidRPr="002B324F">
              <w:rPr>
                <w:rFonts w:eastAsia="Times New Roman"/>
                <w:iCs/>
                <w:sz w:val="17"/>
                <w:szCs w:val="17"/>
              </w:rPr>
              <w:t xml:space="preserve">superintendents </w:t>
            </w:r>
            <w:r>
              <w:rPr>
                <w:rFonts w:eastAsia="Times New Roman"/>
                <w:iCs/>
                <w:sz w:val="17"/>
                <w:szCs w:val="17"/>
              </w:rPr>
              <w:t xml:space="preserve">and assistant </w:t>
            </w:r>
            <w:r w:rsidR="00070343" w:rsidRPr="002B324F">
              <w:rPr>
                <w:rFonts w:eastAsia="Times New Roman"/>
                <w:iCs/>
                <w:sz w:val="17"/>
                <w:szCs w:val="17"/>
              </w:rPr>
              <w:t xml:space="preserve">superintendents </w:t>
            </w:r>
            <w:r>
              <w:rPr>
                <w:rFonts w:eastAsia="Times New Roman"/>
                <w:iCs/>
                <w:sz w:val="17"/>
                <w:szCs w:val="17"/>
              </w:rPr>
              <w:t>trained</w:t>
            </w:r>
            <w:r w:rsidR="00070343" w:rsidRPr="002B324F">
              <w:rPr>
                <w:rFonts w:eastAsia="Times New Roman"/>
                <w:iCs/>
                <w:sz w:val="17"/>
                <w:szCs w:val="17"/>
              </w:rPr>
              <w:t xml:space="preserve"> in leadership and stakeholder engagement</w:t>
            </w:r>
            <w:r>
              <w:rPr>
                <w:rFonts w:eastAsia="Times New Roman"/>
                <w:iCs/>
                <w:sz w:val="17"/>
                <w:szCs w:val="17"/>
              </w:rPr>
              <w:t xml:space="preserve"> </w:t>
            </w:r>
            <w:r w:rsidRPr="00AA08FD">
              <w:rPr>
                <w:rFonts w:eastAsia="Times New Roman"/>
                <w:iCs/>
                <w:sz w:val="17"/>
                <w:szCs w:val="17"/>
              </w:rPr>
              <w:t>u</w:t>
            </w:r>
            <w:r w:rsidRPr="00AA08FD">
              <w:rPr>
                <w:sz w:val="17"/>
                <w:szCs w:val="17"/>
              </w:rPr>
              <w:t>nder the Superintendents Leadership Program.</w:t>
            </w:r>
          </w:p>
        </w:tc>
        <w:tc>
          <w:tcPr>
            <w:tcW w:w="2891" w:type="dxa"/>
          </w:tcPr>
          <w:p w:rsidR="00AA08FD" w:rsidRPr="00AA08FD" w:rsidRDefault="00AA08FD" w:rsidP="00AA08FD">
            <w:pPr>
              <w:keepLines/>
              <w:spacing w:before="0" w:after="40" w:line="200" w:lineRule="atLeast"/>
              <w:rPr>
                <w:rFonts w:eastAsia="Times New Roman"/>
                <w:iCs/>
                <w:sz w:val="17"/>
                <w:szCs w:val="17"/>
              </w:rPr>
            </w:pPr>
            <w:r w:rsidRPr="00AA08FD">
              <w:rPr>
                <w:rFonts w:eastAsia="Times New Roman"/>
                <w:iCs/>
                <w:sz w:val="17"/>
                <w:szCs w:val="17"/>
              </w:rPr>
              <w:t>Data source:</w:t>
            </w:r>
          </w:p>
          <w:p w:rsidR="00AA08FD" w:rsidRPr="00AA08FD" w:rsidRDefault="00AA08FD" w:rsidP="00AA08FD">
            <w:pPr>
              <w:keepLines/>
              <w:spacing w:before="0" w:after="40" w:line="200" w:lineRule="atLeast"/>
              <w:rPr>
                <w:rFonts w:eastAsia="Times New Roman"/>
                <w:iCs/>
                <w:sz w:val="17"/>
                <w:szCs w:val="17"/>
              </w:rPr>
            </w:pPr>
            <w:r w:rsidRPr="00AA08FD">
              <w:rPr>
                <w:rFonts w:eastAsia="Times New Roman"/>
                <w:iCs/>
                <w:sz w:val="17"/>
                <w:szCs w:val="17"/>
              </w:rPr>
              <w:t xml:space="preserve">Superintendents Leadership Program Pre-Test </w:t>
            </w:r>
          </w:p>
          <w:p w:rsidR="00AA08FD" w:rsidRPr="00AA08FD" w:rsidRDefault="00AA08FD" w:rsidP="00AA08FD">
            <w:pPr>
              <w:keepLines/>
              <w:spacing w:before="0" w:after="40" w:line="200" w:lineRule="atLeast"/>
              <w:rPr>
                <w:rFonts w:eastAsia="Times New Roman"/>
                <w:iCs/>
                <w:sz w:val="17"/>
                <w:szCs w:val="17"/>
              </w:rPr>
            </w:pPr>
          </w:p>
          <w:p w:rsidR="00AA08FD" w:rsidRDefault="00AA08FD" w:rsidP="00AA08FD">
            <w:pPr>
              <w:keepLines/>
              <w:spacing w:before="0" w:after="40" w:line="200" w:lineRule="atLeast"/>
              <w:rPr>
                <w:rFonts w:eastAsia="Times New Roman"/>
                <w:iCs/>
                <w:sz w:val="17"/>
                <w:szCs w:val="17"/>
              </w:rPr>
            </w:pPr>
            <w:r w:rsidRPr="00CE4DC1">
              <w:rPr>
                <w:rFonts w:eastAsia="Times New Roman"/>
                <w:iCs/>
                <w:sz w:val="17"/>
                <w:szCs w:val="17"/>
              </w:rPr>
              <w:t>Baseline:</w:t>
            </w:r>
          </w:p>
          <w:p w:rsidR="00070343" w:rsidRPr="002B324F" w:rsidRDefault="00070343" w:rsidP="00070343">
            <w:pPr>
              <w:keepLines/>
              <w:spacing w:before="0" w:after="40" w:line="200" w:lineRule="atLeast"/>
              <w:rPr>
                <w:rFonts w:eastAsia="Times New Roman"/>
                <w:iCs/>
                <w:sz w:val="17"/>
                <w:szCs w:val="17"/>
              </w:rPr>
            </w:pPr>
            <w:r w:rsidRPr="002B324F">
              <w:rPr>
                <w:rFonts w:eastAsia="Times New Roman"/>
                <w:iCs/>
                <w:sz w:val="17"/>
                <w:szCs w:val="17"/>
              </w:rPr>
              <w:t>School Division and School Heads require updated skills in leadership and management to lead education reforms</w:t>
            </w:r>
          </w:p>
        </w:tc>
      </w:tr>
      <w:tr w:rsidR="00070343" w:rsidTr="00A71902">
        <w:tc>
          <w:tcPr>
            <w:tcW w:w="2890" w:type="dxa"/>
            <w:vMerge/>
          </w:tcPr>
          <w:p w:rsidR="00070343" w:rsidRDefault="00070343" w:rsidP="00070343">
            <w:pPr>
              <w:keepNext/>
              <w:tabs>
                <w:tab w:val="left" w:pos="1560"/>
              </w:tabs>
              <w:spacing w:before="0" w:after="0"/>
              <w:outlineLvl w:val="1"/>
            </w:pPr>
          </w:p>
        </w:tc>
        <w:tc>
          <w:tcPr>
            <w:tcW w:w="2890" w:type="dxa"/>
          </w:tcPr>
          <w:p w:rsidR="00070343" w:rsidRPr="002B324F" w:rsidRDefault="00070343" w:rsidP="00070343">
            <w:pPr>
              <w:keepLines/>
              <w:spacing w:before="0" w:after="40" w:line="200" w:lineRule="atLeast"/>
              <w:rPr>
                <w:rFonts w:eastAsia="Times New Roman"/>
                <w:iCs/>
                <w:sz w:val="17"/>
                <w:szCs w:val="17"/>
              </w:rPr>
            </w:pPr>
            <w:r w:rsidRPr="002B324F">
              <w:rPr>
                <w:rFonts w:eastAsia="Times New Roman"/>
                <w:iCs/>
                <w:sz w:val="17"/>
                <w:szCs w:val="17"/>
              </w:rPr>
              <w:t>Number of school heads in target regions have appropriate capacity for school management</w:t>
            </w:r>
          </w:p>
        </w:tc>
        <w:tc>
          <w:tcPr>
            <w:tcW w:w="2890" w:type="dxa"/>
          </w:tcPr>
          <w:p w:rsidR="00070343" w:rsidRPr="002B324F" w:rsidRDefault="00070343" w:rsidP="00070343">
            <w:pPr>
              <w:keepLines/>
              <w:spacing w:before="0" w:after="40" w:line="200" w:lineRule="atLeast"/>
              <w:rPr>
                <w:rFonts w:eastAsia="Times New Roman"/>
                <w:iCs/>
                <w:sz w:val="17"/>
                <w:szCs w:val="17"/>
              </w:rPr>
            </w:pPr>
            <w:r w:rsidRPr="002B324F">
              <w:rPr>
                <w:rFonts w:eastAsia="Times New Roman"/>
                <w:iCs/>
                <w:sz w:val="17"/>
                <w:szCs w:val="17"/>
              </w:rPr>
              <w:t>Educational Leadership and Management Training Curriculum and Content for School Heads developed</w:t>
            </w:r>
          </w:p>
        </w:tc>
        <w:tc>
          <w:tcPr>
            <w:tcW w:w="2891" w:type="dxa"/>
          </w:tcPr>
          <w:p w:rsidR="00070343" w:rsidRPr="002B324F" w:rsidRDefault="00AA08FD" w:rsidP="002348CC">
            <w:pPr>
              <w:keepLines/>
              <w:spacing w:before="0" w:after="40" w:line="200" w:lineRule="atLeast"/>
              <w:rPr>
                <w:rFonts w:eastAsia="Times New Roman"/>
                <w:iCs/>
                <w:sz w:val="17"/>
                <w:szCs w:val="17"/>
              </w:rPr>
            </w:pPr>
            <w:r>
              <w:rPr>
                <w:sz w:val="17"/>
                <w:szCs w:val="17"/>
              </w:rPr>
              <w:t xml:space="preserve">BEST trained </w:t>
            </w:r>
            <w:r w:rsidRPr="003C084F">
              <w:rPr>
                <w:sz w:val="17"/>
                <w:szCs w:val="17"/>
              </w:rPr>
              <w:t xml:space="preserve">209 school heads as trainers </w:t>
            </w:r>
            <w:r>
              <w:rPr>
                <w:sz w:val="17"/>
                <w:szCs w:val="17"/>
              </w:rPr>
              <w:t>to roll out</w:t>
            </w:r>
            <w:r w:rsidRPr="003C084F">
              <w:rPr>
                <w:sz w:val="17"/>
                <w:szCs w:val="17"/>
              </w:rPr>
              <w:t xml:space="preserve"> the School Heads Development Program (SHDP). </w:t>
            </w:r>
            <w:r w:rsidR="002348CC" w:rsidRPr="003C084F">
              <w:rPr>
                <w:sz w:val="17"/>
                <w:szCs w:val="17"/>
              </w:rPr>
              <w:t>N</w:t>
            </w:r>
            <w:r w:rsidRPr="003C084F">
              <w:rPr>
                <w:sz w:val="17"/>
                <w:szCs w:val="17"/>
              </w:rPr>
              <w:t>ation</w:t>
            </w:r>
            <w:r w:rsidR="002348CC">
              <w:rPr>
                <w:sz w:val="17"/>
                <w:szCs w:val="17"/>
              </w:rPr>
              <w:t>-</w:t>
            </w:r>
            <w:r w:rsidRPr="003C084F">
              <w:rPr>
                <w:sz w:val="17"/>
                <w:szCs w:val="17"/>
              </w:rPr>
              <w:t>wide to 28,000 school heads, 59% of the national cohort.</w:t>
            </w:r>
          </w:p>
        </w:tc>
        <w:tc>
          <w:tcPr>
            <w:tcW w:w="2891" w:type="dxa"/>
          </w:tcPr>
          <w:p w:rsidR="00AA08FD" w:rsidRPr="00AA08FD" w:rsidRDefault="00AA08FD" w:rsidP="00AA08FD">
            <w:pPr>
              <w:keepLines/>
              <w:spacing w:before="0" w:after="40" w:line="200" w:lineRule="atLeast"/>
              <w:rPr>
                <w:rFonts w:eastAsia="Times New Roman"/>
                <w:iCs/>
                <w:sz w:val="17"/>
                <w:szCs w:val="17"/>
              </w:rPr>
            </w:pPr>
            <w:r w:rsidRPr="00AA08FD">
              <w:rPr>
                <w:rFonts w:eastAsia="Times New Roman"/>
                <w:iCs/>
                <w:sz w:val="17"/>
                <w:szCs w:val="17"/>
              </w:rPr>
              <w:t>Data source:</w:t>
            </w:r>
          </w:p>
          <w:p w:rsidR="00AA08FD" w:rsidRDefault="00AA08FD" w:rsidP="00AA08FD">
            <w:pPr>
              <w:keepLines/>
              <w:spacing w:before="0" w:after="40" w:line="200" w:lineRule="atLeast"/>
              <w:rPr>
                <w:rFonts w:eastAsia="Times New Roman"/>
                <w:iCs/>
                <w:sz w:val="17"/>
                <w:szCs w:val="17"/>
              </w:rPr>
            </w:pPr>
            <w:r w:rsidRPr="00AA08FD">
              <w:rPr>
                <w:rFonts w:eastAsia="Times New Roman"/>
                <w:iCs/>
                <w:sz w:val="17"/>
                <w:szCs w:val="17"/>
              </w:rPr>
              <w:t>National Competency Based Standards for School Heads</w:t>
            </w:r>
          </w:p>
          <w:p w:rsidR="00AA08FD" w:rsidRDefault="00AA08FD" w:rsidP="00AA08FD">
            <w:pPr>
              <w:keepLines/>
              <w:spacing w:before="0" w:after="40" w:line="200" w:lineRule="atLeast"/>
              <w:rPr>
                <w:rFonts w:eastAsia="Times New Roman"/>
                <w:iCs/>
                <w:sz w:val="17"/>
                <w:szCs w:val="17"/>
              </w:rPr>
            </w:pPr>
          </w:p>
          <w:p w:rsidR="00AA08FD" w:rsidRPr="004579B4" w:rsidRDefault="00AA08FD" w:rsidP="00AA08FD">
            <w:pPr>
              <w:keepLines/>
              <w:spacing w:before="0" w:after="40" w:line="200" w:lineRule="atLeast"/>
              <w:rPr>
                <w:rFonts w:eastAsia="Times New Roman"/>
                <w:iCs/>
                <w:sz w:val="17"/>
                <w:szCs w:val="17"/>
              </w:rPr>
            </w:pPr>
            <w:r w:rsidRPr="004579B4">
              <w:rPr>
                <w:rFonts w:eastAsia="Times New Roman"/>
                <w:iCs/>
                <w:sz w:val="17"/>
                <w:szCs w:val="17"/>
              </w:rPr>
              <w:t xml:space="preserve">Baseline: </w:t>
            </w:r>
          </w:p>
          <w:p w:rsidR="00070343" w:rsidRPr="002B324F" w:rsidRDefault="00070343" w:rsidP="00070343">
            <w:pPr>
              <w:keepLines/>
              <w:spacing w:before="0" w:after="40" w:line="200" w:lineRule="atLeast"/>
              <w:rPr>
                <w:rFonts w:eastAsia="Times New Roman"/>
                <w:iCs/>
                <w:sz w:val="17"/>
                <w:szCs w:val="17"/>
              </w:rPr>
            </w:pPr>
            <w:r w:rsidRPr="002B324F">
              <w:rPr>
                <w:rFonts w:eastAsia="Times New Roman"/>
                <w:iCs/>
                <w:sz w:val="17"/>
                <w:szCs w:val="17"/>
              </w:rPr>
              <w:t>School Division and School Heads require updated skills in leadership and management to lead education reforms</w:t>
            </w:r>
          </w:p>
        </w:tc>
      </w:tr>
      <w:tr w:rsidR="00070343" w:rsidTr="00A71902">
        <w:tc>
          <w:tcPr>
            <w:tcW w:w="2890" w:type="dxa"/>
            <w:vMerge w:val="restart"/>
          </w:tcPr>
          <w:p w:rsidR="00070343" w:rsidRPr="002B324F" w:rsidRDefault="00070343" w:rsidP="00070343">
            <w:pPr>
              <w:keepLines/>
              <w:spacing w:before="0" w:after="40" w:line="200" w:lineRule="atLeast"/>
              <w:rPr>
                <w:rFonts w:eastAsia="Times New Roman"/>
                <w:iCs/>
                <w:sz w:val="17"/>
                <w:szCs w:val="17"/>
              </w:rPr>
            </w:pPr>
            <w:r w:rsidRPr="002B324F">
              <w:rPr>
                <w:rFonts w:eastAsia="Times New Roman"/>
                <w:b/>
                <w:iCs/>
                <w:sz w:val="17"/>
                <w:szCs w:val="17"/>
              </w:rPr>
              <w:t xml:space="preserve">Outcome 8: </w:t>
            </w:r>
            <w:r w:rsidRPr="002B324F">
              <w:rPr>
                <w:rFonts w:eastAsia="Times New Roman"/>
                <w:iCs/>
                <w:sz w:val="17"/>
                <w:szCs w:val="17"/>
              </w:rPr>
              <w:t>Teachers demonstrate the skills required to teach the K to 12 curriculum to improve the learning outcomes of students in target regions</w:t>
            </w:r>
          </w:p>
        </w:tc>
        <w:tc>
          <w:tcPr>
            <w:tcW w:w="2890" w:type="dxa"/>
          </w:tcPr>
          <w:p w:rsidR="00070343" w:rsidRPr="002B324F" w:rsidRDefault="00070343" w:rsidP="00070343">
            <w:pPr>
              <w:keepLines/>
              <w:spacing w:before="0" w:after="40" w:line="200" w:lineRule="atLeast"/>
              <w:rPr>
                <w:rFonts w:eastAsia="Times New Roman"/>
                <w:iCs/>
                <w:sz w:val="17"/>
                <w:szCs w:val="17"/>
              </w:rPr>
            </w:pPr>
            <w:r>
              <w:rPr>
                <w:rFonts w:eastAsia="Times New Roman"/>
                <w:iCs/>
                <w:sz w:val="17"/>
                <w:szCs w:val="17"/>
              </w:rPr>
              <w:t>T</w:t>
            </w:r>
            <w:r w:rsidRPr="002B324F">
              <w:rPr>
                <w:rFonts w:eastAsia="Times New Roman"/>
                <w:iCs/>
                <w:sz w:val="17"/>
                <w:szCs w:val="17"/>
              </w:rPr>
              <w:t>eachers in target areas have progressively improved skills, knowledge and understanding to teach the new curriculum</w:t>
            </w:r>
          </w:p>
          <w:p w:rsidR="00070343" w:rsidRPr="002B324F" w:rsidRDefault="00070343" w:rsidP="00070343">
            <w:pPr>
              <w:keepLines/>
              <w:spacing w:before="0" w:after="40" w:line="200" w:lineRule="atLeast"/>
              <w:rPr>
                <w:rFonts w:eastAsia="Times New Roman"/>
                <w:iCs/>
                <w:sz w:val="17"/>
                <w:szCs w:val="17"/>
              </w:rPr>
            </w:pPr>
          </w:p>
          <w:p w:rsidR="00070343" w:rsidRPr="002B324F" w:rsidRDefault="00070343" w:rsidP="00070343">
            <w:pPr>
              <w:keepLines/>
              <w:spacing w:before="0" w:after="40" w:line="200" w:lineRule="atLeast"/>
              <w:rPr>
                <w:rFonts w:eastAsia="Times New Roman"/>
                <w:iCs/>
                <w:sz w:val="17"/>
                <w:szCs w:val="17"/>
              </w:rPr>
            </w:pPr>
          </w:p>
          <w:p w:rsidR="00070343" w:rsidRPr="002B324F" w:rsidRDefault="00070343" w:rsidP="00070343">
            <w:pPr>
              <w:keepLines/>
              <w:spacing w:before="0" w:after="40" w:line="200" w:lineRule="atLeast"/>
              <w:rPr>
                <w:rFonts w:eastAsia="Times New Roman"/>
                <w:iCs/>
                <w:sz w:val="17"/>
                <w:szCs w:val="17"/>
              </w:rPr>
            </w:pPr>
          </w:p>
        </w:tc>
        <w:tc>
          <w:tcPr>
            <w:tcW w:w="2890" w:type="dxa"/>
          </w:tcPr>
          <w:p w:rsidR="00070343" w:rsidRPr="002B324F" w:rsidRDefault="00070343" w:rsidP="00070343">
            <w:pPr>
              <w:keepLines/>
              <w:spacing w:before="0" w:after="40" w:line="200" w:lineRule="atLeast"/>
              <w:rPr>
                <w:rFonts w:eastAsia="Times New Roman"/>
                <w:iCs/>
                <w:sz w:val="17"/>
                <w:szCs w:val="17"/>
              </w:rPr>
            </w:pPr>
            <w:r w:rsidRPr="002B324F">
              <w:rPr>
                <w:rFonts w:eastAsia="Times New Roman"/>
                <w:iCs/>
                <w:sz w:val="17"/>
                <w:szCs w:val="17"/>
              </w:rPr>
              <w:t>Developmental National Competency-based Teacher Standards validated and adopted</w:t>
            </w:r>
          </w:p>
          <w:p w:rsidR="00070343" w:rsidRPr="002B324F" w:rsidRDefault="00070343" w:rsidP="00070343">
            <w:pPr>
              <w:keepLines/>
              <w:spacing w:before="0" w:after="40" w:line="200" w:lineRule="atLeast"/>
              <w:rPr>
                <w:rFonts w:eastAsia="Times New Roman"/>
                <w:iCs/>
                <w:sz w:val="17"/>
                <w:szCs w:val="17"/>
              </w:rPr>
            </w:pPr>
            <w:r w:rsidRPr="002B324F">
              <w:rPr>
                <w:rFonts w:eastAsia="Times New Roman"/>
                <w:iCs/>
                <w:sz w:val="17"/>
                <w:szCs w:val="17"/>
              </w:rPr>
              <w:t>DepEd Classroom Assessment Policy implemented and Systems Assessment Framework developed</w:t>
            </w:r>
          </w:p>
          <w:p w:rsidR="00070343" w:rsidRPr="002B324F" w:rsidRDefault="00070343" w:rsidP="00070343">
            <w:pPr>
              <w:keepLines/>
              <w:spacing w:before="0" w:after="40" w:line="200" w:lineRule="atLeast"/>
              <w:rPr>
                <w:rFonts w:eastAsia="Times New Roman"/>
                <w:iCs/>
                <w:sz w:val="17"/>
                <w:szCs w:val="17"/>
              </w:rPr>
            </w:pPr>
          </w:p>
          <w:p w:rsidR="00070343" w:rsidRPr="002B324F" w:rsidRDefault="00070343" w:rsidP="00070343">
            <w:pPr>
              <w:keepLines/>
              <w:spacing w:before="0" w:after="40" w:line="200" w:lineRule="atLeast"/>
              <w:rPr>
                <w:rFonts w:eastAsia="Times New Roman"/>
                <w:iCs/>
                <w:sz w:val="17"/>
                <w:szCs w:val="17"/>
              </w:rPr>
            </w:pPr>
          </w:p>
        </w:tc>
        <w:tc>
          <w:tcPr>
            <w:tcW w:w="2891" w:type="dxa"/>
          </w:tcPr>
          <w:p w:rsidR="007B7A17" w:rsidRDefault="007B7A17" w:rsidP="00CE4DC1">
            <w:pPr>
              <w:keepLines/>
              <w:spacing w:before="0" w:after="40" w:line="200" w:lineRule="atLeast"/>
              <w:rPr>
                <w:sz w:val="17"/>
                <w:szCs w:val="17"/>
              </w:rPr>
            </w:pPr>
            <w:r>
              <w:rPr>
                <w:sz w:val="17"/>
                <w:szCs w:val="17"/>
              </w:rPr>
              <w:t>Knowledge and skill gaps remain, but BEST supported DepEd to develop and implement strategies and tools to strengthen teacher capacities, including:</w:t>
            </w:r>
          </w:p>
          <w:p w:rsidR="00CE4DC1" w:rsidRPr="007B7A17" w:rsidRDefault="007B7A17" w:rsidP="00CE4DC1">
            <w:pPr>
              <w:keepLines/>
              <w:spacing w:before="0" w:after="40" w:line="200" w:lineRule="atLeast"/>
              <w:rPr>
                <w:sz w:val="17"/>
                <w:szCs w:val="17"/>
              </w:rPr>
            </w:pPr>
            <w:r>
              <w:rPr>
                <w:sz w:val="17"/>
                <w:szCs w:val="17"/>
              </w:rPr>
              <w:lastRenderedPageBreak/>
              <w:t>The</w:t>
            </w:r>
            <w:r w:rsidR="00CE4DC1">
              <w:rPr>
                <w:sz w:val="17"/>
                <w:szCs w:val="17"/>
              </w:rPr>
              <w:t xml:space="preserve"> </w:t>
            </w:r>
            <w:r w:rsidR="00CE4DC1" w:rsidRPr="007B7A17">
              <w:rPr>
                <w:sz w:val="17"/>
                <w:szCs w:val="17"/>
              </w:rPr>
              <w:t>Phi</w:t>
            </w:r>
            <w:r w:rsidR="00CE4DC1" w:rsidRPr="00CE4DC1">
              <w:rPr>
                <w:sz w:val="17"/>
                <w:szCs w:val="17"/>
              </w:rPr>
              <w:t xml:space="preserve">lippine Professional Standards </w:t>
            </w:r>
            <w:r w:rsidR="00CE4DC1">
              <w:rPr>
                <w:sz w:val="17"/>
                <w:szCs w:val="17"/>
              </w:rPr>
              <w:t>f</w:t>
            </w:r>
            <w:r w:rsidR="00CE4DC1" w:rsidRPr="007B7A17">
              <w:rPr>
                <w:sz w:val="17"/>
                <w:szCs w:val="17"/>
              </w:rPr>
              <w:t>or Teachers (PPSTs) adopted by the Department of Education</w:t>
            </w:r>
            <w:r w:rsidR="00CE4DC1">
              <w:rPr>
                <w:sz w:val="17"/>
                <w:szCs w:val="17"/>
              </w:rPr>
              <w:t>. The PPSTs s</w:t>
            </w:r>
            <w:r w:rsidR="00CE4DC1" w:rsidRPr="007B7A17">
              <w:rPr>
                <w:sz w:val="17"/>
                <w:szCs w:val="17"/>
              </w:rPr>
              <w:t>et out clear expectations of teachers along well-defined career stages of professional development from beginner to distinguished practice. An assessment framework and tools h</w:t>
            </w:r>
            <w:r w:rsidR="00CE4DC1" w:rsidRPr="00CE4DC1">
              <w:rPr>
                <w:sz w:val="17"/>
                <w:szCs w:val="17"/>
              </w:rPr>
              <w:t xml:space="preserve">ave also been developed with </w:t>
            </w:r>
            <w:r w:rsidR="00CE4DC1">
              <w:rPr>
                <w:sz w:val="17"/>
                <w:szCs w:val="17"/>
              </w:rPr>
              <w:t>BES</w:t>
            </w:r>
            <w:r w:rsidR="00CE4DC1" w:rsidRPr="007B7A17">
              <w:rPr>
                <w:sz w:val="17"/>
                <w:szCs w:val="17"/>
              </w:rPr>
              <w:t>T support. These are being rolled out in 2018 with promotions and salary increments linked to performance against the PPSTs.</w:t>
            </w:r>
          </w:p>
          <w:p w:rsidR="00CE4DC1" w:rsidRPr="007B7A17" w:rsidRDefault="00CE4DC1" w:rsidP="00CE4DC1">
            <w:pPr>
              <w:keepLines/>
              <w:spacing w:before="0" w:after="40" w:line="200" w:lineRule="atLeast"/>
              <w:rPr>
                <w:sz w:val="17"/>
                <w:szCs w:val="17"/>
              </w:rPr>
            </w:pPr>
          </w:p>
          <w:p w:rsidR="00CE4DC1" w:rsidRPr="007B7A17" w:rsidRDefault="00CE4DC1" w:rsidP="00CE4DC1">
            <w:pPr>
              <w:keepLines/>
              <w:spacing w:before="0" w:after="40" w:line="200" w:lineRule="atLeast"/>
              <w:rPr>
                <w:sz w:val="17"/>
                <w:szCs w:val="17"/>
              </w:rPr>
            </w:pPr>
            <w:r w:rsidRPr="007B7A17">
              <w:rPr>
                <w:sz w:val="17"/>
                <w:szCs w:val="17"/>
              </w:rPr>
              <w:t>816 educators trained in core English, Maths, and Science competencies.</w:t>
            </w:r>
          </w:p>
          <w:p w:rsidR="00CE4DC1" w:rsidRPr="00CE4DC1" w:rsidRDefault="00CE4DC1" w:rsidP="00CE4DC1">
            <w:pPr>
              <w:spacing w:after="40" w:line="200" w:lineRule="atLeast"/>
              <w:rPr>
                <w:sz w:val="17"/>
                <w:szCs w:val="17"/>
              </w:rPr>
            </w:pPr>
            <w:r w:rsidRPr="007B7A17">
              <w:rPr>
                <w:sz w:val="17"/>
                <w:szCs w:val="17"/>
              </w:rPr>
              <w:t>17 sets of</w:t>
            </w:r>
            <w:r w:rsidR="00301E24">
              <w:rPr>
                <w:sz w:val="17"/>
                <w:szCs w:val="17"/>
              </w:rPr>
              <w:t xml:space="preserve"> new</w:t>
            </w:r>
            <w:r w:rsidRPr="007B7A17">
              <w:rPr>
                <w:sz w:val="17"/>
                <w:szCs w:val="17"/>
              </w:rPr>
              <w:t xml:space="preserve"> teaching and learning materials </w:t>
            </w:r>
            <w:r w:rsidR="00301E24">
              <w:rPr>
                <w:sz w:val="17"/>
                <w:szCs w:val="17"/>
              </w:rPr>
              <w:t>aligned</w:t>
            </w:r>
            <w:r w:rsidR="007B7A17" w:rsidRPr="00600AC7">
              <w:rPr>
                <w:sz w:val="17"/>
                <w:szCs w:val="17"/>
              </w:rPr>
              <w:t xml:space="preserve"> with the K-12 Curriculum</w:t>
            </w:r>
            <w:r w:rsidR="007B7A17" w:rsidRPr="007B7A17">
              <w:rPr>
                <w:sz w:val="17"/>
                <w:szCs w:val="17"/>
              </w:rPr>
              <w:t xml:space="preserve"> </w:t>
            </w:r>
            <w:r w:rsidRPr="007B7A17">
              <w:rPr>
                <w:sz w:val="17"/>
                <w:szCs w:val="17"/>
              </w:rPr>
              <w:t>finalised.</w:t>
            </w:r>
            <w:r w:rsidRPr="00CE4DC1">
              <w:rPr>
                <w:sz w:val="17"/>
                <w:szCs w:val="17"/>
              </w:rPr>
              <w:t xml:space="preserve"> </w:t>
            </w:r>
          </w:p>
          <w:p w:rsidR="00CE4DC1" w:rsidRPr="00301E24" w:rsidRDefault="00CE4DC1" w:rsidP="00CE4DC1">
            <w:pPr>
              <w:keepLines/>
              <w:spacing w:before="0" w:after="40" w:line="200" w:lineRule="atLeast"/>
              <w:rPr>
                <w:sz w:val="17"/>
                <w:szCs w:val="17"/>
              </w:rPr>
            </w:pPr>
          </w:p>
          <w:p w:rsidR="00070343" w:rsidRPr="002B324F" w:rsidRDefault="00070343" w:rsidP="00070343">
            <w:pPr>
              <w:keepLines/>
              <w:spacing w:before="0" w:after="40" w:line="200" w:lineRule="atLeast"/>
              <w:rPr>
                <w:rFonts w:eastAsia="Times New Roman"/>
                <w:iCs/>
                <w:sz w:val="17"/>
                <w:szCs w:val="17"/>
              </w:rPr>
            </w:pPr>
          </w:p>
        </w:tc>
        <w:tc>
          <w:tcPr>
            <w:tcW w:w="2891" w:type="dxa"/>
          </w:tcPr>
          <w:p w:rsidR="007B7A17" w:rsidRDefault="007B7A17" w:rsidP="00CE4DC1">
            <w:pPr>
              <w:keepLines/>
              <w:spacing w:before="0" w:after="40" w:line="200" w:lineRule="atLeast"/>
              <w:rPr>
                <w:rFonts w:eastAsia="Times New Roman"/>
                <w:iCs/>
                <w:sz w:val="17"/>
                <w:szCs w:val="17"/>
              </w:rPr>
            </w:pPr>
            <w:r>
              <w:rPr>
                <w:rFonts w:eastAsia="Times New Roman"/>
                <w:iCs/>
                <w:sz w:val="17"/>
                <w:szCs w:val="17"/>
              </w:rPr>
              <w:lastRenderedPageBreak/>
              <w:t xml:space="preserve">Data sources: </w:t>
            </w:r>
          </w:p>
          <w:p w:rsidR="00070343" w:rsidRPr="002B324F" w:rsidRDefault="00070343" w:rsidP="00070343">
            <w:pPr>
              <w:keepLines/>
              <w:spacing w:before="0" w:after="40" w:line="200" w:lineRule="atLeast"/>
              <w:rPr>
                <w:rFonts w:eastAsia="Times New Roman"/>
                <w:iCs/>
                <w:sz w:val="17"/>
                <w:szCs w:val="17"/>
              </w:rPr>
            </w:pPr>
            <w:r w:rsidRPr="002B324F">
              <w:rPr>
                <w:rFonts w:eastAsia="Times New Roman"/>
                <w:iCs/>
                <w:sz w:val="17"/>
                <w:szCs w:val="17"/>
              </w:rPr>
              <w:t>BEST M&amp;E Reports</w:t>
            </w:r>
          </w:p>
          <w:p w:rsidR="00070343" w:rsidRPr="002B324F" w:rsidRDefault="00070343" w:rsidP="00070343">
            <w:pPr>
              <w:keepLines/>
              <w:spacing w:before="0" w:after="40" w:line="200" w:lineRule="atLeast"/>
              <w:rPr>
                <w:rFonts w:eastAsia="Times New Roman"/>
                <w:iCs/>
                <w:sz w:val="17"/>
                <w:szCs w:val="17"/>
              </w:rPr>
            </w:pPr>
            <w:r w:rsidRPr="002B324F">
              <w:rPr>
                <w:rFonts w:eastAsia="Times New Roman"/>
                <w:iCs/>
                <w:sz w:val="17"/>
                <w:szCs w:val="17"/>
              </w:rPr>
              <w:t>2018 PISA Results</w:t>
            </w:r>
          </w:p>
          <w:p w:rsidR="00070343" w:rsidRPr="002B324F" w:rsidRDefault="00070343" w:rsidP="00070343">
            <w:pPr>
              <w:keepLines/>
              <w:spacing w:before="0" w:after="40" w:line="200" w:lineRule="atLeast"/>
              <w:rPr>
                <w:rFonts w:eastAsia="Times New Roman"/>
                <w:iCs/>
                <w:sz w:val="17"/>
                <w:szCs w:val="17"/>
              </w:rPr>
            </w:pPr>
            <w:r w:rsidRPr="002B324F">
              <w:rPr>
                <w:rFonts w:eastAsia="Times New Roman"/>
                <w:iCs/>
                <w:sz w:val="17"/>
                <w:szCs w:val="17"/>
              </w:rPr>
              <w:t xml:space="preserve">National Achievement Test Results </w:t>
            </w:r>
          </w:p>
          <w:p w:rsidR="007B7A17" w:rsidRPr="002B324F" w:rsidRDefault="007B7A17" w:rsidP="00CE4DC1">
            <w:pPr>
              <w:keepLines/>
              <w:spacing w:before="0" w:after="40" w:line="200" w:lineRule="atLeast"/>
              <w:rPr>
                <w:rFonts w:eastAsia="Times New Roman"/>
                <w:iCs/>
                <w:sz w:val="17"/>
                <w:szCs w:val="17"/>
              </w:rPr>
            </w:pPr>
            <w:r>
              <w:rPr>
                <w:rFonts w:eastAsia="Times New Roman"/>
                <w:iCs/>
                <w:sz w:val="17"/>
                <w:szCs w:val="17"/>
              </w:rPr>
              <w:t>National Competency Based Teacher Standards (NCBTS)</w:t>
            </w:r>
          </w:p>
          <w:p w:rsidR="00CE4DC1" w:rsidRDefault="00CE4DC1" w:rsidP="00CE4DC1">
            <w:pPr>
              <w:keepLines/>
              <w:spacing w:before="0" w:after="40" w:line="200" w:lineRule="atLeast"/>
              <w:rPr>
                <w:rFonts w:eastAsia="Times New Roman"/>
                <w:iCs/>
                <w:sz w:val="17"/>
                <w:szCs w:val="17"/>
              </w:rPr>
            </w:pPr>
          </w:p>
          <w:p w:rsidR="007B7A17" w:rsidRDefault="007B7A17" w:rsidP="007B7A17">
            <w:pPr>
              <w:keepLines/>
              <w:spacing w:before="0" w:after="40" w:line="200" w:lineRule="atLeast"/>
              <w:rPr>
                <w:rFonts w:eastAsia="Times New Roman"/>
                <w:iCs/>
                <w:sz w:val="17"/>
                <w:szCs w:val="17"/>
              </w:rPr>
            </w:pPr>
            <w:r>
              <w:rPr>
                <w:rFonts w:eastAsia="Times New Roman"/>
                <w:iCs/>
                <w:sz w:val="17"/>
                <w:szCs w:val="17"/>
              </w:rPr>
              <w:t xml:space="preserve">Baseline: </w:t>
            </w:r>
          </w:p>
          <w:p w:rsidR="00070343" w:rsidRPr="002B324F" w:rsidRDefault="007B7A17" w:rsidP="00070343">
            <w:pPr>
              <w:keepLines/>
              <w:spacing w:before="0" w:after="40" w:line="200" w:lineRule="atLeast"/>
              <w:rPr>
                <w:rFonts w:eastAsia="Times New Roman"/>
                <w:iCs/>
                <w:sz w:val="17"/>
                <w:szCs w:val="17"/>
              </w:rPr>
            </w:pPr>
            <w:r>
              <w:rPr>
                <w:rFonts w:eastAsia="Times New Roman"/>
                <w:iCs/>
                <w:sz w:val="17"/>
                <w:szCs w:val="17"/>
              </w:rPr>
              <w:t xml:space="preserve">Teachers exhibit key knowledge and skill gaps hampering their ability to effectively deliver the K-12 curriculum. </w:t>
            </w:r>
          </w:p>
        </w:tc>
      </w:tr>
      <w:tr w:rsidR="00070343" w:rsidTr="00A71902">
        <w:tc>
          <w:tcPr>
            <w:tcW w:w="2890" w:type="dxa"/>
            <w:vMerge/>
          </w:tcPr>
          <w:p w:rsidR="00070343" w:rsidRDefault="00070343" w:rsidP="00070343">
            <w:pPr>
              <w:keepNext/>
              <w:tabs>
                <w:tab w:val="left" w:pos="1560"/>
              </w:tabs>
              <w:spacing w:before="0" w:after="0"/>
              <w:outlineLvl w:val="1"/>
            </w:pPr>
          </w:p>
        </w:tc>
        <w:tc>
          <w:tcPr>
            <w:tcW w:w="2890" w:type="dxa"/>
          </w:tcPr>
          <w:p w:rsidR="00070343" w:rsidRPr="002B324F" w:rsidRDefault="00070343" w:rsidP="00070343">
            <w:pPr>
              <w:keepLines/>
              <w:spacing w:before="0" w:after="40" w:line="200" w:lineRule="atLeast"/>
              <w:rPr>
                <w:rFonts w:eastAsia="Times New Roman"/>
                <w:iCs/>
                <w:sz w:val="17"/>
                <w:szCs w:val="17"/>
              </w:rPr>
            </w:pPr>
            <w:r w:rsidRPr="002B324F">
              <w:rPr>
                <w:rFonts w:eastAsia="Times New Roman"/>
                <w:iCs/>
                <w:sz w:val="17"/>
                <w:szCs w:val="17"/>
              </w:rPr>
              <w:t>Evidence that teachers in target areas are developing professional awareness in order to take ownership of reforms within their own schools</w:t>
            </w:r>
          </w:p>
        </w:tc>
        <w:tc>
          <w:tcPr>
            <w:tcW w:w="2890" w:type="dxa"/>
          </w:tcPr>
          <w:p w:rsidR="00301E24" w:rsidRPr="00301E24" w:rsidRDefault="00301E24" w:rsidP="00301E24">
            <w:pPr>
              <w:keepLines/>
              <w:spacing w:before="0" w:after="40" w:line="200" w:lineRule="atLeast"/>
              <w:rPr>
                <w:rFonts w:eastAsia="Times New Roman"/>
                <w:iCs/>
                <w:sz w:val="17"/>
                <w:szCs w:val="17"/>
              </w:rPr>
            </w:pPr>
            <w:r>
              <w:rPr>
                <w:rFonts w:eastAsia="Times New Roman"/>
                <w:iCs/>
                <w:sz w:val="17"/>
                <w:szCs w:val="17"/>
              </w:rPr>
              <w:t>The e</w:t>
            </w:r>
            <w:r w:rsidRPr="00301E24">
              <w:rPr>
                <w:rFonts w:eastAsia="Times New Roman"/>
                <w:iCs/>
                <w:sz w:val="17"/>
                <w:szCs w:val="17"/>
              </w:rPr>
              <w:t xml:space="preserve">nhanced School Improvement Plan (SIP) policy, supported by </w:t>
            </w:r>
            <w:r>
              <w:rPr>
                <w:rFonts w:eastAsia="Times New Roman"/>
                <w:iCs/>
                <w:sz w:val="17"/>
                <w:szCs w:val="17"/>
              </w:rPr>
              <w:t>BEST</w:t>
            </w:r>
            <w:r w:rsidRPr="00301E24">
              <w:rPr>
                <w:rFonts w:eastAsia="Times New Roman"/>
                <w:iCs/>
                <w:sz w:val="17"/>
                <w:szCs w:val="17"/>
              </w:rPr>
              <w:t>, engages key school stakeholders, including teachers, in the identification of school priorities and the development of school plans to address school issues. This gives authority for school decisions and ownership of school reforms to the school community. As of August 2017, 44, 154 (95%) of schools have been trained on the enhanced SIP process.</w:t>
            </w:r>
          </w:p>
          <w:p w:rsidR="00070343" w:rsidRPr="002B324F" w:rsidRDefault="00070343" w:rsidP="00070343">
            <w:pPr>
              <w:keepLines/>
              <w:spacing w:before="0" w:after="40" w:line="200" w:lineRule="atLeast"/>
              <w:rPr>
                <w:rFonts w:eastAsia="Times New Roman"/>
                <w:iCs/>
                <w:sz w:val="17"/>
                <w:szCs w:val="17"/>
              </w:rPr>
            </w:pPr>
          </w:p>
        </w:tc>
        <w:tc>
          <w:tcPr>
            <w:tcW w:w="2891" w:type="dxa"/>
          </w:tcPr>
          <w:p w:rsidR="00CE4DC1" w:rsidRDefault="00CE4DC1" w:rsidP="00301E24">
            <w:pPr>
              <w:keepLines/>
              <w:spacing w:before="0" w:after="40" w:line="200" w:lineRule="atLeast"/>
              <w:rPr>
                <w:rFonts w:eastAsia="Times New Roman"/>
                <w:iCs/>
                <w:sz w:val="17"/>
                <w:szCs w:val="17"/>
              </w:rPr>
            </w:pPr>
          </w:p>
          <w:p w:rsidR="00070343" w:rsidRPr="002B324F" w:rsidRDefault="00301E24" w:rsidP="00070343">
            <w:pPr>
              <w:keepLines/>
              <w:spacing w:before="0" w:after="40" w:line="200" w:lineRule="atLeast"/>
              <w:rPr>
                <w:rFonts w:eastAsia="Times New Roman"/>
                <w:iCs/>
                <w:sz w:val="17"/>
                <w:szCs w:val="17"/>
              </w:rPr>
            </w:pPr>
            <w:r w:rsidRPr="00301E24">
              <w:rPr>
                <w:rFonts w:eastAsia="Times New Roman"/>
                <w:iCs/>
                <w:sz w:val="17"/>
                <w:szCs w:val="17"/>
              </w:rPr>
              <w:t xml:space="preserve">The enhanced School-Based Management (SBM) framework, supported by </w:t>
            </w:r>
            <w:r>
              <w:rPr>
                <w:rFonts w:eastAsia="Times New Roman"/>
                <w:iCs/>
                <w:sz w:val="17"/>
                <w:szCs w:val="17"/>
              </w:rPr>
              <w:t>BEST</w:t>
            </w:r>
            <w:r w:rsidRPr="00301E24">
              <w:rPr>
                <w:rFonts w:eastAsia="Times New Roman"/>
                <w:iCs/>
                <w:sz w:val="17"/>
                <w:szCs w:val="17"/>
              </w:rPr>
              <w:t>, transfers responsibility for, and decision-making authority over school operations to principals, teachers, parents, students and other school community members. The framework will be promulgated in 2018-2019.</w:t>
            </w:r>
          </w:p>
        </w:tc>
        <w:tc>
          <w:tcPr>
            <w:tcW w:w="2891" w:type="dxa"/>
          </w:tcPr>
          <w:p w:rsidR="00301E24" w:rsidRPr="003C084F" w:rsidRDefault="00070343" w:rsidP="00CE4DC1">
            <w:pPr>
              <w:keepLines/>
              <w:spacing w:before="0" w:after="40" w:line="200" w:lineRule="atLeast"/>
              <w:rPr>
                <w:rFonts w:eastAsia="Times New Roman"/>
                <w:iCs/>
                <w:sz w:val="17"/>
                <w:szCs w:val="17"/>
              </w:rPr>
            </w:pPr>
            <w:r w:rsidRPr="001312E6">
              <w:rPr>
                <w:sz w:val="17"/>
              </w:rPr>
              <w:t>Baseline</w:t>
            </w:r>
            <w:r w:rsidR="00301E24" w:rsidRPr="003C084F">
              <w:rPr>
                <w:rFonts w:eastAsia="Times New Roman"/>
                <w:iCs/>
                <w:sz w:val="17"/>
                <w:szCs w:val="17"/>
              </w:rPr>
              <w:t>:</w:t>
            </w:r>
          </w:p>
          <w:p w:rsidR="00070343" w:rsidRPr="002B324F" w:rsidRDefault="00301E24" w:rsidP="00070343">
            <w:pPr>
              <w:keepLines/>
              <w:spacing w:before="0" w:after="40" w:line="200" w:lineRule="atLeast"/>
              <w:rPr>
                <w:rFonts w:eastAsia="Times New Roman"/>
                <w:iCs/>
                <w:sz w:val="17"/>
                <w:szCs w:val="17"/>
              </w:rPr>
            </w:pPr>
            <w:r w:rsidRPr="003C084F">
              <w:rPr>
                <w:rFonts w:eastAsia="Times New Roman"/>
                <w:iCs/>
                <w:sz w:val="17"/>
                <w:szCs w:val="17"/>
              </w:rPr>
              <w:t>Teachers and school heads not empowered to manage school-level reforms.</w:t>
            </w:r>
          </w:p>
        </w:tc>
      </w:tr>
      <w:tr w:rsidR="00070343" w:rsidTr="00A71902">
        <w:tc>
          <w:tcPr>
            <w:tcW w:w="2890" w:type="dxa"/>
            <w:vMerge/>
          </w:tcPr>
          <w:p w:rsidR="00070343" w:rsidRDefault="00070343" w:rsidP="00070343">
            <w:pPr>
              <w:keepNext/>
              <w:tabs>
                <w:tab w:val="left" w:pos="1560"/>
              </w:tabs>
              <w:spacing w:before="0" w:after="0"/>
              <w:outlineLvl w:val="1"/>
            </w:pPr>
          </w:p>
        </w:tc>
        <w:tc>
          <w:tcPr>
            <w:tcW w:w="2890" w:type="dxa"/>
          </w:tcPr>
          <w:p w:rsidR="00070343" w:rsidRDefault="00070343" w:rsidP="00070343">
            <w:pPr>
              <w:keepLines/>
              <w:spacing w:before="0" w:after="40" w:line="200" w:lineRule="atLeast"/>
              <w:rPr>
                <w:rFonts w:eastAsia="Times New Roman"/>
                <w:iCs/>
                <w:sz w:val="17"/>
                <w:szCs w:val="17"/>
              </w:rPr>
            </w:pPr>
            <w:r>
              <w:rPr>
                <w:rFonts w:eastAsia="Times New Roman"/>
                <w:iCs/>
                <w:sz w:val="17"/>
                <w:szCs w:val="17"/>
              </w:rPr>
              <w:t>Evidence that children have improved learning outcomes in target areas, based on new assessment methods.</w:t>
            </w:r>
          </w:p>
          <w:p w:rsidR="00070343" w:rsidRDefault="00070343" w:rsidP="00070343">
            <w:pPr>
              <w:keepLines/>
              <w:spacing w:before="0" w:after="40" w:line="200" w:lineRule="atLeast"/>
              <w:rPr>
                <w:rFonts w:eastAsia="Times New Roman"/>
                <w:iCs/>
                <w:sz w:val="17"/>
                <w:szCs w:val="17"/>
              </w:rPr>
            </w:pPr>
          </w:p>
          <w:p w:rsidR="00070343" w:rsidRPr="002B324F" w:rsidRDefault="00070343" w:rsidP="00070343">
            <w:pPr>
              <w:keepLines/>
              <w:spacing w:before="0" w:after="40" w:line="200" w:lineRule="atLeast"/>
              <w:rPr>
                <w:rFonts w:eastAsia="Times New Roman"/>
                <w:iCs/>
                <w:sz w:val="17"/>
                <w:szCs w:val="17"/>
              </w:rPr>
            </w:pPr>
            <w:r w:rsidRPr="002B324F">
              <w:rPr>
                <w:rFonts w:eastAsia="Times New Roman"/>
                <w:iCs/>
                <w:sz w:val="17"/>
                <w:szCs w:val="17"/>
              </w:rPr>
              <w:t>Number of teachers trained in order to improve learning outcomes</w:t>
            </w:r>
          </w:p>
        </w:tc>
        <w:tc>
          <w:tcPr>
            <w:tcW w:w="2890" w:type="dxa"/>
          </w:tcPr>
          <w:p w:rsidR="00070343" w:rsidRPr="002B324F" w:rsidRDefault="00070343" w:rsidP="00070343">
            <w:pPr>
              <w:keepLines/>
              <w:spacing w:before="0" w:after="40" w:line="200" w:lineRule="atLeast"/>
              <w:rPr>
                <w:rFonts w:eastAsia="Times New Roman"/>
                <w:iCs/>
                <w:sz w:val="17"/>
                <w:szCs w:val="17"/>
              </w:rPr>
            </w:pPr>
            <w:r w:rsidRPr="002B324F">
              <w:rPr>
                <w:rFonts w:eastAsia="Times New Roman"/>
                <w:iCs/>
                <w:sz w:val="17"/>
                <w:szCs w:val="17"/>
              </w:rPr>
              <w:t>Strategic Master Plan for In Service Teacher Education developed</w:t>
            </w:r>
          </w:p>
          <w:p w:rsidR="00070343" w:rsidRPr="002B324F" w:rsidRDefault="00070343" w:rsidP="00070343">
            <w:pPr>
              <w:keepLines/>
              <w:spacing w:before="0" w:after="40" w:line="200" w:lineRule="atLeast"/>
              <w:rPr>
                <w:rFonts w:eastAsia="Times New Roman"/>
                <w:iCs/>
                <w:sz w:val="17"/>
                <w:szCs w:val="17"/>
              </w:rPr>
            </w:pPr>
            <w:r w:rsidRPr="002B324F">
              <w:rPr>
                <w:rFonts w:eastAsia="Times New Roman"/>
                <w:iCs/>
                <w:sz w:val="17"/>
                <w:szCs w:val="17"/>
              </w:rPr>
              <w:t>Learning Actions Cells set up in selected target areas to enable a school based teacher development</w:t>
            </w:r>
          </w:p>
        </w:tc>
        <w:tc>
          <w:tcPr>
            <w:tcW w:w="2891" w:type="dxa"/>
          </w:tcPr>
          <w:p w:rsidR="00B40811" w:rsidRPr="00B12F32" w:rsidRDefault="00B40811" w:rsidP="00B40811">
            <w:pPr>
              <w:spacing w:after="40" w:line="200" w:lineRule="atLeast"/>
              <w:rPr>
                <w:sz w:val="17"/>
                <w:szCs w:val="17"/>
              </w:rPr>
            </w:pPr>
            <w:r w:rsidRPr="00B40811">
              <w:rPr>
                <w:sz w:val="17"/>
                <w:szCs w:val="17"/>
              </w:rPr>
              <w:t>13 resource packages developed for school-based teacher professional development (Learning Actions Cells) with BEST support, and made available to all public schools through the Learning Resources Portal</w:t>
            </w:r>
          </w:p>
          <w:p w:rsidR="00070343" w:rsidRPr="002B324F" w:rsidRDefault="00070343" w:rsidP="00070343">
            <w:pPr>
              <w:keepLines/>
              <w:spacing w:before="0" w:after="40" w:line="200" w:lineRule="atLeast"/>
              <w:rPr>
                <w:rFonts w:eastAsia="Times New Roman"/>
                <w:iCs/>
                <w:sz w:val="17"/>
                <w:szCs w:val="17"/>
              </w:rPr>
            </w:pPr>
          </w:p>
        </w:tc>
        <w:tc>
          <w:tcPr>
            <w:tcW w:w="2891" w:type="dxa"/>
          </w:tcPr>
          <w:p w:rsidR="00B40811" w:rsidRDefault="00B40811" w:rsidP="00B40811">
            <w:pPr>
              <w:keepLines/>
              <w:spacing w:before="0" w:after="40" w:line="200" w:lineRule="atLeast"/>
              <w:rPr>
                <w:rFonts w:eastAsia="Times New Roman"/>
                <w:iCs/>
                <w:sz w:val="17"/>
                <w:szCs w:val="17"/>
              </w:rPr>
            </w:pPr>
            <w:r>
              <w:rPr>
                <w:rFonts w:eastAsia="Times New Roman"/>
                <w:iCs/>
                <w:sz w:val="17"/>
                <w:szCs w:val="17"/>
              </w:rPr>
              <w:t>Data sources:</w:t>
            </w:r>
          </w:p>
          <w:p w:rsidR="00BE66B6" w:rsidRDefault="00BE66B6" w:rsidP="00070343">
            <w:pPr>
              <w:keepLines/>
              <w:spacing w:before="0" w:after="40" w:line="200" w:lineRule="atLeast"/>
              <w:rPr>
                <w:rFonts w:eastAsia="Times New Roman"/>
                <w:iCs/>
                <w:sz w:val="17"/>
                <w:szCs w:val="17"/>
              </w:rPr>
            </w:pPr>
            <w:r>
              <w:rPr>
                <w:rFonts w:eastAsia="Times New Roman"/>
                <w:iCs/>
                <w:sz w:val="17"/>
                <w:szCs w:val="17"/>
              </w:rPr>
              <w:t xml:space="preserve">RCTQ Teacher development needs assessment study. </w:t>
            </w:r>
          </w:p>
          <w:p w:rsidR="00070343" w:rsidRPr="00BF4477" w:rsidRDefault="00070343" w:rsidP="00070343">
            <w:pPr>
              <w:keepLines/>
              <w:spacing w:before="0" w:after="40" w:line="200" w:lineRule="atLeast"/>
              <w:rPr>
                <w:rFonts w:eastAsia="Times New Roman"/>
                <w:iCs/>
                <w:sz w:val="17"/>
                <w:szCs w:val="17"/>
              </w:rPr>
            </w:pPr>
            <w:r w:rsidRPr="002B324F">
              <w:rPr>
                <w:rFonts w:eastAsia="Times New Roman"/>
                <w:iCs/>
                <w:sz w:val="17"/>
                <w:szCs w:val="17"/>
              </w:rPr>
              <w:t xml:space="preserve">World Bank Assessing Basic Education Service Delivery in the Philippines:  </w:t>
            </w:r>
            <w:r w:rsidRPr="00BF4477">
              <w:rPr>
                <w:rFonts w:eastAsia="Times New Roman"/>
                <w:iCs/>
                <w:sz w:val="17"/>
                <w:szCs w:val="17"/>
              </w:rPr>
              <w:t>Public Education Expenditure Tracking and Quantitative Service Delivery Study</w:t>
            </w:r>
          </w:p>
          <w:p w:rsidR="00B40811" w:rsidRPr="00BF4477" w:rsidRDefault="00B40811" w:rsidP="00CE4DC1">
            <w:pPr>
              <w:keepLines/>
              <w:spacing w:before="0" w:after="40" w:line="200" w:lineRule="atLeast"/>
              <w:rPr>
                <w:rFonts w:eastAsia="Times New Roman"/>
                <w:iCs/>
                <w:sz w:val="17"/>
                <w:szCs w:val="17"/>
              </w:rPr>
            </w:pPr>
            <w:r>
              <w:rPr>
                <w:rFonts w:eastAsia="Times New Roman"/>
                <w:iCs/>
                <w:sz w:val="17"/>
                <w:szCs w:val="17"/>
              </w:rPr>
              <w:t>Baseline:</w:t>
            </w:r>
          </w:p>
          <w:p w:rsidR="00070343" w:rsidRPr="002B324F" w:rsidRDefault="00B40811" w:rsidP="00070343">
            <w:pPr>
              <w:keepLines/>
              <w:spacing w:before="0" w:after="40" w:line="200" w:lineRule="atLeast"/>
              <w:rPr>
                <w:rFonts w:eastAsia="Times New Roman"/>
                <w:iCs/>
                <w:sz w:val="17"/>
                <w:szCs w:val="17"/>
              </w:rPr>
            </w:pPr>
            <w:r>
              <w:rPr>
                <w:rFonts w:eastAsia="Times New Roman"/>
                <w:iCs/>
                <w:sz w:val="17"/>
                <w:szCs w:val="17"/>
              </w:rPr>
              <w:t>T</w:t>
            </w:r>
            <w:r w:rsidR="00CE4DC1" w:rsidRPr="00BF4477">
              <w:rPr>
                <w:rFonts w:eastAsia="Times New Roman"/>
                <w:iCs/>
                <w:sz w:val="17"/>
                <w:szCs w:val="17"/>
              </w:rPr>
              <w:t>eacher</w:t>
            </w:r>
            <w:r w:rsidR="00070343" w:rsidRPr="00BF4477">
              <w:rPr>
                <w:rFonts w:eastAsia="Times New Roman"/>
                <w:iCs/>
                <w:sz w:val="17"/>
                <w:szCs w:val="17"/>
              </w:rPr>
              <w:t xml:space="preserve"> competency </w:t>
            </w:r>
            <w:r>
              <w:rPr>
                <w:rFonts w:eastAsia="Times New Roman"/>
                <w:iCs/>
                <w:sz w:val="17"/>
                <w:szCs w:val="17"/>
              </w:rPr>
              <w:t>weaknesses</w:t>
            </w:r>
            <w:r w:rsidR="00CE4DC1" w:rsidRPr="00BF4477">
              <w:rPr>
                <w:rFonts w:eastAsia="Times New Roman"/>
                <w:iCs/>
                <w:sz w:val="17"/>
                <w:szCs w:val="17"/>
              </w:rPr>
              <w:t xml:space="preserve"> </w:t>
            </w:r>
            <w:r w:rsidR="00070343" w:rsidRPr="00BF4477">
              <w:rPr>
                <w:rFonts w:eastAsia="Times New Roman"/>
                <w:iCs/>
                <w:sz w:val="17"/>
                <w:szCs w:val="17"/>
              </w:rPr>
              <w:t xml:space="preserve">in delivery of maths, English and science </w:t>
            </w:r>
          </w:p>
        </w:tc>
      </w:tr>
      <w:tr w:rsidR="00070343" w:rsidTr="00A71902">
        <w:tc>
          <w:tcPr>
            <w:tcW w:w="2890" w:type="dxa"/>
          </w:tcPr>
          <w:p w:rsidR="00070343" w:rsidRPr="00684F2D" w:rsidRDefault="00070343" w:rsidP="00070343">
            <w:pPr>
              <w:keepLines/>
              <w:spacing w:before="0" w:after="40" w:line="200" w:lineRule="atLeast"/>
              <w:rPr>
                <w:rFonts w:eastAsia="Times New Roman"/>
                <w:iCs/>
                <w:sz w:val="17"/>
                <w:szCs w:val="17"/>
              </w:rPr>
            </w:pPr>
            <w:r w:rsidRPr="00684F2D">
              <w:rPr>
                <w:rFonts w:eastAsia="Times New Roman"/>
                <w:b/>
                <w:iCs/>
                <w:sz w:val="17"/>
                <w:szCs w:val="17"/>
              </w:rPr>
              <w:t xml:space="preserve">Outcome 9: </w:t>
            </w:r>
            <w:r w:rsidRPr="00684F2D">
              <w:rPr>
                <w:rFonts w:eastAsia="Times New Roman"/>
                <w:iCs/>
                <w:sz w:val="17"/>
                <w:szCs w:val="17"/>
              </w:rPr>
              <w:t>Pre-Service Teachers Education consistent with the K to 12 curriculum requirements</w:t>
            </w:r>
          </w:p>
        </w:tc>
        <w:tc>
          <w:tcPr>
            <w:tcW w:w="2890" w:type="dxa"/>
          </w:tcPr>
          <w:p w:rsidR="00070343" w:rsidRDefault="00070343" w:rsidP="00070343">
            <w:pPr>
              <w:keepLines/>
              <w:spacing w:before="0" w:after="40" w:line="200" w:lineRule="atLeast"/>
              <w:rPr>
                <w:rFonts w:eastAsia="Times New Roman"/>
                <w:iCs/>
                <w:sz w:val="17"/>
                <w:szCs w:val="17"/>
              </w:rPr>
            </w:pPr>
            <w:r>
              <w:rPr>
                <w:rFonts w:eastAsia="Times New Roman"/>
                <w:iCs/>
                <w:sz w:val="17"/>
                <w:szCs w:val="17"/>
              </w:rPr>
              <w:t>N</w:t>
            </w:r>
            <w:r w:rsidRPr="00684F2D">
              <w:rPr>
                <w:rFonts w:eastAsia="Times New Roman"/>
                <w:iCs/>
                <w:sz w:val="17"/>
                <w:szCs w:val="17"/>
              </w:rPr>
              <w:t>ew pre-service teacher education curriculum used by selected Teacher Education Institutions</w:t>
            </w:r>
          </w:p>
          <w:p w:rsidR="00070343" w:rsidRDefault="00070343" w:rsidP="00070343">
            <w:pPr>
              <w:keepLines/>
              <w:spacing w:before="0" w:after="40" w:line="200" w:lineRule="atLeast"/>
              <w:rPr>
                <w:rFonts w:eastAsia="Times New Roman"/>
                <w:iCs/>
                <w:sz w:val="17"/>
                <w:szCs w:val="17"/>
              </w:rPr>
            </w:pPr>
          </w:p>
          <w:p w:rsidR="00070343" w:rsidRDefault="00070343" w:rsidP="00070343">
            <w:pPr>
              <w:keepLines/>
              <w:spacing w:before="0" w:after="40" w:line="200" w:lineRule="atLeast"/>
              <w:rPr>
                <w:rFonts w:eastAsia="Times New Roman"/>
                <w:iCs/>
                <w:sz w:val="17"/>
                <w:szCs w:val="17"/>
              </w:rPr>
            </w:pPr>
            <w:r>
              <w:rPr>
                <w:rFonts w:eastAsia="Times New Roman"/>
                <w:iCs/>
                <w:sz w:val="17"/>
                <w:szCs w:val="17"/>
              </w:rPr>
              <w:t>New routes into teacher training developed</w:t>
            </w:r>
          </w:p>
          <w:p w:rsidR="00070343" w:rsidRDefault="00070343" w:rsidP="00070343">
            <w:pPr>
              <w:keepLines/>
              <w:spacing w:before="0" w:after="40" w:line="200" w:lineRule="atLeast"/>
              <w:rPr>
                <w:rFonts w:eastAsia="Times New Roman"/>
                <w:iCs/>
                <w:sz w:val="17"/>
                <w:szCs w:val="17"/>
              </w:rPr>
            </w:pPr>
          </w:p>
          <w:p w:rsidR="00070343" w:rsidRPr="002B324F" w:rsidRDefault="00070343" w:rsidP="00070343">
            <w:pPr>
              <w:keepLines/>
              <w:spacing w:before="0" w:after="40" w:line="200" w:lineRule="atLeast"/>
              <w:rPr>
                <w:rFonts w:eastAsia="Times New Roman"/>
                <w:iCs/>
                <w:sz w:val="17"/>
                <w:szCs w:val="17"/>
              </w:rPr>
            </w:pPr>
            <w:r>
              <w:rPr>
                <w:rFonts w:eastAsia="Times New Roman"/>
                <w:iCs/>
                <w:sz w:val="17"/>
                <w:szCs w:val="17"/>
              </w:rPr>
              <w:t>Career pathway accreditation for teachers developed</w:t>
            </w:r>
          </w:p>
        </w:tc>
        <w:tc>
          <w:tcPr>
            <w:tcW w:w="2890" w:type="dxa"/>
          </w:tcPr>
          <w:p w:rsidR="00070343" w:rsidRDefault="00070343" w:rsidP="00070343">
            <w:pPr>
              <w:keepLines/>
              <w:spacing w:before="0" w:after="40" w:line="200" w:lineRule="atLeast"/>
              <w:rPr>
                <w:rFonts w:eastAsia="Times New Roman"/>
                <w:iCs/>
                <w:sz w:val="17"/>
                <w:szCs w:val="17"/>
              </w:rPr>
            </w:pPr>
            <w:r w:rsidRPr="00684F2D">
              <w:rPr>
                <w:rFonts w:eastAsia="Times New Roman"/>
                <w:iCs/>
                <w:sz w:val="17"/>
                <w:szCs w:val="17"/>
              </w:rPr>
              <w:t>New Pre-Service Teacher Standards policy adopted</w:t>
            </w:r>
          </w:p>
          <w:p w:rsidR="00070343" w:rsidRPr="00684F2D" w:rsidRDefault="00070343" w:rsidP="00070343">
            <w:pPr>
              <w:keepLines/>
              <w:spacing w:before="0" w:after="40" w:line="200" w:lineRule="atLeast"/>
              <w:rPr>
                <w:rFonts w:eastAsia="Times New Roman"/>
                <w:iCs/>
                <w:sz w:val="17"/>
                <w:szCs w:val="17"/>
              </w:rPr>
            </w:pPr>
          </w:p>
          <w:p w:rsidR="00070343" w:rsidRPr="002B324F" w:rsidRDefault="00B37A4C" w:rsidP="00070343">
            <w:pPr>
              <w:keepLines/>
              <w:spacing w:before="0" w:after="40" w:line="200" w:lineRule="atLeast"/>
              <w:rPr>
                <w:rFonts w:eastAsia="Times New Roman"/>
                <w:iCs/>
                <w:sz w:val="17"/>
                <w:szCs w:val="17"/>
              </w:rPr>
            </w:pPr>
            <w:r>
              <w:rPr>
                <w:rFonts w:eastAsia="Times New Roman"/>
                <w:iCs/>
                <w:sz w:val="17"/>
                <w:szCs w:val="17"/>
              </w:rPr>
              <w:t>P</w:t>
            </w:r>
            <w:r w:rsidR="00CE4DC1" w:rsidRPr="00684F2D">
              <w:rPr>
                <w:rFonts w:eastAsia="Times New Roman"/>
                <w:iCs/>
                <w:sz w:val="17"/>
                <w:szCs w:val="17"/>
              </w:rPr>
              <w:t>rototype</w:t>
            </w:r>
            <w:r w:rsidR="00070343" w:rsidRPr="00684F2D">
              <w:rPr>
                <w:rFonts w:eastAsia="Times New Roman"/>
                <w:iCs/>
                <w:sz w:val="17"/>
                <w:szCs w:val="17"/>
              </w:rPr>
              <w:t xml:space="preserve"> course syllabi for Mathematics, Science, and English </w:t>
            </w:r>
            <w:r>
              <w:rPr>
                <w:rFonts w:eastAsia="Times New Roman"/>
                <w:iCs/>
                <w:sz w:val="17"/>
                <w:szCs w:val="17"/>
              </w:rPr>
              <w:t>aligned with o</w:t>
            </w:r>
            <w:r w:rsidRPr="00684F2D">
              <w:rPr>
                <w:rFonts w:eastAsia="Times New Roman"/>
                <w:iCs/>
                <w:sz w:val="17"/>
                <w:szCs w:val="17"/>
              </w:rPr>
              <w:t>utcomes-based Pre-service Teacher Education Curriculum</w:t>
            </w:r>
            <w:r w:rsidR="00070343" w:rsidRPr="00684F2D">
              <w:rPr>
                <w:rFonts w:eastAsia="Times New Roman"/>
                <w:iCs/>
                <w:sz w:val="17"/>
                <w:szCs w:val="17"/>
              </w:rPr>
              <w:t xml:space="preserve"> developed</w:t>
            </w:r>
          </w:p>
        </w:tc>
        <w:tc>
          <w:tcPr>
            <w:tcW w:w="2891" w:type="dxa"/>
          </w:tcPr>
          <w:p w:rsidR="00B37A4C" w:rsidRPr="00B12F32" w:rsidRDefault="00070343" w:rsidP="00B37A4C">
            <w:pPr>
              <w:pStyle w:val="CommentText"/>
              <w:rPr>
                <w:sz w:val="17"/>
                <w:szCs w:val="17"/>
              </w:rPr>
            </w:pPr>
            <w:r w:rsidRPr="00684F2D">
              <w:rPr>
                <w:rFonts w:eastAsia="Times New Roman"/>
                <w:iCs/>
                <w:sz w:val="17"/>
                <w:szCs w:val="17"/>
              </w:rPr>
              <w:t>Curriculum framework for outcomes-based graduate teac</w:t>
            </w:r>
            <w:r>
              <w:rPr>
                <w:rFonts w:eastAsia="Times New Roman"/>
                <w:iCs/>
                <w:sz w:val="17"/>
                <w:szCs w:val="17"/>
              </w:rPr>
              <w:t xml:space="preserve">her education program </w:t>
            </w:r>
            <w:r w:rsidRPr="001312E6">
              <w:rPr>
                <w:rFonts w:eastAsia="Times New Roman"/>
                <w:iCs/>
                <w:sz w:val="17"/>
                <w:szCs w:val="17"/>
              </w:rPr>
              <w:t>developed</w:t>
            </w:r>
            <w:r w:rsidR="00B37A4C" w:rsidRPr="001312E6">
              <w:rPr>
                <w:sz w:val="17"/>
                <w:szCs w:val="17"/>
              </w:rPr>
              <w:t xml:space="preserve"> Prototype course syllabi for mathematics, science, and English to be finalised in 2018-19.</w:t>
            </w:r>
          </w:p>
          <w:p w:rsidR="00070343" w:rsidRDefault="00070343" w:rsidP="00070343">
            <w:pPr>
              <w:keepLines/>
              <w:spacing w:before="0" w:after="40" w:line="200" w:lineRule="atLeast"/>
              <w:rPr>
                <w:rFonts w:eastAsia="Times New Roman"/>
                <w:iCs/>
                <w:sz w:val="17"/>
                <w:szCs w:val="17"/>
              </w:rPr>
            </w:pPr>
          </w:p>
          <w:p w:rsidR="00070343" w:rsidRPr="00684F2D" w:rsidRDefault="00070343" w:rsidP="00070343">
            <w:pPr>
              <w:keepLines/>
              <w:spacing w:before="0" w:after="40" w:line="200" w:lineRule="atLeast"/>
              <w:rPr>
                <w:rFonts w:eastAsia="Times New Roman"/>
                <w:iCs/>
                <w:sz w:val="17"/>
                <w:szCs w:val="17"/>
              </w:rPr>
            </w:pPr>
            <w:r w:rsidRPr="00684F2D">
              <w:rPr>
                <w:rFonts w:eastAsia="Times New Roman"/>
                <w:iCs/>
                <w:sz w:val="17"/>
                <w:szCs w:val="17"/>
              </w:rPr>
              <w:t xml:space="preserve">Pre-service teacher education </w:t>
            </w:r>
            <w:r w:rsidR="00CE4DC1" w:rsidRPr="00684F2D">
              <w:rPr>
                <w:rFonts w:eastAsia="Times New Roman"/>
                <w:iCs/>
                <w:sz w:val="17"/>
                <w:szCs w:val="17"/>
              </w:rPr>
              <w:t>curricul</w:t>
            </w:r>
            <w:r w:rsidR="00B37A4C">
              <w:rPr>
                <w:rFonts w:eastAsia="Times New Roman"/>
                <w:iCs/>
                <w:sz w:val="17"/>
                <w:szCs w:val="17"/>
              </w:rPr>
              <w:t>a</w:t>
            </w:r>
            <w:r w:rsidRPr="00684F2D">
              <w:rPr>
                <w:rFonts w:eastAsia="Times New Roman"/>
                <w:iCs/>
                <w:sz w:val="17"/>
                <w:szCs w:val="17"/>
              </w:rPr>
              <w:t xml:space="preserve"> reviewed by </w:t>
            </w:r>
            <w:r w:rsidR="00B37A4C">
              <w:rPr>
                <w:rFonts w:eastAsia="Times New Roman"/>
                <w:iCs/>
                <w:sz w:val="17"/>
                <w:szCs w:val="17"/>
              </w:rPr>
              <w:t xml:space="preserve">30 leading </w:t>
            </w:r>
            <w:r w:rsidRPr="00684F2D">
              <w:rPr>
                <w:rFonts w:eastAsia="Times New Roman"/>
                <w:iCs/>
                <w:sz w:val="17"/>
                <w:szCs w:val="17"/>
              </w:rPr>
              <w:t xml:space="preserve"> Teacher Education Institutions</w:t>
            </w:r>
          </w:p>
          <w:p w:rsidR="00B40811" w:rsidRPr="00B12F32" w:rsidRDefault="00B40811" w:rsidP="00B40811">
            <w:pPr>
              <w:keepLines/>
              <w:spacing w:before="0" w:after="40" w:line="200" w:lineRule="atLeast"/>
              <w:rPr>
                <w:rFonts w:eastAsia="Times New Roman"/>
                <w:iCs/>
                <w:sz w:val="17"/>
                <w:szCs w:val="17"/>
                <w:highlight w:val="cyan"/>
              </w:rPr>
            </w:pPr>
          </w:p>
          <w:p w:rsidR="00070343" w:rsidRPr="002B324F" w:rsidRDefault="00070343" w:rsidP="00070343">
            <w:pPr>
              <w:keepLines/>
              <w:spacing w:before="0" w:after="40" w:line="200" w:lineRule="atLeast"/>
              <w:rPr>
                <w:rFonts w:eastAsia="Times New Roman"/>
                <w:iCs/>
                <w:sz w:val="17"/>
                <w:szCs w:val="17"/>
              </w:rPr>
            </w:pPr>
          </w:p>
        </w:tc>
        <w:tc>
          <w:tcPr>
            <w:tcW w:w="2891" w:type="dxa"/>
          </w:tcPr>
          <w:p w:rsidR="00B40811" w:rsidRDefault="00B40811" w:rsidP="00CE4DC1">
            <w:pPr>
              <w:keepLines/>
              <w:spacing w:before="0" w:after="40" w:line="200" w:lineRule="atLeast"/>
              <w:rPr>
                <w:rFonts w:eastAsia="Times New Roman"/>
                <w:iCs/>
                <w:sz w:val="17"/>
                <w:szCs w:val="17"/>
              </w:rPr>
            </w:pPr>
            <w:r>
              <w:rPr>
                <w:rFonts w:eastAsia="Times New Roman"/>
                <w:iCs/>
                <w:sz w:val="17"/>
                <w:szCs w:val="17"/>
              </w:rPr>
              <w:t xml:space="preserve">Data sources: </w:t>
            </w:r>
          </w:p>
          <w:p w:rsidR="00070343" w:rsidRPr="00684F2D" w:rsidRDefault="00070343" w:rsidP="00070343">
            <w:pPr>
              <w:keepLines/>
              <w:spacing w:before="0" w:after="40" w:line="200" w:lineRule="atLeast"/>
              <w:rPr>
                <w:rFonts w:eastAsia="Times New Roman"/>
                <w:iCs/>
                <w:sz w:val="17"/>
                <w:szCs w:val="17"/>
              </w:rPr>
            </w:pPr>
            <w:r w:rsidRPr="00684F2D">
              <w:rPr>
                <w:rFonts w:eastAsia="Times New Roman"/>
                <w:iCs/>
                <w:sz w:val="17"/>
                <w:szCs w:val="17"/>
              </w:rPr>
              <w:t>BEST M&amp;E Reports</w:t>
            </w:r>
          </w:p>
          <w:p w:rsidR="00070343" w:rsidRPr="00684F2D" w:rsidRDefault="00070343" w:rsidP="00070343">
            <w:pPr>
              <w:keepLines/>
              <w:spacing w:before="0" w:after="40" w:line="200" w:lineRule="atLeast"/>
              <w:rPr>
                <w:rFonts w:eastAsia="Times New Roman"/>
                <w:iCs/>
                <w:sz w:val="17"/>
                <w:szCs w:val="17"/>
              </w:rPr>
            </w:pPr>
            <w:r w:rsidRPr="00684F2D">
              <w:rPr>
                <w:rFonts w:eastAsia="Times New Roman"/>
                <w:iCs/>
                <w:sz w:val="17"/>
                <w:szCs w:val="17"/>
              </w:rPr>
              <w:t>Teacher Quality, Study School Effectiveness Study</w:t>
            </w:r>
          </w:p>
          <w:p w:rsidR="00B37A4C" w:rsidRPr="00684F2D" w:rsidRDefault="00B37A4C" w:rsidP="00CE4DC1">
            <w:pPr>
              <w:keepLines/>
              <w:spacing w:before="0" w:after="40" w:line="200" w:lineRule="atLeast"/>
              <w:rPr>
                <w:rFonts w:eastAsia="Times New Roman"/>
                <w:iCs/>
                <w:sz w:val="17"/>
                <w:szCs w:val="17"/>
              </w:rPr>
            </w:pPr>
          </w:p>
          <w:p w:rsidR="00B37A4C" w:rsidRDefault="00070343" w:rsidP="00CE4DC1">
            <w:pPr>
              <w:keepLines/>
              <w:spacing w:before="0" w:after="40" w:line="200" w:lineRule="atLeast"/>
              <w:rPr>
                <w:rFonts w:eastAsia="Times New Roman"/>
                <w:iCs/>
                <w:sz w:val="17"/>
                <w:szCs w:val="17"/>
              </w:rPr>
            </w:pPr>
            <w:r w:rsidRPr="00684F2D">
              <w:rPr>
                <w:rFonts w:eastAsia="Times New Roman"/>
                <w:iCs/>
                <w:sz w:val="17"/>
                <w:szCs w:val="17"/>
              </w:rPr>
              <w:t xml:space="preserve">Baseline: </w:t>
            </w:r>
          </w:p>
          <w:p w:rsidR="00070343" w:rsidRDefault="00070343" w:rsidP="00070343">
            <w:pPr>
              <w:keepLines/>
              <w:spacing w:before="0" w:after="40" w:line="200" w:lineRule="atLeast"/>
              <w:rPr>
                <w:rFonts w:eastAsia="Times New Roman"/>
                <w:iCs/>
                <w:sz w:val="17"/>
                <w:szCs w:val="17"/>
              </w:rPr>
            </w:pPr>
            <w:r w:rsidRPr="00684F2D">
              <w:rPr>
                <w:rFonts w:eastAsia="Times New Roman"/>
                <w:iCs/>
                <w:sz w:val="17"/>
                <w:szCs w:val="17"/>
              </w:rPr>
              <w:t>Pre-service teacher standards are not differentiated from in-service standards</w:t>
            </w:r>
          </w:p>
          <w:p w:rsidR="00070343" w:rsidRPr="002B324F" w:rsidRDefault="00070343" w:rsidP="00070343">
            <w:pPr>
              <w:keepLines/>
              <w:spacing w:before="0" w:after="40" w:line="200" w:lineRule="atLeast"/>
              <w:rPr>
                <w:rFonts w:eastAsia="Times New Roman"/>
                <w:iCs/>
                <w:sz w:val="17"/>
                <w:szCs w:val="17"/>
              </w:rPr>
            </w:pPr>
            <w:r w:rsidRPr="00684F2D">
              <w:rPr>
                <w:rFonts w:eastAsia="Times New Roman"/>
                <w:iCs/>
                <w:sz w:val="17"/>
                <w:szCs w:val="17"/>
              </w:rPr>
              <w:t>Pre-service curriculum is outdated and does not reflect requirements for teaching the K-12 curriculum</w:t>
            </w:r>
          </w:p>
        </w:tc>
      </w:tr>
    </w:tbl>
    <w:p w:rsidR="00A71902" w:rsidRDefault="00A71902" w:rsidP="00483FC0">
      <w:pPr>
        <w:keepNext/>
        <w:tabs>
          <w:tab w:val="left" w:pos="1560"/>
        </w:tabs>
        <w:spacing w:before="0" w:after="0"/>
        <w:outlineLvl w:val="1"/>
      </w:pPr>
    </w:p>
    <w:tbl>
      <w:tblPr>
        <w:tblStyle w:val="TableGrid"/>
        <w:tblW w:w="0" w:type="auto"/>
        <w:tblLook w:val="04A0" w:firstRow="1" w:lastRow="0" w:firstColumn="1" w:lastColumn="0" w:noHBand="0" w:noVBand="1"/>
      </w:tblPr>
      <w:tblGrid>
        <w:gridCol w:w="2890"/>
        <w:gridCol w:w="2890"/>
        <w:gridCol w:w="2890"/>
        <w:gridCol w:w="2891"/>
        <w:gridCol w:w="2891"/>
      </w:tblGrid>
      <w:tr w:rsidR="00E12348" w:rsidTr="00622BA2">
        <w:trPr>
          <w:tblHeader/>
        </w:trPr>
        <w:tc>
          <w:tcPr>
            <w:tcW w:w="2890" w:type="dxa"/>
          </w:tcPr>
          <w:p w:rsidR="00E12348" w:rsidRPr="002B324F" w:rsidRDefault="00E12348" w:rsidP="00622BA2">
            <w:pPr>
              <w:keepLines/>
              <w:spacing w:before="20" w:after="20" w:line="200" w:lineRule="atLeast"/>
              <w:jc w:val="center"/>
              <w:rPr>
                <w:rFonts w:eastAsia="Times New Roman"/>
                <w:b/>
                <w:iCs/>
                <w:smallCaps/>
                <w:sz w:val="18"/>
                <w:szCs w:val="18"/>
              </w:rPr>
            </w:pPr>
            <w:r>
              <w:rPr>
                <w:b/>
                <w:sz w:val="18"/>
                <w:szCs w:val="18"/>
              </w:rPr>
              <w:t>Australia’s Aid Objective 2</w:t>
            </w:r>
          </w:p>
        </w:tc>
        <w:tc>
          <w:tcPr>
            <w:tcW w:w="11562" w:type="dxa"/>
            <w:gridSpan w:val="4"/>
            <w:vAlign w:val="center"/>
          </w:tcPr>
          <w:p w:rsidR="00E12348" w:rsidRPr="002B324F" w:rsidRDefault="00E12348" w:rsidP="00622BA2">
            <w:pPr>
              <w:keepLines/>
              <w:spacing w:before="20" w:after="20" w:line="200" w:lineRule="atLeast"/>
              <w:jc w:val="center"/>
              <w:rPr>
                <w:rFonts w:eastAsia="Times New Roman"/>
                <w:b/>
                <w:iCs/>
                <w:sz w:val="18"/>
                <w:szCs w:val="18"/>
              </w:rPr>
            </w:pPr>
            <w:r w:rsidRPr="00E12348">
              <w:rPr>
                <w:b/>
                <w:sz w:val="18"/>
                <w:szCs w:val="18"/>
              </w:rPr>
              <w:t>BUILDING STRONGER INSTITUTIONS FOR TRANSPARENT AND ACCOUNTABLE GOVERNANCE</w:t>
            </w:r>
          </w:p>
        </w:tc>
      </w:tr>
      <w:tr w:rsidR="00E12348" w:rsidTr="00622BA2">
        <w:trPr>
          <w:tblHeader/>
        </w:trPr>
        <w:tc>
          <w:tcPr>
            <w:tcW w:w="2890" w:type="dxa"/>
          </w:tcPr>
          <w:p w:rsidR="00E12348" w:rsidRPr="002B324F" w:rsidRDefault="00E12348" w:rsidP="00622BA2">
            <w:pPr>
              <w:keepLines/>
              <w:spacing w:before="20" w:after="20" w:line="200" w:lineRule="atLeast"/>
              <w:jc w:val="center"/>
              <w:rPr>
                <w:b/>
                <w:sz w:val="18"/>
                <w:szCs w:val="18"/>
              </w:rPr>
            </w:pPr>
          </w:p>
        </w:tc>
        <w:tc>
          <w:tcPr>
            <w:tcW w:w="2890" w:type="dxa"/>
          </w:tcPr>
          <w:p w:rsidR="00E12348" w:rsidRPr="002B324F" w:rsidRDefault="00E12348" w:rsidP="00622BA2">
            <w:pPr>
              <w:keepLines/>
              <w:spacing w:before="20" w:after="20" w:line="200" w:lineRule="atLeast"/>
              <w:jc w:val="center"/>
              <w:rPr>
                <w:b/>
                <w:sz w:val="18"/>
                <w:szCs w:val="18"/>
              </w:rPr>
            </w:pPr>
          </w:p>
        </w:tc>
        <w:tc>
          <w:tcPr>
            <w:tcW w:w="8672" w:type="dxa"/>
            <w:gridSpan w:val="3"/>
          </w:tcPr>
          <w:p w:rsidR="00E12348" w:rsidRPr="002B324F" w:rsidRDefault="00E12348" w:rsidP="00622BA2">
            <w:pPr>
              <w:keepLines/>
              <w:spacing w:before="20" w:after="20" w:line="200" w:lineRule="atLeast"/>
              <w:jc w:val="center"/>
              <w:rPr>
                <w:b/>
                <w:sz w:val="18"/>
                <w:szCs w:val="18"/>
              </w:rPr>
            </w:pPr>
            <w:r w:rsidRPr="002B324F">
              <w:rPr>
                <w:b/>
                <w:iCs/>
                <w:sz w:val="18"/>
                <w:szCs w:val="18"/>
              </w:rPr>
              <w:t>Annual Progress Targets/Milestones</w:t>
            </w:r>
          </w:p>
        </w:tc>
      </w:tr>
      <w:tr w:rsidR="00E12348" w:rsidTr="00622BA2">
        <w:trPr>
          <w:tblHeader/>
        </w:trPr>
        <w:tc>
          <w:tcPr>
            <w:tcW w:w="2890" w:type="dxa"/>
          </w:tcPr>
          <w:p w:rsidR="00E12348" w:rsidRPr="002B324F" w:rsidRDefault="00E12348" w:rsidP="00622BA2">
            <w:pPr>
              <w:keepLines/>
              <w:spacing w:before="20" w:after="20" w:line="200" w:lineRule="atLeast"/>
              <w:jc w:val="center"/>
              <w:rPr>
                <w:b/>
                <w:sz w:val="18"/>
                <w:szCs w:val="18"/>
              </w:rPr>
            </w:pPr>
            <w:r w:rsidRPr="002B324F">
              <w:rPr>
                <w:b/>
                <w:sz w:val="18"/>
                <w:szCs w:val="18"/>
              </w:rPr>
              <w:t>Intermediate outcome</w:t>
            </w:r>
          </w:p>
        </w:tc>
        <w:tc>
          <w:tcPr>
            <w:tcW w:w="2890" w:type="dxa"/>
          </w:tcPr>
          <w:p w:rsidR="00E12348" w:rsidRPr="002B324F" w:rsidRDefault="00E12348" w:rsidP="00622BA2">
            <w:pPr>
              <w:keepLines/>
              <w:spacing w:before="20" w:after="20" w:line="200" w:lineRule="atLeast"/>
              <w:jc w:val="center"/>
              <w:rPr>
                <w:b/>
                <w:sz w:val="18"/>
                <w:szCs w:val="18"/>
              </w:rPr>
            </w:pPr>
            <w:r w:rsidRPr="002B324F">
              <w:rPr>
                <w:b/>
                <w:sz w:val="18"/>
                <w:szCs w:val="18"/>
              </w:rPr>
              <w:t>Intermediate outcome indicators</w:t>
            </w:r>
          </w:p>
        </w:tc>
        <w:tc>
          <w:tcPr>
            <w:tcW w:w="2890" w:type="dxa"/>
          </w:tcPr>
          <w:p w:rsidR="00E12348" w:rsidRPr="002B324F" w:rsidRDefault="00E12348" w:rsidP="00622BA2">
            <w:pPr>
              <w:keepLines/>
              <w:spacing w:before="20" w:after="20" w:line="200" w:lineRule="atLeast"/>
              <w:jc w:val="center"/>
              <w:rPr>
                <w:b/>
                <w:sz w:val="18"/>
                <w:szCs w:val="18"/>
              </w:rPr>
            </w:pPr>
            <w:r w:rsidRPr="002B324F">
              <w:rPr>
                <w:b/>
                <w:sz w:val="18"/>
                <w:szCs w:val="18"/>
              </w:rPr>
              <w:t>2016-17</w:t>
            </w:r>
          </w:p>
        </w:tc>
        <w:tc>
          <w:tcPr>
            <w:tcW w:w="2891" w:type="dxa"/>
          </w:tcPr>
          <w:p w:rsidR="00E12348" w:rsidRPr="002B324F" w:rsidRDefault="00E12348" w:rsidP="00622BA2">
            <w:pPr>
              <w:keepLines/>
              <w:spacing w:before="20" w:after="20" w:line="200" w:lineRule="atLeast"/>
              <w:jc w:val="center"/>
              <w:rPr>
                <w:b/>
                <w:sz w:val="18"/>
                <w:szCs w:val="18"/>
              </w:rPr>
            </w:pPr>
            <w:r w:rsidRPr="002B324F">
              <w:rPr>
                <w:b/>
                <w:sz w:val="18"/>
                <w:szCs w:val="18"/>
              </w:rPr>
              <w:t>2017-18</w:t>
            </w:r>
          </w:p>
        </w:tc>
        <w:tc>
          <w:tcPr>
            <w:tcW w:w="2891" w:type="dxa"/>
          </w:tcPr>
          <w:p w:rsidR="00E12348" w:rsidRPr="002B324F" w:rsidRDefault="00E12348" w:rsidP="00622BA2">
            <w:pPr>
              <w:keepLines/>
              <w:spacing w:before="20" w:after="20" w:line="200" w:lineRule="atLeast"/>
              <w:jc w:val="center"/>
              <w:rPr>
                <w:b/>
                <w:sz w:val="18"/>
                <w:szCs w:val="18"/>
              </w:rPr>
            </w:pPr>
            <w:r w:rsidRPr="002B324F">
              <w:rPr>
                <w:b/>
                <w:sz w:val="18"/>
                <w:szCs w:val="18"/>
              </w:rPr>
              <w:t>Data source and baseline</w:t>
            </w:r>
          </w:p>
        </w:tc>
      </w:tr>
      <w:tr w:rsidR="00E12348" w:rsidTr="00622BA2">
        <w:tc>
          <w:tcPr>
            <w:tcW w:w="2890" w:type="dxa"/>
          </w:tcPr>
          <w:p w:rsidR="00E12348" w:rsidRPr="00E12348" w:rsidRDefault="00E12348" w:rsidP="00E12348">
            <w:pPr>
              <w:keepLines/>
              <w:spacing w:before="0" w:after="40" w:line="200" w:lineRule="atLeast"/>
              <w:rPr>
                <w:rFonts w:eastAsia="Times New Roman"/>
                <w:iCs/>
                <w:sz w:val="17"/>
                <w:szCs w:val="17"/>
              </w:rPr>
            </w:pPr>
            <w:r w:rsidRPr="00E12348">
              <w:rPr>
                <w:rFonts w:eastAsia="Times New Roman"/>
                <w:b/>
                <w:iCs/>
                <w:sz w:val="17"/>
                <w:szCs w:val="17"/>
              </w:rPr>
              <w:t xml:space="preserve">Outcome 1: </w:t>
            </w:r>
            <w:r w:rsidRPr="00E12348">
              <w:rPr>
                <w:rFonts w:eastAsia="Times New Roman"/>
                <w:iCs/>
                <w:sz w:val="17"/>
                <w:szCs w:val="17"/>
              </w:rPr>
              <w:t>Partnerships among reform advocates are facilitated leading to policy reforms in target sectors</w:t>
            </w:r>
          </w:p>
        </w:tc>
        <w:tc>
          <w:tcPr>
            <w:tcW w:w="2890" w:type="dxa"/>
          </w:tcPr>
          <w:p w:rsidR="00D66D60" w:rsidRDefault="00D66D60" w:rsidP="00E12348">
            <w:pPr>
              <w:pStyle w:val="TableTextEntries"/>
              <w:rPr>
                <w:rFonts w:asciiTheme="minorHAnsi" w:hAnsiTheme="minorHAnsi" w:cstheme="minorBidi"/>
                <w:color w:val="495965" w:themeColor="text2"/>
                <w:lang w:val="en-GB"/>
              </w:rPr>
            </w:pPr>
            <w:r>
              <w:rPr>
                <w:rFonts w:asciiTheme="minorHAnsi" w:hAnsiTheme="minorHAnsi" w:cstheme="minorBidi"/>
                <w:color w:val="495965" w:themeColor="text2"/>
                <w:lang w:val="en-GB"/>
              </w:rPr>
              <w:t>Capacity of reform advocates within government, and to engage in constructive partnership for reform is increased.</w:t>
            </w:r>
          </w:p>
          <w:p w:rsidR="00D66D60" w:rsidRDefault="00D66D60" w:rsidP="00E12348">
            <w:pPr>
              <w:pStyle w:val="TableTextEntries"/>
              <w:rPr>
                <w:rFonts w:asciiTheme="minorHAnsi" w:hAnsiTheme="minorHAnsi" w:cstheme="minorBidi"/>
                <w:color w:val="495965" w:themeColor="text2"/>
                <w:lang w:val="en-GB"/>
              </w:rPr>
            </w:pPr>
            <w:r>
              <w:rPr>
                <w:rFonts w:asciiTheme="minorHAnsi" w:hAnsiTheme="minorHAnsi" w:cstheme="minorBidi"/>
                <w:color w:val="495965" w:themeColor="text2"/>
                <w:lang w:val="en-GB"/>
              </w:rPr>
              <w:t>Responsive community based basic delivery support is provided to select areas and priority sectors</w:t>
            </w:r>
          </w:p>
          <w:p w:rsidR="000E7595" w:rsidRDefault="00E12348" w:rsidP="00E12348">
            <w:pPr>
              <w:pStyle w:val="TableTextEntries"/>
              <w:rPr>
                <w:rFonts w:asciiTheme="minorHAnsi" w:hAnsiTheme="minorHAnsi" w:cstheme="minorBidi"/>
                <w:color w:val="495965" w:themeColor="text2"/>
                <w:lang w:val="en-GB"/>
              </w:rPr>
            </w:pPr>
            <w:r w:rsidRPr="00E12348">
              <w:rPr>
                <w:rFonts w:asciiTheme="minorHAnsi" w:hAnsiTheme="minorHAnsi" w:cstheme="minorBidi"/>
                <w:color w:val="495965" w:themeColor="text2"/>
                <w:lang w:val="en-GB"/>
              </w:rPr>
              <w:t>Partnerships deliver reforms that are evidence-based and genuinely oriented towards bringing policy changes that support economic growth and improved governance</w:t>
            </w:r>
          </w:p>
          <w:p w:rsidR="000E7595" w:rsidRPr="00E12348" w:rsidRDefault="000E7595" w:rsidP="000E7595">
            <w:pPr>
              <w:pStyle w:val="TableTextEntries"/>
              <w:rPr>
                <w:rFonts w:asciiTheme="minorHAnsi" w:hAnsiTheme="minorHAnsi" w:cstheme="minorBidi"/>
                <w:color w:val="495965" w:themeColor="text2"/>
                <w:lang w:val="en-GB"/>
              </w:rPr>
            </w:pPr>
            <w:r w:rsidRPr="00E12348">
              <w:rPr>
                <w:rFonts w:asciiTheme="minorHAnsi" w:hAnsiTheme="minorHAnsi" w:cstheme="minorBidi"/>
                <w:color w:val="495965" w:themeColor="text2"/>
                <w:lang w:val="en-GB"/>
              </w:rPr>
              <w:t>Mechanisms, venues, or opportunities for civil society, government, private sector partnerships to constructively engage are made available</w:t>
            </w:r>
          </w:p>
          <w:p w:rsidR="000E7595" w:rsidRDefault="000E7595" w:rsidP="000E7595">
            <w:pPr>
              <w:pStyle w:val="TableTextEntries"/>
              <w:rPr>
                <w:rFonts w:asciiTheme="minorHAnsi" w:hAnsiTheme="minorHAnsi" w:cstheme="minorBidi"/>
                <w:color w:val="495965" w:themeColor="text2"/>
                <w:lang w:val="en-GB"/>
              </w:rPr>
            </w:pPr>
            <w:r w:rsidRPr="000E7595">
              <w:rPr>
                <w:rFonts w:asciiTheme="minorHAnsi" w:hAnsiTheme="minorHAnsi" w:cstheme="minorBidi"/>
                <w:color w:val="495965" w:themeColor="text2"/>
                <w:lang w:val="en-GB"/>
              </w:rPr>
              <w:t>Resources, expertise and political stature of partners effectively utilised in reform activities</w:t>
            </w:r>
          </w:p>
          <w:p w:rsidR="00E12348" w:rsidRDefault="00665E7A" w:rsidP="00E12348">
            <w:pPr>
              <w:pStyle w:val="TableTextEntries"/>
              <w:rPr>
                <w:rFonts w:asciiTheme="minorHAnsi" w:hAnsiTheme="minorHAnsi" w:cstheme="minorBidi"/>
                <w:color w:val="495965" w:themeColor="text2"/>
                <w:lang w:val="en-GB"/>
              </w:rPr>
            </w:pPr>
            <w:r>
              <w:rPr>
                <w:rFonts w:asciiTheme="minorHAnsi" w:hAnsiTheme="minorHAnsi" w:cstheme="minorBidi"/>
                <w:color w:val="495965" w:themeColor="text2"/>
                <w:lang w:val="en-GB"/>
              </w:rPr>
              <w:t xml:space="preserve">as measured by: </w:t>
            </w:r>
          </w:p>
          <w:p w:rsidR="00E12348" w:rsidRPr="000E7595" w:rsidRDefault="000E7595" w:rsidP="00E12348">
            <w:pPr>
              <w:pStyle w:val="ListParagraph"/>
              <w:keepLines/>
              <w:numPr>
                <w:ilvl w:val="0"/>
                <w:numId w:val="17"/>
              </w:numPr>
              <w:spacing w:after="40" w:line="200" w:lineRule="atLeast"/>
              <w:ind w:left="261" w:hanging="219"/>
              <w:rPr>
                <w:rFonts w:asciiTheme="minorHAnsi" w:hAnsiTheme="minorHAnsi" w:cstheme="minorBidi"/>
                <w:color w:val="495965" w:themeColor="text2"/>
                <w:sz w:val="17"/>
                <w:szCs w:val="17"/>
                <w:lang w:val="en-GB"/>
              </w:rPr>
            </w:pPr>
            <w:r w:rsidRPr="002F744C">
              <w:rPr>
                <w:rFonts w:asciiTheme="minorHAnsi" w:hAnsiTheme="minorHAnsi" w:cstheme="minorBidi"/>
                <w:iCs/>
                <w:color w:val="495965" w:themeColor="text2"/>
                <w:sz w:val="17"/>
                <w:szCs w:val="17"/>
                <w:lang w:val="en-GB"/>
              </w:rPr>
              <w:t>the number and quality of documented partnership building engagements and the number of policy reforms adopted</w:t>
            </w:r>
          </w:p>
        </w:tc>
        <w:tc>
          <w:tcPr>
            <w:tcW w:w="2890" w:type="dxa"/>
          </w:tcPr>
          <w:p w:rsidR="00E12348" w:rsidRPr="00E12348" w:rsidRDefault="00E12348" w:rsidP="00E12348">
            <w:pPr>
              <w:pStyle w:val="TableTextEntries"/>
              <w:rPr>
                <w:rFonts w:asciiTheme="minorHAnsi" w:hAnsiTheme="minorHAnsi" w:cstheme="minorBidi"/>
                <w:color w:val="495965" w:themeColor="text2"/>
                <w:lang w:val="en-GB"/>
              </w:rPr>
            </w:pPr>
            <w:r w:rsidRPr="00E12348">
              <w:rPr>
                <w:rFonts w:asciiTheme="minorHAnsi" w:hAnsiTheme="minorHAnsi" w:cstheme="minorBidi"/>
                <w:color w:val="495965" w:themeColor="text2"/>
                <w:lang w:val="en-GB"/>
              </w:rPr>
              <w:t>Partnership building and/or engagement processes are documented and analysed in at least one reform area in each priority sector.</w:t>
            </w:r>
          </w:p>
          <w:p w:rsidR="00D66D60" w:rsidRDefault="00D66D60" w:rsidP="000E7595">
            <w:pPr>
              <w:pStyle w:val="TableTextEntries"/>
              <w:rPr>
                <w:rFonts w:asciiTheme="minorHAnsi" w:hAnsiTheme="minorHAnsi" w:cstheme="minorBidi"/>
                <w:color w:val="495965" w:themeColor="text2"/>
                <w:lang w:val="en-GB"/>
              </w:rPr>
            </w:pPr>
          </w:p>
          <w:p w:rsidR="00E12348" w:rsidRPr="00E12348" w:rsidRDefault="000E7595" w:rsidP="000E7595">
            <w:pPr>
              <w:pStyle w:val="TableTextEntries"/>
              <w:rPr>
                <w:rFonts w:asciiTheme="minorHAnsi" w:hAnsiTheme="minorHAnsi" w:cstheme="minorBidi"/>
                <w:color w:val="495965" w:themeColor="text2"/>
                <w:lang w:val="en-GB"/>
              </w:rPr>
            </w:pPr>
            <w:r>
              <w:rPr>
                <w:rFonts w:asciiTheme="minorHAnsi" w:hAnsiTheme="minorHAnsi" w:cstheme="minorBidi"/>
                <w:color w:val="495965" w:themeColor="text2"/>
                <w:lang w:val="en-GB"/>
              </w:rPr>
              <w:t>Establishment of r</w:t>
            </w:r>
            <w:r w:rsidRPr="00E12348">
              <w:rPr>
                <w:rFonts w:asciiTheme="minorHAnsi" w:hAnsiTheme="minorHAnsi" w:cstheme="minorBidi"/>
                <w:color w:val="495965" w:themeColor="text2"/>
                <w:lang w:val="en-GB"/>
              </w:rPr>
              <w:t xml:space="preserve">igorous </w:t>
            </w:r>
            <w:r>
              <w:rPr>
                <w:rFonts w:asciiTheme="minorHAnsi" w:hAnsiTheme="minorHAnsi" w:cstheme="minorBidi"/>
                <w:color w:val="495965" w:themeColor="text2"/>
                <w:lang w:val="en-GB"/>
              </w:rPr>
              <w:t xml:space="preserve">partner identification </w:t>
            </w:r>
            <w:r w:rsidRPr="00E12348">
              <w:rPr>
                <w:rFonts w:asciiTheme="minorHAnsi" w:hAnsiTheme="minorHAnsi" w:cstheme="minorBidi"/>
                <w:color w:val="495965" w:themeColor="text2"/>
                <w:lang w:val="en-GB"/>
              </w:rPr>
              <w:t>processes in all reform areas</w:t>
            </w:r>
          </w:p>
        </w:tc>
        <w:tc>
          <w:tcPr>
            <w:tcW w:w="2891" w:type="dxa"/>
          </w:tcPr>
          <w:p w:rsidR="00E12348" w:rsidRDefault="00E12348" w:rsidP="00E12348">
            <w:pPr>
              <w:pStyle w:val="TableTextEntries"/>
              <w:rPr>
                <w:rFonts w:asciiTheme="minorHAnsi" w:hAnsiTheme="minorHAnsi" w:cstheme="minorBidi"/>
                <w:color w:val="495965" w:themeColor="text2"/>
                <w:lang w:val="en-GB"/>
              </w:rPr>
            </w:pPr>
            <w:r w:rsidRPr="00E12348">
              <w:rPr>
                <w:rFonts w:asciiTheme="minorHAnsi" w:hAnsiTheme="minorHAnsi" w:cstheme="minorBidi"/>
                <w:color w:val="495965" w:themeColor="text2"/>
                <w:lang w:val="en-GB"/>
              </w:rPr>
              <w:t>Partnership building and/or engagement processes are documented and analysed in at least five reform areas in each priority sector</w:t>
            </w:r>
          </w:p>
          <w:p w:rsidR="00D66D60" w:rsidRDefault="00D66D60" w:rsidP="00E12348">
            <w:pPr>
              <w:pStyle w:val="TableTextEntries"/>
              <w:rPr>
                <w:rFonts w:asciiTheme="minorHAnsi" w:hAnsiTheme="minorHAnsi" w:cstheme="minorBidi"/>
                <w:color w:val="495965" w:themeColor="text2"/>
                <w:lang w:val="en-GB"/>
              </w:rPr>
            </w:pPr>
          </w:p>
          <w:p w:rsidR="000E7595" w:rsidRDefault="00861ADE" w:rsidP="000E7595">
            <w:pPr>
              <w:keepLines/>
              <w:spacing w:before="0" w:after="40" w:line="200" w:lineRule="atLeast"/>
              <w:rPr>
                <w:rFonts w:eastAsia="Times New Roman"/>
                <w:iCs/>
                <w:sz w:val="17"/>
                <w:szCs w:val="17"/>
              </w:rPr>
            </w:pPr>
            <w:r w:rsidRPr="00861ADE">
              <w:rPr>
                <w:rFonts w:eastAsia="Times New Roman"/>
                <w:iCs/>
                <w:sz w:val="17"/>
                <w:szCs w:val="17"/>
              </w:rPr>
              <w:t xml:space="preserve">Policy reforms </w:t>
            </w:r>
            <w:r w:rsidR="00BA3565">
              <w:rPr>
                <w:rFonts w:eastAsia="Times New Roman"/>
                <w:iCs/>
                <w:sz w:val="17"/>
                <w:szCs w:val="17"/>
              </w:rPr>
              <w:t xml:space="preserve">passed and </w:t>
            </w:r>
            <w:r w:rsidRPr="00861ADE">
              <w:rPr>
                <w:rFonts w:eastAsia="Times New Roman"/>
                <w:iCs/>
                <w:sz w:val="17"/>
                <w:szCs w:val="17"/>
              </w:rPr>
              <w:t>adopted by relevant agencies</w:t>
            </w:r>
            <w:r w:rsidR="007B3F86">
              <w:rPr>
                <w:rFonts w:eastAsia="Times New Roman"/>
                <w:iCs/>
                <w:sz w:val="17"/>
                <w:szCs w:val="17"/>
              </w:rPr>
              <w:t xml:space="preserve">. </w:t>
            </w:r>
          </w:p>
          <w:p w:rsidR="00070343" w:rsidRPr="005D66F5" w:rsidRDefault="00070343" w:rsidP="00070343">
            <w:pPr>
              <w:keepLines/>
              <w:spacing w:before="0" w:after="40" w:line="200" w:lineRule="atLeast"/>
              <w:rPr>
                <w:rFonts w:eastAsia="Times New Roman"/>
                <w:iCs/>
                <w:sz w:val="17"/>
                <w:szCs w:val="17"/>
              </w:rPr>
            </w:pPr>
            <w:r w:rsidRPr="005D66F5">
              <w:rPr>
                <w:rFonts w:eastAsia="Times New Roman"/>
                <w:iCs/>
                <w:sz w:val="17"/>
                <w:szCs w:val="17"/>
              </w:rPr>
              <w:t>The following have been achieved:</w:t>
            </w:r>
          </w:p>
          <w:p w:rsidR="00070343" w:rsidRPr="005D66F5" w:rsidRDefault="00070343" w:rsidP="00070343">
            <w:pPr>
              <w:pStyle w:val="ListParagraph"/>
              <w:keepLines/>
              <w:numPr>
                <w:ilvl w:val="0"/>
                <w:numId w:val="17"/>
              </w:numPr>
              <w:spacing w:after="40" w:line="200" w:lineRule="atLeast"/>
              <w:ind w:left="261" w:hanging="219"/>
              <w:rPr>
                <w:iCs/>
                <w:sz w:val="17"/>
                <w:szCs w:val="17"/>
              </w:rPr>
            </w:pPr>
            <w:r w:rsidRPr="005D66F5">
              <w:rPr>
                <w:rFonts w:asciiTheme="minorHAnsi" w:hAnsiTheme="minorHAnsi" w:cstheme="minorBidi"/>
                <w:iCs/>
                <w:color w:val="495965" w:themeColor="text2"/>
                <w:sz w:val="17"/>
                <w:szCs w:val="17"/>
                <w:lang w:val="en-GB"/>
              </w:rPr>
              <w:t>CfC supported the passage of the Internet Access in Public Places Act to promote service provider competition and increase public access to broadband services, ensuring strong child protection safeguards provisions were included</w:t>
            </w:r>
          </w:p>
          <w:p w:rsidR="00070343" w:rsidRPr="00070343" w:rsidRDefault="00070343" w:rsidP="00070343">
            <w:pPr>
              <w:pStyle w:val="ListParagraph"/>
              <w:keepLines/>
              <w:numPr>
                <w:ilvl w:val="0"/>
                <w:numId w:val="17"/>
              </w:numPr>
              <w:spacing w:after="40" w:line="200" w:lineRule="atLeast"/>
              <w:ind w:left="261" w:hanging="219"/>
              <w:rPr>
                <w:iCs/>
                <w:sz w:val="17"/>
                <w:szCs w:val="17"/>
              </w:rPr>
            </w:pPr>
            <w:r w:rsidRPr="005D66F5">
              <w:rPr>
                <w:rFonts w:asciiTheme="minorHAnsi" w:hAnsiTheme="minorHAnsi" w:cstheme="minorBidi"/>
                <w:iCs/>
                <w:color w:val="495965" w:themeColor="text2"/>
                <w:sz w:val="17"/>
                <w:szCs w:val="17"/>
                <w:lang w:val="en-GB"/>
              </w:rPr>
              <w:t>CfC supported the development and adoption of the National Disaster Risk Reduction and Management (NDRRM) Fund guidelines, to expedite funding flows for emergency response and disaster risk reduction investments to local government units and national agencies</w:t>
            </w:r>
          </w:p>
          <w:p w:rsidR="00070343" w:rsidRPr="00070343" w:rsidRDefault="00070343" w:rsidP="00070343">
            <w:pPr>
              <w:pStyle w:val="ListParagraph"/>
              <w:keepLines/>
              <w:numPr>
                <w:ilvl w:val="0"/>
                <w:numId w:val="17"/>
              </w:numPr>
              <w:spacing w:after="40" w:line="200" w:lineRule="atLeast"/>
              <w:ind w:left="261" w:hanging="219"/>
              <w:rPr>
                <w:iCs/>
                <w:sz w:val="17"/>
                <w:szCs w:val="17"/>
              </w:rPr>
            </w:pPr>
            <w:r w:rsidRPr="00070343">
              <w:rPr>
                <w:rFonts w:asciiTheme="minorHAnsi" w:hAnsiTheme="minorHAnsi" w:cstheme="minorBidi"/>
                <w:iCs/>
                <w:color w:val="495965" w:themeColor="text2"/>
                <w:sz w:val="17"/>
                <w:szCs w:val="17"/>
                <w:lang w:val="en-GB"/>
              </w:rPr>
              <w:t>CfC supported the development and adoption of the DepEd and DOLE immersion policy for senior high school students. This has allowed students to spend more hours gaining work experience, to better prepare them for entering the workforce</w:t>
            </w:r>
          </w:p>
        </w:tc>
        <w:tc>
          <w:tcPr>
            <w:tcW w:w="2891" w:type="dxa"/>
          </w:tcPr>
          <w:p w:rsidR="00E12348" w:rsidRPr="00E12348" w:rsidRDefault="00E12348" w:rsidP="00E12348">
            <w:pPr>
              <w:pStyle w:val="TableTextEntries"/>
              <w:rPr>
                <w:rFonts w:asciiTheme="minorHAnsi" w:hAnsiTheme="minorHAnsi" w:cstheme="minorBidi"/>
                <w:color w:val="495965" w:themeColor="text2"/>
                <w:lang w:val="en-GB"/>
              </w:rPr>
            </w:pPr>
            <w:r w:rsidRPr="00E12348">
              <w:rPr>
                <w:rFonts w:asciiTheme="minorHAnsi" w:hAnsiTheme="minorHAnsi" w:cstheme="minorBidi"/>
                <w:color w:val="495965" w:themeColor="text2"/>
                <w:lang w:val="en-GB"/>
              </w:rPr>
              <w:t>Coalitions for Change report to the Joint Steering Committee</w:t>
            </w:r>
          </w:p>
          <w:p w:rsidR="00E12348" w:rsidRPr="00E12348" w:rsidRDefault="00E12348" w:rsidP="00E12348">
            <w:pPr>
              <w:pStyle w:val="TableTextEntries"/>
              <w:rPr>
                <w:rFonts w:asciiTheme="minorHAnsi" w:hAnsiTheme="minorHAnsi" w:cstheme="minorBidi"/>
                <w:color w:val="495965" w:themeColor="text2"/>
                <w:lang w:val="en-GB"/>
              </w:rPr>
            </w:pPr>
            <w:r w:rsidRPr="00E12348">
              <w:rPr>
                <w:rFonts w:asciiTheme="minorHAnsi" w:hAnsiTheme="minorHAnsi" w:cstheme="minorBidi"/>
                <w:color w:val="495965" w:themeColor="text2"/>
                <w:lang w:val="en-GB"/>
              </w:rPr>
              <w:t>Reform stories on The Asia Foundation website</w:t>
            </w:r>
          </w:p>
          <w:p w:rsidR="00E12348" w:rsidRPr="00E12348" w:rsidRDefault="00E12348" w:rsidP="00E12348">
            <w:pPr>
              <w:pStyle w:val="TableTextEntries"/>
              <w:rPr>
                <w:rFonts w:asciiTheme="minorHAnsi" w:hAnsiTheme="minorHAnsi" w:cstheme="minorBidi"/>
                <w:color w:val="495965" w:themeColor="text2"/>
                <w:lang w:val="en-GB"/>
              </w:rPr>
            </w:pPr>
            <w:r w:rsidRPr="00E12348">
              <w:rPr>
                <w:rFonts w:asciiTheme="minorHAnsi" w:hAnsiTheme="minorHAnsi" w:cstheme="minorBidi"/>
                <w:color w:val="495965" w:themeColor="text2"/>
                <w:lang w:val="en-GB"/>
              </w:rPr>
              <w:t>Legislation Administrative Circulars and Implementing Rules and Regulations from target agencies</w:t>
            </w:r>
          </w:p>
          <w:p w:rsidR="00E12348" w:rsidRPr="00E12348" w:rsidRDefault="00E12348" w:rsidP="00E12348">
            <w:pPr>
              <w:pStyle w:val="TableTextEntries"/>
              <w:rPr>
                <w:rFonts w:asciiTheme="minorHAnsi" w:hAnsiTheme="minorHAnsi" w:cstheme="minorBidi"/>
                <w:color w:val="495965" w:themeColor="text2"/>
                <w:lang w:val="en-GB"/>
              </w:rPr>
            </w:pPr>
            <w:r w:rsidRPr="00E12348">
              <w:rPr>
                <w:rFonts w:asciiTheme="minorHAnsi" w:hAnsiTheme="minorHAnsi" w:cstheme="minorBidi"/>
                <w:color w:val="495965" w:themeColor="text2"/>
                <w:lang w:val="en-GB"/>
              </w:rPr>
              <w:t>CfC Timeline Tool</w:t>
            </w:r>
          </w:p>
        </w:tc>
      </w:tr>
      <w:tr w:rsidR="00D66D60" w:rsidTr="00622BA2">
        <w:tc>
          <w:tcPr>
            <w:tcW w:w="2890" w:type="dxa"/>
          </w:tcPr>
          <w:p w:rsidR="00D66D60" w:rsidRPr="00E12348" w:rsidRDefault="00DC3354" w:rsidP="00E12348">
            <w:pPr>
              <w:keepLines/>
              <w:spacing w:before="0" w:after="40" w:line="200" w:lineRule="atLeast"/>
              <w:rPr>
                <w:rFonts w:eastAsia="Times New Roman"/>
                <w:b/>
                <w:iCs/>
                <w:sz w:val="17"/>
                <w:szCs w:val="17"/>
              </w:rPr>
            </w:pPr>
            <w:r>
              <w:rPr>
                <w:rFonts w:eastAsia="Times New Roman"/>
                <w:b/>
                <w:iCs/>
                <w:sz w:val="17"/>
                <w:szCs w:val="17"/>
              </w:rPr>
              <w:lastRenderedPageBreak/>
              <w:t xml:space="preserve">Outcome 2: </w:t>
            </w:r>
            <w:r w:rsidRPr="00DC3354">
              <w:rPr>
                <w:rFonts w:eastAsia="Times New Roman"/>
                <w:iCs/>
                <w:sz w:val="17"/>
                <w:szCs w:val="17"/>
              </w:rPr>
              <w:t xml:space="preserve">Partner organisations are more capable, competent, and ready to implement reforms in priority sectors through improved internal structures and systems. </w:t>
            </w:r>
          </w:p>
        </w:tc>
        <w:tc>
          <w:tcPr>
            <w:tcW w:w="2890" w:type="dxa"/>
          </w:tcPr>
          <w:p w:rsidR="00A63E16" w:rsidRPr="00A63E16" w:rsidRDefault="00A63E16" w:rsidP="00A63E16">
            <w:pPr>
              <w:pStyle w:val="TableTextEntries"/>
              <w:rPr>
                <w:rFonts w:asciiTheme="minorHAnsi" w:hAnsiTheme="minorHAnsi" w:cstheme="minorBidi"/>
                <w:color w:val="495965" w:themeColor="text2"/>
                <w:lang w:val="en-GB"/>
              </w:rPr>
            </w:pPr>
            <w:r w:rsidRPr="00A63E16">
              <w:rPr>
                <w:rFonts w:asciiTheme="minorHAnsi" w:hAnsiTheme="minorHAnsi" w:cstheme="minorBidi"/>
                <w:color w:val="495965" w:themeColor="text2"/>
                <w:lang w:val="en-GB"/>
              </w:rPr>
              <w:t>Five of Australia’s government partners have been provided with appropriate interventions in HR/OD to improve their capacity for:</w:t>
            </w:r>
          </w:p>
          <w:p w:rsidR="00A63E16" w:rsidRPr="00A63E16" w:rsidRDefault="00A63E16" w:rsidP="00A63E16">
            <w:pPr>
              <w:pStyle w:val="ListParagraph"/>
              <w:keepLines/>
              <w:numPr>
                <w:ilvl w:val="0"/>
                <w:numId w:val="17"/>
              </w:numPr>
              <w:spacing w:after="40" w:line="200" w:lineRule="atLeast"/>
              <w:ind w:left="261" w:hanging="219"/>
              <w:rPr>
                <w:rFonts w:asciiTheme="minorHAnsi" w:hAnsiTheme="minorHAnsi" w:cstheme="minorBidi"/>
                <w:iCs/>
                <w:color w:val="495965" w:themeColor="text2"/>
                <w:sz w:val="17"/>
                <w:szCs w:val="17"/>
                <w:lang w:val="en-GB"/>
              </w:rPr>
            </w:pPr>
            <w:r w:rsidRPr="00A63E16">
              <w:rPr>
                <w:rFonts w:asciiTheme="minorHAnsi" w:hAnsiTheme="minorHAnsi" w:cstheme="minorBidi"/>
                <w:iCs/>
                <w:color w:val="495965" w:themeColor="text2"/>
                <w:sz w:val="17"/>
                <w:szCs w:val="17"/>
                <w:lang w:val="en-GB"/>
              </w:rPr>
              <w:t>identifying competencies, strengths and weaknesses of their agencies</w:t>
            </w:r>
          </w:p>
          <w:p w:rsidR="00A63E16" w:rsidRPr="00A63E16" w:rsidRDefault="00A63E16" w:rsidP="00A63E16">
            <w:pPr>
              <w:pStyle w:val="ListParagraph"/>
              <w:keepLines/>
              <w:numPr>
                <w:ilvl w:val="0"/>
                <w:numId w:val="17"/>
              </w:numPr>
              <w:spacing w:after="40" w:line="200" w:lineRule="atLeast"/>
              <w:ind w:left="261" w:hanging="219"/>
              <w:rPr>
                <w:rFonts w:asciiTheme="minorHAnsi" w:hAnsiTheme="minorHAnsi" w:cstheme="minorBidi"/>
                <w:iCs/>
                <w:color w:val="495965" w:themeColor="text2"/>
                <w:sz w:val="17"/>
                <w:szCs w:val="17"/>
                <w:lang w:val="en-GB"/>
              </w:rPr>
            </w:pPr>
            <w:r w:rsidRPr="00A63E16">
              <w:rPr>
                <w:rFonts w:asciiTheme="minorHAnsi" w:hAnsiTheme="minorHAnsi" w:cstheme="minorBidi"/>
                <w:iCs/>
                <w:color w:val="495965" w:themeColor="text2"/>
                <w:sz w:val="17"/>
                <w:szCs w:val="17"/>
                <w:lang w:val="en-GB"/>
              </w:rPr>
              <w:t>designing and implementing HRMD systems beyond HRODF</w:t>
            </w:r>
          </w:p>
          <w:p w:rsidR="00A63E16" w:rsidRPr="00A63E16" w:rsidRDefault="00A63E16" w:rsidP="00A63E16">
            <w:pPr>
              <w:pStyle w:val="ListParagraph"/>
              <w:keepLines/>
              <w:numPr>
                <w:ilvl w:val="0"/>
                <w:numId w:val="17"/>
              </w:numPr>
              <w:spacing w:after="40" w:line="200" w:lineRule="atLeast"/>
              <w:ind w:left="261" w:hanging="219"/>
              <w:rPr>
                <w:rFonts w:asciiTheme="minorHAnsi" w:hAnsiTheme="minorHAnsi" w:cstheme="minorBidi"/>
                <w:color w:val="495965" w:themeColor="text2"/>
                <w:sz w:val="17"/>
                <w:szCs w:val="17"/>
                <w:lang w:val="en-GB"/>
              </w:rPr>
            </w:pPr>
            <w:r w:rsidRPr="00A63E16">
              <w:rPr>
                <w:rFonts w:asciiTheme="minorHAnsi" w:hAnsiTheme="minorHAnsi" w:cstheme="minorBidi"/>
                <w:iCs/>
                <w:color w:val="495965" w:themeColor="text2"/>
                <w:sz w:val="17"/>
                <w:szCs w:val="17"/>
                <w:lang w:val="en-GB"/>
              </w:rPr>
              <w:t>allocating resources for the HR/OD reforms</w:t>
            </w:r>
          </w:p>
          <w:p w:rsidR="00A63E16" w:rsidRPr="00A63E16" w:rsidRDefault="00A63E16" w:rsidP="00A63E16">
            <w:pPr>
              <w:pStyle w:val="TableTextEntries"/>
              <w:rPr>
                <w:rFonts w:asciiTheme="minorHAnsi" w:hAnsiTheme="minorHAnsi" w:cstheme="minorBidi"/>
                <w:color w:val="495965" w:themeColor="text2"/>
                <w:lang w:val="en-GB"/>
              </w:rPr>
            </w:pPr>
            <w:r w:rsidRPr="00A63E16">
              <w:rPr>
                <w:rFonts w:asciiTheme="minorHAnsi" w:hAnsiTheme="minorHAnsi" w:cstheme="minorBidi"/>
                <w:color w:val="495965" w:themeColor="text2"/>
                <w:lang w:val="en-GB"/>
              </w:rPr>
              <w:t>sharing their knowledge within and outside the organisation</w:t>
            </w:r>
          </w:p>
          <w:p w:rsidR="00A63E16" w:rsidRPr="006A16A2" w:rsidRDefault="00A63E16" w:rsidP="00A63E16">
            <w:pPr>
              <w:pStyle w:val="TableTextEntries"/>
              <w:rPr>
                <w:rFonts w:asciiTheme="minorHAnsi" w:hAnsiTheme="minorHAnsi"/>
                <w:sz w:val="18"/>
                <w:szCs w:val="18"/>
              </w:rPr>
            </w:pPr>
            <w:r w:rsidRPr="00A63E16">
              <w:rPr>
                <w:rFonts w:asciiTheme="minorHAnsi" w:hAnsiTheme="minorHAnsi" w:cstheme="minorBidi"/>
                <w:color w:val="495965" w:themeColor="text2"/>
                <w:lang w:val="en-GB"/>
              </w:rPr>
              <w:t>At least 60 In-country scholars and up to 100 Australia Awards Scholars successfully mobilised.</w:t>
            </w:r>
          </w:p>
          <w:p w:rsidR="00D66D60" w:rsidRDefault="00A63E16" w:rsidP="00A63E16">
            <w:pPr>
              <w:pStyle w:val="TableTextEntries"/>
              <w:rPr>
                <w:rFonts w:asciiTheme="minorHAnsi" w:hAnsiTheme="minorHAnsi" w:cstheme="minorBidi"/>
                <w:color w:val="495965" w:themeColor="text2"/>
                <w:lang w:val="en-GB"/>
              </w:rPr>
            </w:pPr>
            <w:r w:rsidRPr="00DB6F03">
              <w:rPr>
                <w:rFonts w:asciiTheme="minorHAnsi" w:hAnsiTheme="minorHAnsi" w:cstheme="minorBidi"/>
                <w:color w:val="495965" w:themeColor="text2"/>
                <w:lang w:val="en-GB"/>
              </w:rPr>
              <w:t>At least 5 MOUs signed between Australian and Philippine universities to jointly deliver selected priority courses</w:t>
            </w:r>
          </w:p>
        </w:tc>
        <w:tc>
          <w:tcPr>
            <w:tcW w:w="2890" w:type="dxa"/>
          </w:tcPr>
          <w:p w:rsidR="00A63E16" w:rsidRPr="00A63E16" w:rsidRDefault="00A63E16" w:rsidP="00A63E16">
            <w:pPr>
              <w:pStyle w:val="TableTextEntries"/>
              <w:rPr>
                <w:rFonts w:asciiTheme="minorHAnsi" w:hAnsiTheme="minorHAnsi" w:cstheme="minorBidi"/>
                <w:color w:val="495965" w:themeColor="text2"/>
                <w:lang w:val="en-GB"/>
              </w:rPr>
            </w:pPr>
            <w:r w:rsidRPr="00A63E16">
              <w:rPr>
                <w:rFonts w:asciiTheme="minorHAnsi" w:hAnsiTheme="minorHAnsi" w:cstheme="minorBidi"/>
                <w:color w:val="495965" w:themeColor="text2"/>
                <w:lang w:val="en-GB"/>
              </w:rPr>
              <w:t>Core partner agencies have skills to manage political transitions</w:t>
            </w:r>
          </w:p>
          <w:p w:rsidR="00A63E16" w:rsidRPr="00A63E16" w:rsidRDefault="00A63E16" w:rsidP="00A63E16">
            <w:pPr>
              <w:pStyle w:val="TableTextEntries"/>
              <w:rPr>
                <w:rFonts w:asciiTheme="minorHAnsi" w:hAnsiTheme="minorHAnsi" w:cstheme="minorBidi"/>
                <w:color w:val="495965" w:themeColor="text2"/>
                <w:lang w:val="en-GB"/>
              </w:rPr>
            </w:pPr>
            <w:r w:rsidRPr="00A63E16">
              <w:rPr>
                <w:rFonts w:asciiTheme="minorHAnsi" w:hAnsiTheme="minorHAnsi" w:cstheme="minorBidi"/>
                <w:color w:val="495965" w:themeColor="text2"/>
                <w:lang w:val="en-GB"/>
              </w:rPr>
              <w:t>Philippines Government agencies have adopted appropriate human resource management standards</w:t>
            </w:r>
          </w:p>
          <w:p w:rsidR="00A63E16" w:rsidRPr="00A63E16" w:rsidRDefault="00A63E16" w:rsidP="00A63E16">
            <w:pPr>
              <w:pStyle w:val="TableTextEntries"/>
              <w:rPr>
                <w:rFonts w:asciiTheme="minorHAnsi" w:hAnsiTheme="minorHAnsi" w:cstheme="minorBidi"/>
                <w:color w:val="495965" w:themeColor="text2"/>
                <w:lang w:val="en-GB"/>
              </w:rPr>
            </w:pPr>
            <w:r w:rsidRPr="00A63E16">
              <w:rPr>
                <w:rFonts w:asciiTheme="minorHAnsi" w:hAnsiTheme="minorHAnsi" w:cstheme="minorBidi"/>
                <w:color w:val="495965" w:themeColor="text2"/>
                <w:lang w:val="en-GB"/>
              </w:rPr>
              <w:t>60 of interventions completed with partner agencies are assessed as being ‘institutionalised’ or ‘sustained’</w:t>
            </w:r>
          </w:p>
          <w:p w:rsidR="00D66D60" w:rsidRPr="00E12348" w:rsidRDefault="00A63E16" w:rsidP="00A63E16">
            <w:pPr>
              <w:pStyle w:val="TableTextEntries"/>
              <w:rPr>
                <w:rFonts w:asciiTheme="minorHAnsi" w:hAnsiTheme="minorHAnsi" w:cstheme="minorBidi"/>
                <w:color w:val="495965" w:themeColor="text2"/>
                <w:lang w:val="en-GB"/>
              </w:rPr>
            </w:pPr>
            <w:r w:rsidRPr="00A63E16">
              <w:rPr>
                <w:rFonts w:asciiTheme="minorHAnsi" w:hAnsiTheme="minorHAnsi" w:cstheme="minorBidi"/>
                <w:color w:val="495965" w:themeColor="text2"/>
                <w:lang w:val="en-GB"/>
              </w:rPr>
              <w:t>Re-entry action plans for 60 returned scholars are completed</w:t>
            </w:r>
          </w:p>
        </w:tc>
        <w:tc>
          <w:tcPr>
            <w:tcW w:w="2891" w:type="dxa"/>
          </w:tcPr>
          <w:p w:rsidR="00070343" w:rsidRPr="00555DBA" w:rsidRDefault="00070343" w:rsidP="00070343">
            <w:pPr>
              <w:pStyle w:val="TableTextEntries"/>
              <w:rPr>
                <w:rFonts w:asciiTheme="minorHAnsi" w:hAnsiTheme="minorHAnsi" w:cstheme="minorBidi"/>
                <w:color w:val="495965" w:themeColor="text2"/>
                <w:lang w:val="en-GB"/>
              </w:rPr>
            </w:pPr>
            <w:r w:rsidRPr="00555DBA">
              <w:rPr>
                <w:rFonts w:asciiTheme="minorHAnsi" w:hAnsiTheme="minorHAnsi" w:cstheme="minorBidi"/>
                <w:color w:val="495965" w:themeColor="text2"/>
                <w:lang w:val="en-GB"/>
              </w:rPr>
              <w:t xml:space="preserve">90 Australia Awards Scholars successfully mobilised </w:t>
            </w:r>
          </w:p>
          <w:p w:rsidR="00070343" w:rsidRPr="00555DBA" w:rsidRDefault="00070343" w:rsidP="00070343">
            <w:pPr>
              <w:pStyle w:val="TableTextEntries"/>
              <w:rPr>
                <w:rFonts w:asciiTheme="minorHAnsi" w:hAnsiTheme="minorHAnsi" w:cstheme="minorBidi"/>
                <w:color w:val="495965" w:themeColor="text2"/>
                <w:lang w:val="en-GB"/>
              </w:rPr>
            </w:pPr>
            <w:r w:rsidRPr="00555DBA">
              <w:rPr>
                <w:rFonts w:asciiTheme="minorHAnsi" w:hAnsiTheme="minorHAnsi" w:cstheme="minorBidi"/>
                <w:color w:val="495965" w:themeColor="text2"/>
                <w:lang w:val="en-GB"/>
              </w:rPr>
              <w:t>6</w:t>
            </w:r>
            <w:r>
              <w:rPr>
                <w:rFonts w:asciiTheme="minorHAnsi" w:hAnsiTheme="minorHAnsi" w:cstheme="minorBidi"/>
                <w:color w:val="495965" w:themeColor="text2"/>
                <w:lang w:val="en-GB"/>
              </w:rPr>
              <w:t xml:space="preserve">0 </w:t>
            </w:r>
            <w:r w:rsidRPr="00555DBA">
              <w:rPr>
                <w:rFonts w:asciiTheme="minorHAnsi" w:hAnsiTheme="minorHAnsi" w:cstheme="minorBidi"/>
                <w:color w:val="495965" w:themeColor="text2"/>
                <w:lang w:val="en-GB"/>
              </w:rPr>
              <w:t>per cent of new alumni hold key positions in targeted sectors</w:t>
            </w:r>
          </w:p>
          <w:p w:rsidR="00070343" w:rsidRPr="00555DBA" w:rsidRDefault="00070343" w:rsidP="00070343">
            <w:pPr>
              <w:pStyle w:val="TableTextEntries"/>
              <w:rPr>
                <w:rFonts w:asciiTheme="minorHAnsi" w:hAnsiTheme="minorHAnsi" w:cstheme="minorBidi"/>
                <w:color w:val="495965" w:themeColor="text2"/>
                <w:lang w:val="en-GB"/>
              </w:rPr>
            </w:pPr>
            <w:r>
              <w:rPr>
                <w:rFonts w:asciiTheme="minorHAnsi" w:hAnsiTheme="minorHAnsi" w:cstheme="minorBidi"/>
                <w:color w:val="495965" w:themeColor="text2"/>
                <w:lang w:val="en-GB"/>
              </w:rPr>
              <w:t>2/3rds of</w:t>
            </w:r>
            <w:r w:rsidRPr="00555DBA">
              <w:rPr>
                <w:rFonts w:asciiTheme="minorHAnsi" w:hAnsiTheme="minorHAnsi" w:cstheme="minorBidi"/>
                <w:color w:val="495965" w:themeColor="text2"/>
                <w:lang w:val="en-GB"/>
              </w:rPr>
              <w:t xml:space="preserve"> mobilised Australia Awards scholars from the Targeted category hold key positions in their respective organisations </w:t>
            </w:r>
          </w:p>
          <w:p w:rsidR="00070343" w:rsidRPr="00555DBA" w:rsidRDefault="00070343" w:rsidP="00070343">
            <w:pPr>
              <w:pStyle w:val="TableTextEntries"/>
              <w:rPr>
                <w:rFonts w:asciiTheme="minorHAnsi" w:hAnsiTheme="minorHAnsi" w:cstheme="minorBidi"/>
                <w:color w:val="495965" w:themeColor="text2"/>
                <w:lang w:val="en-GB"/>
              </w:rPr>
            </w:pPr>
            <w:r w:rsidRPr="00555DBA">
              <w:rPr>
                <w:rFonts w:asciiTheme="minorHAnsi" w:hAnsiTheme="minorHAnsi" w:cstheme="minorBidi"/>
                <w:color w:val="495965" w:themeColor="text2"/>
                <w:lang w:val="en-GB"/>
              </w:rPr>
              <w:t xml:space="preserve">Australia has new alumni in key positions in </w:t>
            </w:r>
            <w:r>
              <w:rPr>
                <w:rFonts w:asciiTheme="minorHAnsi" w:hAnsiTheme="minorHAnsi" w:cstheme="minorBidi"/>
                <w:color w:val="495965" w:themeColor="text2"/>
                <w:lang w:val="en-GB"/>
              </w:rPr>
              <w:t>its</w:t>
            </w:r>
            <w:r w:rsidRPr="00555DBA">
              <w:rPr>
                <w:rFonts w:asciiTheme="minorHAnsi" w:hAnsiTheme="minorHAnsi" w:cstheme="minorBidi"/>
                <w:color w:val="495965" w:themeColor="text2"/>
                <w:lang w:val="en-GB"/>
              </w:rPr>
              <w:t xml:space="preserve"> partner organisations </w:t>
            </w:r>
          </w:p>
          <w:p w:rsidR="00070343" w:rsidRPr="00D06696" w:rsidRDefault="00070343" w:rsidP="00070343">
            <w:pPr>
              <w:pStyle w:val="TableTextEntries"/>
              <w:rPr>
                <w:rFonts w:asciiTheme="minorHAnsi" w:hAnsiTheme="minorHAnsi" w:cstheme="minorBidi"/>
                <w:color w:val="495965" w:themeColor="text2"/>
                <w:lang w:val="en-GB"/>
              </w:rPr>
            </w:pPr>
            <w:r w:rsidRPr="00D06696">
              <w:rPr>
                <w:rFonts w:asciiTheme="minorHAnsi" w:hAnsiTheme="minorHAnsi" w:cstheme="minorBidi"/>
                <w:color w:val="495965" w:themeColor="text2"/>
                <w:lang w:val="en-GB"/>
              </w:rPr>
              <w:t>At least five scholars have re-entry action plans with development objectives directed at giving women and disadvantaged cohorts greater opportunities for success</w:t>
            </w:r>
          </w:p>
          <w:p w:rsidR="00DC3354" w:rsidRPr="00DC3354" w:rsidRDefault="00070343" w:rsidP="00070343">
            <w:pPr>
              <w:pStyle w:val="TableTextEntries"/>
              <w:rPr>
                <w:rFonts w:asciiTheme="minorHAnsi" w:hAnsiTheme="minorHAnsi" w:cstheme="minorBidi"/>
                <w:color w:val="495965" w:themeColor="text2"/>
                <w:highlight w:val="yellow"/>
                <w:lang w:val="en-GB"/>
              </w:rPr>
            </w:pPr>
            <w:r w:rsidRPr="00D06696">
              <w:rPr>
                <w:rFonts w:asciiTheme="minorHAnsi" w:hAnsiTheme="minorHAnsi" w:cstheme="minorBidi"/>
                <w:color w:val="495965" w:themeColor="text2"/>
                <w:lang w:val="en-GB"/>
              </w:rPr>
              <w:t>DTI Academy launched</w:t>
            </w:r>
          </w:p>
        </w:tc>
        <w:tc>
          <w:tcPr>
            <w:tcW w:w="2891" w:type="dxa"/>
          </w:tcPr>
          <w:p w:rsidR="00A63E16" w:rsidRPr="00A63E16" w:rsidRDefault="00A63E16" w:rsidP="00A63E16">
            <w:pPr>
              <w:pStyle w:val="TableTextEntries"/>
              <w:rPr>
                <w:rFonts w:asciiTheme="minorHAnsi" w:hAnsiTheme="minorHAnsi" w:cstheme="minorBidi"/>
                <w:color w:val="495965" w:themeColor="text2"/>
                <w:lang w:val="en-GB"/>
              </w:rPr>
            </w:pPr>
            <w:r w:rsidRPr="00A63E16">
              <w:rPr>
                <w:rFonts w:asciiTheme="minorHAnsi" w:hAnsiTheme="minorHAnsi" w:cstheme="minorBidi"/>
                <w:color w:val="495965" w:themeColor="text2"/>
                <w:lang w:val="en-GB"/>
              </w:rPr>
              <w:t>Baseline: Individual Agency Organisational Assessments</w:t>
            </w:r>
          </w:p>
          <w:p w:rsidR="00A63E16" w:rsidRPr="00A63E16" w:rsidRDefault="00A63E16" w:rsidP="00A63E16">
            <w:pPr>
              <w:pStyle w:val="TableTextEntries"/>
              <w:rPr>
                <w:rFonts w:asciiTheme="minorHAnsi" w:hAnsiTheme="minorHAnsi" w:cstheme="minorBidi"/>
                <w:color w:val="495965" w:themeColor="text2"/>
                <w:lang w:val="en-GB"/>
              </w:rPr>
            </w:pPr>
            <w:r w:rsidRPr="00A63E16">
              <w:rPr>
                <w:rFonts w:asciiTheme="minorHAnsi" w:hAnsiTheme="minorHAnsi" w:cstheme="minorBidi"/>
                <w:color w:val="495965" w:themeColor="text2"/>
                <w:lang w:val="en-GB"/>
              </w:rPr>
              <w:t>Monitoring and Evaluation Reports of the Human Resource and Organisational Development Facility (HRODF)</w:t>
            </w:r>
          </w:p>
          <w:p w:rsidR="00D66D60" w:rsidRPr="00DC3354" w:rsidRDefault="00A63E16" w:rsidP="00A63E16">
            <w:pPr>
              <w:pStyle w:val="TableTextEntries"/>
              <w:rPr>
                <w:rFonts w:asciiTheme="minorHAnsi" w:hAnsiTheme="minorHAnsi" w:cstheme="minorBidi"/>
                <w:color w:val="495965" w:themeColor="text2"/>
                <w:highlight w:val="yellow"/>
                <w:lang w:val="en-GB"/>
              </w:rPr>
            </w:pPr>
            <w:r w:rsidRPr="00A63E16">
              <w:rPr>
                <w:rFonts w:asciiTheme="minorHAnsi" w:hAnsiTheme="minorHAnsi" w:cstheme="minorBidi"/>
                <w:color w:val="495965" w:themeColor="text2"/>
                <w:lang w:val="en-GB"/>
              </w:rPr>
              <w:t>Civil Service Commission Public Sector Reports and Survey Results</w:t>
            </w:r>
          </w:p>
        </w:tc>
      </w:tr>
      <w:tr w:rsidR="00E12348" w:rsidTr="00622BA2">
        <w:tc>
          <w:tcPr>
            <w:tcW w:w="2890" w:type="dxa"/>
          </w:tcPr>
          <w:p w:rsidR="00E12348" w:rsidRPr="00F8365F" w:rsidRDefault="00D66D60" w:rsidP="00F8365F">
            <w:pPr>
              <w:pStyle w:val="TableTextEntries"/>
              <w:rPr>
                <w:rFonts w:asciiTheme="minorHAnsi" w:hAnsiTheme="minorHAnsi" w:cstheme="minorBidi"/>
                <w:color w:val="495965" w:themeColor="text2"/>
                <w:lang w:val="en-GB"/>
              </w:rPr>
            </w:pPr>
            <w:r>
              <w:rPr>
                <w:rFonts w:asciiTheme="minorHAnsi" w:hAnsiTheme="minorHAnsi" w:cstheme="minorBidi"/>
                <w:b/>
                <w:color w:val="495965" w:themeColor="text2"/>
                <w:lang w:val="en-GB"/>
              </w:rPr>
              <w:t>Outcome 3</w:t>
            </w:r>
            <w:r w:rsidR="00E12348" w:rsidRPr="00F8365F">
              <w:rPr>
                <w:rFonts w:asciiTheme="minorHAnsi" w:hAnsiTheme="minorHAnsi" w:cstheme="minorBidi"/>
                <w:b/>
                <w:color w:val="495965" w:themeColor="text2"/>
                <w:lang w:val="en-GB"/>
              </w:rPr>
              <w:t>:</w:t>
            </w:r>
            <w:r w:rsidR="00E12348" w:rsidRPr="00F8365F">
              <w:rPr>
                <w:rFonts w:asciiTheme="minorHAnsi" w:hAnsiTheme="minorHAnsi" w:cstheme="minorBidi"/>
                <w:color w:val="495965" w:themeColor="text2"/>
                <w:lang w:val="en-GB"/>
              </w:rPr>
              <w:t xml:space="preserve"> Improve Philippine Government systems for budget formulation, execution, accounting, and reporting</w:t>
            </w:r>
          </w:p>
        </w:tc>
        <w:tc>
          <w:tcPr>
            <w:tcW w:w="2890" w:type="dxa"/>
          </w:tcPr>
          <w:p w:rsidR="00E12348" w:rsidRPr="00F8365F" w:rsidRDefault="00E12348" w:rsidP="00F8365F">
            <w:pPr>
              <w:pStyle w:val="TableTextEntries"/>
              <w:rPr>
                <w:rFonts w:asciiTheme="minorHAnsi" w:hAnsiTheme="minorHAnsi" w:cstheme="minorBidi"/>
                <w:color w:val="495965" w:themeColor="text2"/>
                <w:lang w:val="en-GB"/>
              </w:rPr>
            </w:pPr>
            <w:r w:rsidRPr="00F8365F">
              <w:rPr>
                <w:rFonts w:asciiTheme="minorHAnsi" w:hAnsiTheme="minorHAnsi" w:cstheme="minorBidi"/>
                <w:color w:val="495965" w:themeColor="text2"/>
                <w:lang w:val="en-GB"/>
              </w:rPr>
              <w:t>Electronic Budget and Treasury Management System (BTMS) is adopted</w:t>
            </w:r>
          </w:p>
          <w:p w:rsidR="000E7595" w:rsidRDefault="00E12348" w:rsidP="000E7595">
            <w:pPr>
              <w:pStyle w:val="TableTextEntries"/>
              <w:rPr>
                <w:rFonts w:asciiTheme="minorHAnsi" w:hAnsiTheme="minorHAnsi" w:cstheme="minorBidi"/>
                <w:color w:val="495965" w:themeColor="text2"/>
                <w:lang w:val="en-GB"/>
              </w:rPr>
            </w:pPr>
            <w:r w:rsidRPr="00F8365F">
              <w:rPr>
                <w:rFonts w:asciiTheme="minorHAnsi" w:hAnsiTheme="minorHAnsi" w:cstheme="minorBidi"/>
                <w:color w:val="495965" w:themeColor="text2"/>
                <w:lang w:val="en-GB"/>
              </w:rPr>
              <w:t>Budget preparation processes are improved</w:t>
            </w:r>
            <w:r w:rsidR="000E7595">
              <w:rPr>
                <w:rFonts w:asciiTheme="minorHAnsi" w:hAnsiTheme="minorHAnsi" w:cstheme="minorBidi"/>
                <w:color w:val="495965" w:themeColor="text2"/>
                <w:lang w:val="en-GB"/>
              </w:rPr>
              <w:t xml:space="preserve"> and i</w:t>
            </w:r>
            <w:r w:rsidRPr="00F8365F">
              <w:rPr>
                <w:rFonts w:asciiTheme="minorHAnsi" w:hAnsiTheme="minorHAnsi" w:cstheme="minorBidi"/>
                <w:color w:val="495965" w:themeColor="text2"/>
                <w:lang w:val="en-GB"/>
              </w:rPr>
              <w:t>nternal control systems and internal audit practices of Philippine Government agencies strengthened</w:t>
            </w:r>
            <w:r w:rsidR="000E7595">
              <w:rPr>
                <w:rFonts w:asciiTheme="minorHAnsi" w:hAnsiTheme="minorHAnsi" w:cstheme="minorBidi"/>
                <w:color w:val="495965" w:themeColor="text2"/>
                <w:lang w:val="en-GB"/>
              </w:rPr>
              <w:t xml:space="preserve"> as measured by: </w:t>
            </w:r>
          </w:p>
          <w:p w:rsidR="00E12348" w:rsidRPr="000E7595" w:rsidRDefault="000E7595" w:rsidP="00F8365F">
            <w:pPr>
              <w:pStyle w:val="ListParagraph"/>
              <w:keepLines/>
              <w:numPr>
                <w:ilvl w:val="0"/>
                <w:numId w:val="17"/>
              </w:numPr>
              <w:spacing w:after="40" w:line="200" w:lineRule="atLeast"/>
              <w:ind w:left="261" w:hanging="219"/>
              <w:rPr>
                <w:rFonts w:asciiTheme="minorHAnsi" w:hAnsiTheme="minorHAnsi" w:cstheme="minorBidi"/>
                <w:color w:val="495965" w:themeColor="text2"/>
                <w:sz w:val="17"/>
                <w:szCs w:val="17"/>
                <w:lang w:val="en-GB"/>
              </w:rPr>
            </w:pPr>
            <w:r>
              <w:rPr>
                <w:rFonts w:asciiTheme="minorHAnsi" w:hAnsiTheme="minorHAnsi" w:cstheme="minorBidi"/>
                <w:color w:val="495965" w:themeColor="text2"/>
                <w:sz w:val="17"/>
                <w:szCs w:val="17"/>
                <w:lang w:val="en-GB"/>
              </w:rPr>
              <w:t>completion of relevant capacity building and technical assistance</w:t>
            </w:r>
          </w:p>
          <w:p w:rsidR="00E12348" w:rsidRPr="00F8365F" w:rsidRDefault="00E12348" w:rsidP="00F8365F">
            <w:pPr>
              <w:pStyle w:val="TableTextEntries"/>
              <w:rPr>
                <w:rFonts w:asciiTheme="minorHAnsi" w:hAnsiTheme="minorHAnsi" w:cstheme="minorBidi"/>
                <w:color w:val="495965" w:themeColor="text2"/>
                <w:lang w:val="en-GB"/>
              </w:rPr>
            </w:pPr>
            <w:r w:rsidRPr="00F8365F">
              <w:rPr>
                <w:rFonts w:asciiTheme="minorHAnsi" w:hAnsiTheme="minorHAnsi" w:cstheme="minorBidi"/>
                <w:color w:val="495965" w:themeColor="text2"/>
                <w:lang w:val="en-GB"/>
              </w:rPr>
              <w:t>External oversight by civil society of the budget and public expenditure improved</w:t>
            </w:r>
            <w:r w:rsidR="000E7595">
              <w:rPr>
                <w:rFonts w:asciiTheme="minorHAnsi" w:hAnsiTheme="minorHAnsi" w:cstheme="minorBidi"/>
                <w:color w:val="495965" w:themeColor="text2"/>
                <w:lang w:val="en-GB"/>
              </w:rPr>
              <w:t xml:space="preserve"> as measured by completion of civil society activities</w:t>
            </w:r>
          </w:p>
        </w:tc>
        <w:tc>
          <w:tcPr>
            <w:tcW w:w="2890" w:type="dxa"/>
          </w:tcPr>
          <w:p w:rsidR="00E12348" w:rsidRPr="00F8365F" w:rsidRDefault="00E12348" w:rsidP="00F8365F">
            <w:pPr>
              <w:pStyle w:val="TableTextEntries"/>
              <w:rPr>
                <w:rFonts w:asciiTheme="minorHAnsi" w:hAnsiTheme="minorHAnsi" w:cstheme="minorBidi"/>
                <w:color w:val="495965" w:themeColor="text2"/>
                <w:lang w:val="en-GB"/>
              </w:rPr>
            </w:pPr>
            <w:r w:rsidRPr="00F8365F">
              <w:rPr>
                <w:rFonts w:asciiTheme="minorHAnsi" w:hAnsiTheme="minorHAnsi" w:cstheme="minorBidi"/>
                <w:color w:val="495965" w:themeColor="text2"/>
                <w:lang w:val="en-GB"/>
              </w:rPr>
              <w:t>Budget execution module of BTMS goes live by 30 June 2017</w:t>
            </w:r>
          </w:p>
          <w:p w:rsidR="00E12348" w:rsidRPr="00F8365F" w:rsidRDefault="00E12348" w:rsidP="00F8365F">
            <w:pPr>
              <w:pStyle w:val="TableTextEntries"/>
              <w:rPr>
                <w:rFonts w:asciiTheme="minorHAnsi" w:hAnsiTheme="minorHAnsi" w:cstheme="minorBidi"/>
                <w:color w:val="495965" w:themeColor="text2"/>
                <w:lang w:val="en-GB"/>
              </w:rPr>
            </w:pPr>
            <w:r w:rsidRPr="00F8365F">
              <w:rPr>
                <w:rFonts w:asciiTheme="minorHAnsi" w:hAnsiTheme="minorHAnsi" w:cstheme="minorBidi"/>
                <w:color w:val="495965" w:themeColor="text2"/>
                <w:lang w:val="en-GB"/>
              </w:rPr>
              <w:t>Second phase of Budget Cycle Analytics system delivered and operational by 30 June 2017</w:t>
            </w:r>
          </w:p>
          <w:p w:rsidR="00E12348" w:rsidRPr="00F8365F" w:rsidRDefault="00E12348" w:rsidP="00F8365F">
            <w:pPr>
              <w:pStyle w:val="TableTextEntries"/>
              <w:rPr>
                <w:rFonts w:asciiTheme="minorHAnsi" w:hAnsiTheme="minorHAnsi" w:cstheme="minorBidi"/>
                <w:color w:val="495965" w:themeColor="text2"/>
                <w:lang w:val="en-GB"/>
              </w:rPr>
            </w:pPr>
            <w:r w:rsidRPr="00F8365F">
              <w:rPr>
                <w:rFonts w:asciiTheme="minorHAnsi" w:hAnsiTheme="minorHAnsi" w:cstheme="minorBidi"/>
                <w:color w:val="495965" w:themeColor="text2"/>
                <w:lang w:val="en-GB"/>
              </w:rPr>
              <w:t>Commission on Audit (COA) Citizen Participatory audit activity completed</w:t>
            </w:r>
          </w:p>
          <w:p w:rsidR="00E12348" w:rsidRPr="00F8365F" w:rsidRDefault="00E12348" w:rsidP="00F8365F">
            <w:pPr>
              <w:pStyle w:val="TableTextEntries"/>
              <w:rPr>
                <w:rFonts w:asciiTheme="minorHAnsi" w:hAnsiTheme="minorHAnsi" w:cstheme="minorBidi"/>
                <w:color w:val="495965" w:themeColor="text2"/>
                <w:lang w:val="en-GB"/>
              </w:rPr>
            </w:pPr>
            <w:r w:rsidRPr="00F8365F">
              <w:rPr>
                <w:rFonts w:asciiTheme="minorHAnsi" w:hAnsiTheme="minorHAnsi" w:cstheme="minorBidi"/>
                <w:color w:val="495965" w:themeColor="text2"/>
                <w:lang w:val="en-GB"/>
              </w:rPr>
              <w:t>Department of Budget and Management (DBM) Civil Society engagement activity completed</w:t>
            </w:r>
          </w:p>
        </w:tc>
        <w:tc>
          <w:tcPr>
            <w:tcW w:w="2891" w:type="dxa"/>
          </w:tcPr>
          <w:p w:rsidR="00070343" w:rsidRPr="005D66F5" w:rsidRDefault="00070343" w:rsidP="00070343">
            <w:pPr>
              <w:pStyle w:val="TableTextEntries"/>
              <w:rPr>
                <w:rFonts w:asciiTheme="minorHAnsi" w:hAnsiTheme="minorHAnsi" w:cstheme="minorBidi"/>
                <w:color w:val="495965" w:themeColor="text2"/>
                <w:lang w:val="en-GB"/>
              </w:rPr>
            </w:pPr>
            <w:r w:rsidRPr="005D66F5">
              <w:rPr>
                <w:rFonts w:asciiTheme="minorHAnsi" w:hAnsiTheme="minorHAnsi" w:cstheme="minorBidi"/>
                <w:color w:val="495965" w:themeColor="text2"/>
                <w:lang w:val="en-GB"/>
              </w:rPr>
              <w:t xml:space="preserve">Implemented two activities to support the shift from two-year obligation budget appropriation to one-year cash budget appropriations which strengthens fiscal discipline and reinforces the budget intent to deliver </w:t>
            </w:r>
            <w:r>
              <w:rPr>
                <w:rFonts w:asciiTheme="minorHAnsi" w:hAnsiTheme="minorHAnsi" w:cstheme="minorBidi"/>
                <w:color w:val="495965" w:themeColor="text2"/>
                <w:lang w:val="en-GB"/>
              </w:rPr>
              <w:t>services within the fiscal year</w:t>
            </w:r>
          </w:p>
          <w:p w:rsidR="00F8365F" w:rsidRPr="00F8365F" w:rsidRDefault="00070343" w:rsidP="00070343">
            <w:pPr>
              <w:pStyle w:val="TableTextEntries"/>
              <w:rPr>
                <w:rFonts w:asciiTheme="minorHAnsi" w:hAnsiTheme="minorHAnsi" w:cstheme="minorBidi"/>
                <w:color w:val="495965" w:themeColor="text2"/>
                <w:lang w:val="en-GB"/>
              </w:rPr>
            </w:pPr>
            <w:r w:rsidRPr="005D66F5">
              <w:rPr>
                <w:rFonts w:asciiTheme="minorHAnsi" w:hAnsiTheme="minorHAnsi" w:cstheme="minorBidi"/>
                <w:color w:val="495965" w:themeColor="text2"/>
                <w:lang w:val="en-GB"/>
              </w:rPr>
              <w:t>Technical assistance provided for the Electronic Budget and Treasury Management System (BTMS) that integrates into a single core system the previously disparate budgeting, treasury, and financial management and reporting processes</w:t>
            </w:r>
          </w:p>
        </w:tc>
        <w:tc>
          <w:tcPr>
            <w:tcW w:w="2891" w:type="dxa"/>
          </w:tcPr>
          <w:p w:rsidR="00F8365F" w:rsidRPr="00F8365F" w:rsidRDefault="00F8365F" w:rsidP="00F8365F">
            <w:pPr>
              <w:pStyle w:val="TableTextEntries"/>
              <w:rPr>
                <w:rFonts w:asciiTheme="minorHAnsi" w:hAnsiTheme="minorHAnsi" w:cstheme="minorBidi"/>
                <w:color w:val="495965" w:themeColor="text2"/>
                <w:lang w:val="en-GB"/>
              </w:rPr>
            </w:pPr>
            <w:r w:rsidRPr="00F8365F">
              <w:rPr>
                <w:rFonts w:asciiTheme="minorHAnsi" w:hAnsiTheme="minorHAnsi" w:cstheme="minorBidi"/>
                <w:color w:val="495965" w:themeColor="text2"/>
                <w:lang w:val="en-GB"/>
              </w:rPr>
              <w:t>Public Financial Management Program (PFMP) M&amp;E Reports</w:t>
            </w:r>
          </w:p>
          <w:p w:rsidR="00F8365F" w:rsidRPr="00F8365F" w:rsidRDefault="00F8365F" w:rsidP="00F8365F">
            <w:pPr>
              <w:pStyle w:val="TableTextEntries"/>
              <w:rPr>
                <w:rFonts w:asciiTheme="minorHAnsi" w:hAnsiTheme="minorHAnsi" w:cstheme="minorBidi"/>
                <w:color w:val="495965" w:themeColor="text2"/>
                <w:lang w:val="en-GB"/>
              </w:rPr>
            </w:pPr>
            <w:r w:rsidRPr="00F8365F">
              <w:rPr>
                <w:rFonts w:asciiTheme="minorHAnsi" w:hAnsiTheme="minorHAnsi" w:cstheme="minorBidi"/>
                <w:color w:val="495965" w:themeColor="text2"/>
                <w:lang w:val="en-GB"/>
              </w:rPr>
              <w:t>Baseline: Individual Agency Organisational Assessments</w:t>
            </w:r>
          </w:p>
          <w:p w:rsidR="00D66D60" w:rsidRDefault="00D66D60" w:rsidP="00F8365F">
            <w:pPr>
              <w:pStyle w:val="TableTextEntries"/>
              <w:rPr>
                <w:rFonts w:asciiTheme="minorHAnsi" w:hAnsiTheme="minorHAnsi" w:cstheme="minorBidi"/>
                <w:color w:val="495965" w:themeColor="text2"/>
                <w:lang w:val="en-GB"/>
              </w:rPr>
            </w:pPr>
            <w:r>
              <w:rPr>
                <w:rFonts w:asciiTheme="minorHAnsi" w:hAnsiTheme="minorHAnsi" w:cstheme="minorBidi"/>
                <w:color w:val="495965" w:themeColor="text2"/>
                <w:lang w:val="en-GB"/>
              </w:rPr>
              <w:t>Monitoring and Evaluation Reports of the Human Resource and Organisational Development Facility (HRODF)</w:t>
            </w:r>
          </w:p>
          <w:p w:rsidR="00D66D60" w:rsidRDefault="00D66D60" w:rsidP="00F8365F">
            <w:pPr>
              <w:pStyle w:val="TableTextEntries"/>
              <w:rPr>
                <w:rFonts w:asciiTheme="minorHAnsi" w:hAnsiTheme="minorHAnsi" w:cstheme="minorBidi"/>
                <w:color w:val="495965" w:themeColor="text2"/>
                <w:lang w:val="en-GB"/>
              </w:rPr>
            </w:pPr>
          </w:p>
          <w:p w:rsidR="00E12348" w:rsidRPr="00BF4477" w:rsidRDefault="00F8365F" w:rsidP="00F8365F">
            <w:pPr>
              <w:pStyle w:val="TableTextEntries"/>
              <w:rPr>
                <w:rFonts w:asciiTheme="minorHAnsi" w:hAnsiTheme="minorHAnsi" w:cstheme="minorBidi"/>
                <w:color w:val="495965" w:themeColor="text2"/>
                <w:lang w:val="en-GB"/>
              </w:rPr>
            </w:pPr>
            <w:r w:rsidRPr="00F8365F">
              <w:rPr>
                <w:rFonts w:asciiTheme="minorHAnsi" w:hAnsiTheme="minorHAnsi" w:cstheme="minorBidi"/>
                <w:color w:val="495965" w:themeColor="text2"/>
                <w:lang w:val="en-GB"/>
              </w:rPr>
              <w:t xml:space="preserve">Civil Service Commission Public Sector </w:t>
            </w:r>
            <w:r w:rsidRPr="00BF4477">
              <w:rPr>
                <w:rFonts w:asciiTheme="minorHAnsi" w:hAnsiTheme="minorHAnsi" w:cstheme="minorBidi"/>
                <w:color w:val="495965" w:themeColor="text2"/>
                <w:lang w:val="en-GB"/>
              </w:rPr>
              <w:t>Reports and Survey Results</w:t>
            </w:r>
          </w:p>
          <w:p w:rsidR="00F8365F" w:rsidRPr="00F8365F" w:rsidRDefault="00F8365F" w:rsidP="00F8365F">
            <w:pPr>
              <w:pStyle w:val="TableTextEntries"/>
              <w:rPr>
                <w:rFonts w:asciiTheme="minorHAnsi" w:hAnsiTheme="minorHAnsi" w:cstheme="minorBidi"/>
                <w:color w:val="495965" w:themeColor="text2"/>
                <w:lang w:val="en-GB"/>
              </w:rPr>
            </w:pPr>
            <w:r w:rsidRPr="00BF4477">
              <w:rPr>
                <w:rFonts w:asciiTheme="minorHAnsi" w:hAnsiTheme="minorHAnsi" w:cstheme="minorBidi"/>
                <w:color w:val="495965" w:themeColor="text2"/>
                <w:lang w:val="en-GB"/>
              </w:rPr>
              <w:t>Monthly PFM-I Progress Reports</w:t>
            </w:r>
          </w:p>
        </w:tc>
      </w:tr>
      <w:tr w:rsidR="00D66D60" w:rsidTr="00622BA2">
        <w:tc>
          <w:tcPr>
            <w:tcW w:w="2890" w:type="dxa"/>
            <w:vMerge w:val="restart"/>
          </w:tcPr>
          <w:p w:rsidR="00D66D60" w:rsidRPr="002B324F" w:rsidRDefault="00D66D60" w:rsidP="00622BA2">
            <w:pPr>
              <w:keepLines/>
              <w:spacing w:before="0" w:after="40" w:line="200" w:lineRule="atLeast"/>
              <w:rPr>
                <w:rFonts w:eastAsia="Times New Roman"/>
                <w:iCs/>
                <w:sz w:val="17"/>
                <w:szCs w:val="17"/>
              </w:rPr>
            </w:pPr>
            <w:r>
              <w:rPr>
                <w:b/>
                <w:sz w:val="18"/>
                <w:szCs w:val="18"/>
              </w:rPr>
              <w:lastRenderedPageBreak/>
              <w:t>Outcome 4</w:t>
            </w:r>
            <w:r w:rsidRPr="00F8365F">
              <w:rPr>
                <w:b/>
                <w:sz w:val="18"/>
                <w:szCs w:val="18"/>
              </w:rPr>
              <w:t xml:space="preserve">: </w:t>
            </w:r>
            <w:r w:rsidRPr="00DC3354">
              <w:rPr>
                <w:rFonts w:eastAsia="Times New Roman"/>
                <w:iCs/>
                <w:sz w:val="17"/>
                <w:szCs w:val="17"/>
              </w:rPr>
              <w:t>Strengthen Australia’s policy dialogue with the Philippine Government on key issues related economic growth and peace and stability</w:t>
            </w:r>
          </w:p>
        </w:tc>
        <w:tc>
          <w:tcPr>
            <w:tcW w:w="2890" w:type="dxa"/>
          </w:tcPr>
          <w:p w:rsidR="00D66D60" w:rsidRPr="002B324F" w:rsidRDefault="00D66D60" w:rsidP="000E7595">
            <w:pPr>
              <w:pStyle w:val="TableTextEntries"/>
              <w:rPr>
                <w:rFonts w:asciiTheme="minorHAnsi" w:hAnsiTheme="minorHAnsi" w:cstheme="minorBidi"/>
                <w:color w:val="495965" w:themeColor="text2"/>
                <w:lang w:val="en-GB"/>
              </w:rPr>
            </w:pPr>
            <w:r w:rsidRPr="000E7595">
              <w:rPr>
                <w:rFonts w:asciiTheme="minorHAnsi" w:hAnsiTheme="minorHAnsi" w:cstheme="minorBidi"/>
                <w:color w:val="495965" w:themeColor="text2"/>
                <w:lang w:val="en-GB"/>
              </w:rPr>
              <w:t xml:space="preserve">Policy engagement by DFAT with key Philippine Government agencies (e.g. Departments of Budget and Management, Education, Social Welfare and Development, </w:t>
            </w:r>
            <w:r>
              <w:rPr>
                <w:rFonts w:asciiTheme="minorHAnsi" w:hAnsiTheme="minorHAnsi" w:cstheme="minorBidi"/>
                <w:color w:val="495965" w:themeColor="text2"/>
                <w:lang w:val="en-GB"/>
              </w:rPr>
              <w:t>Interior and Local Government) occurs regularly</w:t>
            </w:r>
          </w:p>
        </w:tc>
        <w:tc>
          <w:tcPr>
            <w:tcW w:w="2890" w:type="dxa"/>
          </w:tcPr>
          <w:p w:rsidR="00D66D60" w:rsidRPr="000E7595" w:rsidRDefault="00D66D60" w:rsidP="000E7595">
            <w:pPr>
              <w:pStyle w:val="TableTextEntries"/>
              <w:rPr>
                <w:rFonts w:asciiTheme="minorHAnsi" w:hAnsiTheme="minorHAnsi" w:cstheme="minorBidi"/>
                <w:color w:val="495965" w:themeColor="text2"/>
                <w:lang w:val="en-GB"/>
              </w:rPr>
            </w:pPr>
            <w:r w:rsidRPr="000E7595">
              <w:rPr>
                <w:rFonts w:asciiTheme="minorHAnsi" w:hAnsiTheme="minorHAnsi" w:cstheme="minorBidi"/>
                <w:color w:val="495965" w:themeColor="text2"/>
                <w:lang w:val="en-GB"/>
              </w:rPr>
              <w:t>Management and coordination meetings with:</w:t>
            </w:r>
          </w:p>
          <w:p w:rsidR="00D66D60" w:rsidRPr="000E7595" w:rsidRDefault="00D66D60" w:rsidP="000E7595">
            <w:pPr>
              <w:pStyle w:val="TableTextEntries"/>
              <w:rPr>
                <w:rFonts w:asciiTheme="minorHAnsi" w:hAnsiTheme="minorHAnsi" w:cstheme="minorBidi"/>
                <w:color w:val="495965" w:themeColor="text2"/>
                <w:lang w:val="en-GB"/>
              </w:rPr>
            </w:pPr>
            <w:r w:rsidRPr="000E7595">
              <w:rPr>
                <w:rFonts w:asciiTheme="minorHAnsi" w:hAnsiTheme="minorHAnsi" w:cstheme="minorBidi"/>
                <w:color w:val="495965" w:themeColor="text2"/>
                <w:lang w:val="en-GB"/>
              </w:rPr>
              <w:t>DSWD on the Technical Assistance Facility for Social Protection Reforms</w:t>
            </w:r>
          </w:p>
          <w:p w:rsidR="00D66D60" w:rsidRPr="002B324F" w:rsidRDefault="00D66D60" w:rsidP="000E7595">
            <w:pPr>
              <w:pStyle w:val="TableTextEntries"/>
              <w:rPr>
                <w:rFonts w:asciiTheme="minorHAnsi" w:hAnsiTheme="minorHAnsi" w:cstheme="minorBidi"/>
                <w:color w:val="495965" w:themeColor="text2"/>
                <w:lang w:val="en-GB"/>
              </w:rPr>
            </w:pPr>
          </w:p>
        </w:tc>
        <w:tc>
          <w:tcPr>
            <w:tcW w:w="2891" w:type="dxa"/>
          </w:tcPr>
          <w:p w:rsidR="00070343" w:rsidRPr="000E7595" w:rsidRDefault="00070343" w:rsidP="00070343">
            <w:pPr>
              <w:pStyle w:val="TableTextEntries"/>
              <w:rPr>
                <w:rFonts w:asciiTheme="minorHAnsi" w:hAnsiTheme="minorHAnsi" w:cstheme="minorBidi"/>
                <w:color w:val="495965" w:themeColor="text2"/>
                <w:lang w:val="en-GB"/>
              </w:rPr>
            </w:pPr>
            <w:r w:rsidRPr="000E7595">
              <w:rPr>
                <w:rFonts w:asciiTheme="minorHAnsi" w:hAnsiTheme="minorHAnsi" w:cstheme="minorBidi"/>
                <w:color w:val="495965" w:themeColor="text2"/>
                <w:lang w:val="en-GB"/>
              </w:rPr>
              <w:t>DFAT facilitates at least one Steering Committee Meeting annually with DSWD on Social Protection</w:t>
            </w:r>
          </w:p>
          <w:p w:rsidR="00070343" w:rsidRDefault="00070343" w:rsidP="00070343">
            <w:pPr>
              <w:pStyle w:val="TableTextEntries"/>
              <w:rPr>
                <w:rFonts w:asciiTheme="minorHAnsi" w:hAnsiTheme="minorHAnsi" w:cstheme="minorBidi"/>
                <w:color w:val="495965" w:themeColor="text2"/>
                <w:lang w:val="en-GB"/>
              </w:rPr>
            </w:pPr>
            <w:r w:rsidRPr="000E7595">
              <w:rPr>
                <w:rFonts w:asciiTheme="minorHAnsi" w:hAnsiTheme="minorHAnsi" w:cstheme="minorBidi"/>
                <w:color w:val="495965" w:themeColor="text2"/>
                <w:lang w:val="en-GB"/>
              </w:rPr>
              <w:t>Donors hold at least one donor coordination meeting on Social Protection annually</w:t>
            </w:r>
            <w:r>
              <w:rPr>
                <w:rFonts w:asciiTheme="minorHAnsi" w:hAnsiTheme="minorHAnsi" w:cstheme="minorBidi"/>
                <w:color w:val="495965" w:themeColor="text2"/>
                <w:lang w:val="en-GB"/>
              </w:rPr>
              <w:t>.</w:t>
            </w:r>
          </w:p>
          <w:p w:rsidR="00D66D60" w:rsidRPr="002B324F" w:rsidRDefault="00070343" w:rsidP="00070343">
            <w:pPr>
              <w:pStyle w:val="TableTextEntries"/>
              <w:rPr>
                <w:rFonts w:asciiTheme="minorHAnsi" w:hAnsiTheme="minorHAnsi" w:cstheme="minorBidi"/>
                <w:color w:val="495965" w:themeColor="text2"/>
                <w:lang w:val="en-GB"/>
              </w:rPr>
            </w:pPr>
            <w:r>
              <w:rPr>
                <w:rFonts w:asciiTheme="minorHAnsi" w:hAnsiTheme="minorHAnsi" w:cstheme="minorBidi"/>
                <w:color w:val="495965" w:themeColor="text2"/>
                <w:lang w:val="en-GB"/>
              </w:rPr>
              <w:t>These meetings enable donors and DSWD to coordinate activities and to discuss the policy objective of DSWD, which, as noted in the 2016-17 APPR shifted due to leadership changes in DSWD,  The program was also constrained in 2017-18 due to funds being held in the Bureau of Treasury</w:t>
            </w:r>
          </w:p>
        </w:tc>
        <w:tc>
          <w:tcPr>
            <w:tcW w:w="2891" w:type="dxa"/>
          </w:tcPr>
          <w:p w:rsidR="00D66D60" w:rsidRPr="00D66D60" w:rsidRDefault="00D66D60" w:rsidP="00622BA2">
            <w:pPr>
              <w:keepLines/>
              <w:spacing w:before="0" w:after="40" w:line="200" w:lineRule="atLeast"/>
              <w:rPr>
                <w:iCs/>
                <w:sz w:val="17"/>
                <w:szCs w:val="17"/>
              </w:rPr>
            </w:pPr>
            <w:r w:rsidRPr="00D66D60">
              <w:rPr>
                <w:iCs/>
                <w:sz w:val="17"/>
                <w:szCs w:val="17"/>
              </w:rPr>
              <w:t>DFAT internal reporting</w:t>
            </w:r>
          </w:p>
          <w:p w:rsidR="00D66D60" w:rsidRPr="002B324F" w:rsidRDefault="00D66D60" w:rsidP="00622BA2">
            <w:pPr>
              <w:keepLines/>
              <w:spacing w:before="0" w:after="40" w:line="200" w:lineRule="atLeast"/>
              <w:rPr>
                <w:rFonts w:eastAsia="Times New Roman"/>
                <w:iCs/>
                <w:sz w:val="17"/>
                <w:szCs w:val="17"/>
              </w:rPr>
            </w:pPr>
            <w:r w:rsidRPr="004E4EA2">
              <w:rPr>
                <w:iCs/>
                <w:sz w:val="17"/>
                <w:szCs w:val="17"/>
              </w:rPr>
              <w:t>Steering Committee Meeting documents</w:t>
            </w:r>
          </w:p>
        </w:tc>
      </w:tr>
      <w:tr w:rsidR="00D66D60" w:rsidTr="00622BA2">
        <w:tc>
          <w:tcPr>
            <w:tcW w:w="2890" w:type="dxa"/>
            <w:vMerge/>
          </w:tcPr>
          <w:p w:rsidR="00D66D60" w:rsidRPr="002B324F" w:rsidRDefault="00D66D60" w:rsidP="00622BA2">
            <w:pPr>
              <w:keepLines/>
              <w:spacing w:before="0" w:after="40" w:line="200" w:lineRule="atLeast"/>
              <w:rPr>
                <w:rFonts w:eastAsia="Times New Roman"/>
                <w:iCs/>
                <w:sz w:val="17"/>
                <w:szCs w:val="17"/>
              </w:rPr>
            </w:pPr>
          </w:p>
        </w:tc>
        <w:tc>
          <w:tcPr>
            <w:tcW w:w="2890" w:type="dxa"/>
          </w:tcPr>
          <w:p w:rsidR="00D66D60" w:rsidRPr="002B324F" w:rsidRDefault="00D66D60" w:rsidP="00BF4477">
            <w:pPr>
              <w:keepLines/>
              <w:spacing w:before="0" w:after="40" w:line="200" w:lineRule="atLeast"/>
            </w:pPr>
            <w:r w:rsidRPr="00BF4477">
              <w:rPr>
                <w:rFonts w:eastAsia="Times New Roman"/>
                <w:iCs/>
                <w:sz w:val="17"/>
                <w:szCs w:val="17"/>
              </w:rPr>
              <w:t>Policies and programs use peacebuilding (e.g. Counter Violent Extremism) Research findings, supported by DFAT</w:t>
            </w:r>
          </w:p>
        </w:tc>
        <w:tc>
          <w:tcPr>
            <w:tcW w:w="2890" w:type="dxa"/>
          </w:tcPr>
          <w:p w:rsidR="00D66D60" w:rsidRPr="002B324F" w:rsidRDefault="00D66D60" w:rsidP="00D66D60">
            <w:pPr>
              <w:pStyle w:val="TableTextEntries"/>
              <w:rPr>
                <w:rFonts w:asciiTheme="minorHAnsi" w:hAnsiTheme="minorHAnsi" w:cstheme="minorBidi"/>
                <w:color w:val="495965" w:themeColor="text2"/>
                <w:lang w:val="en-GB"/>
              </w:rPr>
            </w:pPr>
            <w:r w:rsidRPr="000E7595">
              <w:rPr>
                <w:rFonts w:asciiTheme="minorHAnsi" w:hAnsiTheme="minorHAnsi" w:cstheme="minorBidi"/>
                <w:color w:val="495965" w:themeColor="text2"/>
                <w:lang w:val="en-GB"/>
              </w:rPr>
              <w:t>Management</w:t>
            </w:r>
            <w:r>
              <w:rPr>
                <w:rFonts w:asciiTheme="minorHAnsi" w:hAnsiTheme="minorHAnsi" w:cstheme="minorBidi"/>
                <w:color w:val="495965" w:themeColor="text2"/>
                <w:lang w:val="en-GB"/>
              </w:rPr>
              <w:t xml:space="preserve"> and coordination meetings with OPAPP on peace and stability policy and programming.</w:t>
            </w:r>
          </w:p>
        </w:tc>
        <w:tc>
          <w:tcPr>
            <w:tcW w:w="2891" w:type="dxa"/>
          </w:tcPr>
          <w:p w:rsidR="00D66D60" w:rsidRDefault="00D66D60" w:rsidP="00BF4477">
            <w:pPr>
              <w:keepLines/>
              <w:spacing w:before="0" w:after="40" w:line="200" w:lineRule="atLeast"/>
              <w:rPr>
                <w:rFonts w:eastAsia="Times New Roman"/>
                <w:iCs/>
                <w:sz w:val="17"/>
                <w:szCs w:val="17"/>
              </w:rPr>
            </w:pPr>
            <w:r w:rsidRPr="00BF4477">
              <w:rPr>
                <w:rFonts w:eastAsia="Times New Roman"/>
                <w:iCs/>
                <w:sz w:val="17"/>
                <w:szCs w:val="17"/>
              </w:rPr>
              <w:t>Studies on drivers of conflict and averting escalation of violence and resolving conflict commenced</w:t>
            </w:r>
          </w:p>
          <w:p w:rsidR="00D66D60" w:rsidRPr="002B324F" w:rsidRDefault="00D66D60" w:rsidP="00BF4477">
            <w:pPr>
              <w:keepLines/>
              <w:spacing w:before="0" w:after="40" w:line="200" w:lineRule="atLeast"/>
              <w:rPr>
                <w:rFonts w:eastAsia="Times New Roman"/>
                <w:iCs/>
                <w:sz w:val="17"/>
                <w:szCs w:val="17"/>
              </w:rPr>
            </w:pPr>
            <w:r w:rsidRPr="00BF4477">
              <w:rPr>
                <w:rFonts w:eastAsia="Times New Roman"/>
                <w:iCs/>
                <w:sz w:val="17"/>
                <w:szCs w:val="17"/>
              </w:rPr>
              <w:t>Research on understanding the enabling environment for CVE commenced</w:t>
            </w:r>
          </w:p>
        </w:tc>
        <w:tc>
          <w:tcPr>
            <w:tcW w:w="2891" w:type="dxa"/>
          </w:tcPr>
          <w:p w:rsidR="00D66D60" w:rsidRPr="00F8365F" w:rsidRDefault="00D66D60" w:rsidP="00622BA2">
            <w:pPr>
              <w:keepLines/>
              <w:spacing w:before="0" w:after="40" w:line="200" w:lineRule="atLeast"/>
              <w:rPr>
                <w:rFonts w:eastAsia="Times New Roman"/>
                <w:iCs/>
                <w:color w:val="FF0000"/>
                <w:sz w:val="17"/>
                <w:szCs w:val="17"/>
              </w:rPr>
            </w:pPr>
            <w:r w:rsidRPr="00BF4477">
              <w:rPr>
                <w:rFonts w:eastAsia="Times New Roman"/>
                <w:iCs/>
                <w:sz w:val="17"/>
                <w:szCs w:val="17"/>
              </w:rPr>
              <w:t>Peace and Stability Partner Reports</w:t>
            </w:r>
          </w:p>
        </w:tc>
      </w:tr>
    </w:tbl>
    <w:p w:rsidR="00E12348" w:rsidRDefault="00E12348" w:rsidP="00483FC0">
      <w:pPr>
        <w:keepNext/>
        <w:tabs>
          <w:tab w:val="left" w:pos="1560"/>
        </w:tabs>
        <w:spacing w:before="0" w:after="0"/>
        <w:outlineLvl w:val="1"/>
      </w:pPr>
    </w:p>
    <w:tbl>
      <w:tblPr>
        <w:tblStyle w:val="TableGrid"/>
        <w:tblW w:w="0" w:type="auto"/>
        <w:tblLook w:val="04A0" w:firstRow="1" w:lastRow="0" w:firstColumn="1" w:lastColumn="0" w:noHBand="0" w:noVBand="1"/>
      </w:tblPr>
      <w:tblGrid>
        <w:gridCol w:w="2890"/>
        <w:gridCol w:w="2890"/>
        <w:gridCol w:w="2890"/>
        <w:gridCol w:w="2891"/>
        <w:gridCol w:w="2891"/>
      </w:tblGrid>
      <w:tr w:rsidR="00F8365F" w:rsidTr="00622BA2">
        <w:trPr>
          <w:tblHeader/>
        </w:trPr>
        <w:tc>
          <w:tcPr>
            <w:tcW w:w="2890" w:type="dxa"/>
          </w:tcPr>
          <w:p w:rsidR="00F8365F" w:rsidRPr="002B324F" w:rsidRDefault="00F8365F" w:rsidP="00622BA2">
            <w:pPr>
              <w:keepLines/>
              <w:spacing w:before="20" w:after="20" w:line="200" w:lineRule="atLeast"/>
              <w:jc w:val="center"/>
              <w:rPr>
                <w:rFonts w:eastAsia="Times New Roman"/>
                <w:b/>
                <w:iCs/>
                <w:smallCaps/>
                <w:sz w:val="18"/>
                <w:szCs w:val="18"/>
              </w:rPr>
            </w:pPr>
            <w:r>
              <w:rPr>
                <w:b/>
                <w:sz w:val="18"/>
                <w:szCs w:val="18"/>
              </w:rPr>
              <w:t>Australia’s Aid Objective 3</w:t>
            </w:r>
          </w:p>
        </w:tc>
        <w:tc>
          <w:tcPr>
            <w:tcW w:w="11562" w:type="dxa"/>
            <w:gridSpan w:val="4"/>
            <w:vAlign w:val="center"/>
          </w:tcPr>
          <w:p w:rsidR="00F8365F" w:rsidRPr="002B324F" w:rsidRDefault="00F8365F" w:rsidP="00622BA2">
            <w:pPr>
              <w:keepLines/>
              <w:spacing w:before="20" w:after="20" w:line="200" w:lineRule="atLeast"/>
              <w:jc w:val="center"/>
              <w:rPr>
                <w:rFonts w:eastAsia="Times New Roman"/>
                <w:b/>
                <w:iCs/>
                <w:sz w:val="18"/>
                <w:szCs w:val="18"/>
              </w:rPr>
            </w:pPr>
            <w:r>
              <w:rPr>
                <w:b/>
                <w:sz w:val="18"/>
                <w:szCs w:val="18"/>
              </w:rPr>
              <w:t>IMPROVING CONDITIONS FOR PEACE AND STABILITY</w:t>
            </w:r>
          </w:p>
        </w:tc>
      </w:tr>
      <w:tr w:rsidR="00F8365F" w:rsidTr="00622BA2">
        <w:trPr>
          <w:tblHeader/>
        </w:trPr>
        <w:tc>
          <w:tcPr>
            <w:tcW w:w="2890" w:type="dxa"/>
          </w:tcPr>
          <w:p w:rsidR="00F8365F" w:rsidRPr="002B324F" w:rsidRDefault="00F8365F" w:rsidP="00622BA2">
            <w:pPr>
              <w:keepLines/>
              <w:spacing w:before="20" w:after="20" w:line="200" w:lineRule="atLeast"/>
              <w:jc w:val="center"/>
              <w:rPr>
                <w:b/>
                <w:sz w:val="18"/>
                <w:szCs w:val="18"/>
              </w:rPr>
            </w:pPr>
          </w:p>
        </w:tc>
        <w:tc>
          <w:tcPr>
            <w:tcW w:w="2890" w:type="dxa"/>
          </w:tcPr>
          <w:p w:rsidR="00F8365F" w:rsidRPr="002B324F" w:rsidRDefault="00F8365F" w:rsidP="00622BA2">
            <w:pPr>
              <w:keepLines/>
              <w:spacing w:before="20" w:after="20" w:line="200" w:lineRule="atLeast"/>
              <w:jc w:val="center"/>
              <w:rPr>
                <w:b/>
                <w:sz w:val="18"/>
                <w:szCs w:val="18"/>
              </w:rPr>
            </w:pPr>
          </w:p>
        </w:tc>
        <w:tc>
          <w:tcPr>
            <w:tcW w:w="8672" w:type="dxa"/>
            <w:gridSpan w:val="3"/>
          </w:tcPr>
          <w:p w:rsidR="00F8365F" w:rsidRPr="002B324F" w:rsidRDefault="00F8365F" w:rsidP="00622BA2">
            <w:pPr>
              <w:keepLines/>
              <w:spacing w:before="20" w:after="20" w:line="200" w:lineRule="atLeast"/>
              <w:jc w:val="center"/>
              <w:rPr>
                <w:b/>
                <w:sz w:val="18"/>
                <w:szCs w:val="18"/>
              </w:rPr>
            </w:pPr>
            <w:r w:rsidRPr="002B324F">
              <w:rPr>
                <w:b/>
                <w:iCs/>
                <w:sz w:val="18"/>
                <w:szCs w:val="18"/>
              </w:rPr>
              <w:t>Annual Progress Targets/Milestones</w:t>
            </w:r>
          </w:p>
        </w:tc>
      </w:tr>
      <w:tr w:rsidR="00F8365F" w:rsidTr="00622BA2">
        <w:trPr>
          <w:tblHeader/>
        </w:trPr>
        <w:tc>
          <w:tcPr>
            <w:tcW w:w="2890" w:type="dxa"/>
          </w:tcPr>
          <w:p w:rsidR="00F8365F" w:rsidRPr="002B324F" w:rsidRDefault="00F8365F" w:rsidP="00622BA2">
            <w:pPr>
              <w:keepLines/>
              <w:spacing w:before="20" w:after="20" w:line="200" w:lineRule="atLeast"/>
              <w:jc w:val="center"/>
              <w:rPr>
                <w:b/>
                <w:sz w:val="18"/>
                <w:szCs w:val="18"/>
              </w:rPr>
            </w:pPr>
            <w:r w:rsidRPr="002B324F">
              <w:rPr>
                <w:b/>
                <w:sz w:val="18"/>
                <w:szCs w:val="18"/>
              </w:rPr>
              <w:t>Intermediate outcome</w:t>
            </w:r>
          </w:p>
        </w:tc>
        <w:tc>
          <w:tcPr>
            <w:tcW w:w="2890" w:type="dxa"/>
          </w:tcPr>
          <w:p w:rsidR="00F8365F" w:rsidRPr="002B324F" w:rsidRDefault="00F8365F" w:rsidP="00622BA2">
            <w:pPr>
              <w:keepLines/>
              <w:spacing w:before="20" w:after="20" w:line="200" w:lineRule="atLeast"/>
              <w:jc w:val="center"/>
              <w:rPr>
                <w:b/>
                <w:sz w:val="18"/>
                <w:szCs w:val="18"/>
              </w:rPr>
            </w:pPr>
            <w:r w:rsidRPr="002B324F">
              <w:rPr>
                <w:b/>
                <w:sz w:val="18"/>
                <w:szCs w:val="18"/>
              </w:rPr>
              <w:t>Intermediate outcome indicators</w:t>
            </w:r>
          </w:p>
        </w:tc>
        <w:tc>
          <w:tcPr>
            <w:tcW w:w="2890" w:type="dxa"/>
          </w:tcPr>
          <w:p w:rsidR="00F8365F" w:rsidRPr="002B324F" w:rsidRDefault="00F8365F" w:rsidP="00622BA2">
            <w:pPr>
              <w:keepLines/>
              <w:spacing w:before="20" w:after="20" w:line="200" w:lineRule="atLeast"/>
              <w:jc w:val="center"/>
              <w:rPr>
                <w:b/>
                <w:sz w:val="18"/>
                <w:szCs w:val="18"/>
              </w:rPr>
            </w:pPr>
            <w:r w:rsidRPr="002B324F">
              <w:rPr>
                <w:b/>
                <w:sz w:val="18"/>
                <w:szCs w:val="18"/>
              </w:rPr>
              <w:t>2016-17</w:t>
            </w:r>
          </w:p>
        </w:tc>
        <w:tc>
          <w:tcPr>
            <w:tcW w:w="2891" w:type="dxa"/>
          </w:tcPr>
          <w:p w:rsidR="00F8365F" w:rsidRPr="002B324F" w:rsidRDefault="00F8365F" w:rsidP="00622BA2">
            <w:pPr>
              <w:keepLines/>
              <w:spacing w:before="20" w:after="20" w:line="200" w:lineRule="atLeast"/>
              <w:jc w:val="center"/>
              <w:rPr>
                <w:b/>
                <w:sz w:val="18"/>
                <w:szCs w:val="18"/>
              </w:rPr>
            </w:pPr>
            <w:r w:rsidRPr="002B324F">
              <w:rPr>
                <w:b/>
                <w:sz w:val="18"/>
                <w:szCs w:val="18"/>
              </w:rPr>
              <w:t>2017-18</w:t>
            </w:r>
          </w:p>
        </w:tc>
        <w:tc>
          <w:tcPr>
            <w:tcW w:w="2891" w:type="dxa"/>
          </w:tcPr>
          <w:p w:rsidR="00F8365F" w:rsidRPr="002B324F" w:rsidRDefault="00F8365F" w:rsidP="00622BA2">
            <w:pPr>
              <w:keepLines/>
              <w:spacing w:before="20" w:after="20" w:line="200" w:lineRule="atLeast"/>
              <w:jc w:val="center"/>
              <w:rPr>
                <w:b/>
                <w:sz w:val="18"/>
                <w:szCs w:val="18"/>
              </w:rPr>
            </w:pPr>
            <w:r w:rsidRPr="002B324F">
              <w:rPr>
                <w:b/>
                <w:sz w:val="18"/>
                <w:szCs w:val="18"/>
              </w:rPr>
              <w:t>Data source and baseline</w:t>
            </w:r>
          </w:p>
        </w:tc>
      </w:tr>
      <w:tr w:rsidR="00DC3354" w:rsidTr="00622BA2">
        <w:tc>
          <w:tcPr>
            <w:tcW w:w="2890" w:type="dxa"/>
            <w:vMerge w:val="restart"/>
          </w:tcPr>
          <w:p w:rsidR="00DC3354" w:rsidRPr="00113CC3" w:rsidRDefault="00DC3354" w:rsidP="00113CC3">
            <w:pPr>
              <w:pStyle w:val="TableTextEntries"/>
              <w:spacing w:before="0"/>
              <w:rPr>
                <w:rFonts w:asciiTheme="minorHAnsi" w:hAnsiTheme="minorHAnsi" w:cstheme="minorBidi"/>
                <w:color w:val="495965" w:themeColor="text2"/>
                <w:lang w:val="en-GB"/>
              </w:rPr>
            </w:pPr>
            <w:r w:rsidRPr="00113CC3">
              <w:rPr>
                <w:rFonts w:asciiTheme="minorHAnsi" w:hAnsiTheme="minorHAnsi" w:cstheme="minorBidi"/>
                <w:b/>
                <w:color w:val="495965" w:themeColor="text2"/>
                <w:lang w:val="en-GB"/>
              </w:rPr>
              <w:t>Outcome 1:</w:t>
            </w:r>
            <w:r w:rsidRPr="00113CC3">
              <w:rPr>
                <w:rFonts w:asciiTheme="minorHAnsi" w:hAnsiTheme="minorHAnsi" w:cstheme="minorBidi"/>
                <w:color w:val="495965" w:themeColor="text2"/>
                <w:lang w:val="en-GB"/>
              </w:rPr>
              <w:t xml:space="preserve"> Peace process more credible and widely supported</w:t>
            </w:r>
          </w:p>
        </w:tc>
        <w:tc>
          <w:tcPr>
            <w:tcW w:w="2890" w:type="dxa"/>
          </w:tcPr>
          <w:p w:rsidR="00DC3354" w:rsidRDefault="00DC3354" w:rsidP="00113CC3">
            <w:pPr>
              <w:pStyle w:val="TableTextEntries"/>
              <w:spacing w:before="0"/>
              <w:rPr>
                <w:rFonts w:asciiTheme="minorHAnsi" w:hAnsiTheme="minorHAnsi" w:cstheme="minorBidi"/>
                <w:color w:val="495965" w:themeColor="text2"/>
                <w:lang w:val="en-GB"/>
              </w:rPr>
            </w:pPr>
            <w:r w:rsidRPr="00113CC3">
              <w:rPr>
                <w:rFonts w:asciiTheme="minorHAnsi" w:hAnsiTheme="minorHAnsi" w:cstheme="minorBidi"/>
                <w:color w:val="495965" w:themeColor="text2"/>
                <w:lang w:val="en-GB"/>
              </w:rPr>
              <w:t>Peace agreement understood supported within the Bangsamoro Autonomous Political Entity (BAPE)</w:t>
            </w:r>
            <w:r>
              <w:rPr>
                <w:rFonts w:asciiTheme="minorHAnsi" w:hAnsiTheme="minorHAnsi" w:cstheme="minorBidi"/>
                <w:color w:val="495965" w:themeColor="text2"/>
                <w:lang w:val="en-GB"/>
              </w:rPr>
              <w:t xml:space="preserve"> as measured by: </w:t>
            </w:r>
          </w:p>
          <w:p w:rsidR="00DC3354" w:rsidRDefault="00DC3354" w:rsidP="009D5F40">
            <w:pPr>
              <w:pStyle w:val="ListParagraph"/>
              <w:keepLines/>
              <w:numPr>
                <w:ilvl w:val="0"/>
                <w:numId w:val="17"/>
              </w:numPr>
              <w:spacing w:after="40" w:line="200" w:lineRule="atLeast"/>
              <w:ind w:left="261" w:hanging="219"/>
              <w:rPr>
                <w:rFonts w:asciiTheme="minorHAnsi" w:hAnsiTheme="minorHAnsi" w:cstheme="minorBidi"/>
                <w:color w:val="495965" w:themeColor="text2"/>
                <w:sz w:val="17"/>
                <w:szCs w:val="17"/>
                <w:lang w:val="en-GB"/>
              </w:rPr>
            </w:pPr>
            <w:r>
              <w:rPr>
                <w:rFonts w:asciiTheme="minorHAnsi" w:hAnsiTheme="minorHAnsi" w:cstheme="minorBidi"/>
                <w:color w:val="495965" w:themeColor="text2"/>
                <w:sz w:val="17"/>
                <w:szCs w:val="17"/>
                <w:lang w:val="en-GB"/>
              </w:rPr>
              <w:t>results of perception surveys</w:t>
            </w:r>
          </w:p>
          <w:p w:rsidR="00DC3354" w:rsidRPr="00113CC3" w:rsidRDefault="00DC3354" w:rsidP="009D5F40">
            <w:pPr>
              <w:pStyle w:val="ListParagraph"/>
              <w:keepLines/>
              <w:numPr>
                <w:ilvl w:val="0"/>
                <w:numId w:val="17"/>
              </w:numPr>
              <w:spacing w:after="40" w:line="200" w:lineRule="atLeast"/>
              <w:ind w:left="261" w:hanging="219"/>
              <w:rPr>
                <w:rFonts w:asciiTheme="minorHAnsi" w:hAnsiTheme="minorHAnsi" w:cstheme="minorBidi"/>
                <w:color w:val="495965" w:themeColor="text2"/>
                <w:sz w:val="17"/>
                <w:szCs w:val="17"/>
                <w:lang w:val="en-GB"/>
              </w:rPr>
            </w:pPr>
            <w:r>
              <w:rPr>
                <w:rFonts w:asciiTheme="minorHAnsi" w:hAnsiTheme="minorHAnsi" w:cstheme="minorBidi"/>
                <w:color w:val="495965" w:themeColor="text2"/>
                <w:sz w:val="17"/>
                <w:szCs w:val="17"/>
                <w:lang w:val="en-GB"/>
              </w:rPr>
              <w:t>networks formed and have the capacity to engage in joint political action</w:t>
            </w:r>
          </w:p>
          <w:p w:rsidR="00DC3354" w:rsidRPr="00113CC3" w:rsidRDefault="008D6EAE" w:rsidP="00113CC3">
            <w:pPr>
              <w:pStyle w:val="TableTextEntries"/>
              <w:spacing w:before="0"/>
              <w:rPr>
                <w:rFonts w:asciiTheme="minorHAnsi" w:hAnsiTheme="minorHAnsi" w:cstheme="minorBidi"/>
                <w:color w:val="495965" w:themeColor="text2"/>
                <w:lang w:val="en-GB"/>
              </w:rPr>
            </w:pPr>
            <w:r w:rsidRPr="00113CC3">
              <w:rPr>
                <w:rFonts w:asciiTheme="minorHAnsi" w:hAnsiTheme="minorHAnsi" w:cstheme="minorBidi"/>
                <w:color w:val="495965" w:themeColor="text2"/>
                <w:lang w:val="en-GB"/>
              </w:rPr>
              <w:t>DFAT programs are aligned with the peace and development framework of the new Philippine Government administration</w:t>
            </w:r>
          </w:p>
        </w:tc>
        <w:tc>
          <w:tcPr>
            <w:tcW w:w="2890" w:type="dxa"/>
          </w:tcPr>
          <w:p w:rsidR="00DC3354" w:rsidRPr="00113CC3" w:rsidRDefault="00DC3354" w:rsidP="00113CC3">
            <w:pPr>
              <w:pStyle w:val="TableTextEntries"/>
              <w:spacing w:before="0"/>
              <w:rPr>
                <w:rFonts w:asciiTheme="minorHAnsi" w:hAnsiTheme="minorHAnsi" w:cstheme="minorBidi"/>
                <w:color w:val="495965" w:themeColor="text2"/>
                <w:lang w:val="en-GB"/>
              </w:rPr>
            </w:pPr>
            <w:r w:rsidRPr="00113CC3">
              <w:rPr>
                <w:rFonts w:asciiTheme="minorHAnsi" w:hAnsiTheme="minorHAnsi" w:cstheme="minorBidi"/>
                <w:color w:val="495965" w:themeColor="text2"/>
                <w:lang w:val="en-GB"/>
              </w:rPr>
              <w:t>Results of perception surveys conducted nationwide and within the proposed BAPE territory used by OPAPP and the Transitional Authority to measure support for the transition</w:t>
            </w:r>
          </w:p>
          <w:p w:rsidR="00DC3354" w:rsidRPr="00113CC3" w:rsidRDefault="00DC3354" w:rsidP="00113CC3">
            <w:pPr>
              <w:pStyle w:val="TableTextEntries"/>
              <w:spacing w:before="0"/>
              <w:rPr>
                <w:rFonts w:asciiTheme="minorHAnsi" w:hAnsiTheme="minorHAnsi" w:cstheme="minorBidi"/>
                <w:color w:val="495965" w:themeColor="text2"/>
                <w:lang w:val="en-GB"/>
              </w:rPr>
            </w:pPr>
          </w:p>
        </w:tc>
        <w:tc>
          <w:tcPr>
            <w:tcW w:w="2891" w:type="dxa"/>
          </w:tcPr>
          <w:p w:rsidR="007E6F34" w:rsidRPr="009524DC" w:rsidRDefault="007E6F34" w:rsidP="007E6F34">
            <w:pPr>
              <w:pStyle w:val="TableTextEntries"/>
              <w:spacing w:before="0"/>
              <w:rPr>
                <w:rFonts w:asciiTheme="minorHAnsi" w:hAnsiTheme="minorHAnsi" w:cstheme="minorBidi"/>
                <w:color w:val="495965" w:themeColor="text2"/>
                <w:lang w:val="en-GB"/>
              </w:rPr>
            </w:pPr>
            <w:r w:rsidRPr="009524DC">
              <w:rPr>
                <w:rFonts w:asciiTheme="minorHAnsi" w:hAnsiTheme="minorHAnsi" w:cstheme="minorBidi"/>
                <w:color w:val="495965" w:themeColor="text2"/>
                <w:lang w:val="en-GB"/>
              </w:rPr>
              <w:t>Two perception surveys conducted nationwide and within the proposed Bangsamoro territory have been used by the OPAPP and the Transitional Authority to mea</w:t>
            </w:r>
            <w:r>
              <w:rPr>
                <w:rFonts w:asciiTheme="minorHAnsi" w:hAnsiTheme="minorHAnsi" w:cstheme="minorBidi"/>
                <w:color w:val="495965" w:themeColor="text2"/>
                <w:lang w:val="en-GB"/>
              </w:rPr>
              <w:t>sure support for the transition</w:t>
            </w:r>
          </w:p>
          <w:p w:rsidR="00DC3354" w:rsidRPr="00113CC3" w:rsidRDefault="007E6F34" w:rsidP="00070343">
            <w:pPr>
              <w:pStyle w:val="TableTextEntries"/>
              <w:spacing w:before="0"/>
              <w:rPr>
                <w:rFonts w:asciiTheme="minorHAnsi" w:hAnsiTheme="minorHAnsi" w:cstheme="minorBidi"/>
                <w:color w:val="495965" w:themeColor="text2"/>
                <w:lang w:val="en-GB"/>
              </w:rPr>
            </w:pPr>
            <w:r w:rsidRPr="009524DC">
              <w:rPr>
                <w:rFonts w:asciiTheme="minorHAnsi" w:hAnsiTheme="minorHAnsi" w:cstheme="minorBidi"/>
                <w:color w:val="495965" w:themeColor="text2"/>
                <w:lang w:val="en-GB"/>
              </w:rPr>
              <w:t>Six networks among various Bangsamoro civil society stakeholders have been established and their capacity to engage in joint political action improved, with support from DFAT</w:t>
            </w:r>
          </w:p>
        </w:tc>
        <w:tc>
          <w:tcPr>
            <w:tcW w:w="2891" w:type="dxa"/>
          </w:tcPr>
          <w:p w:rsidR="00DC3354" w:rsidRPr="00113CC3" w:rsidRDefault="00DC3354" w:rsidP="00113CC3">
            <w:pPr>
              <w:pStyle w:val="TableTextEntries"/>
              <w:spacing w:before="0"/>
              <w:rPr>
                <w:rFonts w:asciiTheme="minorHAnsi" w:hAnsiTheme="minorHAnsi" w:cstheme="minorBidi"/>
                <w:color w:val="495965" w:themeColor="text2"/>
                <w:lang w:val="en-GB"/>
              </w:rPr>
            </w:pPr>
            <w:r w:rsidRPr="00113CC3">
              <w:rPr>
                <w:rFonts w:asciiTheme="minorHAnsi" w:hAnsiTheme="minorHAnsi" w:cstheme="minorBidi"/>
                <w:color w:val="495965" w:themeColor="text2"/>
                <w:lang w:val="en-GB"/>
              </w:rPr>
              <w:t>Social Weather Station Surveys supported through an NGO partner</w:t>
            </w:r>
          </w:p>
          <w:p w:rsidR="00DC3354" w:rsidRDefault="00DC3354" w:rsidP="00113CC3">
            <w:pPr>
              <w:pStyle w:val="TableTextEntries"/>
              <w:spacing w:before="0"/>
              <w:rPr>
                <w:rFonts w:asciiTheme="minorHAnsi" w:hAnsiTheme="minorHAnsi" w:cstheme="minorBidi"/>
                <w:color w:val="495965" w:themeColor="text2"/>
                <w:lang w:val="en-GB"/>
              </w:rPr>
            </w:pPr>
            <w:r w:rsidRPr="00113CC3">
              <w:rPr>
                <w:rFonts w:asciiTheme="minorHAnsi" w:hAnsiTheme="minorHAnsi" w:cstheme="minorBidi"/>
                <w:color w:val="495965" w:themeColor="text2"/>
                <w:lang w:val="en-GB"/>
              </w:rPr>
              <w:t>NGO partner reports</w:t>
            </w:r>
          </w:p>
          <w:p w:rsidR="008D6EAE" w:rsidRPr="00113CC3" w:rsidRDefault="008D6EAE" w:rsidP="00113CC3">
            <w:pPr>
              <w:pStyle w:val="TableTextEntries"/>
              <w:spacing w:before="0"/>
              <w:rPr>
                <w:rFonts w:asciiTheme="minorHAnsi" w:hAnsiTheme="minorHAnsi" w:cstheme="minorBidi"/>
                <w:color w:val="495965" w:themeColor="text2"/>
                <w:lang w:val="en-GB"/>
              </w:rPr>
            </w:pPr>
            <w:r w:rsidRPr="00BF4477">
              <w:rPr>
                <w:rFonts w:asciiTheme="minorHAnsi" w:hAnsiTheme="minorHAnsi" w:cstheme="minorBidi"/>
                <w:color w:val="495965" w:themeColor="text2"/>
                <w:lang w:val="en-GB"/>
              </w:rPr>
              <w:t>6-monthly Partner Progress Reports</w:t>
            </w:r>
          </w:p>
        </w:tc>
      </w:tr>
      <w:tr w:rsidR="00070343" w:rsidTr="00622BA2">
        <w:tc>
          <w:tcPr>
            <w:tcW w:w="2890" w:type="dxa"/>
            <w:vMerge/>
          </w:tcPr>
          <w:p w:rsidR="00070343" w:rsidRPr="00113CC3" w:rsidRDefault="00070343" w:rsidP="00070343">
            <w:pPr>
              <w:pStyle w:val="TableTextEntries"/>
              <w:spacing w:before="0"/>
              <w:rPr>
                <w:rFonts w:asciiTheme="minorHAnsi" w:hAnsiTheme="minorHAnsi" w:cstheme="minorBidi"/>
                <w:color w:val="495965" w:themeColor="text2"/>
                <w:lang w:val="en-GB"/>
              </w:rPr>
            </w:pPr>
          </w:p>
        </w:tc>
        <w:tc>
          <w:tcPr>
            <w:tcW w:w="2890" w:type="dxa"/>
          </w:tcPr>
          <w:p w:rsidR="00070343" w:rsidRPr="00113CC3" w:rsidRDefault="00070343" w:rsidP="00070343">
            <w:pPr>
              <w:pStyle w:val="TableTextEntries"/>
              <w:spacing w:before="0"/>
              <w:rPr>
                <w:rFonts w:asciiTheme="minorHAnsi" w:hAnsiTheme="minorHAnsi" w:cstheme="minorBidi"/>
                <w:color w:val="495965" w:themeColor="text2"/>
                <w:lang w:val="en-GB"/>
              </w:rPr>
            </w:pPr>
            <w:r w:rsidRPr="00113CC3">
              <w:rPr>
                <w:rFonts w:asciiTheme="minorHAnsi" w:hAnsiTheme="minorHAnsi" w:cstheme="minorBidi"/>
                <w:color w:val="495965" w:themeColor="text2"/>
                <w:lang w:val="en-GB"/>
              </w:rPr>
              <w:t>Women more actively participating in peace building and political reform and dialogue</w:t>
            </w:r>
          </w:p>
        </w:tc>
        <w:tc>
          <w:tcPr>
            <w:tcW w:w="2890" w:type="dxa"/>
          </w:tcPr>
          <w:p w:rsidR="00070343" w:rsidRPr="00113CC3" w:rsidRDefault="00070343" w:rsidP="00070343">
            <w:pPr>
              <w:pStyle w:val="TableTextEntries"/>
              <w:spacing w:before="0"/>
              <w:rPr>
                <w:rFonts w:asciiTheme="minorHAnsi" w:hAnsiTheme="minorHAnsi" w:cstheme="minorBidi"/>
                <w:color w:val="495965" w:themeColor="text2"/>
                <w:lang w:val="en-GB"/>
              </w:rPr>
            </w:pPr>
            <w:r w:rsidRPr="00113CC3">
              <w:rPr>
                <w:rFonts w:asciiTheme="minorHAnsi" w:hAnsiTheme="minorHAnsi" w:cstheme="minorBidi"/>
                <w:color w:val="495965" w:themeColor="text2"/>
                <w:lang w:val="en-GB"/>
              </w:rPr>
              <w:t>Gender balance in consultation teams</w:t>
            </w:r>
          </w:p>
          <w:p w:rsidR="00070343" w:rsidRPr="00113CC3" w:rsidRDefault="00070343" w:rsidP="00070343">
            <w:pPr>
              <w:pStyle w:val="Bullet1"/>
              <w:spacing w:after="40"/>
              <w:rPr>
                <w:rFonts w:eastAsia="Times New Roman"/>
                <w:iCs/>
                <w:sz w:val="17"/>
                <w:szCs w:val="17"/>
              </w:rPr>
            </w:pPr>
            <w:r w:rsidRPr="00113CC3">
              <w:rPr>
                <w:rFonts w:eastAsia="Times New Roman"/>
                <w:iCs/>
                <w:sz w:val="17"/>
                <w:szCs w:val="17"/>
              </w:rPr>
              <w:t>3,000 women at public consultations</w:t>
            </w:r>
          </w:p>
          <w:p w:rsidR="00070343" w:rsidRPr="00113CC3" w:rsidRDefault="00070343" w:rsidP="00070343">
            <w:pPr>
              <w:pStyle w:val="Bullet1"/>
              <w:spacing w:after="40"/>
              <w:rPr>
                <w:rFonts w:eastAsia="Times New Roman"/>
                <w:iCs/>
                <w:sz w:val="17"/>
                <w:szCs w:val="17"/>
              </w:rPr>
            </w:pPr>
            <w:r w:rsidRPr="00113CC3">
              <w:rPr>
                <w:rFonts w:eastAsia="Times New Roman"/>
                <w:iCs/>
                <w:sz w:val="17"/>
                <w:szCs w:val="17"/>
              </w:rPr>
              <w:t>30 women specific consultations</w:t>
            </w:r>
          </w:p>
        </w:tc>
        <w:tc>
          <w:tcPr>
            <w:tcW w:w="2891" w:type="dxa"/>
          </w:tcPr>
          <w:p w:rsidR="00070343" w:rsidRPr="00A63E16" w:rsidRDefault="00070343" w:rsidP="00070343">
            <w:pPr>
              <w:pStyle w:val="TableTextEntries"/>
              <w:spacing w:before="0"/>
              <w:rPr>
                <w:rFonts w:asciiTheme="minorHAnsi" w:hAnsiTheme="minorHAnsi" w:cstheme="minorBidi"/>
                <w:color w:val="495965" w:themeColor="text2"/>
                <w:lang w:val="en-GB"/>
              </w:rPr>
            </w:pPr>
            <w:r w:rsidRPr="00A63E16">
              <w:rPr>
                <w:rFonts w:asciiTheme="minorHAnsi" w:hAnsiTheme="minorHAnsi" w:cstheme="minorBidi"/>
                <w:color w:val="495965" w:themeColor="text2"/>
                <w:lang w:val="en-GB"/>
              </w:rPr>
              <w:t>Gender balance in consultation teams, supported by DFAT</w:t>
            </w:r>
          </w:p>
          <w:p w:rsidR="00070343" w:rsidRPr="00A63E16" w:rsidRDefault="00070343" w:rsidP="00070343">
            <w:pPr>
              <w:pStyle w:val="Bullet1"/>
              <w:spacing w:after="40"/>
              <w:rPr>
                <w:rFonts w:eastAsia="Times New Roman"/>
                <w:iCs/>
                <w:sz w:val="17"/>
                <w:szCs w:val="17"/>
              </w:rPr>
            </w:pPr>
            <w:r w:rsidRPr="00A63E16">
              <w:rPr>
                <w:rFonts w:eastAsia="Times New Roman"/>
                <w:iCs/>
                <w:sz w:val="17"/>
                <w:szCs w:val="17"/>
              </w:rPr>
              <w:t>3,000 women at public consultations</w:t>
            </w:r>
          </w:p>
          <w:p w:rsidR="00070343" w:rsidRDefault="00070343" w:rsidP="00070343">
            <w:pPr>
              <w:pStyle w:val="Bullet1"/>
              <w:spacing w:after="40"/>
              <w:rPr>
                <w:rFonts w:eastAsia="Times New Roman"/>
                <w:iCs/>
                <w:sz w:val="17"/>
                <w:szCs w:val="17"/>
              </w:rPr>
            </w:pPr>
            <w:r w:rsidRPr="00A63E16">
              <w:rPr>
                <w:rFonts w:eastAsia="Times New Roman"/>
                <w:iCs/>
                <w:sz w:val="17"/>
                <w:szCs w:val="17"/>
              </w:rPr>
              <w:t>30 women specific consultations</w:t>
            </w:r>
          </w:p>
          <w:p w:rsidR="00070343" w:rsidRPr="00A63E16" w:rsidRDefault="007E6F34" w:rsidP="003C084F">
            <w:pPr>
              <w:pStyle w:val="Bullet1"/>
              <w:numPr>
                <w:ilvl w:val="0"/>
                <w:numId w:val="0"/>
              </w:numPr>
              <w:spacing w:after="40"/>
              <w:rPr>
                <w:rFonts w:eastAsia="Times New Roman"/>
                <w:iCs/>
                <w:sz w:val="17"/>
                <w:szCs w:val="17"/>
              </w:rPr>
            </w:pPr>
            <w:r>
              <w:rPr>
                <w:rFonts w:eastAsia="Times New Roman"/>
                <w:iCs/>
                <w:sz w:val="17"/>
                <w:szCs w:val="17"/>
              </w:rPr>
              <w:t>These figures were the target for over two years</w:t>
            </w:r>
          </w:p>
        </w:tc>
        <w:tc>
          <w:tcPr>
            <w:tcW w:w="2891" w:type="dxa"/>
          </w:tcPr>
          <w:p w:rsidR="00070343" w:rsidRPr="00113CC3" w:rsidRDefault="00070343" w:rsidP="00070343">
            <w:pPr>
              <w:pStyle w:val="TableTextEntries"/>
              <w:spacing w:before="0"/>
              <w:rPr>
                <w:rFonts w:asciiTheme="minorHAnsi" w:hAnsiTheme="minorHAnsi" w:cstheme="minorBidi"/>
                <w:color w:val="495965" w:themeColor="text2"/>
                <w:lang w:val="en-GB"/>
              </w:rPr>
            </w:pPr>
            <w:r w:rsidRPr="00113CC3">
              <w:rPr>
                <w:rFonts w:asciiTheme="minorHAnsi" w:hAnsiTheme="minorHAnsi" w:cstheme="minorBidi"/>
                <w:color w:val="495965" w:themeColor="text2"/>
                <w:lang w:val="en-GB"/>
              </w:rPr>
              <w:t>Social Weather Station Surveys supported through an NGO partner</w:t>
            </w:r>
          </w:p>
          <w:p w:rsidR="00070343" w:rsidRDefault="00070343" w:rsidP="00070343">
            <w:pPr>
              <w:pStyle w:val="TableTextEntries"/>
              <w:spacing w:before="0"/>
              <w:rPr>
                <w:rFonts w:asciiTheme="minorHAnsi" w:hAnsiTheme="minorHAnsi" w:cstheme="minorBidi"/>
                <w:color w:val="495965" w:themeColor="text2"/>
                <w:lang w:val="en-GB"/>
              </w:rPr>
            </w:pPr>
            <w:r w:rsidRPr="00113CC3">
              <w:rPr>
                <w:rFonts w:asciiTheme="minorHAnsi" w:hAnsiTheme="minorHAnsi" w:cstheme="minorBidi"/>
                <w:color w:val="495965" w:themeColor="text2"/>
                <w:lang w:val="en-GB"/>
              </w:rPr>
              <w:t>NGO partner reports</w:t>
            </w:r>
          </w:p>
          <w:p w:rsidR="00070343" w:rsidRPr="00113CC3" w:rsidRDefault="00070343" w:rsidP="00070343">
            <w:pPr>
              <w:pStyle w:val="TableTextEntries"/>
              <w:spacing w:before="0"/>
              <w:rPr>
                <w:rFonts w:asciiTheme="minorHAnsi" w:hAnsiTheme="minorHAnsi" w:cstheme="minorBidi"/>
                <w:color w:val="495965" w:themeColor="text2"/>
                <w:lang w:val="en-GB"/>
              </w:rPr>
            </w:pPr>
            <w:r w:rsidRPr="00BF4477">
              <w:rPr>
                <w:rFonts w:asciiTheme="minorHAnsi" w:hAnsiTheme="minorHAnsi" w:cstheme="minorBidi"/>
                <w:color w:val="495965" w:themeColor="text2"/>
                <w:lang w:val="en-GB"/>
              </w:rPr>
              <w:t>6-monthly Partner Progress Reports</w:t>
            </w:r>
          </w:p>
        </w:tc>
      </w:tr>
      <w:tr w:rsidR="00070343" w:rsidTr="00622BA2">
        <w:tc>
          <w:tcPr>
            <w:tcW w:w="2890" w:type="dxa"/>
          </w:tcPr>
          <w:p w:rsidR="00070343" w:rsidRPr="00113CC3" w:rsidRDefault="00070343" w:rsidP="00070343">
            <w:pPr>
              <w:pStyle w:val="TableTextEntries"/>
              <w:spacing w:before="0"/>
              <w:rPr>
                <w:rFonts w:asciiTheme="minorHAnsi" w:hAnsiTheme="minorHAnsi" w:cstheme="minorBidi"/>
                <w:color w:val="495965" w:themeColor="text2"/>
                <w:lang w:val="en-GB"/>
              </w:rPr>
            </w:pPr>
            <w:r w:rsidRPr="00113CC3">
              <w:rPr>
                <w:rFonts w:asciiTheme="minorHAnsi" w:hAnsiTheme="minorHAnsi" w:cstheme="minorBidi"/>
                <w:b/>
                <w:color w:val="495965" w:themeColor="text2"/>
                <w:lang w:val="en-GB"/>
              </w:rPr>
              <w:t>Outcome 2:</w:t>
            </w:r>
            <w:r w:rsidRPr="00113CC3">
              <w:rPr>
                <w:rFonts w:asciiTheme="minorHAnsi" w:hAnsiTheme="minorHAnsi" w:cstheme="minorBidi"/>
                <w:color w:val="495965" w:themeColor="text2"/>
                <w:lang w:val="en-GB"/>
              </w:rPr>
              <w:t xml:space="preserve"> Institutional capacity to implement/convergence of peace agreements and engagement in political dialogue improved</w:t>
            </w:r>
          </w:p>
        </w:tc>
        <w:tc>
          <w:tcPr>
            <w:tcW w:w="2890" w:type="dxa"/>
          </w:tcPr>
          <w:p w:rsidR="00070343" w:rsidRPr="00113CC3" w:rsidRDefault="00070343" w:rsidP="00070343">
            <w:pPr>
              <w:pStyle w:val="TableTextEntries"/>
              <w:spacing w:before="0"/>
              <w:rPr>
                <w:rFonts w:asciiTheme="minorHAnsi" w:hAnsiTheme="minorHAnsi" w:cstheme="minorBidi"/>
                <w:color w:val="495965" w:themeColor="text2"/>
                <w:lang w:val="en-GB"/>
              </w:rPr>
            </w:pPr>
            <w:r w:rsidRPr="00113CC3">
              <w:rPr>
                <w:rFonts w:asciiTheme="minorHAnsi" w:hAnsiTheme="minorHAnsi" w:cstheme="minorBidi"/>
                <w:color w:val="495965" w:themeColor="text2"/>
                <w:lang w:val="en-GB"/>
              </w:rPr>
              <w:t>Technical and operational support provided to institutions of the peace process to better deliver their mandate</w:t>
            </w:r>
          </w:p>
        </w:tc>
        <w:tc>
          <w:tcPr>
            <w:tcW w:w="2890" w:type="dxa"/>
          </w:tcPr>
          <w:p w:rsidR="00070343" w:rsidRPr="00113CC3" w:rsidRDefault="00070343" w:rsidP="00070343">
            <w:pPr>
              <w:pStyle w:val="TableTextEntries"/>
              <w:spacing w:before="0"/>
              <w:rPr>
                <w:rFonts w:asciiTheme="minorHAnsi" w:hAnsiTheme="minorHAnsi" w:cstheme="minorBidi"/>
                <w:color w:val="495965" w:themeColor="text2"/>
                <w:lang w:val="en-GB"/>
              </w:rPr>
            </w:pPr>
            <w:r w:rsidRPr="00113CC3">
              <w:rPr>
                <w:rFonts w:asciiTheme="minorHAnsi" w:hAnsiTheme="minorHAnsi" w:cstheme="minorBidi"/>
                <w:color w:val="495965" w:themeColor="text2"/>
                <w:lang w:val="en-GB"/>
              </w:rPr>
              <w:t>Consultation and communication processes with civil society conducted in 2016-17</w:t>
            </w:r>
          </w:p>
          <w:p w:rsidR="00070343" w:rsidRPr="00113CC3" w:rsidRDefault="00070343" w:rsidP="00070343">
            <w:pPr>
              <w:pStyle w:val="TableTextEntries"/>
              <w:spacing w:before="0"/>
              <w:rPr>
                <w:rFonts w:asciiTheme="minorHAnsi" w:hAnsiTheme="minorHAnsi" w:cstheme="minorBidi"/>
                <w:color w:val="495965" w:themeColor="text2"/>
                <w:lang w:val="en-GB"/>
              </w:rPr>
            </w:pPr>
            <w:r w:rsidRPr="00113CC3">
              <w:rPr>
                <w:rFonts w:asciiTheme="minorHAnsi" w:hAnsiTheme="minorHAnsi" w:cstheme="minorBidi"/>
                <w:color w:val="495965" w:themeColor="text2"/>
                <w:lang w:val="en-GB"/>
              </w:rPr>
              <w:t>Technical and operational assistance to transitional institutions in delivering their mandate as indicated in the Comprehensive Agreement on the Bangsamoro</w:t>
            </w:r>
          </w:p>
        </w:tc>
        <w:tc>
          <w:tcPr>
            <w:tcW w:w="2891" w:type="dxa"/>
          </w:tcPr>
          <w:p w:rsidR="00070343" w:rsidRDefault="00070343" w:rsidP="00070343">
            <w:pPr>
              <w:pStyle w:val="TableTextEntries"/>
              <w:spacing w:before="0"/>
              <w:rPr>
                <w:rFonts w:asciiTheme="minorHAnsi" w:hAnsiTheme="minorHAnsi" w:cstheme="minorBidi"/>
                <w:color w:val="495965" w:themeColor="text2"/>
                <w:lang w:val="en-GB"/>
              </w:rPr>
            </w:pPr>
            <w:r w:rsidRPr="00113CC3">
              <w:rPr>
                <w:rFonts w:asciiTheme="minorHAnsi" w:hAnsiTheme="minorHAnsi" w:cstheme="minorBidi"/>
                <w:color w:val="495965" w:themeColor="text2"/>
                <w:lang w:val="en-GB"/>
              </w:rPr>
              <w:t>DFAT grantees support the BTC, JNC and TJRC in the following ways:</w:t>
            </w:r>
          </w:p>
          <w:p w:rsidR="00070343" w:rsidRPr="00113CC3" w:rsidRDefault="00070343" w:rsidP="00070343">
            <w:pPr>
              <w:pStyle w:val="TableTextEntries"/>
              <w:spacing w:before="0"/>
              <w:rPr>
                <w:rFonts w:asciiTheme="minorHAnsi" w:hAnsiTheme="minorHAnsi" w:cstheme="minorBidi"/>
                <w:color w:val="495965" w:themeColor="text2"/>
                <w:lang w:val="en-GB"/>
              </w:rPr>
            </w:pPr>
            <w:r w:rsidRPr="00113CC3">
              <w:rPr>
                <w:rFonts w:asciiTheme="minorHAnsi" w:hAnsiTheme="minorHAnsi" w:cstheme="minorBidi"/>
                <w:color w:val="495965" w:themeColor="text2"/>
                <w:lang w:val="en-GB"/>
              </w:rPr>
              <w:t>Technical and operational assistance to these transitional institutions in delivering their mandate as indicated in the Comprehensive Agreement on the Bangsamoro</w:t>
            </w:r>
          </w:p>
          <w:p w:rsidR="00070343" w:rsidRPr="00113CC3" w:rsidRDefault="00070343" w:rsidP="00070343">
            <w:pPr>
              <w:pStyle w:val="TableTextEntries"/>
              <w:spacing w:before="0"/>
              <w:rPr>
                <w:rFonts w:asciiTheme="minorHAnsi" w:hAnsiTheme="minorHAnsi" w:cstheme="minorBidi"/>
                <w:color w:val="495965" w:themeColor="text2"/>
                <w:lang w:val="en-GB"/>
              </w:rPr>
            </w:pPr>
            <w:r w:rsidRPr="00113CC3">
              <w:rPr>
                <w:rFonts w:asciiTheme="minorHAnsi" w:hAnsiTheme="minorHAnsi" w:cstheme="minorBidi"/>
                <w:color w:val="495965" w:themeColor="text2"/>
                <w:lang w:val="en-GB"/>
              </w:rPr>
              <w:t>Political mapping to understand the interests and positions of key stakeholders  in both Congress and the Senate has been undertaken</w:t>
            </w:r>
          </w:p>
          <w:p w:rsidR="00070343" w:rsidRPr="00113CC3" w:rsidRDefault="00070343" w:rsidP="00070343">
            <w:pPr>
              <w:pStyle w:val="TableTextEntries"/>
              <w:spacing w:before="0"/>
              <w:rPr>
                <w:rFonts w:asciiTheme="minorHAnsi" w:hAnsiTheme="minorHAnsi" w:cstheme="minorBidi"/>
                <w:color w:val="495965" w:themeColor="text2"/>
                <w:lang w:val="en-GB"/>
              </w:rPr>
            </w:pPr>
            <w:r w:rsidRPr="00113CC3">
              <w:rPr>
                <w:rFonts w:asciiTheme="minorHAnsi" w:hAnsiTheme="minorHAnsi" w:cstheme="minorBidi"/>
                <w:color w:val="495965" w:themeColor="text2"/>
                <w:lang w:val="en-GB"/>
              </w:rPr>
              <w:t>Support for passage of the BBL</w:t>
            </w:r>
          </w:p>
          <w:p w:rsidR="00070343" w:rsidRPr="00113CC3" w:rsidRDefault="00070343" w:rsidP="00070343">
            <w:pPr>
              <w:pStyle w:val="TableTextEntries"/>
              <w:spacing w:before="0"/>
              <w:rPr>
                <w:rFonts w:asciiTheme="minorHAnsi" w:hAnsiTheme="minorHAnsi" w:cstheme="minorBidi"/>
                <w:color w:val="495965" w:themeColor="text2"/>
                <w:lang w:val="en-GB"/>
              </w:rPr>
            </w:pPr>
            <w:r w:rsidRPr="00113CC3">
              <w:rPr>
                <w:rFonts w:asciiTheme="minorHAnsi" w:hAnsiTheme="minorHAnsi" w:cstheme="minorBidi"/>
                <w:color w:val="495965" w:themeColor="text2"/>
                <w:lang w:val="en-GB"/>
              </w:rPr>
              <w:t>Consultation and communication processes with civil society conducted in 2017-18</w:t>
            </w:r>
          </w:p>
        </w:tc>
        <w:tc>
          <w:tcPr>
            <w:tcW w:w="2891" w:type="dxa"/>
          </w:tcPr>
          <w:p w:rsidR="00070343" w:rsidRPr="00113CC3" w:rsidRDefault="00070343" w:rsidP="00070343">
            <w:pPr>
              <w:pStyle w:val="TableTextEntries"/>
              <w:rPr>
                <w:rFonts w:asciiTheme="minorHAnsi" w:hAnsiTheme="minorHAnsi" w:cstheme="minorBidi"/>
                <w:color w:val="495965" w:themeColor="text2"/>
                <w:lang w:val="en-GB"/>
              </w:rPr>
            </w:pPr>
            <w:r w:rsidRPr="00113CC3">
              <w:rPr>
                <w:rFonts w:asciiTheme="minorHAnsi" w:hAnsiTheme="minorHAnsi" w:cstheme="minorBidi"/>
                <w:color w:val="495965" w:themeColor="text2"/>
                <w:lang w:val="en-GB"/>
              </w:rPr>
              <w:t>NGO &amp; multilateral partner reports</w:t>
            </w:r>
          </w:p>
          <w:p w:rsidR="00070343" w:rsidRDefault="00070343" w:rsidP="00070343">
            <w:pPr>
              <w:pStyle w:val="TableTextEntries"/>
              <w:spacing w:before="0"/>
              <w:rPr>
                <w:rFonts w:asciiTheme="minorHAnsi" w:hAnsiTheme="minorHAnsi" w:cstheme="minorBidi"/>
                <w:color w:val="495965" w:themeColor="text2"/>
                <w:lang w:val="en-GB"/>
              </w:rPr>
            </w:pPr>
            <w:r w:rsidRPr="00113CC3">
              <w:rPr>
                <w:rFonts w:asciiTheme="minorHAnsi" w:hAnsiTheme="minorHAnsi" w:cstheme="minorBidi"/>
                <w:color w:val="495965" w:themeColor="text2"/>
                <w:lang w:val="en-GB"/>
              </w:rPr>
              <w:t>Multilateral partner reports</w:t>
            </w:r>
          </w:p>
          <w:p w:rsidR="00070343" w:rsidRPr="00113CC3" w:rsidRDefault="00070343" w:rsidP="00070343">
            <w:pPr>
              <w:pStyle w:val="TableTextEntries"/>
              <w:spacing w:before="0"/>
              <w:rPr>
                <w:rFonts w:asciiTheme="minorHAnsi" w:hAnsiTheme="minorHAnsi" w:cstheme="minorBidi"/>
                <w:color w:val="495965" w:themeColor="text2"/>
                <w:lang w:val="en-GB"/>
              </w:rPr>
            </w:pPr>
            <w:r w:rsidRPr="00BF4477">
              <w:rPr>
                <w:rFonts w:asciiTheme="minorHAnsi" w:hAnsiTheme="minorHAnsi" w:cstheme="minorBidi"/>
                <w:color w:val="495965" w:themeColor="text2"/>
                <w:lang w:val="en-GB"/>
              </w:rPr>
              <w:t>6-monthly Partner Progress Reports</w:t>
            </w:r>
          </w:p>
        </w:tc>
      </w:tr>
      <w:tr w:rsidR="00F8365F" w:rsidTr="00622BA2">
        <w:tc>
          <w:tcPr>
            <w:tcW w:w="2890" w:type="dxa"/>
          </w:tcPr>
          <w:p w:rsidR="00F8365F" w:rsidRPr="00113CC3" w:rsidRDefault="00113CC3" w:rsidP="00113CC3">
            <w:pPr>
              <w:pStyle w:val="TableTextEntries"/>
              <w:spacing w:before="0"/>
              <w:rPr>
                <w:rFonts w:asciiTheme="minorHAnsi" w:hAnsiTheme="minorHAnsi" w:cstheme="minorBidi"/>
                <w:color w:val="495965" w:themeColor="text2"/>
                <w:lang w:val="en-GB"/>
              </w:rPr>
            </w:pPr>
            <w:r w:rsidRPr="00113CC3">
              <w:rPr>
                <w:rFonts w:asciiTheme="minorHAnsi" w:hAnsiTheme="minorHAnsi" w:cstheme="minorBidi"/>
                <w:b/>
                <w:color w:val="495965" w:themeColor="text2"/>
                <w:lang w:val="en-GB"/>
              </w:rPr>
              <w:t>Outcome 3</w:t>
            </w:r>
            <w:r w:rsidR="00F8365F" w:rsidRPr="00113CC3">
              <w:rPr>
                <w:rFonts w:asciiTheme="minorHAnsi" w:hAnsiTheme="minorHAnsi" w:cstheme="minorBidi"/>
                <w:b/>
                <w:color w:val="495965" w:themeColor="text2"/>
                <w:lang w:val="en-GB"/>
              </w:rPr>
              <w:t>:</w:t>
            </w:r>
            <w:r w:rsidR="00F8365F" w:rsidRPr="00113CC3">
              <w:rPr>
                <w:rFonts w:asciiTheme="minorHAnsi" w:hAnsiTheme="minorHAnsi" w:cstheme="minorBidi"/>
                <w:color w:val="495965" w:themeColor="text2"/>
                <w:lang w:val="en-GB"/>
              </w:rPr>
              <w:t xml:space="preserve"> </w:t>
            </w:r>
            <w:r w:rsidRPr="00113CC3">
              <w:rPr>
                <w:rFonts w:asciiTheme="minorHAnsi" w:hAnsiTheme="minorHAnsi" w:cstheme="minorBidi"/>
                <w:color w:val="495965" w:themeColor="text2"/>
                <w:lang w:val="en-GB"/>
              </w:rPr>
              <w:t>Stronger local mechanisms for averting escalation of violence</w:t>
            </w:r>
          </w:p>
        </w:tc>
        <w:tc>
          <w:tcPr>
            <w:tcW w:w="2890" w:type="dxa"/>
          </w:tcPr>
          <w:p w:rsidR="00113CC3" w:rsidRPr="00113CC3" w:rsidRDefault="00113CC3" w:rsidP="00113CC3">
            <w:pPr>
              <w:pStyle w:val="TableTextEntries"/>
              <w:spacing w:before="0"/>
              <w:rPr>
                <w:rFonts w:asciiTheme="minorHAnsi" w:hAnsiTheme="minorHAnsi" w:cstheme="minorBidi"/>
                <w:color w:val="495965" w:themeColor="text2"/>
                <w:lang w:val="en-GB"/>
              </w:rPr>
            </w:pPr>
            <w:r w:rsidRPr="00113CC3">
              <w:rPr>
                <w:rFonts w:asciiTheme="minorHAnsi" w:hAnsiTheme="minorHAnsi" w:cstheme="minorBidi"/>
                <w:color w:val="495965" w:themeColor="text2"/>
                <w:lang w:val="en-GB"/>
              </w:rPr>
              <w:t>Local level ‘informal’ mechanisms for averting escalation of violence are better able to resolve disputes</w:t>
            </w:r>
          </w:p>
          <w:p w:rsidR="00F8365F" w:rsidRPr="00113CC3" w:rsidRDefault="00113CC3" w:rsidP="00113CC3">
            <w:pPr>
              <w:pStyle w:val="TableTextEntries"/>
              <w:spacing w:before="0"/>
              <w:rPr>
                <w:rFonts w:asciiTheme="minorHAnsi" w:hAnsiTheme="minorHAnsi" w:cstheme="minorBidi"/>
                <w:color w:val="495965" w:themeColor="text2"/>
                <w:lang w:val="en-GB"/>
              </w:rPr>
            </w:pPr>
            <w:r w:rsidRPr="00113CC3">
              <w:rPr>
                <w:rFonts w:asciiTheme="minorHAnsi" w:hAnsiTheme="minorHAnsi" w:cstheme="minorBidi"/>
                <w:color w:val="495965" w:themeColor="text2"/>
                <w:lang w:val="en-GB"/>
              </w:rPr>
              <w:t>Peace and order councils engagement strengthened</w:t>
            </w:r>
          </w:p>
        </w:tc>
        <w:tc>
          <w:tcPr>
            <w:tcW w:w="2890" w:type="dxa"/>
          </w:tcPr>
          <w:p w:rsidR="00113CC3" w:rsidRPr="00113CC3" w:rsidRDefault="00113CC3" w:rsidP="00113CC3">
            <w:pPr>
              <w:pStyle w:val="TableTextEntries"/>
              <w:spacing w:before="0"/>
              <w:rPr>
                <w:rFonts w:asciiTheme="minorHAnsi" w:hAnsiTheme="minorHAnsi" w:cstheme="minorBidi"/>
                <w:color w:val="495965" w:themeColor="text2"/>
                <w:lang w:val="en-GB"/>
              </w:rPr>
            </w:pPr>
            <w:r w:rsidRPr="00113CC3">
              <w:rPr>
                <w:rFonts w:asciiTheme="minorHAnsi" w:hAnsiTheme="minorHAnsi" w:cstheme="minorBidi"/>
                <w:color w:val="495965" w:themeColor="text2"/>
                <w:lang w:val="en-GB"/>
              </w:rPr>
              <w:t>100 local monitors and mediators, and local government, AFP and PNP personnel trained in conflict mapping, analysis and resolution</w:t>
            </w:r>
          </w:p>
          <w:p w:rsidR="00F8365F" w:rsidRPr="00113CC3" w:rsidRDefault="00113CC3" w:rsidP="00113CC3">
            <w:pPr>
              <w:pStyle w:val="TableTextEntries"/>
              <w:spacing w:before="0"/>
              <w:rPr>
                <w:rFonts w:asciiTheme="minorHAnsi" w:hAnsiTheme="minorHAnsi" w:cstheme="minorBidi"/>
                <w:color w:val="495965" w:themeColor="text2"/>
                <w:lang w:val="en-GB"/>
              </w:rPr>
            </w:pPr>
            <w:r w:rsidRPr="00113CC3">
              <w:rPr>
                <w:rFonts w:asciiTheme="minorHAnsi" w:hAnsiTheme="minorHAnsi" w:cstheme="minorBidi"/>
                <w:color w:val="495965" w:themeColor="text2"/>
                <w:lang w:val="en-GB"/>
              </w:rPr>
              <w:t>20 disputes mediated by local mechanisms</w:t>
            </w:r>
          </w:p>
        </w:tc>
        <w:tc>
          <w:tcPr>
            <w:tcW w:w="2891" w:type="dxa"/>
          </w:tcPr>
          <w:p w:rsidR="00F8365F" w:rsidRDefault="00FD0C18" w:rsidP="00113CC3">
            <w:pPr>
              <w:pStyle w:val="TableTextEntries"/>
              <w:spacing w:before="0"/>
              <w:rPr>
                <w:rFonts w:asciiTheme="minorHAnsi" w:hAnsiTheme="minorHAnsi" w:cstheme="minorBidi"/>
                <w:color w:val="495965" w:themeColor="text2"/>
                <w:lang w:val="en-GB"/>
              </w:rPr>
            </w:pPr>
            <w:r w:rsidRPr="00FD0C18">
              <w:rPr>
                <w:rFonts w:asciiTheme="minorHAnsi" w:hAnsiTheme="minorHAnsi" w:cstheme="minorBidi"/>
                <w:color w:val="495965" w:themeColor="text2"/>
                <w:lang w:val="en-GB"/>
              </w:rPr>
              <w:t>100 local monitors and mediators, local government, Armed Forces of the Philippines (AFP) and the Philippine National Police (PNP) personnel trained in conflict mapping, analysis and resolution, supported by DFAT</w:t>
            </w:r>
          </w:p>
          <w:p w:rsidR="00FD0C18" w:rsidRDefault="00FD0C18" w:rsidP="00113CC3">
            <w:pPr>
              <w:pStyle w:val="TableTextEntries"/>
              <w:spacing w:before="0"/>
              <w:rPr>
                <w:rFonts w:asciiTheme="minorHAnsi" w:hAnsiTheme="minorHAnsi" w:cstheme="minorBidi"/>
                <w:color w:val="495965" w:themeColor="text2"/>
                <w:lang w:val="en-GB"/>
              </w:rPr>
            </w:pPr>
            <w:r w:rsidRPr="00FD0C18">
              <w:rPr>
                <w:rFonts w:asciiTheme="minorHAnsi" w:hAnsiTheme="minorHAnsi" w:cstheme="minorBidi"/>
                <w:color w:val="495965" w:themeColor="text2"/>
                <w:lang w:val="en-GB"/>
              </w:rPr>
              <w:t>20 disputes mediated</w:t>
            </w:r>
          </w:p>
          <w:p w:rsidR="008C5180" w:rsidRPr="00113CC3" w:rsidRDefault="007E6F34" w:rsidP="00113CC3">
            <w:pPr>
              <w:pStyle w:val="TableTextEntries"/>
              <w:spacing w:before="0"/>
              <w:rPr>
                <w:rFonts w:asciiTheme="minorHAnsi" w:hAnsiTheme="minorHAnsi" w:cstheme="minorBidi"/>
                <w:color w:val="495965" w:themeColor="text2"/>
                <w:lang w:val="en-GB"/>
              </w:rPr>
            </w:pPr>
            <w:r w:rsidRPr="009524DC">
              <w:rPr>
                <w:rFonts w:asciiTheme="minorHAnsi" w:hAnsiTheme="minorHAnsi" w:cstheme="minorBidi"/>
                <w:color w:val="495965" w:themeColor="text2"/>
                <w:lang w:val="en-GB"/>
              </w:rPr>
              <w:t>These figures were the target for over two years</w:t>
            </w:r>
          </w:p>
        </w:tc>
        <w:tc>
          <w:tcPr>
            <w:tcW w:w="2891" w:type="dxa"/>
          </w:tcPr>
          <w:p w:rsidR="00F8365F" w:rsidRPr="00FD0C18" w:rsidRDefault="00FD0C18" w:rsidP="00113CC3">
            <w:pPr>
              <w:pStyle w:val="TableTextEntries"/>
              <w:spacing w:before="0"/>
              <w:rPr>
                <w:rFonts w:asciiTheme="minorHAnsi" w:hAnsiTheme="minorHAnsi" w:cstheme="minorBidi"/>
                <w:color w:val="495965" w:themeColor="text2"/>
                <w:lang w:val="en-GB"/>
              </w:rPr>
            </w:pPr>
            <w:r w:rsidRPr="00FD0C18">
              <w:rPr>
                <w:rFonts w:asciiTheme="minorHAnsi" w:hAnsiTheme="minorHAnsi" w:cstheme="minorBidi"/>
                <w:color w:val="495965" w:themeColor="text2"/>
                <w:lang w:val="en-GB"/>
              </w:rPr>
              <w:t>NGO partner reports</w:t>
            </w:r>
          </w:p>
          <w:p w:rsidR="00FD0C18" w:rsidRPr="00113CC3" w:rsidRDefault="00FD0C18" w:rsidP="00113CC3">
            <w:pPr>
              <w:pStyle w:val="TableTextEntries"/>
              <w:spacing w:before="0"/>
              <w:rPr>
                <w:rFonts w:asciiTheme="minorHAnsi" w:hAnsiTheme="minorHAnsi" w:cstheme="minorBidi"/>
                <w:color w:val="495965" w:themeColor="text2"/>
                <w:lang w:val="en-GB"/>
              </w:rPr>
            </w:pPr>
            <w:r w:rsidRPr="00BF4477">
              <w:rPr>
                <w:rFonts w:asciiTheme="minorHAnsi" w:hAnsiTheme="minorHAnsi" w:cstheme="minorBidi"/>
                <w:color w:val="495965" w:themeColor="text2"/>
                <w:lang w:val="en-GB"/>
              </w:rPr>
              <w:t>6-monthly Partner Progress Reports</w:t>
            </w:r>
          </w:p>
        </w:tc>
      </w:tr>
      <w:tr w:rsidR="008D6EAE" w:rsidTr="00622BA2">
        <w:tc>
          <w:tcPr>
            <w:tcW w:w="2890" w:type="dxa"/>
          </w:tcPr>
          <w:p w:rsidR="008D6EAE" w:rsidRPr="00430F9C" w:rsidRDefault="00430F9C" w:rsidP="00113CC3">
            <w:pPr>
              <w:pStyle w:val="TableTextEntries"/>
              <w:spacing w:before="0"/>
              <w:rPr>
                <w:rFonts w:asciiTheme="minorHAnsi" w:hAnsiTheme="minorHAnsi" w:cstheme="minorBidi"/>
                <w:color w:val="495965" w:themeColor="text2"/>
                <w:highlight w:val="yellow"/>
                <w:lang w:val="en-GB"/>
              </w:rPr>
            </w:pPr>
            <w:r w:rsidRPr="00F913BC">
              <w:rPr>
                <w:rFonts w:asciiTheme="minorHAnsi" w:hAnsiTheme="minorHAnsi" w:cstheme="minorBidi"/>
                <w:b/>
                <w:color w:val="495965" w:themeColor="text2"/>
                <w:lang w:val="en-GB"/>
              </w:rPr>
              <w:lastRenderedPageBreak/>
              <w:t>Outcome 4:</w:t>
            </w:r>
            <w:r>
              <w:rPr>
                <w:rFonts w:asciiTheme="minorHAnsi" w:hAnsiTheme="minorHAnsi" w:cstheme="minorBidi"/>
                <w:color w:val="495965" w:themeColor="text2"/>
                <w:lang w:val="en-GB"/>
              </w:rPr>
              <w:t xml:space="preserve"> </w:t>
            </w:r>
            <w:r w:rsidRPr="00430F9C">
              <w:rPr>
                <w:rFonts w:asciiTheme="minorHAnsi" w:hAnsiTheme="minorHAnsi" w:cstheme="minorBidi"/>
                <w:color w:val="495965" w:themeColor="text2"/>
                <w:lang w:val="en-GB"/>
              </w:rPr>
              <w:t>Children in economically deprived communities have infrastructure and resources for access to pre-school, school and community-learning, including technical vocational skills</w:t>
            </w:r>
          </w:p>
        </w:tc>
        <w:tc>
          <w:tcPr>
            <w:tcW w:w="2890" w:type="dxa"/>
          </w:tcPr>
          <w:p w:rsidR="00430F9C" w:rsidRPr="00430F9C" w:rsidRDefault="00430F9C" w:rsidP="00430F9C">
            <w:pPr>
              <w:pStyle w:val="TableTextEntries"/>
              <w:spacing w:before="0"/>
              <w:rPr>
                <w:rFonts w:asciiTheme="minorHAnsi" w:hAnsiTheme="minorHAnsi" w:cstheme="minorBidi"/>
                <w:color w:val="495965" w:themeColor="text2"/>
                <w:lang w:val="en-GB"/>
              </w:rPr>
            </w:pPr>
            <w:r w:rsidRPr="00430F9C">
              <w:rPr>
                <w:rFonts w:asciiTheme="minorHAnsi" w:hAnsiTheme="minorHAnsi" w:cstheme="minorBidi"/>
                <w:color w:val="495965" w:themeColor="text2"/>
                <w:lang w:val="en-GB"/>
              </w:rPr>
              <w:t>Per cent of Tahderiyyah completers reached in ARMM, boys and girls, who enrol in Kindergarten/Grade 1</w:t>
            </w:r>
          </w:p>
          <w:p w:rsidR="00430F9C" w:rsidRPr="00430F9C" w:rsidRDefault="00430F9C" w:rsidP="00430F9C">
            <w:pPr>
              <w:pStyle w:val="TableTextEntries"/>
              <w:spacing w:before="0"/>
              <w:rPr>
                <w:rFonts w:asciiTheme="minorHAnsi" w:hAnsiTheme="minorHAnsi" w:cstheme="minorBidi"/>
                <w:color w:val="495965" w:themeColor="text2"/>
                <w:lang w:val="en-GB"/>
              </w:rPr>
            </w:pPr>
            <w:r w:rsidRPr="00430F9C">
              <w:rPr>
                <w:rFonts w:asciiTheme="minorHAnsi" w:hAnsiTheme="minorHAnsi" w:cstheme="minorBidi"/>
                <w:color w:val="495965" w:themeColor="text2"/>
                <w:lang w:val="en-GB"/>
              </w:rPr>
              <w:t>Per cent of Tahderiyyah enrolees reached in ARMM who completed the program</w:t>
            </w:r>
          </w:p>
          <w:p w:rsidR="00430F9C" w:rsidRPr="00430F9C" w:rsidRDefault="00430F9C" w:rsidP="00430F9C">
            <w:pPr>
              <w:pStyle w:val="TableTextEntries"/>
              <w:spacing w:before="0"/>
              <w:rPr>
                <w:rFonts w:asciiTheme="minorHAnsi" w:hAnsiTheme="minorHAnsi" w:cstheme="minorBidi"/>
                <w:color w:val="495965" w:themeColor="text2"/>
                <w:lang w:val="en-GB"/>
              </w:rPr>
            </w:pPr>
            <w:r w:rsidRPr="00430F9C">
              <w:rPr>
                <w:rFonts w:asciiTheme="minorHAnsi" w:hAnsiTheme="minorHAnsi" w:cstheme="minorBidi"/>
                <w:color w:val="495965" w:themeColor="text2"/>
                <w:lang w:val="en-GB"/>
              </w:rPr>
              <w:t>Per cent of Madaris learners reached in ARMM moving up to the next grade</w:t>
            </w:r>
          </w:p>
          <w:p w:rsidR="00430F9C" w:rsidRPr="00430F9C" w:rsidRDefault="00430F9C" w:rsidP="00430F9C">
            <w:pPr>
              <w:pStyle w:val="TableTextEntries"/>
              <w:spacing w:before="0"/>
              <w:rPr>
                <w:rFonts w:asciiTheme="minorHAnsi" w:hAnsiTheme="minorHAnsi" w:cstheme="minorBidi"/>
                <w:color w:val="495965" w:themeColor="text2"/>
                <w:lang w:val="en-GB"/>
              </w:rPr>
            </w:pPr>
            <w:r w:rsidRPr="00430F9C">
              <w:rPr>
                <w:rFonts w:asciiTheme="minorHAnsi" w:hAnsiTheme="minorHAnsi" w:cstheme="minorBidi"/>
                <w:color w:val="495965" w:themeColor="text2"/>
                <w:lang w:val="en-GB"/>
              </w:rPr>
              <w:t>Per cent of completers reached in ARMM employed or engaged in livelihood activities</w:t>
            </w:r>
          </w:p>
          <w:p w:rsidR="00430F9C" w:rsidRPr="00430F9C" w:rsidRDefault="00430F9C" w:rsidP="00430F9C">
            <w:pPr>
              <w:pStyle w:val="TableTextEntries"/>
              <w:spacing w:before="0"/>
              <w:rPr>
                <w:rFonts w:asciiTheme="minorHAnsi" w:hAnsiTheme="minorHAnsi" w:cstheme="minorBidi"/>
                <w:color w:val="495965" w:themeColor="text2"/>
                <w:lang w:val="en-GB"/>
              </w:rPr>
            </w:pPr>
            <w:r w:rsidRPr="00430F9C">
              <w:rPr>
                <w:rFonts w:asciiTheme="minorHAnsi" w:hAnsiTheme="minorHAnsi" w:cstheme="minorBidi"/>
                <w:color w:val="495965" w:themeColor="text2"/>
                <w:lang w:val="en-GB"/>
              </w:rPr>
              <w:t>Per cent of 2011 DepEd ARMM elementary schools (2173) rated at least one-star (of three stars) schools (target: 30 per cent)</w:t>
            </w:r>
          </w:p>
          <w:p w:rsidR="00430F9C" w:rsidRPr="00430F9C" w:rsidRDefault="00430F9C" w:rsidP="00430F9C">
            <w:pPr>
              <w:pStyle w:val="TableTextEntries"/>
              <w:spacing w:before="0"/>
              <w:rPr>
                <w:rFonts w:asciiTheme="minorHAnsi" w:hAnsiTheme="minorHAnsi" w:cstheme="minorBidi"/>
                <w:color w:val="495965" w:themeColor="text2"/>
                <w:lang w:val="en-GB"/>
              </w:rPr>
            </w:pPr>
            <w:r w:rsidRPr="00430F9C">
              <w:rPr>
                <w:rFonts w:asciiTheme="minorHAnsi" w:hAnsiTheme="minorHAnsi" w:cstheme="minorBidi"/>
                <w:color w:val="495965" w:themeColor="text2"/>
                <w:lang w:val="en-GB"/>
              </w:rPr>
              <w:t>Per cent of 730 ADM Learning Centres in ARMM rated at least one-star (of three stars in schools) (target: 75 per cent)</w:t>
            </w:r>
          </w:p>
          <w:p w:rsidR="00430F9C" w:rsidRPr="00430F9C" w:rsidRDefault="00430F9C" w:rsidP="00430F9C">
            <w:pPr>
              <w:pStyle w:val="TableTextEntries"/>
              <w:spacing w:before="0"/>
              <w:rPr>
                <w:rFonts w:asciiTheme="minorHAnsi" w:hAnsiTheme="minorHAnsi" w:cstheme="minorBidi"/>
                <w:color w:val="495965" w:themeColor="text2"/>
                <w:lang w:val="en-GB"/>
              </w:rPr>
            </w:pPr>
            <w:r w:rsidRPr="00430F9C">
              <w:rPr>
                <w:rFonts w:asciiTheme="minorHAnsi" w:hAnsiTheme="minorHAnsi" w:cstheme="minorBidi"/>
                <w:color w:val="495965" w:themeColor="text2"/>
                <w:lang w:val="en-GB"/>
              </w:rPr>
              <w:t>Per cent of teachers in ARMM reached improving in their competencies from baseline to post test</w:t>
            </w:r>
          </w:p>
          <w:p w:rsidR="008D6EAE" w:rsidRPr="008D6EAE" w:rsidRDefault="00430F9C" w:rsidP="00430F9C">
            <w:pPr>
              <w:pStyle w:val="TableTextEntries"/>
              <w:spacing w:before="0"/>
              <w:rPr>
                <w:rFonts w:asciiTheme="minorHAnsi" w:hAnsiTheme="minorHAnsi" w:cstheme="minorBidi"/>
                <w:color w:val="495965" w:themeColor="text2"/>
                <w:highlight w:val="yellow"/>
                <w:lang w:val="en-GB"/>
              </w:rPr>
            </w:pPr>
            <w:r w:rsidRPr="00430F9C">
              <w:rPr>
                <w:rFonts w:asciiTheme="minorHAnsi" w:hAnsiTheme="minorHAnsi" w:cstheme="minorBidi"/>
                <w:color w:val="495965" w:themeColor="text2"/>
                <w:lang w:val="en-GB"/>
              </w:rPr>
              <w:t>Number of additional boys and girls enrolled in school</w:t>
            </w:r>
          </w:p>
        </w:tc>
        <w:tc>
          <w:tcPr>
            <w:tcW w:w="2890" w:type="dxa"/>
          </w:tcPr>
          <w:p w:rsidR="00430F9C" w:rsidRPr="00430F9C" w:rsidRDefault="00430F9C" w:rsidP="00430F9C">
            <w:pPr>
              <w:pStyle w:val="TableTextEntries"/>
              <w:spacing w:before="0"/>
              <w:rPr>
                <w:rFonts w:asciiTheme="minorHAnsi" w:hAnsiTheme="minorHAnsi" w:cstheme="minorBidi"/>
                <w:color w:val="495965" w:themeColor="text2"/>
                <w:lang w:val="en-GB"/>
              </w:rPr>
            </w:pPr>
            <w:r w:rsidRPr="00430F9C">
              <w:rPr>
                <w:rFonts w:asciiTheme="minorHAnsi" w:hAnsiTheme="minorHAnsi" w:cstheme="minorBidi"/>
                <w:color w:val="495965" w:themeColor="text2"/>
                <w:lang w:val="en-GB"/>
              </w:rPr>
              <w:t>40 per cent of Tahderiyyah completers, boys and girls, who enrol in Kindergarten/Grade 1</w:t>
            </w:r>
          </w:p>
          <w:p w:rsidR="00430F9C" w:rsidRPr="00430F9C" w:rsidRDefault="00430F9C" w:rsidP="00430F9C">
            <w:pPr>
              <w:pStyle w:val="TableTextEntries"/>
              <w:spacing w:before="0"/>
              <w:rPr>
                <w:rFonts w:asciiTheme="minorHAnsi" w:hAnsiTheme="minorHAnsi" w:cstheme="minorBidi"/>
                <w:color w:val="495965" w:themeColor="text2"/>
                <w:lang w:val="en-GB"/>
              </w:rPr>
            </w:pPr>
            <w:r w:rsidRPr="00430F9C">
              <w:rPr>
                <w:rFonts w:asciiTheme="minorHAnsi" w:hAnsiTheme="minorHAnsi" w:cstheme="minorBidi"/>
                <w:color w:val="495965" w:themeColor="text2"/>
                <w:lang w:val="en-GB"/>
              </w:rPr>
              <w:t>75 per cent of Tahderiyyah enrolees who have completed the program</w:t>
            </w:r>
          </w:p>
          <w:p w:rsidR="00430F9C" w:rsidRPr="00430F9C" w:rsidRDefault="00430F9C" w:rsidP="00430F9C">
            <w:pPr>
              <w:pStyle w:val="TableTextEntries"/>
              <w:spacing w:before="0"/>
              <w:rPr>
                <w:rFonts w:asciiTheme="minorHAnsi" w:hAnsiTheme="minorHAnsi" w:cstheme="minorBidi"/>
                <w:color w:val="495965" w:themeColor="text2"/>
                <w:lang w:val="en-GB"/>
              </w:rPr>
            </w:pPr>
            <w:r w:rsidRPr="00430F9C">
              <w:rPr>
                <w:rFonts w:asciiTheme="minorHAnsi" w:hAnsiTheme="minorHAnsi" w:cstheme="minorBidi"/>
                <w:color w:val="495965" w:themeColor="text2"/>
                <w:lang w:val="en-GB"/>
              </w:rPr>
              <w:t>90 per cent of Madaris learners move up to the next grade</w:t>
            </w:r>
          </w:p>
          <w:p w:rsidR="00430F9C" w:rsidRPr="00430F9C" w:rsidRDefault="00430F9C" w:rsidP="00430F9C">
            <w:pPr>
              <w:pStyle w:val="TableTextEntries"/>
              <w:spacing w:before="0"/>
              <w:rPr>
                <w:rFonts w:asciiTheme="minorHAnsi" w:hAnsiTheme="minorHAnsi" w:cstheme="minorBidi"/>
                <w:color w:val="495965" w:themeColor="text2"/>
                <w:lang w:val="en-GB"/>
              </w:rPr>
            </w:pPr>
            <w:r w:rsidRPr="00430F9C">
              <w:rPr>
                <w:rFonts w:asciiTheme="minorHAnsi" w:hAnsiTheme="minorHAnsi" w:cstheme="minorBidi"/>
                <w:color w:val="495965" w:themeColor="text2"/>
                <w:lang w:val="en-GB"/>
              </w:rPr>
              <w:t>50 per cent of completers employed or engaged in livelihood activities</w:t>
            </w:r>
          </w:p>
          <w:p w:rsidR="00430F9C" w:rsidRPr="00430F9C" w:rsidRDefault="00430F9C" w:rsidP="00430F9C">
            <w:pPr>
              <w:pStyle w:val="TableTextEntries"/>
              <w:spacing w:before="0"/>
              <w:rPr>
                <w:rFonts w:asciiTheme="minorHAnsi" w:hAnsiTheme="minorHAnsi" w:cstheme="minorBidi"/>
                <w:color w:val="495965" w:themeColor="text2"/>
                <w:lang w:val="en-GB"/>
              </w:rPr>
            </w:pPr>
            <w:r w:rsidRPr="00430F9C">
              <w:rPr>
                <w:rFonts w:asciiTheme="minorHAnsi" w:hAnsiTheme="minorHAnsi" w:cstheme="minorBidi"/>
                <w:color w:val="495965" w:themeColor="text2"/>
                <w:lang w:val="en-GB"/>
              </w:rPr>
              <w:t>Order on accreditation and announced accreditation system tested and refined</w:t>
            </w:r>
          </w:p>
          <w:p w:rsidR="00430F9C" w:rsidRPr="00430F9C" w:rsidRDefault="00430F9C" w:rsidP="00430F9C">
            <w:pPr>
              <w:pStyle w:val="TableTextEntries"/>
              <w:spacing w:before="0"/>
              <w:rPr>
                <w:rFonts w:asciiTheme="minorHAnsi" w:hAnsiTheme="minorHAnsi" w:cstheme="minorBidi"/>
                <w:color w:val="495965" w:themeColor="text2"/>
                <w:lang w:val="en-GB"/>
              </w:rPr>
            </w:pPr>
            <w:r w:rsidRPr="00430F9C">
              <w:rPr>
                <w:rFonts w:asciiTheme="minorHAnsi" w:hAnsiTheme="minorHAnsi" w:cstheme="minorBidi"/>
                <w:color w:val="495965" w:themeColor="text2"/>
                <w:lang w:val="en-GB"/>
              </w:rPr>
              <w:t>75 per cent of 730 ADM learning centres received basic requirements for EHCP</w:t>
            </w:r>
          </w:p>
          <w:p w:rsidR="008D6EAE" w:rsidRPr="008D6EAE" w:rsidRDefault="00430F9C" w:rsidP="00430F9C">
            <w:pPr>
              <w:pStyle w:val="TableTextEntries"/>
              <w:spacing w:before="0"/>
              <w:rPr>
                <w:rFonts w:asciiTheme="minorHAnsi" w:hAnsiTheme="minorHAnsi" w:cstheme="minorBidi"/>
                <w:color w:val="495965" w:themeColor="text2"/>
                <w:highlight w:val="yellow"/>
                <w:lang w:val="en-GB"/>
              </w:rPr>
            </w:pPr>
            <w:r w:rsidRPr="00430F9C">
              <w:rPr>
                <w:rFonts w:asciiTheme="minorHAnsi" w:hAnsiTheme="minorHAnsi" w:cstheme="minorBidi"/>
                <w:color w:val="495965" w:themeColor="text2"/>
                <w:lang w:val="en-GB"/>
              </w:rPr>
              <w:t>50 per cent of teachers trained have demonstrated improved competencies from baseline to post test</w:t>
            </w:r>
          </w:p>
        </w:tc>
        <w:tc>
          <w:tcPr>
            <w:tcW w:w="2891" w:type="dxa"/>
          </w:tcPr>
          <w:p w:rsidR="008D6EAE" w:rsidRPr="008D6EAE" w:rsidRDefault="00802E98" w:rsidP="00113CC3">
            <w:pPr>
              <w:pStyle w:val="TableTextEntries"/>
              <w:spacing w:before="0"/>
              <w:rPr>
                <w:rFonts w:asciiTheme="minorHAnsi" w:hAnsiTheme="minorHAnsi" w:cstheme="minorBidi"/>
                <w:color w:val="495965" w:themeColor="text2"/>
                <w:highlight w:val="yellow"/>
                <w:lang w:val="en-GB"/>
              </w:rPr>
            </w:pPr>
            <w:r>
              <w:rPr>
                <w:rFonts w:asciiTheme="minorHAnsi" w:hAnsiTheme="minorHAnsi" w:cstheme="minorBidi"/>
                <w:color w:val="495965" w:themeColor="text2"/>
                <w:lang w:val="en-GB"/>
              </w:rPr>
              <w:t>No new results for 2017 as BEAM ARMM concluded in June 2017.</w:t>
            </w:r>
          </w:p>
        </w:tc>
        <w:tc>
          <w:tcPr>
            <w:tcW w:w="2891" w:type="dxa"/>
          </w:tcPr>
          <w:p w:rsidR="00430F9C" w:rsidRPr="00430F9C" w:rsidRDefault="00430F9C" w:rsidP="00430F9C">
            <w:pPr>
              <w:pStyle w:val="TableTextEntries"/>
              <w:spacing w:before="0"/>
              <w:rPr>
                <w:rFonts w:asciiTheme="minorHAnsi" w:hAnsiTheme="minorHAnsi" w:cstheme="minorBidi"/>
                <w:color w:val="495965" w:themeColor="text2"/>
                <w:lang w:val="en-GB"/>
              </w:rPr>
            </w:pPr>
            <w:r w:rsidRPr="00430F9C">
              <w:rPr>
                <w:rFonts w:asciiTheme="minorHAnsi" w:hAnsiTheme="minorHAnsi" w:cstheme="minorBidi"/>
                <w:color w:val="495965" w:themeColor="text2"/>
                <w:lang w:val="en-GB"/>
              </w:rPr>
              <w:t>BEAM-ARMM M&amp;E Reports</w:t>
            </w:r>
          </w:p>
          <w:p w:rsidR="00430F9C" w:rsidRPr="00430F9C" w:rsidRDefault="00430F9C" w:rsidP="00430F9C">
            <w:pPr>
              <w:pStyle w:val="TableTextEntries"/>
              <w:spacing w:before="0"/>
              <w:rPr>
                <w:rFonts w:asciiTheme="minorHAnsi" w:hAnsiTheme="minorHAnsi" w:cstheme="minorBidi"/>
                <w:color w:val="495965" w:themeColor="text2"/>
                <w:lang w:val="en-GB"/>
              </w:rPr>
            </w:pPr>
            <w:r w:rsidRPr="00430F9C">
              <w:rPr>
                <w:rFonts w:asciiTheme="minorHAnsi" w:hAnsiTheme="minorHAnsi" w:cstheme="minorBidi"/>
                <w:color w:val="495965" w:themeColor="text2"/>
                <w:lang w:val="en-GB"/>
              </w:rPr>
              <w:t>Multiple Indicator Cluster Survey</w:t>
            </w:r>
          </w:p>
          <w:p w:rsidR="00430F9C" w:rsidRPr="00430F9C" w:rsidRDefault="00430F9C" w:rsidP="00430F9C">
            <w:pPr>
              <w:pStyle w:val="TableTextEntries"/>
              <w:spacing w:before="0"/>
              <w:rPr>
                <w:rFonts w:asciiTheme="minorHAnsi" w:hAnsiTheme="minorHAnsi" w:cstheme="minorBidi"/>
                <w:color w:val="495965" w:themeColor="text2"/>
                <w:lang w:val="en-GB"/>
              </w:rPr>
            </w:pPr>
            <w:r w:rsidRPr="00430F9C">
              <w:rPr>
                <w:rFonts w:asciiTheme="minorHAnsi" w:hAnsiTheme="minorHAnsi" w:cstheme="minorBidi"/>
                <w:color w:val="495965" w:themeColor="text2"/>
                <w:lang w:val="en-GB"/>
              </w:rPr>
              <w:t>Baseline is at 62%</w:t>
            </w:r>
          </w:p>
          <w:p w:rsidR="008D6EAE" w:rsidRPr="008D6EAE" w:rsidRDefault="00430F9C" w:rsidP="00430F9C">
            <w:pPr>
              <w:pStyle w:val="TableTextEntries"/>
              <w:spacing w:before="0"/>
              <w:rPr>
                <w:rFonts w:asciiTheme="minorHAnsi" w:hAnsiTheme="minorHAnsi" w:cstheme="minorBidi"/>
                <w:color w:val="495965" w:themeColor="text2"/>
                <w:highlight w:val="yellow"/>
                <w:lang w:val="en-GB"/>
              </w:rPr>
            </w:pPr>
            <w:r w:rsidRPr="00430F9C">
              <w:rPr>
                <w:rFonts w:asciiTheme="minorHAnsi" w:hAnsiTheme="minorHAnsi" w:cstheme="minorBidi"/>
                <w:color w:val="495965" w:themeColor="text2"/>
                <w:lang w:val="en-GB"/>
              </w:rPr>
              <w:t>BEAM-ARMM M&amp;E Reports</w:t>
            </w:r>
          </w:p>
        </w:tc>
      </w:tr>
    </w:tbl>
    <w:p w:rsidR="00F8365F" w:rsidRDefault="00F8365F" w:rsidP="00483FC0">
      <w:pPr>
        <w:keepNext/>
        <w:tabs>
          <w:tab w:val="left" w:pos="1560"/>
        </w:tabs>
        <w:spacing w:before="0" w:after="0"/>
        <w:outlineLvl w:val="1"/>
      </w:pPr>
    </w:p>
    <w:p w:rsidR="00483FC0" w:rsidRDefault="00483FC0" w:rsidP="00483FC0">
      <w:pPr>
        <w:spacing w:before="0" w:after="0" w:line="180" w:lineRule="atLeast"/>
        <w:rPr>
          <w:rFonts w:eastAsia="Times New Roman"/>
          <w:b/>
          <w:sz w:val="16"/>
          <w:szCs w:val="14"/>
        </w:rPr>
      </w:pPr>
    </w:p>
    <w:p w:rsidR="00483FC0" w:rsidRPr="00604D18" w:rsidRDefault="00483FC0" w:rsidP="00604D18">
      <w:pPr>
        <w:spacing w:before="20" w:after="20" w:line="180" w:lineRule="atLeast"/>
        <w:rPr>
          <w:rFonts w:eastAsia="Times New Roman"/>
          <w:b/>
          <w:sz w:val="16"/>
          <w:szCs w:val="14"/>
        </w:rPr>
      </w:pPr>
    </w:p>
    <w:sectPr w:rsidR="00483FC0" w:rsidRPr="00604D18" w:rsidSect="001B4992">
      <w:headerReference w:type="default" r:id="rId33"/>
      <w:pgSz w:w="16838" w:h="11906" w:orient="landscape" w:code="9"/>
      <w:pgMar w:top="1134" w:right="1525" w:bottom="1134" w:left="851" w:header="1418" w:footer="266"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E0C" w:rsidRDefault="00F34E0C" w:rsidP="00EF4574">
      <w:pPr>
        <w:spacing w:before="0" w:after="0" w:line="240" w:lineRule="auto"/>
      </w:pPr>
      <w:r>
        <w:separator/>
      </w:r>
    </w:p>
  </w:endnote>
  <w:endnote w:type="continuationSeparator" w:id="0">
    <w:p w:rsidR="00F34E0C" w:rsidRDefault="00F34E0C" w:rsidP="00EF4574">
      <w:pPr>
        <w:spacing w:before="0" w:after="0" w:line="240" w:lineRule="auto"/>
      </w:pPr>
      <w:r>
        <w:continuationSeparator/>
      </w:r>
    </w:p>
  </w:endnote>
  <w:endnote w:type="continuationNotice" w:id="1">
    <w:p w:rsidR="00F34E0C" w:rsidRDefault="00F34E0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A4C" w:rsidRDefault="00DA1A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522650"/>
      <w:docPartObj>
        <w:docPartGallery w:val="Page Numbers (Bottom of Page)"/>
        <w:docPartUnique/>
      </w:docPartObj>
    </w:sdtPr>
    <w:sdtEndPr>
      <w:rPr>
        <w:noProof/>
      </w:rPr>
    </w:sdtEndPr>
    <w:sdtContent>
      <w:p w:rsidR="00F34E0C" w:rsidRDefault="00F34E0C">
        <w:pPr>
          <w:pStyle w:val="Footer"/>
        </w:pPr>
        <w:r>
          <w:fldChar w:fldCharType="begin"/>
        </w:r>
        <w:r>
          <w:instrText xml:space="preserve"> PAGE   \* MERGEFORMAT </w:instrText>
        </w:r>
        <w:r>
          <w:fldChar w:fldCharType="separate"/>
        </w:r>
        <w:r w:rsidR="00815B47">
          <w:rPr>
            <w:noProof/>
          </w:rPr>
          <w:t>4</w:t>
        </w:r>
        <w:r>
          <w:rPr>
            <w:noProof/>
          </w:rPr>
          <w:fldChar w:fldCharType="end"/>
        </w:r>
      </w:p>
    </w:sdtContent>
  </w:sdt>
  <w:p w:rsidR="00F34E0C" w:rsidRDefault="00F34E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A4C" w:rsidRDefault="00DA1A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E0C" w:rsidRPr="00CD0E4B" w:rsidRDefault="00F34E0C" w:rsidP="00784031">
    <w:pPr>
      <w:pStyle w:val="Footer"/>
    </w:pPr>
    <w:r w:rsidRPr="00CD0E4B">
      <w:rPr>
        <w:noProof/>
        <w:lang w:val="en-AU" w:eastAsia="en-AU"/>
      </w:rPr>
      <w:drawing>
        <wp:inline distT="0" distB="0" distL="0" distR="0" wp14:anchorId="53C612DC" wp14:editId="70CE6640">
          <wp:extent cx="90000" cy="74520"/>
          <wp:effectExtent l="0" t="0" r="5715"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rsidR="00F34E0C" w:rsidRPr="00CD0E4B" w:rsidRDefault="00F34E0C" w:rsidP="00784031">
    <w:pPr>
      <w:pStyle w:val="Footer"/>
      <w:rPr>
        <w:color w:val="ACD08C" w:themeColor="accent3"/>
      </w:rPr>
    </w:pPr>
    <w:r w:rsidRPr="00CD0E4B">
      <w:rPr>
        <w:color w:val="ACD08C" w:themeColor="accent3"/>
      </w:rPr>
      <w:t>DFAT.GOV.AU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E0C" w:rsidRPr="00207AAB" w:rsidRDefault="00F34E0C" w:rsidP="00207AAB">
      <w:pPr>
        <w:pStyle w:val="Footer"/>
        <w:jc w:val="left"/>
      </w:pPr>
    </w:p>
  </w:footnote>
  <w:footnote w:type="continuationSeparator" w:id="0">
    <w:p w:rsidR="00F34E0C" w:rsidRDefault="00F34E0C" w:rsidP="00EF4574">
      <w:pPr>
        <w:spacing w:before="0" w:after="0" w:line="240" w:lineRule="auto"/>
      </w:pPr>
      <w:r>
        <w:continuationSeparator/>
      </w:r>
    </w:p>
  </w:footnote>
  <w:footnote w:type="continuationNotice" w:id="1">
    <w:p w:rsidR="00F34E0C" w:rsidRDefault="00F34E0C">
      <w:pPr>
        <w:spacing w:before="0" w:after="0" w:line="240" w:lineRule="auto"/>
      </w:pPr>
    </w:p>
  </w:footnote>
  <w:footnote w:id="2">
    <w:p w:rsidR="00F34E0C" w:rsidRPr="009635B1" w:rsidRDefault="00F34E0C" w:rsidP="00954592">
      <w:pPr>
        <w:pStyle w:val="FootnoteText"/>
        <w:rPr>
          <w:lang w:val="en-AU"/>
        </w:rPr>
      </w:pPr>
      <w:r>
        <w:rPr>
          <w:rStyle w:val="FootnoteReference"/>
        </w:rPr>
        <w:footnoteRef/>
      </w:r>
      <w:r>
        <w:t xml:space="preserve"> The WEF </w:t>
      </w:r>
      <w:r w:rsidRPr="009D734E">
        <w:t>ranked 144 counties based on 4 categories: labo</w:t>
      </w:r>
      <w:r>
        <w:t>u</w:t>
      </w:r>
      <w:r w:rsidRPr="009D734E">
        <w:t>r force participation, educational attainment, health and survival, and political empowerment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A4C" w:rsidRDefault="00DA1A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E0C" w:rsidRPr="00333501" w:rsidRDefault="00F34E0C" w:rsidP="008F56A8">
    <w:pPr>
      <w:pStyle w:val="Header"/>
      <w:jc w:val="left"/>
    </w:pPr>
    <w:r>
      <w:rPr>
        <w:noProof/>
        <w:lang w:val="en-AU" w:eastAsia="en-AU"/>
      </w:rPr>
      <w:drawing>
        <wp:anchor distT="0" distB="0" distL="114300" distR="114300" simplePos="0" relativeHeight="251655680" behindDoc="1" locked="1" layoutInCell="1" allowOverlap="1" wp14:anchorId="6EAECCA1" wp14:editId="42ED2D7B">
          <wp:simplePos x="0" y="0"/>
          <wp:positionH relativeFrom="page">
            <wp:posOffset>7620</wp:posOffset>
          </wp:positionH>
          <wp:positionV relativeFrom="page">
            <wp:posOffset>55880</wp:posOffset>
          </wp:positionV>
          <wp:extent cx="7545705" cy="10702290"/>
          <wp:effectExtent l="0" t="0" r="0" b="381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45705" cy="10702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A4C" w:rsidRDefault="00DA1A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E0C" w:rsidRDefault="00F34E0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E0C" w:rsidRPr="00333501" w:rsidRDefault="00F34E0C" w:rsidP="008F56A8">
    <w:pPr>
      <w:pStyle w:val="Header"/>
      <w:jc w:val="left"/>
    </w:pPr>
    <w:r>
      <w:rPr>
        <w:noProof/>
        <w:lang w:val="en-AU" w:eastAsia="en-AU"/>
      </w:rPr>
      <w:drawing>
        <wp:anchor distT="0" distB="0" distL="114300" distR="114300" simplePos="0" relativeHeight="251657728" behindDoc="1" locked="1" layoutInCell="1" allowOverlap="1" wp14:anchorId="1FF69E3A" wp14:editId="5320E90B">
          <wp:simplePos x="0" y="0"/>
          <wp:positionH relativeFrom="page">
            <wp:posOffset>160020</wp:posOffset>
          </wp:positionH>
          <wp:positionV relativeFrom="page">
            <wp:posOffset>160020</wp:posOffset>
          </wp:positionV>
          <wp:extent cx="10662285" cy="7545705"/>
          <wp:effectExtent l="0" t="0" r="5715"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62285" cy="7545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E0C" w:rsidRPr="003D352D" w:rsidRDefault="00F34E0C" w:rsidP="003D352D">
    <w:pPr>
      <w:pStyle w:val="Header"/>
      <w:jc w:val="left"/>
    </w:pPr>
    <w:r>
      <w:rPr>
        <w:noProof/>
        <w:lang w:val="en-AU" w:eastAsia="en-AU"/>
      </w:rPr>
      <w:drawing>
        <wp:anchor distT="0" distB="0" distL="114300" distR="114300" simplePos="0" relativeHeight="251656704" behindDoc="1" locked="1" layoutInCell="1" allowOverlap="1" wp14:anchorId="309919E6" wp14:editId="7C834A4B">
          <wp:simplePos x="0" y="0"/>
          <wp:positionH relativeFrom="page">
            <wp:posOffset>7620</wp:posOffset>
          </wp:positionH>
          <wp:positionV relativeFrom="page">
            <wp:posOffset>7620</wp:posOffset>
          </wp:positionV>
          <wp:extent cx="10662285" cy="7545705"/>
          <wp:effectExtent l="0" t="0" r="5715" b="0"/>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62285" cy="7545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E0C" w:rsidRPr="00333501" w:rsidRDefault="00F34E0C" w:rsidP="008F56A8">
    <w:pPr>
      <w:pStyle w:val="Header"/>
      <w:jc w:val="left"/>
    </w:pPr>
    <w:r>
      <w:rPr>
        <w:noProof/>
        <w:lang w:val="en-AU" w:eastAsia="en-AU"/>
      </w:rPr>
      <w:drawing>
        <wp:anchor distT="0" distB="0" distL="114300" distR="114300" simplePos="0" relativeHeight="251658752" behindDoc="1" locked="1" layoutInCell="1" allowOverlap="1" wp14:anchorId="39358768" wp14:editId="559878D2">
          <wp:simplePos x="0" y="0"/>
          <wp:positionH relativeFrom="page">
            <wp:posOffset>163830</wp:posOffset>
          </wp:positionH>
          <wp:positionV relativeFrom="page">
            <wp:align>top</wp:align>
          </wp:positionV>
          <wp:extent cx="10639425" cy="11025505"/>
          <wp:effectExtent l="0" t="0" r="9525" b="4445"/>
          <wp:wrapNone/>
          <wp:docPr id="39" name="Pictur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39425" cy="11025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260307AF"/>
    <w:multiLevelType w:val="hybridMultilevel"/>
    <w:tmpl w:val="AB7C5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2D474836"/>
    <w:multiLevelType w:val="hybridMultilevel"/>
    <w:tmpl w:val="FC2E1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FD1364"/>
    <w:multiLevelType w:val="hybridMultilevel"/>
    <w:tmpl w:val="1FA0A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45410E80"/>
    <w:multiLevelType w:val="hybridMultilevel"/>
    <w:tmpl w:val="D1F0A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E42851"/>
    <w:multiLevelType w:val="hybridMultilevel"/>
    <w:tmpl w:val="9B3A7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B77B63"/>
    <w:multiLevelType w:val="hybridMultilevel"/>
    <w:tmpl w:val="BD063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A05174"/>
    <w:multiLevelType w:val="hybridMultilevel"/>
    <w:tmpl w:val="50A89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EF4903"/>
    <w:multiLevelType w:val="hybridMultilevel"/>
    <w:tmpl w:val="874035A6"/>
    <w:lvl w:ilvl="0" w:tplc="D8CE0E70">
      <w:numFmt w:val="bullet"/>
      <w:lvlText w:val="-"/>
      <w:lvlJc w:val="left"/>
      <w:pPr>
        <w:ind w:left="786" w:hanging="360"/>
      </w:pPr>
      <w:rPr>
        <w:rFonts w:ascii="Calibri Light" w:eastAsiaTheme="minorHAnsi" w:hAnsi="Calibri Light"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2" w15:restartNumberingAfterBreak="0">
    <w:nsid w:val="5502724B"/>
    <w:multiLevelType w:val="hybridMultilevel"/>
    <w:tmpl w:val="F68032E4"/>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4" w15:restartNumberingAfterBreak="0">
    <w:nsid w:val="5D3C1EA7"/>
    <w:multiLevelType w:val="multilevel"/>
    <w:tmpl w:val="43428892"/>
    <w:numStyleLink w:val="BulletsList"/>
  </w:abstractNum>
  <w:abstractNum w:abstractNumId="15"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6355711B"/>
    <w:multiLevelType w:val="hybridMultilevel"/>
    <w:tmpl w:val="CD082EFE"/>
    <w:lvl w:ilvl="0" w:tplc="68AADA5C">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B167784"/>
    <w:multiLevelType w:val="hybridMultilevel"/>
    <w:tmpl w:val="CD92E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8"/>
  </w:num>
  <w:num w:numId="2">
    <w:abstractNumId w:val="0"/>
  </w:num>
  <w:num w:numId="3">
    <w:abstractNumId w:val="3"/>
  </w:num>
  <w:num w:numId="4">
    <w:abstractNumId w:val="13"/>
  </w:num>
  <w:num w:numId="5">
    <w:abstractNumId w:val="15"/>
  </w:num>
  <w:num w:numId="6">
    <w:abstractNumId w:val="3"/>
  </w:num>
  <w:num w:numId="7">
    <w:abstractNumId w:val="14"/>
  </w:num>
  <w:num w:numId="8">
    <w:abstractNumId w:val="0"/>
  </w:num>
  <w:num w:numId="9">
    <w:abstractNumId w:val="7"/>
  </w:num>
  <w:num w:numId="10">
    <w:abstractNumId w:val="1"/>
  </w:num>
  <w:num w:numId="11">
    <w:abstractNumId w:val="17"/>
  </w:num>
  <w:num w:numId="12">
    <w:abstractNumId w:val="4"/>
  </w:num>
  <w:num w:numId="13">
    <w:abstractNumId w:val="6"/>
  </w:num>
  <w:num w:numId="14">
    <w:abstractNumId w:val="11"/>
  </w:num>
  <w:num w:numId="15">
    <w:abstractNumId w:val="8"/>
  </w:num>
  <w:num w:numId="16">
    <w:abstractNumId w:val="16"/>
  </w:num>
  <w:num w:numId="17">
    <w:abstractNumId w:val="9"/>
  </w:num>
  <w:num w:numId="18">
    <w:abstractNumId w:val="10"/>
  </w:num>
  <w:num w:numId="19">
    <w:abstractNumId w:val="2"/>
  </w:num>
  <w:num w:numId="20">
    <w:abstractNumId w:val="14"/>
  </w:num>
  <w:num w:numId="21">
    <w:abstractNumId w:val="5"/>
  </w:num>
  <w:num w:numId="22">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DA8"/>
    <w:rsid w:val="000044A5"/>
    <w:rsid w:val="00006799"/>
    <w:rsid w:val="00007DA3"/>
    <w:rsid w:val="000108EE"/>
    <w:rsid w:val="000146D9"/>
    <w:rsid w:val="00015316"/>
    <w:rsid w:val="00015406"/>
    <w:rsid w:val="00016091"/>
    <w:rsid w:val="00020200"/>
    <w:rsid w:val="0002080A"/>
    <w:rsid w:val="00020996"/>
    <w:rsid w:val="000210D0"/>
    <w:rsid w:val="000273B8"/>
    <w:rsid w:val="0002782F"/>
    <w:rsid w:val="00027F29"/>
    <w:rsid w:val="00030E5B"/>
    <w:rsid w:val="00031512"/>
    <w:rsid w:val="00033AB7"/>
    <w:rsid w:val="000413F8"/>
    <w:rsid w:val="00043037"/>
    <w:rsid w:val="00043D12"/>
    <w:rsid w:val="000450EF"/>
    <w:rsid w:val="00046C80"/>
    <w:rsid w:val="0005469A"/>
    <w:rsid w:val="00054E4D"/>
    <w:rsid w:val="00055688"/>
    <w:rsid w:val="00056CFA"/>
    <w:rsid w:val="00057106"/>
    <w:rsid w:val="00060073"/>
    <w:rsid w:val="00060268"/>
    <w:rsid w:val="00066D3F"/>
    <w:rsid w:val="00070343"/>
    <w:rsid w:val="000729F0"/>
    <w:rsid w:val="00072B50"/>
    <w:rsid w:val="00073798"/>
    <w:rsid w:val="0007518F"/>
    <w:rsid w:val="00080571"/>
    <w:rsid w:val="00083450"/>
    <w:rsid w:val="00084483"/>
    <w:rsid w:val="00093CF9"/>
    <w:rsid w:val="00096F26"/>
    <w:rsid w:val="000A00C2"/>
    <w:rsid w:val="000A4077"/>
    <w:rsid w:val="000A53A5"/>
    <w:rsid w:val="000A614E"/>
    <w:rsid w:val="000B6798"/>
    <w:rsid w:val="000B680B"/>
    <w:rsid w:val="000D66D6"/>
    <w:rsid w:val="000D7E29"/>
    <w:rsid w:val="000E314A"/>
    <w:rsid w:val="000E4C92"/>
    <w:rsid w:val="000E5950"/>
    <w:rsid w:val="000E7595"/>
    <w:rsid w:val="000E76A4"/>
    <w:rsid w:val="000F15C6"/>
    <w:rsid w:val="000F3A3E"/>
    <w:rsid w:val="000F70C1"/>
    <w:rsid w:val="001060C7"/>
    <w:rsid w:val="001103E6"/>
    <w:rsid w:val="001132F4"/>
    <w:rsid w:val="00113617"/>
    <w:rsid w:val="00113CC3"/>
    <w:rsid w:val="00120CD6"/>
    <w:rsid w:val="00120E8D"/>
    <w:rsid w:val="0012584A"/>
    <w:rsid w:val="00130DFE"/>
    <w:rsid w:val="001312E6"/>
    <w:rsid w:val="001314EC"/>
    <w:rsid w:val="00132C3F"/>
    <w:rsid w:val="00136300"/>
    <w:rsid w:val="00144305"/>
    <w:rsid w:val="00151D48"/>
    <w:rsid w:val="001541EA"/>
    <w:rsid w:val="00154A9B"/>
    <w:rsid w:val="0015642D"/>
    <w:rsid w:val="00160B05"/>
    <w:rsid w:val="00162218"/>
    <w:rsid w:val="0016653F"/>
    <w:rsid w:val="00166962"/>
    <w:rsid w:val="00167DB8"/>
    <w:rsid w:val="00167F5A"/>
    <w:rsid w:val="00174B8C"/>
    <w:rsid w:val="00182B06"/>
    <w:rsid w:val="00184818"/>
    <w:rsid w:val="00186EA3"/>
    <w:rsid w:val="001A1CF4"/>
    <w:rsid w:val="001A46B2"/>
    <w:rsid w:val="001A4EEC"/>
    <w:rsid w:val="001A643D"/>
    <w:rsid w:val="001B3C09"/>
    <w:rsid w:val="001B4992"/>
    <w:rsid w:val="001B5019"/>
    <w:rsid w:val="001C31D2"/>
    <w:rsid w:val="001C75F9"/>
    <w:rsid w:val="001D4227"/>
    <w:rsid w:val="001D59EB"/>
    <w:rsid w:val="001D5A7C"/>
    <w:rsid w:val="001D61C9"/>
    <w:rsid w:val="001D663E"/>
    <w:rsid w:val="001E0BCA"/>
    <w:rsid w:val="001E1DC0"/>
    <w:rsid w:val="001E2FD2"/>
    <w:rsid w:val="00202C02"/>
    <w:rsid w:val="0020363F"/>
    <w:rsid w:val="00203756"/>
    <w:rsid w:val="00207AAB"/>
    <w:rsid w:val="002124B2"/>
    <w:rsid w:val="002309D8"/>
    <w:rsid w:val="002348CC"/>
    <w:rsid w:val="00236A53"/>
    <w:rsid w:val="002373F0"/>
    <w:rsid w:val="00243395"/>
    <w:rsid w:val="00253FF2"/>
    <w:rsid w:val="00255A52"/>
    <w:rsid w:val="002613E9"/>
    <w:rsid w:val="00274F74"/>
    <w:rsid w:val="00275DB7"/>
    <w:rsid w:val="0027602A"/>
    <w:rsid w:val="00280CEA"/>
    <w:rsid w:val="00280D27"/>
    <w:rsid w:val="00284957"/>
    <w:rsid w:val="0028602A"/>
    <w:rsid w:val="0028663E"/>
    <w:rsid w:val="002A51CA"/>
    <w:rsid w:val="002A523A"/>
    <w:rsid w:val="002A6A23"/>
    <w:rsid w:val="002A6AC8"/>
    <w:rsid w:val="002B0ED5"/>
    <w:rsid w:val="002B324F"/>
    <w:rsid w:val="002B3E95"/>
    <w:rsid w:val="002B5355"/>
    <w:rsid w:val="002B5E10"/>
    <w:rsid w:val="002C35FC"/>
    <w:rsid w:val="002C361D"/>
    <w:rsid w:val="002C3E6F"/>
    <w:rsid w:val="002C63B4"/>
    <w:rsid w:val="002D2B16"/>
    <w:rsid w:val="002D37BC"/>
    <w:rsid w:val="002E2938"/>
    <w:rsid w:val="002E6077"/>
    <w:rsid w:val="002F0257"/>
    <w:rsid w:val="002F43F6"/>
    <w:rsid w:val="002F744C"/>
    <w:rsid w:val="003002C0"/>
    <w:rsid w:val="003007CE"/>
    <w:rsid w:val="00301144"/>
    <w:rsid w:val="00301E24"/>
    <w:rsid w:val="003148B7"/>
    <w:rsid w:val="003158C3"/>
    <w:rsid w:val="003161FD"/>
    <w:rsid w:val="00320251"/>
    <w:rsid w:val="00324651"/>
    <w:rsid w:val="003274CD"/>
    <w:rsid w:val="00331793"/>
    <w:rsid w:val="00332EC9"/>
    <w:rsid w:val="00333501"/>
    <w:rsid w:val="00340C63"/>
    <w:rsid w:val="003434D0"/>
    <w:rsid w:val="00344E4C"/>
    <w:rsid w:val="003457C4"/>
    <w:rsid w:val="0035119D"/>
    <w:rsid w:val="003557FC"/>
    <w:rsid w:val="00356AA8"/>
    <w:rsid w:val="00357A1C"/>
    <w:rsid w:val="00366E72"/>
    <w:rsid w:val="003726B9"/>
    <w:rsid w:val="00375FB4"/>
    <w:rsid w:val="00385DFD"/>
    <w:rsid w:val="00390274"/>
    <w:rsid w:val="00393307"/>
    <w:rsid w:val="003A0395"/>
    <w:rsid w:val="003A44F8"/>
    <w:rsid w:val="003B1314"/>
    <w:rsid w:val="003B42F9"/>
    <w:rsid w:val="003B4F12"/>
    <w:rsid w:val="003B51B2"/>
    <w:rsid w:val="003B7E5E"/>
    <w:rsid w:val="003C084F"/>
    <w:rsid w:val="003C1649"/>
    <w:rsid w:val="003C6DEA"/>
    <w:rsid w:val="003C796F"/>
    <w:rsid w:val="003D0AA7"/>
    <w:rsid w:val="003D135F"/>
    <w:rsid w:val="003D352D"/>
    <w:rsid w:val="003D406C"/>
    <w:rsid w:val="003D72E5"/>
    <w:rsid w:val="003D7500"/>
    <w:rsid w:val="003E3FE5"/>
    <w:rsid w:val="003E4323"/>
    <w:rsid w:val="003E696E"/>
    <w:rsid w:val="00400B0F"/>
    <w:rsid w:val="00402ACC"/>
    <w:rsid w:val="004120EC"/>
    <w:rsid w:val="00415490"/>
    <w:rsid w:val="00415C6F"/>
    <w:rsid w:val="00417A84"/>
    <w:rsid w:val="00420E07"/>
    <w:rsid w:val="00422985"/>
    <w:rsid w:val="00423F31"/>
    <w:rsid w:val="0042533D"/>
    <w:rsid w:val="00430F9C"/>
    <w:rsid w:val="0043149A"/>
    <w:rsid w:val="00431899"/>
    <w:rsid w:val="00431E2C"/>
    <w:rsid w:val="0043260B"/>
    <w:rsid w:val="00433A5B"/>
    <w:rsid w:val="00434450"/>
    <w:rsid w:val="00434CAB"/>
    <w:rsid w:val="0043564E"/>
    <w:rsid w:val="004405E4"/>
    <w:rsid w:val="0044375E"/>
    <w:rsid w:val="00450707"/>
    <w:rsid w:val="0046370E"/>
    <w:rsid w:val="00463BEB"/>
    <w:rsid w:val="00467156"/>
    <w:rsid w:val="00471761"/>
    <w:rsid w:val="00483FC0"/>
    <w:rsid w:val="00484480"/>
    <w:rsid w:val="00486804"/>
    <w:rsid w:val="00493C61"/>
    <w:rsid w:val="004977A1"/>
    <w:rsid w:val="004A1354"/>
    <w:rsid w:val="004A76CB"/>
    <w:rsid w:val="004B2D67"/>
    <w:rsid w:val="004B36B5"/>
    <w:rsid w:val="004B3775"/>
    <w:rsid w:val="004B5594"/>
    <w:rsid w:val="004C1B3D"/>
    <w:rsid w:val="004C76E8"/>
    <w:rsid w:val="004D0BA0"/>
    <w:rsid w:val="004D1166"/>
    <w:rsid w:val="004D4017"/>
    <w:rsid w:val="004D43F3"/>
    <w:rsid w:val="004D5007"/>
    <w:rsid w:val="004E0264"/>
    <w:rsid w:val="004E058F"/>
    <w:rsid w:val="004E3B87"/>
    <w:rsid w:val="004E4C52"/>
    <w:rsid w:val="004E5678"/>
    <w:rsid w:val="004E6F56"/>
    <w:rsid w:val="004F28FA"/>
    <w:rsid w:val="004F437F"/>
    <w:rsid w:val="004F5727"/>
    <w:rsid w:val="004F7119"/>
    <w:rsid w:val="0050583D"/>
    <w:rsid w:val="00505E5B"/>
    <w:rsid w:val="00510921"/>
    <w:rsid w:val="00510AD3"/>
    <w:rsid w:val="00510FAB"/>
    <w:rsid w:val="00513348"/>
    <w:rsid w:val="0052347B"/>
    <w:rsid w:val="005305CE"/>
    <w:rsid w:val="00533B5D"/>
    <w:rsid w:val="005363CB"/>
    <w:rsid w:val="00540CE8"/>
    <w:rsid w:val="005511BF"/>
    <w:rsid w:val="00560200"/>
    <w:rsid w:val="00564DA3"/>
    <w:rsid w:val="00565D8A"/>
    <w:rsid w:val="00567171"/>
    <w:rsid w:val="0057068F"/>
    <w:rsid w:val="005714D1"/>
    <w:rsid w:val="00574D83"/>
    <w:rsid w:val="00575BA1"/>
    <w:rsid w:val="005763B7"/>
    <w:rsid w:val="00576BE4"/>
    <w:rsid w:val="005778D9"/>
    <w:rsid w:val="00584657"/>
    <w:rsid w:val="005912B2"/>
    <w:rsid w:val="0059146A"/>
    <w:rsid w:val="0059150F"/>
    <w:rsid w:val="00596BFB"/>
    <w:rsid w:val="005A6D93"/>
    <w:rsid w:val="005B2A0A"/>
    <w:rsid w:val="005B5769"/>
    <w:rsid w:val="005B60E4"/>
    <w:rsid w:val="005C3D29"/>
    <w:rsid w:val="005D2B50"/>
    <w:rsid w:val="005D3655"/>
    <w:rsid w:val="005D68FB"/>
    <w:rsid w:val="005D7BA0"/>
    <w:rsid w:val="005E4A85"/>
    <w:rsid w:val="005E606B"/>
    <w:rsid w:val="005E619D"/>
    <w:rsid w:val="005F3995"/>
    <w:rsid w:val="005F507F"/>
    <w:rsid w:val="00600479"/>
    <w:rsid w:val="00604D18"/>
    <w:rsid w:val="006136F0"/>
    <w:rsid w:val="00615495"/>
    <w:rsid w:val="00615669"/>
    <w:rsid w:val="00615A80"/>
    <w:rsid w:val="00622BA2"/>
    <w:rsid w:val="00623283"/>
    <w:rsid w:val="00623BA1"/>
    <w:rsid w:val="006243E5"/>
    <w:rsid w:val="00631AE1"/>
    <w:rsid w:val="006346BC"/>
    <w:rsid w:val="006405A3"/>
    <w:rsid w:val="00641674"/>
    <w:rsid w:val="00644CFF"/>
    <w:rsid w:val="00644D9C"/>
    <w:rsid w:val="00647C92"/>
    <w:rsid w:val="00657AEE"/>
    <w:rsid w:val="006615FD"/>
    <w:rsid w:val="00665E7A"/>
    <w:rsid w:val="0066652A"/>
    <w:rsid w:val="00666B7F"/>
    <w:rsid w:val="00667CF7"/>
    <w:rsid w:val="006733E5"/>
    <w:rsid w:val="00674691"/>
    <w:rsid w:val="006775D1"/>
    <w:rsid w:val="00680522"/>
    <w:rsid w:val="00681557"/>
    <w:rsid w:val="00681F08"/>
    <w:rsid w:val="00682167"/>
    <w:rsid w:val="00682774"/>
    <w:rsid w:val="0068299F"/>
    <w:rsid w:val="00684F2D"/>
    <w:rsid w:val="0068507C"/>
    <w:rsid w:val="006926A1"/>
    <w:rsid w:val="006A0263"/>
    <w:rsid w:val="006A1CD5"/>
    <w:rsid w:val="006A233B"/>
    <w:rsid w:val="006A5F02"/>
    <w:rsid w:val="006B5562"/>
    <w:rsid w:val="006C0282"/>
    <w:rsid w:val="006C42AF"/>
    <w:rsid w:val="006C4F09"/>
    <w:rsid w:val="006C561A"/>
    <w:rsid w:val="006D0F28"/>
    <w:rsid w:val="006E32CE"/>
    <w:rsid w:val="006E4EA1"/>
    <w:rsid w:val="006F27B1"/>
    <w:rsid w:val="006F3FD7"/>
    <w:rsid w:val="006F5A9E"/>
    <w:rsid w:val="006F75D5"/>
    <w:rsid w:val="00703A38"/>
    <w:rsid w:val="00706952"/>
    <w:rsid w:val="00711D8E"/>
    <w:rsid w:val="00712672"/>
    <w:rsid w:val="007132DD"/>
    <w:rsid w:val="00724227"/>
    <w:rsid w:val="0072441D"/>
    <w:rsid w:val="00726F7F"/>
    <w:rsid w:val="00730928"/>
    <w:rsid w:val="00734E3F"/>
    <w:rsid w:val="00736985"/>
    <w:rsid w:val="00745DF5"/>
    <w:rsid w:val="00751CE6"/>
    <w:rsid w:val="00753206"/>
    <w:rsid w:val="00754D7F"/>
    <w:rsid w:val="00760C59"/>
    <w:rsid w:val="0076250F"/>
    <w:rsid w:val="00762DFD"/>
    <w:rsid w:val="00764CFD"/>
    <w:rsid w:val="00771B53"/>
    <w:rsid w:val="0077730A"/>
    <w:rsid w:val="00784031"/>
    <w:rsid w:val="00786A04"/>
    <w:rsid w:val="007A01FD"/>
    <w:rsid w:val="007A6485"/>
    <w:rsid w:val="007A7706"/>
    <w:rsid w:val="007B1ED0"/>
    <w:rsid w:val="007B3F86"/>
    <w:rsid w:val="007B4865"/>
    <w:rsid w:val="007B6200"/>
    <w:rsid w:val="007B6898"/>
    <w:rsid w:val="007B7A17"/>
    <w:rsid w:val="007C2540"/>
    <w:rsid w:val="007C4FB6"/>
    <w:rsid w:val="007C7418"/>
    <w:rsid w:val="007D0299"/>
    <w:rsid w:val="007D2E25"/>
    <w:rsid w:val="007E4285"/>
    <w:rsid w:val="007E6F34"/>
    <w:rsid w:val="007F3395"/>
    <w:rsid w:val="00800B2C"/>
    <w:rsid w:val="00801B9F"/>
    <w:rsid w:val="00802E98"/>
    <w:rsid w:val="008057FD"/>
    <w:rsid w:val="00805FD4"/>
    <w:rsid w:val="0081451D"/>
    <w:rsid w:val="00814A42"/>
    <w:rsid w:val="00815B47"/>
    <w:rsid w:val="00826F4F"/>
    <w:rsid w:val="0084000F"/>
    <w:rsid w:val="00843801"/>
    <w:rsid w:val="008475F0"/>
    <w:rsid w:val="00850E3D"/>
    <w:rsid w:val="008518C3"/>
    <w:rsid w:val="00853B42"/>
    <w:rsid w:val="00861ADE"/>
    <w:rsid w:val="00864210"/>
    <w:rsid w:val="00866D4F"/>
    <w:rsid w:val="00876022"/>
    <w:rsid w:val="00880004"/>
    <w:rsid w:val="0088253D"/>
    <w:rsid w:val="0088319C"/>
    <w:rsid w:val="00884490"/>
    <w:rsid w:val="00891631"/>
    <w:rsid w:val="008A5AFE"/>
    <w:rsid w:val="008B0DF1"/>
    <w:rsid w:val="008B68D7"/>
    <w:rsid w:val="008B6A51"/>
    <w:rsid w:val="008B6D38"/>
    <w:rsid w:val="008B745F"/>
    <w:rsid w:val="008B7D42"/>
    <w:rsid w:val="008C0BE8"/>
    <w:rsid w:val="008C1C33"/>
    <w:rsid w:val="008C2F58"/>
    <w:rsid w:val="008C4FFB"/>
    <w:rsid w:val="008C5180"/>
    <w:rsid w:val="008C5A0E"/>
    <w:rsid w:val="008D2A4F"/>
    <w:rsid w:val="008D6EAE"/>
    <w:rsid w:val="008D6EEC"/>
    <w:rsid w:val="008D7659"/>
    <w:rsid w:val="008E1DEC"/>
    <w:rsid w:val="008F0C31"/>
    <w:rsid w:val="008F56A8"/>
    <w:rsid w:val="00911D51"/>
    <w:rsid w:val="00915A2B"/>
    <w:rsid w:val="009220EA"/>
    <w:rsid w:val="00940AC7"/>
    <w:rsid w:val="0094163B"/>
    <w:rsid w:val="00954592"/>
    <w:rsid w:val="00960E0B"/>
    <w:rsid w:val="009635B1"/>
    <w:rsid w:val="00970924"/>
    <w:rsid w:val="00971815"/>
    <w:rsid w:val="0097490A"/>
    <w:rsid w:val="009829EF"/>
    <w:rsid w:val="009903F3"/>
    <w:rsid w:val="0099148E"/>
    <w:rsid w:val="00992C76"/>
    <w:rsid w:val="00996694"/>
    <w:rsid w:val="009B05BB"/>
    <w:rsid w:val="009B4D3B"/>
    <w:rsid w:val="009B67C1"/>
    <w:rsid w:val="009C14B5"/>
    <w:rsid w:val="009C7429"/>
    <w:rsid w:val="009D5F40"/>
    <w:rsid w:val="009D7407"/>
    <w:rsid w:val="009D7F3C"/>
    <w:rsid w:val="009E0866"/>
    <w:rsid w:val="009E2287"/>
    <w:rsid w:val="009E3DDE"/>
    <w:rsid w:val="009E5656"/>
    <w:rsid w:val="009E7BB8"/>
    <w:rsid w:val="009F5488"/>
    <w:rsid w:val="009F6423"/>
    <w:rsid w:val="00A0055C"/>
    <w:rsid w:val="00A04E84"/>
    <w:rsid w:val="00A145ED"/>
    <w:rsid w:val="00A17BC7"/>
    <w:rsid w:val="00A2042D"/>
    <w:rsid w:val="00A24A62"/>
    <w:rsid w:val="00A27E52"/>
    <w:rsid w:val="00A3090E"/>
    <w:rsid w:val="00A31C9F"/>
    <w:rsid w:val="00A4144F"/>
    <w:rsid w:val="00A5174A"/>
    <w:rsid w:val="00A522A1"/>
    <w:rsid w:val="00A532BF"/>
    <w:rsid w:val="00A54034"/>
    <w:rsid w:val="00A56F14"/>
    <w:rsid w:val="00A6032E"/>
    <w:rsid w:val="00A60E6F"/>
    <w:rsid w:val="00A63E16"/>
    <w:rsid w:val="00A63FB4"/>
    <w:rsid w:val="00A670E9"/>
    <w:rsid w:val="00A71902"/>
    <w:rsid w:val="00A73220"/>
    <w:rsid w:val="00A7375D"/>
    <w:rsid w:val="00A749B7"/>
    <w:rsid w:val="00A7502A"/>
    <w:rsid w:val="00A76336"/>
    <w:rsid w:val="00A7706C"/>
    <w:rsid w:val="00A80F95"/>
    <w:rsid w:val="00A8197B"/>
    <w:rsid w:val="00A83182"/>
    <w:rsid w:val="00A916D8"/>
    <w:rsid w:val="00AA08FD"/>
    <w:rsid w:val="00AA4349"/>
    <w:rsid w:val="00AA691C"/>
    <w:rsid w:val="00AA7BE3"/>
    <w:rsid w:val="00AB5E7F"/>
    <w:rsid w:val="00AC164A"/>
    <w:rsid w:val="00AC302F"/>
    <w:rsid w:val="00AD2D01"/>
    <w:rsid w:val="00AD305C"/>
    <w:rsid w:val="00AD7B0F"/>
    <w:rsid w:val="00AE2F26"/>
    <w:rsid w:val="00AE4E71"/>
    <w:rsid w:val="00AF1B85"/>
    <w:rsid w:val="00AF2050"/>
    <w:rsid w:val="00AF49BC"/>
    <w:rsid w:val="00AF5F5A"/>
    <w:rsid w:val="00B01C22"/>
    <w:rsid w:val="00B03CA8"/>
    <w:rsid w:val="00B15D9D"/>
    <w:rsid w:val="00B15DB1"/>
    <w:rsid w:val="00B230E1"/>
    <w:rsid w:val="00B331DC"/>
    <w:rsid w:val="00B37A4C"/>
    <w:rsid w:val="00B37C19"/>
    <w:rsid w:val="00B40811"/>
    <w:rsid w:val="00B438D3"/>
    <w:rsid w:val="00B46597"/>
    <w:rsid w:val="00B47912"/>
    <w:rsid w:val="00B50455"/>
    <w:rsid w:val="00B55E19"/>
    <w:rsid w:val="00B56B0F"/>
    <w:rsid w:val="00B57393"/>
    <w:rsid w:val="00B623A2"/>
    <w:rsid w:val="00B702DB"/>
    <w:rsid w:val="00B7318E"/>
    <w:rsid w:val="00B76480"/>
    <w:rsid w:val="00B819BF"/>
    <w:rsid w:val="00B919C6"/>
    <w:rsid w:val="00BA1998"/>
    <w:rsid w:val="00BA3565"/>
    <w:rsid w:val="00BA381C"/>
    <w:rsid w:val="00BA4B6D"/>
    <w:rsid w:val="00BA774F"/>
    <w:rsid w:val="00BB254C"/>
    <w:rsid w:val="00BB26C5"/>
    <w:rsid w:val="00BB382F"/>
    <w:rsid w:val="00BB549F"/>
    <w:rsid w:val="00BB688D"/>
    <w:rsid w:val="00BC337C"/>
    <w:rsid w:val="00BC52DD"/>
    <w:rsid w:val="00BC6F9F"/>
    <w:rsid w:val="00BE66B6"/>
    <w:rsid w:val="00BE6C6D"/>
    <w:rsid w:val="00BE737D"/>
    <w:rsid w:val="00BF1AC4"/>
    <w:rsid w:val="00BF4477"/>
    <w:rsid w:val="00BF4DE6"/>
    <w:rsid w:val="00BF74AF"/>
    <w:rsid w:val="00BF760D"/>
    <w:rsid w:val="00C04CC8"/>
    <w:rsid w:val="00C071C9"/>
    <w:rsid w:val="00C10CA4"/>
    <w:rsid w:val="00C1403E"/>
    <w:rsid w:val="00C23094"/>
    <w:rsid w:val="00C24D3C"/>
    <w:rsid w:val="00C352D2"/>
    <w:rsid w:val="00C363C2"/>
    <w:rsid w:val="00C36E5C"/>
    <w:rsid w:val="00C37399"/>
    <w:rsid w:val="00C40604"/>
    <w:rsid w:val="00C406F0"/>
    <w:rsid w:val="00C42CDE"/>
    <w:rsid w:val="00C42D03"/>
    <w:rsid w:val="00C47F6D"/>
    <w:rsid w:val="00C500D7"/>
    <w:rsid w:val="00C5182A"/>
    <w:rsid w:val="00C56D66"/>
    <w:rsid w:val="00C6247A"/>
    <w:rsid w:val="00C63EE9"/>
    <w:rsid w:val="00C648B9"/>
    <w:rsid w:val="00C6626C"/>
    <w:rsid w:val="00C671FD"/>
    <w:rsid w:val="00C7297E"/>
    <w:rsid w:val="00C74FF6"/>
    <w:rsid w:val="00C75588"/>
    <w:rsid w:val="00C77F5B"/>
    <w:rsid w:val="00C86224"/>
    <w:rsid w:val="00C8715F"/>
    <w:rsid w:val="00C90034"/>
    <w:rsid w:val="00C90AA1"/>
    <w:rsid w:val="00C95D6D"/>
    <w:rsid w:val="00CA2FA9"/>
    <w:rsid w:val="00CA3444"/>
    <w:rsid w:val="00CA37B1"/>
    <w:rsid w:val="00CA7DD8"/>
    <w:rsid w:val="00CB0BF5"/>
    <w:rsid w:val="00CB1959"/>
    <w:rsid w:val="00CB7404"/>
    <w:rsid w:val="00CC3209"/>
    <w:rsid w:val="00CD034E"/>
    <w:rsid w:val="00CD0E4B"/>
    <w:rsid w:val="00CE0155"/>
    <w:rsid w:val="00CE2AD9"/>
    <w:rsid w:val="00CE4DC1"/>
    <w:rsid w:val="00CE5DF0"/>
    <w:rsid w:val="00CF2533"/>
    <w:rsid w:val="00CF515B"/>
    <w:rsid w:val="00D00802"/>
    <w:rsid w:val="00D0296C"/>
    <w:rsid w:val="00D06A78"/>
    <w:rsid w:val="00D06F51"/>
    <w:rsid w:val="00D102ED"/>
    <w:rsid w:val="00D123CC"/>
    <w:rsid w:val="00D13BC7"/>
    <w:rsid w:val="00D146A2"/>
    <w:rsid w:val="00D15A00"/>
    <w:rsid w:val="00D16523"/>
    <w:rsid w:val="00D16981"/>
    <w:rsid w:val="00D171D6"/>
    <w:rsid w:val="00D1732F"/>
    <w:rsid w:val="00D3315E"/>
    <w:rsid w:val="00D33BF8"/>
    <w:rsid w:val="00D3777C"/>
    <w:rsid w:val="00D40AEB"/>
    <w:rsid w:val="00D40B25"/>
    <w:rsid w:val="00D428DB"/>
    <w:rsid w:val="00D460DC"/>
    <w:rsid w:val="00D46195"/>
    <w:rsid w:val="00D46BD5"/>
    <w:rsid w:val="00D47652"/>
    <w:rsid w:val="00D54DB5"/>
    <w:rsid w:val="00D61DF5"/>
    <w:rsid w:val="00D64BD1"/>
    <w:rsid w:val="00D65108"/>
    <w:rsid w:val="00D66969"/>
    <w:rsid w:val="00D66D60"/>
    <w:rsid w:val="00D67AA5"/>
    <w:rsid w:val="00D703E9"/>
    <w:rsid w:val="00D70BC6"/>
    <w:rsid w:val="00D7196E"/>
    <w:rsid w:val="00D72760"/>
    <w:rsid w:val="00D72C72"/>
    <w:rsid w:val="00D73EFE"/>
    <w:rsid w:val="00D76A68"/>
    <w:rsid w:val="00D86954"/>
    <w:rsid w:val="00D90D95"/>
    <w:rsid w:val="00DA040F"/>
    <w:rsid w:val="00DA1A4C"/>
    <w:rsid w:val="00DB0764"/>
    <w:rsid w:val="00DB3DEA"/>
    <w:rsid w:val="00DB4ADD"/>
    <w:rsid w:val="00DB6F03"/>
    <w:rsid w:val="00DC165D"/>
    <w:rsid w:val="00DC3354"/>
    <w:rsid w:val="00DC5016"/>
    <w:rsid w:val="00DC5EA1"/>
    <w:rsid w:val="00DD1986"/>
    <w:rsid w:val="00DD3B04"/>
    <w:rsid w:val="00DE084C"/>
    <w:rsid w:val="00DF3152"/>
    <w:rsid w:val="00DF3D0E"/>
    <w:rsid w:val="00E012E4"/>
    <w:rsid w:val="00E06619"/>
    <w:rsid w:val="00E0719C"/>
    <w:rsid w:val="00E12348"/>
    <w:rsid w:val="00E13757"/>
    <w:rsid w:val="00E245D7"/>
    <w:rsid w:val="00E357B7"/>
    <w:rsid w:val="00E36F91"/>
    <w:rsid w:val="00E41425"/>
    <w:rsid w:val="00E47CE3"/>
    <w:rsid w:val="00E53800"/>
    <w:rsid w:val="00E5502A"/>
    <w:rsid w:val="00E6081F"/>
    <w:rsid w:val="00E61962"/>
    <w:rsid w:val="00E631C0"/>
    <w:rsid w:val="00E65749"/>
    <w:rsid w:val="00E67694"/>
    <w:rsid w:val="00E76081"/>
    <w:rsid w:val="00E77EB2"/>
    <w:rsid w:val="00E86364"/>
    <w:rsid w:val="00EA04B2"/>
    <w:rsid w:val="00EA20F3"/>
    <w:rsid w:val="00EA232C"/>
    <w:rsid w:val="00EA7779"/>
    <w:rsid w:val="00EB038A"/>
    <w:rsid w:val="00EB2D0F"/>
    <w:rsid w:val="00EB35E3"/>
    <w:rsid w:val="00EB3C37"/>
    <w:rsid w:val="00EB4BDB"/>
    <w:rsid w:val="00EB51B0"/>
    <w:rsid w:val="00EC30DD"/>
    <w:rsid w:val="00EC5C7F"/>
    <w:rsid w:val="00ED2831"/>
    <w:rsid w:val="00ED43D1"/>
    <w:rsid w:val="00EE4EE1"/>
    <w:rsid w:val="00EF39F2"/>
    <w:rsid w:val="00EF4574"/>
    <w:rsid w:val="00EF6543"/>
    <w:rsid w:val="00EF7770"/>
    <w:rsid w:val="00F01CF1"/>
    <w:rsid w:val="00F03740"/>
    <w:rsid w:val="00F03CF2"/>
    <w:rsid w:val="00F130AB"/>
    <w:rsid w:val="00F23378"/>
    <w:rsid w:val="00F24A47"/>
    <w:rsid w:val="00F26475"/>
    <w:rsid w:val="00F2684E"/>
    <w:rsid w:val="00F2743A"/>
    <w:rsid w:val="00F304D9"/>
    <w:rsid w:val="00F34E0C"/>
    <w:rsid w:val="00F42A1F"/>
    <w:rsid w:val="00F44A10"/>
    <w:rsid w:val="00F46AD8"/>
    <w:rsid w:val="00F5404C"/>
    <w:rsid w:val="00F54425"/>
    <w:rsid w:val="00F62B01"/>
    <w:rsid w:val="00F633B8"/>
    <w:rsid w:val="00F65819"/>
    <w:rsid w:val="00F65D4E"/>
    <w:rsid w:val="00F673B8"/>
    <w:rsid w:val="00F6751F"/>
    <w:rsid w:val="00F729EF"/>
    <w:rsid w:val="00F76370"/>
    <w:rsid w:val="00F77CAE"/>
    <w:rsid w:val="00F77ECA"/>
    <w:rsid w:val="00F8169A"/>
    <w:rsid w:val="00F82271"/>
    <w:rsid w:val="00F83382"/>
    <w:rsid w:val="00F83428"/>
    <w:rsid w:val="00F8365F"/>
    <w:rsid w:val="00F8385F"/>
    <w:rsid w:val="00F87C66"/>
    <w:rsid w:val="00F87E16"/>
    <w:rsid w:val="00F913BC"/>
    <w:rsid w:val="00F920E2"/>
    <w:rsid w:val="00F9545E"/>
    <w:rsid w:val="00F96BB9"/>
    <w:rsid w:val="00FA468A"/>
    <w:rsid w:val="00FB1131"/>
    <w:rsid w:val="00FB6337"/>
    <w:rsid w:val="00FC24D4"/>
    <w:rsid w:val="00FC3743"/>
    <w:rsid w:val="00FC3AFA"/>
    <w:rsid w:val="00FC4722"/>
    <w:rsid w:val="00FC7822"/>
    <w:rsid w:val="00FD0C18"/>
    <w:rsid w:val="00FD629A"/>
    <w:rsid w:val="00FE46B5"/>
    <w:rsid w:val="00FE5097"/>
    <w:rsid w:val="00FE5821"/>
    <w:rsid w:val="00FE62A7"/>
    <w:rsid w:val="00FE6D51"/>
    <w:rsid w:val="00FF09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7"/>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8"/>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before="480"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5B5769"/>
    <w:pPr>
      <w:keepLines/>
      <w:suppressAutoHyphens w:val="0"/>
      <w:spacing w:before="80" w:after="80" w:line="200" w:lineRule="atLeast"/>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9"/>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10"/>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paragraph" w:styleId="ListParagraph">
    <w:name w:val="List Paragraph"/>
    <w:aliases w:val="List Paragraph (numbered (a)),Normal 2,Main numbered paragraph,List Paragraph1,List Paragraph11,L,Recommendation,CV text,Table text,F5 List Paragraph,Dot pt,List Paragraph111,Medium Grid 1 - Accent 21,Numbered Paragraph,List Paragraph2,列出"/>
    <w:basedOn w:val="Normal"/>
    <w:link w:val="ListParagraphChar"/>
    <w:uiPriority w:val="34"/>
    <w:qFormat/>
    <w:rsid w:val="00E36F91"/>
    <w:pPr>
      <w:suppressAutoHyphens w:val="0"/>
      <w:spacing w:before="0" w:after="0" w:line="240" w:lineRule="auto"/>
      <w:ind w:left="720"/>
      <w:contextualSpacing/>
    </w:pPr>
    <w:rPr>
      <w:rFonts w:ascii="Times New Roman" w:eastAsia="Times New Roman" w:hAnsi="Times New Roman" w:cs="Times New Roman"/>
      <w:color w:val="auto"/>
      <w:sz w:val="24"/>
      <w:szCs w:val="24"/>
      <w:lang w:val="en-AU"/>
    </w:rPr>
  </w:style>
  <w:style w:type="character" w:customStyle="1" w:styleId="ListParagraphChar">
    <w:name w:val="List Paragraph Char"/>
    <w:aliases w:val="List Paragraph (numbered (a)) Char,Normal 2 Char,Main numbered paragraph Char,List Paragraph1 Char,List Paragraph11 Char,L Char,Recommendation Char,CV text Char,Table text Char,F5 List Paragraph Char,Dot pt Char,List Paragraph2 Char"/>
    <w:basedOn w:val="DefaultParagraphFont"/>
    <w:link w:val="ListParagraph"/>
    <w:uiPriority w:val="34"/>
    <w:qFormat/>
    <w:locked/>
    <w:rsid w:val="00E36F91"/>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C7418"/>
    <w:rPr>
      <w:color w:val="800080" w:themeColor="followedHyperlink"/>
      <w:u w:val="single"/>
    </w:rPr>
  </w:style>
  <w:style w:type="character" w:styleId="CommentReference">
    <w:name w:val="annotation reference"/>
    <w:basedOn w:val="DefaultParagraphFont"/>
    <w:unhideWhenUsed/>
    <w:rsid w:val="005F3995"/>
    <w:rPr>
      <w:sz w:val="16"/>
      <w:szCs w:val="16"/>
    </w:rPr>
  </w:style>
  <w:style w:type="paragraph" w:styleId="CommentText">
    <w:name w:val="annotation text"/>
    <w:basedOn w:val="Normal"/>
    <w:link w:val="CommentTextChar"/>
    <w:uiPriority w:val="99"/>
    <w:semiHidden/>
    <w:unhideWhenUsed/>
    <w:rsid w:val="005F3995"/>
    <w:pPr>
      <w:spacing w:line="240" w:lineRule="auto"/>
    </w:pPr>
    <w:rPr>
      <w:sz w:val="20"/>
      <w:szCs w:val="20"/>
    </w:rPr>
  </w:style>
  <w:style w:type="character" w:customStyle="1" w:styleId="CommentTextChar">
    <w:name w:val="Comment Text Char"/>
    <w:basedOn w:val="DefaultParagraphFont"/>
    <w:link w:val="CommentText"/>
    <w:uiPriority w:val="99"/>
    <w:semiHidden/>
    <w:rsid w:val="005F3995"/>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F3995"/>
    <w:rPr>
      <w:b/>
      <w:bCs/>
    </w:rPr>
  </w:style>
  <w:style w:type="character" w:customStyle="1" w:styleId="CommentSubjectChar">
    <w:name w:val="Comment Subject Char"/>
    <w:basedOn w:val="CommentTextChar"/>
    <w:link w:val="CommentSubject"/>
    <w:uiPriority w:val="99"/>
    <w:semiHidden/>
    <w:rsid w:val="005F3995"/>
    <w:rPr>
      <w:b/>
      <w:bCs/>
      <w:color w:val="495965" w:themeColor="text2"/>
      <w:sz w:val="20"/>
      <w:szCs w:val="20"/>
      <w:lang w:val="en-GB"/>
    </w:rPr>
  </w:style>
  <w:style w:type="paragraph" w:styleId="NoSpacing">
    <w:name w:val="No Spacing"/>
    <w:uiPriority w:val="1"/>
    <w:qFormat/>
    <w:rsid w:val="0088253D"/>
    <w:pPr>
      <w:suppressAutoHyphens/>
      <w:spacing w:after="0" w:line="240" w:lineRule="auto"/>
    </w:pPr>
    <w:rPr>
      <w:color w:val="495965" w:themeColor="text2"/>
      <w:lang w:val="en-GB"/>
    </w:rPr>
  </w:style>
  <w:style w:type="character" w:styleId="SubtleReference">
    <w:name w:val="Subtle Reference"/>
    <w:basedOn w:val="DefaultParagraphFont"/>
    <w:uiPriority w:val="31"/>
    <w:qFormat/>
    <w:rsid w:val="006C0282"/>
    <w:rPr>
      <w:smallCaps/>
      <w:color w:val="5A5A5A" w:themeColor="text1" w:themeTint="A5"/>
    </w:rPr>
  </w:style>
  <w:style w:type="paragraph" w:customStyle="1" w:styleId="Default">
    <w:name w:val="Default"/>
    <w:rsid w:val="00D1732F"/>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198767">
      <w:bodyDiv w:val="1"/>
      <w:marLeft w:val="0"/>
      <w:marRight w:val="0"/>
      <w:marTop w:val="0"/>
      <w:marBottom w:val="0"/>
      <w:divBdr>
        <w:top w:val="none" w:sz="0" w:space="0" w:color="auto"/>
        <w:left w:val="none" w:sz="0" w:space="0" w:color="auto"/>
        <w:bottom w:val="none" w:sz="0" w:space="0" w:color="auto"/>
        <w:right w:val="none" w:sz="0" w:space="0" w:color="auto"/>
      </w:divBdr>
    </w:div>
    <w:div w:id="509376683">
      <w:bodyDiv w:val="1"/>
      <w:marLeft w:val="0"/>
      <w:marRight w:val="0"/>
      <w:marTop w:val="0"/>
      <w:marBottom w:val="0"/>
      <w:divBdr>
        <w:top w:val="none" w:sz="0" w:space="0" w:color="auto"/>
        <w:left w:val="none" w:sz="0" w:space="0" w:color="auto"/>
        <w:bottom w:val="none" w:sz="0" w:space="0" w:color="auto"/>
        <w:right w:val="none" w:sz="0" w:space="0" w:color="auto"/>
      </w:divBdr>
    </w:div>
    <w:div w:id="1026760112">
      <w:bodyDiv w:val="1"/>
      <w:marLeft w:val="0"/>
      <w:marRight w:val="0"/>
      <w:marTop w:val="0"/>
      <w:marBottom w:val="0"/>
      <w:divBdr>
        <w:top w:val="none" w:sz="0" w:space="0" w:color="auto"/>
        <w:left w:val="none" w:sz="0" w:space="0" w:color="auto"/>
        <w:bottom w:val="none" w:sz="0" w:space="0" w:color="auto"/>
        <w:right w:val="none" w:sz="0" w:space="0" w:color="auto"/>
      </w:divBdr>
    </w:div>
    <w:div w:id="1051154626">
      <w:bodyDiv w:val="1"/>
      <w:marLeft w:val="0"/>
      <w:marRight w:val="0"/>
      <w:marTop w:val="0"/>
      <w:marBottom w:val="0"/>
      <w:divBdr>
        <w:top w:val="none" w:sz="0" w:space="0" w:color="auto"/>
        <w:left w:val="none" w:sz="0" w:space="0" w:color="auto"/>
        <w:bottom w:val="none" w:sz="0" w:space="0" w:color="auto"/>
        <w:right w:val="none" w:sz="0" w:space="0" w:color="auto"/>
      </w:divBdr>
    </w:div>
    <w:div w:id="1143154857">
      <w:bodyDiv w:val="1"/>
      <w:marLeft w:val="0"/>
      <w:marRight w:val="0"/>
      <w:marTop w:val="0"/>
      <w:marBottom w:val="0"/>
      <w:divBdr>
        <w:top w:val="none" w:sz="0" w:space="0" w:color="auto"/>
        <w:left w:val="none" w:sz="0" w:space="0" w:color="auto"/>
        <w:bottom w:val="none" w:sz="0" w:space="0" w:color="auto"/>
        <w:right w:val="none" w:sz="0" w:space="0" w:color="auto"/>
      </w:divBdr>
    </w:div>
    <w:div w:id="1190988518">
      <w:bodyDiv w:val="1"/>
      <w:marLeft w:val="0"/>
      <w:marRight w:val="0"/>
      <w:marTop w:val="0"/>
      <w:marBottom w:val="0"/>
      <w:divBdr>
        <w:top w:val="none" w:sz="0" w:space="0" w:color="auto"/>
        <w:left w:val="none" w:sz="0" w:space="0" w:color="auto"/>
        <w:bottom w:val="none" w:sz="0" w:space="0" w:color="auto"/>
        <w:right w:val="none" w:sz="0" w:space="0" w:color="auto"/>
      </w:divBdr>
    </w:div>
    <w:div w:id="1301764212">
      <w:bodyDiv w:val="1"/>
      <w:marLeft w:val="0"/>
      <w:marRight w:val="0"/>
      <w:marTop w:val="0"/>
      <w:marBottom w:val="0"/>
      <w:divBdr>
        <w:top w:val="none" w:sz="0" w:space="0" w:color="auto"/>
        <w:left w:val="none" w:sz="0" w:space="0" w:color="auto"/>
        <w:bottom w:val="none" w:sz="0" w:space="0" w:color="auto"/>
        <w:right w:val="none" w:sz="0" w:space="0" w:color="auto"/>
      </w:divBdr>
    </w:div>
    <w:div w:id="1325428403">
      <w:bodyDiv w:val="1"/>
      <w:marLeft w:val="0"/>
      <w:marRight w:val="0"/>
      <w:marTop w:val="0"/>
      <w:marBottom w:val="0"/>
      <w:divBdr>
        <w:top w:val="none" w:sz="0" w:space="0" w:color="auto"/>
        <w:left w:val="none" w:sz="0" w:space="0" w:color="auto"/>
        <w:bottom w:val="none" w:sz="0" w:space="0" w:color="auto"/>
        <w:right w:val="none" w:sz="0" w:space="0" w:color="auto"/>
      </w:divBdr>
    </w:div>
    <w:div w:id="1470130939">
      <w:bodyDiv w:val="1"/>
      <w:marLeft w:val="0"/>
      <w:marRight w:val="0"/>
      <w:marTop w:val="0"/>
      <w:marBottom w:val="0"/>
      <w:divBdr>
        <w:top w:val="none" w:sz="0" w:space="0" w:color="auto"/>
        <w:left w:val="none" w:sz="0" w:space="0" w:color="auto"/>
        <w:bottom w:val="none" w:sz="0" w:space="0" w:color="auto"/>
        <w:right w:val="none" w:sz="0" w:space="0" w:color="auto"/>
      </w:divBdr>
    </w:div>
    <w:div w:id="152240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image" Target="media/image14.png"/><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JPG"/><Relationship Id="rId25" Type="http://schemas.openxmlformats.org/officeDocument/2006/relationships/image" Target="media/image13.png"/><Relationship Id="rId33" Type="http://schemas.openxmlformats.org/officeDocument/2006/relationships/header" Target="header7.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8.jpe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2.jpeg"/><Relationship Id="rId32" Type="http://schemas.openxmlformats.org/officeDocument/2006/relationships/footer" Target="footer4.xm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header" Target="header5.xml"/><Relationship Id="rId35"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s>
</file>

<file path=word/_rels/footer4.xml.rels><?xml version="1.0" encoding="UTF-8" standalone="yes"?>
<Relationships xmlns="http://schemas.openxmlformats.org/package/2006/relationships"><Relationship Id="rId1" Type="http://schemas.openxmlformats.org/officeDocument/2006/relationships/image" Target="media/image17.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2DA7161E-1281-4E99-A0D1-A18782A9BA76}"/>
</file>

<file path=customXml/itemProps2.xml><?xml version="1.0" encoding="utf-8"?>
<ds:datastoreItem xmlns:ds="http://schemas.openxmlformats.org/officeDocument/2006/customXml" ds:itemID="{EC7AC03E-FB4A-4174-8F20-543BBF851169}"/>
</file>

<file path=customXml/itemProps3.xml><?xml version="1.0" encoding="utf-8"?>
<ds:datastoreItem xmlns:ds="http://schemas.openxmlformats.org/officeDocument/2006/customXml" ds:itemID="{B869B047-564C-4DE2-AAF9-F2693BB96455}"/>
</file>

<file path=customXml/itemProps4.xml><?xml version="1.0" encoding="utf-8"?>
<ds:datastoreItem xmlns:ds="http://schemas.openxmlformats.org/officeDocument/2006/customXml" ds:itemID="{8FAEAAFC-E7D7-4808-AA59-C2DD3D4C4593}"/>
</file>

<file path=docProps/app.xml><?xml version="1.0" encoding="utf-8"?>
<Properties xmlns="http://schemas.openxmlformats.org/officeDocument/2006/extended-properties" xmlns:vt="http://schemas.openxmlformats.org/officeDocument/2006/docPropsVTypes">
  <Template>Normal.dotm</Template>
  <TotalTime>0</TotalTime>
  <Pages>39</Pages>
  <Words>15301</Words>
  <Characters>87219</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2018-09-21T01:12:00Z</dcterms:created>
  <dcterms:modified xsi:type="dcterms:W3CDTF">2018-09-21T01:12:00Z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75a280f0-fe78-4255-8f7c-89542bc1129c</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1195800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